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ak, 2023ko otsailaren 16an egin</w:t>
        <w:softHyphen/>
        <w:t xml:space="preserve">da</w:t>
        <w:softHyphen/>
        <w:t xml:space="preserve">ko Osoko Bilkuran,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“Erabakia. Horren bidez, Nafarroako Gobernua premiatzen da, LGTBI+ pertsonei arreta integrala emateko Kattalingune zerbitzua ematen jarrai dezan, 2022ko abendura arteko kalitate-parametroak mantenduz edo hobetuz, horretarako behar diren giza baliabide eta baliabide ekonomikoekin hornituta”.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du, LGTBI+ pertsonei arreta integrala emateko Kattalingune zerbitzua ematen jarrai dezan, 2022ko abendura arteko kalitate-parametroak mantenduz edo hobetuz, horretarako behar diren giza baliabide eta baliabide ekonomikoekin hornituta.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Nafarroako Parlamentuak Nafarroako Gobernua premiatzen du, murrizketarik egin ez dezan aipatu Kattalingune zerbitzuan, ez kontratatutako langileez (zazpi profesional) ez 2023rako Nafarroako Aurrekontuetan hasiera batean esleitutako partida ekonomikoaz (248.000 euro) bezainbatean.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du, zerbitzuko profesionalei entzun eta LGTBIQ+ kolektiboek egindako ekarpenak aintzat har ditzan zerbitzuari buruzko erabaki garrantzitsuak hartu baino lehen.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