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otsailaren 27an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Iñaki Iriarte López jaunak aurkezturiko galdera, Nafarroako Gobernuaren aginduz IVAC-KREIk egin duen “Nafarroan 1979tik gaur arte izandako torturari eta beste tratu txar batzuei buruzko ikerketa” txostenari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2023ko otsailaren 27an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atxikita dagoen Iñaki Iriarte López jaunak, Legebiltzarreko Erregelamenduko 14. artikuluan ezarritakoaren babesean, Nafarroako Gobernuaren aginduz IVAC-KREIk egin duen “Nafarroan 1979tik gaur arte izandako torturari eta beste tratu txar batzuei buruzko ikerketa” txostenari buruzko honako galdera hauek aurkeztu ditu, idatziz erantzun daitezen:</w:t>
      </w:r>
    </w:p>
    <w:p>
      <w:pPr>
        <w:pStyle w:val="0"/>
        <w:suppressAutoHyphens w:val="false"/>
        <w:rPr>
          <w:rStyle w:val="1"/>
        </w:rPr>
      </w:pPr>
      <w:r>
        <w:rPr>
          <w:rStyle w:val="1"/>
        </w:rPr>
        <w:t xml:space="preserve">1) Azkenean, zenbat peritu-txosten egin dira Istanbulgo Protokoloarekin bat? Txostenaren 53. orrialdean 33 aipatzen dira, baina 56. orrialdean 38 kasuz hitz egiten da.</w:t>
      </w:r>
    </w:p>
    <w:p>
      <w:pPr>
        <w:pStyle w:val="0"/>
        <w:suppressAutoHyphens w:val="false"/>
        <w:rPr>
          <w:rStyle w:val="1"/>
        </w:rPr>
      </w:pPr>
      <w:r>
        <w:rPr>
          <w:rStyle w:val="1"/>
        </w:rPr>
        <w:t xml:space="preserve">2) Protokoloa aplikatu zaien 13 kasuen multzo horretako kasu batean adierazten zen “tabuen bortxaketa” erabili zela tortura gisa (114. or.). Baina 67. orrialdean —hor aztertzen dira 465 kasuak— ez da agertzen tabuen inolako kasurik. Bi datuetako zein da zuzena?</w:t>
      </w:r>
    </w:p>
    <w:p>
      <w:pPr>
        <w:pStyle w:val="0"/>
        <w:suppressAutoHyphens w:val="false"/>
        <w:rPr>
          <w:rStyle w:val="1"/>
        </w:rPr>
      </w:pPr>
      <w:r>
        <w:rPr>
          <w:rStyle w:val="1"/>
        </w:rPr>
        <w:t xml:space="preserve">3) Txostenaren 30. orrialdean hauxe esaten da: “2015eko Prozedura Kriminalaren Legearen aldaketak espresuki debekatzen du hura 16 urtetik beherako adingabeei aplikatzea. Erabaki hori gogor kritikatu dute nazioarteko zenbait erakundek, zeinek modu tematian eskatu dute hura indargabetzea, bereziki adingabeen kasuan, besteak beste, Torturaren prebentziorako Europar Batzordeak 2017an egindako txostenean”. Horrela da edo akatsa da?</w:t>
      </w:r>
    </w:p>
    <w:p>
      <w:pPr>
        <w:pStyle w:val="0"/>
        <w:suppressAutoHyphens w:val="false"/>
        <w:rPr>
          <w:rStyle w:val="1"/>
        </w:rPr>
      </w:pPr>
      <w:r>
        <w:rPr>
          <w:rStyle w:val="1"/>
        </w:rPr>
        <w:t xml:space="preserve">4) Txostenaren 43. orrialdean adierazten da Giza Eskubideen Europako Auzitegiak Espainia hamar alditan zigortu duela tortura-salaketak egokiro ez ikertzeagatik. Zenbat kasutan ez ditu onartu salaketak Auzitegiak? Ez al duzue uste datu esanguratsua dela eta sartu beharko litzatekeela?</w:t>
      </w:r>
    </w:p>
    <w:p>
      <w:pPr>
        <w:pStyle w:val="0"/>
        <w:suppressAutoHyphens w:val="false"/>
        <w:rPr>
          <w:rStyle w:val="1"/>
        </w:rPr>
      </w:pPr>
      <w:r>
        <w:rPr>
          <w:rStyle w:val="1"/>
        </w:rPr>
        <w:t xml:space="preserve">5) Zer datutan oinarrituta esaten da txostenean “gehienak (salaketak) ez zirela behar bezain beste ikertu” (10. or.)? Ikerketa-taldeak informazio hori egiaztatzeko aukerarik izan al du? Behar beste ikertu ez ziren eta behar beste ikertu ziren salaketen zer portzentaje lortu ziren?</w:t>
      </w:r>
    </w:p>
    <w:p>
      <w:pPr>
        <w:pStyle w:val="0"/>
        <w:suppressAutoHyphens w:val="false"/>
        <w:rPr>
          <w:rStyle w:val="1"/>
        </w:rPr>
      </w:pPr>
      <w:r>
        <w:rPr>
          <w:rStyle w:val="1"/>
        </w:rPr>
        <w:t xml:space="preserve">6) Istanbulgo Protokoloarekin bat aztertutako 13 kasuetan Pérez Sales, Morentin et al -ek (Torture, 26. bolumena, 3, 2016) sortutako prozedura bera erabili al da, hau da, Standard Evaluation Form-aren bertsio aldatua? Beste 20 kasuetan prozedura bera erabili al zen? Eta Euskal Autonomia Erkidegoari buruzko ikerketaren 202 kasuetan?</w:t>
      </w:r>
    </w:p>
    <w:p>
      <w:pPr>
        <w:pStyle w:val="0"/>
        <w:suppressAutoHyphens w:val="false"/>
        <w:rPr>
          <w:rStyle w:val="1"/>
        </w:rPr>
      </w:pPr>
      <w:r>
        <w:rPr>
          <w:rStyle w:val="1"/>
        </w:rPr>
        <w:t xml:space="preserve">7) Erabili al da auzitegi-psikologiaren kategoria-sistema ezagunenetakoren bat (Reality Monitoring, SRA, CBCA, Ebaluazio Globaleko Sistema, eta abar) deklarazioen fidagarritasuna ebaluatu ahal izateko? Zein? Sartuta al zegoen alderatzea elkarrizketatuek iraganean egindako deklarazioak eta prozesu judizialean zehar pairatutako tortura edo tratu txarrak salatu zituzten lehenbiziko aldian egindakoak?</w:t>
      </w:r>
    </w:p>
    <w:p>
      <w:pPr>
        <w:pStyle w:val="0"/>
        <w:suppressAutoHyphens w:val="false"/>
        <w:rPr>
          <w:rStyle w:val="1"/>
        </w:rPr>
      </w:pPr>
      <w:r>
        <w:rPr>
          <w:rStyle w:val="1"/>
        </w:rPr>
        <w:t xml:space="preserve">8) Ikerketan aintzat hartu al da peritu-proba psikologikoa egiten zutenen aldetik ideologia-lerratzerik egoteko aukera? Baiezkoan, zer egin da horri aurre egiteko?</w:t>
      </w:r>
    </w:p>
    <w:p>
      <w:pPr>
        <w:pStyle w:val="0"/>
        <w:suppressAutoHyphens w:val="false"/>
        <w:rPr>
          <w:rStyle w:val="1"/>
        </w:rPr>
      </w:pPr>
      <w:r>
        <w:rPr>
          <w:rStyle w:val="1"/>
        </w:rPr>
        <w:t xml:space="preserve">9) Ikerketa honetan, zer ulertzen da lekukotasun baten “sinesgarritasun” gisa?</w:t>
      </w:r>
    </w:p>
    <w:p>
      <w:pPr>
        <w:pStyle w:val="0"/>
        <w:suppressAutoHyphens w:val="false"/>
        <w:rPr>
          <w:rStyle w:val="1"/>
        </w:rPr>
      </w:pPr>
      <w:r>
        <w:rPr>
          <w:rStyle w:val="1"/>
        </w:rPr>
        <w:t xml:space="preserve">10) Sinesgarritasunaren ebaluazio global bat egiteko moduari dagokionez, Istanbulgo Protokoloak jarraibide argiak ematen al ditu?</w:t>
      </w:r>
    </w:p>
    <w:p>
      <w:pPr>
        <w:pStyle w:val="0"/>
        <w:suppressAutoHyphens w:val="false"/>
        <w:rPr>
          <w:rStyle w:val="1"/>
        </w:rPr>
      </w:pPr>
      <w:r>
        <w:rPr>
          <w:rStyle w:val="1"/>
        </w:rPr>
        <w:t xml:space="preserve">11) “Sendotasun maximoa”, “oso sendoa”, “sendoa” eta “sendotasunik gabea”. Zein da horien arteko desberdintasuna? Analisi klinikoak aipatzen direnean “sendotasun maila altua”, “sendotasun maila neurrizkoa” eta “sendotasun maila eskasa” sailkapena agertzen da. Zergatik ez da hori erabili? Ba al dago baliokidetasunik bi eskala horien artean?</w:t>
      </w:r>
    </w:p>
    <w:p>
      <w:pPr>
        <w:pStyle w:val="0"/>
        <w:suppressAutoHyphens w:val="false"/>
        <w:rPr>
          <w:rStyle w:val="1"/>
        </w:rPr>
      </w:pPr>
      <w:r>
        <w:rPr>
          <w:rStyle w:val="1"/>
        </w:rPr>
        <w:t xml:space="preserve">12) Zein irizpideren arabera hautatu zen protokoloa aplikatu zitzaien 13 kasuen lagina?</w:t>
      </w:r>
    </w:p>
    <w:p>
      <w:pPr>
        <w:pStyle w:val="0"/>
        <w:suppressAutoHyphens w:val="false"/>
        <w:rPr>
          <w:rStyle w:val="1"/>
        </w:rPr>
      </w:pPr>
      <w:r>
        <w:rPr>
          <w:rStyle w:val="1"/>
        </w:rPr>
        <w:t xml:space="preserve">13) NBEk erabiltzen duen torturaren kontzeptuak hura funtzionario publikoei baino ez die egozten. Ez al duzue uste definizio arraroa dela, baztertu egiten baitu erakunde kriminal edo terrorista batek norbait torturatu ahal izatea?</w:t>
      </w:r>
    </w:p>
    <w:p>
      <w:pPr>
        <w:pStyle w:val="0"/>
        <w:suppressAutoHyphens w:val="false"/>
        <w:rPr>
          <w:rStyle w:val="1"/>
        </w:rPr>
      </w:pPr>
      <w:r>
        <w:rPr>
          <w:rStyle w:val="1"/>
        </w:rPr>
        <w:t xml:space="preserve">14) Txostenak ez dio inolako aipamenik egiten Giza eskubideen II. Plan Nazionalari. Uste al duzue prestatzen ari den plan horrek egokiro jasotzen dituela torturaren prebentziorako nazioarteko gomendioak?</w:t>
      </w:r>
    </w:p>
    <w:p>
      <w:pPr>
        <w:pStyle w:val="0"/>
        <w:suppressAutoHyphens w:val="false"/>
        <w:rPr>
          <w:rStyle w:val="1"/>
        </w:rPr>
      </w:pPr>
      <w:r>
        <w:rPr>
          <w:rStyle w:val="1"/>
        </w:rPr>
        <w:t xml:space="preserve">Iruñean, 2023ko otsailaren 23an</w:t>
      </w:r>
    </w:p>
    <w:p>
      <w:pPr>
        <w:pStyle w:val="0"/>
        <w:suppressAutoHyphens w:val="false"/>
        <w:rPr>
          <w:rStyle w:val="1"/>
        </w:rPr>
      </w:pPr>
      <w:r>
        <w:rPr>
          <w:rStyle w:val="1"/>
        </w:rPr>
        <w:t xml:space="preserve">Foru parlamentaria: Iñaki Iriarte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