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9902F" w14:textId="77777777" w:rsidR="008C627C" w:rsidRDefault="008C627C" w:rsidP="008C627C">
      <w:pPr>
        <w:pStyle w:val="OFICIO-12"/>
      </w:pPr>
      <w:r>
        <w:t>Nafarroako Parlamentuko Batzorde Iraunkorrak, 2023ko maiatzaren 9an egindako bilkuran, erabaki hau hartu zuen, besteak beste:</w:t>
      </w:r>
    </w:p>
    <w:p w14:paraId="75AD4A31" w14:textId="77777777" w:rsidR="008C627C" w:rsidRDefault="008C627C" w:rsidP="008C627C">
      <w:pPr>
        <w:pStyle w:val="OFICIO-12"/>
      </w:pPr>
      <w:r>
        <w:t>1. 2023ko maiatzaren 9an Nafarroako Parlamentuko Batzorde Iraunkorrak onetsi zuen baliozkotzea 1/2023 Foru Lege-dekretua, apirilaren 24koa, Nafarroako Gobernuko zenbait departamenturi kreditu-gehigarria ematekoa. Foru Lege-dekretu hori 2023ko apirilaren 25eko 85. Nafarroako Aldizkari Ofizialean argitaratu zen.</w:t>
      </w:r>
    </w:p>
    <w:p w14:paraId="140421F4" w14:textId="77777777" w:rsidR="008C627C" w:rsidRDefault="008C627C" w:rsidP="008C627C">
      <w:pPr>
        <w:pStyle w:val="OFICIO-12"/>
      </w:pPr>
      <w:r>
        <w:t>2. Legebiltzarreko Erregelamenduko 114.1. artikuluan ezarritakoa betez, erabaki hori argitara dadin agintzen dut.</w:t>
      </w:r>
    </w:p>
    <w:p w14:paraId="7D9753B2" w14:textId="77777777" w:rsidR="008C627C" w:rsidRDefault="008C627C" w:rsidP="008C627C">
      <w:pPr>
        <w:pStyle w:val="FECHA-12"/>
      </w:pPr>
      <w:r>
        <w:t>Iruñean, 2023ko maiatzaren 9an</w:t>
      </w:r>
    </w:p>
    <w:p w14:paraId="04201AC3" w14:textId="77777777" w:rsidR="00EE58BD" w:rsidRDefault="00EE58BD" w:rsidP="00EE58BD">
      <w:pPr>
        <w:pStyle w:val="FECHA-12"/>
      </w:pPr>
      <w:r w:rsidRPr="00EE58BD">
        <w:t>Lehendakaria</w:t>
      </w:r>
    </w:p>
    <w:p w14:paraId="0F7AB980" w14:textId="615B3C2B" w:rsidR="00EE58BD" w:rsidRPr="00EE58BD" w:rsidRDefault="00EE58BD" w:rsidP="00EE58BD">
      <w:pPr>
        <w:pStyle w:val="FECHA-12"/>
      </w:pPr>
      <w:r w:rsidRPr="00EE58BD">
        <w:t xml:space="preserve">Unai </w:t>
      </w:r>
      <w:proofErr w:type="spellStart"/>
      <w:r w:rsidRPr="00EE58BD">
        <w:t>Hualde</w:t>
      </w:r>
      <w:proofErr w:type="spellEnd"/>
      <w:r w:rsidRPr="00EE58BD">
        <w:t xml:space="preserve"> Iglesias</w:t>
      </w:r>
    </w:p>
    <w:p w14:paraId="3E94DDA4" w14:textId="77777777" w:rsidR="008C627C" w:rsidRDefault="008C627C">
      <w:pPr>
        <w:rPr>
          <w:rFonts w:asciiTheme="minorHAnsi" w:hAnsiTheme="minorHAnsi"/>
        </w:rPr>
      </w:pPr>
    </w:p>
    <w:p w14:paraId="5885C468" w14:textId="09167BB7" w:rsidR="00E81914" w:rsidRPr="008C627C" w:rsidRDefault="00E81914" w:rsidP="008C627C">
      <w:pPr>
        <w:spacing w:after="160" w:line="259" w:lineRule="auto"/>
        <w:jc w:val="center"/>
        <w:rPr>
          <w:rFonts w:ascii="Arial" w:hAnsi="Arial" w:cs="Arial"/>
          <w:b/>
          <w:bCs/>
          <w:sz w:val="22"/>
          <w:szCs w:val="22"/>
        </w:rPr>
      </w:pPr>
      <w:r w:rsidRPr="008C627C">
        <w:rPr>
          <w:rFonts w:ascii="Arial" w:hAnsi="Arial" w:cs="Arial"/>
          <w:b/>
          <w:bCs/>
          <w:sz w:val="22"/>
          <w:szCs w:val="22"/>
        </w:rPr>
        <w:t>1/2023 Foru Lege-dekretua, apirilaren 24koa, Nafarroako Gobernuko zenbait departamenturi kreditu-gehigarria ematekoa.</w:t>
      </w:r>
    </w:p>
    <w:p w14:paraId="2F5CB204" w14:textId="77777777" w:rsidR="00E81914" w:rsidRPr="008C627C" w:rsidRDefault="003D3FFC" w:rsidP="008C627C">
      <w:pPr>
        <w:spacing w:after="160"/>
        <w:jc w:val="center"/>
        <w:rPr>
          <w:rFonts w:ascii="Arial" w:hAnsi="Arial" w:cs="Arial"/>
          <w:sz w:val="22"/>
          <w:szCs w:val="22"/>
        </w:rPr>
      </w:pPr>
      <w:r w:rsidRPr="008C627C">
        <w:rPr>
          <w:rFonts w:ascii="Arial" w:hAnsi="Arial" w:cs="Arial"/>
          <w:sz w:val="22"/>
          <w:szCs w:val="22"/>
        </w:rPr>
        <w:t>ATARIKOA</w:t>
      </w:r>
    </w:p>
    <w:p w14:paraId="59D46836" w14:textId="77777777" w:rsidR="00E81914" w:rsidRPr="008C627C" w:rsidRDefault="00AD3ACD" w:rsidP="008C627C">
      <w:pPr>
        <w:spacing w:after="160" w:line="259" w:lineRule="auto"/>
        <w:rPr>
          <w:rFonts w:ascii="Arial" w:hAnsi="Arial" w:cs="Arial"/>
          <w:sz w:val="22"/>
          <w:szCs w:val="22"/>
        </w:rPr>
      </w:pPr>
      <w:r w:rsidRPr="008C627C">
        <w:rPr>
          <w:rFonts w:ascii="Arial" w:hAnsi="Arial" w:cs="Arial"/>
          <w:sz w:val="22"/>
          <w:szCs w:val="22"/>
        </w:rPr>
        <w:t>Osasun Departamentuak eta Eskubide Sozialetako Departamentuak txostenak igorri dituzte 2023an gastu batzuei aurre egin behar dietela eta kasuan kasuko aurrekontu partidetan horretarako aski krediturik ez dagoela adierazteko.</w:t>
      </w:r>
    </w:p>
    <w:p w14:paraId="010FEC85" w14:textId="77777777" w:rsidR="00E81914" w:rsidRPr="008C627C" w:rsidRDefault="003D3FFC" w:rsidP="008C627C">
      <w:pPr>
        <w:spacing w:after="160" w:line="259" w:lineRule="auto"/>
        <w:rPr>
          <w:rFonts w:ascii="Arial" w:hAnsi="Arial" w:cs="Arial"/>
          <w:sz w:val="22"/>
          <w:szCs w:val="22"/>
        </w:rPr>
      </w:pPr>
      <w:r w:rsidRPr="008C627C">
        <w:rPr>
          <w:rFonts w:ascii="Arial" w:hAnsi="Arial" w:cs="Arial"/>
          <w:sz w:val="22"/>
          <w:szCs w:val="22"/>
        </w:rPr>
        <w:t>Osasun Departamentuak azaltzen duenez, gehigarria onetsi ezean ezin izanen da aplikatu martxoaren 19ko 11/2023 Foru Legea, aldatzen duena urriaren 20ko 11/</w:t>
      </w:r>
      <w:r w:rsidRPr="008C627C">
        <w:rPr>
          <w:rFonts w:ascii="Arial" w:eastAsia="Calibri" w:hAnsi="Arial" w:cs="Arial"/>
          <w:kern w:val="2"/>
          <w:sz w:val="22"/>
          <w:szCs w:val="22"/>
          <w:lang w:val="es-ES_tradnl" w:eastAsia="en-US"/>
        </w:rPr>
        <w:t>1992</w:t>
      </w:r>
      <w:r w:rsidRPr="008C627C">
        <w:rPr>
          <w:rFonts w:ascii="Arial" w:hAnsi="Arial" w:cs="Arial"/>
          <w:sz w:val="22"/>
          <w:szCs w:val="22"/>
        </w:rPr>
        <w:t xml:space="preserve"> Foru Legea, Nafarroako Osasun Zerbitzua-Osasunbideari atxikitako langileen berariazko erregimena arautzen duena; Eskubide Sozialetako Departamentuak, berriz, gehigarriaren beharra justifikatzen du esanez lehenbailehen onetsi behar dela laguntza ekonomiko bat 0tik 3 urtera bitarteko adingabeak beren kargura dituzten familientzat.</w:t>
      </w:r>
    </w:p>
    <w:p w14:paraId="79CD393A" w14:textId="77777777" w:rsidR="00E81914" w:rsidRPr="008C627C" w:rsidRDefault="003D3FFC" w:rsidP="008C627C">
      <w:pPr>
        <w:spacing w:after="160" w:line="259" w:lineRule="auto"/>
        <w:rPr>
          <w:rFonts w:ascii="Arial" w:hAnsi="Arial" w:cs="Arial"/>
          <w:sz w:val="22"/>
          <w:szCs w:val="22"/>
        </w:rPr>
      </w:pPr>
      <w:r w:rsidRPr="008C627C">
        <w:rPr>
          <w:rFonts w:ascii="Arial" w:hAnsi="Arial" w:cs="Arial"/>
          <w:sz w:val="22"/>
          <w:szCs w:val="22"/>
        </w:rPr>
        <w:t>Nafarroako Ogasun Publikoari buruzko apirilaren 4ko 13/2007 Foru Legearen 48. artikuluko lehen paragrafoak ezartzen du ezen, hurrengo ekitaldira arte berandutu ezin daitekeen gasturen bat aurrekontu indardunaren kargura egin behar bada eta dagoen kreditua aski ez bada eta ezin bada handitu aipatutako foru legean jasotako xedapenen arabera, Nafarroako Gobernuak, Ekonomia eta Ogasuneko kontseilariak proposaturik, foru lege proiektu bat bidaliko duela Nafarroako Parlamentura, kreditu-gehigarri bat ematekoa. Era berean, bigarren paragrafoan xedatzen du kreditu-gehigarria finantzatzen ahalko dela gastu orokorretarako diruzaintza gerakinaren kargura, gerakina positiboa denean.</w:t>
      </w:r>
    </w:p>
    <w:p w14:paraId="529B6976" w14:textId="77777777" w:rsidR="00E81914" w:rsidRPr="008C627C" w:rsidRDefault="003D3FFC" w:rsidP="008C627C">
      <w:pPr>
        <w:spacing w:after="160" w:line="259" w:lineRule="auto"/>
        <w:rPr>
          <w:rFonts w:ascii="Arial" w:hAnsi="Arial" w:cs="Arial"/>
          <w:sz w:val="22"/>
          <w:szCs w:val="22"/>
        </w:rPr>
      </w:pPr>
      <w:r w:rsidRPr="008C627C">
        <w:rPr>
          <w:rFonts w:ascii="Arial" w:hAnsi="Arial" w:cs="Arial"/>
          <w:sz w:val="22"/>
          <w:szCs w:val="22"/>
        </w:rPr>
        <w:t>Bestetik, Nafarroako Foru Eraentza Berrezarri eta Hobetzeari buruzko abuztuaren 10eko 13/1982 Lege Organikoaren 21 bis artikuluaren arabera, kasu berezi eta oso presakoetan, Nafarroako Gobernuak behin-behineko legezko xedapenak ematen ahal ditu, foru lege-dekretu forma hartuko dutenak.</w:t>
      </w:r>
    </w:p>
    <w:p w14:paraId="6C05756B" w14:textId="39CFBAD1" w:rsidR="00E81914" w:rsidRPr="008C627C" w:rsidRDefault="003D3FFC" w:rsidP="008C627C">
      <w:pPr>
        <w:spacing w:after="160" w:line="259" w:lineRule="auto"/>
        <w:rPr>
          <w:rFonts w:ascii="Arial" w:hAnsi="Arial" w:cs="Arial"/>
          <w:sz w:val="22"/>
          <w:szCs w:val="22"/>
        </w:rPr>
      </w:pPr>
      <w:r w:rsidRPr="008C627C">
        <w:rPr>
          <w:rFonts w:ascii="Arial" w:hAnsi="Arial" w:cs="Arial"/>
          <w:sz w:val="22"/>
          <w:szCs w:val="22"/>
        </w:rPr>
        <w:lastRenderedPageBreak/>
        <w:t>Osasunbidea-Nafarroako Osasun Zerbitzuak eta Nafarroako Osasun Publikoaren eta Lan Osasunaren Institutuak azpimarratzen dute ezinbestekoa eta atzeraezina dela martxoaren 19ko 11/2023 Foru Legeak indarra hartzeak ekarri dituen finantza betebeharrak betetzea ahalbidetuko duten baliabide gehigarriak jartzea, finantzaketa hori gabe ezinezkoa litzatekeelako foru lege hori aplikatzea. Aipatutako martxoaren 19ko 11/2023 Foru Legeak Nafarroako Osasun Zerbitzua-Osasunbideari atxikitako langileen berariazko erregimena arautzen duen urriaren 20ko 11/1992 Foru Legea aldatu zuen eta 2023ko apirilaren 18an eman zen argitara.</w:t>
      </w:r>
    </w:p>
    <w:p w14:paraId="618B66E6" w14:textId="77777777" w:rsidR="00E81914" w:rsidRPr="008C627C" w:rsidRDefault="003D3FFC" w:rsidP="008C627C">
      <w:pPr>
        <w:spacing w:after="160" w:line="259" w:lineRule="auto"/>
        <w:rPr>
          <w:rFonts w:ascii="Arial" w:hAnsi="Arial" w:cs="Arial"/>
          <w:sz w:val="22"/>
          <w:szCs w:val="22"/>
        </w:rPr>
      </w:pPr>
      <w:r w:rsidRPr="008C627C">
        <w:rPr>
          <w:rFonts w:ascii="Arial" w:hAnsi="Arial" w:cs="Arial"/>
          <w:sz w:val="22"/>
          <w:szCs w:val="22"/>
        </w:rPr>
        <w:t xml:space="preserve">Bestalde, Pertsonen Autonomiarako eta Garapenerako Nafarroako Agentziak arau hau presaz tramitatu behar dela justifikatzen du azalduz familien egoera ekonomikoari kalte nabaria ekarri diotela pandemiak, Ukrainako gerraren ondoriozko krisi ekonomikoak eta horrek eragindako KPIren igoerak, eta horrek erosahalmenaren galera ekarri duela, are handiagoa beren kargura seme-alaba adingabeak dituztenen kasuan. Hori dela eta, komeni da pobrezia pairatzeko arrisku handiagoa duen populazio </w:t>
      </w:r>
      <w:proofErr w:type="spellStart"/>
      <w:r w:rsidRPr="008C627C">
        <w:rPr>
          <w:rFonts w:ascii="Arial" w:hAnsi="Arial" w:cs="Arial"/>
          <w:sz w:val="22"/>
          <w:szCs w:val="22"/>
        </w:rPr>
        <w:t>sektoreengan</w:t>
      </w:r>
      <w:proofErr w:type="spellEnd"/>
      <w:r w:rsidRPr="008C627C">
        <w:rPr>
          <w:rFonts w:ascii="Arial" w:hAnsi="Arial" w:cs="Arial"/>
          <w:sz w:val="22"/>
          <w:szCs w:val="22"/>
        </w:rPr>
        <w:t>, haurrengan adibidez, eragin positiboa izan nahi duten zenbait neurri ez atzeratzea. Gainera, 2023ko urtarrilaren 1ean indarra hartu zuen, estatu osorako, Familien Legearen aurreproiektuan ezarritako hazkuntzagatiko prestazioak, eta, horrenbestez, laguntza hori Foru Komunitatean ekitaldi honetan arautzen ez bada Nafarroako familientzako desabantaila bat egonen da.</w:t>
      </w:r>
    </w:p>
    <w:p w14:paraId="1E947A87" w14:textId="77777777" w:rsidR="00E81914" w:rsidRPr="008C627C" w:rsidRDefault="003D3FFC" w:rsidP="008C627C">
      <w:pPr>
        <w:spacing w:after="160" w:line="259" w:lineRule="auto"/>
        <w:rPr>
          <w:rFonts w:ascii="Arial" w:hAnsi="Arial" w:cs="Arial"/>
          <w:sz w:val="22"/>
          <w:szCs w:val="22"/>
        </w:rPr>
      </w:pPr>
      <w:r w:rsidRPr="008C627C">
        <w:rPr>
          <w:rFonts w:ascii="Arial" w:hAnsi="Arial" w:cs="Arial"/>
          <w:sz w:val="22"/>
          <w:szCs w:val="22"/>
        </w:rPr>
        <w:t>1. artikulua. Kreditu-gehigarria ematea.</w:t>
      </w:r>
    </w:p>
    <w:p w14:paraId="0041DDCB" w14:textId="77777777" w:rsidR="00E81914" w:rsidRPr="008C627C" w:rsidRDefault="003D3FFC" w:rsidP="008C627C">
      <w:pPr>
        <w:spacing w:after="160" w:line="259" w:lineRule="auto"/>
        <w:rPr>
          <w:rFonts w:ascii="Arial" w:hAnsi="Arial" w:cs="Arial"/>
          <w:sz w:val="22"/>
          <w:szCs w:val="22"/>
        </w:rPr>
      </w:pPr>
      <w:r w:rsidRPr="008C627C">
        <w:rPr>
          <w:rFonts w:ascii="Arial" w:hAnsi="Arial" w:cs="Arial"/>
          <w:sz w:val="22"/>
          <w:szCs w:val="22"/>
        </w:rPr>
        <w:t>2023rako ekitaldian 23.995.298,20 euroko kreditu-gehigarri bat ematen da, Nafarroako Gobernuko departamentu batzuen beharrak finantzatzeko.</w:t>
      </w:r>
    </w:p>
    <w:p w14:paraId="2D233A47" w14:textId="412D41CB" w:rsidR="000A07CA" w:rsidRPr="008C627C" w:rsidRDefault="003D3FFC" w:rsidP="008C627C">
      <w:pPr>
        <w:spacing w:after="160" w:line="259" w:lineRule="auto"/>
        <w:rPr>
          <w:rFonts w:ascii="Arial" w:hAnsi="Arial" w:cs="Arial"/>
          <w:sz w:val="22"/>
          <w:szCs w:val="22"/>
        </w:rPr>
      </w:pPr>
      <w:r w:rsidRPr="008C627C">
        <w:rPr>
          <w:rFonts w:ascii="Arial" w:hAnsi="Arial" w:cs="Arial"/>
          <w:sz w:val="22"/>
          <w:szCs w:val="22"/>
        </w:rPr>
        <w:t>Kreditu hori aurrekontuko partida hauetan aplikatuko da:</w:t>
      </w:r>
    </w:p>
    <w:tbl>
      <w:tblPr>
        <w:tblW w:w="7916" w:type="dxa"/>
        <w:tblInd w:w="80" w:type="dxa"/>
        <w:tblCellMar>
          <w:left w:w="70" w:type="dxa"/>
          <w:right w:w="70" w:type="dxa"/>
        </w:tblCellMar>
        <w:tblLook w:val="04A0" w:firstRow="1" w:lastRow="0" w:firstColumn="1" w:lastColumn="0" w:noHBand="0" w:noVBand="1"/>
      </w:tblPr>
      <w:tblGrid>
        <w:gridCol w:w="6369"/>
        <w:gridCol w:w="1547"/>
      </w:tblGrid>
      <w:tr w:rsidR="00600886" w:rsidRPr="008C627C" w14:paraId="6FD37A9A" w14:textId="77777777" w:rsidTr="00EE58BD">
        <w:trPr>
          <w:trHeight w:val="301"/>
        </w:trPr>
        <w:tc>
          <w:tcPr>
            <w:tcW w:w="63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256C77" w14:textId="77777777" w:rsidR="00600886" w:rsidRPr="008C627C" w:rsidRDefault="003D3FFC" w:rsidP="00EE58BD">
            <w:pPr>
              <w:spacing w:before="40" w:after="160" w:line="240" w:lineRule="auto"/>
              <w:ind w:firstLine="0"/>
              <w:jc w:val="center"/>
              <w:rPr>
                <w:rFonts w:ascii="Arial" w:hAnsi="Arial" w:cs="Arial"/>
                <w:b/>
                <w:bCs/>
                <w:color w:val="000000"/>
                <w:sz w:val="22"/>
                <w:szCs w:val="22"/>
              </w:rPr>
            </w:pPr>
            <w:r w:rsidRPr="008C627C">
              <w:rPr>
                <w:rFonts w:ascii="Arial" w:hAnsi="Arial" w:cs="Arial"/>
                <w:b/>
                <w:color w:val="000000"/>
                <w:sz w:val="22"/>
                <w:szCs w:val="22"/>
              </w:rPr>
              <w:t>Aurrekontuko partida</w:t>
            </w:r>
          </w:p>
        </w:tc>
        <w:tc>
          <w:tcPr>
            <w:tcW w:w="1547" w:type="dxa"/>
            <w:tcBorders>
              <w:top w:val="single" w:sz="8" w:space="0" w:color="auto"/>
              <w:left w:val="nil"/>
              <w:bottom w:val="single" w:sz="8" w:space="0" w:color="auto"/>
              <w:right w:val="single" w:sz="8" w:space="0" w:color="auto"/>
            </w:tcBorders>
            <w:shd w:val="clear" w:color="auto" w:fill="auto"/>
            <w:noWrap/>
            <w:vAlign w:val="center"/>
            <w:hideMark/>
          </w:tcPr>
          <w:p w14:paraId="39BF0299" w14:textId="77777777" w:rsidR="00600886" w:rsidRPr="008C627C" w:rsidRDefault="003D3FFC" w:rsidP="00EE58BD">
            <w:pPr>
              <w:spacing w:before="40" w:after="160" w:line="240" w:lineRule="auto"/>
              <w:ind w:firstLine="0"/>
              <w:jc w:val="center"/>
              <w:rPr>
                <w:rFonts w:ascii="Arial" w:hAnsi="Arial" w:cs="Arial"/>
                <w:b/>
                <w:bCs/>
                <w:color w:val="000000"/>
                <w:sz w:val="22"/>
                <w:szCs w:val="22"/>
              </w:rPr>
            </w:pPr>
            <w:r w:rsidRPr="008C627C">
              <w:rPr>
                <w:rFonts w:ascii="Arial" w:hAnsi="Arial" w:cs="Arial"/>
                <w:b/>
                <w:color w:val="000000"/>
                <w:sz w:val="22"/>
                <w:szCs w:val="22"/>
              </w:rPr>
              <w:t>Zenbatekoa</w:t>
            </w:r>
          </w:p>
        </w:tc>
      </w:tr>
      <w:tr w:rsidR="00600886" w:rsidRPr="008C627C" w14:paraId="52518021"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1F1349AD"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540000 52000 1710 311100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41FE42B2"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50.476,00</w:t>
            </w:r>
          </w:p>
        </w:tc>
      </w:tr>
      <w:tr w:rsidR="00600886" w:rsidRPr="008C627C" w14:paraId="03FEF51C"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1BAD472F"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540001 52610 1710 311100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61909DB4"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31.840,00</w:t>
            </w:r>
          </w:p>
        </w:tc>
      </w:tr>
      <w:tr w:rsidR="00600886" w:rsidRPr="008C627C" w14:paraId="15CEA413"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670DEA2B"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540002 52833 1710 311100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1BDD59E7"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19.900,00</w:t>
            </w:r>
          </w:p>
        </w:tc>
      </w:tr>
      <w:tr w:rsidR="00600886" w:rsidRPr="008C627C" w14:paraId="3036AD4A"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33792660"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540004 52820 1710 311100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49C1F090"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3.980,00</w:t>
            </w:r>
          </w:p>
        </w:tc>
      </w:tr>
      <w:tr w:rsidR="00600886" w:rsidRPr="008C627C" w14:paraId="3B291352"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3CA2B5B7"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540005 52831 1710 311100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49221269"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47.760,00</w:t>
            </w:r>
          </w:p>
        </w:tc>
      </w:tr>
      <w:tr w:rsidR="00600886" w:rsidRPr="008C627C" w14:paraId="1E4AC942"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31D70E13"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540007 52010 1710 311100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2243CE37"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3.980,00</w:t>
            </w:r>
          </w:p>
        </w:tc>
      </w:tr>
      <w:tr w:rsidR="00600886" w:rsidRPr="008C627C" w14:paraId="0A0D0DC1"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3617A213"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540008 52000 1710 311100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43B1761D"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15.920,00</w:t>
            </w:r>
          </w:p>
        </w:tc>
      </w:tr>
      <w:tr w:rsidR="00600886" w:rsidRPr="008C627C" w14:paraId="48EA9661"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31D56913"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541004 52700 1704 312400 Guardiak egiteagatiko osagarria</w:t>
            </w:r>
          </w:p>
        </w:tc>
        <w:tc>
          <w:tcPr>
            <w:tcW w:w="1547" w:type="dxa"/>
            <w:tcBorders>
              <w:top w:val="nil"/>
              <w:left w:val="nil"/>
              <w:bottom w:val="single" w:sz="8" w:space="0" w:color="auto"/>
              <w:right w:val="single" w:sz="8" w:space="0" w:color="auto"/>
            </w:tcBorders>
            <w:shd w:val="clear" w:color="auto" w:fill="auto"/>
            <w:noWrap/>
            <w:vAlign w:val="center"/>
            <w:hideMark/>
          </w:tcPr>
          <w:p w14:paraId="632CCE13"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15.786,87</w:t>
            </w:r>
          </w:p>
        </w:tc>
      </w:tr>
      <w:tr w:rsidR="00600886" w:rsidRPr="008C627C" w14:paraId="72715C36"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6A97DB28"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lastRenderedPageBreak/>
              <w:t>541004 52700 1710 312400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5EBF7827"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405.960,00</w:t>
            </w:r>
          </w:p>
        </w:tc>
      </w:tr>
      <w:tr w:rsidR="00600886" w:rsidRPr="008C627C" w14:paraId="4D4E3EC9"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01EB80FA"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543000 52200 1704 312300 Guardiak egiteagatiko osagarria</w:t>
            </w:r>
          </w:p>
        </w:tc>
        <w:tc>
          <w:tcPr>
            <w:tcW w:w="1547" w:type="dxa"/>
            <w:tcBorders>
              <w:top w:val="nil"/>
              <w:left w:val="nil"/>
              <w:bottom w:val="single" w:sz="8" w:space="0" w:color="auto"/>
              <w:right w:val="single" w:sz="8" w:space="0" w:color="auto"/>
            </w:tcBorders>
            <w:shd w:val="clear" w:color="auto" w:fill="auto"/>
            <w:noWrap/>
            <w:vAlign w:val="center"/>
            <w:hideMark/>
          </w:tcPr>
          <w:p w14:paraId="42BFA5F3"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1.000.999,89</w:t>
            </w:r>
          </w:p>
        </w:tc>
      </w:tr>
      <w:tr w:rsidR="00600886" w:rsidRPr="008C627C" w14:paraId="09D31BC8"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4DCB77E4"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543000 52200 1710 312300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11C33BA0"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4.254.620,00</w:t>
            </w:r>
          </w:p>
        </w:tc>
      </w:tr>
      <w:tr w:rsidR="00600886" w:rsidRPr="008C627C" w14:paraId="1C4BA862"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02DD730B"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543004 52214 1704 312700 Guardiak egiteagatiko osagarria</w:t>
            </w:r>
          </w:p>
        </w:tc>
        <w:tc>
          <w:tcPr>
            <w:tcW w:w="1547" w:type="dxa"/>
            <w:tcBorders>
              <w:top w:val="nil"/>
              <w:left w:val="nil"/>
              <w:bottom w:val="single" w:sz="8" w:space="0" w:color="auto"/>
              <w:right w:val="single" w:sz="8" w:space="0" w:color="auto"/>
            </w:tcBorders>
            <w:shd w:val="clear" w:color="auto" w:fill="auto"/>
            <w:noWrap/>
            <w:vAlign w:val="center"/>
            <w:hideMark/>
          </w:tcPr>
          <w:p w14:paraId="049326FF"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7.276,98</w:t>
            </w:r>
          </w:p>
        </w:tc>
      </w:tr>
      <w:tr w:rsidR="00600886" w:rsidRPr="008C627C" w14:paraId="23743CC5"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1D87745D"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543004 52214 1710 312700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7087C3ED"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31.840,00</w:t>
            </w:r>
          </w:p>
        </w:tc>
      </w:tr>
      <w:tr w:rsidR="00600886" w:rsidRPr="008C627C" w14:paraId="0267B66D"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3D4C0F62"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545000 52400 1704 312300 Guardiak egiteagatiko osagarria</w:t>
            </w:r>
          </w:p>
        </w:tc>
        <w:tc>
          <w:tcPr>
            <w:tcW w:w="1547" w:type="dxa"/>
            <w:tcBorders>
              <w:top w:val="nil"/>
              <w:left w:val="nil"/>
              <w:bottom w:val="single" w:sz="8" w:space="0" w:color="auto"/>
              <w:right w:val="single" w:sz="8" w:space="0" w:color="auto"/>
            </w:tcBorders>
            <w:shd w:val="clear" w:color="auto" w:fill="auto"/>
            <w:noWrap/>
            <w:vAlign w:val="center"/>
            <w:hideMark/>
          </w:tcPr>
          <w:p w14:paraId="29F6F6D3"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239.214,67</w:t>
            </w:r>
          </w:p>
        </w:tc>
      </w:tr>
      <w:tr w:rsidR="00600886" w:rsidRPr="008C627C" w14:paraId="300ADC48"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5FCE28CC"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545000 52400 1710 312300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02FFF29B"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807.940,00</w:t>
            </w:r>
          </w:p>
        </w:tc>
      </w:tr>
      <w:tr w:rsidR="00600886" w:rsidRPr="008C627C" w14:paraId="4EF8BEFD"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2BB183F0"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545001 52420 1200 312200 Langile finkoen ordainsariak</w:t>
            </w:r>
          </w:p>
        </w:tc>
        <w:tc>
          <w:tcPr>
            <w:tcW w:w="1547" w:type="dxa"/>
            <w:tcBorders>
              <w:top w:val="nil"/>
              <w:left w:val="nil"/>
              <w:bottom w:val="single" w:sz="8" w:space="0" w:color="auto"/>
              <w:right w:val="single" w:sz="8" w:space="0" w:color="auto"/>
            </w:tcBorders>
            <w:shd w:val="clear" w:color="auto" w:fill="auto"/>
            <w:noWrap/>
            <w:vAlign w:val="center"/>
            <w:hideMark/>
          </w:tcPr>
          <w:p w14:paraId="541F4722"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125.325,73</w:t>
            </w:r>
          </w:p>
        </w:tc>
      </w:tr>
      <w:tr w:rsidR="00600886" w:rsidRPr="008C627C" w14:paraId="3F61BA6D"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37C3CF5F"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545001 52420 1220 312200 Aldi baterako lan-kontratudunen ordainsariak</w:t>
            </w:r>
          </w:p>
        </w:tc>
        <w:tc>
          <w:tcPr>
            <w:tcW w:w="1547" w:type="dxa"/>
            <w:tcBorders>
              <w:top w:val="nil"/>
              <w:left w:val="nil"/>
              <w:bottom w:val="single" w:sz="8" w:space="0" w:color="auto"/>
              <w:right w:val="single" w:sz="8" w:space="0" w:color="auto"/>
            </w:tcBorders>
            <w:shd w:val="clear" w:color="auto" w:fill="auto"/>
            <w:noWrap/>
            <w:vAlign w:val="center"/>
            <w:hideMark/>
          </w:tcPr>
          <w:p w14:paraId="6DF732B8"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95.400,00</w:t>
            </w:r>
          </w:p>
        </w:tc>
      </w:tr>
      <w:tr w:rsidR="00600886" w:rsidRPr="008C627C" w14:paraId="5C3C55BC"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2339AB8F" w14:textId="17F583AE"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545001 52420 1704 312200 Guardiak egiteagatiko osagarria</w:t>
            </w:r>
          </w:p>
        </w:tc>
        <w:tc>
          <w:tcPr>
            <w:tcW w:w="1547" w:type="dxa"/>
            <w:tcBorders>
              <w:top w:val="nil"/>
              <w:left w:val="nil"/>
              <w:bottom w:val="single" w:sz="8" w:space="0" w:color="auto"/>
              <w:right w:val="single" w:sz="8" w:space="0" w:color="auto"/>
            </w:tcBorders>
            <w:shd w:val="clear" w:color="auto" w:fill="auto"/>
            <w:noWrap/>
            <w:vAlign w:val="center"/>
            <w:hideMark/>
          </w:tcPr>
          <w:p w14:paraId="76775D1F"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43.787,82</w:t>
            </w:r>
          </w:p>
        </w:tc>
      </w:tr>
      <w:tr w:rsidR="00600886" w:rsidRPr="008C627C" w14:paraId="27A462E7"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11B207A8"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545001 52420 1710 312200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75DC8342"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413.920,00</w:t>
            </w:r>
          </w:p>
        </w:tc>
      </w:tr>
      <w:tr w:rsidR="00600886" w:rsidRPr="008C627C" w14:paraId="0D3A7BB2"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68730F5B" w14:textId="1C2737F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546000 52500 1704 312300 Guardiak egiteagatiko osagarria</w:t>
            </w:r>
          </w:p>
        </w:tc>
        <w:tc>
          <w:tcPr>
            <w:tcW w:w="1547" w:type="dxa"/>
            <w:tcBorders>
              <w:top w:val="nil"/>
              <w:left w:val="nil"/>
              <w:bottom w:val="single" w:sz="8" w:space="0" w:color="auto"/>
              <w:right w:val="single" w:sz="8" w:space="0" w:color="auto"/>
            </w:tcBorders>
            <w:shd w:val="clear" w:color="auto" w:fill="auto"/>
            <w:noWrap/>
            <w:vAlign w:val="center"/>
            <w:hideMark/>
          </w:tcPr>
          <w:p w14:paraId="2121154A"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139.509,93</w:t>
            </w:r>
          </w:p>
        </w:tc>
      </w:tr>
      <w:tr w:rsidR="00600886" w:rsidRPr="008C627C" w14:paraId="58018099"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17A81DE7"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546000 52500 1710 312300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278FF046"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413.920,00</w:t>
            </w:r>
          </w:p>
        </w:tc>
      </w:tr>
      <w:tr w:rsidR="00600886" w:rsidRPr="008C627C" w14:paraId="5439E5E7"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4CAF5F3F"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546001 52520 1200 312200 Langile finkoen ordainsariak</w:t>
            </w:r>
          </w:p>
        </w:tc>
        <w:tc>
          <w:tcPr>
            <w:tcW w:w="1547" w:type="dxa"/>
            <w:tcBorders>
              <w:top w:val="nil"/>
              <w:left w:val="nil"/>
              <w:bottom w:val="single" w:sz="8" w:space="0" w:color="auto"/>
              <w:right w:val="single" w:sz="8" w:space="0" w:color="auto"/>
            </w:tcBorders>
            <w:shd w:val="clear" w:color="auto" w:fill="auto"/>
            <w:noWrap/>
            <w:vAlign w:val="center"/>
            <w:hideMark/>
          </w:tcPr>
          <w:p w14:paraId="7EE5E2C7"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84.856,83</w:t>
            </w:r>
          </w:p>
        </w:tc>
      </w:tr>
      <w:tr w:rsidR="00600886" w:rsidRPr="008C627C" w14:paraId="68C9EA20"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4C35A144" w14:textId="759682B5"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546001 52520 1704 312200 Guardiak egiteagatiko osagarria</w:t>
            </w:r>
          </w:p>
        </w:tc>
        <w:tc>
          <w:tcPr>
            <w:tcW w:w="1547" w:type="dxa"/>
            <w:tcBorders>
              <w:top w:val="nil"/>
              <w:left w:val="nil"/>
              <w:bottom w:val="single" w:sz="8" w:space="0" w:color="auto"/>
              <w:right w:val="single" w:sz="8" w:space="0" w:color="auto"/>
            </w:tcBorders>
            <w:shd w:val="clear" w:color="auto" w:fill="auto"/>
            <w:noWrap/>
            <w:vAlign w:val="center"/>
            <w:hideMark/>
          </w:tcPr>
          <w:p w14:paraId="40787915"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69.814,57</w:t>
            </w:r>
          </w:p>
        </w:tc>
      </w:tr>
      <w:tr w:rsidR="00600886" w:rsidRPr="008C627C" w14:paraId="00E185F7"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2527C31D"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546001 52520 2301 312202 Kalte-ordaina, betetzen zailak diren lanpostuetarako joan-etorrien gastuengatik</w:t>
            </w:r>
          </w:p>
        </w:tc>
        <w:tc>
          <w:tcPr>
            <w:tcW w:w="1547" w:type="dxa"/>
            <w:tcBorders>
              <w:top w:val="nil"/>
              <w:left w:val="nil"/>
              <w:bottom w:val="single" w:sz="8" w:space="0" w:color="auto"/>
              <w:right w:val="single" w:sz="8" w:space="0" w:color="auto"/>
            </w:tcBorders>
            <w:shd w:val="clear" w:color="auto" w:fill="auto"/>
            <w:noWrap/>
            <w:vAlign w:val="center"/>
            <w:hideMark/>
          </w:tcPr>
          <w:p w14:paraId="0175022F"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46.635,00</w:t>
            </w:r>
          </w:p>
        </w:tc>
      </w:tr>
      <w:tr w:rsidR="00600886" w:rsidRPr="008C627C" w14:paraId="490EF7D5"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66DD13BF"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546001 52520 1710 312200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4A4B6282"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405.960,00</w:t>
            </w:r>
          </w:p>
        </w:tc>
      </w:tr>
      <w:tr w:rsidR="00600886" w:rsidRPr="008C627C" w14:paraId="4720D6A8"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5E4681B7"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547001 52300 1200 312200 Langile finkoen ordainsariak</w:t>
            </w:r>
          </w:p>
        </w:tc>
        <w:tc>
          <w:tcPr>
            <w:tcW w:w="1547" w:type="dxa"/>
            <w:tcBorders>
              <w:top w:val="nil"/>
              <w:left w:val="nil"/>
              <w:bottom w:val="single" w:sz="8" w:space="0" w:color="auto"/>
              <w:right w:val="single" w:sz="8" w:space="0" w:color="auto"/>
            </w:tcBorders>
            <w:shd w:val="clear" w:color="auto" w:fill="auto"/>
            <w:noWrap/>
            <w:vAlign w:val="center"/>
            <w:hideMark/>
          </w:tcPr>
          <w:p w14:paraId="51EB336E"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712.467,18</w:t>
            </w:r>
          </w:p>
        </w:tc>
      </w:tr>
      <w:tr w:rsidR="00600886" w:rsidRPr="008C627C" w14:paraId="70D702F9"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51D7C0C0"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547001 52300 1220 312200 Aldi baterako lan-kontratudunen ordainsariak</w:t>
            </w:r>
          </w:p>
        </w:tc>
        <w:tc>
          <w:tcPr>
            <w:tcW w:w="1547" w:type="dxa"/>
            <w:tcBorders>
              <w:top w:val="nil"/>
              <w:left w:val="nil"/>
              <w:bottom w:val="single" w:sz="8" w:space="0" w:color="auto"/>
              <w:right w:val="single" w:sz="8" w:space="0" w:color="auto"/>
            </w:tcBorders>
            <w:shd w:val="clear" w:color="auto" w:fill="auto"/>
            <w:noWrap/>
            <w:vAlign w:val="center"/>
            <w:hideMark/>
          </w:tcPr>
          <w:p w14:paraId="5D0A57CC"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1.619.510,19</w:t>
            </w:r>
          </w:p>
        </w:tc>
      </w:tr>
      <w:tr w:rsidR="00600886" w:rsidRPr="008C627C" w14:paraId="774D7B78"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039A10CF" w14:textId="59A7DEA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547001 52300 1704 312200 Guardiak egiteagatiko osagarria</w:t>
            </w:r>
          </w:p>
        </w:tc>
        <w:tc>
          <w:tcPr>
            <w:tcW w:w="1547" w:type="dxa"/>
            <w:tcBorders>
              <w:top w:val="nil"/>
              <w:left w:val="nil"/>
              <w:bottom w:val="single" w:sz="8" w:space="0" w:color="auto"/>
              <w:right w:val="single" w:sz="8" w:space="0" w:color="auto"/>
            </w:tcBorders>
            <w:shd w:val="clear" w:color="auto" w:fill="auto"/>
            <w:noWrap/>
            <w:vAlign w:val="center"/>
            <w:hideMark/>
          </w:tcPr>
          <w:p w14:paraId="48837C89"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189.960,17</w:t>
            </w:r>
          </w:p>
        </w:tc>
      </w:tr>
      <w:tr w:rsidR="00600886" w:rsidRPr="008C627C" w14:paraId="320F151B"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7286936A"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547001 52300 1710 312200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2FD24E35"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2.009.620,97</w:t>
            </w:r>
          </w:p>
        </w:tc>
      </w:tr>
      <w:tr w:rsidR="00600886" w:rsidRPr="008C627C" w14:paraId="796980A0"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07A97C16"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547001 52300 2301 312202 Kalte-ordaina, betetzen zailak diren lanpostuetarako joan-etorrien gastuengatik</w:t>
            </w:r>
          </w:p>
        </w:tc>
        <w:tc>
          <w:tcPr>
            <w:tcW w:w="1547" w:type="dxa"/>
            <w:tcBorders>
              <w:top w:val="nil"/>
              <w:left w:val="nil"/>
              <w:bottom w:val="single" w:sz="8" w:space="0" w:color="auto"/>
              <w:right w:val="single" w:sz="8" w:space="0" w:color="auto"/>
            </w:tcBorders>
            <w:shd w:val="clear" w:color="auto" w:fill="auto"/>
            <w:noWrap/>
            <w:vAlign w:val="center"/>
            <w:hideMark/>
          </w:tcPr>
          <w:p w14:paraId="0C0A1237"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186.130,00</w:t>
            </w:r>
          </w:p>
        </w:tc>
      </w:tr>
      <w:tr w:rsidR="00600886" w:rsidRPr="008C627C" w14:paraId="3EB38ABF"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5F786040" w14:textId="0F0681AF"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547005 52300 1704 312200 Guardiak egiteagatiko osagarria</w:t>
            </w:r>
          </w:p>
        </w:tc>
        <w:tc>
          <w:tcPr>
            <w:tcW w:w="1547" w:type="dxa"/>
            <w:tcBorders>
              <w:top w:val="nil"/>
              <w:left w:val="nil"/>
              <w:bottom w:val="single" w:sz="8" w:space="0" w:color="auto"/>
              <w:right w:val="single" w:sz="8" w:space="0" w:color="auto"/>
            </w:tcBorders>
            <w:shd w:val="clear" w:color="auto" w:fill="auto"/>
            <w:noWrap/>
            <w:vAlign w:val="center"/>
            <w:hideMark/>
          </w:tcPr>
          <w:p w14:paraId="28116745"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3.207,40</w:t>
            </w:r>
          </w:p>
        </w:tc>
      </w:tr>
      <w:tr w:rsidR="00600886" w:rsidRPr="008C627C" w14:paraId="4E70C8B3"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08DEA293"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lastRenderedPageBreak/>
              <w:t>547005 52300 1710 312200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600F8511"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302.480,00</w:t>
            </w:r>
          </w:p>
        </w:tc>
      </w:tr>
      <w:tr w:rsidR="00600886" w:rsidRPr="008C627C" w14:paraId="0001DE89"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57D0479A"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520000 51200 1710 313900 Produktibitate osagarria</w:t>
            </w:r>
          </w:p>
        </w:tc>
        <w:tc>
          <w:tcPr>
            <w:tcW w:w="1547" w:type="dxa"/>
            <w:tcBorders>
              <w:top w:val="nil"/>
              <w:left w:val="nil"/>
              <w:bottom w:val="single" w:sz="8" w:space="0" w:color="auto"/>
              <w:right w:val="single" w:sz="8" w:space="0" w:color="auto"/>
            </w:tcBorders>
            <w:shd w:val="clear" w:color="auto" w:fill="auto"/>
            <w:noWrap/>
            <w:vAlign w:val="center"/>
            <w:hideMark/>
          </w:tcPr>
          <w:p w14:paraId="6C57D135"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181.480,00</w:t>
            </w:r>
          </w:p>
        </w:tc>
      </w:tr>
      <w:tr w:rsidR="00600886" w:rsidRPr="008C627C" w14:paraId="25BD59F4"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62C2E00B"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547001-52300-1704-313900  Guardiak egiteagatiko osagarria</w:t>
            </w:r>
          </w:p>
        </w:tc>
        <w:tc>
          <w:tcPr>
            <w:tcW w:w="1547" w:type="dxa"/>
            <w:tcBorders>
              <w:top w:val="nil"/>
              <w:left w:val="nil"/>
              <w:bottom w:val="single" w:sz="8" w:space="0" w:color="auto"/>
              <w:right w:val="single" w:sz="8" w:space="0" w:color="auto"/>
            </w:tcBorders>
            <w:shd w:val="clear" w:color="auto" w:fill="auto"/>
            <w:noWrap/>
            <w:vAlign w:val="center"/>
            <w:hideMark/>
          </w:tcPr>
          <w:p w14:paraId="691A01A1"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13.818,00</w:t>
            </w:r>
          </w:p>
        </w:tc>
      </w:tr>
      <w:tr w:rsidR="00600886" w:rsidRPr="008C627C" w14:paraId="5CC48756"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6C309EA9" w14:textId="77777777" w:rsidR="00600886" w:rsidRPr="008C627C" w:rsidRDefault="003D3FFC" w:rsidP="00EE58BD">
            <w:pPr>
              <w:spacing w:before="40" w:after="160" w:line="240" w:lineRule="auto"/>
              <w:ind w:firstLine="0"/>
              <w:rPr>
                <w:rFonts w:ascii="Arial" w:hAnsi="Arial" w:cs="Arial"/>
                <w:color w:val="000000"/>
                <w:sz w:val="22"/>
                <w:szCs w:val="22"/>
              </w:rPr>
            </w:pPr>
            <w:r w:rsidRPr="008C627C">
              <w:rPr>
                <w:rFonts w:ascii="Arial" w:hAnsi="Arial" w:cs="Arial"/>
                <w:color w:val="000000"/>
                <w:sz w:val="22"/>
                <w:szCs w:val="22"/>
              </w:rPr>
              <w:t>920006 93300 4809 231510 Laguntza ekonomikoak beren kargura 0tik 3 urtera bitarteko adingabeak dituzten familientzat</w:t>
            </w:r>
          </w:p>
        </w:tc>
        <w:tc>
          <w:tcPr>
            <w:tcW w:w="1547" w:type="dxa"/>
            <w:tcBorders>
              <w:top w:val="nil"/>
              <w:left w:val="nil"/>
              <w:bottom w:val="single" w:sz="8" w:space="0" w:color="auto"/>
              <w:right w:val="single" w:sz="8" w:space="0" w:color="auto"/>
            </w:tcBorders>
            <w:shd w:val="clear" w:color="auto" w:fill="auto"/>
            <w:noWrap/>
            <w:vAlign w:val="center"/>
            <w:hideMark/>
          </w:tcPr>
          <w:p w14:paraId="20439C01" w14:textId="77777777" w:rsidR="00600886" w:rsidRPr="008C627C" w:rsidRDefault="003D3FFC" w:rsidP="00EE58BD">
            <w:pPr>
              <w:spacing w:before="40" w:after="160" w:line="240" w:lineRule="auto"/>
              <w:ind w:firstLine="0"/>
              <w:jc w:val="right"/>
              <w:rPr>
                <w:rFonts w:ascii="Arial" w:hAnsi="Arial" w:cs="Arial"/>
                <w:color w:val="000000"/>
                <w:sz w:val="22"/>
                <w:szCs w:val="22"/>
              </w:rPr>
            </w:pPr>
            <w:r w:rsidRPr="008C627C">
              <w:rPr>
                <w:rFonts w:ascii="Arial" w:hAnsi="Arial" w:cs="Arial"/>
                <w:color w:val="000000"/>
                <w:sz w:val="22"/>
                <w:szCs w:val="22"/>
              </w:rPr>
              <w:t>10.000.000,00</w:t>
            </w:r>
          </w:p>
        </w:tc>
      </w:tr>
      <w:tr w:rsidR="00600886" w:rsidRPr="008C627C" w14:paraId="54BF14EE" w14:textId="77777777" w:rsidTr="00EE58BD">
        <w:trPr>
          <w:trHeight w:val="301"/>
        </w:trPr>
        <w:tc>
          <w:tcPr>
            <w:tcW w:w="6369" w:type="dxa"/>
            <w:tcBorders>
              <w:top w:val="nil"/>
              <w:left w:val="single" w:sz="8" w:space="0" w:color="auto"/>
              <w:bottom w:val="single" w:sz="8" w:space="0" w:color="auto"/>
              <w:right w:val="single" w:sz="8" w:space="0" w:color="auto"/>
            </w:tcBorders>
            <w:shd w:val="clear" w:color="auto" w:fill="auto"/>
            <w:noWrap/>
            <w:vAlign w:val="center"/>
            <w:hideMark/>
          </w:tcPr>
          <w:p w14:paraId="7A88D830" w14:textId="77777777" w:rsidR="00600886" w:rsidRPr="008C627C" w:rsidRDefault="003D3FFC" w:rsidP="00EE58BD">
            <w:pPr>
              <w:spacing w:before="40" w:after="160" w:line="240" w:lineRule="auto"/>
              <w:ind w:firstLine="0"/>
              <w:rPr>
                <w:rFonts w:ascii="Arial" w:hAnsi="Arial" w:cs="Arial"/>
                <w:b/>
                <w:bCs/>
                <w:color w:val="000000"/>
                <w:sz w:val="22"/>
                <w:szCs w:val="22"/>
              </w:rPr>
            </w:pPr>
            <w:r w:rsidRPr="008C627C">
              <w:rPr>
                <w:rFonts w:ascii="Arial" w:hAnsi="Arial" w:cs="Arial"/>
                <w:b/>
                <w:color w:val="000000"/>
                <w:sz w:val="22"/>
                <w:szCs w:val="22"/>
              </w:rPr>
              <w:t>GUZTIRA:</w:t>
            </w:r>
          </w:p>
        </w:tc>
        <w:tc>
          <w:tcPr>
            <w:tcW w:w="1547" w:type="dxa"/>
            <w:tcBorders>
              <w:top w:val="nil"/>
              <w:left w:val="nil"/>
              <w:bottom w:val="single" w:sz="8" w:space="0" w:color="auto"/>
              <w:right w:val="single" w:sz="8" w:space="0" w:color="auto"/>
            </w:tcBorders>
            <w:shd w:val="clear" w:color="auto" w:fill="auto"/>
            <w:noWrap/>
            <w:vAlign w:val="center"/>
            <w:hideMark/>
          </w:tcPr>
          <w:p w14:paraId="6EDAA37E" w14:textId="77777777" w:rsidR="00600886" w:rsidRPr="008C627C" w:rsidRDefault="003D3FFC" w:rsidP="00EE58BD">
            <w:pPr>
              <w:spacing w:before="40" w:after="160" w:line="240" w:lineRule="auto"/>
              <w:ind w:firstLine="0"/>
              <w:jc w:val="right"/>
              <w:rPr>
                <w:rFonts w:ascii="Arial" w:hAnsi="Arial" w:cs="Arial"/>
                <w:b/>
                <w:bCs/>
                <w:color w:val="000000"/>
                <w:sz w:val="22"/>
                <w:szCs w:val="22"/>
              </w:rPr>
            </w:pPr>
            <w:r w:rsidRPr="008C627C">
              <w:rPr>
                <w:rFonts w:ascii="Arial" w:hAnsi="Arial" w:cs="Arial"/>
                <w:b/>
                <w:color w:val="000000"/>
                <w:sz w:val="22"/>
                <w:szCs w:val="22"/>
              </w:rPr>
              <w:t>23.995.298,20</w:t>
            </w:r>
          </w:p>
        </w:tc>
      </w:tr>
    </w:tbl>
    <w:p w14:paraId="1827B9A6" w14:textId="77777777" w:rsidR="00E81914" w:rsidRPr="008C627C" w:rsidRDefault="003D3FFC" w:rsidP="00EE58BD">
      <w:pPr>
        <w:spacing w:before="160" w:after="160" w:line="259" w:lineRule="auto"/>
        <w:rPr>
          <w:rFonts w:ascii="Arial" w:hAnsi="Arial" w:cs="Arial"/>
          <w:sz w:val="22"/>
          <w:szCs w:val="22"/>
        </w:rPr>
      </w:pPr>
      <w:r w:rsidRPr="008C627C">
        <w:rPr>
          <w:rFonts w:ascii="Arial" w:hAnsi="Arial" w:cs="Arial"/>
          <w:sz w:val="22"/>
          <w:szCs w:val="22"/>
        </w:rPr>
        <w:t>2. artikulua. Kreditu-gehigarriaren finantzaketa.</w:t>
      </w:r>
    </w:p>
    <w:p w14:paraId="5FFD9495" w14:textId="77777777" w:rsidR="00E81914" w:rsidRPr="008C627C" w:rsidRDefault="003D3FFC" w:rsidP="008C627C">
      <w:pPr>
        <w:spacing w:after="160" w:line="259" w:lineRule="auto"/>
        <w:rPr>
          <w:rFonts w:ascii="Arial" w:hAnsi="Arial" w:cs="Arial"/>
          <w:sz w:val="22"/>
          <w:szCs w:val="22"/>
        </w:rPr>
      </w:pPr>
      <w:r w:rsidRPr="008C627C">
        <w:rPr>
          <w:rFonts w:ascii="Arial" w:hAnsi="Arial" w:cs="Arial"/>
          <w:sz w:val="22"/>
          <w:szCs w:val="22"/>
        </w:rPr>
        <w:t>23.995.298,20 euroko zenbatekoa egiten duen kreditu-gehigarria “Gastu orokorren diruzaintza gerakina” izeneko 113002-12000-8700-000002 partidaren kargura finantzatuko da”.</w:t>
      </w:r>
    </w:p>
    <w:p w14:paraId="31A27625" w14:textId="77777777" w:rsidR="00E81914" w:rsidRPr="008C627C" w:rsidRDefault="003D3FFC" w:rsidP="008C627C">
      <w:pPr>
        <w:spacing w:after="160" w:line="259" w:lineRule="auto"/>
        <w:rPr>
          <w:rFonts w:ascii="Arial" w:hAnsi="Arial" w:cs="Arial"/>
          <w:sz w:val="22"/>
          <w:szCs w:val="22"/>
        </w:rPr>
      </w:pPr>
      <w:r w:rsidRPr="008C627C">
        <w:rPr>
          <w:rFonts w:ascii="Arial" w:hAnsi="Arial" w:cs="Arial"/>
          <w:sz w:val="22"/>
          <w:szCs w:val="22"/>
        </w:rPr>
        <w:t>Azken xedapen bakarra. Indarra hartzea.</w:t>
      </w:r>
    </w:p>
    <w:p w14:paraId="1CADD2A5" w14:textId="0C51EA1E" w:rsidR="00E81914" w:rsidRPr="008C627C" w:rsidRDefault="003D3FFC" w:rsidP="008C627C">
      <w:pPr>
        <w:spacing w:after="160" w:line="259" w:lineRule="auto"/>
        <w:rPr>
          <w:rFonts w:ascii="Arial" w:hAnsi="Arial" w:cs="Arial"/>
          <w:sz w:val="22"/>
          <w:szCs w:val="22"/>
        </w:rPr>
      </w:pPr>
      <w:r w:rsidRPr="008C627C">
        <w:rPr>
          <w:rFonts w:ascii="Arial" w:hAnsi="Arial" w:cs="Arial"/>
          <w:sz w:val="22"/>
          <w:szCs w:val="22"/>
        </w:rPr>
        <w:t>Foru lege-dekretu honek Nafarroako Aldizkari Ofizialean argitaratu eta biharamunean hartuko du indarra.</w:t>
      </w:r>
    </w:p>
    <w:p w14:paraId="3BB6E842" w14:textId="77777777" w:rsidR="000A07CA" w:rsidRPr="008C627C" w:rsidRDefault="000A07CA" w:rsidP="008C627C">
      <w:pPr>
        <w:spacing w:after="160" w:line="259" w:lineRule="auto"/>
        <w:ind w:firstLine="0"/>
        <w:rPr>
          <w:rFonts w:ascii="Arial" w:hAnsi="Arial" w:cs="Arial"/>
          <w:sz w:val="22"/>
          <w:szCs w:val="22"/>
          <w:lang w:val="es-ES_tradnl"/>
        </w:rPr>
      </w:pPr>
    </w:p>
    <w:sectPr w:rsidR="000A07CA" w:rsidRPr="008C627C" w:rsidSect="00EE58BD">
      <w:footerReference w:type="even" r:id="rId11"/>
      <w:footerReference w:type="default" r:id="rId12"/>
      <w:headerReference w:type="first" r:id="rId13"/>
      <w:type w:val="oddPage"/>
      <w:pgSz w:w="11907" w:h="16840"/>
      <w:pgMar w:top="2977" w:right="1134" w:bottom="1560" w:left="272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810A" w14:textId="77777777" w:rsidR="00E74A3B" w:rsidRDefault="00E74A3B">
      <w:r>
        <w:separator/>
      </w:r>
    </w:p>
  </w:endnote>
  <w:endnote w:type="continuationSeparator" w:id="0">
    <w:p w14:paraId="49235056" w14:textId="77777777" w:rsidR="00E74A3B" w:rsidRDefault="00E7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71F4" w14:textId="77777777" w:rsidR="00F3452F" w:rsidRDefault="00F3452F">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14:paraId="32327070" w14:textId="77777777" w:rsidR="00F3452F" w:rsidRDefault="00F3452F">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49BB" w14:textId="77777777" w:rsidR="00F3452F" w:rsidRDefault="00F3452F">
    <w:pPr>
      <w:pStyle w:val="Piedepgina"/>
      <w:framePr w:wrap="around" w:vAnchor="text" w:hAnchor="margin" w:xAlign="outside" w:y="1"/>
      <w:rPr>
        <w:rStyle w:val="Nmerodepgina"/>
      </w:rPr>
    </w:pPr>
  </w:p>
  <w:p w14:paraId="46DD35F1" w14:textId="77777777" w:rsidR="00F3452F" w:rsidRDefault="00F3452F">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898C" w14:textId="77777777" w:rsidR="00E74A3B" w:rsidRDefault="00E74A3B">
      <w:r>
        <w:separator/>
      </w:r>
    </w:p>
  </w:footnote>
  <w:footnote w:type="continuationSeparator" w:id="0">
    <w:p w14:paraId="2170BF99" w14:textId="77777777" w:rsidR="00E74A3B" w:rsidRDefault="00E74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5DA4" w14:textId="4F84B9BA" w:rsidR="00EE58BD" w:rsidRDefault="00EE58BD">
    <w:pPr>
      <w:pStyle w:val="Encabezado"/>
    </w:pPr>
    <w:r>
      <w:rPr>
        <w:noProof/>
      </w:rPr>
      <w:drawing>
        <wp:anchor distT="0" distB="0" distL="114300" distR="114300" simplePos="0" relativeHeight="251659264" behindDoc="0" locked="0" layoutInCell="1" allowOverlap="1" wp14:anchorId="31D5FE12" wp14:editId="35B58E28">
          <wp:simplePos x="0" y="0"/>
          <wp:positionH relativeFrom="margin">
            <wp:posOffset>-1028700</wp:posOffset>
          </wp:positionH>
          <wp:positionV relativeFrom="margin">
            <wp:posOffset>-1328420</wp:posOffset>
          </wp:positionV>
          <wp:extent cx="1590675" cy="1228725"/>
          <wp:effectExtent l="0" t="0" r="9525" b="9525"/>
          <wp:wrapSquare wrapText="bothSides"/>
          <wp:docPr id="210365149" name="Imagen 210365149"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25847" name="Imagen 1386425847" descr="Imagen que contiene tabl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2287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1"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num w:numId="1" w16cid:durableId="1065299743">
    <w:abstractNumId w:val="0"/>
  </w:num>
  <w:num w:numId="2" w16cid:durableId="192882909">
    <w:abstractNumId w:val="1"/>
  </w:num>
  <w:num w:numId="3" w16cid:durableId="195621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55"/>
    <w:rsid w:val="00031E5C"/>
    <w:rsid w:val="000334E2"/>
    <w:rsid w:val="0008429F"/>
    <w:rsid w:val="000A07CA"/>
    <w:rsid w:val="000B3964"/>
    <w:rsid w:val="000B5767"/>
    <w:rsid w:val="000F28AE"/>
    <w:rsid w:val="001300C9"/>
    <w:rsid w:val="001618B1"/>
    <w:rsid w:val="00167004"/>
    <w:rsid w:val="00185EE8"/>
    <w:rsid w:val="001E6489"/>
    <w:rsid w:val="001E782C"/>
    <w:rsid w:val="00234953"/>
    <w:rsid w:val="00271183"/>
    <w:rsid w:val="00274244"/>
    <w:rsid w:val="002863F9"/>
    <w:rsid w:val="003308D2"/>
    <w:rsid w:val="00341FDF"/>
    <w:rsid w:val="00394284"/>
    <w:rsid w:val="003D3FFC"/>
    <w:rsid w:val="003F418E"/>
    <w:rsid w:val="00427D26"/>
    <w:rsid w:val="00432316"/>
    <w:rsid w:val="004704E5"/>
    <w:rsid w:val="004F37E3"/>
    <w:rsid w:val="004F57E9"/>
    <w:rsid w:val="005567A8"/>
    <w:rsid w:val="005D4140"/>
    <w:rsid w:val="00605D70"/>
    <w:rsid w:val="00632AA4"/>
    <w:rsid w:val="00663B94"/>
    <w:rsid w:val="00685B81"/>
    <w:rsid w:val="006A24B2"/>
    <w:rsid w:val="006A5377"/>
    <w:rsid w:val="006C7DB1"/>
    <w:rsid w:val="00702123"/>
    <w:rsid w:val="0070598B"/>
    <w:rsid w:val="00716E3D"/>
    <w:rsid w:val="00744ED7"/>
    <w:rsid w:val="00753650"/>
    <w:rsid w:val="00790E64"/>
    <w:rsid w:val="007D7349"/>
    <w:rsid w:val="007E24E0"/>
    <w:rsid w:val="007F6FEE"/>
    <w:rsid w:val="00802597"/>
    <w:rsid w:val="00822BB8"/>
    <w:rsid w:val="00835124"/>
    <w:rsid w:val="008C627C"/>
    <w:rsid w:val="008C6AE7"/>
    <w:rsid w:val="008D22CE"/>
    <w:rsid w:val="008D62A2"/>
    <w:rsid w:val="008E5450"/>
    <w:rsid w:val="008F63EF"/>
    <w:rsid w:val="00936EC9"/>
    <w:rsid w:val="00937001"/>
    <w:rsid w:val="00980252"/>
    <w:rsid w:val="0098232D"/>
    <w:rsid w:val="009954E6"/>
    <w:rsid w:val="009A2156"/>
    <w:rsid w:val="009B1D06"/>
    <w:rsid w:val="009B4B27"/>
    <w:rsid w:val="009D6133"/>
    <w:rsid w:val="00A65C8A"/>
    <w:rsid w:val="00A77E61"/>
    <w:rsid w:val="00A869A0"/>
    <w:rsid w:val="00A97C8E"/>
    <w:rsid w:val="00AB7E7E"/>
    <w:rsid w:val="00AC6D61"/>
    <w:rsid w:val="00AD3ACD"/>
    <w:rsid w:val="00AD7D43"/>
    <w:rsid w:val="00B42E2E"/>
    <w:rsid w:val="00B433AD"/>
    <w:rsid w:val="00B67620"/>
    <w:rsid w:val="00B93164"/>
    <w:rsid w:val="00BB4F61"/>
    <w:rsid w:val="00BE1CA3"/>
    <w:rsid w:val="00BF5501"/>
    <w:rsid w:val="00C05919"/>
    <w:rsid w:val="00C273D2"/>
    <w:rsid w:val="00CC0B30"/>
    <w:rsid w:val="00CF4538"/>
    <w:rsid w:val="00D82355"/>
    <w:rsid w:val="00D84266"/>
    <w:rsid w:val="00D91FDD"/>
    <w:rsid w:val="00DC1E2D"/>
    <w:rsid w:val="00DF795A"/>
    <w:rsid w:val="00E04FE8"/>
    <w:rsid w:val="00E24C7B"/>
    <w:rsid w:val="00E3750A"/>
    <w:rsid w:val="00E54B07"/>
    <w:rsid w:val="00E61B39"/>
    <w:rsid w:val="00E74A3B"/>
    <w:rsid w:val="00E81914"/>
    <w:rsid w:val="00EB21AC"/>
    <w:rsid w:val="00EE58BD"/>
    <w:rsid w:val="00EE7A58"/>
    <w:rsid w:val="00F26F7B"/>
    <w:rsid w:val="00F3452F"/>
    <w:rsid w:val="00F6407D"/>
    <w:rsid w:val="00F84B00"/>
    <w:rsid w:val="00FD0EB5"/>
    <w:rsid w:val="00FE55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36379A"/>
  <w15:chartTrackingRefBased/>
  <w15:docId w15:val="{12CA0BE1-3942-45AC-952D-3E36D3D5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sz w:val="24"/>
        <w:lang w:val="eu-ES" w:eastAsia="es-ES" w:bidi="ar-SA"/>
      </w:rPr>
    </w:rPrDefault>
    <w:pPrDefault>
      <w:pPr>
        <w:spacing w:line="380" w:lineRule="atLeast"/>
        <w:ind w:firstLine="70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3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pPr>
    <w:rPr>
      <w:noProof/>
    </w:rPr>
  </w:style>
  <w:style w:type="paragraph" w:customStyle="1" w:styleId="Estilofirma">
    <w:name w:val="Estilofirma"/>
    <w:basedOn w:val="Normal"/>
    <w:pPr>
      <w:tabs>
        <w:tab w:val="left" w:pos="709"/>
        <w:tab w:val="center" w:pos="3856"/>
      </w:tabs>
    </w:pPr>
    <w:rPr>
      <w:rFonts w:ascii="Courier" w:hAnsi="Courier"/>
    </w:rPr>
  </w:style>
  <w:style w:type="paragraph" w:customStyle="1" w:styleId="EstiloActas">
    <w:name w:val="EstiloActas"/>
    <w:pPr>
      <w:spacing w:line="360" w:lineRule="auto"/>
      <w:ind w:firstLine="851"/>
    </w:pPr>
    <w:rPr>
      <w:rFonts w:ascii="Arial" w:hAnsi="Arial"/>
      <w:noProof/>
      <w:sz w:val="22"/>
    </w:rPr>
  </w:style>
  <w:style w:type="paragraph" w:customStyle="1" w:styleId="Estiloindice">
    <w:name w:val="Estiloindice"/>
    <w:pPr>
      <w:tabs>
        <w:tab w:val="left" w:pos="567"/>
      </w:tabs>
      <w:spacing w:line="360" w:lineRule="auto"/>
      <w:ind w:left="1418" w:hanging="1418"/>
    </w:pPr>
    <w:rPr>
      <w:noProof/>
    </w:rPr>
  </w:style>
  <w:style w:type="paragraph" w:customStyle="1" w:styleId="Acuerdos">
    <w:name w:val="Acuerdos"/>
    <w:basedOn w:val="Normal"/>
    <w:pPr>
      <w:tabs>
        <w:tab w:val="left" w:pos="709"/>
        <w:tab w:val="center" w:pos="3856"/>
      </w:tabs>
    </w:pPr>
  </w:style>
  <w:style w:type="paragraph" w:customStyle="1" w:styleId="Acuerdosvietas">
    <w:name w:val="Acuerdosviñetas"/>
    <w:basedOn w:val="Acuerdos"/>
    <w:pPr>
      <w:numPr>
        <w:numId w:val="3"/>
      </w:numPr>
      <w:tabs>
        <w:tab w:val="clear" w:pos="360"/>
        <w:tab w:val="left" w:pos="1134"/>
      </w:tabs>
      <w:ind w:left="0" w:firstLine="709"/>
    </w:pPr>
  </w:style>
  <w:style w:type="paragraph" w:customStyle="1" w:styleId="trasladosvietas">
    <w:name w:val="trasladosviñetas"/>
    <w:basedOn w:val="traslados"/>
    <w:pPr>
      <w:numPr>
        <w:numId w:val="2"/>
      </w:numPr>
      <w:tabs>
        <w:tab w:val="clear" w:pos="360"/>
        <w:tab w:val="left" w:pos="1134"/>
      </w:tabs>
      <w:ind w:firstLine="709"/>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rsid w:val="008D62A2"/>
    <w:pPr>
      <w:tabs>
        <w:tab w:val="center" w:pos="4252"/>
        <w:tab w:val="right" w:pos="8504"/>
      </w:tabs>
    </w:pPr>
  </w:style>
  <w:style w:type="character" w:customStyle="1" w:styleId="PiedepginaCar">
    <w:name w:val="Pie de página Car"/>
    <w:basedOn w:val="Fuentedeprrafopredeter"/>
    <w:link w:val="Piedepgina"/>
    <w:locked/>
    <w:rsid w:val="00D82355"/>
    <w:rPr>
      <w:rFonts w:ascii="Courier New" w:hAnsi="Courier New"/>
      <w:sz w:val="24"/>
      <w:szCs w:val="22"/>
      <w:lang w:val="eu-ES" w:eastAsia="es-ES" w:bidi="ar-SA"/>
    </w:rPr>
  </w:style>
  <w:style w:type="character" w:customStyle="1" w:styleId="EncabezadoCar">
    <w:name w:val="Encabezado Car"/>
    <w:link w:val="Encabezado"/>
    <w:rsid w:val="00D82355"/>
    <w:rPr>
      <w:rFonts w:ascii="Courier New" w:hAnsi="Courier New"/>
      <w:sz w:val="24"/>
      <w:szCs w:val="22"/>
      <w:lang w:val="eu-ES" w:eastAsia="es-ES" w:bidi="ar-SA"/>
    </w:rPr>
  </w:style>
  <w:style w:type="paragraph" w:customStyle="1" w:styleId="FECHA-12">
    <w:name w:val="FECHA-12"/>
    <w:basedOn w:val="Normal"/>
    <w:next w:val="Normal"/>
    <w:rsid w:val="008C627C"/>
    <w:pPr>
      <w:overflowPunct w:val="0"/>
      <w:autoSpaceDE w:val="0"/>
      <w:autoSpaceDN w:val="0"/>
      <w:adjustRightInd w:val="0"/>
      <w:spacing w:line="240" w:lineRule="auto"/>
      <w:ind w:firstLine="0"/>
      <w:jc w:val="center"/>
      <w:textAlignment w:val="baseline"/>
    </w:pPr>
    <w:rPr>
      <w:rFonts w:ascii="Arial" w:hAnsi="Arial" w:cs="Times New Roman"/>
    </w:rPr>
  </w:style>
  <w:style w:type="paragraph" w:customStyle="1" w:styleId="OFICIO-12">
    <w:name w:val="OFICIO-12"/>
    <w:basedOn w:val="Normal"/>
    <w:rsid w:val="008C627C"/>
    <w:pPr>
      <w:overflowPunct w:val="0"/>
      <w:autoSpaceDE w:val="0"/>
      <w:autoSpaceDN w:val="0"/>
      <w:adjustRightInd w:val="0"/>
      <w:spacing w:before="120" w:after="120" w:line="240" w:lineRule="auto"/>
      <w:ind w:firstLine="425"/>
      <w:textAlignment w:val="baseline"/>
    </w:pPr>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21BC6-45FB-4F71-AA2E-3AE63E19B0F1}">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F634911-ACC1-4FA4-A92F-B81C27932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A8A81C-9F06-4867-B370-7321693C033F}">
  <ds:schemaRefs>
    <ds:schemaRef ds:uri="http://schemas.microsoft.com/sharepoint/v3/contenttype/forms"/>
  </ds:schemaRefs>
</ds:datastoreItem>
</file>

<file path=customXml/itemProps4.xml><?xml version="1.0" encoding="utf-8"?>
<ds:datastoreItem xmlns:ds="http://schemas.openxmlformats.org/officeDocument/2006/customXml" ds:itemID="{A8D92BD1-6FA2-44DA-A31C-82A20FDD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803</Words>
  <Characters>6230</Characters>
  <Application>Microsoft Office Word</Application>
  <DocSecurity>0</DocSecurity>
  <Lines>1038</Lines>
  <Paragraphs>195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Martin Cestao, Nerea</cp:lastModifiedBy>
  <cp:revision>4</cp:revision>
  <dcterms:created xsi:type="dcterms:W3CDTF">2023-05-02T05:50:00Z</dcterms:created>
  <dcterms:modified xsi:type="dcterms:W3CDTF">2023-05-11T07:46:00Z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0x0101008182A822BAC69C4794A7989A5CB8017E</vt:lpwstr>
  </property>
</Properties>
</file>