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7E3F" w14:textId="77777777" w:rsidR="00826F66" w:rsidRDefault="00645AFB" w:rsidP="00826F66">
      <w:pPr>
        <w:pStyle w:val="Default"/>
        <w:spacing w:after="200"/>
        <w:rPr>
          <w:sz w:val="28"/>
          <w:szCs w:val="22"/>
          <w:rFonts w:ascii="Calibri" w:hAnsi="Calibri" w:cs="Calibri"/>
        </w:rPr>
      </w:pPr>
      <w:r>
        <w:rPr>
          <w:sz w:val="28"/>
          <w:rFonts w:ascii="Calibri" w:hAnsi="Calibri"/>
        </w:rPr>
        <w:t xml:space="preserve">Navarra Suma talde parlamentarioari atxikiriko foru parlamentari Jorge Esparza Garrido jaunak idatzizko galdera egin du (PES-00048), non honako informazio hau eskatzen baitio Nafarroako Gobernuari:</w:t>
      </w:r>
    </w:p>
    <w:p w14:paraId="77B5070F" w14:textId="77777777" w:rsidR="00826F66" w:rsidRPr="00826F66" w:rsidRDefault="00477F38" w:rsidP="00826F66">
      <w:pPr>
        <w:pStyle w:val="Default"/>
        <w:spacing w:after="200"/>
        <w:rPr>
          <w:b/>
          <w:sz w:val="28"/>
          <w:szCs w:val="22"/>
          <w:rFonts w:ascii="Calibri" w:hAnsi="Calibri" w:cs="Calibri"/>
        </w:rPr>
      </w:pPr>
      <w:r>
        <w:rPr>
          <w:b/>
          <w:sz w:val="28"/>
          <w:rFonts w:ascii="Calibri" w:hAnsi="Calibri"/>
        </w:rPr>
        <w:t xml:space="preserve">Irisgarritasunari buruzko 2021eko Plan Operatiboak lehen aldaketa bat xedatzen zuen Lehendakaritzako eta Gobernu Irekiko Zuzendaritza Nagusiarentzat; hain zuzen, hauxe zen hirugarren neurria:</w:t>
      </w:r>
      <w:r>
        <w:rPr>
          <w:b/>
          <w:sz w:val="28"/>
          <w:rFonts w:ascii="Calibri" w:hAnsi="Calibri"/>
        </w:rPr>
        <w:t xml:space="preserve"> </w:t>
      </w:r>
      <w:r>
        <w:rPr>
          <w:b/>
          <w:sz w:val="28"/>
          <w:rFonts w:ascii="Calibri" w:hAnsi="Calibri"/>
        </w:rPr>
        <w:t xml:space="preserve">Egun dauden webguneak egokitzea irisgarritasun-araudia betetze aldera.</w:t>
      </w:r>
    </w:p>
    <w:p w14:paraId="76DCBD63" w14:textId="77777777" w:rsidR="00826F66" w:rsidRPr="00826F66" w:rsidRDefault="00477F38" w:rsidP="00826F66">
      <w:pPr>
        <w:pStyle w:val="Default"/>
        <w:spacing w:after="200"/>
        <w:rPr>
          <w:b/>
          <w:sz w:val="28"/>
          <w:szCs w:val="22"/>
          <w:rFonts w:ascii="Calibri" w:hAnsi="Calibri" w:cs="Calibri"/>
        </w:rPr>
      </w:pPr>
      <w:r>
        <w:rPr>
          <w:b/>
          <w:sz w:val="28"/>
          <w:rFonts w:ascii="Calibri" w:hAnsi="Calibri"/>
        </w:rPr>
        <w:t xml:space="preserve">Planaren ebaluazioan, zergatik eman da neurri hori “amaitutzat” kontuan hartuta txostenaren 42. orrialdean berariaz jasotzen dela “webguneen azterketa 2021ean abiatu zela, baina abenduaren 31n oraindik ez zela amaitu” eta neurriaren aurrekontu-betetzea aurreikusitakoaren % 36 baino ez dela eta neurriaren adierazle guztiak hutsik agertzen direla?</w:t>
      </w:r>
    </w:p>
    <w:p w14:paraId="0D5A7162"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Zure eskaerari dagokionez, “Egun dauden webguneak egokitzea irisgarritasun-araudia betetze aldera” izeneko neurria dela-eta, 2021eko abenduaren 31n jarduketa hauek eginak ziren neurri horrekin lotuta:</w:t>
      </w:r>
    </w:p>
    <w:p w14:paraId="61BC7E29"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Planaren ondorioz koordinazio-dinamika sortu zen Lehendakaritzako eta Gobernu Irekiko Zuzendaritza Nagusiko Irisgarritasuneko Unitate Arduradunaren eta Telekomunikazioetako eta Digitalizazioko Zuzendaritza Nagusiko unitate teknikoaren artean, hamabostean behingo lan eta koordinazio bileretan gauzatu dena.</w:t>
      </w:r>
    </w:p>
    <w:p w14:paraId="1740E8A1"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Lantaldearen helburua da lerrokatuta egotea Web Irisgarritasunaren Behatokiarekin. Erakunde horrek Nafarroako Gobernua aztertzen eta ebaluatzen du, bere kabuz hautatzen dituen zenbait hazi-orriren gainean. </w:t>
      </w:r>
    </w:p>
    <w:p w14:paraId="30291406"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Hasiera batean apustu egin zen Nafarroako Gobernuak dituen web orri guztietatik hain zuzen ere “hazi” orriak lehenestea, hau da, Web Irisgarritasunaren Behatokiak ebaluatzen dituenak. </w:t>
      </w:r>
      <w:r>
        <w:rPr>
          <w:sz w:val="28"/>
          <w:rFonts w:ascii="Calibri" w:hAnsi="Calibri"/>
        </w:rPr>
        <w:t xml:space="preserve"> </w:t>
      </w:r>
      <w:r>
        <w:rPr>
          <w:sz w:val="28"/>
          <w:rFonts w:ascii="Calibri" w:hAnsi="Calibri"/>
        </w:rPr>
        <w:t xml:space="preserve">Hazi-orri horiek dira enplegukoa, hezkuntzakoa, Foru Ogasunarena, navarra.es, osasunekoa, egoitza elektronikoa, Gobernu Irekia, Nafarroako Aldizkari Ofiziala, justiziakoa eta turismokoa.</w:t>
      </w:r>
    </w:p>
    <w:p w14:paraId="32F1F21D"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Hazi-orri horiekin loturik, Telekomunikazioetako eta Eraldaketa Digitaleko Zuzendaritza Nagusiak irisgarritasun baldintzen barne-ebaluazio erraztua egin zuen hazi-orri horietako lauren egoera ezagutzeko (turismoa, justizia, Nafarroako Aldizkari Ofiziala eta Gobernu Irekia).</w:t>
      </w:r>
    </w:p>
    <w:p w14:paraId="06E20467"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Irisgarritasuneko Unitate Arduradunak irisgarritasun baldintzei buruzko kanpoko ebaluazio sakon bat kontratatu zuen gainerako sei hazi-orrietarako (enplegua, hezkuntza, Foru Ogasuna, navarra.es, osasuna eta egoitza elektronikoa).</w:t>
      </w:r>
    </w:p>
    <w:p w14:paraId="27CF89EF"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Aurretiazko ebaluazio horiek jardunbiderik onentzat jo ziren orri bakoitzaren ez-betetze zehatzak ebaluatu aurretik (katalogazio fasea) eta ez-betetzeak zuzendu behar dituen jarduketa plana egin aurretik.</w:t>
      </w:r>
    </w:p>
    <w:p w14:paraId="5FEB573C"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Lan horren ildotik, berriz definitu ziren sei webguneren irisgarritasun baldintzak.</w:t>
      </w:r>
    </w:p>
    <w:p w14:paraId="627E8897"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2021eko beste jarduketa garrantzitsu bat izan zen neurrien inplementazioa eta katalogazioa egitea zenbait atariren migrazioaren bitartez. Zehazki, turismo.navarra.es ataria www.visitnavarra.es-era migratu zen, barnean hartuta irisgarritasun kalifikazioaren hobekuntza nabarmena eta irisgarritasunaren deklarazioa.</w:t>
      </w:r>
    </w:p>
    <w:p w14:paraId="2B4AE2FF"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Halaber navarra.es domeinuaren barnean salud.navarra.es eta hacienda.navarra.es webguneak migratu ziren.</w:t>
      </w:r>
    </w:p>
    <w:p w14:paraId="72F317D1"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2021ean navarra.es atari berrira migratu ziren navarra.es-eko beste gai batzuk, esaterako empleo.navarra.es.</w:t>
      </w:r>
    </w:p>
    <w:p w14:paraId="72E59C31"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Gainera, Gobernu Irekiaren eta aurretiazko hitzorduaren plataformak eguneratzen hasi ziren.</w:t>
      </w:r>
    </w:p>
    <w:p w14:paraId="6DA5F9F6"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Plataformen eguneratze eta migrazio horiek guztiak aurrerapausoak izan ziren oinarrizko irisgarritasun irizpideak betetze aldera.</w:t>
      </w:r>
    </w:p>
    <w:p w14:paraId="13733D71"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Proiektu horiek urtebetetik gorako ahalegina eskatzen zuten, beren konplexutasunagatik.</w:t>
      </w:r>
      <w:r>
        <w:rPr>
          <w:sz w:val="28"/>
          <w:rFonts w:ascii="Calibri" w:hAnsi="Calibri"/>
        </w:rPr>
        <w:t xml:space="preserve"> </w:t>
      </w:r>
      <w:r>
        <w:rPr>
          <w:sz w:val="28"/>
          <w:rFonts w:ascii="Calibri" w:hAnsi="Calibri"/>
        </w:rPr>
        <w:t xml:space="preserve">Migrazioa urratsez urrats egiten ari da; horregatik, migrazio teknologikoa eta edukiena aurreratzea lehenetsi zen.</w:t>
      </w:r>
    </w:p>
    <w:p w14:paraId="4708E141" w14:textId="77777777" w:rsidR="00826F66" w:rsidRPr="00826F66" w:rsidRDefault="008814C2" w:rsidP="00826F66">
      <w:pPr>
        <w:pStyle w:val="Default"/>
        <w:spacing w:after="200"/>
        <w:rPr>
          <w:sz w:val="28"/>
          <w:szCs w:val="22"/>
          <w:rFonts w:ascii="Calibri" w:hAnsi="Calibri" w:cs="Calibri"/>
        </w:rPr>
      </w:pPr>
      <w:r>
        <w:rPr>
          <w:sz w:val="28"/>
          <w:rFonts w:ascii="Calibri" w:hAnsi="Calibri"/>
        </w:rPr>
        <w:t xml:space="preserve">Mundu gero eta digitalizatuago honetan beharrezkoak, presakoak eta nahitaezkoak dira Irisgarritasun Unibertsalari buruzko 2021eko Plan Operatiboan jasotako neurriak, informaziorako eta zerbitzu digitaletarako irispidean hesiak apurtzeko balioko baitute.</w:t>
      </w:r>
    </w:p>
    <w:p w14:paraId="3AB66636" w14:textId="77777777" w:rsidR="00826F66" w:rsidRPr="00826F66" w:rsidRDefault="00720926" w:rsidP="00826F66">
      <w:pPr>
        <w:pStyle w:val="Default"/>
        <w:spacing w:after="200"/>
        <w:rPr>
          <w:sz w:val="28"/>
          <w:szCs w:val="22"/>
          <w:rFonts w:ascii="Calibri" w:hAnsi="Calibri" w:cs="Calibri"/>
        </w:rPr>
      </w:pPr>
      <w:r>
        <w:rPr>
          <w:sz w:val="28"/>
          <w:rFonts w:ascii="Calibri" w:hAnsi="Calibri"/>
        </w:rPr>
        <w:t xml:space="preserve">Hori guztia jakinarazten dizut, Nafarroako Parlamentuko Erregelamenduaren 194. artikuluan xedatutakoa betez.</w:t>
      </w:r>
    </w:p>
    <w:p w14:paraId="027BF92B" w14:textId="77777777" w:rsidR="002A0B65" w:rsidRPr="00826F66" w:rsidRDefault="002A0B65" w:rsidP="00826F66">
      <w:pPr>
        <w:pStyle w:val="Default"/>
        <w:spacing w:after="200"/>
        <w:rPr>
          <w:sz w:val="28"/>
          <w:szCs w:val="22"/>
          <w:rFonts w:ascii="Calibri" w:hAnsi="Calibri" w:cs="Calibri"/>
        </w:rPr>
      </w:pPr>
      <w:r>
        <w:rPr>
          <w:sz w:val="28"/>
          <w:rFonts w:ascii="Calibri" w:hAnsi="Calibri"/>
        </w:rPr>
        <w:t xml:space="preserve">Iruñean, 2023ko martxoaren 3an</w:t>
      </w:r>
    </w:p>
    <w:p w14:paraId="69128809" w14:textId="77777777" w:rsidR="00FC285A" w:rsidRPr="00826F66" w:rsidRDefault="00743961" w:rsidP="00743961">
      <w:pPr>
        <w:pStyle w:val="Default"/>
        <w:spacing w:after="200"/>
        <w:rPr>
          <w:sz w:val="28"/>
          <w:szCs w:val="22"/>
          <w:rFonts w:ascii="Calibri" w:hAnsi="Calibri" w:cs="Calibri"/>
        </w:rPr>
      </w:pPr>
      <w:r>
        <w:rPr>
          <w:sz w:val="28"/>
          <w:rFonts w:ascii="Calibri" w:hAnsi="Calibri"/>
        </w:rPr>
        <w:t xml:space="preserve">Lehendakaritzako, Berdintasuneko, Funtzio Publikoko eta Barneko kontseilaria:</w:t>
      </w:r>
      <w:r>
        <w:rPr>
          <w:sz w:val="28"/>
          <w:rFonts w:ascii="Calibri" w:hAnsi="Calibri"/>
        </w:rPr>
        <w:t xml:space="preserve"> </w:t>
      </w:r>
      <w:r>
        <w:rPr>
          <w:sz w:val="28"/>
          <w:rFonts w:ascii="Calibri" w:hAnsi="Calibri"/>
        </w:rPr>
        <w:t xml:space="preserve">Javier Remírez Apesteguía</w:t>
      </w:r>
    </w:p>
    <w:sectPr w:rsidR="00FC285A" w:rsidRPr="00826F66" w:rsidSect="00CA2D00">
      <w:headerReference w:type="default" r:id="rId7"/>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10B7" w14:textId="77777777" w:rsidR="002F1930" w:rsidRDefault="002F1930" w:rsidP="00C61F02">
      <w:r>
        <w:separator/>
      </w:r>
    </w:p>
  </w:endnote>
  <w:endnote w:type="continuationSeparator" w:id="0">
    <w:p w14:paraId="7776461E" w14:textId="77777777" w:rsidR="002F1930" w:rsidRDefault="002F1930"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2C0F" w14:textId="77777777" w:rsidR="002F1930" w:rsidRDefault="002F1930" w:rsidP="00C61F02">
      <w:r>
        <w:separator/>
      </w:r>
    </w:p>
  </w:footnote>
  <w:footnote w:type="continuationSeparator" w:id="0">
    <w:p w14:paraId="52C08B91" w14:textId="77777777" w:rsidR="002F1930" w:rsidRDefault="002F1930"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BD46"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79058946">
    <w:abstractNumId w:val="16"/>
  </w:num>
  <w:num w:numId="2" w16cid:durableId="156583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15060">
    <w:abstractNumId w:val="8"/>
  </w:num>
  <w:num w:numId="4" w16cid:durableId="1765298183">
    <w:abstractNumId w:val="17"/>
  </w:num>
  <w:num w:numId="5" w16cid:durableId="1847013432">
    <w:abstractNumId w:val="5"/>
  </w:num>
  <w:num w:numId="6" w16cid:durableId="195048647">
    <w:abstractNumId w:val="3"/>
  </w:num>
  <w:num w:numId="7" w16cid:durableId="103965230">
    <w:abstractNumId w:val="2"/>
  </w:num>
  <w:num w:numId="8" w16cid:durableId="1354379212">
    <w:abstractNumId w:val="13"/>
  </w:num>
  <w:num w:numId="9" w16cid:durableId="1694267138">
    <w:abstractNumId w:val="12"/>
  </w:num>
  <w:num w:numId="10" w16cid:durableId="1759248516">
    <w:abstractNumId w:val="22"/>
  </w:num>
  <w:num w:numId="11" w16cid:durableId="55469807">
    <w:abstractNumId w:val="4"/>
    <w:lvlOverride w:ilvl="0"/>
    <w:lvlOverride w:ilvl="1"/>
    <w:lvlOverride w:ilvl="2"/>
    <w:lvlOverride w:ilvl="3"/>
    <w:lvlOverride w:ilvl="4"/>
    <w:lvlOverride w:ilvl="5"/>
    <w:lvlOverride w:ilvl="6"/>
    <w:lvlOverride w:ilvl="7"/>
    <w:lvlOverride w:ilvl="8"/>
  </w:num>
  <w:num w:numId="12" w16cid:durableId="719668975">
    <w:abstractNumId w:val="6"/>
  </w:num>
  <w:num w:numId="13" w16cid:durableId="58288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638513">
    <w:abstractNumId w:val="4"/>
  </w:num>
  <w:num w:numId="15" w16cid:durableId="790632234">
    <w:abstractNumId w:val="10"/>
  </w:num>
  <w:num w:numId="16" w16cid:durableId="1612282602">
    <w:abstractNumId w:val="11"/>
  </w:num>
  <w:num w:numId="17" w16cid:durableId="629091930">
    <w:abstractNumId w:val="15"/>
  </w:num>
  <w:num w:numId="18" w16cid:durableId="2052071289">
    <w:abstractNumId w:val="7"/>
  </w:num>
  <w:num w:numId="19" w16cid:durableId="293952493">
    <w:abstractNumId w:val="0"/>
  </w:num>
  <w:num w:numId="20" w16cid:durableId="1440947578">
    <w:abstractNumId w:val="21"/>
  </w:num>
  <w:num w:numId="21" w16cid:durableId="1985087074">
    <w:abstractNumId w:val="9"/>
    <w:lvlOverride w:ilvl="0"/>
    <w:lvlOverride w:ilvl="1"/>
    <w:lvlOverride w:ilvl="2"/>
    <w:lvlOverride w:ilvl="3"/>
    <w:lvlOverride w:ilvl="4"/>
    <w:lvlOverride w:ilvl="5"/>
    <w:lvlOverride w:ilvl="6"/>
    <w:lvlOverride w:ilvl="7"/>
    <w:lvlOverride w:ilvl="8"/>
  </w:num>
  <w:num w:numId="22" w16cid:durableId="336159076">
    <w:abstractNumId w:val="23"/>
  </w:num>
  <w:num w:numId="23" w16cid:durableId="257832497">
    <w:abstractNumId w:val="1"/>
  </w:num>
  <w:num w:numId="24" w16cid:durableId="1118062547">
    <w:abstractNumId w:val="14"/>
  </w:num>
  <w:num w:numId="25" w16cid:durableId="833763279">
    <w:abstractNumId w:val="20"/>
  </w:num>
  <w:num w:numId="26" w16cid:durableId="1274361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854"/>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4475"/>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1930"/>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7BC"/>
    <w:rsid w:val="00317ABD"/>
    <w:rsid w:val="00317B79"/>
    <w:rsid w:val="00320811"/>
    <w:rsid w:val="00320879"/>
    <w:rsid w:val="00320CD2"/>
    <w:rsid w:val="00321EE8"/>
    <w:rsid w:val="003222C6"/>
    <w:rsid w:val="0032286A"/>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77F38"/>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96"/>
    <w:rsid w:val="00596F89"/>
    <w:rsid w:val="005970DC"/>
    <w:rsid w:val="00597A9B"/>
    <w:rsid w:val="00597C37"/>
    <w:rsid w:val="00597D5E"/>
    <w:rsid w:val="005A02BF"/>
    <w:rsid w:val="005A0547"/>
    <w:rsid w:val="005A2351"/>
    <w:rsid w:val="005A29D6"/>
    <w:rsid w:val="005A3022"/>
    <w:rsid w:val="005A33D6"/>
    <w:rsid w:val="005A3D42"/>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3961"/>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092"/>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2F61"/>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6F66"/>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4C2"/>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7256"/>
    <w:rsid w:val="00B105DC"/>
    <w:rsid w:val="00B11211"/>
    <w:rsid w:val="00B1122C"/>
    <w:rsid w:val="00B11C80"/>
    <w:rsid w:val="00B136FC"/>
    <w:rsid w:val="00B13CAE"/>
    <w:rsid w:val="00B13EFF"/>
    <w:rsid w:val="00B1423A"/>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5E0"/>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439F"/>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6570"/>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C8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u-ES"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2023-03-07T10:33:00Z</dcterms:created>
  <dcterms:modified xsi:type="dcterms:W3CDTF">2023-03-07T10:33:00Z</dcterms:modified>
</cp:coreProperties>
</file>