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4E5C" w14:textId="5E0651BB" w:rsidR="009112F4" w:rsidRPr="00D9527A" w:rsidRDefault="00D80104" w:rsidP="009112F4">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
          <w:bCs/>
          <w:sz w:val="24"/>
          <w:szCs w:val="24"/>
        </w:rPr>
      </w:pPr>
      <w:r w:rsidRPr="00D9527A">
        <w:rPr>
          <w:rFonts w:ascii="Courier New" w:hAnsi="Courier New"/>
          <w:b/>
          <w:bCs/>
          <w:sz w:val="24"/>
        </w:rPr>
        <w:t>Foru Lege Proiektua, zeinaren bidez aldatzen baita Tributuei buruzko abenduaren 14ko 13/2000 Foru Lege Orokorra, Kontseiluaren 2021eko martxoaren 22ko 2021/514 (EB) Zuzentarauaren transposizioa egiteko. Zuzentarau horren bidez, aldatu egin zen 2011/16/EB Zuzentaraua, fiskalitatearen arloko lankidetza administratiboari buruzkoa.</w:t>
      </w:r>
    </w:p>
    <w:p w14:paraId="5B97B181" w14:textId="26EE431C" w:rsidR="009112F4" w:rsidRPr="00FC72E9" w:rsidRDefault="00467F9C" w:rsidP="009112F4">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 xml:space="preserve">Kontseiluaren 2021eko martxoaren 22ko 2021/514 (EB) Zuzentarauak (aurrerantzean, DAC 7), fiskalitatearen arloko lankidetza administratiboari buruzko 2011/16/EB Zuzentaraua aldatzen duenak, helburu nagusi hauek ditu: Europar Batasunean informazioa trukatzeko eta lankidetza administratiborako dagoen esparrua hobetzea, bai eta lankidetza administratiboa beste eremu batzuetara zabaltzea ere, ekonomiaren digitalizazioak planteatzen dituen erronkei heltzeko eta zerga administrazioei zergen bilketa modu efizienteagoan egiten laguntzeko. Horretarako, informazioa emateko betebehar berri bat ezartzen da plataforma digitalen operadoreei dagokienez. </w:t>
      </w:r>
    </w:p>
    <w:p w14:paraId="7A660303" w14:textId="401D937D" w:rsidR="009D0B4C" w:rsidRPr="00FC72E9" w:rsidRDefault="009D0B4C" w:rsidP="009D0B4C">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Era berean, DAC 7-ren transposizioak honako hau arautzeko beharra sortzen du: baterako ikuskapenen araubidea, Europar Batasuneko beste estatu batzuetako funtzionarioek Espainian –eta alderantziz– presentzia izateari buruzko gai zehatz batzuk, eta aldibereko kontrolak. Arlo honetako foru araudiak Tributuei buruzko Lege Orokorrean ezarritakora igortzen duenez, ulertuko da lurralde erkideko araudian funtzionarioez eta zerga administrazioaz egiten diren aipamenak Nafarroako funtzionarioez edo, hala badagokio, Foru Zerga Administrazioaz eginak direla, Hitzarmen Ekonomikoan ezarritako eskumen eta eskudantzien arabera.</w:t>
      </w:r>
    </w:p>
    <w:p w14:paraId="2F7E3C27" w14:textId="69BA769A" w:rsidR="00653864" w:rsidRPr="00FC72E9" w:rsidRDefault="00DB6A8B" w:rsidP="009D0B4C">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 xml:space="preserve">Bestalde, plangintza fiskaleko mugaz gaindiko </w:t>
      </w:r>
      <w:r>
        <w:rPr>
          <w:rFonts w:ascii="Courier New" w:hAnsi="Courier New"/>
          <w:sz w:val="24"/>
        </w:rPr>
        <w:lastRenderedPageBreak/>
        <w:t>mekanismoei buruzko informazioa emateko betebeharrari dagokionez, aldaketa puntual bat egiten da foru araudian: betebeharra duten bitartekariek pertsona fisikoa den zergapeko interesdun orori jakinarazi beharko diete ezen zergapeko horri buruzko informazioa zerga administrazioari emanen zaiola eta 2011/16/EB Zuzentarauari jarraikiz transferituko dela.</w:t>
      </w:r>
    </w:p>
    <w:p w14:paraId="2A8C4AB6" w14:textId="3F17E516" w:rsidR="004266D4" w:rsidRPr="00FC72E9" w:rsidRDefault="004266D4" w:rsidP="004266D4">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Gainera, plangintza fiskaleko mugaz gaindiko mekanismoei buruzko informazioa emateko azken betebehar horri dagokionez, beharrezkoa da haren araubide juridikoa aldatzea, Agintaritza Eskudunen arteko Akordio Aldeaniztuna sinatu baitu Espainiak, informazioa komunikatzeko estandar komunaren eta lurraldez kanpoko egitura opakuen informazioa saihesteko mekanismoei buruzko informazioa automatikoki trukatzearen gainekoa, bai eta, ELGAren barruan informazioa komunikatzeko estandar komunaren eta lurraldez kanpoko egitura opakuen informazioa saihesteko mekanismoei heltzeko, informazioaren nahitaezko komunikaziorako haren ereduzko arauak ere. Horren helburua da zerga administrazioak behar den informazioa izatea informazioa komunikatzeko estandar komunaren eta lurraldez kanpoko egitura opakuen informazioa saihesteko mekanismoen trukea, akordio horretan arautzen dena, egin ahal izateko.</w:t>
      </w:r>
    </w:p>
    <w:p w14:paraId="49ECBA0F" w14:textId="5BC5DD8A" w:rsidR="00B04520" w:rsidRPr="00FC72E9" w:rsidRDefault="004266D4" w:rsidP="009D0B4C">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 xml:space="preserve">Era berean, partikularren arteko betebeharrak, plangintza fiskaleko mugaz gaindiko mekanismoei buruzko informazioa emateko betebehar horrek eragindakoak, aldatu egin behar dira Europar Batasuneko Justizia Auzitegiak (Sala Nagusia) C-694/20 auzian 2022ko abenduaren 8an emandako epaiaren ondorioz. Epai horrek deklaratu duenez, abokatuen kasuan Europar Batasunaren Oinarrizko Eskubideen Gutunaren 7. artikulua urratzen du Kontseiluaren 2011ko otsailaren 15eko 2011/16/EB Zuzentarauak (Kontseiluaren 2018ko maiatzaren 25eko 2018/822 (EB) Zuzentarauak </w:t>
      </w:r>
      <w:r>
        <w:rPr>
          <w:rFonts w:ascii="Courier New" w:hAnsi="Courier New"/>
          <w:sz w:val="24"/>
        </w:rPr>
        <w:lastRenderedPageBreak/>
        <w:t>aldatutako bertsioan, hau da, DAC 6 izenaz ezagutzen dena), zehazki, haren 8 bis ter artikuluko 5. apartatuan jasotako betebeharrak –sekretu profesionalaren babespean dauden bitartekariei ezartzen zaiena, beren bezero ez diren gainerako bitartekariei sekretu horren erabilera jakinaraztekoa–. 2011/16/EB Zuzentaraua fiskalitatearen arloko lankidetza administratiboari buruzkoa da eta 77/799/EEE Zuzentaraua indargabetzen du. Jurisprudentzia hori jasotze aldera, aldatu egin da plangintza fiskaleko zenbait mekanismoei buruzko informazioa emateko betebeharraren araubidea.</w:t>
      </w:r>
    </w:p>
    <w:p w14:paraId="708E475E" w14:textId="0A415E00" w:rsidR="00CF2920" w:rsidRPr="00FC72E9" w:rsidRDefault="00CF2920" w:rsidP="00CF2920">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Nafarroako Foru Komunitateko Administrazioari eta Sektore Publiko Instituzionalari buruzko martxoaren 11ko 11/2019 Foru Legean xedatutakoa betetzeko, foru lege hau premiaren, eraginkortasunaren, proportzionaltasunaren, segurtasun juridikoaren, gardentasunaren eta efizientziaren printzipioen arabera egin da.</w:t>
      </w:r>
    </w:p>
    <w:p w14:paraId="66C996A4" w14:textId="669019FC" w:rsidR="00CF2920" w:rsidRPr="00FC72E9" w:rsidRDefault="00CF2920" w:rsidP="00CF2920">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Premiaren eta eraginkortasunaren printzipioak betetzen dira; izan ere, beharrezkoa da Kontseiluaren 2021/514 (EB) Zuzentarauaren transposizioa egitea, bai eta inplementatzea ere Espainiak izenpetu duen Agintaritza Eskudunen arteko Akordio Aldeaniztuna –ELGAren esparruan plataforma digitalen bidez lortutako errentari buruzko informazioa automatikoki trukatzeko helburua duena-, lege– eta erregelamendu-maila duten ordenamenduko zenbait arau aldatuz.</w:t>
      </w:r>
    </w:p>
    <w:p w14:paraId="7DA23795" w14:textId="0AD2806A" w:rsidR="00CF2920" w:rsidRPr="00FC72E9" w:rsidRDefault="00CF2920" w:rsidP="00CF2920">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Proportzionaltasunaren printzipioa ere betetzen da; izan ere, hertsiki eskatutako helburuei erantzuteko modua baino ez da bete, eta hartzaileei ezartzen zaizkien betebeharrak beren helburuak betetzeko behar-beharrezkoak direnak baino ez dira.</w:t>
      </w:r>
    </w:p>
    <w:p w14:paraId="268A342D" w14:textId="5B9469DA" w:rsidR="00CF2920" w:rsidRPr="00FC72E9" w:rsidRDefault="00CF2920" w:rsidP="00CF2920">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 xml:space="preserve">Segurtasun juridikoaren printzipioari dagokionez, </w:t>
      </w:r>
      <w:r>
        <w:rPr>
          <w:rFonts w:ascii="Courier New" w:hAnsi="Courier New"/>
          <w:sz w:val="24"/>
        </w:rPr>
        <w:lastRenderedPageBreak/>
        <w:t>testuak gainerako foru ordenamendu juridikoarekin eta Europar Batasunekoarekin koherentzia izatea bermatu da. Izan ere, lege-arauak Europar Batasuneko araua Espainiako Zuzenbidean txertatzeko beharrari erantzuten dio.</w:t>
      </w:r>
    </w:p>
    <w:p w14:paraId="70A62F3C" w14:textId="4974754B" w:rsidR="00CF2920" w:rsidRPr="00FC72E9" w:rsidRDefault="00CF2920" w:rsidP="00CF2920">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Gardentasunaren printzipioa bermatu da, azalpen honen xedea eta helburua argi identifikatzen baitira eta proiektua eta memoria Nafarroako Gobernu Irekiaren Atarian argitaratu baitira, herritarrek testua ezagutu ahal izan dezaten entzunaldiaren eta jendaurreko informazioaren izapidean.</w:t>
      </w:r>
    </w:p>
    <w:p w14:paraId="6A78D855" w14:textId="36E84528" w:rsidR="00CF2920" w:rsidRPr="00FC72E9" w:rsidRDefault="00CF2920" w:rsidP="00CF2920">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Azkenik, efizientziaren printzipioari dagokionez, ahalegina egin da arauak ahalik eta administrazio karga gutxien izan dezan herritarrentzat eta zeharkako kostu gutxien ere bai, horrela baliabide publikoen arrazoizko erabilera sustatu direla.</w:t>
      </w:r>
    </w:p>
    <w:p w14:paraId="4466AB35" w14:textId="77777777" w:rsidR="0023502B" w:rsidRPr="00FC72E9" w:rsidRDefault="00467F9C" w:rsidP="005E18EA">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Artikulu bakarra. Tributuei buruzko Foru Lege Orokorra aldatzea.</w:t>
      </w:r>
    </w:p>
    <w:p w14:paraId="6D02C0A7" w14:textId="715E2963" w:rsidR="00467F9C" w:rsidRPr="00FC72E9" w:rsidRDefault="007C32B7" w:rsidP="005E18EA">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Tributuei buruzko abenduaren 14ko 13/2000 Foru Lege Orokorraren agindu hauek honako testu hau izanen dute:</w:t>
      </w:r>
    </w:p>
    <w:p w14:paraId="21703F04" w14:textId="77777777" w:rsidR="00481AA4" w:rsidRPr="00FC72E9" w:rsidRDefault="009D6D07" w:rsidP="002B0E1E">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Bat. Hamaseigarren xedapen gehigarrian 3. apartatua gehitzen da:</w:t>
      </w:r>
    </w:p>
    <w:p w14:paraId="7E528B66" w14:textId="68376B24" w:rsidR="002B0E1E" w:rsidRPr="00FC72E9" w:rsidRDefault="002B0E1E" w:rsidP="002B0E1E">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“3.  Aurreko apartatuetan lurralde erkideko araudira igortzen delarik, ulertuko da araudi horretan funtzionarioez eta zerga administrazioaz egiten diren aipamenak Nafarroako funtzionarioez edo, hala badagokio, Foru Zerga Administrazioaz eginak direla, Hitzarmen Ekonomikoan ezarritako eskumen eta eskudantzien arabera”.</w:t>
      </w:r>
    </w:p>
    <w:p w14:paraId="220144DB" w14:textId="2443BA0B" w:rsidR="00DC012A" w:rsidRPr="00FC72E9" w:rsidRDefault="0023502B" w:rsidP="00DC012A">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Bi. Hogeita hamahirugarren xedapen gehigarria, 1., 2. eta 3. apartatuak, eta 6. apartatua gehitzea:</w:t>
      </w:r>
    </w:p>
    <w:p w14:paraId="4EBF96FD" w14:textId="5EAAC525" w:rsidR="004266D4" w:rsidRPr="00FC72E9" w:rsidRDefault="004266D4" w:rsidP="004266D4">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lastRenderedPageBreak/>
        <w:t xml:space="preserve">“1. Aintzat hartuta, batetik, Kontseiluaren 2011ko otsailaren 15eko 2011/16/EB Zuzentarauak –fiskalitatearen arloko lankidetza administratiboari buruzkoa eta 77/799/EEE Zuzentaraua indargabetzen duena–, 3. artikuluaren 21. eta 22. apartatuetan ezartzen duena, bestetik, Agintaritza Eskudunen arteko Akordio Aldeaniztuna –informazioa komunikatzeko estandar komunaren eta lurraldez kanpoko egitura opakuen informazioa saihesteko mekanismoei buruzko informazioa automatikoki trukatzearen gainekoa, eta informazioa komunikatzeko estandar komunaren eta lurraldez kanpoko egitura opakuen informazioa saihesteko mekanismoei heltzeko, informazioaren nahitaezko komunikaziorako haren ereduzko arauak– , bai eta helburu bererako izenpetutako nazioarteko beste akordio batzuk ere, </w:t>
      </w:r>
      <w:r>
        <w:rPr>
          <w:rFonts w:ascii="Courier New" w:hAnsi="Courier New"/>
          <w:sz w:val="24"/>
        </w:rPr>
        <w:br/>
        <w:t>betebehar honen ondorioetarako bitartekari edo zergapeko interesdun diren pertsonek edo entitateek honako informazio hau eman beharko diote zerga administrazioari, foru lege honen 27.5 eta 103. artikuluetan xedatutakoaren arabera eta tributuen arloko eskumena duen departamentuko titularrak ezarritako baldintzetan:</w:t>
      </w:r>
      <w:r>
        <w:rPr>
          <w:rFonts w:ascii="Courier New" w:hAnsi="Courier New"/>
          <w:sz w:val="24"/>
        </w:rPr>
        <w:br/>
      </w:r>
    </w:p>
    <w:p w14:paraId="27104F3D" w14:textId="77777777" w:rsidR="004266D4" w:rsidRPr="00FC72E9" w:rsidRDefault="004266D4" w:rsidP="004266D4">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a) Kontseiluaren 2011/16/EB Zuzentarauaren 3.18 artikuluan definitutako mugaz gaindiko mekanismoetan esku hartzen edo parte hartzen badute, horiei buruzko informazioa, aipatutako zuzentarauaren IV. eranskinean zehaztutako bereizgarrietako batzuk gertatzen direnean.</w:t>
      </w:r>
    </w:p>
    <w:p w14:paraId="37BC9D25" w14:textId="77777777" w:rsidR="004266D4" w:rsidRPr="00FC72E9" w:rsidRDefault="004266D4" w:rsidP="004266D4">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b) Kontseiluaren 2011/16/EB Zuzentarauaren 3.24 artikuluan aipatzen diren mugaz gaindiko mekanismo merkaturagarrien eguneratzeari buruzko informazioa.</w:t>
      </w:r>
    </w:p>
    <w:p w14:paraId="59E560F1" w14:textId="585A185F" w:rsidR="004266D4" w:rsidRPr="00FC72E9" w:rsidRDefault="004266D4" w:rsidP="004266D4">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c) Plangintza fiskalerako mugaz gaindiko mekanismoak, a) eta b) letretan aipatzen direnak, Espainian erabiltzeari buruzko informazioa.</w:t>
      </w:r>
    </w:p>
    <w:p w14:paraId="1365DEFD" w14:textId="74C1E2C3" w:rsidR="00591C39" w:rsidRPr="00FC72E9" w:rsidRDefault="00591C39" w:rsidP="004266D4">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lastRenderedPageBreak/>
        <w:t>d) Agintaritza Eskudunen arteko Akordio Aldeaniztunean – informazioa komunikatzeko estandar komunaren eta lurraldez kanpoko egitura opakuen informazioa saihesteko mekanismoei buruzko informazioa automatikoki trukatzearen gainekoa– eta helburu bererako izenpetutako nazioarteko beste akordio batzuetan zehazten diren mugak gaindiko mekanismoei buruzko informazioa.</w:t>
      </w:r>
    </w:p>
    <w:p w14:paraId="4FC4E8D9" w14:textId="77777777" w:rsidR="004266D4" w:rsidRPr="00FC72E9" w:rsidRDefault="004266D4" w:rsidP="004266D4">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Informazioa emateko betebehar honen ondorioetarako, ez dira deklaratu beharreko plangintza fiskalerako mugaz gaindiko mekanismotzat hartuko mugaz gaindiko akordio, negozio juridiko, eskema edo eragiketak, oinarrituta badaude Europako Batzordearen erabaki bidez komunikatu eta berariaz baimenduta dauden araubide fiskaletan.</w:t>
      </w:r>
    </w:p>
    <w:p w14:paraId="5025AADE" w14:textId="0F1761A5" w:rsidR="004266D4" w:rsidRPr="00FC72E9" w:rsidRDefault="004266D4" w:rsidP="004266D4">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2. Sekretu profesionala dela-eta informazioa emateko betebeharretik –Kontseiluaren 2011/16/EB Zuzentarauaren 8 bis ter.5) artikuluan eta aipatutako ereduzko arauetan jasotzen dena– salbuetsita egonen dira bitartekaritzat hartzen direnak, egindako jarduera edozein dela ere, aholkulari lanak egin badituzte mugaz gaindiko mekanismo baten diseinuan, merkaturatzean, antolaketan, gauzatzeko eskura jartzeko, edo hura gauzatzeko kudeaketan, haien helburu bakarra izanik mekanismoa aplikagarria den araudiarekin bat datorren ebaluatzea, baina haren ezarpenean lagundu gabe.</w:t>
      </w:r>
    </w:p>
    <w:p w14:paraId="5018DEEA" w14:textId="77777777" w:rsidR="004266D4" w:rsidRPr="00FC72E9" w:rsidRDefault="004266D4" w:rsidP="004266D4">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Sekretu profesionalaren betebeharra duen bitartekaria betebehar horretatik libre gelditzen ahalko da interesdun den zergapekoak modu fede-emailean komunikaturik emandako baimenaren bitartez.</w:t>
      </w:r>
    </w:p>
    <w:p w14:paraId="5544FFED" w14:textId="6EB5B35C" w:rsidR="004266D4" w:rsidRPr="00FC72E9" w:rsidRDefault="004266D4" w:rsidP="005576D8">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3. Bitartekariek betetzea plangintza fiskaleko mekanismoei buruz informatzeko betebeharra, 2011/16/EB Zuzentarauan eta aipatutako Akordio Aldeaniztunean jasotakoa, legez beharturiko moduan, ez da izanen –</w:t>
      </w:r>
      <w:r>
        <w:rPr>
          <w:rFonts w:ascii="Courier New" w:hAnsi="Courier New"/>
          <w:sz w:val="24"/>
        </w:rPr>
        <w:lastRenderedPageBreak/>
        <w:t>aplikagarria den araubide juridikoarekin bat– kontratuz edo araudiz ezarritako informazio-zabalpenaren gaineko murriztapenen urraketa, eta betebeharra duten subjektuei ez die inolako erantzukizunik ekarriko informazio horren titular den zergapeko interesdunarekiko”.</w:t>
      </w:r>
    </w:p>
    <w:p w14:paraId="5A414AD8" w14:textId="5F21705C" w:rsidR="00710C6B" w:rsidRPr="00FC72E9" w:rsidRDefault="00710C6B" w:rsidP="00DC012A">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“6. Xedapen honetan xedatutakoaren arabera informazioa ematera behartuta dagoen bitartekari orok jakinarazi beharko dio informazioa emateko betebeharra duen eta pertsona fisikoa den zergapeko interesdun bakoitzari ezen zergapeko horri buruz eskatutako informazioa zerga administrazioari emanen zaiola eta 2011/16/EB Zuzentarauaren eta xedapen honetan adierazitako nazioarteko akordioen arabera transferituko dela. Era berean, bitartekariak behar besteko aurrerapenaz emanen dio pertsona fisikoari hark jasotzeko eskubidea duen informazio guztia, hark bere datu pertsonalak babesteko eskubidea baliatu ahal izan dezan, eta, betiere, berak bildutako informazioa zerga administrazioari eman aurretik”.</w:t>
      </w:r>
    </w:p>
    <w:p w14:paraId="7F275949" w14:textId="48951F80" w:rsidR="006571A0" w:rsidRPr="00FC72E9" w:rsidRDefault="00576FF9" w:rsidP="00DC012A">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Hiru. Hogeita hamalaugarren xedapen gehigarria, 1. apartatua eta 3. apartatuko a) letra:</w:t>
      </w:r>
    </w:p>
    <w:p w14:paraId="1DECE2F6" w14:textId="01556AA2" w:rsidR="006571A0" w:rsidRPr="00FC72E9" w:rsidRDefault="006571A0" w:rsidP="00DC012A">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trike/>
          <w:sz w:val="24"/>
          <w:szCs w:val="24"/>
        </w:rPr>
      </w:pPr>
      <w:r>
        <w:rPr>
          <w:rFonts w:ascii="Courier New" w:hAnsi="Courier New"/>
          <w:sz w:val="24"/>
        </w:rPr>
        <w:t xml:space="preserve">“1. Sekretu profesionalaren betebeharra dela-eta plangintza fiskalerako mugaz gaindiko mekanismoen aitorpena aurkeztetik salbuetsita dauden bitartekariak behartuta egonen dira salbuespen horren berri modu fede-emailean ematera bere bezeroei, mekanismo horietan parte hartzen duten beste bitartekari batzuk izan nahiz zergapeko interesdunak izan”. </w:t>
      </w:r>
    </w:p>
    <w:p w14:paraId="00AE5627" w14:textId="64A8CF02" w:rsidR="006571A0" w:rsidRPr="00FC72E9" w:rsidRDefault="006571A0" w:rsidP="006571A0">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“a) 1. apartatuan aipatzen den komunikazioa ezarritako epean ez egitea edo komunikazioa egitea datuak isilduta edo datu faltsuak, osatugabeak edo zehaztugabeak sartuta.</w:t>
      </w:r>
    </w:p>
    <w:p w14:paraId="3B2BCB38" w14:textId="77777777" w:rsidR="006571A0" w:rsidRPr="00FC72E9" w:rsidRDefault="006571A0" w:rsidP="006571A0">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 xml:space="preserve">Arau-haustea 600 euroko diruzko isun finko batez </w:t>
      </w:r>
      <w:r>
        <w:rPr>
          <w:rFonts w:ascii="Courier New" w:hAnsi="Courier New"/>
          <w:sz w:val="24"/>
        </w:rPr>
        <w:lastRenderedPageBreak/>
        <w:t>zehatuko da.</w:t>
      </w:r>
    </w:p>
    <w:p w14:paraId="02DE5E4B" w14:textId="669F1E2C" w:rsidR="006571A0" w:rsidRPr="00406E2A" w:rsidRDefault="006571A0" w:rsidP="00287DED">
      <w:pPr>
        <w:widowControl w:val="0"/>
        <w:kinsoku w:val="0"/>
        <w:overflowPunct w:val="0"/>
        <w:autoSpaceDE w:val="0"/>
        <w:autoSpaceDN w:val="0"/>
        <w:adjustRightInd w:val="0"/>
        <w:spacing w:before="240" w:after="0" w:line="360" w:lineRule="auto"/>
        <w:ind w:firstLine="567"/>
        <w:jc w:val="both"/>
        <w:rPr>
          <w:rFonts w:ascii="Courier New" w:hAnsi="Courier New"/>
          <w:sz w:val="24"/>
        </w:rPr>
      </w:pPr>
      <w:r w:rsidRPr="00406E2A">
        <w:rPr>
          <w:rFonts w:ascii="Courier New" w:hAnsi="Courier New"/>
          <w:sz w:val="24"/>
        </w:rPr>
        <w:t>Komunikazioa epe barruan ez egiteaz gain, dagokion plangintza fiskalerako mugaz gaindiko mekanismoaren aitorpenik –hogeita hamahirugarren xedapen gehigarriaren 1.a) apartatuan aipatzen dena– ez badu egiten zergapeko interesdunak, komunikazioa egin izan balitz aitorpena aurkeztu beharko zukeenak, zehapena izanen da aipatutako aitorpena ez aurkezteagatiko arau-hausteari dagokiona, hogeita hamahirugarren xedapen gehigarriaren 4.a) apartatuan aurreikusten dena”.</w:t>
      </w:r>
    </w:p>
    <w:p w14:paraId="5F65777B" w14:textId="5008C4AD" w:rsidR="00287DED" w:rsidRPr="00FC72E9" w:rsidRDefault="006571A0" w:rsidP="00287DED">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Lau. Hogeita hemeretzigarren xedapen gehigarria gehitzea:</w:t>
      </w:r>
    </w:p>
    <w:p w14:paraId="6415B035" w14:textId="77777777" w:rsidR="00710C6B" w:rsidRDefault="00287DED" w:rsidP="00287DED">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“Hogeita hemeretzigarren xedapen gehigarria. Informazio-betebeharra eta arrazoizko arretaren betebeharra, elkarlaguntzaren esparruan betebeharra duten plataforma-operadoreen aitorpen informatiboari dagokionez.</w:t>
      </w:r>
    </w:p>
    <w:p w14:paraId="644A9543" w14:textId="74D2F358" w:rsidR="00DB6617" w:rsidRDefault="00DB6617" w:rsidP="00287DED">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1.</w:t>
      </w:r>
      <w:r w:rsidR="00406E2A">
        <w:rPr>
          <w:rFonts w:ascii="Courier New" w:hAnsi="Courier New"/>
          <w:sz w:val="24"/>
        </w:rPr>
        <w:t xml:space="preserve"> </w:t>
      </w:r>
      <w:r>
        <w:rPr>
          <w:rFonts w:ascii="Courier New" w:hAnsi="Courier New"/>
          <w:sz w:val="24"/>
        </w:rPr>
        <w:t xml:space="preserve">“Informazioa komunikatzera behartuta dauden plataforma-operadore” izaera duten entitateek Estatuko araudian ezarritako arrazoizko arretari buruzko arauak eta prozedurak aplikatu beharko dituzte, eta informazioa erregistratzeko eta emateko betebeharrak bete, xedapen honetan aipatutako araudiaren arabera. Plataforma-operadore horien izaera xedatutakoaren araberakoa da: Kontseiluaren 2011ko otsailaren 15eko 2011/16/EB Zuzentaraua –Fiskalitatearen arloko administrazio-lankidetzari buruzkoa eta 77/799/EEE Zuzentaraua indargabetzen duena–, zehazki 8 bis quater artikulua eta V. eranskina, bai eta plataforma digitalen bidez lortutako errentari buruzko informazioa automatikoki trukatzeko Agintaritza Eskudunen arteko Akordio Aldeaniztuna eta plataforma-operadoreek elkarlaneko ekonomiaren eta noizbehinkako lan-ekonomiaren esparruko saltzaileei buruzko informazioa komunikatzeko arauen eredua </w:t>
      </w:r>
      <w:r>
        <w:rPr>
          <w:rFonts w:ascii="Courier New" w:hAnsi="Courier New"/>
          <w:sz w:val="24"/>
        </w:rPr>
        <w:lastRenderedPageBreak/>
        <w:t>eta helburu berarekin izenpetutako nazioarteko beste akordio batzuk ere.</w:t>
      </w:r>
    </w:p>
    <w:p w14:paraId="4272E2F5" w14:textId="5C993EFC" w:rsidR="0007328E" w:rsidRPr="00FC72E9" w:rsidRDefault="0007328E" w:rsidP="0007328E">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Era berean, aurreko paragrafoan aipatutako araudiaren arabera “saltzaile” izaera duten pertsonek edo entitateek arrazoizko arreta egokiari buruzko arauak eta prozedurak aplikatzeak dakartzan betebeharrak bete beharko dituzte.</w:t>
      </w:r>
    </w:p>
    <w:p w14:paraId="2EE5DB24" w14:textId="68ACD15B" w:rsidR="001B172D" w:rsidRPr="00FC72E9" w:rsidRDefault="001B172D" w:rsidP="00287DED">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Lehen paragrafoan aipatzen diren informazioa erregistratzeko eta emateko betebeharrak erregelamendu bidez garatuko dira.</w:t>
      </w:r>
    </w:p>
    <w:p w14:paraId="461B825D" w14:textId="77777777" w:rsidR="00207AC8" w:rsidRPr="00FC72E9" w:rsidRDefault="00DB6617" w:rsidP="00287DED">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Xedapen gehigarri honetan eta berau garatzeko araudian erabilitako terminoek erregelamenduz ezarritako esanahia izanen dute, besterik ezarri ezean.</w:t>
      </w:r>
    </w:p>
    <w:p w14:paraId="0E048484" w14:textId="4A2E6450" w:rsidR="00287DED" w:rsidRPr="00FC72E9" w:rsidRDefault="00DB6617" w:rsidP="00287DED">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2. Xedapen gehigarri honen 1. apartatuan informazioa erregistratzeko eta emateko ezarritako betebeharrak ez betetzearen ondoriozko arau-hausteak eta zehapenak foru lege honen III. tituluko VI. kapituluan xedatutakoaren arabera arautuko dira, xedapen honetan ezarritako berezitasunekin.</w:t>
      </w:r>
    </w:p>
    <w:p w14:paraId="31F6ACAD" w14:textId="5C04C13E" w:rsidR="00287DED" w:rsidRPr="00FC72E9" w:rsidRDefault="00DB6617" w:rsidP="00287DED">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 xml:space="preserve">Zerga arloko arau-hauste astuna da Kontseiluaren 2011/16/EB Zuzentarauaren arabera Europar Batasunean ez erregistratzea “informazioa komunikatzeko betebeharra duen plataforma-operadorea”, aipatutako zuzentarauaren V. eranskineko I. ataleko A apartatuko 4. puntuko b) letran aipatzen dena, baldin eta horren ondorioz Espainiako Zerga Administrazioak ez badu jasotzen epean jaso behar zuen informazioa, Espainiako lurraldeko egoiliarrak diren “informazio komunikatzeko betebeharra duten saltzaileei” buruzkoa edo lurralde horretan kokatutako ondasun higiezinei buruzkoa. Zehapena diruzko isun bat izanen da, foru lege honen III. tituluko VI. kapituluan xedatutakoari jarraikiz informazio hori ez emateagatik zegokiokeena hiru </w:t>
      </w:r>
      <w:r>
        <w:rPr>
          <w:rFonts w:ascii="Courier New" w:hAnsi="Courier New"/>
          <w:sz w:val="24"/>
        </w:rPr>
        <w:lastRenderedPageBreak/>
        <w:t xml:space="preserve">halakoa. </w:t>
      </w:r>
    </w:p>
    <w:p w14:paraId="0C854889" w14:textId="1C382BD8" w:rsidR="00DB6617" w:rsidRPr="00FC72E9" w:rsidRDefault="00DB6617" w:rsidP="00287DED">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3. Zerga arloko arau-haustea da “informazioa komunikatzeko betebeharra duten plataforma-operadoreek” 1. apartatuan aipatzen diren arrazoizko arretari buruzko arauak eta prozedurak ez betetzea.</w:t>
      </w:r>
    </w:p>
    <w:p w14:paraId="703C6D22" w14:textId="77777777" w:rsidR="00DB6617" w:rsidRPr="00FC72E9" w:rsidRDefault="00DB6617" w:rsidP="00287DED">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Zehazki, apartatu honen ondorioetarako, arau-haustetzat hartuko da arrazoizko arretaren prozedurek eragindako betebeharrak ez betetzea edo oker edo epez kanpo betetzea, honako hauei dagokienez:</w:t>
      </w:r>
    </w:p>
    <w:p w14:paraId="5933A87D" w14:textId="77777777" w:rsidR="00DB6617" w:rsidRPr="00FC72E9" w:rsidRDefault="00DB6617" w:rsidP="00287DED">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a) Berrikusi behar ez diren saltzaileak zehaztea.</w:t>
      </w:r>
    </w:p>
    <w:p w14:paraId="2DD3960F" w14:textId="77777777" w:rsidR="00DB6617" w:rsidRPr="00FC72E9" w:rsidRDefault="00DB6617" w:rsidP="00287DED">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b) “Saltzaileari” buruzko informazioa biltzea.</w:t>
      </w:r>
    </w:p>
    <w:p w14:paraId="29307E57" w14:textId="77777777" w:rsidR="00DB6617" w:rsidRPr="00FC72E9" w:rsidRDefault="00DB6617" w:rsidP="00287DED">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c) “Saltzaileari” buruzko informazioa egiaztatzea.</w:t>
      </w:r>
    </w:p>
    <w:p w14:paraId="446B8E9F" w14:textId="77777777" w:rsidR="00DB6617" w:rsidRPr="00FC72E9" w:rsidRDefault="00DB6617" w:rsidP="00287DED">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d) “Saltzailea” zein estatutako egoiliarra den zehaztea.</w:t>
      </w:r>
    </w:p>
    <w:p w14:paraId="6D4B3A62" w14:textId="77777777" w:rsidR="00DB6617" w:rsidRPr="00FC72E9" w:rsidRDefault="00DB6617" w:rsidP="00287DED">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e) Alokatutako ondasun higiezinei buruzko informazioa biltzea.</w:t>
      </w:r>
    </w:p>
    <w:p w14:paraId="7A0BAC85" w14:textId="77777777" w:rsidR="00DB6617" w:rsidRPr="00FC72E9" w:rsidRDefault="00DB6617" w:rsidP="00287DED">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Apartatu honetan aurreikusitako zerga arloko arau-haustea astuna izanen da, eta 200 euroko diruzko isun finko batez zehatuko da, arrazoizko arretari buruzko arauak eta prozedurak aplikatzeak eragindako betebeharrak bete ez diren “saltzaile” bakoitzeko.</w:t>
      </w:r>
    </w:p>
    <w:p w14:paraId="795C2E3B" w14:textId="77777777" w:rsidR="00287DED" w:rsidRPr="00FC72E9" w:rsidRDefault="00DB6617" w:rsidP="00287DED">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“Informazioa komunikatzeko betebeharra duen plataforma-operadore" batek kanpoko zerbitzu-emaile bat baliatzen badu arrazoizko arretari dagozkion betebeharrak betetzeko, betebeharrek operadore horren erantzukizuna izaten jarraituko dute.</w:t>
      </w:r>
    </w:p>
    <w:p w14:paraId="74D9924A" w14:textId="77777777" w:rsidR="00287DED" w:rsidRPr="00FC72E9" w:rsidRDefault="00DB6617" w:rsidP="00287DED">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 xml:space="preserve">4. Zerga arloko arau-haustea da “saltzaileek” nahitaezko informazioa epean ez komunikatzea edo informazio </w:t>
      </w:r>
      <w:r>
        <w:rPr>
          <w:rFonts w:ascii="Courier New" w:hAnsi="Courier New"/>
          <w:sz w:val="24"/>
        </w:rPr>
        <w:lastRenderedPageBreak/>
        <w:t>faltsua, osatugabea edo zehaztugabea komunikatzea “informazioa komunikatzeko betebeharra duten plataforma-operadoreei”, aurreko apartatuan aipatzen diren arrazoizko arretako prozedurak operadoreak aplikatzeak eragindako betebeharrak betez.</w:t>
      </w:r>
    </w:p>
    <w:p w14:paraId="6F78FFCB" w14:textId="77777777" w:rsidR="00287DED" w:rsidRPr="00FC72E9" w:rsidRDefault="00DB6617" w:rsidP="00287DED">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Apartatu honetan aurreikusitako zerga arloko arau-haustea astuna da, eta 300 euroko diruzko isun finko batekin zehatuko da.</w:t>
      </w:r>
    </w:p>
    <w:p w14:paraId="252F8929" w14:textId="77777777" w:rsidR="00EA35A3" w:rsidRPr="00FC72E9" w:rsidRDefault="00DB6617" w:rsidP="00EA35A3">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5. “Saltzaile” batek “informazioa komunikatzeko betebeharra duen plataforma-operadoreari” arrazoizko arretako arau eta prozeduren arabera exijitutako informazioa ematen ez badio, operadorearen hasierako eskaera gogoratzeko bi ohartarazpen jaso ondoren eta hasierako eskaera egin zenetik 60 egun naturaleko epea igaro ondoren, operadore horrek “saltzailearen” kontua itxiko du eta plataforman berriz erregistratzea eragotziko du edo “kontraprestazioaren” ordainketa atxikiko dio eskatu zitzaion informazioa eman arte.</w:t>
      </w:r>
    </w:p>
    <w:p w14:paraId="3A204C5B" w14:textId="77777777" w:rsidR="00EA35A3" w:rsidRPr="00FC72E9" w:rsidRDefault="00DB6617" w:rsidP="00EA35A3">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6. Zerga administrazioak erabakiko du dagokion erregistroan kautelazko baja ematea “informazioa komunikatzeko betebeharra duen plataforma-operadoreari”, Kontseiluaren 2011/16/EB Zuzentarauaren V. eranskineko I. ataleko A apartatuko 4. puntuko b) letran aipatzen denari, 1. apartatuan aipatzen den informatzeko betebeharra betetzen ez duenean, bi errekerimendu egin ondoren. Baja gehienez 90 egun naturaleko epean eginen da, bigarren errekerimendutik hasita, baina inoiz ez horretatik 30 egun natural igaro baino lehen.</w:t>
      </w:r>
    </w:p>
    <w:p w14:paraId="553E8DEF" w14:textId="7F34BF93" w:rsidR="00EA35A3" w:rsidRPr="00FC72E9" w:rsidRDefault="00DB6617" w:rsidP="00EA35A3">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trike/>
          <w:sz w:val="24"/>
          <w:szCs w:val="24"/>
        </w:rPr>
      </w:pPr>
      <w:r>
        <w:rPr>
          <w:rFonts w:ascii="Courier New" w:hAnsi="Courier New"/>
          <w:sz w:val="24"/>
        </w:rPr>
        <w:t xml:space="preserve">Baja ematea erabaki ondoren, operadoreak alta berriz jaso ahal izateko, zerga administrazioari berme egokiak eskaini beharko dizkio, informazio-betebeharra betetzeko konpromisoa hartzekoa, eman gabe dagoen informazioa barne. </w:t>
      </w:r>
      <w:r>
        <w:rPr>
          <w:rFonts w:ascii="Courier New" w:hAnsi="Courier New"/>
          <w:sz w:val="24"/>
        </w:rPr>
        <w:lastRenderedPageBreak/>
        <w:t>Ondorio horietarako, zerga administrazioak berme egokitzat jotzen ahalko du erantzukizunpeko adierazpen bat edo zerga arloko araudian ezarritako beste edozein berme. Zerga administrazioak berme horiek egokiak direla erabakitzen ahalko du, haien errolda-egoera egiaztatu ondoren, hala badagokio, III. tituluko 2. atalean aurreikusitako egiaztapen- eta ikerketa-jarduketen bitartez.</w:t>
      </w:r>
    </w:p>
    <w:p w14:paraId="43DEC72C" w14:textId="77777777" w:rsidR="001160F9" w:rsidRPr="00FC72E9" w:rsidRDefault="00DB6617" w:rsidP="001160F9">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7. Betebeharra dutenei exijitzen ahal zaizkien adierazpenak, dokumentu-frogak, erregistroak eta beste edozein informazio, arrazoizko arretako prozedurak aplikatzeko eta xedapen gehigarri honetan aipatzen diren informazioa erregistratzeko eta emateko betebeharrak betetzeko erabiltzen dena, gorde egin beharko dira eta zerga administrazioaren eskura eduki, informazioa eman den erreferentzia-aldia amaitu eta hurrengo 10 urteetan.</w:t>
      </w:r>
    </w:p>
    <w:p w14:paraId="4BA8EF05" w14:textId="77777777" w:rsidR="001160F9" w:rsidRPr="00FC72E9" w:rsidRDefault="00DB6617" w:rsidP="001160F9">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Foru lege honen arau orokorren arabera xedapen gehigarri honek aipatzen dituen informazioa erregistratzeko eta emateko betebeharrak egiaztatzeko eta ikertzeko ahalmenak ukatu gabe, zerga administrazioak egiaztatu eta ikertzen ahalko du “informazioa komunikatzeko betebeharra duten plataforma-operadoreek” aplikatu beharreko arrazoizko arretaren arauak eta prozedurak betetzen diren.</w:t>
      </w:r>
    </w:p>
    <w:p w14:paraId="5958F7AB" w14:textId="229367C4" w:rsidR="008049E3" w:rsidRPr="00FC72E9" w:rsidRDefault="00DB6617" w:rsidP="001160F9">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 xml:space="preserve">8. “Informazioa komunikatzeko betebeharra duen plataforma-operadore” guztiek adierazi beharko diote informazioa komunikatu behar duen eta pertsona fisikoa den “saltzaile” bakoitzari hari buruzko informazioa –Kontseiluaren 2011/16/EB Zuzentarauaren 8 bis quater.2 artikuluan eta Agintaritza Eskudunen arteko Akordio Aldeaniztunean, plataforma digitalen bidez lortutako errentari buruzko informazioa automatikoki trukatzeari buruzkoan aipatutakoa– emanen zaiola zerga administrazioari eta transferituko zaiola Batasuneko estatuari, dagokionari, </w:t>
      </w:r>
      <w:r>
        <w:rPr>
          <w:rFonts w:ascii="Courier New" w:hAnsi="Courier New"/>
          <w:sz w:val="24"/>
        </w:rPr>
        <w:lastRenderedPageBreak/>
        <w:t>aipatutako zuzentarauari jarraikiz. Era berean, operadoreak behar besteko aurrerapenaz emanen dio pertsona fisikoari eskubidez jaso behar duen informazio guztia, hark bere datu pertsonalak babesteko eskubidea baliatu ahal izan dezan, eta, betiere, berak bildutako informazioa zerga administrazioari eman aurretik”.</w:t>
      </w:r>
    </w:p>
    <w:p w14:paraId="2F3F0381" w14:textId="3267F619" w:rsidR="001160F9" w:rsidRPr="00FC72E9" w:rsidRDefault="00591926" w:rsidP="001160F9">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Azken xedapenetako lehena. Europar Batasuneko zuzenbidea txertatzea.</w:t>
      </w:r>
    </w:p>
    <w:p w14:paraId="70DF841F" w14:textId="77777777" w:rsidR="00C263AB" w:rsidRPr="00FC72E9" w:rsidRDefault="00591926" w:rsidP="00C263AB">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Foru lege honen bidez foru zerga araudian txertatzen da Kontseiluaren 2021eko martxoaren 22ko 2021/514 (EB) Zuzentaraua, zeinaren bidez aldatzen baita 2011/16/EB Zuzentaraua, fiskalitatearen arloko lankidetza administratiboari buruzkoa.</w:t>
      </w:r>
    </w:p>
    <w:p w14:paraId="477DB5E4" w14:textId="7CBB4F3B" w:rsidR="001160F9" w:rsidRPr="00FC72E9" w:rsidRDefault="00591926" w:rsidP="001160F9">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z w:val="24"/>
          <w:szCs w:val="24"/>
        </w:rPr>
      </w:pPr>
      <w:r>
        <w:rPr>
          <w:rFonts w:ascii="Courier New" w:hAnsi="Courier New"/>
          <w:sz w:val="24"/>
        </w:rPr>
        <w:t>Azken xedapenetako bigarrena. Indarra hartzea.</w:t>
      </w:r>
    </w:p>
    <w:p w14:paraId="1EF4C988" w14:textId="28A8966A" w:rsidR="001160F9" w:rsidRPr="00FC72E9" w:rsidRDefault="00591926" w:rsidP="001160F9">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trike/>
          <w:sz w:val="24"/>
          <w:szCs w:val="24"/>
        </w:rPr>
      </w:pPr>
      <w:r>
        <w:rPr>
          <w:rFonts w:ascii="Courier New" w:hAnsi="Courier New"/>
          <w:sz w:val="24"/>
        </w:rPr>
        <w:t>Foru lege honek Nafarroako Aldizkari Ofizialean argitaratu eta biharamunean hartuko du indarra.</w:t>
      </w:r>
    </w:p>
    <w:p w14:paraId="610F208E" w14:textId="3E39B3BE" w:rsidR="002A4340" w:rsidRPr="00FC72E9" w:rsidRDefault="002A4340" w:rsidP="001160F9">
      <w:pPr>
        <w:widowControl w:val="0"/>
        <w:kinsoku w:val="0"/>
        <w:overflowPunct w:val="0"/>
        <w:autoSpaceDE w:val="0"/>
        <w:autoSpaceDN w:val="0"/>
        <w:adjustRightInd w:val="0"/>
        <w:spacing w:before="240" w:after="0" w:line="360" w:lineRule="auto"/>
        <w:ind w:firstLine="567"/>
        <w:jc w:val="both"/>
        <w:rPr>
          <w:rFonts w:ascii="Courier New" w:eastAsia="Times New Roman" w:hAnsi="Courier New" w:cs="Courier New"/>
          <w:bCs/>
          <w:strike/>
          <w:sz w:val="24"/>
          <w:szCs w:val="24"/>
        </w:rPr>
      </w:pPr>
      <w:r>
        <w:rPr>
          <w:rFonts w:ascii="Courier New" w:hAnsi="Courier New"/>
          <w:sz w:val="24"/>
        </w:rPr>
        <w:t>Nolanahi ere, lehenengo apartatua, bigarren apartatua (6. apartatu berriari dagokionez) eta laugarren apartatua 2023ko urtarrilaren 1etik aurrera aplikatuko dira.</w:t>
      </w:r>
    </w:p>
    <w:sectPr w:rsidR="002A4340" w:rsidRPr="00FC72E9" w:rsidSect="0037683D">
      <w:pgSz w:w="11906" w:h="16838"/>
      <w:pgMar w:top="1417" w:right="18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37671"/>
    <w:multiLevelType w:val="hybridMultilevel"/>
    <w:tmpl w:val="C4EAE8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40976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79B"/>
    <w:rsid w:val="00003736"/>
    <w:rsid w:val="0002543D"/>
    <w:rsid w:val="0002678F"/>
    <w:rsid w:val="00062B8C"/>
    <w:rsid w:val="0007328E"/>
    <w:rsid w:val="000F30CD"/>
    <w:rsid w:val="000F4D89"/>
    <w:rsid w:val="00113D91"/>
    <w:rsid w:val="001160F9"/>
    <w:rsid w:val="00182AF1"/>
    <w:rsid w:val="00185E46"/>
    <w:rsid w:val="001B172D"/>
    <w:rsid w:val="001D7B2B"/>
    <w:rsid w:val="00205D96"/>
    <w:rsid w:val="00207AC8"/>
    <w:rsid w:val="00233697"/>
    <w:rsid w:val="0023502B"/>
    <w:rsid w:val="002432E6"/>
    <w:rsid w:val="00287DED"/>
    <w:rsid w:val="002A4340"/>
    <w:rsid w:val="002B0E1E"/>
    <w:rsid w:val="002B5314"/>
    <w:rsid w:val="002F1592"/>
    <w:rsid w:val="002F7C24"/>
    <w:rsid w:val="00321CCE"/>
    <w:rsid w:val="00336F15"/>
    <w:rsid w:val="003563D0"/>
    <w:rsid w:val="0037683D"/>
    <w:rsid w:val="003E364D"/>
    <w:rsid w:val="003F6245"/>
    <w:rsid w:val="00403730"/>
    <w:rsid w:val="00406E2A"/>
    <w:rsid w:val="0042479B"/>
    <w:rsid w:val="004266D4"/>
    <w:rsid w:val="004377C0"/>
    <w:rsid w:val="0045269C"/>
    <w:rsid w:val="004545EE"/>
    <w:rsid w:val="004618F5"/>
    <w:rsid w:val="00467F9C"/>
    <w:rsid w:val="00481AA4"/>
    <w:rsid w:val="00524F0B"/>
    <w:rsid w:val="005576D8"/>
    <w:rsid w:val="0057604F"/>
    <w:rsid w:val="00576FF9"/>
    <w:rsid w:val="00591511"/>
    <w:rsid w:val="00591926"/>
    <w:rsid w:val="00591C39"/>
    <w:rsid w:val="005E18EA"/>
    <w:rsid w:val="006271BB"/>
    <w:rsid w:val="00653864"/>
    <w:rsid w:val="006571A0"/>
    <w:rsid w:val="006C635C"/>
    <w:rsid w:val="00710C6B"/>
    <w:rsid w:val="0073020E"/>
    <w:rsid w:val="00735B71"/>
    <w:rsid w:val="007A1A44"/>
    <w:rsid w:val="007C32B7"/>
    <w:rsid w:val="008049E3"/>
    <w:rsid w:val="0081391B"/>
    <w:rsid w:val="00872F6F"/>
    <w:rsid w:val="0087757B"/>
    <w:rsid w:val="008A2CC2"/>
    <w:rsid w:val="009112F4"/>
    <w:rsid w:val="009138CC"/>
    <w:rsid w:val="00943113"/>
    <w:rsid w:val="009B0830"/>
    <w:rsid w:val="009D0B4C"/>
    <w:rsid w:val="009D6D07"/>
    <w:rsid w:val="00A86B20"/>
    <w:rsid w:val="00B04520"/>
    <w:rsid w:val="00B05B2E"/>
    <w:rsid w:val="00B21597"/>
    <w:rsid w:val="00B3101E"/>
    <w:rsid w:val="00B352AD"/>
    <w:rsid w:val="00B53FC0"/>
    <w:rsid w:val="00B727F2"/>
    <w:rsid w:val="00B72B39"/>
    <w:rsid w:val="00B83461"/>
    <w:rsid w:val="00B94E4B"/>
    <w:rsid w:val="00BB3F5B"/>
    <w:rsid w:val="00BC737B"/>
    <w:rsid w:val="00C251B5"/>
    <w:rsid w:val="00C263AB"/>
    <w:rsid w:val="00C777E0"/>
    <w:rsid w:val="00CC067C"/>
    <w:rsid w:val="00CC6AB9"/>
    <w:rsid w:val="00CE6178"/>
    <w:rsid w:val="00CF1CF7"/>
    <w:rsid w:val="00CF2920"/>
    <w:rsid w:val="00D2052E"/>
    <w:rsid w:val="00D80104"/>
    <w:rsid w:val="00D9527A"/>
    <w:rsid w:val="00DB6617"/>
    <w:rsid w:val="00DB6A8B"/>
    <w:rsid w:val="00DC012A"/>
    <w:rsid w:val="00DD16C7"/>
    <w:rsid w:val="00DE2688"/>
    <w:rsid w:val="00E04ACA"/>
    <w:rsid w:val="00E13AE4"/>
    <w:rsid w:val="00E43D62"/>
    <w:rsid w:val="00EA35A3"/>
    <w:rsid w:val="00ED08B7"/>
    <w:rsid w:val="00F02F9C"/>
    <w:rsid w:val="00F15A70"/>
    <w:rsid w:val="00FC1F90"/>
    <w:rsid w:val="00FC72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B6E00"/>
  <w15:chartTrackingRefBased/>
  <w15:docId w15:val="{E994FCA8-BCBE-43E1-9FAA-A56EEC91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6">
    <w:name w:val="Pa6"/>
    <w:basedOn w:val="Normal"/>
    <w:next w:val="Normal"/>
    <w:uiPriority w:val="99"/>
    <w:rsid w:val="0042479B"/>
    <w:pPr>
      <w:autoSpaceDE w:val="0"/>
      <w:autoSpaceDN w:val="0"/>
      <w:adjustRightInd w:val="0"/>
      <w:spacing w:after="0" w:line="201" w:lineRule="atLeast"/>
    </w:pPr>
    <w:rPr>
      <w:rFonts w:ascii="Arial" w:hAnsi="Arial" w:cs="Arial"/>
      <w:sz w:val="24"/>
      <w:szCs w:val="24"/>
    </w:rPr>
  </w:style>
  <w:style w:type="paragraph" w:customStyle="1" w:styleId="Pa15">
    <w:name w:val="Pa15"/>
    <w:basedOn w:val="Normal"/>
    <w:next w:val="Normal"/>
    <w:uiPriority w:val="99"/>
    <w:rsid w:val="0042479B"/>
    <w:pPr>
      <w:autoSpaceDE w:val="0"/>
      <w:autoSpaceDN w:val="0"/>
      <w:adjustRightInd w:val="0"/>
      <w:spacing w:after="0" w:line="201" w:lineRule="atLeast"/>
    </w:pPr>
    <w:rPr>
      <w:rFonts w:ascii="Arial" w:hAnsi="Arial" w:cs="Arial"/>
      <w:sz w:val="24"/>
      <w:szCs w:val="24"/>
    </w:rPr>
  </w:style>
  <w:style w:type="paragraph" w:customStyle="1" w:styleId="Pa13">
    <w:name w:val="Pa13"/>
    <w:basedOn w:val="Normal"/>
    <w:next w:val="Normal"/>
    <w:uiPriority w:val="99"/>
    <w:rsid w:val="0042479B"/>
    <w:pPr>
      <w:autoSpaceDE w:val="0"/>
      <w:autoSpaceDN w:val="0"/>
      <w:adjustRightInd w:val="0"/>
      <w:spacing w:after="0" w:line="201" w:lineRule="atLeast"/>
    </w:pPr>
    <w:rPr>
      <w:rFonts w:ascii="Arial" w:hAnsi="Arial" w:cs="Arial"/>
      <w:sz w:val="24"/>
      <w:szCs w:val="24"/>
    </w:rPr>
  </w:style>
  <w:style w:type="paragraph" w:styleId="Prrafodelista">
    <w:name w:val="List Paragraph"/>
    <w:basedOn w:val="Normal"/>
    <w:uiPriority w:val="34"/>
    <w:qFormat/>
    <w:rsid w:val="0042479B"/>
    <w:pPr>
      <w:ind w:left="720"/>
      <w:contextualSpacing/>
    </w:pPr>
  </w:style>
  <w:style w:type="paragraph" w:customStyle="1" w:styleId="Pa14">
    <w:name w:val="Pa14"/>
    <w:basedOn w:val="Normal"/>
    <w:next w:val="Normal"/>
    <w:uiPriority w:val="99"/>
    <w:rsid w:val="0042479B"/>
    <w:pPr>
      <w:autoSpaceDE w:val="0"/>
      <w:autoSpaceDN w:val="0"/>
      <w:adjustRightInd w:val="0"/>
      <w:spacing w:after="0" w:line="201" w:lineRule="atLeast"/>
    </w:pPr>
    <w:rPr>
      <w:rFonts w:ascii="Arial" w:hAnsi="Arial" w:cs="Arial"/>
      <w:sz w:val="24"/>
      <w:szCs w:val="24"/>
    </w:rPr>
  </w:style>
  <w:style w:type="paragraph" w:customStyle="1" w:styleId="Default">
    <w:name w:val="Default"/>
    <w:rsid w:val="0042479B"/>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727F2"/>
    <w:rPr>
      <w:sz w:val="16"/>
      <w:szCs w:val="16"/>
    </w:rPr>
  </w:style>
  <w:style w:type="paragraph" w:styleId="Textocomentario">
    <w:name w:val="annotation text"/>
    <w:basedOn w:val="Normal"/>
    <w:link w:val="TextocomentarioCar"/>
    <w:uiPriority w:val="99"/>
    <w:semiHidden/>
    <w:unhideWhenUsed/>
    <w:rsid w:val="00B727F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27F2"/>
    <w:rPr>
      <w:sz w:val="20"/>
      <w:szCs w:val="20"/>
    </w:rPr>
  </w:style>
  <w:style w:type="paragraph" w:styleId="Asuntodelcomentario">
    <w:name w:val="annotation subject"/>
    <w:basedOn w:val="Textocomentario"/>
    <w:next w:val="Textocomentario"/>
    <w:link w:val="AsuntodelcomentarioCar"/>
    <w:uiPriority w:val="99"/>
    <w:semiHidden/>
    <w:unhideWhenUsed/>
    <w:rsid w:val="00B727F2"/>
    <w:rPr>
      <w:b/>
      <w:bCs/>
    </w:rPr>
  </w:style>
  <w:style w:type="character" w:customStyle="1" w:styleId="AsuntodelcomentarioCar">
    <w:name w:val="Asunto del comentario Car"/>
    <w:basedOn w:val="TextocomentarioCar"/>
    <w:link w:val="Asuntodelcomentario"/>
    <w:uiPriority w:val="99"/>
    <w:semiHidden/>
    <w:rsid w:val="00B727F2"/>
    <w:rPr>
      <w:b/>
      <w:bCs/>
      <w:sz w:val="20"/>
      <w:szCs w:val="20"/>
    </w:rPr>
  </w:style>
  <w:style w:type="paragraph" w:styleId="Textodeglobo">
    <w:name w:val="Balloon Text"/>
    <w:basedOn w:val="Normal"/>
    <w:link w:val="TextodegloboCar"/>
    <w:uiPriority w:val="99"/>
    <w:semiHidden/>
    <w:unhideWhenUsed/>
    <w:rsid w:val="00B72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27F2"/>
    <w:rPr>
      <w:rFonts w:ascii="Segoe UI" w:hAnsi="Segoe UI" w:cs="Segoe UI"/>
      <w:sz w:val="18"/>
      <w:szCs w:val="18"/>
    </w:rPr>
  </w:style>
  <w:style w:type="paragraph" w:customStyle="1" w:styleId="Pa11">
    <w:name w:val="Pa11"/>
    <w:basedOn w:val="Default"/>
    <w:next w:val="Default"/>
    <w:uiPriority w:val="99"/>
    <w:rsid w:val="00467F9C"/>
    <w:pPr>
      <w:spacing w:line="201" w:lineRule="atLeast"/>
    </w:pPr>
    <w:rPr>
      <w:color w:val="auto"/>
    </w:rPr>
  </w:style>
  <w:style w:type="paragraph" w:customStyle="1" w:styleId="foral-f-parrafo-c">
    <w:name w:val="foral-f-parrafo-c"/>
    <w:basedOn w:val="Normal"/>
    <w:rsid w:val="00CF1CF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17">
    <w:name w:val="Pa17"/>
    <w:basedOn w:val="Default"/>
    <w:next w:val="Default"/>
    <w:uiPriority w:val="99"/>
    <w:rsid w:val="00B04520"/>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98348">
      <w:bodyDiv w:val="1"/>
      <w:marLeft w:val="0"/>
      <w:marRight w:val="0"/>
      <w:marTop w:val="0"/>
      <w:marBottom w:val="0"/>
      <w:divBdr>
        <w:top w:val="none" w:sz="0" w:space="0" w:color="auto"/>
        <w:left w:val="none" w:sz="0" w:space="0" w:color="auto"/>
        <w:bottom w:val="none" w:sz="0" w:space="0" w:color="auto"/>
        <w:right w:val="none" w:sz="0" w:space="0" w:color="auto"/>
      </w:divBdr>
      <w:divsChild>
        <w:div w:id="2024748312">
          <w:marLeft w:val="0"/>
          <w:marRight w:val="0"/>
          <w:marTop w:val="0"/>
          <w:marBottom w:val="300"/>
          <w:divBdr>
            <w:top w:val="single" w:sz="6" w:space="2" w:color="auto"/>
            <w:left w:val="single" w:sz="6" w:space="2" w:color="auto"/>
            <w:bottom w:val="single" w:sz="6" w:space="2" w:color="auto"/>
            <w:right w:val="single" w:sz="6" w:space="2" w:color="auto"/>
          </w:divBdr>
        </w:div>
        <w:div w:id="2026053978">
          <w:marLeft w:val="0"/>
          <w:marRight w:val="0"/>
          <w:marTop w:val="0"/>
          <w:marBottom w:val="300"/>
          <w:divBdr>
            <w:top w:val="none" w:sz="0" w:space="0" w:color="auto"/>
            <w:left w:val="none" w:sz="0" w:space="0" w:color="auto"/>
            <w:bottom w:val="none" w:sz="0" w:space="0" w:color="auto"/>
            <w:right w:val="none" w:sz="0" w:space="0" w:color="auto"/>
          </w:divBdr>
        </w:div>
        <w:div w:id="181013162">
          <w:marLeft w:val="0"/>
          <w:marRight w:val="0"/>
          <w:marTop w:val="0"/>
          <w:marBottom w:val="300"/>
          <w:divBdr>
            <w:top w:val="none" w:sz="0" w:space="0" w:color="auto"/>
            <w:left w:val="none" w:sz="0" w:space="0" w:color="auto"/>
            <w:bottom w:val="none" w:sz="0" w:space="0" w:color="auto"/>
            <w:right w:val="none" w:sz="0" w:space="0" w:color="auto"/>
          </w:divBdr>
        </w:div>
        <w:div w:id="793791936">
          <w:marLeft w:val="0"/>
          <w:marRight w:val="0"/>
          <w:marTop w:val="0"/>
          <w:marBottom w:val="300"/>
          <w:divBdr>
            <w:top w:val="none" w:sz="0" w:space="0" w:color="auto"/>
            <w:left w:val="none" w:sz="0" w:space="0" w:color="auto"/>
            <w:bottom w:val="none" w:sz="0" w:space="0" w:color="auto"/>
            <w:right w:val="none" w:sz="0" w:space="0" w:color="auto"/>
          </w:divBdr>
        </w:div>
        <w:div w:id="1499811925">
          <w:marLeft w:val="0"/>
          <w:marRight w:val="0"/>
          <w:marTop w:val="0"/>
          <w:marBottom w:val="300"/>
          <w:divBdr>
            <w:top w:val="none" w:sz="0" w:space="0" w:color="auto"/>
            <w:left w:val="none" w:sz="0" w:space="0" w:color="auto"/>
            <w:bottom w:val="none" w:sz="0" w:space="0" w:color="auto"/>
            <w:right w:val="none" w:sz="0" w:space="0" w:color="auto"/>
          </w:divBdr>
        </w:div>
        <w:div w:id="1644117536">
          <w:marLeft w:val="0"/>
          <w:marRight w:val="0"/>
          <w:marTop w:val="0"/>
          <w:marBottom w:val="300"/>
          <w:divBdr>
            <w:top w:val="none" w:sz="0" w:space="0" w:color="auto"/>
            <w:left w:val="none" w:sz="0" w:space="0" w:color="auto"/>
            <w:bottom w:val="none" w:sz="0" w:space="0" w:color="auto"/>
            <w:right w:val="none" w:sz="0" w:space="0" w:color="auto"/>
          </w:divBdr>
        </w:div>
        <w:div w:id="1511481218">
          <w:marLeft w:val="0"/>
          <w:marRight w:val="0"/>
          <w:marTop w:val="0"/>
          <w:marBottom w:val="300"/>
          <w:divBdr>
            <w:top w:val="none" w:sz="0" w:space="0" w:color="auto"/>
            <w:left w:val="none" w:sz="0" w:space="0" w:color="auto"/>
            <w:bottom w:val="none" w:sz="0" w:space="0" w:color="auto"/>
            <w:right w:val="none" w:sz="0" w:space="0" w:color="auto"/>
          </w:divBdr>
        </w:div>
      </w:divsChild>
    </w:div>
    <w:div w:id="1049839192">
      <w:bodyDiv w:val="1"/>
      <w:marLeft w:val="0"/>
      <w:marRight w:val="0"/>
      <w:marTop w:val="0"/>
      <w:marBottom w:val="0"/>
      <w:divBdr>
        <w:top w:val="none" w:sz="0" w:space="0" w:color="auto"/>
        <w:left w:val="none" w:sz="0" w:space="0" w:color="auto"/>
        <w:bottom w:val="none" w:sz="0" w:space="0" w:color="auto"/>
        <w:right w:val="none" w:sz="0" w:space="0" w:color="auto"/>
      </w:divBdr>
      <w:divsChild>
        <w:div w:id="355271053">
          <w:marLeft w:val="0"/>
          <w:marRight w:val="0"/>
          <w:marTop w:val="0"/>
          <w:marBottom w:val="300"/>
          <w:divBdr>
            <w:top w:val="none" w:sz="0" w:space="0" w:color="auto"/>
            <w:left w:val="none" w:sz="0" w:space="0" w:color="auto"/>
            <w:bottom w:val="none" w:sz="0" w:space="0" w:color="auto"/>
            <w:right w:val="none" w:sz="0" w:space="0" w:color="auto"/>
          </w:divBdr>
        </w:div>
        <w:div w:id="235865694">
          <w:marLeft w:val="0"/>
          <w:marRight w:val="0"/>
          <w:marTop w:val="0"/>
          <w:marBottom w:val="300"/>
          <w:divBdr>
            <w:top w:val="none" w:sz="0" w:space="0" w:color="auto"/>
            <w:left w:val="none" w:sz="0" w:space="0" w:color="auto"/>
            <w:bottom w:val="none" w:sz="0" w:space="0" w:color="auto"/>
            <w:right w:val="none" w:sz="0" w:space="0" w:color="auto"/>
          </w:divBdr>
        </w:div>
        <w:div w:id="1170218778">
          <w:marLeft w:val="0"/>
          <w:marRight w:val="0"/>
          <w:marTop w:val="0"/>
          <w:marBottom w:val="300"/>
          <w:divBdr>
            <w:top w:val="none" w:sz="0" w:space="0" w:color="auto"/>
            <w:left w:val="none" w:sz="0" w:space="0" w:color="auto"/>
            <w:bottom w:val="none" w:sz="0" w:space="0" w:color="auto"/>
            <w:right w:val="none" w:sz="0" w:space="0" w:color="auto"/>
          </w:divBdr>
        </w:div>
      </w:divsChild>
    </w:div>
    <w:div w:id="113752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4214710ED2374A81781B27016F6BEF" ma:contentTypeVersion="0" ma:contentTypeDescription="Crear nuevo documento." ma:contentTypeScope="" ma:versionID="2cb745309278ebf914b9637c71a89fe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A574C-7E19-461A-80D2-C3CA758BDEF3}">
  <ds:schemaRefs>
    <ds:schemaRef ds:uri="http://schemas.microsoft.com/sharepoint/v3/contenttype/forms"/>
  </ds:schemaRefs>
</ds:datastoreItem>
</file>

<file path=customXml/itemProps2.xml><?xml version="1.0" encoding="utf-8"?>
<ds:datastoreItem xmlns:ds="http://schemas.openxmlformats.org/officeDocument/2006/customXml" ds:itemID="{D0DFCB5E-80B9-466F-A04E-300A6CCAE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5C7A62-010A-4AE5-B9F5-A69AE6A28FE6}">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5563574-874F-425F-9C2D-9E87296B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3098</Words>
  <Characters>17044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n222069</dc:creator>
  <cp:keywords/>
  <dc:description/>
  <cp:lastModifiedBy>Martin Cestao, Nerea</cp:lastModifiedBy>
  <cp:revision>6</cp:revision>
  <dcterms:created xsi:type="dcterms:W3CDTF">2023-09-04T08:17:00Z</dcterms:created>
  <dcterms:modified xsi:type="dcterms:W3CDTF">2023-09-14T11:24:00Z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0x010100004214710ED2374A81781B27016F6BEF</vt:lpwstr>
  </property>
</Properties>
</file>