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A7BB" w14:textId="21C7A7F4" w:rsidR="00773012" w:rsidRPr="00261BF1" w:rsidRDefault="00773012" w:rsidP="00A44465">
      <w:pPr>
        <w:pStyle w:val="Style"/>
        <w:tabs>
          <w:tab w:val="left" w:pos="1641"/>
          <w:tab w:val="left" w:pos="2952"/>
          <w:tab w:val="left" w:pos="4521"/>
          <w:tab w:val="left" w:pos="6134"/>
          <w:tab w:val="left" w:pos="8083"/>
          <w:tab w:val="left" w:pos="8774"/>
        </w:tabs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261BF1">
        <w:rPr>
          <w:rFonts w:ascii="Calibri" w:eastAsia="Arial" w:hAnsi="Calibri" w:cs="Calibri"/>
          <w:bCs/>
          <w:sz w:val="22"/>
          <w:szCs w:val="22"/>
        </w:rPr>
        <w:t>23PES-161</w:t>
      </w:r>
    </w:p>
    <w:p w14:paraId="0C053163" w14:textId="0042A940" w:rsidR="00430F90" w:rsidRPr="00AF32A0" w:rsidRDefault="001D1A52" w:rsidP="00A44465">
      <w:pPr>
        <w:pStyle w:val="Style"/>
        <w:tabs>
          <w:tab w:val="left" w:pos="1641"/>
          <w:tab w:val="left" w:pos="2952"/>
          <w:tab w:val="left" w:pos="4521"/>
          <w:tab w:val="left" w:pos="6134"/>
          <w:tab w:val="left" w:pos="8083"/>
          <w:tab w:val="left" w:pos="8774"/>
        </w:tabs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F32A0">
        <w:rPr>
          <w:rFonts w:ascii="Calibri" w:eastAsia="Arial" w:hAnsi="Calibri" w:cs="Calibri"/>
          <w:sz w:val="22"/>
          <w:szCs w:val="22"/>
        </w:rPr>
        <w:t xml:space="preserve">Txomin González Martínez, </w:t>
      </w:r>
      <w:r w:rsidR="0009736B" w:rsidRPr="00AF32A0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AF32A0">
        <w:rPr>
          <w:rFonts w:ascii="Calibri" w:eastAsia="Arial" w:hAnsi="Calibri" w:cs="Calibri"/>
          <w:sz w:val="22"/>
          <w:szCs w:val="22"/>
        </w:rPr>
        <w:t>Bildu Nafarroa</w:t>
      </w:r>
      <w:r w:rsidR="0009736B" w:rsidRPr="00AF32A0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realiza la siguiente </w:t>
      </w:r>
      <w:r w:rsidRPr="00AF32A0">
        <w:rPr>
          <w:rFonts w:ascii="Calibri" w:eastAsia="Arial" w:hAnsi="Calibri" w:cs="Calibri"/>
          <w:sz w:val="22"/>
          <w:szCs w:val="22"/>
        </w:rPr>
        <w:t xml:space="preserve">pregunta escrita </w:t>
      </w:r>
      <w:r w:rsidR="0009736B" w:rsidRPr="00AF32A0">
        <w:rPr>
          <w:rFonts w:ascii="Calibri" w:eastAsia="Arial" w:hAnsi="Calibri" w:cs="Calibri"/>
          <w:sz w:val="22"/>
          <w:szCs w:val="22"/>
        </w:rPr>
        <w:t xml:space="preserve">para que su respuesta por la Consejera de Salud del Gobierno de Navarra. </w:t>
      </w:r>
    </w:p>
    <w:p w14:paraId="3E4452FF" w14:textId="3B0FE2B6" w:rsidR="00430F90" w:rsidRPr="00AF32A0" w:rsidRDefault="0009736B" w:rsidP="00A44465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F32A0">
        <w:rPr>
          <w:rFonts w:ascii="Calibri" w:eastAsia="Arial" w:hAnsi="Calibri" w:cs="Calibri"/>
          <w:sz w:val="22"/>
          <w:szCs w:val="22"/>
        </w:rPr>
        <w:t>El 29 de junio de 2022 en la Comisión de Salud se debatió y votó la moción por la que se instaba al Gobierno de Navarra a garantizar el acceso de los pacientes con fibrilación auricular no valvular (FANV) a los anticoagulantes orales de acción directa (ACOD) de acuerdo con las recomendaciones de las Guías de Práctica Clínica europeas y españolas, presentada por los Grupos Parlamentarios Partido Socialista de Navarra, Geroa Bai, EH Bildu Nafarroa, la Agrupación Parlamentari</w:t>
      </w:r>
      <w:r w:rsidR="00AF32A0" w:rsidRPr="00AF32A0">
        <w:rPr>
          <w:rFonts w:ascii="Calibri" w:eastAsia="Arial" w:hAnsi="Calibri" w:cs="Calibri"/>
          <w:sz w:val="22"/>
          <w:szCs w:val="22"/>
        </w:rPr>
        <w:t>a</w:t>
      </w:r>
      <w:r w:rsidRPr="00AF32A0">
        <w:rPr>
          <w:rFonts w:ascii="Calibri" w:eastAsia="Arial" w:hAnsi="Calibri" w:cs="Calibri"/>
          <w:sz w:val="22"/>
          <w:szCs w:val="22"/>
        </w:rPr>
        <w:t xml:space="preserve"> Foral de Podemos Ahal Dugu Navarra y el Grupo Parlamentario Mixto</w:t>
      </w:r>
      <w:r w:rsidR="00AF32A0" w:rsidRPr="00AF32A0">
        <w:rPr>
          <w:rFonts w:ascii="Calibri" w:eastAsia="Arial" w:hAnsi="Calibri" w:cs="Calibri"/>
          <w:sz w:val="22"/>
          <w:szCs w:val="22"/>
        </w:rPr>
        <w:t xml:space="preserve"> </w:t>
      </w:r>
      <w:r w:rsidRPr="00AF32A0">
        <w:rPr>
          <w:rFonts w:ascii="Calibri" w:eastAsia="Arial" w:hAnsi="Calibri" w:cs="Calibri"/>
          <w:sz w:val="22"/>
          <w:szCs w:val="22"/>
        </w:rPr>
        <w:t xml:space="preserve">lzquierda-Ezkerra. Los Puntos 1, 2, 3 y 4 fueron aprobados por 8 votos a favor, ninguno en contra y 6 abstenciones de Navarra Suma. Y los Puntos 5, 6 y 7 fueron aprobados por 14 votos a favor, ninguno en contra y ninguna abstención, adoptándose las siguientes Resoluciones: </w:t>
      </w:r>
    </w:p>
    <w:p w14:paraId="5E30C4AC" w14:textId="3630394C" w:rsidR="00430F90" w:rsidRPr="0090399A" w:rsidRDefault="0037006E" w:rsidP="00A44465">
      <w:pPr>
        <w:pStyle w:val="Style"/>
        <w:spacing w:before="100" w:beforeAutospacing="1" w:after="200" w:line="276" w:lineRule="auto"/>
        <w:ind w:left="96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“</w:t>
      </w:r>
      <w:r w:rsidR="0009736B" w:rsidRPr="0090399A">
        <w:rPr>
          <w:rFonts w:ascii="Calibri" w:eastAsia="Arial" w:hAnsi="Calibri" w:cs="Calibri"/>
          <w:sz w:val="22"/>
          <w:szCs w:val="22"/>
        </w:rPr>
        <w:t xml:space="preserve">El Parlamento de Navarra insta al Gobierno de Navarra: </w:t>
      </w:r>
    </w:p>
    <w:p w14:paraId="0FF5D1A1" w14:textId="77777777" w:rsidR="00430F90" w:rsidRPr="0090399A" w:rsidRDefault="0009736B" w:rsidP="00A44465">
      <w:pPr>
        <w:pStyle w:val="Style"/>
        <w:spacing w:before="100" w:beforeAutospacing="1" w:after="200" w:line="276" w:lineRule="auto"/>
        <w:ind w:left="931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399A">
        <w:rPr>
          <w:rFonts w:ascii="Calibri" w:eastAsia="Arial" w:hAnsi="Calibri" w:cs="Calibri"/>
          <w:sz w:val="22"/>
          <w:szCs w:val="22"/>
        </w:rPr>
        <w:t xml:space="preserve">1. Garantizar el acceso de los pacientes con FANV a los ACOD de acuerdo con las recomendaciones de las Guías de Práctica Clínica europeas y españolas. </w:t>
      </w:r>
    </w:p>
    <w:p w14:paraId="6477CA7A" w14:textId="77777777" w:rsidR="00430F90" w:rsidRPr="0090399A" w:rsidRDefault="0009736B" w:rsidP="00A44465">
      <w:pPr>
        <w:pStyle w:val="Style"/>
        <w:spacing w:before="100" w:beforeAutospacing="1" w:after="200" w:line="276" w:lineRule="auto"/>
        <w:ind w:left="931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399A">
        <w:rPr>
          <w:rFonts w:ascii="Calibri" w:eastAsia="Arial" w:hAnsi="Calibri" w:cs="Calibri"/>
          <w:sz w:val="22"/>
          <w:szCs w:val="22"/>
        </w:rPr>
        <w:t xml:space="preserve">2. Flexibilizar el inicio del tratamiento anticoagulante oral con un ACOD en los pacientes con FANV que presenten un riesgo elevado de padecer un ictus y/o un sangrado mayor y/obtuvieran bajas posibilidades de lograr un adecuado control de la anticoagulación con AVK. </w:t>
      </w:r>
    </w:p>
    <w:p w14:paraId="629FA4FA" w14:textId="77777777" w:rsidR="00430F90" w:rsidRPr="0090399A" w:rsidRDefault="0009736B" w:rsidP="00A44465">
      <w:pPr>
        <w:pStyle w:val="Style"/>
        <w:spacing w:before="100" w:beforeAutospacing="1" w:after="200" w:line="276" w:lineRule="auto"/>
        <w:ind w:left="931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399A">
        <w:rPr>
          <w:rFonts w:ascii="Calibri" w:eastAsia="Arial" w:hAnsi="Calibri" w:cs="Calibri"/>
          <w:sz w:val="22"/>
          <w:szCs w:val="22"/>
        </w:rPr>
        <w:t xml:space="preserve">3. Reducir el plazo a 3 meses para autorizar el cambio de AVK a ACOD en pacientes con mal control con AVK. </w:t>
      </w:r>
    </w:p>
    <w:p w14:paraId="2188F1EC" w14:textId="77777777" w:rsidR="00430F90" w:rsidRPr="0090399A" w:rsidRDefault="0009736B" w:rsidP="00A44465">
      <w:pPr>
        <w:pStyle w:val="Style"/>
        <w:spacing w:before="100" w:beforeAutospacing="1" w:after="200" w:line="276" w:lineRule="auto"/>
        <w:ind w:left="931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399A">
        <w:rPr>
          <w:rFonts w:ascii="Calibri" w:eastAsia="Arial" w:hAnsi="Calibri" w:cs="Calibri"/>
          <w:sz w:val="22"/>
          <w:szCs w:val="22"/>
        </w:rPr>
        <w:t xml:space="preserve">4. Simplificar el visado de inspección que actualmente requieren los ACOO y pasar a un visado automático con revisión posterior. </w:t>
      </w:r>
    </w:p>
    <w:p w14:paraId="2521F252" w14:textId="77777777" w:rsidR="0090399A" w:rsidRPr="0090399A" w:rsidRDefault="0009736B" w:rsidP="00A44465">
      <w:pPr>
        <w:pStyle w:val="Style"/>
        <w:spacing w:before="100" w:beforeAutospacing="1" w:after="200" w:line="276" w:lineRule="auto"/>
        <w:ind w:left="931"/>
        <w:textAlignment w:val="baseline"/>
      </w:pPr>
      <w:r w:rsidRPr="0090399A">
        <w:rPr>
          <w:rFonts w:ascii="Calibri" w:eastAsia="Arial" w:hAnsi="Calibri" w:cs="Calibri"/>
          <w:sz w:val="22"/>
          <w:szCs w:val="22"/>
        </w:rPr>
        <w:t xml:space="preserve">5. Establecer un sistema de alerta informatizado a los profesionales sanitarios para poder identificar tempranamente los pacientes mal </w:t>
      </w:r>
      <w:r w:rsidR="0090399A" w:rsidRPr="0090399A">
        <w:rPr>
          <w:rFonts w:ascii="Calibri" w:eastAsia="Arial" w:hAnsi="Calibri" w:cs="Calibri"/>
          <w:sz w:val="22"/>
          <w:szCs w:val="22"/>
        </w:rPr>
        <w:t xml:space="preserve">anticoagulados </w:t>
      </w:r>
      <w:r w:rsidR="0090399A" w:rsidRPr="0090399A">
        <w:rPr>
          <w:rFonts w:ascii="Calibri" w:eastAsia="Arial" w:hAnsi="Calibri" w:cs="Calibri"/>
          <w:w w:val="82"/>
          <w:sz w:val="22"/>
          <w:szCs w:val="22"/>
        </w:rPr>
        <w:t xml:space="preserve">y </w:t>
      </w:r>
      <w:r w:rsidR="0090399A" w:rsidRPr="0090399A">
        <w:rPr>
          <w:rFonts w:ascii="Calibri" w:eastAsia="Arial" w:hAnsi="Calibri" w:cs="Calibri"/>
          <w:sz w:val="22"/>
          <w:szCs w:val="22"/>
        </w:rPr>
        <w:t>tomar las medidas de cambio de tratamiento más adecuadas.</w:t>
      </w:r>
    </w:p>
    <w:p w14:paraId="470211CF" w14:textId="23F5CED2" w:rsidR="00E07A27" w:rsidRPr="005F2E05" w:rsidRDefault="00E07A27" w:rsidP="005F2E05">
      <w:pPr>
        <w:pStyle w:val="Style"/>
        <w:spacing w:before="100" w:beforeAutospacing="1" w:after="200" w:line="276" w:lineRule="auto"/>
        <w:ind w:left="9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F2E05">
        <w:rPr>
          <w:rFonts w:ascii="Calibri" w:hAnsi="Calibri" w:cs="Calibri"/>
          <w:sz w:val="22"/>
          <w:szCs w:val="22"/>
        </w:rPr>
        <w:t xml:space="preserve">6. </w:t>
      </w:r>
      <w:r w:rsidRPr="005F2E05">
        <w:rPr>
          <w:rFonts w:ascii="Calibri" w:eastAsia="Arial" w:hAnsi="Calibri" w:cs="Calibri"/>
          <w:sz w:val="22"/>
          <w:szCs w:val="22"/>
        </w:rPr>
        <w:t xml:space="preserve">Incorporar auditorías de calidad en la prevención del ictus </w:t>
      </w:r>
      <w:r w:rsidRPr="005F2E05">
        <w:rPr>
          <w:rFonts w:ascii="Calibri" w:eastAsia="Arial" w:hAnsi="Calibri" w:cs="Calibri"/>
          <w:w w:val="85"/>
          <w:sz w:val="22"/>
          <w:szCs w:val="22"/>
        </w:rPr>
        <w:t xml:space="preserve">y </w:t>
      </w:r>
      <w:r w:rsidRPr="005F2E05">
        <w:rPr>
          <w:rFonts w:ascii="Calibri" w:eastAsia="Arial" w:hAnsi="Calibri" w:cs="Calibri"/>
          <w:sz w:val="22"/>
          <w:szCs w:val="22"/>
        </w:rPr>
        <w:t>el control de la anticoagulación.</w:t>
      </w:r>
    </w:p>
    <w:p w14:paraId="3572201F" w14:textId="1C8D204A" w:rsidR="00E07A27" w:rsidRPr="005F2E05" w:rsidRDefault="00E07A27" w:rsidP="005F2E05">
      <w:pPr>
        <w:pStyle w:val="Style"/>
        <w:spacing w:before="100" w:beforeAutospacing="1" w:after="200" w:line="276" w:lineRule="auto"/>
        <w:ind w:left="9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F2E05">
        <w:rPr>
          <w:rFonts w:ascii="Calibri" w:hAnsi="Calibri" w:cs="Calibri"/>
          <w:w w:val="88"/>
          <w:sz w:val="22"/>
          <w:szCs w:val="22"/>
        </w:rPr>
        <w:t xml:space="preserve">7. </w:t>
      </w:r>
      <w:r w:rsidRPr="005F2E05">
        <w:rPr>
          <w:rFonts w:ascii="Calibri" w:eastAsia="Arial" w:hAnsi="Calibri" w:cs="Calibri"/>
          <w:sz w:val="22"/>
          <w:szCs w:val="22"/>
        </w:rPr>
        <w:t>Crear un observatorio de resultados en pacientes anticoagulados, que permita tener datos de vida real</w:t>
      </w:r>
      <w:r w:rsidR="0037006E">
        <w:rPr>
          <w:rFonts w:ascii="Calibri" w:eastAsia="Arial" w:hAnsi="Calibri" w:cs="Calibri"/>
          <w:sz w:val="22"/>
          <w:szCs w:val="22"/>
        </w:rPr>
        <w:t>”</w:t>
      </w:r>
      <w:r w:rsidRPr="005F2E05">
        <w:rPr>
          <w:rFonts w:ascii="Calibri" w:eastAsia="Arial" w:hAnsi="Calibri" w:cs="Calibri"/>
          <w:sz w:val="22"/>
          <w:szCs w:val="22"/>
        </w:rPr>
        <w:t>.</w:t>
      </w:r>
    </w:p>
    <w:p w14:paraId="656ECB51" w14:textId="77777777" w:rsidR="001B3397" w:rsidRDefault="00E07A27" w:rsidP="001B3397">
      <w:pPr>
        <w:pStyle w:val="Style"/>
        <w:spacing w:before="100" w:beforeAutospacing="1" w:after="200" w:line="276" w:lineRule="auto"/>
        <w:ind w:left="233" w:firstLine="69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F2E05">
        <w:rPr>
          <w:rFonts w:ascii="Calibri" w:eastAsia="Arial" w:hAnsi="Calibri" w:cs="Calibri"/>
          <w:sz w:val="22"/>
          <w:szCs w:val="22"/>
        </w:rPr>
        <w:t>A la vista de ello este parlamentario formula las siguientes preguntas:</w:t>
      </w:r>
    </w:p>
    <w:p w14:paraId="41800E35" w14:textId="5B7CFFD1" w:rsidR="00E07A27" w:rsidRPr="001B3397" w:rsidRDefault="00E07A27" w:rsidP="001B3397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07A27">
        <w:rPr>
          <w:rFonts w:ascii="Calibri" w:eastAsia="Arial" w:hAnsi="Calibri" w:cs="Calibri"/>
          <w:sz w:val="22"/>
          <w:szCs w:val="22"/>
        </w:rPr>
        <w:t xml:space="preserve">¿Qué grado de implementación ha tenido cada una de las Resoluciones recogidas en la </w:t>
      </w:r>
      <w:r w:rsidRPr="00E07A27">
        <w:rPr>
          <w:rFonts w:ascii="Calibri" w:eastAsia="Arial" w:hAnsi="Calibri" w:cs="Calibri"/>
          <w:sz w:val="22"/>
          <w:szCs w:val="22"/>
        </w:rPr>
        <w:lastRenderedPageBreak/>
        <w:t>moción aprobada sobre los Anticoagulantes de Acción Directa?</w:t>
      </w:r>
    </w:p>
    <w:p w14:paraId="68ADE3A3" w14:textId="7DC547F3" w:rsidR="00E07A27" w:rsidRPr="00E07A27" w:rsidRDefault="00E07A27" w:rsidP="0037006E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07A27">
        <w:rPr>
          <w:rFonts w:ascii="Calibri" w:eastAsia="Arial" w:hAnsi="Calibri" w:cs="Calibri"/>
          <w:sz w:val="22"/>
          <w:szCs w:val="22"/>
        </w:rPr>
        <w:t>¿Qué previsión de implementación tienen para cada una de las Resoluciones, y posible cronograma específico de puesta en marcha de las siete medidas recogidas?</w:t>
      </w:r>
    </w:p>
    <w:p w14:paraId="23094034" w14:textId="1B753934" w:rsidR="00E07A27" w:rsidRDefault="00E07A27" w:rsidP="00A44465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3"/>
          <w:szCs w:val="23"/>
        </w:rPr>
      </w:pPr>
      <w:r w:rsidRPr="00E07A27">
        <w:rPr>
          <w:rFonts w:ascii="Calibri" w:eastAsia="Arial" w:hAnsi="Calibri" w:cs="Calibri"/>
          <w:sz w:val="23"/>
          <w:szCs w:val="23"/>
        </w:rPr>
        <w:t>En lruñea/Pamplona</w:t>
      </w:r>
      <w:r w:rsidR="0009736B">
        <w:rPr>
          <w:rFonts w:ascii="Calibri" w:eastAsia="Arial" w:hAnsi="Calibri" w:cs="Calibri"/>
          <w:sz w:val="23"/>
          <w:szCs w:val="23"/>
        </w:rPr>
        <w:t>,</w:t>
      </w:r>
      <w:r w:rsidRPr="00E07A27">
        <w:rPr>
          <w:rFonts w:ascii="Calibri" w:eastAsia="Arial" w:hAnsi="Calibri" w:cs="Calibri"/>
          <w:sz w:val="23"/>
          <w:szCs w:val="23"/>
        </w:rPr>
        <w:t xml:space="preserve"> a 26 de octubre de 2023</w:t>
      </w:r>
    </w:p>
    <w:p w14:paraId="19EBE4DF" w14:textId="4AEB1628" w:rsidR="00E07A27" w:rsidRPr="00E07A27" w:rsidRDefault="00E07A27" w:rsidP="00A4446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</w:rPr>
      </w:pPr>
      <w:r>
        <w:rPr>
          <w:rFonts w:ascii="Calibri" w:eastAsia="Arial" w:hAnsi="Calibri" w:cs="Calibri"/>
          <w:sz w:val="23"/>
          <w:szCs w:val="23"/>
        </w:rPr>
        <w:t>El Parlamentario Foral: Domingo González Martínez</w:t>
      </w:r>
    </w:p>
    <w:sectPr w:rsidR="00E07A27" w:rsidRPr="00E07A27" w:rsidSect="00E07A27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53959"/>
    <w:multiLevelType w:val="hybridMultilevel"/>
    <w:tmpl w:val="DF40337A"/>
    <w:lvl w:ilvl="0" w:tplc="8D080724">
      <w:start w:val="7"/>
      <w:numFmt w:val="bullet"/>
      <w:lvlText w:val="-"/>
      <w:lvlJc w:val="left"/>
      <w:pPr>
        <w:ind w:left="379" w:hanging="360"/>
      </w:pPr>
      <w:rPr>
        <w:rFonts w:ascii="Arial" w:eastAsia="Arial" w:hAnsi="Arial" w:cs="Arial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 w16cid:durableId="28929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F90"/>
    <w:rsid w:val="0009736B"/>
    <w:rsid w:val="001B3397"/>
    <w:rsid w:val="001D1A52"/>
    <w:rsid w:val="00261BF1"/>
    <w:rsid w:val="0037006E"/>
    <w:rsid w:val="00430F90"/>
    <w:rsid w:val="005F2E05"/>
    <w:rsid w:val="00773012"/>
    <w:rsid w:val="00846548"/>
    <w:rsid w:val="0090399A"/>
    <w:rsid w:val="00970045"/>
    <w:rsid w:val="00A44465"/>
    <w:rsid w:val="00A810A6"/>
    <w:rsid w:val="00AF32A0"/>
    <w:rsid w:val="00E0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250E"/>
  <w15:docId w15:val="{665BC5C3-2F39-407C-83C3-743B7EED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23PES-161</vt:lpstr>
    </vt:vector>
  </TitlesOfParts>
  <Company>HP Inc.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23PES-161</dc:title>
  <dc:creator>informatica</dc:creator>
  <cp:keywords>CreatedByIRIS_Readiris_17.0</cp:keywords>
  <cp:lastModifiedBy>Mauleón, Fernando</cp:lastModifiedBy>
  <cp:revision>14</cp:revision>
  <dcterms:created xsi:type="dcterms:W3CDTF">2023-10-27T08:14:00Z</dcterms:created>
  <dcterms:modified xsi:type="dcterms:W3CDTF">2023-10-31T12:14:00Z</dcterms:modified>
</cp:coreProperties>
</file>