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6D92B" w14:textId="43CF4ECB" w:rsidR="00196EFF" w:rsidRPr="00B27B4D" w:rsidRDefault="00196EFF">
      <w:pPr>
        <w:ind w:left="-5" w:right="0"/>
        <w:rPr>
          <w:rFonts w:asciiTheme="majorHAnsi" w:hAnsiTheme="majorHAnsi" w:cstheme="majorHAnsi"/>
          <w:sz w:val="22"/>
        </w:rPr>
      </w:pPr>
      <w:r w:rsidRPr="00B27B4D">
        <w:rPr>
          <w:rFonts w:asciiTheme="majorHAnsi" w:hAnsiTheme="majorHAnsi" w:cstheme="majorHAnsi"/>
          <w:sz w:val="22"/>
        </w:rPr>
        <w:t>23PES-97</w:t>
      </w:r>
    </w:p>
    <w:p w14:paraId="023E9436" w14:textId="0719802C" w:rsidR="002157AE" w:rsidRPr="00B27B4D" w:rsidRDefault="002157AE">
      <w:pPr>
        <w:ind w:left="-5" w:right="0"/>
        <w:rPr>
          <w:rFonts w:asciiTheme="majorHAnsi" w:hAnsiTheme="majorHAnsi" w:cstheme="majorHAnsi"/>
          <w:sz w:val="22"/>
        </w:rPr>
      </w:pPr>
      <w:proofErr w:type="spellStart"/>
      <w:r w:rsidRPr="00B27B4D">
        <w:rPr>
          <w:rFonts w:asciiTheme="majorHAnsi" w:hAnsiTheme="majorHAnsi" w:cstheme="majorHAnsi"/>
          <w:sz w:val="22"/>
        </w:rPr>
        <w:t>Contigo</w:t>
      </w:r>
      <w:proofErr w:type="spellEnd"/>
      <w:r w:rsidRPr="00B27B4D">
        <w:rPr>
          <w:rFonts w:asciiTheme="majorHAnsi" w:hAnsiTheme="majorHAnsi" w:cstheme="majorHAnsi"/>
          <w:sz w:val="22"/>
        </w:rPr>
        <w:t xml:space="preserve"> Navarra-Zurekin talde parlamentarioari atxikitako foru parlamentari Miguel </w:t>
      </w:r>
      <w:proofErr w:type="spellStart"/>
      <w:r w:rsidRPr="00B27B4D">
        <w:rPr>
          <w:rFonts w:asciiTheme="majorHAnsi" w:hAnsiTheme="majorHAnsi" w:cstheme="majorHAnsi"/>
          <w:sz w:val="22"/>
        </w:rPr>
        <w:t>Garrido</w:t>
      </w:r>
      <w:proofErr w:type="spellEnd"/>
      <w:r w:rsidRPr="00B27B4D">
        <w:rPr>
          <w:rFonts w:asciiTheme="majorHAnsi" w:hAnsiTheme="majorHAnsi" w:cstheme="majorHAnsi"/>
          <w:sz w:val="22"/>
        </w:rPr>
        <w:t xml:space="preserve"> Sola jaunak galdera egin du, idatziz erantzun dakion, Espezializazio Adimentsuaren S4 Estrategiaren eskualde-diagnostikoko jakintzako zerbitzu trinkoen enplegu-adierazleari buruz (1123/PES-0097). Hona Nafarroako Gobernuko Industriako eta Enpresen Trantsizio Ekologiko eta Digitalerako Departamentuko kontseilariak ematen duen informazioa: </w:t>
      </w:r>
    </w:p>
    <w:p w14:paraId="6BB5EB6A" w14:textId="77777777" w:rsidR="002157AE" w:rsidRPr="00B27B4D" w:rsidRDefault="002157AE">
      <w:pPr>
        <w:spacing w:after="0" w:line="249" w:lineRule="auto"/>
        <w:ind w:left="-5" w:right="-14"/>
        <w:rPr>
          <w:rFonts w:asciiTheme="majorHAnsi" w:hAnsiTheme="majorHAnsi" w:cstheme="majorHAnsi"/>
          <w:sz w:val="22"/>
        </w:rPr>
      </w:pPr>
      <w:r w:rsidRPr="00B27B4D">
        <w:rPr>
          <w:rFonts w:asciiTheme="majorHAnsi" w:hAnsiTheme="majorHAnsi" w:cstheme="majorHAnsi"/>
          <w:sz w:val="22"/>
        </w:rPr>
        <w:t xml:space="preserve">1.- Zuen ustez, adierazle horren emaitza zergatik da hain eskasa konparaziozko analisirako erabili diren eskualdeen aldean? </w:t>
      </w:r>
    </w:p>
    <w:p w14:paraId="718CCB9F" w14:textId="77777777" w:rsidR="002157AE" w:rsidRPr="00B27B4D" w:rsidRDefault="002157AE">
      <w:pPr>
        <w:ind w:left="-5" w:right="0"/>
        <w:rPr>
          <w:rFonts w:asciiTheme="majorHAnsi" w:hAnsiTheme="majorHAnsi" w:cstheme="majorHAnsi"/>
          <w:sz w:val="22"/>
        </w:rPr>
      </w:pPr>
      <w:r w:rsidRPr="00B27B4D">
        <w:rPr>
          <w:rFonts w:asciiTheme="majorHAnsi" w:hAnsiTheme="majorHAnsi" w:cstheme="majorHAnsi"/>
          <w:sz w:val="22"/>
        </w:rPr>
        <w:t xml:space="preserve">Nafarroako enpresa egituran industria da nagusia, eta jakintzako zerbitzu trinkoek ez dute hain garrantzi handia. Hain zuzen, deitura horren pean sartzen diren sektoreak estu lotuta egon ohi dira beste lurralde mota batzuei, batez ere Europako hiri eta hiriburu handiak dauden eskualdeei, horietan kokatzen direlako gobernu nazionalen eskariak, enpresa handi eta multinazionalen egoitza nagusiak eta </w:t>
      </w:r>
      <w:proofErr w:type="spellStart"/>
      <w:r w:rsidRPr="00B27B4D">
        <w:rPr>
          <w:rFonts w:asciiTheme="majorHAnsi" w:hAnsiTheme="majorHAnsi" w:cstheme="majorHAnsi"/>
          <w:sz w:val="22"/>
        </w:rPr>
        <w:t>finantzagune</w:t>
      </w:r>
      <w:proofErr w:type="spellEnd"/>
      <w:r w:rsidRPr="00B27B4D">
        <w:rPr>
          <w:rFonts w:asciiTheme="majorHAnsi" w:hAnsiTheme="majorHAnsi" w:cstheme="majorHAnsi"/>
          <w:sz w:val="22"/>
        </w:rPr>
        <w:t xml:space="preserve"> garrantzitsuak. Jakintzako zerbitzu trinkoak barnean hartzen dituzte banku eta aseguruen sektorea, lege aholkularitza, </w:t>
      </w:r>
      <w:proofErr w:type="spellStart"/>
      <w:r w:rsidRPr="00B27B4D">
        <w:rPr>
          <w:rFonts w:asciiTheme="majorHAnsi" w:hAnsiTheme="majorHAnsi" w:cstheme="majorHAnsi"/>
          <w:sz w:val="22"/>
        </w:rPr>
        <w:t>kontsultoretza</w:t>
      </w:r>
      <w:proofErr w:type="spellEnd"/>
      <w:r w:rsidRPr="00B27B4D">
        <w:rPr>
          <w:rFonts w:asciiTheme="majorHAnsi" w:hAnsiTheme="majorHAnsi" w:cstheme="majorHAnsi"/>
          <w:sz w:val="22"/>
        </w:rPr>
        <w:t xml:space="preserve">, ingeniaritza eta informazioaren teknologiak, besteak beste. </w:t>
      </w:r>
    </w:p>
    <w:p w14:paraId="45F29BD1" w14:textId="3D153486" w:rsidR="000E6630" w:rsidRPr="00B27B4D" w:rsidRDefault="002157AE">
      <w:pPr>
        <w:ind w:left="-5" w:right="0"/>
        <w:rPr>
          <w:rFonts w:asciiTheme="majorHAnsi" w:hAnsiTheme="majorHAnsi" w:cstheme="majorHAnsi"/>
          <w:sz w:val="22"/>
        </w:rPr>
      </w:pPr>
      <w:r w:rsidRPr="00B27B4D">
        <w:rPr>
          <w:rFonts w:asciiTheme="majorHAnsi" w:hAnsiTheme="majorHAnsi" w:cstheme="majorHAnsi"/>
          <w:sz w:val="22"/>
        </w:rPr>
        <w:t xml:space="preserve">Eremu zabal horren barnean, Nafarroak badu ingeniaritzaren eta zerbitzu espezializatuen sektore indartsua, bereziki industriaren garapenerako laguntzako enpresak biltzen dituena, hala nola mantentze industrialeko eta digitalizazioko zerbitzuetan dihardutenak. Sektore horrek dituen ahalmen espezializatu batzuk ez dira ageri adierazlean, jakintzako zerbitzu guztiak </w:t>
      </w:r>
      <w:proofErr w:type="spellStart"/>
      <w:r w:rsidRPr="00B27B4D">
        <w:rPr>
          <w:rFonts w:asciiTheme="majorHAnsi" w:hAnsiTheme="majorHAnsi" w:cstheme="majorHAnsi"/>
          <w:sz w:val="22"/>
        </w:rPr>
        <w:t>agregatuta</w:t>
      </w:r>
      <w:proofErr w:type="spellEnd"/>
      <w:r w:rsidRPr="00B27B4D">
        <w:rPr>
          <w:rFonts w:asciiTheme="majorHAnsi" w:hAnsiTheme="majorHAnsi" w:cstheme="majorHAnsi"/>
          <w:sz w:val="22"/>
        </w:rPr>
        <w:t xml:space="preserve"> daudelako.  </w:t>
      </w:r>
    </w:p>
    <w:p w14:paraId="7DBEFA81" w14:textId="77777777" w:rsidR="002157AE" w:rsidRPr="00B27B4D" w:rsidRDefault="002157AE">
      <w:pPr>
        <w:spacing w:after="0" w:line="249" w:lineRule="auto"/>
        <w:ind w:left="-5" w:right="-14"/>
        <w:rPr>
          <w:rFonts w:asciiTheme="majorHAnsi" w:hAnsiTheme="majorHAnsi" w:cstheme="majorHAnsi"/>
          <w:sz w:val="22"/>
        </w:rPr>
      </w:pPr>
      <w:r w:rsidRPr="00B27B4D">
        <w:rPr>
          <w:rFonts w:asciiTheme="majorHAnsi" w:hAnsiTheme="majorHAnsi" w:cstheme="majorHAnsi"/>
          <w:sz w:val="22"/>
        </w:rPr>
        <w:t xml:space="preserve">2.- Zuen ustez, jakintzako zerbitzu trinkoek zer eginkizun dute Nafarroako ekonomiaren modernizazioan? </w:t>
      </w:r>
    </w:p>
    <w:p w14:paraId="02DF1E44" w14:textId="77777777" w:rsidR="002157AE" w:rsidRPr="00B27B4D" w:rsidRDefault="002157AE">
      <w:pPr>
        <w:ind w:left="-5" w:right="0"/>
        <w:rPr>
          <w:rFonts w:asciiTheme="majorHAnsi" w:hAnsiTheme="majorHAnsi" w:cstheme="majorHAnsi"/>
          <w:sz w:val="22"/>
        </w:rPr>
      </w:pPr>
      <w:r w:rsidRPr="00B27B4D">
        <w:rPr>
          <w:rFonts w:asciiTheme="majorHAnsi" w:hAnsiTheme="majorHAnsi" w:cstheme="majorHAnsi"/>
          <w:sz w:val="22"/>
        </w:rPr>
        <w:t xml:space="preserve">Jakintzaren ekonomiarantz goaz, non teknologia eta jakintza aurreratuak txertatzea gero eta funtsezkoagoa izanen baita enpresen lehiakortasunerako.  </w:t>
      </w:r>
    </w:p>
    <w:p w14:paraId="37121B8C" w14:textId="77777777" w:rsidR="002157AE" w:rsidRPr="00B27B4D" w:rsidRDefault="002157AE">
      <w:pPr>
        <w:ind w:left="-5" w:right="0"/>
        <w:rPr>
          <w:rFonts w:asciiTheme="majorHAnsi" w:hAnsiTheme="majorHAnsi" w:cstheme="majorHAnsi"/>
          <w:sz w:val="22"/>
        </w:rPr>
      </w:pPr>
      <w:r w:rsidRPr="00B27B4D">
        <w:rPr>
          <w:rFonts w:asciiTheme="majorHAnsi" w:hAnsiTheme="majorHAnsi" w:cstheme="majorHAnsi"/>
          <w:sz w:val="22"/>
        </w:rPr>
        <w:t xml:space="preserve">Ekonomiaren modernizazioa zentzu zabalean ulertuta, modu asko daude enpresa eta erakundeei jakintzako zerbitzu trinkoak emateko, eta horien artean nabarmendu daiteke aholkularitza enpresa pribatuen egitekoa (orain </w:t>
      </w:r>
      <w:proofErr w:type="spellStart"/>
      <w:r w:rsidRPr="00B27B4D">
        <w:rPr>
          <w:rFonts w:asciiTheme="majorHAnsi" w:hAnsiTheme="majorHAnsi" w:cstheme="majorHAnsi"/>
          <w:sz w:val="22"/>
        </w:rPr>
        <w:t>ATANAn</w:t>
      </w:r>
      <w:proofErr w:type="spellEnd"/>
      <w:r w:rsidRPr="00B27B4D">
        <w:rPr>
          <w:rFonts w:asciiTheme="majorHAnsi" w:hAnsiTheme="majorHAnsi" w:cstheme="majorHAnsi"/>
          <w:sz w:val="22"/>
        </w:rPr>
        <w:t xml:space="preserve"> elkartuta daude IKT enpresekin batera) eta sektoreko nahiz lurraldeko gainerako kluster eta enpresa-elkarteena, enpresa bazkideen artean jakintza eta teknologia transmititzeko bideak baitira.   </w:t>
      </w:r>
    </w:p>
    <w:p w14:paraId="39F37403" w14:textId="77777777" w:rsidR="002157AE" w:rsidRPr="00B27B4D" w:rsidRDefault="002157AE">
      <w:pPr>
        <w:ind w:left="-5" w:right="0"/>
        <w:rPr>
          <w:rFonts w:asciiTheme="majorHAnsi" w:hAnsiTheme="majorHAnsi" w:cstheme="majorHAnsi"/>
          <w:sz w:val="22"/>
        </w:rPr>
      </w:pPr>
      <w:r w:rsidRPr="00B27B4D">
        <w:rPr>
          <w:rFonts w:asciiTheme="majorHAnsi" w:hAnsiTheme="majorHAnsi" w:cstheme="majorHAnsi"/>
          <w:sz w:val="22"/>
        </w:rPr>
        <w:t>Gobernuak, gainera, berariazko deialdiak egiten ditu instalazioak modernizatzeko (inbertsiorako laguntzak) eta jakintza estrategikoaren beste alderdi batzuk modernizatzeko (lehiakortasunerako laguntzak). Horiei gehitu behar zaizkie teknologiaren transferentziarako politikak (</w:t>
      </w:r>
      <w:proofErr w:type="spellStart"/>
      <w:r w:rsidRPr="00B27B4D">
        <w:rPr>
          <w:rFonts w:asciiTheme="majorHAnsi" w:hAnsiTheme="majorHAnsi" w:cstheme="majorHAnsi"/>
          <w:sz w:val="22"/>
        </w:rPr>
        <w:t>I+G+b</w:t>
      </w:r>
      <w:proofErr w:type="spellEnd"/>
      <w:r w:rsidRPr="00B27B4D">
        <w:rPr>
          <w:rFonts w:asciiTheme="majorHAnsi" w:hAnsiTheme="majorHAnsi" w:cstheme="majorHAnsi"/>
          <w:sz w:val="22"/>
        </w:rPr>
        <w:t xml:space="preserve"> laguntzen katalogoa), berrikuntza irekia, talentu ikertzailea ekartzeko laguntza eta abarrekoak. Politika horiei </w:t>
      </w:r>
      <w:r w:rsidRPr="00B27B4D">
        <w:rPr>
          <w:rFonts w:asciiTheme="majorHAnsi" w:hAnsiTheme="majorHAnsi" w:cstheme="majorHAnsi"/>
          <w:sz w:val="22"/>
        </w:rPr>
        <w:lastRenderedPageBreak/>
        <w:t xml:space="preserve">esker Nafarroak maila bat gora egin du </w:t>
      </w:r>
      <w:proofErr w:type="spellStart"/>
      <w:r w:rsidRPr="00B27B4D">
        <w:rPr>
          <w:rFonts w:asciiTheme="majorHAnsi" w:hAnsiTheme="majorHAnsi" w:cstheme="majorHAnsi"/>
          <w:sz w:val="22"/>
        </w:rPr>
        <w:t>Regional</w:t>
      </w:r>
      <w:proofErr w:type="spellEnd"/>
      <w:r w:rsidRPr="00B27B4D">
        <w:rPr>
          <w:rFonts w:asciiTheme="majorHAnsi" w:hAnsiTheme="majorHAnsi" w:cstheme="majorHAnsi"/>
          <w:sz w:val="22"/>
        </w:rPr>
        <w:t xml:space="preserve"> </w:t>
      </w:r>
      <w:proofErr w:type="spellStart"/>
      <w:r w:rsidRPr="00B27B4D">
        <w:rPr>
          <w:rFonts w:asciiTheme="majorHAnsi" w:hAnsiTheme="majorHAnsi" w:cstheme="majorHAnsi"/>
          <w:sz w:val="22"/>
        </w:rPr>
        <w:t>Innovation</w:t>
      </w:r>
      <w:proofErr w:type="spellEnd"/>
      <w:r w:rsidRPr="00B27B4D">
        <w:rPr>
          <w:rFonts w:asciiTheme="majorHAnsi" w:hAnsiTheme="majorHAnsi" w:cstheme="majorHAnsi"/>
          <w:sz w:val="22"/>
        </w:rPr>
        <w:t xml:space="preserve"> </w:t>
      </w:r>
      <w:proofErr w:type="spellStart"/>
      <w:r w:rsidRPr="00B27B4D">
        <w:rPr>
          <w:rFonts w:asciiTheme="majorHAnsi" w:hAnsiTheme="majorHAnsi" w:cstheme="majorHAnsi"/>
          <w:sz w:val="22"/>
        </w:rPr>
        <w:t>Scoreboard-en</w:t>
      </w:r>
      <w:proofErr w:type="spellEnd"/>
      <w:r w:rsidRPr="00B27B4D">
        <w:rPr>
          <w:rFonts w:asciiTheme="majorHAnsi" w:hAnsiTheme="majorHAnsi" w:cstheme="majorHAnsi"/>
          <w:sz w:val="22"/>
        </w:rPr>
        <w:t xml:space="preserve">, Berritzaile Moderatua mailatik Berritzaile Sendoa mailara. </w:t>
      </w:r>
    </w:p>
    <w:p w14:paraId="3B973D86" w14:textId="4CB7959D" w:rsidR="000E6630" w:rsidRPr="00B27B4D" w:rsidRDefault="002157AE">
      <w:pPr>
        <w:ind w:left="-5" w:right="0"/>
        <w:rPr>
          <w:rFonts w:asciiTheme="majorHAnsi" w:hAnsiTheme="majorHAnsi" w:cstheme="majorHAnsi"/>
          <w:sz w:val="22"/>
        </w:rPr>
      </w:pPr>
      <w:r w:rsidRPr="00B27B4D">
        <w:rPr>
          <w:rFonts w:asciiTheme="majorHAnsi" w:hAnsiTheme="majorHAnsi" w:cstheme="majorHAnsi"/>
          <w:sz w:val="22"/>
        </w:rPr>
        <w:t xml:space="preserve">Industriari laguntzeko zerbitzu osagarriei dagokien atalean, jakintzako zerbitzu trinkoak funtsezkoak dira digitalizaziorako eta produktibitatea hobetzeko (4.0 teknologiak ezarriz), bai eta industriaren jasangarritasunerako ere, prozesuen trazabilitatea eta datuen kudeaketa beharrezkoak baitira efizientzia, kontsumoak eta ekonomia zirkularraren alderdiak hobetzeko. Nafarroak baditu eraldaketa digitalerako bi bulego eta Berrikuntza Digitaleko Poloa; bertan elkartzen eta eskaintzen dira Nafarroako enpresen hainbat zerbitzu, digitalizazioa eta 4.0 teknologien ezarpena helburu dutenak. </w:t>
      </w:r>
    </w:p>
    <w:p w14:paraId="32255FFA" w14:textId="77777777" w:rsidR="002157AE" w:rsidRPr="00B27B4D" w:rsidRDefault="002157AE">
      <w:pPr>
        <w:spacing w:after="0" w:line="250" w:lineRule="auto"/>
        <w:ind w:left="0" w:right="3" w:firstLine="0"/>
        <w:rPr>
          <w:rFonts w:asciiTheme="majorHAnsi" w:hAnsiTheme="majorHAnsi" w:cstheme="majorHAnsi"/>
          <w:sz w:val="22"/>
        </w:rPr>
      </w:pPr>
      <w:r w:rsidRPr="00B27B4D">
        <w:rPr>
          <w:rFonts w:asciiTheme="majorHAnsi" w:hAnsiTheme="majorHAnsi" w:cstheme="majorHAnsi"/>
          <w:sz w:val="22"/>
        </w:rPr>
        <w:t xml:space="preserve">3.- Departamentuak zer neurri ezarri du eta ezarri nahi ditu Nafarroaren lehiakortasunean determinantea den adierazle horri dagokionez? </w:t>
      </w:r>
    </w:p>
    <w:p w14:paraId="4B26D34F" w14:textId="77777777" w:rsidR="002157AE" w:rsidRPr="00B27B4D" w:rsidRDefault="002157AE">
      <w:pPr>
        <w:ind w:left="-5" w:right="0"/>
        <w:rPr>
          <w:rFonts w:asciiTheme="majorHAnsi" w:hAnsiTheme="majorHAnsi" w:cstheme="majorHAnsi"/>
          <w:sz w:val="22"/>
        </w:rPr>
      </w:pPr>
      <w:r w:rsidRPr="00B27B4D">
        <w:rPr>
          <w:rFonts w:asciiTheme="majorHAnsi" w:hAnsiTheme="majorHAnsi" w:cstheme="majorHAnsi"/>
          <w:sz w:val="22"/>
        </w:rPr>
        <w:t xml:space="preserve">Berrikuntza Digitaleko Poloa, inbertsiorako laguntzak, lehiakortasunerako laguntzak, aliantza digitalen laguntzak, ATANA IKT klusterrarentzako babesa, aholkularitza, adimen artifizialeko konponbideen enpresa-garapena babesteko ekimena </w:t>
      </w:r>
      <w:proofErr w:type="spellStart"/>
      <w:r w:rsidRPr="00B27B4D">
        <w:rPr>
          <w:rFonts w:asciiTheme="majorHAnsi" w:hAnsiTheme="majorHAnsi" w:cstheme="majorHAnsi"/>
          <w:sz w:val="22"/>
        </w:rPr>
        <w:t>ATANArekin</w:t>
      </w:r>
      <w:proofErr w:type="spellEnd"/>
      <w:r w:rsidRPr="00B27B4D">
        <w:rPr>
          <w:rFonts w:asciiTheme="majorHAnsi" w:hAnsiTheme="majorHAnsi" w:cstheme="majorHAnsi"/>
          <w:sz w:val="22"/>
        </w:rPr>
        <w:t xml:space="preserve"> eta NAIR </w:t>
      </w:r>
      <w:proofErr w:type="spellStart"/>
      <w:r w:rsidRPr="00B27B4D">
        <w:rPr>
          <w:rFonts w:asciiTheme="majorHAnsi" w:hAnsiTheme="majorHAnsi" w:cstheme="majorHAnsi"/>
          <w:sz w:val="22"/>
        </w:rPr>
        <w:t>centre-rekin</w:t>
      </w:r>
      <w:proofErr w:type="spellEnd"/>
      <w:r w:rsidRPr="00B27B4D">
        <w:rPr>
          <w:rFonts w:asciiTheme="majorHAnsi" w:hAnsiTheme="majorHAnsi" w:cstheme="majorHAnsi"/>
          <w:sz w:val="22"/>
        </w:rPr>
        <w:t xml:space="preserve">, klusterren politika… </w:t>
      </w:r>
    </w:p>
    <w:p w14:paraId="3581DA8C" w14:textId="77777777" w:rsidR="002157AE" w:rsidRPr="00B27B4D" w:rsidRDefault="002157AE">
      <w:pPr>
        <w:ind w:left="-5" w:right="0"/>
        <w:rPr>
          <w:rFonts w:asciiTheme="majorHAnsi" w:hAnsiTheme="majorHAnsi" w:cstheme="majorHAnsi"/>
          <w:sz w:val="22"/>
        </w:rPr>
      </w:pPr>
      <w:r w:rsidRPr="00B27B4D">
        <w:rPr>
          <w:rFonts w:asciiTheme="majorHAnsi" w:hAnsiTheme="majorHAnsi" w:cstheme="majorHAnsi"/>
          <w:sz w:val="22"/>
        </w:rPr>
        <w:t xml:space="preserve">Hori guztia jakinarazten dizut, Nafarroako Parlamentuko Erregelamenduaren 215. artikulua betez. </w:t>
      </w:r>
    </w:p>
    <w:p w14:paraId="75D84CC1" w14:textId="4421E220" w:rsidR="000E6630" w:rsidRPr="00B27B4D" w:rsidRDefault="002157AE">
      <w:pPr>
        <w:spacing w:after="118" w:line="259" w:lineRule="auto"/>
        <w:ind w:right="5"/>
        <w:jc w:val="center"/>
        <w:rPr>
          <w:rFonts w:asciiTheme="majorHAnsi" w:hAnsiTheme="majorHAnsi" w:cstheme="majorHAnsi"/>
          <w:sz w:val="22"/>
        </w:rPr>
      </w:pPr>
      <w:r w:rsidRPr="00B27B4D">
        <w:rPr>
          <w:rFonts w:asciiTheme="majorHAnsi" w:hAnsiTheme="majorHAnsi" w:cstheme="majorHAnsi"/>
          <w:sz w:val="22"/>
        </w:rPr>
        <w:t xml:space="preserve">Iruñean, 2023ko urriaren 6an </w:t>
      </w:r>
    </w:p>
    <w:p w14:paraId="08BC70B9" w14:textId="169097F2" w:rsidR="002157AE" w:rsidRPr="00B27B4D" w:rsidRDefault="002157AE" w:rsidP="002157AE">
      <w:pPr>
        <w:spacing w:after="0"/>
        <w:ind w:right="0"/>
        <w:jc w:val="center"/>
        <w:rPr>
          <w:rFonts w:asciiTheme="majorHAnsi" w:hAnsiTheme="majorHAnsi" w:cstheme="majorHAnsi"/>
          <w:sz w:val="22"/>
        </w:rPr>
      </w:pPr>
      <w:r w:rsidRPr="00B27B4D">
        <w:rPr>
          <w:rFonts w:asciiTheme="majorHAnsi" w:hAnsiTheme="majorHAnsi" w:cstheme="majorHAnsi"/>
          <w:sz w:val="22"/>
        </w:rPr>
        <w:t xml:space="preserve">Industriako eta Enpresen Trantsizio Ekologiko eta Digitalerako kontseilaria: Mikel Irujo </w:t>
      </w:r>
      <w:proofErr w:type="spellStart"/>
      <w:r w:rsidRPr="00B27B4D">
        <w:rPr>
          <w:rFonts w:asciiTheme="majorHAnsi" w:hAnsiTheme="majorHAnsi" w:cstheme="majorHAnsi"/>
          <w:sz w:val="22"/>
        </w:rPr>
        <w:t>Amezaga</w:t>
      </w:r>
      <w:proofErr w:type="spellEnd"/>
      <w:r w:rsidRPr="00B27B4D">
        <w:rPr>
          <w:rFonts w:asciiTheme="majorHAnsi" w:hAnsiTheme="majorHAnsi" w:cstheme="majorHAnsi"/>
          <w:sz w:val="22"/>
        </w:rPr>
        <w:t xml:space="preserve"> </w:t>
      </w:r>
    </w:p>
    <w:sectPr w:rsidR="002157AE" w:rsidRPr="00B27B4D">
      <w:headerReference w:type="even" r:id="rId6"/>
      <w:headerReference w:type="first" r:id="rId7"/>
      <w:pgSz w:w="11906" w:h="16838"/>
      <w:pgMar w:top="2309" w:right="1129" w:bottom="1321" w:left="2268" w:header="19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AEE3B" w14:textId="77777777" w:rsidR="002157AE" w:rsidRDefault="002157AE">
      <w:pPr>
        <w:spacing w:after="0" w:line="240" w:lineRule="auto"/>
      </w:pPr>
      <w:r>
        <w:separator/>
      </w:r>
    </w:p>
  </w:endnote>
  <w:endnote w:type="continuationSeparator" w:id="0">
    <w:p w14:paraId="219A57E8" w14:textId="77777777" w:rsidR="002157AE" w:rsidRDefault="00215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2EF20" w14:textId="77777777" w:rsidR="002157AE" w:rsidRDefault="002157AE">
      <w:pPr>
        <w:spacing w:after="0" w:line="240" w:lineRule="auto"/>
      </w:pPr>
      <w:r>
        <w:separator/>
      </w:r>
    </w:p>
  </w:footnote>
  <w:footnote w:type="continuationSeparator" w:id="0">
    <w:p w14:paraId="4D74F373" w14:textId="77777777" w:rsidR="002157AE" w:rsidRDefault="00215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A5F1" w14:textId="77777777" w:rsidR="000E6630" w:rsidRDefault="002157AE">
    <w:pPr>
      <w:spacing w:after="0" w:line="259" w:lineRule="auto"/>
      <w:ind w:left="-1735" w:right="0" w:firstLine="0"/>
      <w:jc w:val="left"/>
    </w:pPr>
    <w:r>
      <w:rPr>
        <w:noProof/>
      </w:rPr>
      <w:drawing>
        <wp:anchor distT="0" distB="0" distL="114300" distR="114300" simplePos="0" relativeHeight="251658240" behindDoc="0" locked="0" layoutInCell="1" allowOverlap="0" wp14:anchorId="721F52A3" wp14:editId="36B22403">
          <wp:simplePos x="0" y="0"/>
          <wp:positionH relativeFrom="page">
            <wp:posOffset>5344668</wp:posOffset>
          </wp:positionH>
          <wp:positionV relativeFrom="page">
            <wp:posOffset>126493</wp:posOffset>
          </wp:positionV>
          <wp:extent cx="2162556" cy="656844"/>
          <wp:effectExtent l="0" t="0" r="0" b="0"/>
          <wp:wrapSquare wrapText="bothSides"/>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
                  <a:stretch>
                    <a:fillRect/>
                  </a:stretch>
                </pic:blipFill>
                <pic:spPr>
                  <a:xfrm>
                    <a:off x="0" y="0"/>
                    <a:ext cx="2162556" cy="656844"/>
                  </a:xfrm>
                  <a:prstGeom prst="rect">
                    <a:avLst/>
                  </a:prstGeom>
                </pic:spPr>
              </pic:pic>
            </a:graphicData>
          </a:graphic>
        </wp:anchor>
      </w:drawing>
    </w:r>
    <w:r>
      <w:rPr>
        <w:sz w:val="16"/>
      </w:rPr>
      <w:t xml:space="preserve">Mikel Irujo Amezaga </w:t>
    </w:r>
  </w:p>
  <w:p w14:paraId="2385C1BB" w14:textId="77777777" w:rsidR="000E6630" w:rsidRDefault="002157AE">
    <w:pPr>
      <w:spacing w:after="18" w:line="259" w:lineRule="auto"/>
      <w:ind w:left="-1735" w:right="0" w:firstLine="0"/>
      <w:jc w:val="left"/>
    </w:pPr>
    <w:r>
      <w:rPr>
        <w:sz w:val="16"/>
      </w:rPr>
      <w:t xml:space="preserve">Industriako eta Enpresen Trantsizio Ekologiko eta Digitalerako Departamentuko kontseilaria </w:t>
    </w:r>
  </w:p>
  <w:p w14:paraId="022AB6B4" w14:textId="77777777" w:rsidR="002157AE" w:rsidRDefault="002157AE">
    <w:pPr>
      <w:tabs>
        <w:tab w:val="center" w:pos="0"/>
      </w:tabs>
      <w:spacing w:after="0" w:line="259" w:lineRule="auto"/>
      <w:ind w:left="-1735" w:right="0" w:firstLine="0"/>
      <w:jc w:val="left"/>
    </w:pPr>
    <w:r>
      <w:rPr>
        <w:sz w:val="16"/>
      </w:rPr>
      <w:t xml:space="preserve"> </w:t>
    </w:r>
    <w:r>
      <w:rPr>
        <w:sz w:val="16"/>
      </w:rPr>
      <w:tab/>
    </w:r>
    <w:r>
      <w:rPr>
        <w:sz w:val="31"/>
        <w:vertAlign w:val="subscript"/>
      </w:rPr>
      <w:t xml:space="preserve"> </w:t>
    </w:r>
  </w:p>
  <w:p w14:paraId="39F33CED" w14:textId="403D13BB" w:rsidR="000E6630" w:rsidRDefault="002157AE">
    <w:pPr>
      <w:spacing w:after="0" w:line="259" w:lineRule="auto"/>
      <w:ind w:left="0" w:right="0" w:firstLine="0"/>
      <w:jc w:val="left"/>
    </w:pPr>
    <w:r>
      <w:rPr>
        <w:sz w:val="20"/>
      </w:rPr>
      <w:t xml:space="preserve"> </w:t>
    </w:r>
  </w:p>
  <w:p w14:paraId="437529F0" w14:textId="77777777" w:rsidR="000E6630" w:rsidRDefault="002157AE">
    <w:pPr>
      <w:spacing w:after="6" w:line="259" w:lineRule="auto"/>
      <w:ind w:left="-1735" w:right="0" w:firstLine="0"/>
      <w:jc w:val="left"/>
    </w:pPr>
    <w:r>
      <w:rPr>
        <w:sz w:val="16"/>
      </w:rPr>
      <w:t xml:space="preserve"> TOMAS CABALLERO PARKEA 1, "FUERTE DEL PRINCIPE II" ERAIKINA, 6. SOLAIRUA, 31005 IRUÑA </w:t>
    </w:r>
  </w:p>
  <w:p w14:paraId="63E682B9" w14:textId="77777777" w:rsidR="002157AE" w:rsidRDefault="002157AE">
    <w:pPr>
      <w:spacing w:after="0" w:line="259" w:lineRule="auto"/>
      <w:ind w:left="-1735" w:right="0" w:firstLine="0"/>
      <w:jc w:val="left"/>
    </w:pPr>
    <w:r>
      <w:rPr>
        <w:sz w:val="16"/>
      </w:rPr>
      <w:t xml:space="preserve"> </w:t>
    </w:r>
    <w:r>
      <w:rPr>
        <w:sz w:val="16"/>
      </w:rPr>
      <w:tab/>
    </w:r>
    <w:r>
      <w:rPr>
        <w:sz w:val="20"/>
      </w:rPr>
      <w:t xml:space="preserve"> </w:t>
    </w:r>
  </w:p>
  <w:p w14:paraId="46D8AA50" w14:textId="3BAFD761" w:rsidR="000E6630" w:rsidRDefault="000E6630">
    <w:pPr>
      <w:spacing w:after="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4E4E" w14:textId="77777777" w:rsidR="000E6630" w:rsidRDefault="002157AE">
    <w:pPr>
      <w:spacing w:after="0" w:line="259" w:lineRule="auto"/>
      <w:ind w:left="-1735" w:right="0" w:firstLine="0"/>
      <w:jc w:val="left"/>
    </w:pPr>
    <w:r>
      <w:rPr>
        <w:noProof/>
      </w:rPr>
      <w:drawing>
        <wp:anchor distT="0" distB="0" distL="114300" distR="114300" simplePos="0" relativeHeight="251660288" behindDoc="0" locked="0" layoutInCell="1" allowOverlap="0" wp14:anchorId="7DEFC452" wp14:editId="724B7539">
          <wp:simplePos x="0" y="0"/>
          <wp:positionH relativeFrom="page">
            <wp:posOffset>5344668</wp:posOffset>
          </wp:positionH>
          <wp:positionV relativeFrom="page">
            <wp:posOffset>126493</wp:posOffset>
          </wp:positionV>
          <wp:extent cx="2162556" cy="656844"/>
          <wp:effectExtent l="0" t="0" r="0" b="0"/>
          <wp:wrapSquare wrapText="bothSides"/>
          <wp:docPr id="318250972"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
                  <a:stretch>
                    <a:fillRect/>
                  </a:stretch>
                </pic:blipFill>
                <pic:spPr>
                  <a:xfrm>
                    <a:off x="0" y="0"/>
                    <a:ext cx="2162556" cy="656844"/>
                  </a:xfrm>
                  <a:prstGeom prst="rect">
                    <a:avLst/>
                  </a:prstGeom>
                </pic:spPr>
              </pic:pic>
            </a:graphicData>
          </a:graphic>
        </wp:anchor>
      </w:drawing>
    </w:r>
    <w:r>
      <w:rPr>
        <w:sz w:val="16"/>
      </w:rPr>
      <w:t xml:space="preserve">Mikel Irujo Amezaga </w:t>
    </w:r>
  </w:p>
  <w:p w14:paraId="35B4B910" w14:textId="77777777" w:rsidR="000E6630" w:rsidRDefault="002157AE">
    <w:pPr>
      <w:spacing w:after="18" w:line="259" w:lineRule="auto"/>
      <w:ind w:left="-1735" w:right="0" w:firstLine="0"/>
      <w:jc w:val="left"/>
    </w:pPr>
    <w:r>
      <w:rPr>
        <w:sz w:val="16"/>
      </w:rPr>
      <w:t xml:space="preserve">Industriako eta Enpresen Trantsizio Ekologiko eta Digitalerako Departamentuko kontseilaria </w:t>
    </w:r>
  </w:p>
  <w:p w14:paraId="1E4E6C19" w14:textId="77777777" w:rsidR="002157AE" w:rsidRDefault="002157AE">
    <w:pPr>
      <w:tabs>
        <w:tab w:val="center" w:pos="0"/>
      </w:tabs>
      <w:spacing w:after="0" w:line="259" w:lineRule="auto"/>
      <w:ind w:left="-1735" w:right="0" w:firstLine="0"/>
      <w:jc w:val="left"/>
    </w:pPr>
    <w:r>
      <w:rPr>
        <w:sz w:val="16"/>
      </w:rPr>
      <w:t xml:space="preserve"> </w:t>
    </w:r>
    <w:r>
      <w:rPr>
        <w:sz w:val="16"/>
      </w:rPr>
      <w:tab/>
    </w:r>
    <w:r>
      <w:rPr>
        <w:sz w:val="31"/>
        <w:vertAlign w:val="subscript"/>
      </w:rPr>
      <w:t xml:space="preserve"> </w:t>
    </w:r>
  </w:p>
  <w:p w14:paraId="59543AB5" w14:textId="1D31E5ED" w:rsidR="000E6630" w:rsidRDefault="002157AE">
    <w:pPr>
      <w:spacing w:after="0" w:line="259" w:lineRule="auto"/>
      <w:ind w:left="0" w:right="0" w:firstLine="0"/>
      <w:jc w:val="left"/>
    </w:pPr>
    <w:r>
      <w:rPr>
        <w:sz w:val="20"/>
      </w:rPr>
      <w:t xml:space="preserve"> </w:t>
    </w:r>
  </w:p>
  <w:p w14:paraId="0F5D27B2" w14:textId="77777777" w:rsidR="000E6630" w:rsidRDefault="002157AE">
    <w:pPr>
      <w:spacing w:after="6" w:line="259" w:lineRule="auto"/>
      <w:ind w:left="-1735" w:right="0" w:firstLine="0"/>
      <w:jc w:val="left"/>
    </w:pPr>
    <w:r>
      <w:rPr>
        <w:sz w:val="16"/>
      </w:rPr>
      <w:t xml:space="preserve"> TOMAS CABALLERO PARKEA 1, "FUERTE DEL PRINCIPE II" ERAIKINA, 6. SOLAIRUA, 31005 IRUÑA </w:t>
    </w:r>
  </w:p>
  <w:p w14:paraId="2833A028" w14:textId="77777777" w:rsidR="002157AE" w:rsidRDefault="002157AE">
    <w:pPr>
      <w:spacing w:after="0" w:line="259" w:lineRule="auto"/>
      <w:ind w:left="-1735" w:right="0" w:firstLine="0"/>
      <w:jc w:val="left"/>
    </w:pPr>
    <w:r>
      <w:rPr>
        <w:sz w:val="16"/>
      </w:rPr>
      <w:t xml:space="preserve"> </w:t>
    </w:r>
    <w:r>
      <w:rPr>
        <w:sz w:val="16"/>
      </w:rPr>
      <w:tab/>
    </w:r>
    <w:r>
      <w:rPr>
        <w:sz w:val="20"/>
      </w:rPr>
      <w:t xml:space="preserve"> </w:t>
    </w:r>
  </w:p>
  <w:p w14:paraId="3EFEFC37" w14:textId="4195BAFF" w:rsidR="000E6630" w:rsidRDefault="000E6630">
    <w:pPr>
      <w:spacing w:after="0" w:line="259" w:lineRule="auto"/>
      <w:ind w:left="0" w:righ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630"/>
    <w:rsid w:val="000E6630"/>
    <w:rsid w:val="00196EFF"/>
    <w:rsid w:val="002157AE"/>
    <w:rsid w:val="00281C02"/>
    <w:rsid w:val="009D34C6"/>
    <w:rsid w:val="00B27B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A075"/>
  <w15:docId w15:val="{3705F6FD-E88A-4788-BCC5-9649293C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u-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2" w:lineRule="auto"/>
      <w:ind w:left="10" w:right="2"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157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57AE"/>
    <w:rPr>
      <w:rFonts w:ascii="Times New Roman" w:eastAsia="Times New Roman" w:hAnsi="Times New Roman" w:cs="Times New Roman"/>
      <w:color w:val="000000"/>
      <w:sz w:val="24"/>
    </w:rPr>
  </w:style>
  <w:style w:type="paragraph" w:styleId="Encabezado">
    <w:name w:val="header"/>
    <w:basedOn w:val="Normal"/>
    <w:link w:val="EncabezadoCar"/>
    <w:uiPriority w:val="99"/>
    <w:semiHidden/>
    <w:unhideWhenUsed/>
    <w:rsid w:val="002157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157AE"/>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616</Words>
  <Characters>3390</Characters>
  <Application>Microsoft Office Word</Application>
  <DocSecurity>0</DocSecurity>
  <Lines>28</Lines>
  <Paragraphs>7</Paragraphs>
  <ScaleCrop>false</ScaleCrop>
  <Company>Hewlett-Packard Company</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Martin Cestao, Nerea</cp:lastModifiedBy>
  <cp:revision>6</cp:revision>
  <dcterms:created xsi:type="dcterms:W3CDTF">2023-10-16T12:39:00Z</dcterms:created>
  <dcterms:modified xsi:type="dcterms:W3CDTF">2023-11-14T10:13:00Z</dcterms:modified>
</cp:coreProperties>
</file>