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D92B" w14:textId="43CF4ECB" w:rsidR="00196EFF" w:rsidRPr="00B27B4D" w:rsidRDefault="00196EFF">
      <w:pPr>
        <w:ind w:left="-5" w:right="0"/>
        <w:rPr>
          <w:rFonts w:asciiTheme="majorHAnsi" w:hAnsiTheme="majorHAnsi" w:cstheme="majorHAnsi"/>
          <w:sz w:val="22"/>
        </w:rPr>
      </w:pPr>
      <w:r w:rsidRPr="00B27B4D">
        <w:rPr>
          <w:rFonts w:asciiTheme="majorHAnsi" w:hAnsiTheme="majorHAnsi" w:cstheme="majorHAnsi"/>
          <w:sz w:val="22"/>
        </w:rPr>
        <w:t>23PES-97</w:t>
      </w:r>
    </w:p>
    <w:p w14:paraId="023E9436" w14:textId="0719802C" w:rsidR="002157AE" w:rsidRPr="00B27B4D" w:rsidRDefault="002157AE">
      <w:pPr>
        <w:ind w:left="-5" w:right="0"/>
        <w:rPr>
          <w:rFonts w:asciiTheme="majorHAnsi" w:hAnsiTheme="majorHAnsi" w:cstheme="majorHAnsi"/>
          <w:sz w:val="22"/>
        </w:rPr>
      </w:pPr>
      <w:proofErr w:type="spellStart"/>
      <w:r w:rsidRPr="00B27B4D">
        <w:rPr>
          <w:rFonts w:asciiTheme="majorHAnsi" w:hAnsiTheme="majorHAnsi" w:cstheme="majorHAnsi"/>
          <w:sz w:val="22"/>
        </w:rPr>
        <w:t>Contigo</w:t>
      </w:r>
      <w:proofErr w:type="spellEnd"/>
      <w:r w:rsidRPr="00B27B4D">
        <w:rPr>
          <w:rFonts w:asciiTheme="majorHAnsi" w:hAnsiTheme="majorHAnsi" w:cstheme="majorHAnsi"/>
          <w:sz w:val="22"/>
        </w:rPr>
        <w:t xml:space="preserve"> Navarra-Zurekin talde parlamentarioari atxikitako foru parlamentari Miguel </w:t>
      </w:r>
      <w:proofErr w:type="spellStart"/>
      <w:r w:rsidRPr="00B27B4D">
        <w:rPr>
          <w:rFonts w:asciiTheme="majorHAnsi" w:hAnsiTheme="majorHAnsi" w:cstheme="majorHAnsi"/>
          <w:sz w:val="22"/>
        </w:rPr>
        <w:t>Garrido</w:t>
      </w:r>
      <w:proofErr w:type="spellEnd"/>
      <w:r w:rsidRPr="00B27B4D">
        <w:rPr>
          <w:rFonts w:asciiTheme="majorHAnsi" w:hAnsiTheme="majorHAnsi" w:cstheme="majorHAnsi"/>
          <w:sz w:val="22"/>
        </w:rPr>
        <w:t xml:space="preserve"> Sola jaunak galdera egin du, idatziz erantzun dakion, Espezializazio Adimentsuaren S4 Estrategiaren eskualde-diagnostikoko jakintzako zerbitzu trinkoen enplegu-adierazleari buruz (1123/PES-0097). Hona Nafarroako Gobernuko Industriako eta Enpresen Trantsizio Ekologiko eta Digitalerako Departamentuko kontseilariak ematen duen informazioa: </w:t>
      </w:r>
    </w:p>
    <w:p w14:paraId="6BB5EB6A" w14:textId="77777777" w:rsidR="002157AE" w:rsidRPr="00B27B4D" w:rsidRDefault="002157AE">
      <w:pPr>
        <w:spacing w:after="0" w:line="249" w:lineRule="auto"/>
        <w:ind w:left="-5" w:right="-14"/>
        <w:rPr>
          <w:rFonts w:asciiTheme="majorHAnsi" w:hAnsiTheme="majorHAnsi" w:cstheme="majorHAnsi"/>
          <w:sz w:val="22"/>
        </w:rPr>
      </w:pPr>
      <w:r w:rsidRPr="00B27B4D">
        <w:rPr>
          <w:rFonts w:asciiTheme="majorHAnsi" w:hAnsiTheme="majorHAnsi" w:cstheme="majorHAnsi"/>
          <w:sz w:val="22"/>
        </w:rPr>
        <w:t xml:space="preserve">1.- Zuen ustez, adierazle horren emaitza zergatik da hain eskasa konparaziozko analisirako erabili diren eskualdeen aldean? </w:t>
      </w:r>
    </w:p>
    <w:p w14:paraId="718CCB9F"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Nafarroako enpresa egituran industria da nagusia, eta jakintzako zerbitzu trinkoek ez dute hain garrantzi handia. Hain zuzen, deitura horren pean sartzen diren sektoreak estu lotuta egon ohi dira beste lurralde mota batzuei, batez ere Europako hiri eta hiriburu handiak dauden eskualdeei, horietan kokatzen direlako gobernu nazionalen eskariak, enpresa handi eta multinazionalen egoitza nagusiak eta </w:t>
      </w:r>
      <w:proofErr w:type="spellStart"/>
      <w:r w:rsidRPr="00B27B4D">
        <w:rPr>
          <w:rFonts w:asciiTheme="majorHAnsi" w:hAnsiTheme="majorHAnsi" w:cstheme="majorHAnsi"/>
          <w:sz w:val="22"/>
        </w:rPr>
        <w:t>finantzagune</w:t>
      </w:r>
      <w:proofErr w:type="spellEnd"/>
      <w:r w:rsidRPr="00B27B4D">
        <w:rPr>
          <w:rFonts w:asciiTheme="majorHAnsi" w:hAnsiTheme="majorHAnsi" w:cstheme="majorHAnsi"/>
          <w:sz w:val="22"/>
        </w:rPr>
        <w:t xml:space="preserve"> garrantzitsuak. Jakintzako zerbitzu trinkoak barnean hartzen dituzte banku eta aseguruen sektorea, lege aholkularitza, </w:t>
      </w:r>
      <w:proofErr w:type="spellStart"/>
      <w:r w:rsidRPr="00B27B4D">
        <w:rPr>
          <w:rFonts w:asciiTheme="majorHAnsi" w:hAnsiTheme="majorHAnsi" w:cstheme="majorHAnsi"/>
          <w:sz w:val="22"/>
        </w:rPr>
        <w:t>kontsultoretza</w:t>
      </w:r>
      <w:proofErr w:type="spellEnd"/>
      <w:r w:rsidRPr="00B27B4D">
        <w:rPr>
          <w:rFonts w:asciiTheme="majorHAnsi" w:hAnsiTheme="majorHAnsi" w:cstheme="majorHAnsi"/>
          <w:sz w:val="22"/>
        </w:rPr>
        <w:t xml:space="preserve">, ingeniaritza eta informazioaren teknologiak, besteak beste. </w:t>
      </w:r>
    </w:p>
    <w:p w14:paraId="45F29BD1" w14:textId="3D153486" w:rsidR="000E6630"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Eremu zabal horren barnean, Nafarroak badu ingeniaritzaren eta zerbitzu espezializatuen sektore indartsua, bereziki industriaren garapenerako laguntzako enpresak biltzen dituena, hala nola mantentze industrialeko eta digitalizazioko zerbitzuetan dihardutenak. Sektore horrek dituen ahalmen espezializatu batzuk ez dira ageri adierazlean, jakintzako zerbitzu guztiak </w:t>
      </w:r>
      <w:proofErr w:type="spellStart"/>
      <w:r w:rsidRPr="00B27B4D">
        <w:rPr>
          <w:rFonts w:asciiTheme="majorHAnsi" w:hAnsiTheme="majorHAnsi" w:cstheme="majorHAnsi"/>
          <w:sz w:val="22"/>
        </w:rPr>
        <w:t>agregatuta</w:t>
      </w:r>
      <w:proofErr w:type="spellEnd"/>
      <w:r w:rsidRPr="00B27B4D">
        <w:rPr>
          <w:rFonts w:asciiTheme="majorHAnsi" w:hAnsiTheme="majorHAnsi" w:cstheme="majorHAnsi"/>
          <w:sz w:val="22"/>
        </w:rPr>
        <w:t xml:space="preserve"> daudelako.  </w:t>
      </w:r>
    </w:p>
    <w:p w14:paraId="7DBEFA81" w14:textId="77777777" w:rsidR="002157AE" w:rsidRPr="00B27B4D" w:rsidRDefault="002157AE">
      <w:pPr>
        <w:spacing w:after="0" w:line="249" w:lineRule="auto"/>
        <w:ind w:left="-5" w:right="-14"/>
        <w:rPr>
          <w:rFonts w:asciiTheme="majorHAnsi" w:hAnsiTheme="majorHAnsi" w:cstheme="majorHAnsi"/>
          <w:sz w:val="22"/>
        </w:rPr>
      </w:pPr>
      <w:r w:rsidRPr="00B27B4D">
        <w:rPr>
          <w:rFonts w:asciiTheme="majorHAnsi" w:hAnsiTheme="majorHAnsi" w:cstheme="majorHAnsi"/>
          <w:sz w:val="22"/>
        </w:rPr>
        <w:t xml:space="preserve">2.- Zuen ustez, jakintzako zerbitzu trinkoek zer eginkizun dute Nafarroako ekonomiaren modernizazioan? </w:t>
      </w:r>
    </w:p>
    <w:p w14:paraId="02DF1E44"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Jakintzaren ekonomiarantz goaz, non teknologia eta jakintza aurreratuak txertatzea gero eta funtsezkoagoa izanen baita enpresen lehiakortasunerako.  </w:t>
      </w:r>
    </w:p>
    <w:p w14:paraId="37121B8C"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Ekonomiaren modernizazioa zentzu zabalean ulertuta, modu asko daude enpresa eta erakundeei jakintzako zerbitzu trinkoak emateko, eta horien artean nabarmendu daiteke aholkularitza enpresa pribatuen egitekoa (orain </w:t>
      </w:r>
      <w:proofErr w:type="spellStart"/>
      <w:r w:rsidRPr="00B27B4D">
        <w:rPr>
          <w:rFonts w:asciiTheme="majorHAnsi" w:hAnsiTheme="majorHAnsi" w:cstheme="majorHAnsi"/>
          <w:sz w:val="22"/>
        </w:rPr>
        <w:t>ATANAn</w:t>
      </w:r>
      <w:proofErr w:type="spellEnd"/>
      <w:r w:rsidRPr="00B27B4D">
        <w:rPr>
          <w:rFonts w:asciiTheme="majorHAnsi" w:hAnsiTheme="majorHAnsi" w:cstheme="majorHAnsi"/>
          <w:sz w:val="22"/>
        </w:rPr>
        <w:t xml:space="preserve"> elkartuta daude IKT enpresekin batera) eta sektoreko nahiz lurraldeko gainerako kluster eta enpresa-elkarteena, enpresa bazkideen artean jakintza eta teknologia transmititzeko bideak baitira.   </w:t>
      </w:r>
    </w:p>
    <w:p w14:paraId="39F37403"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Gobernuak, gainera, berariazko deialdiak egiten ditu instalazioak modernizatzeko (inbertsiorako laguntzak) eta jakintza estrategikoaren beste alderdi batzuk modernizatzeko (lehiakortasunerako laguntzak). Horiei gehitu behar zaizkie teknologiaren transferentziarako politikak (</w:t>
      </w:r>
      <w:proofErr w:type="spellStart"/>
      <w:r w:rsidRPr="00B27B4D">
        <w:rPr>
          <w:rFonts w:asciiTheme="majorHAnsi" w:hAnsiTheme="majorHAnsi" w:cstheme="majorHAnsi"/>
          <w:sz w:val="22"/>
        </w:rPr>
        <w:t>I+G+b</w:t>
      </w:r>
      <w:proofErr w:type="spellEnd"/>
      <w:r w:rsidRPr="00B27B4D">
        <w:rPr>
          <w:rFonts w:asciiTheme="majorHAnsi" w:hAnsiTheme="majorHAnsi" w:cstheme="majorHAnsi"/>
          <w:sz w:val="22"/>
        </w:rPr>
        <w:t xml:space="preserve"> laguntzen katalogoa), berrikuntza irekia, talentu ikertzailea ekartzeko laguntza eta abarrekoak. Politika horiei </w:t>
      </w:r>
      <w:r w:rsidRPr="00B27B4D">
        <w:rPr>
          <w:rFonts w:asciiTheme="majorHAnsi" w:hAnsiTheme="majorHAnsi" w:cstheme="majorHAnsi"/>
          <w:sz w:val="22"/>
        </w:rPr>
        <w:lastRenderedPageBreak/>
        <w:t xml:space="preserve">esker Nafarroak maila bat gora egin du </w:t>
      </w:r>
      <w:proofErr w:type="spellStart"/>
      <w:r w:rsidRPr="00B27B4D">
        <w:rPr>
          <w:rFonts w:asciiTheme="majorHAnsi" w:hAnsiTheme="majorHAnsi" w:cstheme="majorHAnsi"/>
          <w:sz w:val="22"/>
        </w:rPr>
        <w:t>Regional</w:t>
      </w:r>
      <w:proofErr w:type="spellEnd"/>
      <w:r w:rsidRPr="00B27B4D">
        <w:rPr>
          <w:rFonts w:asciiTheme="majorHAnsi" w:hAnsiTheme="majorHAnsi" w:cstheme="majorHAnsi"/>
          <w:sz w:val="22"/>
        </w:rPr>
        <w:t xml:space="preserve"> </w:t>
      </w:r>
      <w:proofErr w:type="spellStart"/>
      <w:r w:rsidRPr="00B27B4D">
        <w:rPr>
          <w:rFonts w:asciiTheme="majorHAnsi" w:hAnsiTheme="majorHAnsi" w:cstheme="majorHAnsi"/>
          <w:sz w:val="22"/>
        </w:rPr>
        <w:t>Innovation</w:t>
      </w:r>
      <w:proofErr w:type="spellEnd"/>
      <w:r w:rsidRPr="00B27B4D">
        <w:rPr>
          <w:rFonts w:asciiTheme="majorHAnsi" w:hAnsiTheme="majorHAnsi" w:cstheme="majorHAnsi"/>
          <w:sz w:val="22"/>
        </w:rPr>
        <w:t xml:space="preserve"> </w:t>
      </w:r>
      <w:proofErr w:type="spellStart"/>
      <w:r w:rsidRPr="00B27B4D">
        <w:rPr>
          <w:rFonts w:asciiTheme="majorHAnsi" w:hAnsiTheme="majorHAnsi" w:cstheme="majorHAnsi"/>
          <w:sz w:val="22"/>
        </w:rPr>
        <w:t>Scoreboard-en</w:t>
      </w:r>
      <w:proofErr w:type="spellEnd"/>
      <w:r w:rsidRPr="00B27B4D">
        <w:rPr>
          <w:rFonts w:asciiTheme="majorHAnsi" w:hAnsiTheme="majorHAnsi" w:cstheme="majorHAnsi"/>
          <w:sz w:val="22"/>
        </w:rPr>
        <w:t xml:space="preserve">, Berritzaile Moderatua mailatik Berritzaile Sendoa mailara. </w:t>
      </w:r>
    </w:p>
    <w:p w14:paraId="3B973D86" w14:textId="4CB7959D" w:rsidR="000E6630"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Industriari laguntzeko zerbitzu osagarriei dagokien atalean, jakintzako zerbitzu trinkoak funtsezkoak dira digitalizaziorako eta produktibitatea hobetzeko (4.0 teknologiak ezarriz), bai eta industriaren jasangarritasunerako ere, prozesuen trazabilitatea eta datuen kudeaketa beharrezkoak baitira efizientzia, kontsumoak eta ekonomia zirkularraren alderdiak hobetzeko. Nafarroak baditu eraldaketa digitalerako bi bulego eta Berrikuntza Digitaleko Poloa; bertan elkartzen eta eskaintzen dira Nafarroako enpresen hainbat zerbitzu, digitalizazioa eta 4.0 teknologien ezarpena helburu dutenak. </w:t>
      </w:r>
    </w:p>
    <w:p w14:paraId="32255FFA" w14:textId="77777777" w:rsidR="002157AE" w:rsidRPr="00B27B4D" w:rsidRDefault="002157AE">
      <w:pPr>
        <w:spacing w:after="0" w:line="250" w:lineRule="auto"/>
        <w:ind w:left="0" w:right="3" w:firstLine="0"/>
        <w:rPr>
          <w:rFonts w:asciiTheme="majorHAnsi" w:hAnsiTheme="majorHAnsi" w:cstheme="majorHAnsi"/>
          <w:sz w:val="22"/>
        </w:rPr>
      </w:pPr>
      <w:r w:rsidRPr="00B27B4D">
        <w:rPr>
          <w:rFonts w:asciiTheme="majorHAnsi" w:hAnsiTheme="majorHAnsi" w:cstheme="majorHAnsi"/>
          <w:sz w:val="22"/>
        </w:rPr>
        <w:t xml:space="preserve">3.- Departamentuak zer neurri ezarri du eta ezarri nahi ditu Nafarroaren lehiakortasunean determinantea den adierazle horri dagokionez? </w:t>
      </w:r>
    </w:p>
    <w:p w14:paraId="4B26D34F"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Berrikuntza Digitaleko Poloa, inbertsiorako laguntzak, lehiakortasunerako laguntzak, aliantza digitalen laguntzak, ATANA IKT klusterrarentzako babesa, aholkularitza, adimen artifizialeko konponbideen enpresa-garapena babesteko ekimena </w:t>
      </w:r>
      <w:proofErr w:type="spellStart"/>
      <w:r w:rsidRPr="00B27B4D">
        <w:rPr>
          <w:rFonts w:asciiTheme="majorHAnsi" w:hAnsiTheme="majorHAnsi" w:cstheme="majorHAnsi"/>
          <w:sz w:val="22"/>
        </w:rPr>
        <w:t>ATANArekin</w:t>
      </w:r>
      <w:proofErr w:type="spellEnd"/>
      <w:r w:rsidRPr="00B27B4D">
        <w:rPr>
          <w:rFonts w:asciiTheme="majorHAnsi" w:hAnsiTheme="majorHAnsi" w:cstheme="majorHAnsi"/>
          <w:sz w:val="22"/>
        </w:rPr>
        <w:t xml:space="preserve"> eta NAIR </w:t>
      </w:r>
      <w:proofErr w:type="spellStart"/>
      <w:r w:rsidRPr="00B27B4D">
        <w:rPr>
          <w:rFonts w:asciiTheme="majorHAnsi" w:hAnsiTheme="majorHAnsi" w:cstheme="majorHAnsi"/>
          <w:sz w:val="22"/>
        </w:rPr>
        <w:t>centre-rekin</w:t>
      </w:r>
      <w:proofErr w:type="spellEnd"/>
      <w:r w:rsidRPr="00B27B4D">
        <w:rPr>
          <w:rFonts w:asciiTheme="majorHAnsi" w:hAnsiTheme="majorHAnsi" w:cstheme="majorHAnsi"/>
          <w:sz w:val="22"/>
        </w:rPr>
        <w:t xml:space="preserve">, klusterren politika… </w:t>
      </w:r>
    </w:p>
    <w:p w14:paraId="3581DA8C" w14:textId="77777777" w:rsidR="002157AE" w:rsidRPr="00B27B4D" w:rsidRDefault="002157AE">
      <w:pPr>
        <w:ind w:left="-5" w:right="0"/>
        <w:rPr>
          <w:rFonts w:asciiTheme="majorHAnsi" w:hAnsiTheme="majorHAnsi" w:cstheme="majorHAnsi"/>
          <w:sz w:val="22"/>
        </w:rPr>
      </w:pPr>
      <w:r w:rsidRPr="00B27B4D">
        <w:rPr>
          <w:rFonts w:asciiTheme="majorHAnsi" w:hAnsiTheme="majorHAnsi" w:cstheme="majorHAnsi"/>
          <w:sz w:val="22"/>
        </w:rPr>
        <w:t xml:space="preserve">Hori guztia jakinarazten dizut, Nafarroako Parlamentuko Erregelamenduaren 215. artikulua betez. </w:t>
      </w:r>
    </w:p>
    <w:p w14:paraId="75D84CC1" w14:textId="4421E220" w:rsidR="000E6630" w:rsidRPr="00B27B4D" w:rsidRDefault="002157AE">
      <w:pPr>
        <w:spacing w:after="118" w:line="259" w:lineRule="auto"/>
        <w:ind w:right="5"/>
        <w:jc w:val="center"/>
        <w:rPr>
          <w:rFonts w:asciiTheme="majorHAnsi" w:hAnsiTheme="majorHAnsi" w:cstheme="majorHAnsi"/>
          <w:sz w:val="22"/>
        </w:rPr>
      </w:pPr>
      <w:r w:rsidRPr="00B27B4D">
        <w:rPr>
          <w:rFonts w:asciiTheme="majorHAnsi" w:hAnsiTheme="majorHAnsi" w:cstheme="majorHAnsi"/>
          <w:sz w:val="22"/>
        </w:rPr>
        <w:t xml:space="preserve">Iruñean, 2023ko urriaren 6an </w:t>
      </w:r>
    </w:p>
    <w:p w14:paraId="08BC70B9" w14:textId="169097F2" w:rsidR="002157AE" w:rsidRPr="00B27B4D" w:rsidRDefault="002157AE" w:rsidP="002157AE">
      <w:pPr>
        <w:spacing w:after="0"/>
        <w:ind w:right="0"/>
        <w:jc w:val="center"/>
        <w:rPr>
          <w:rFonts w:asciiTheme="majorHAnsi" w:hAnsiTheme="majorHAnsi" w:cstheme="majorHAnsi"/>
          <w:sz w:val="22"/>
        </w:rPr>
      </w:pPr>
      <w:r w:rsidRPr="00B27B4D">
        <w:rPr>
          <w:rFonts w:asciiTheme="majorHAnsi" w:hAnsiTheme="majorHAnsi" w:cstheme="majorHAnsi"/>
          <w:sz w:val="22"/>
        </w:rPr>
        <w:t xml:space="preserve">Industriako eta Enpresen Trantsizio Ekologiko eta Digitalerako kontseilaria: Mikel Irujo </w:t>
      </w:r>
      <w:proofErr w:type="spellStart"/>
      <w:r w:rsidRPr="00B27B4D">
        <w:rPr>
          <w:rFonts w:asciiTheme="majorHAnsi" w:hAnsiTheme="majorHAnsi" w:cstheme="majorHAnsi"/>
          <w:sz w:val="22"/>
        </w:rPr>
        <w:t>Amezaga</w:t>
      </w:r>
      <w:proofErr w:type="spellEnd"/>
      <w:r w:rsidRPr="00B27B4D">
        <w:rPr>
          <w:rFonts w:asciiTheme="majorHAnsi" w:hAnsiTheme="majorHAnsi" w:cstheme="majorHAnsi"/>
          <w:sz w:val="22"/>
        </w:rPr>
        <w:t xml:space="preserve"> </w:t>
      </w:r>
    </w:p>
    <w:sectPr w:rsidR="002157AE" w:rsidRPr="00B27B4D">
      <w:headerReference w:type="even" r:id="rId6"/>
      <w:headerReference w:type="first" r:id="rId7"/>
      <w:pgSz w:w="11906" w:h="16838"/>
      <w:pgMar w:top="2309" w:right="1129" w:bottom="1321" w:left="2268" w:header="1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EE3B" w14:textId="77777777" w:rsidR="002157AE" w:rsidRDefault="002157AE">
      <w:pPr>
        <w:spacing w:after="0" w:line="240" w:lineRule="auto"/>
      </w:pPr>
      <w:r>
        <w:separator/>
      </w:r>
    </w:p>
  </w:endnote>
  <w:endnote w:type="continuationSeparator" w:id="0">
    <w:p w14:paraId="219A57E8" w14:textId="77777777" w:rsidR="002157AE" w:rsidRDefault="0021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EF20" w14:textId="77777777" w:rsidR="002157AE" w:rsidRDefault="002157AE">
      <w:pPr>
        <w:spacing w:after="0" w:line="240" w:lineRule="auto"/>
      </w:pPr>
      <w:r>
        <w:separator/>
      </w:r>
    </w:p>
  </w:footnote>
  <w:footnote w:type="continuationSeparator" w:id="0">
    <w:p w14:paraId="4D74F373" w14:textId="77777777" w:rsidR="002157AE" w:rsidRDefault="0021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A5F1" w14:textId="77777777" w:rsidR="000E6630" w:rsidRDefault="002157AE">
    <w:pPr>
      <w:spacing w:after="0" w:line="259" w:lineRule="auto"/>
      <w:ind w:left="-1735" w:right="0" w:firstLine="0"/>
      <w:jc w:val="left"/>
    </w:pPr>
    <w:r>
      <w:rPr>
        <w:noProof/>
      </w:rPr>
      <w:drawing>
        <wp:anchor distT="0" distB="0" distL="114300" distR="114300" simplePos="0" relativeHeight="251658240" behindDoc="0" locked="0" layoutInCell="1" allowOverlap="0" wp14:anchorId="721F52A3" wp14:editId="36B22403">
          <wp:simplePos x="0" y="0"/>
          <wp:positionH relativeFrom="page">
            <wp:posOffset>5344668</wp:posOffset>
          </wp:positionH>
          <wp:positionV relativeFrom="page">
            <wp:posOffset>126493</wp:posOffset>
          </wp:positionV>
          <wp:extent cx="2162556" cy="656844"/>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2385C1BB" w14:textId="77777777" w:rsidR="000E6630" w:rsidRDefault="002157AE">
    <w:pPr>
      <w:spacing w:after="18" w:line="259" w:lineRule="auto"/>
      <w:ind w:left="-1735" w:right="0" w:firstLine="0"/>
      <w:jc w:val="left"/>
    </w:pPr>
    <w:r>
      <w:rPr>
        <w:sz w:val="16"/>
      </w:rPr>
      <w:t xml:space="preserve">Industriako eta Enpresen Trantsizio Ekologiko eta Digitalerako Departamentuko kontseilaria </w:t>
    </w:r>
  </w:p>
  <w:p w14:paraId="022AB6B4" w14:textId="77777777" w:rsidR="002157AE" w:rsidRDefault="002157AE">
    <w:pPr>
      <w:tabs>
        <w:tab w:val="center" w:pos="0"/>
      </w:tabs>
      <w:spacing w:after="0" w:line="259" w:lineRule="auto"/>
      <w:ind w:left="-1735" w:right="0" w:firstLine="0"/>
      <w:jc w:val="left"/>
    </w:pPr>
    <w:r>
      <w:rPr>
        <w:sz w:val="16"/>
      </w:rPr>
      <w:t xml:space="preserve"> </w:t>
    </w:r>
    <w:r>
      <w:rPr>
        <w:sz w:val="16"/>
      </w:rPr>
      <w:tab/>
    </w:r>
    <w:r>
      <w:rPr>
        <w:sz w:val="31"/>
        <w:vertAlign w:val="subscript"/>
      </w:rPr>
      <w:t xml:space="preserve"> </w:t>
    </w:r>
  </w:p>
  <w:p w14:paraId="39F33CED" w14:textId="403D13BB" w:rsidR="000E6630" w:rsidRDefault="002157AE">
    <w:pPr>
      <w:spacing w:after="0" w:line="259" w:lineRule="auto"/>
      <w:ind w:left="0" w:right="0" w:firstLine="0"/>
      <w:jc w:val="left"/>
    </w:pPr>
    <w:r>
      <w:rPr>
        <w:sz w:val="20"/>
      </w:rPr>
      <w:t xml:space="preserve"> </w:t>
    </w:r>
  </w:p>
  <w:p w14:paraId="437529F0" w14:textId="77777777" w:rsidR="000E6630" w:rsidRDefault="002157AE">
    <w:pPr>
      <w:spacing w:after="6" w:line="259" w:lineRule="auto"/>
      <w:ind w:left="-1735" w:right="0" w:firstLine="0"/>
      <w:jc w:val="left"/>
    </w:pPr>
    <w:r>
      <w:rPr>
        <w:sz w:val="16"/>
      </w:rPr>
      <w:t xml:space="preserve"> TOMAS CABALLERO PARKEA 1, "FUERTE DEL PRINCIPE II" ERAIKINA, 6. SOLAIRUA, 31005 IRUÑA </w:t>
    </w:r>
  </w:p>
  <w:p w14:paraId="63E682B9" w14:textId="77777777" w:rsidR="002157AE" w:rsidRDefault="002157AE">
    <w:pPr>
      <w:spacing w:after="0" w:line="259" w:lineRule="auto"/>
      <w:ind w:left="-1735" w:right="0" w:firstLine="0"/>
      <w:jc w:val="left"/>
    </w:pPr>
    <w:r>
      <w:rPr>
        <w:sz w:val="16"/>
      </w:rPr>
      <w:t xml:space="preserve"> </w:t>
    </w:r>
    <w:r>
      <w:rPr>
        <w:sz w:val="16"/>
      </w:rPr>
      <w:tab/>
    </w:r>
    <w:r>
      <w:rPr>
        <w:sz w:val="20"/>
      </w:rPr>
      <w:t xml:space="preserve"> </w:t>
    </w:r>
  </w:p>
  <w:p w14:paraId="46D8AA50" w14:textId="3BAFD761" w:rsidR="000E6630" w:rsidRDefault="000E6630">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E4E" w14:textId="77777777" w:rsidR="000E6630" w:rsidRDefault="002157AE">
    <w:pPr>
      <w:spacing w:after="0" w:line="259" w:lineRule="auto"/>
      <w:ind w:left="-1735" w:right="0" w:firstLine="0"/>
      <w:jc w:val="left"/>
    </w:pPr>
    <w:r>
      <w:rPr>
        <w:noProof/>
      </w:rPr>
      <w:drawing>
        <wp:anchor distT="0" distB="0" distL="114300" distR="114300" simplePos="0" relativeHeight="251660288" behindDoc="0" locked="0" layoutInCell="1" allowOverlap="0" wp14:anchorId="7DEFC452" wp14:editId="724B7539">
          <wp:simplePos x="0" y="0"/>
          <wp:positionH relativeFrom="page">
            <wp:posOffset>5344668</wp:posOffset>
          </wp:positionH>
          <wp:positionV relativeFrom="page">
            <wp:posOffset>126493</wp:posOffset>
          </wp:positionV>
          <wp:extent cx="2162556" cy="656844"/>
          <wp:effectExtent l="0" t="0" r="0" b="0"/>
          <wp:wrapSquare wrapText="bothSides"/>
          <wp:docPr id="318250972"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162556" cy="656844"/>
                  </a:xfrm>
                  <a:prstGeom prst="rect">
                    <a:avLst/>
                  </a:prstGeom>
                </pic:spPr>
              </pic:pic>
            </a:graphicData>
          </a:graphic>
        </wp:anchor>
      </w:drawing>
    </w:r>
    <w:r>
      <w:rPr>
        <w:sz w:val="16"/>
      </w:rPr>
      <w:t xml:space="preserve">Mikel Irujo Amezaga </w:t>
    </w:r>
  </w:p>
  <w:p w14:paraId="35B4B910" w14:textId="77777777" w:rsidR="000E6630" w:rsidRDefault="002157AE">
    <w:pPr>
      <w:spacing w:after="18" w:line="259" w:lineRule="auto"/>
      <w:ind w:left="-1735" w:right="0" w:firstLine="0"/>
      <w:jc w:val="left"/>
    </w:pPr>
    <w:r>
      <w:rPr>
        <w:sz w:val="16"/>
      </w:rPr>
      <w:t xml:space="preserve">Industriako eta Enpresen Trantsizio Ekologiko eta Digitalerako Departamentuko kontseilaria </w:t>
    </w:r>
  </w:p>
  <w:p w14:paraId="1E4E6C19" w14:textId="77777777" w:rsidR="002157AE" w:rsidRDefault="002157AE">
    <w:pPr>
      <w:tabs>
        <w:tab w:val="center" w:pos="0"/>
      </w:tabs>
      <w:spacing w:after="0" w:line="259" w:lineRule="auto"/>
      <w:ind w:left="-1735" w:right="0" w:firstLine="0"/>
      <w:jc w:val="left"/>
    </w:pPr>
    <w:r>
      <w:rPr>
        <w:sz w:val="16"/>
      </w:rPr>
      <w:t xml:space="preserve"> </w:t>
    </w:r>
    <w:r>
      <w:rPr>
        <w:sz w:val="16"/>
      </w:rPr>
      <w:tab/>
    </w:r>
    <w:r>
      <w:rPr>
        <w:sz w:val="31"/>
        <w:vertAlign w:val="subscript"/>
      </w:rPr>
      <w:t xml:space="preserve"> </w:t>
    </w:r>
  </w:p>
  <w:p w14:paraId="59543AB5" w14:textId="1D31E5ED" w:rsidR="000E6630" w:rsidRDefault="002157AE">
    <w:pPr>
      <w:spacing w:after="0" w:line="259" w:lineRule="auto"/>
      <w:ind w:left="0" w:right="0" w:firstLine="0"/>
      <w:jc w:val="left"/>
    </w:pPr>
    <w:r>
      <w:rPr>
        <w:sz w:val="20"/>
      </w:rPr>
      <w:t xml:space="preserve"> </w:t>
    </w:r>
  </w:p>
  <w:p w14:paraId="0F5D27B2" w14:textId="77777777" w:rsidR="000E6630" w:rsidRDefault="002157AE">
    <w:pPr>
      <w:spacing w:after="6" w:line="259" w:lineRule="auto"/>
      <w:ind w:left="-1735" w:right="0" w:firstLine="0"/>
      <w:jc w:val="left"/>
    </w:pPr>
    <w:r>
      <w:rPr>
        <w:sz w:val="16"/>
      </w:rPr>
      <w:t xml:space="preserve"> TOMAS CABALLERO PARKEA 1, "FUERTE DEL PRINCIPE II" ERAIKINA, 6. SOLAIRUA, 31005 IRUÑA </w:t>
    </w:r>
  </w:p>
  <w:p w14:paraId="2833A028" w14:textId="77777777" w:rsidR="002157AE" w:rsidRDefault="002157AE">
    <w:pPr>
      <w:spacing w:after="0" w:line="259" w:lineRule="auto"/>
      <w:ind w:left="-1735" w:right="0" w:firstLine="0"/>
      <w:jc w:val="left"/>
    </w:pPr>
    <w:r>
      <w:rPr>
        <w:sz w:val="16"/>
      </w:rPr>
      <w:t xml:space="preserve"> </w:t>
    </w:r>
    <w:r>
      <w:rPr>
        <w:sz w:val="16"/>
      </w:rPr>
      <w:tab/>
    </w:r>
    <w:r>
      <w:rPr>
        <w:sz w:val="20"/>
      </w:rPr>
      <w:t xml:space="preserve"> </w:t>
    </w:r>
  </w:p>
  <w:p w14:paraId="3EFEFC37" w14:textId="4195BAFF" w:rsidR="000E6630" w:rsidRDefault="000E6630">
    <w:pPr>
      <w:spacing w:after="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30"/>
    <w:rsid w:val="000E6630"/>
    <w:rsid w:val="00196EFF"/>
    <w:rsid w:val="002157AE"/>
    <w:rsid w:val="00281C02"/>
    <w:rsid w:val="009D34C6"/>
    <w:rsid w:val="00B27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A075"/>
  <w15:docId w15:val="{3705F6FD-E88A-4788-BCC5-9649293C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0" w:right="2"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15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57AE"/>
    <w:rPr>
      <w:rFonts w:ascii="Times New Roman" w:eastAsia="Times New Roman" w:hAnsi="Times New Roman" w:cs="Times New Roman"/>
      <w:color w:val="000000"/>
      <w:sz w:val="24"/>
    </w:rPr>
  </w:style>
  <w:style w:type="paragraph" w:styleId="Encabezado">
    <w:name w:val="header"/>
    <w:basedOn w:val="Normal"/>
    <w:link w:val="EncabezadoCar"/>
    <w:uiPriority w:val="99"/>
    <w:semiHidden/>
    <w:unhideWhenUsed/>
    <w:rsid w:val="00215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157A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3390</Characters>
  <Application>Microsoft Office Word</Application>
  <DocSecurity>0</DocSecurity>
  <Lines>28</Lines>
  <Paragraphs>7</Paragraphs>
  <ScaleCrop>false</ScaleCrop>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6</cp:revision>
  <dcterms:created xsi:type="dcterms:W3CDTF">2023-10-16T12:39:00Z</dcterms:created>
  <dcterms:modified xsi:type="dcterms:W3CDTF">2023-11-14T10:13:00Z</dcterms:modified>
</cp:coreProperties>
</file>