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CBEF" w14:textId="6D45680F" w:rsidR="00FF47DA" w:rsidRPr="004072D8" w:rsidRDefault="004072D8" w:rsidP="004072D8">
      <w:pPr>
        <w:pStyle w:val="Style"/>
        <w:spacing w:before="100" w:beforeAutospacing="1" w:after="200" w:line="276" w:lineRule="auto"/>
        <w:ind w:firstLine="708"/>
        <w:rPr>
          <w:rFonts w:ascii="Calibri" w:hAnsi="Calibri" w:cs="Calibri"/>
          <w:sz w:val="22"/>
          <w:szCs w:val="22"/>
        </w:rPr>
      </w:pPr>
      <w:r w:rsidRPr="004072D8">
        <w:rPr>
          <w:rFonts w:ascii="Calibri" w:hAnsi="Calibri" w:cs="Calibri"/>
          <w:sz w:val="22"/>
          <w:szCs w:val="22"/>
        </w:rPr>
        <w:t>2</w:t>
      </w:r>
      <w:r w:rsidR="00025479">
        <w:rPr>
          <w:rFonts w:ascii="Calibri" w:hAnsi="Calibri" w:cs="Calibri"/>
          <w:sz w:val="22"/>
          <w:szCs w:val="22"/>
        </w:rPr>
        <w:t>4</w:t>
      </w:r>
      <w:r w:rsidRPr="004072D8">
        <w:rPr>
          <w:rFonts w:ascii="Calibri" w:hAnsi="Calibri" w:cs="Calibri"/>
          <w:sz w:val="22"/>
          <w:szCs w:val="22"/>
        </w:rPr>
        <w:t>MOC-2</w:t>
      </w:r>
    </w:p>
    <w:p w14:paraId="6B490ADF" w14:textId="5A5B3447" w:rsidR="004072D8" w:rsidRDefault="00527283" w:rsidP="004072D8">
      <w:pPr>
        <w:pStyle w:val="Style"/>
        <w:spacing w:before="100" w:beforeAutospacing="1" w:after="200" w:line="276" w:lineRule="auto"/>
        <w:ind w:left="708" w:right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 xml:space="preserve">Carlos Guzmán Pérez, Portavoz del </w:t>
      </w:r>
      <w:r w:rsidRPr="004072D8">
        <w:rPr>
          <w:rFonts w:ascii="Calibri" w:eastAsia="Arial" w:hAnsi="Calibri" w:cs="Calibri"/>
          <w:bCs/>
          <w:sz w:val="22"/>
          <w:szCs w:val="22"/>
        </w:rPr>
        <w:t>Grupo Parlamentario Contigo Navarra</w:t>
      </w:r>
      <w:r w:rsidR="00707FC5">
        <w:rPr>
          <w:rFonts w:ascii="Calibri" w:eastAsia="Arial" w:hAnsi="Calibri" w:cs="Calibri"/>
          <w:bCs/>
          <w:sz w:val="22"/>
          <w:szCs w:val="22"/>
        </w:rPr>
        <w:t>–</w:t>
      </w:r>
      <w:r w:rsidRPr="004072D8">
        <w:rPr>
          <w:rFonts w:ascii="Calibri" w:eastAsia="Arial" w:hAnsi="Calibri" w:cs="Calibri"/>
          <w:bCs/>
          <w:sz w:val="22"/>
          <w:szCs w:val="22"/>
        </w:rPr>
        <w:t>Zurekin Nafarroa,</w:t>
      </w:r>
      <w:r w:rsidRPr="004072D8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072D8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442E9B">
        <w:rPr>
          <w:rFonts w:ascii="Calibri" w:eastAsia="Arial" w:hAnsi="Calibri" w:cs="Calibri"/>
          <w:sz w:val="22"/>
          <w:szCs w:val="22"/>
        </w:rPr>
        <w:t>m</w:t>
      </w:r>
      <w:r w:rsidRPr="004072D8">
        <w:rPr>
          <w:rFonts w:ascii="Calibri" w:eastAsia="Arial" w:hAnsi="Calibri" w:cs="Calibri"/>
          <w:sz w:val="22"/>
          <w:szCs w:val="22"/>
        </w:rPr>
        <w:t xml:space="preserve">oción para que sea debatida en sesión del </w:t>
      </w:r>
      <w:r w:rsidRPr="004072D8">
        <w:rPr>
          <w:rFonts w:ascii="Calibri" w:eastAsia="Arial" w:hAnsi="Calibri" w:cs="Calibri"/>
          <w:bCs/>
          <w:sz w:val="22"/>
          <w:szCs w:val="22"/>
        </w:rPr>
        <w:t>Pleno</w:t>
      </w:r>
      <w:r w:rsidRPr="004072D8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072D8">
        <w:rPr>
          <w:rFonts w:ascii="Calibri" w:eastAsia="Arial" w:hAnsi="Calibri" w:cs="Calibri"/>
          <w:sz w:val="22"/>
          <w:szCs w:val="22"/>
        </w:rPr>
        <w:t xml:space="preserve">de este Parlamento: </w:t>
      </w:r>
    </w:p>
    <w:p w14:paraId="7AF9A678" w14:textId="4EDB2CA7" w:rsidR="004072D8" w:rsidRPr="004072D8" w:rsidRDefault="004072D8" w:rsidP="004072D8">
      <w:pPr>
        <w:pStyle w:val="Style"/>
        <w:spacing w:before="100" w:beforeAutospacing="1" w:after="200" w:line="276" w:lineRule="auto"/>
        <w:ind w:right="379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4072D8">
        <w:rPr>
          <w:rFonts w:ascii="Calibri" w:hAnsi="Calibri" w:cs="Calibri"/>
          <w:bCs/>
          <w:sz w:val="22"/>
          <w:szCs w:val="22"/>
        </w:rPr>
        <w:t>Exposición de motivos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6B5A143" w14:textId="501D53C8" w:rsidR="00FF47DA" w:rsidRPr="00910375" w:rsidRDefault="00527283" w:rsidP="004072D8">
      <w:pPr>
        <w:pStyle w:val="Style"/>
        <w:spacing w:before="100" w:beforeAutospacing="1" w:after="200" w:line="276" w:lineRule="auto"/>
        <w:ind w:left="708" w:right="379"/>
        <w:textAlignment w:val="baseline"/>
        <w:rPr>
          <w:rFonts w:ascii="Calibri" w:hAnsi="Calibri" w:cs="Calibri"/>
          <w:sz w:val="22"/>
          <w:szCs w:val="22"/>
        </w:rPr>
      </w:pPr>
      <w:r w:rsidRPr="00910375">
        <w:rPr>
          <w:rFonts w:ascii="Calibri" w:eastAsia="Arial" w:hAnsi="Calibri" w:cs="Calibri"/>
          <w:sz w:val="22"/>
          <w:szCs w:val="22"/>
        </w:rPr>
        <w:t xml:space="preserve">La Ley 20/2022, de 19 de octubre, de Memoria Democrática, en su Artículo 35 de </w:t>
      </w:r>
      <w:r w:rsidRPr="00910375">
        <w:rPr>
          <w:rFonts w:ascii="Calibri" w:hAnsi="Calibri" w:cs="Calibri"/>
          <w:sz w:val="22"/>
          <w:szCs w:val="22"/>
        </w:rPr>
        <w:t xml:space="preserve">Símbolos y elementos contrarios a la memoria democrática, </w:t>
      </w:r>
      <w:r w:rsidRPr="00910375">
        <w:rPr>
          <w:rFonts w:ascii="Calibri" w:eastAsia="Arial" w:hAnsi="Calibri" w:cs="Calibri"/>
          <w:sz w:val="22"/>
          <w:szCs w:val="22"/>
        </w:rPr>
        <w:t>en su punto número 1 señala</w:t>
      </w:r>
      <w:r w:rsidR="00025479" w:rsidRPr="00910375">
        <w:rPr>
          <w:rFonts w:ascii="Calibri" w:eastAsia="Arial" w:hAnsi="Calibri" w:cs="Calibri"/>
          <w:sz w:val="22"/>
          <w:szCs w:val="22"/>
        </w:rPr>
        <w:t>:</w:t>
      </w:r>
      <w:r w:rsidRPr="00910375">
        <w:rPr>
          <w:rFonts w:ascii="Calibri" w:eastAsia="Arial" w:hAnsi="Calibri" w:cs="Calibri"/>
          <w:sz w:val="22"/>
          <w:szCs w:val="22"/>
        </w:rPr>
        <w:t xml:space="preserve"> </w:t>
      </w:r>
    </w:p>
    <w:p w14:paraId="458DB0E0" w14:textId="0EC9CFDF" w:rsidR="004072D8" w:rsidRPr="008D1F7F" w:rsidRDefault="00527283" w:rsidP="00141CA5">
      <w:pPr>
        <w:pStyle w:val="Style"/>
        <w:numPr>
          <w:ilvl w:val="0"/>
          <w:numId w:val="3"/>
        </w:numPr>
        <w:spacing w:before="100" w:beforeAutospacing="1" w:after="200" w:line="276" w:lineRule="auto"/>
        <w:ind w:right="40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41CA5">
        <w:rPr>
          <w:rFonts w:ascii="Calibri" w:hAnsi="Calibri" w:cs="Calibri"/>
          <w:sz w:val="22"/>
          <w:szCs w:val="22"/>
        </w:rPr>
        <w:t>Se consideran</w:t>
      </w:r>
      <w:r w:rsidRPr="008D1F7F">
        <w:rPr>
          <w:rFonts w:ascii="Calibri" w:hAnsi="Calibri" w:cs="Calibri"/>
          <w:sz w:val="22"/>
          <w:szCs w:val="22"/>
        </w:rPr>
        <w:t xml:space="preserve"> elementos contrarios a la memoria democrática las edificaciones, construcciones, escudos, insignias, placas y cualesquiera otros elementos u objetos adosados a edificios públicos o situados en la vía pública en los que se realicen menciones conmemorativas en exaltación, personal o colectiva, de la sublevación militar y de la Dictadura, de sus dirigentes, participantes en el sistema represivo o de las organizaciones que sustentaron la dictadura, y las unidades civiles o militares de colaboración entre el régimen franquista y las potencias del eje durante la Segunda Guerra Mundial. </w:t>
      </w:r>
    </w:p>
    <w:p w14:paraId="68B70C7D" w14:textId="6BA86E5D" w:rsidR="00FF47DA" w:rsidRPr="004072D8" w:rsidRDefault="00527283" w:rsidP="004072D8">
      <w:pPr>
        <w:pStyle w:val="Style"/>
        <w:spacing w:before="100" w:beforeAutospacing="1" w:after="200" w:line="276" w:lineRule="auto"/>
        <w:ind w:left="974" w:right="379"/>
        <w:textAlignment w:val="baseline"/>
        <w:rPr>
          <w:rFonts w:ascii="Calibri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 xml:space="preserve">El mismo </w:t>
      </w:r>
      <w:r w:rsidR="004072D8">
        <w:rPr>
          <w:rFonts w:ascii="Calibri" w:eastAsia="Arial" w:hAnsi="Calibri" w:cs="Calibri"/>
          <w:sz w:val="22"/>
          <w:szCs w:val="22"/>
        </w:rPr>
        <w:t>a</w:t>
      </w:r>
      <w:r w:rsidRPr="004072D8">
        <w:rPr>
          <w:rFonts w:ascii="Calibri" w:eastAsia="Arial" w:hAnsi="Calibri" w:cs="Calibri"/>
          <w:sz w:val="22"/>
          <w:szCs w:val="22"/>
        </w:rPr>
        <w:t>rtículo en su apartado número 5 señala</w:t>
      </w:r>
      <w:r w:rsidR="00025479">
        <w:rPr>
          <w:rFonts w:ascii="Calibri" w:eastAsia="Arial" w:hAnsi="Calibri" w:cs="Calibri"/>
          <w:sz w:val="22"/>
          <w:szCs w:val="22"/>
        </w:rPr>
        <w:t>:</w:t>
      </w:r>
      <w:r w:rsidRPr="004072D8">
        <w:rPr>
          <w:rFonts w:ascii="Calibri" w:eastAsia="Arial" w:hAnsi="Calibri" w:cs="Calibri"/>
          <w:sz w:val="22"/>
          <w:szCs w:val="22"/>
        </w:rPr>
        <w:t xml:space="preserve"> </w:t>
      </w:r>
    </w:p>
    <w:p w14:paraId="650909E7" w14:textId="77777777" w:rsidR="004072D8" w:rsidRPr="00910375" w:rsidRDefault="00527283" w:rsidP="00442E9B">
      <w:pPr>
        <w:pStyle w:val="Style"/>
        <w:spacing w:before="100" w:beforeAutospacing="1" w:after="200" w:line="276" w:lineRule="auto"/>
        <w:ind w:left="708" w:right="40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10375">
        <w:rPr>
          <w:rFonts w:ascii="Calibri" w:hAnsi="Calibri" w:cs="Calibri"/>
          <w:w w:val="106"/>
          <w:sz w:val="22"/>
          <w:szCs w:val="22"/>
        </w:rPr>
        <w:t xml:space="preserve">5. </w:t>
      </w:r>
      <w:r w:rsidRPr="00910375">
        <w:rPr>
          <w:rFonts w:ascii="Calibri" w:hAnsi="Calibri" w:cs="Calibri"/>
          <w:sz w:val="22"/>
          <w:szCs w:val="22"/>
        </w:rPr>
        <w:t xml:space="preserve">Cuando los elementos contrarios a la memoria democrática estén ubicados en edificios de carácter privado o religioso, pero con proyección a un espacio o uso público, las personas o instituciones titulares o propietarias de los mismos deberán retirarlos o eliminar/os, en la forma establecida en el presente artículo. </w:t>
      </w:r>
    </w:p>
    <w:p w14:paraId="6E807891" w14:textId="5DE8A5B7" w:rsidR="007C495B" w:rsidRDefault="00527283" w:rsidP="007C495B">
      <w:pPr>
        <w:pStyle w:val="Style"/>
        <w:spacing w:before="100" w:beforeAutospacing="1" w:after="200" w:line="276" w:lineRule="auto"/>
        <w:ind w:right="379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 xml:space="preserve">De igual manera, la citada </w:t>
      </w:r>
      <w:r w:rsidR="008D1F7F">
        <w:rPr>
          <w:rFonts w:ascii="Calibri" w:eastAsia="Arial" w:hAnsi="Calibri" w:cs="Calibri"/>
          <w:sz w:val="22"/>
          <w:szCs w:val="22"/>
        </w:rPr>
        <w:t>l</w:t>
      </w:r>
      <w:r w:rsidRPr="004072D8">
        <w:rPr>
          <w:rFonts w:ascii="Calibri" w:eastAsia="Arial" w:hAnsi="Calibri" w:cs="Calibri"/>
          <w:sz w:val="22"/>
          <w:szCs w:val="22"/>
        </w:rPr>
        <w:t>ey en su artículo 39</w:t>
      </w:r>
      <w:r w:rsidR="008D1F7F">
        <w:rPr>
          <w:rFonts w:ascii="Calibri" w:eastAsia="Arial" w:hAnsi="Calibri" w:cs="Calibri"/>
          <w:sz w:val="22"/>
          <w:szCs w:val="22"/>
        </w:rPr>
        <w:t>,</w:t>
      </w:r>
      <w:r w:rsidRPr="004072D8">
        <w:rPr>
          <w:rFonts w:ascii="Calibri" w:eastAsia="Arial" w:hAnsi="Calibri" w:cs="Calibri"/>
          <w:sz w:val="22"/>
          <w:szCs w:val="22"/>
        </w:rPr>
        <w:t xml:space="preserve"> </w:t>
      </w:r>
      <w:r w:rsidRPr="004072D8">
        <w:rPr>
          <w:rFonts w:ascii="Calibri" w:hAnsi="Calibri" w:cs="Calibri"/>
          <w:i/>
          <w:iCs/>
          <w:sz w:val="22"/>
          <w:szCs w:val="22"/>
        </w:rPr>
        <w:t>Privación de subvenciones</w:t>
      </w:r>
      <w:r w:rsidR="008D1F7F">
        <w:rPr>
          <w:rFonts w:ascii="Calibri" w:hAnsi="Calibri" w:cs="Calibri"/>
          <w:i/>
          <w:iCs/>
          <w:sz w:val="22"/>
          <w:szCs w:val="22"/>
        </w:rPr>
        <w:t>,</w:t>
      </w:r>
      <w:r w:rsidRPr="004072D8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072D8">
        <w:rPr>
          <w:rFonts w:ascii="Calibri" w:eastAsia="Arial" w:hAnsi="Calibri" w:cs="Calibri"/>
          <w:sz w:val="22"/>
          <w:szCs w:val="22"/>
        </w:rPr>
        <w:t>señala</w:t>
      </w:r>
      <w:r w:rsidR="00025479">
        <w:rPr>
          <w:rFonts w:ascii="Calibri" w:eastAsia="Arial" w:hAnsi="Calibri" w:cs="Calibri"/>
          <w:sz w:val="22"/>
          <w:szCs w:val="22"/>
        </w:rPr>
        <w:t>:</w:t>
      </w:r>
      <w:r w:rsidRPr="004072D8">
        <w:rPr>
          <w:rFonts w:ascii="Calibri" w:eastAsia="Arial" w:hAnsi="Calibri" w:cs="Calibri"/>
          <w:sz w:val="22"/>
          <w:szCs w:val="22"/>
        </w:rPr>
        <w:t xml:space="preserve"> </w:t>
      </w:r>
    </w:p>
    <w:p w14:paraId="2B48B576" w14:textId="77777777" w:rsidR="00FF47DA" w:rsidRPr="00910375" w:rsidRDefault="00527283" w:rsidP="00F15758">
      <w:pPr>
        <w:pStyle w:val="Style"/>
        <w:spacing w:before="100" w:beforeAutospacing="1" w:after="200" w:line="276" w:lineRule="auto"/>
        <w:ind w:left="708" w:right="4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10375">
        <w:rPr>
          <w:rFonts w:ascii="Calibri" w:hAnsi="Calibri" w:cs="Calibri"/>
          <w:sz w:val="22"/>
          <w:szCs w:val="22"/>
        </w:rPr>
        <w:t xml:space="preserve">1. Conforme al ordenamiento jurídico, las administraciones públicas no subvencionarán a aquellas personas físicas o jurídicas, públicas o privadas, sancionadas por resolución administrativa firme por atentar, alentar o tolerar prácticas en contra de la memoria democrática, en los términos y plazos previstos en el título IV de esta ley. </w:t>
      </w:r>
    </w:p>
    <w:p w14:paraId="1F663FAB" w14:textId="77777777" w:rsidR="00FF47DA" w:rsidRPr="00910375" w:rsidRDefault="00527283" w:rsidP="00F15758">
      <w:pPr>
        <w:pStyle w:val="Style"/>
        <w:spacing w:before="100" w:beforeAutospacing="1" w:after="200" w:line="276" w:lineRule="auto"/>
        <w:ind w:left="708"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10375">
        <w:rPr>
          <w:rFonts w:ascii="Calibri" w:hAnsi="Calibri" w:cs="Calibri"/>
          <w:sz w:val="22"/>
          <w:szCs w:val="22"/>
        </w:rPr>
        <w:t xml:space="preserve">2. Las administraciones públicas en ningún caso podrán otorgar subvenciones que tengan por objeto la realización de una actividad o el cumplimiento de una finalidad que atente, aliente o tolere prácticas calificadas como infracciones en el título IV de esta ley. </w:t>
      </w:r>
    </w:p>
    <w:p w14:paraId="30A547C2" w14:textId="77777777" w:rsidR="00FF47DA" w:rsidRPr="00910375" w:rsidRDefault="00527283" w:rsidP="00F15758">
      <w:pPr>
        <w:pStyle w:val="Style"/>
        <w:spacing w:before="100" w:beforeAutospacing="1" w:after="200" w:line="276" w:lineRule="auto"/>
        <w:ind w:left="708"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10375">
        <w:rPr>
          <w:rFonts w:ascii="Calibri" w:hAnsi="Calibri" w:cs="Calibri"/>
          <w:sz w:val="22"/>
          <w:szCs w:val="22"/>
        </w:rPr>
        <w:t xml:space="preserve">3. A efectos de dar cumplimiento a lo establecido en este artículo, por el departamento competente en materia de memoria democrática se establecerá una base de datos para el seguimiento y comprobación de los supuestos de aquellas personas físicas o jurídicas, públicas o privadas, que hayan sido sancionadas por resolución administrativa firme en aplicación de esta ley. </w:t>
      </w:r>
    </w:p>
    <w:p w14:paraId="3FBABA09" w14:textId="0AA4F421" w:rsidR="004072D8" w:rsidRDefault="00527283" w:rsidP="00F15758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 xml:space="preserve">En la actualidad, en nuestra </w:t>
      </w:r>
      <w:r w:rsidR="008A5A46">
        <w:rPr>
          <w:rFonts w:ascii="Calibri" w:eastAsia="Arial" w:hAnsi="Calibri" w:cs="Calibri"/>
          <w:sz w:val="22"/>
          <w:szCs w:val="22"/>
        </w:rPr>
        <w:t>C</w:t>
      </w:r>
      <w:r w:rsidRPr="004072D8">
        <w:rPr>
          <w:rFonts w:ascii="Calibri" w:eastAsia="Arial" w:hAnsi="Calibri" w:cs="Calibri"/>
          <w:sz w:val="22"/>
          <w:szCs w:val="22"/>
        </w:rPr>
        <w:t>omunidad</w:t>
      </w:r>
      <w:r w:rsidR="008A5A46">
        <w:rPr>
          <w:rFonts w:ascii="Calibri" w:eastAsia="Arial" w:hAnsi="Calibri" w:cs="Calibri"/>
          <w:sz w:val="22"/>
          <w:szCs w:val="22"/>
        </w:rPr>
        <w:t xml:space="preserve"> </w:t>
      </w:r>
      <w:r w:rsidRPr="004072D8">
        <w:rPr>
          <w:rFonts w:ascii="Calibri" w:eastAsia="Arial" w:hAnsi="Calibri" w:cs="Calibri"/>
          <w:sz w:val="22"/>
          <w:szCs w:val="22"/>
        </w:rPr>
        <w:t xml:space="preserve">podría darse la circunstancia de que personas físicas o jurídicas infractoras de la legislación actual en materia de memoria democrática, puedan estar a su vez recibiendo financiación pública a través de algún tipo de convocatoria de ayudas o subvenciones </w:t>
      </w:r>
      <w:r w:rsidRPr="004072D8">
        <w:rPr>
          <w:rFonts w:ascii="Calibri" w:eastAsia="Arial" w:hAnsi="Calibri" w:cs="Calibri"/>
          <w:sz w:val="22"/>
          <w:szCs w:val="22"/>
        </w:rPr>
        <w:lastRenderedPageBreak/>
        <w:t xml:space="preserve">del Gobierno de Navarra. </w:t>
      </w:r>
    </w:p>
    <w:p w14:paraId="33890E10" w14:textId="77777777" w:rsidR="004072D8" w:rsidRDefault="00527283" w:rsidP="00F15758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 xml:space="preserve">Ante estas hipotéticas circunstancias, el Gobierno de Navarra debe definir un plan propio de actuación para así dar cumplimiento con lo contemplado en esta materia por La Ley 20/2022, de 19 de octubre, de Memoria Democrática. </w:t>
      </w:r>
    </w:p>
    <w:p w14:paraId="4A9FBD7A" w14:textId="4B49093B" w:rsidR="004072D8" w:rsidRPr="004072D8" w:rsidRDefault="004072D8" w:rsidP="00F15758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4072D8">
        <w:rPr>
          <w:rFonts w:ascii="Calibri" w:eastAsia="Arial" w:hAnsi="Calibri" w:cs="Calibri"/>
          <w:bCs/>
          <w:sz w:val="22"/>
          <w:szCs w:val="22"/>
        </w:rPr>
        <w:t>Propuesta de resolución:</w:t>
      </w:r>
    </w:p>
    <w:p w14:paraId="1FD55960" w14:textId="1CEC8B09" w:rsidR="004072D8" w:rsidRDefault="00527283" w:rsidP="00F15758">
      <w:pPr>
        <w:pStyle w:val="Style"/>
        <w:spacing w:before="100" w:beforeAutospacing="1" w:after="200" w:line="276" w:lineRule="auto"/>
        <w:ind w:left="708" w:right="2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 xml:space="preserve">1. El Parlamento de Navarra insta al Gobierno de Navarra a que en las bases de todas las convocatorias de ayudas y subvenciones públicas del Gobierno de Navarra se incluya una cláusula que supedite la concesión de la pertinente ayuda o subvención al cumplimiento escrupuloso de la legislación vigente en materia de Memoria Histórica. </w:t>
      </w:r>
    </w:p>
    <w:p w14:paraId="64B4879A" w14:textId="017D0308" w:rsidR="004072D8" w:rsidRDefault="00527283" w:rsidP="00F15758">
      <w:pPr>
        <w:pStyle w:val="Style"/>
        <w:spacing w:before="100" w:beforeAutospacing="1" w:after="200" w:line="276" w:lineRule="auto"/>
        <w:ind w:left="708" w:right="2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>2. El Parlamento de Navarra insta a las entidades locales de Navarra a que en las bases de todas las convocatorias de ayudas y subvenciones públicas de su ámbito competencia</w:t>
      </w:r>
      <w:r w:rsidR="00910375">
        <w:rPr>
          <w:rFonts w:ascii="Calibri" w:eastAsia="Arial" w:hAnsi="Calibri" w:cs="Calibri"/>
          <w:sz w:val="22"/>
          <w:szCs w:val="22"/>
        </w:rPr>
        <w:t>l</w:t>
      </w:r>
      <w:r w:rsidRPr="004072D8">
        <w:rPr>
          <w:rFonts w:ascii="Calibri" w:eastAsia="Arial" w:hAnsi="Calibri" w:cs="Calibri"/>
          <w:sz w:val="22"/>
          <w:szCs w:val="22"/>
        </w:rPr>
        <w:t xml:space="preserve"> se incluya una cláusula que supedite la concesión de la pertinente ayuda o subvención al cumplimiento escrupuloso de la legislación vigente en materia de Memoria Histórica. </w:t>
      </w:r>
    </w:p>
    <w:p w14:paraId="02D62EDC" w14:textId="5A8308C2" w:rsidR="00FF47DA" w:rsidRDefault="00527283" w:rsidP="00F15758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072D8">
        <w:rPr>
          <w:rFonts w:ascii="Calibri" w:eastAsia="Arial" w:hAnsi="Calibri" w:cs="Calibri"/>
          <w:sz w:val="22"/>
          <w:szCs w:val="22"/>
        </w:rPr>
        <w:t>Pamplona-lruñea, a 11 de enero de 2024</w:t>
      </w:r>
    </w:p>
    <w:p w14:paraId="2FF89252" w14:textId="64AACD6B" w:rsidR="004072D8" w:rsidRDefault="004072D8" w:rsidP="00F15758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</w:t>
      </w:r>
      <w:r w:rsidR="00013D50">
        <w:rPr>
          <w:rFonts w:ascii="Calibri" w:eastAsia="Arial" w:hAnsi="Calibri" w:cs="Calibri"/>
          <w:sz w:val="22"/>
          <w:szCs w:val="22"/>
        </w:rPr>
        <w:t>Portavoz</w:t>
      </w:r>
      <w:r>
        <w:rPr>
          <w:rFonts w:ascii="Calibri" w:eastAsia="Arial" w:hAnsi="Calibri" w:cs="Calibri"/>
          <w:sz w:val="22"/>
          <w:szCs w:val="22"/>
        </w:rPr>
        <w:t>: Carlos Guzmán Pérez</w:t>
      </w:r>
    </w:p>
    <w:sectPr w:rsidR="004072D8" w:rsidSect="007C495B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6F85"/>
    <w:multiLevelType w:val="hybridMultilevel"/>
    <w:tmpl w:val="17100008"/>
    <w:lvl w:ilvl="0" w:tplc="0E8EE26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D05186"/>
    <w:multiLevelType w:val="hybridMultilevel"/>
    <w:tmpl w:val="70169206"/>
    <w:lvl w:ilvl="0" w:tplc="9E42ECCE">
      <w:start w:val="1"/>
      <w:numFmt w:val="decimal"/>
      <w:lvlText w:val="%1."/>
      <w:lvlJc w:val="left"/>
      <w:pPr>
        <w:ind w:left="2030" w:hanging="360"/>
      </w:pPr>
      <w:rPr>
        <w:rFonts w:hint="default"/>
        <w:i w:val="0"/>
        <w:iCs/>
        <w:w w:val="16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750" w:hanging="360"/>
      </w:pPr>
    </w:lvl>
    <w:lvl w:ilvl="2" w:tplc="0C0A001B" w:tentative="1">
      <w:start w:val="1"/>
      <w:numFmt w:val="lowerRoman"/>
      <w:lvlText w:val="%3."/>
      <w:lvlJc w:val="right"/>
      <w:pPr>
        <w:ind w:left="3470" w:hanging="180"/>
      </w:pPr>
    </w:lvl>
    <w:lvl w:ilvl="3" w:tplc="0C0A000F" w:tentative="1">
      <w:start w:val="1"/>
      <w:numFmt w:val="decimal"/>
      <w:lvlText w:val="%4."/>
      <w:lvlJc w:val="left"/>
      <w:pPr>
        <w:ind w:left="4190" w:hanging="360"/>
      </w:pPr>
    </w:lvl>
    <w:lvl w:ilvl="4" w:tplc="0C0A0019" w:tentative="1">
      <w:start w:val="1"/>
      <w:numFmt w:val="lowerLetter"/>
      <w:lvlText w:val="%5."/>
      <w:lvlJc w:val="left"/>
      <w:pPr>
        <w:ind w:left="4910" w:hanging="360"/>
      </w:pPr>
    </w:lvl>
    <w:lvl w:ilvl="5" w:tplc="0C0A001B" w:tentative="1">
      <w:start w:val="1"/>
      <w:numFmt w:val="lowerRoman"/>
      <w:lvlText w:val="%6."/>
      <w:lvlJc w:val="right"/>
      <w:pPr>
        <w:ind w:left="5630" w:hanging="180"/>
      </w:pPr>
    </w:lvl>
    <w:lvl w:ilvl="6" w:tplc="0C0A000F" w:tentative="1">
      <w:start w:val="1"/>
      <w:numFmt w:val="decimal"/>
      <w:lvlText w:val="%7."/>
      <w:lvlJc w:val="left"/>
      <w:pPr>
        <w:ind w:left="6350" w:hanging="360"/>
      </w:pPr>
    </w:lvl>
    <w:lvl w:ilvl="7" w:tplc="0C0A0019" w:tentative="1">
      <w:start w:val="1"/>
      <w:numFmt w:val="lowerLetter"/>
      <w:lvlText w:val="%8."/>
      <w:lvlJc w:val="left"/>
      <w:pPr>
        <w:ind w:left="7070" w:hanging="360"/>
      </w:pPr>
    </w:lvl>
    <w:lvl w:ilvl="8" w:tplc="0C0A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2" w15:restartNumberingAfterBreak="0">
    <w:nsid w:val="64740FB4"/>
    <w:multiLevelType w:val="hybridMultilevel"/>
    <w:tmpl w:val="C95417DC"/>
    <w:lvl w:ilvl="0" w:tplc="3C50437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178515">
    <w:abstractNumId w:val="1"/>
  </w:num>
  <w:num w:numId="2" w16cid:durableId="2025478170">
    <w:abstractNumId w:val="2"/>
  </w:num>
  <w:num w:numId="3" w16cid:durableId="162280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7DA"/>
    <w:rsid w:val="00013D50"/>
    <w:rsid w:val="00025479"/>
    <w:rsid w:val="00141CA5"/>
    <w:rsid w:val="002E3990"/>
    <w:rsid w:val="004072D8"/>
    <w:rsid w:val="00442E9B"/>
    <w:rsid w:val="00527283"/>
    <w:rsid w:val="006C28A1"/>
    <w:rsid w:val="00707FC5"/>
    <w:rsid w:val="007C495B"/>
    <w:rsid w:val="008A5A46"/>
    <w:rsid w:val="008D1F7F"/>
    <w:rsid w:val="00910375"/>
    <w:rsid w:val="00EB4A28"/>
    <w:rsid w:val="00F15758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3B54"/>
  <w15:docId w15:val="{6C3FAC46-B2A3-469C-B713-81E47765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584</Words>
  <Characters>3217</Characters>
  <Application>Microsoft Office Word</Application>
  <DocSecurity>0</DocSecurity>
  <Lines>26</Lines>
  <Paragraphs>7</Paragraphs>
  <ScaleCrop>false</ScaleCrop>
  <Company>HP Inc.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24MOC-2</dc:title>
  <dc:creator>informatica</dc:creator>
  <cp:keywords>CreatedByIRIS_Readiris_17.0</cp:keywords>
  <cp:lastModifiedBy>Mauleón, Fernando</cp:lastModifiedBy>
  <cp:revision>16</cp:revision>
  <dcterms:created xsi:type="dcterms:W3CDTF">2024-01-09T13:47:00Z</dcterms:created>
  <dcterms:modified xsi:type="dcterms:W3CDTF">2024-01-15T13:09:00Z</dcterms:modified>
</cp:coreProperties>
</file>