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2CAFB" w14:textId="77777777" w:rsidR="001C3A32" w:rsidRPr="00204979" w:rsidRDefault="00FA495F" w:rsidP="00075677">
      <w:pPr>
        <w:pStyle w:val="cuadroCabe"/>
      </w:pPr>
      <w:r w:rsidRPr="00A8137F">
        <w:rPr>
          <w:noProof/>
          <w:lang w:val="es-ES" w:eastAsia="es-ES"/>
        </w:rPr>
        <mc:AlternateContent>
          <mc:Choice Requires="wps">
            <w:drawing>
              <wp:anchor distT="0" distB="0" distL="114300" distR="114300" simplePos="0" relativeHeight="251657728" behindDoc="0" locked="0" layoutInCell="1" allowOverlap="1" wp14:anchorId="03BEB1E2" wp14:editId="45BAD5F6">
                <wp:simplePos x="0" y="0"/>
                <wp:positionH relativeFrom="column">
                  <wp:posOffset>-151765</wp:posOffset>
                </wp:positionH>
                <wp:positionV relativeFrom="paragraph">
                  <wp:posOffset>-819150</wp:posOffset>
                </wp:positionV>
                <wp:extent cx="1105535" cy="9715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7155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5B64A66F" w14:textId="77777777" w:rsidR="00E50594" w:rsidRPr="003A7956" w:rsidRDefault="00E50594" w:rsidP="004C3423">
                            <w:pPr>
                              <w:spacing w:after="0"/>
                              <w:ind w:firstLine="0"/>
                              <w:jc w:val="center"/>
                              <w:rPr>
                                <w:sz w:val="18"/>
                                <w:szCs w:val="18"/>
                                <w:lang w:val="es-ES"/>
                              </w:rPr>
                            </w:pPr>
                            <w:r w:rsidRPr="003A7956">
                              <w:rPr>
                                <w:sz w:val="18"/>
                                <w:szCs w:val="18"/>
                                <w:lang w:val="es-ES"/>
                              </w:rPr>
                              <w:t>CAMARA DE</w:t>
                            </w:r>
                          </w:p>
                          <w:p w14:paraId="3F51CC09" w14:textId="77777777" w:rsidR="00E50594" w:rsidRPr="003A7956" w:rsidRDefault="00E50594" w:rsidP="004C3423">
                            <w:pPr>
                              <w:spacing w:after="0"/>
                              <w:ind w:firstLine="0"/>
                              <w:jc w:val="center"/>
                              <w:rPr>
                                <w:sz w:val="18"/>
                                <w:szCs w:val="18"/>
                                <w:lang w:val="es-ES"/>
                              </w:rPr>
                            </w:pPr>
                            <w:r w:rsidRPr="003A7956">
                              <w:rPr>
                                <w:sz w:val="18"/>
                                <w:szCs w:val="18"/>
                                <w:lang w:val="es-ES"/>
                              </w:rPr>
                              <w:t>COMPTOS</w:t>
                            </w:r>
                          </w:p>
                          <w:p w14:paraId="400D5BB2" w14:textId="77777777" w:rsidR="00E50594" w:rsidRPr="003A7956" w:rsidRDefault="00E50594" w:rsidP="004C3423">
                            <w:pPr>
                              <w:spacing w:after="0"/>
                              <w:ind w:firstLine="0"/>
                              <w:jc w:val="center"/>
                              <w:rPr>
                                <w:sz w:val="18"/>
                                <w:szCs w:val="18"/>
                                <w:lang w:val="es-ES"/>
                              </w:rPr>
                            </w:pPr>
                            <w:r w:rsidRPr="003A7956">
                              <w:rPr>
                                <w:sz w:val="18"/>
                                <w:szCs w:val="18"/>
                                <w:lang w:val="es-ES"/>
                              </w:rPr>
                              <w:t>DE NAVARRA</w:t>
                            </w:r>
                          </w:p>
                          <w:p w14:paraId="5B83A11E" w14:textId="77777777" w:rsidR="00E50594" w:rsidRPr="003A7956" w:rsidRDefault="00E50594" w:rsidP="004C3423">
                            <w:pPr>
                              <w:spacing w:after="0"/>
                              <w:ind w:firstLine="0"/>
                              <w:jc w:val="center"/>
                              <w:rPr>
                                <w:color w:val="808080"/>
                                <w:sz w:val="18"/>
                                <w:szCs w:val="18"/>
                                <w:lang w:val="es-ES"/>
                              </w:rPr>
                            </w:pPr>
                            <w:r w:rsidRPr="003A7956">
                              <w:rPr>
                                <w:color w:val="808080"/>
                                <w:sz w:val="18"/>
                                <w:szCs w:val="18"/>
                                <w:lang w:val="es-ES"/>
                              </w:rPr>
                              <w:t>NAFARROAKO</w:t>
                            </w:r>
                          </w:p>
                          <w:p w14:paraId="63C8D37D" w14:textId="77777777" w:rsidR="00E50594" w:rsidRPr="003A7956" w:rsidRDefault="00E50594" w:rsidP="004C3423">
                            <w:pPr>
                              <w:spacing w:after="0"/>
                              <w:ind w:firstLine="0"/>
                              <w:jc w:val="center"/>
                              <w:rPr>
                                <w:color w:val="808080"/>
                                <w:sz w:val="18"/>
                                <w:szCs w:val="18"/>
                                <w:lang w:val="es-ES"/>
                              </w:rPr>
                            </w:pPr>
                            <w:r w:rsidRPr="003A7956">
                              <w:rPr>
                                <w:color w:val="808080"/>
                                <w:sz w:val="18"/>
                                <w:szCs w:val="18"/>
                                <w:lang w:val="es-ES"/>
                              </w:rPr>
                              <w:t>KONTUEN</w:t>
                            </w:r>
                          </w:p>
                          <w:p w14:paraId="2A664937" w14:textId="77777777" w:rsidR="00E50594" w:rsidRPr="00987F49" w:rsidRDefault="00E50594" w:rsidP="004C3423">
                            <w:pPr>
                              <w:spacing w:after="0"/>
                              <w:ind w:firstLine="0"/>
                              <w:jc w:val="center"/>
                              <w:rPr>
                                <w:color w:val="808080"/>
                                <w:sz w:val="16"/>
                                <w:szCs w:val="18"/>
                                <w:lang w:val="es-ES"/>
                              </w:rPr>
                            </w:pPr>
                            <w:r w:rsidRPr="00987F49">
                              <w:rPr>
                                <w:color w:val="808080"/>
                                <w:sz w:val="16"/>
                                <w:szCs w:val="18"/>
                                <w:lang w:val="es-ES"/>
                              </w:rPr>
                              <w:t>GANBERA</w:t>
                            </w:r>
                          </w:p>
                          <w:p w14:paraId="31137E8D" w14:textId="77777777" w:rsidR="00E50594" w:rsidRPr="002C7026" w:rsidRDefault="00E50594" w:rsidP="002C7026">
                            <w:pPr>
                              <w:spacing w:after="0"/>
                              <w:ind w:firstLine="0"/>
                              <w:jc w:val="center"/>
                              <w:rPr>
                                <w:rFonts w:ascii="Trajan" w:hAnsi="Trajan"/>
                                <w:color w:val="808080"/>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EB1E2" id="_x0000_t202" coordsize="21600,21600" o:spt="202" path="m,l,21600r21600,l21600,xe">
                <v:stroke joinstyle="miter"/>
                <v:path gradientshapeok="t" o:connecttype="rect"/>
              </v:shapetype>
              <v:shape id="Text Box 7" o:spid="_x0000_s1026" type="#_x0000_t202" style="position:absolute;left:0;text-align:left;margin-left:-11.95pt;margin-top:-64.5pt;width:87.05pt;height: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" stroked="f" strokecolor="white">
                <v:textbox>
                  <w:txbxContent>
                    <w:p w14:paraId="5B64A66F" w14:textId="77777777" w:rsidR="00E50594" w:rsidRPr="003A7956" w:rsidRDefault="00E50594" w:rsidP="004C3423">
                      <w:pPr>
                        <w:spacing w:after="0"/>
                        <w:ind w:firstLine="0"/>
                        <w:jc w:val="center"/>
                        <w:rPr>
                          <w:sz w:val="18"/>
                          <w:szCs w:val="18"/>
                          <w:lang w:val="es-ES"/>
                        </w:rPr>
                      </w:pPr>
                      <w:r w:rsidRPr="003A7956">
                        <w:rPr>
                          <w:sz w:val="18"/>
                          <w:szCs w:val="18"/>
                          <w:lang w:val="es-ES"/>
                        </w:rPr>
                        <w:t>CAMARA DE</w:t>
                      </w:r>
                    </w:p>
                    <w:p w14:paraId="3F51CC09" w14:textId="77777777" w:rsidR="00E50594" w:rsidRPr="003A7956" w:rsidRDefault="00E50594" w:rsidP="004C3423">
                      <w:pPr>
                        <w:spacing w:after="0"/>
                        <w:ind w:firstLine="0"/>
                        <w:jc w:val="center"/>
                        <w:rPr>
                          <w:sz w:val="18"/>
                          <w:szCs w:val="18"/>
                          <w:lang w:val="es-ES"/>
                        </w:rPr>
                      </w:pPr>
                      <w:r w:rsidRPr="003A7956">
                        <w:rPr>
                          <w:sz w:val="18"/>
                          <w:szCs w:val="18"/>
                          <w:lang w:val="es-ES"/>
                        </w:rPr>
                        <w:t>COMPTOS</w:t>
                      </w:r>
                    </w:p>
                    <w:p w14:paraId="400D5BB2" w14:textId="77777777" w:rsidR="00E50594" w:rsidRPr="003A7956" w:rsidRDefault="00E50594" w:rsidP="004C3423">
                      <w:pPr>
                        <w:spacing w:after="0"/>
                        <w:ind w:firstLine="0"/>
                        <w:jc w:val="center"/>
                        <w:rPr>
                          <w:sz w:val="18"/>
                          <w:szCs w:val="18"/>
                          <w:lang w:val="es-ES"/>
                        </w:rPr>
                      </w:pPr>
                      <w:r w:rsidRPr="003A7956">
                        <w:rPr>
                          <w:sz w:val="18"/>
                          <w:szCs w:val="18"/>
                          <w:lang w:val="es-ES"/>
                        </w:rPr>
                        <w:t>DE NAVARRA</w:t>
                      </w:r>
                    </w:p>
                    <w:p w14:paraId="5B83A11E" w14:textId="77777777" w:rsidR="00E50594" w:rsidRPr="003A7956" w:rsidRDefault="00E50594" w:rsidP="004C3423">
                      <w:pPr>
                        <w:spacing w:after="0"/>
                        <w:ind w:firstLine="0"/>
                        <w:jc w:val="center"/>
                        <w:rPr>
                          <w:color w:val="808080"/>
                          <w:sz w:val="18"/>
                          <w:szCs w:val="18"/>
                          <w:lang w:val="es-ES"/>
                        </w:rPr>
                      </w:pPr>
                      <w:r w:rsidRPr="003A7956">
                        <w:rPr>
                          <w:color w:val="808080"/>
                          <w:sz w:val="18"/>
                          <w:szCs w:val="18"/>
                          <w:lang w:val="es-ES"/>
                        </w:rPr>
                        <w:t>NAFARROAKO</w:t>
                      </w:r>
                    </w:p>
                    <w:p w14:paraId="63C8D37D" w14:textId="77777777" w:rsidR="00E50594" w:rsidRPr="003A7956" w:rsidRDefault="00E50594" w:rsidP="004C3423">
                      <w:pPr>
                        <w:spacing w:after="0"/>
                        <w:ind w:firstLine="0"/>
                        <w:jc w:val="center"/>
                        <w:rPr>
                          <w:color w:val="808080"/>
                          <w:sz w:val="18"/>
                          <w:szCs w:val="18"/>
                          <w:lang w:val="es-ES"/>
                        </w:rPr>
                      </w:pPr>
                      <w:r w:rsidRPr="003A7956">
                        <w:rPr>
                          <w:color w:val="808080"/>
                          <w:sz w:val="18"/>
                          <w:szCs w:val="18"/>
                          <w:lang w:val="es-ES"/>
                        </w:rPr>
                        <w:t>KONTUEN</w:t>
                      </w:r>
                    </w:p>
                    <w:p w14:paraId="2A664937" w14:textId="77777777" w:rsidR="00E50594" w:rsidRPr="00987F49" w:rsidRDefault="00E50594" w:rsidP="004C3423">
                      <w:pPr>
                        <w:spacing w:after="0"/>
                        <w:ind w:firstLine="0"/>
                        <w:jc w:val="center"/>
                        <w:rPr>
                          <w:color w:val="808080"/>
                          <w:sz w:val="16"/>
                          <w:szCs w:val="18"/>
                          <w:lang w:val="es-ES"/>
                        </w:rPr>
                      </w:pPr>
                      <w:r w:rsidRPr="00987F49">
                        <w:rPr>
                          <w:color w:val="808080"/>
                          <w:sz w:val="16"/>
                          <w:szCs w:val="18"/>
                          <w:lang w:val="es-ES"/>
                        </w:rPr>
                        <w:t>GANBERA</w:t>
                      </w:r>
                    </w:p>
                    <w:p w14:paraId="31137E8D" w14:textId="77777777" w:rsidR="00E50594" w:rsidRPr="002C7026" w:rsidRDefault="00E50594" w:rsidP="002C7026">
                      <w:pPr>
                        <w:spacing w:after="0"/>
                        <w:ind w:firstLine="0"/>
                        <w:jc w:val="center"/>
                        <w:rPr>
                          <w:rFonts w:ascii="Trajan" w:hAnsi="Trajan"/>
                          <w:color w:val="808080"/>
                          <w:sz w:val="18"/>
                          <w:szCs w:val="18"/>
                          <w:lang w:val="es-ES"/>
                        </w:rPr>
                      </w:pPr>
                    </w:p>
                  </w:txbxContent>
                </v:textbox>
              </v:shape>
            </w:pict>
          </mc:Fallback>
        </mc:AlternateContent>
      </w:r>
      <w:r w:rsidR="00844F74" w:rsidRPr="00A8137F">
        <w:t xml:space="preserve">Borrador </w:t>
      </w:r>
      <w:r w:rsidR="00C13453" w:rsidRPr="00A8137F">
        <w:t>final</w:t>
      </w:r>
    </w:p>
    <w:p w14:paraId="5071D55A" w14:textId="1D5750BC" w:rsidR="001F53B9" w:rsidRDefault="00620A04" w:rsidP="00BF0F56">
      <w:pPr>
        <w:pStyle w:val="EstiloPortada"/>
        <w:ind w:left="2800" w:right="0"/>
        <w:jc w:val="right"/>
        <w:rPr>
          <w:rFonts w:ascii="Arial" w:hAnsi="Arial" w:cs="Arial"/>
          <w:color w:val="808080"/>
          <w:sz w:val="40"/>
        </w:rPr>
      </w:pPr>
      <w:r>
        <w:rPr>
          <w:rFonts w:ascii="Arial" w:hAnsi="Arial" w:cs="Arial"/>
          <w:color w:val="808080"/>
          <w:sz w:val="40"/>
        </w:rPr>
        <w:t>Informe definitivo</w:t>
      </w:r>
    </w:p>
    <w:p w14:paraId="3A12B330" w14:textId="77777777" w:rsidR="00B07D8B" w:rsidRDefault="00B07D8B" w:rsidP="00E25EE0">
      <w:pPr>
        <w:pStyle w:val="EstiloPortada"/>
        <w:spacing w:after="240"/>
        <w:ind w:left="3206" w:right="0"/>
        <w:jc w:val="both"/>
        <w:rPr>
          <w:rFonts w:ascii="Arial" w:hAnsi="Arial" w:cs="Arial"/>
          <w:b w:val="0"/>
          <w:bCs/>
          <w:color w:val="818181"/>
          <w:sz w:val="36"/>
          <w:szCs w:val="36"/>
          <w:lang w:val="es-ES" w:eastAsia="es-ES"/>
        </w:rPr>
      </w:pPr>
    </w:p>
    <w:p w14:paraId="4DC8EA24" w14:textId="77777777" w:rsidR="00BF0F56" w:rsidRPr="00B30CE6" w:rsidRDefault="00BF0F56" w:rsidP="00BF0F56">
      <w:pPr>
        <w:pStyle w:val="EstiloPortada"/>
        <w:ind w:left="2800" w:right="0"/>
        <w:jc w:val="right"/>
        <w:rPr>
          <w:sz w:val="52"/>
          <w:szCs w:val="52"/>
        </w:rPr>
      </w:pPr>
      <w:r w:rsidRPr="00B30CE6">
        <w:rPr>
          <w:sz w:val="52"/>
          <w:szCs w:val="52"/>
        </w:rPr>
        <w:t xml:space="preserve">Consejo de la </w:t>
      </w:r>
    </w:p>
    <w:p w14:paraId="2771614C" w14:textId="482EF68D" w:rsidR="007923CB" w:rsidRPr="00B30CE6" w:rsidRDefault="00BF0F56" w:rsidP="00BF0F56">
      <w:pPr>
        <w:pStyle w:val="EstiloPortada"/>
        <w:ind w:left="2800" w:right="0"/>
        <w:jc w:val="right"/>
        <w:rPr>
          <w:sz w:val="52"/>
          <w:szCs w:val="52"/>
        </w:rPr>
      </w:pPr>
      <w:r w:rsidRPr="00B30CE6">
        <w:rPr>
          <w:sz w:val="52"/>
          <w:szCs w:val="52"/>
        </w:rPr>
        <w:t>Juventu</w:t>
      </w:r>
      <w:r w:rsidR="70F850BD" w:rsidRPr="00B30CE6">
        <w:rPr>
          <w:sz w:val="52"/>
          <w:szCs w:val="52"/>
        </w:rPr>
        <w:t>d</w:t>
      </w:r>
      <w:r w:rsidRPr="00B30CE6">
        <w:rPr>
          <w:sz w:val="52"/>
          <w:szCs w:val="52"/>
        </w:rPr>
        <w:t xml:space="preserve"> de Navarra</w:t>
      </w:r>
      <w:r w:rsidR="007923CB" w:rsidRPr="00B30CE6">
        <w:rPr>
          <w:sz w:val="52"/>
          <w:szCs w:val="52"/>
        </w:rPr>
        <w:t xml:space="preserve"> </w:t>
      </w:r>
    </w:p>
    <w:p w14:paraId="7A711BF0" w14:textId="63113D81" w:rsidR="00F90CAC" w:rsidRPr="00B30CE6" w:rsidRDefault="007923CB" w:rsidP="00BF0F56">
      <w:pPr>
        <w:pStyle w:val="EstiloPortada"/>
        <w:ind w:left="2800" w:right="0"/>
        <w:jc w:val="right"/>
        <w:rPr>
          <w:sz w:val="52"/>
          <w:szCs w:val="52"/>
        </w:rPr>
      </w:pPr>
      <w:r w:rsidRPr="00B30CE6">
        <w:rPr>
          <w:sz w:val="52"/>
          <w:szCs w:val="52"/>
        </w:rPr>
        <w:t>(2019-2022)</w:t>
      </w:r>
    </w:p>
    <w:p w14:paraId="6049CEC8" w14:textId="77777777" w:rsidR="008B3A77" w:rsidRPr="00747E21" w:rsidRDefault="008B3A77" w:rsidP="00D3713D">
      <w:pPr>
        <w:pStyle w:val="texto"/>
        <w:tabs>
          <w:tab w:val="left" w:pos="8647"/>
        </w:tabs>
        <w:ind w:left="3402" w:firstLine="0"/>
        <w:jc w:val="right"/>
        <w:rPr>
          <w:sz w:val="52"/>
          <w:szCs w:val="52"/>
        </w:rPr>
      </w:pPr>
    </w:p>
    <w:p w14:paraId="0A8EAD98" w14:textId="77777777" w:rsidR="008B3A77" w:rsidRPr="001A37A6" w:rsidRDefault="008B3A77" w:rsidP="008B3A77">
      <w:pPr>
        <w:pStyle w:val="texto"/>
        <w:tabs>
          <w:tab w:val="left" w:pos="8647"/>
        </w:tabs>
        <w:rPr>
          <w:szCs w:val="26"/>
        </w:rPr>
      </w:pPr>
    </w:p>
    <w:p w14:paraId="1EA65904" w14:textId="77777777" w:rsidR="008B3A77" w:rsidRDefault="008B3A77" w:rsidP="008B3A77">
      <w:pPr>
        <w:pStyle w:val="texto"/>
        <w:tabs>
          <w:tab w:val="left" w:pos="8647"/>
        </w:tabs>
        <w:rPr>
          <w:szCs w:val="26"/>
        </w:rPr>
      </w:pPr>
    </w:p>
    <w:p w14:paraId="6EB1BC27" w14:textId="77777777" w:rsidR="008B3A77" w:rsidRDefault="008B3A77" w:rsidP="008B3A77">
      <w:pPr>
        <w:spacing w:after="0"/>
        <w:ind w:firstLine="0"/>
        <w:jc w:val="left"/>
        <w:rPr>
          <w:sz w:val="26"/>
          <w:szCs w:val="26"/>
        </w:rPr>
      </w:pPr>
    </w:p>
    <w:p w14:paraId="338C0BDF" w14:textId="77777777" w:rsidR="008B3A77" w:rsidRDefault="008B3A77" w:rsidP="008B3A77">
      <w:pPr>
        <w:spacing w:after="0"/>
        <w:ind w:firstLine="0"/>
        <w:jc w:val="left"/>
        <w:rPr>
          <w:sz w:val="26"/>
          <w:szCs w:val="26"/>
        </w:rPr>
      </w:pPr>
    </w:p>
    <w:p w14:paraId="1EB02C7A" w14:textId="77777777" w:rsidR="008B3A77" w:rsidRDefault="008B3A77" w:rsidP="008B3A77">
      <w:pPr>
        <w:spacing w:after="0"/>
        <w:ind w:firstLine="0"/>
        <w:jc w:val="left"/>
        <w:rPr>
          <w:sz w:val="26"/>
          <w:szCs w:val="26"/>
        </w:rPr>
      </w:pPr>
    </w:p>
    <w:p w14:paraId="67A6FC37" w14:textId="77777777" w:rsidR="008B3A77" w:rsidRDefault="008B3A77" w:rsidP="008B3A77">
      <w:pPr>
        <w:spacing w:after="0"/>
        <w:ind w:firstLine="0"/>
        <w:jc w:val="left"/>
        <w:rPr>
          <w:sz w:val="26"/>
          <w:szCs w:val="26"/>
        </w:rPr>
      </w:pPr>
    </w:p>
    <w:p w14:paraId="0C26B728" w14:textId="02BA19AA" w:rsidR="008B3A77" w:rsidRDefault="008B3A77" w:rsidP="008B3A77">
      <w:pPr>
        <w:spacing w:after="0"/>
        <w:ind w:firstLine="0"/>
        <w:jc w:val="left"/>
        <w:rPr>
          <w:sz w:val="26"/>
          <w:szCs w:val="26"/>
        </w:rPr>
      </w:pPr>
    </w:p>
    <w:p w14:paraId="38774322" w14:textId="525747EB" w:rsidR="00B30CE6" w:rsidRDefault="00B30CE6" w:rsidP="008B3A77">
      <w:pPr>
        <w:spacing w:after="0"/>
        <w:ind w:firstLine="0"/>
        <w:jc w:val="left"/>
        <w:rPr>
          <w:sz w:val="26"/>
          <w:szCs w:val="26"/>
        </w:rPr>
      </w:pPr>
    </w:p>
    <w:p w14:paraId="796EE7AC" w14:textId="2EBAA181" w:rsidR="00B30CE6" w:rsidRDefault="00B30CE6" w:rsidP="008B3A77">
      <w:pPr>
        <w:spacing w:after="0"/>
        <w:ind w:firstLine="0"/>
        <w:jc w:val="left"/>
        <w:rPr>
          <w:sz w:val="26"/>
          <w:szCs w:val="26"/>
        </w:rPr>
      </w:pPr>
    </w:p>
    <w:p w14:paraId="48D29A9E" w14:textId="5282878C" w:rsidR="00B30CE6" w:rsidRDefault="00B30CE6" w:rsidP="008B3A77">
      <w:pPr>
        <w:spacing w:after="0"/>
        <w:ind w:firstLine="0"/>
        <w:jc w:val="left"/>
        <w:rPr>
          <w:sz w:val="26"/>
          <w:szCs w:val="26"/>
        </w:rPr>
      </w:pPr>
    </w:p>
    <w:p w14:paraId="7496F221" w14:textId="5DD3C7E2" w:rsidR="00B30CE6" w:rsidRDefault="00B30CE6" w:rsidP="008B3A77">
      <w:pPr>
        <w:spacing w:after="0"/>
        <w:ind w:firstLine="0"/>
        <w:jc w:val="left"/>
        <w:rPr>
          <w:sz w:val="26"/>
          <w:szCs w:val="26"/>
        </w:rPr>
      </w:pPr>
    </w:p>
    <w:p w14:paraId="20A81886" w14:textId="6BC183F9" w:rsidR="00B30CE6" w:rsidRDefault="00B30CE6" w:rsidP="008B3A77">
      <w:pPr>
        <w:spacing w:after="0"/>
        <w:ind w:firstLine="0"/>
        <w:jc w:val="left"/>
        <w:rPr>
          <w:sz w:val="26"/>
          <w:szCs w:val="26"/>
        </w:rPr>
      </w:pPr>
    </w:p>
    <w:p w14:paraId="79F0E99B" w14:textId="22787139" w:rsidR="00B30CE6" w:rsidRDefault="00B30CE6" w:rsidP="008B3A77">
      <w:pPr>
        <w:spacing w:after="0"/>
        <w:ind w:firstLine="0"/>
        <w:jc w:val="left"/>
        <w:rPr>
          <w:sz w:val="26"/>
          <w:szCs w:val="26"/>
        </w:rPr>
      </w:pPr>
    </w:p>
    <w:p w14:paraId="019C56F3" w14:textId="77777777" w:rsidR="00B30CE6" w:rsidRDefault="00B30CE6" w:rsidP="008B3A77">
      <w:pPr>
        <w:spacing w:after="0"/>
        <w:ind w:firstLine="0"/>
        <w:jc w:val="left"/>
        <w:rPr>
          <w:sz w:val="26"/>
          <w:szCs w:val="26"/>
        </w:rPr>
      </w:pPr>
    </w:p>
    <w:p w14:paraId="444D1F98" w14:textId="77777777" w:rsidR="008B3A77" w:rsidRDefault="008B3A77" w:rsidP="008B3A77">
      <w:pPr>
        <w:spacing w:after="0"/>
        <w:ind w:firstLine="0"/>
        <w:jc w:val="left"/>
        <w:rPr>
          <w:sz w:val="26"/>
          <w:szCs w:val="26"/>
        </w:rPr>
      </w:pPr>
    </w:p>
    <w:p w14:paraId="5DC1EE8C" w14:textId="77777777" w:rsidR="008B3A77" w:rsidRDefault="008B3A77" w:rsidP="008B3A77">
      <w:pPr>
        <w:spacing w:after="0"/>
        <w:ind w:firstLine="0"/>
        <w:jc w:val="left"/>
        <w:rPr>
          <w:sz w:val="26"/>
          <w:szCs w:val="26"/>
        </w:rPr>
      </w:pPr>
    </w:p>
    <w:p w14:paraId="73E95303" w14:textId="77777777" w:rsidR="008B3A77" w:rsidRDefault="008B3A77" w:rsidP="008B3A77">
      <w:pPr>
        <w:spacing w:after="0"/>
        <w:ind w:firstLine="0"/>
        <w:jc w:val="left"/>
        <w:rPr>
          <w:sz w:val="26"/>
          <w:szCs w:val="26"/>
        </w:rPr>
      </w:pPr>
    </w:p>
    <w:p w14:paraId="59229858" w14:textId="77777777" w:rsidR="008B3A77" w:rsidRDefault="008B3A77" w:rsidP="008B3A77">
      <w:pPr>
        <w:spacing w:after="0"/>
        <w:ind w:firstLine="0"/>
        <w:jc w:val="left"/>
        <w:rPr>
          <w:sz w:val="26"/>
          <w:szCs w:val="26"/>
        </w:rPr>
      </w:pPr>
    </w:p>
    <w:p w14:paraId="1F3B445C" w14:textId="77777777" w:rsidR="008B3A77" w:rsidRDefault="008B3A77" w:rsidP="008B3A77">
      <w:pPr>
        <w:spacing w:after="0"/>
        <w:ind w:firstLine="0"/>
        <w:jc w:val="left"/>
        <w:rPr>
          <w:sz w:val="26"/>
          <w:szCs w:val="26"/>
        </w:rPr>
      </w:pPr>
    </w:p>
    <w:p w14:paraId="3FBA2F79" w14:textId="77777777" w:rsidR="008B3A77" w:rsidRDefault="008B3A77" w:rsidP="008B3A77">
      <w:pPr>
        <w:spacing w:after="0"/>
        <w:ind w:firstLine="0"/>
        <w:jc w:val="left"/>
        <w:rPr>
          <w:sz w:val="26"/>
          <w:szCs w:val="26"/>
        </w:rPr>
      </w:pPr>
    </w:p>
    <w:p w14:paraId="64BC1BAF" w14:textId="77777777" w:rsidR="008B3A77" w:rsidRDefault="008B3A77" w:rsidP="008B3A77">
      <w:pPr>
        <w:spacing w:after="0"/>
        <w:ind w:firstLine="0"/>
        <w:jc w:val="left"/>
        <w:rPr>
          <w:sz w:val="26"/>
          <w:szCs w:val="26"/>
        </w:rPr>
      </w:pPr>
    </w:p>
    <w:p w14:paraId="1F7EE38A" w14:textId="0FEA19FB" w:rsidR="008B3A77" w:rsidRPr="008B3A77" w:rsidRDefault="002B6412" w:rsidP="008B3A77">
      <w:pPr>
        <w:pStyle w:val="Fechaportada"/>
      </w:pPr>
      <w:r>
        <w:t>Diciembre</w:t>
      </w:r>
      <w:r w:rsidR="00BF0F56">
        <w:t xml:space="preserve"> d</w:t>
      </w:r>
      <w:r w:rsidR="00B80751">
        <w:t>e 2023</w:t>
      </w:r>
    </w:p>
    <w:p w14:paraId="61EBEC3D" w14:textId="77777777" w:rsidR="008B3A77" w:rsidRPr="008B3A77" w:rsidRDefault="008B3A77" w:rsidP="008B3A77">
      <w:pPr>
        <w:pStyle w:val="ndice"/>
        <w:rPr>
          <w:rFonts w:ascii="Times New Roman" w:hAnsi="Times New Roman"/>
          <w:color w:val="auto"/>
        </w:rPr>
        <w:sectPr w:rsidR="008B3A77" w:rsidRPr="008B3A77" w:rsidSect="0019660E">
          <w:headerReference w:type="even" r:id="rId11"/>
          <w:headerReference w:type="default" r:id="rId12"/>
          <w:footerReference w:type="even" r:id="rId13"/>
          <w:footerReference w:type="default" r:id="rId14"/>
          <w:headerReference w:type="first" r:id="rId15"/>
          <w:footerReference w:type="first" r:id="rId16"/>
          <w:pgSz w:w="11907" w:h="16840" w:code="9"/>
          <w:pgMar w:top="2835" w:right="1559" w:bottom="1644" w:left="1559" w:header="369" w:footer="136" w:gutter="0"/>
          <w:pgNumType w:start="1"/>
          <w:cols w:space="720"/>
          <w:titlePg/>
          <w:docGrid w:linePitch="360"/>
        </w:sectPr>
      </w:pPr>
    </w:p>
    <w:p w14:paraId="32D2C876" w14:textId="77777777" w:rsidR="008B3A77" w:rsidRDefault="008B3A77" w:rsidP="008B3A77">
      <w:pPr>
        <w:spacing w:after="0"/>
        <w:ind w:firstLine="0"/>
        <w:jc w:val="left"/>
        <w:rPr>
          <w:b/>
          <w:color w:val="000000"/>
          <w:kern w:val="28"/>
          <w:sz w:val="26"/>
          <w:szCs w:val="26"/>
        </w:rPr>
      </w:pPr>
    </w:p>
    <w:p w14:paraId="5B612AB6" w14:textId="77777777" w:rsidR="008B3A77" w:rsidRDefault="008B3A77" w:rsidP="008B3A77">
      <w:pPr>
        <w:pStyle w:val="ndice"/>
        <w:tabs>
          <w:tab w:val="left" w:pos="8647"/>
        </w:tabs>
        <w:rPr>
          <w:rFonts w:ascii="Times New Roman" w:hAnsi="Times New Roman"/>
          <w:sz w:val="26"/>
        </w:rPr>
      </w:pPr>
    </w:p>
    <w:p w14:paraId="39B06BC6" w14:textId="77777777" w:rsidR="008B3A77" w:rsidRDefault="008B3A77" w:rsidP="008B3A77">
      <w:pPr>
        <w:pStyle w:val="ndice"/>
        <w:tabs>
          <w:tab w:val="left" w:pos="8647"/>
        </w:tabs>
        <w:rPr>
          <w:rFonts w:ascii="Times New Roman" w:hAnsi="Times New Roman"/>
          <w:sz w:val="26"/>
        </w:rPr>
      </w:pPr>
      <w:r w:rsidRPr="001A37A6">
        <w:rPr>
          <w:rFonts w:ascii="Times New Roman" w:hAnsi="Times New Roman"/>
          <w:sz w:val="26"/>
        </w:rPr>
        <w:t>Índice</w:t>
      </w:r>
    </w:p>
    <w:p w14:paraId="402354BC" w14:textId="77777777" w:rsidR="00331689" w:rsidRPr="004740FB" w:rsidRDefault="00331689" w:rsidP="00331689">
      <w:pPr>
        <w:pStyle w:val="ndice"/>
        <w:ind w:right="142"/>
        <w:jc w:val="right"/>
        <w:rPr>
          <w:b w:val="0"/>
          <w:i/>
          <w:sz w:val="16"/>
          <w:szCs w:val="16"/>
        </w:rPr>
      </w:pPr>
      <w:r w:rsidRPr="004740FB">
        <w:rPr>
          <w:b w:val="0"/>
          <w:i/>
          <w:sz w:val="16"/>
          <w:szCs w:val="16"/>
        </w:rPr>
        <w:t>P</w:t>
      </w:r>
      <w:r>
        <w:rPr>
          <w:b w:val="0"/>
          <w:i/>
          <w:sz w:val="16"/>
          <w:szCs w:val="16"/>
        </w:rPr>
        <w:t>á</w:t>
      </w:r>
      <w:r w:rsidRPr="004740FB">
        <w:rPr>
          <w:b w:val="0"/>
          <w:i/>
          <w:sz w:val="16"/>
          <w:szCs w:val="16"/>
        </w:rPr>
        <w:t>gina</w:t>
      </w:r>
    </w:p>
    <w:p w14:paraId="49738C67" w14:textId="7E14A701" w:rsidR="00040578" w:rsidRDefault="008B3A77">
      <w:pPr>
        <w:pStyle w:val="TDC1"/>
        <w:rPr>
          <w:rFonts w:asciiTheme="minorHAnsi" w:eastAsiaTheme="minorEastAsia" w:hAnsiTheme="minorHAnsi" w:cstheme="minorBidi"/>
          <w:smallCaps w:val="0"/>
          <w:noProof/>
          <w:szCs w:val="22"/>
          <w:lang w:val="es-ES" w:eastAsia="es-ES"/>
        </w:rPr>
      </w:pPr>
      <w:r w:rsidRPr="006E0784">
        <w:rPr>
          <w:rFonts w:ascii="Times New Roman" w:hAnsi="Times New Roman"/>
          <w:sz w:val="26"/>
          <w:szCs w:val="26"/>
        </w:rPr>
        <w:fldChar w:fldCharType="begin"/>
      </w:r>
      <w:r w:rsidRPr="006E0784">
        <w:rPr>
          <w:rFonts w:ascii="Times New Roman" w:hAnsi="Times New Roman"/>
          <w:sz w:val="26"/>
          <w:szCs w:val="26"/>
        </w:rPr>
        <w:instrText xml:space="preserve"> TOC \h \z \t "atitulo1;1;atitulo2;2" </w:instrText>
      </w:r>
      <w:r w:rsidRPr="006E0784">
        <w:rPr>
          <w:rFonts w:ascii="Times New Roman" w:hAnsi="Times New Roman"/>
          <w:sz w:val="26"/>
          <w:szCs w:val="26"/>
        </w:rPr>
        <w:fldChar w:fldCharType="separate"/>
      </w:r>
      <w:hyperlink w:anchor="_Toc153454644" w:history="1">
        <w:r w:rsidR="00040578" w:rsidRPr="00554007">
          <w:rPr>
            <w:rStyle w:val="Hipervnculo"/>
            <w:noProof/>
          </w:rPr>
          <w:t>I. Introducción</w:t>
        </w:r>
        <w:r w:rsidR="00040578">
          <w:rPr>
            <w:noProof/>
            <w:webHidden/>
          </w:rPr>
          <w:tab/>
        </w:r>
        <w:r w:rsidR="00040578">
          <w:rPr>
            <w:noProof/>
            <w:webHidden/>
          </w:rPr>
          <w:fldChar w:fldCharType="begin"/>
        </w:r>
        <w:r w:rsidR="00040578">
          <w:rPr>
            <w:noProof/>
            <w:webHidden/>
          </w:rPr>
          <w:instrText xml:space="preserve"> PAGEREF _Toc153454644 \h </w:instrText>
        </w:r>
        <w:r w:rsidR="00040578">
          <w:rPr>
            <w:noProof/>
            <w:webHidden/>
          </w:rPr>
        </w:r>
        <w:r w:rsidR="00040578">
          <w:rPr>
            <w:noProof/>
            <w:webHidden/>
          </w:rPr>
          <w:fldChar w:fldCharType="separate"/>
        </w:r>
        <w:r w:rsidR="00040578">
          <w:rPr>
            <w:noProof/>
            <w:webHidden/>
          </w:rPr>
          <w:t>3</w:t>
        </w:r>
        <w:r w:rsidR="00040578">
          <w:rPr>
            <w:noProof/>
            <w:webHidden/>
          </w:rPr>
          <w:fldChar w:fldCharType="end"/>
        </w:r>
      </w:hyperlink>
    </w:p>
    <w:p w14:paraId="70DE2674" w14:textId="25EF6B74" w:rsidR="00040578" w:rsidRDefault="000C5897">
      <w:pPr>
        <w:pStyle w:val="TDC1"/>
        <w:rPr>
          <w:rFonts w:asciiTheme="minorHAnsi" w:eastAsiaTheme="minorEastAsia" w:hAnsiTheme="minorHAnsi" w:cstheme="minorBidi"/>
          <w:smallCaps w:val="0"/>
          <w:noProof/>
          <w:szCs w:val="22"/>
          <w:lang w:val="es-ES" w:eastAsia="es-ES"/>
        </w:rPr>
      </w:pPr>
      <w:hyperlink w:anchor="_Toc153454645" w:history="1">
        <w:r w:rsidR="00040578" w:rsidRPr="00554007">
          <w:rPr>
            <w:rStyle w:val="Hipervnculo"/>
            <w:noProof/>
          </w:rPr>
          <w:t>II. El Consejo de la Juventud de Navarra</w:t>
        </w:r>
        <w:r w:rsidR="00040578">
          <w:rPr>
            <w:noProof/>
            <w:webHidden/>
          </w:rPr>
          <w:tab/>
        </w:r>
        <w:r w:rsidR="00040578">
          <w:rPr>
            <w:noProof/>
            <w:webHidden/>
          </w:rPr>
          <w:fldChar w:fldCharType="begin"/>
        </w:r>
        <w:r w:rsidR="00040578">
          <w:rPr>
            <w:noProof/>
            <w:webHidden/>
          </w:rPr>
          <w:instrText xml:space="preserve"> PAGEREF _Toc153454645 \h </w:instrText>
        </w:r>
        <w:r w:rsidR="00040578">
          <w:rPr>
            <w:noProof/>
            <w:webHidden/>
          </w:rPr>
        </w:r>
        <w:r w:rsidR="00040578">
          <w:rPr>
            <w:noProof/>
            <w:webHidden/>
          </w:rPr>
          <w:fldChar w:fldCharType="separate"/>
        </w:r>
        <w:r w:rsidR="00040578">
          <w:rPr>
            <w:noProof/>
            <w:webHidden/>
          </w:rPr>
          <w:t>4</w:t>
        </w:r>
        <w:r w:rsidR="00040578">
          <w:rPr>
            <w:noProof/>
            <w:webHidden/>
          </w:rPr>
          <w:fldChar w:fldCharType="end"/>
        </w:r>
      </w:hyperlink>
    </w:p>
    <w:p w14:paraId="15762495" w14:textId="2A239624" w:rsidR="00040578" w:rsidRDefault="000C5897">
      <w:pPr>
        <w:pStyle w:val="TDC2"/>
        <w:rPr>
          <w:rFonts w:asciiTheme="minorHAnsi" w:eastAsiaTheme="minorEastAsia" w:hAnsiTheme="minorHAnsi" w:cstheme="minorBidi"/>
          <w:noProof/>
          <w:szCs w:val="22"/>
          <w:lang w:val="es-ES" w:eastAsia="es-ES"/>
        </w:rPr>
      </w:pPr>
      <w:hyperlink w:anchor="_Toc153454646" w:history="1">
        <w:r w:rsidR="00040578" w:rsidRPr="00554007">
          <w:rPr>
            <w:rStyle w:val="Hipervnculo"/>
            <w:noProof/>
          </w:rPr>
          <w:t>II.1 Datos generales</w:t>
        </w:r>
        <w:r w:rsidR="00040578">
          <w:rPr>
            <w:noProof/>
            <w:webHidden/>
          </w:rPr>
          <w:tab/>
        </w:r>
        <w:r w:rsidR="00040578">
          <w:rPr>
            <w:noProof/>
            <w:webHidden/>
          </w:rPr>
          <w:fldChar w:fldCharType="begin"/>
        </w:r>
        <w:r w:rsidR="00040578">
          <w:rPr>
            <w:noProof/>
            <w:webHidden/>
          </w:rPr>
          <w:instrText xml:space="preserve"> PAGEREF _Toc153454646 \h </w:instrText>
        </w:r>
        <w:r w:rsidR="00040578">
          <w:rPr>
            <w:noProof/>
            <w:webHidden/>
          </w:rPr>
        </w:r>
        <w:r w:rsidR="00040578">
          <w:rPr>
            <w:noProof/>
            <w:webHidden/>
          </w:rPr>
          <w:fldChar w:fldCharType="separate"/>
        </w:r>
        <w:r w:rsidR="00040578">
          <w:rPr>
            <w:noProof/>
            <w:webHidden/>
          </w:rPr>
          <w:t>4</w:t>
        </w:r>
        <w:r w:rsidR="00040578">
          <w:rPr>
            <w:noProof/>
            <w:webHidden/>
          </w:rPr>
          <w:fldChar w:fldCharType="end"/>
        </w:r>
      </w:hyperlink>
    </w:p>
    <w:p w14:paraId="70662618" w14:textId="32E46F50" w:rsidR="00040578" w:rsidRDefault="000C5897">
      <w:pPr>
        <w:pStyle w:val="TDC2"/>
        <w:rPr>
          <w:rFonts w:asciiTheme="minorHAnsi" w:eastAsiaTheme="minorEastAsia" w:hAnsiTheme="minorHAnsi" w:cstheme="minorBidi"/>
          <w:noProof/>
          <w:szCs w:val="22"/>
          <w:lang w:val="es-ES" w:eastAsia="es-ES"/>
        </w:rPr>
      </w:pPr>
      <w:hyperlink w:anchor="_Toc153454647" w:history="1">
        <w:r w:rsidR="00040578" w:rsidRPr="00554007">
          <w:rPr>
            <w:rStyle w:val="Hipervnculo"/>
            <w:noProof/>
          </w:rPr>
          <w:t>II.2 Gastos e ingresos del Consejo de la Juventud de Navarra (2019-2022)</w:t>
        </w:r>
        <w:r w:rsidR="00040578">
          <w:rPr>
            <w:noProof/>
            <w:webHidden/>
          </w:rPr>
          <w:tab/>
        </w:r>
        <w:r w:rsidR="00040578">
          <w:rPr>
            <w:noProof/>
            <w:webHidden/>
          </w:rPr>
          <w:fldChar w:fldCharType="begin"/>
        </w:r>
        <w:r w:rsidR="00040578">
          <w:rPr>
            <w:noProof/>
            <w:webHidden/>
          </w:rPr>
          <w:instrText xml:space="preserve"> PAGEREF _Toc153454647 \h </w:instrText>
        </w:r>
        <w:r w:rsidR="00040578">
          <w:rPr>
            <w:noProof/>
            <w:webHidden/>
          </w:rPr>
        </w:r>
        <w:r w:rsidR="00040578">
          <w:rPr>
            <w:noProof/>
            <w:webHidden/>
          </w:rPr>
          <w:fldChar w:fldCharType="separate"/>
        </w:r>
        <w:r w:rsidR="00040578">
          <w:rPr>
            <w:noProof/>
            <w:webHidden/>
          </w:rPr>
          <w:t>8</w:t>
        </w:r>
        <w:r w:rsidR="00040578">
          <w:rPr>
            <w:noProof/>
            <w:webHidden/>
          </w:rPr>
          <w:fldChar w:fldCharType="end"/>
        </w:r>
      </w:hyperlink>
    </w:p>
    <w:p w14:paraId="19D048E1" w14:textId="078B78E4" w:rsidR="00040578" w:rsidRDefault="000C5897">
      <w:pPr>
        <w:pStyle w:val="TDC2"/>
        <w:rPr>
          <w:rFonts w:asciiTheme="minorHAnsi" w:eastAsiaTheme="minorEastAsia" w:hAnsiTheme="minorHAnsi" w:cstheme="minorBidi"/>
          <w:noProof/>
          <w:szCs w:val="22"/>
          <w:lang w:val="es-ES" w:eastAsia="es-ES"/>
        </w:rPr>
      </w:pPr>
      <w:hyperlink w:anchor="_Toc153454648" w:history="1">
        <w:r w:rsidR="00040578" w:rsidRPr="00554007">
          <w:rPr>
            <w:rStyle w:val="Hipervnculo"/>
            <w:noProof/>
          </w:rPr>
          <w:t>II.3 Presentación de cuentas en la Asamblea General</w:t>
        </w:r>
        <w:r w:rsidR="00040578">
          <w:rPr>
            <w:noProof/>
            <w:webHidden/>
          </w:rPr>
          <w:tab/>
        </w:r>
        <w:r w:rsidR="00040578">
          <w:rPr>
            <w:noProof/>
            <w:webHidden/>
          </w:rPr>
          <w:fldChar w:fldCharType="begin"/>
        </w:r>
        <w:r w:rsidR="00040578">
          <w:rPr>
            <w:noProof/>
            <w:webHidden/>
          </w:rPr>
          <w:instrText xml:space="preserve"> PAGEREF _Toc153454648 \h </w:instrText>
        </w:r>
        <w:r w:rsidR="00040578">
          <w:rPr>
            <w:noProof/>
            <w:webHidden/>
          </w:rPr>
        </w:r>
        <w:r w:rsidR="00040578">
          <w:rPr>
            <w:noProof/>
            <w:webHidden/>
          </w:rPr>
          <w:fldChar w:fldCharType="separate"/>
        </w:r>
        <w:r w:rsidR="00040578">
          <w:rPr>
            <w:noProof/>
            <w:webHidden/>
          </w:rPr>
          <w:t>13</w:t>
        </w:r>
        <w:r w:rsidR="00040578">
          <w:rPr>
            <w:noProof/>
            <w:webHidden/>
          </w:rPr>
          <w:fldChar w:fldCharType="end"/>
        </w:r>
      </w:hyperlink>
    </w:p>
    <w:p w14:paraId="6688916A" w14:textId="5854CC3D" w:rsidR="00040578" w:rsidRDefault="000C5897">
      <w:pPr>
        <w:pStyle w:val="TDC1"/>
        <w:rPr>
          <w:rFonts w:asciiTheme="minorHAnsi" w:eastAsiaTheme="minorEastAsia" w:hAnsiTheme="minorHAnsi" w:cstheme="minorBidi"/>
          <w:smallCaps w:val="0"/>
          <w:noProof/>
          <w:szCs w:val="22"/>
          <w:lang w:val="es-ES" w:eastAsia="es-ES"/>
        </w:rPr>
      </w:pPr>
      <w:hyperlink w:anchor="_Toc153454649" w:history="1">
        <w:r w:rsidR="00040578" w:rsidRPr="00554007">
          <w:rPr>
            <w:rStyle w:val="Hipervnculo"/>
            <w:noProof/>
          </w:rPr>
          <w:t>III. Objetivos, alcance y limitaciones</w:t>
        </w:r>
        <w:r w:rsidR="00040578">
          <w:rPr>
            <w:noProof/>
            <w:webHidden/>
          </w:rPr>
          <w:tab/>
        </w:r>
        <w:r w:rsidR="00040578">
          <w:rPr>
            <w:noProof/>
            <w:webHidden/>
          </w:rPr>
          <w:fldChar w:fldCharType="begin"/>
        </w:r>
        <w:r w:rsidR="00040578">
          <w:rPr>
            <w:noProof/>
            <w:webHidden/>
          </w:rPr>
          <w:instrText xml:space="preserve"> PAGEREF _Toc153454649 \h </w:instrText>
        </w:r>
        <w:r w:rsidR="00040578">
          <w:rPr>
            <w:noProof/>
            <w:webHidden/>
          </w:rPr>
        </w:r>
        <w:r w:rsidR="00040578">
          <w:rPr>
            <w:noProof/>
            <w:webHidden/>
          </w:rPr>
          <w:fldChar w:fldCharType="separate"/>
        </w:r>
        <w:r w:rsidR="00040578">
          <w:rPr>
            <w:noProof/>
            <w:webHidden/>
          </w:rPr>
          <w:t>14</w:t>
        </w:r>
        <w:r w:rsidR="00040578">
          <w:rPr>
            <w:noProof/>
            <w:webHidden/>
          </w:rPr>
          <w:fldChar w:fldCharType="end"/>
        </w:r>
      </w:hyperlink>
    </w:p>
    <w:p w14:paraId="203F79C2" w14:textId="41717C3D" w:rsidR="00040578" w:rsidRDefault="000C5897">
      <w:pPr>
        <w:pStyle w:val="TDC1"/>
        <w:rPr>
          <w:rFonts w:asciiTheme="minorHAnsi" w:eastAsiaTheme="minorEastAsia" w:hAnsiTheme="minorHAnsi" w:cstheme="minorBidi"/>
          <w:smallCaps w:val="0"/>
          <w:noProof/>
          <w:szCs w:val="22"/>
          <w:lang w:val="es-ES" w:eastAsia="es-ES"/>
        </w:rPr>
      </w:pPr>
      <w:hyperlink w:anchor="_Toc153454650" w:history="1">
        <w:r w:rsidR="00040578" w:rsidRPr="00554007">
          <w:rPr>
            <w:rStyle w:val="Hipervnculo"/>
            <w:noProof/>
          </w:rPr>
          <w:t>IV. Opinión desfavorable</w:t>
        </w:r>
        <w:r w:rsidR="00040578">
          <w:rPr>
            <w:noProof/>
            <w:webHidden/>
          </w:rPr>
          <w:tab/>
        </w:r>
        <w:r w:rsidR="00040578">
          <w:rPr>
            <w:noProof/>
            <w:webHidden/>
          </w:rPr>
          <w:fldChar w:fldCharType="begin"/>
        </w:r>
        <w:r w:rsidR="00040578">
          <w:rPr>
            <w:noProof/>
            <w:webHidden/>
          </w:rPr>
          <w:instrText xml:space="preserve"> PAGEREF _Toc153454650 \h </w:instrText>
        </w:r>
        <w:r w:rsidR="00040578">
          <w:rPr>
            <w:noProof/>
            <w:webHidden/>
          </w:rPr>
        </w:r>
        <w:r w:rsidR="00040578">
          <w:rPr>
            <w:noProof/>
            <w:webHidden/>
          </w:rPr>
          <w:fldChar w:fldCharType="separate"/>
        </w:r>
        <w:r w:rsidR="00040578">
          <w:rPr>
            <w:noProof/>
            <w:webHidden/>
          </w:rPr>
          <w:t>15</w:t>
        </w:r>
        <w:r w:rsidR="00040578">
          <w:rPr>
            <w:noProof/>
            <w:webHidden/>
          </w:rPr>
          <w:fldChar w:fldCharType="end"/>
        </w:r>
      </w:hyperlink>
    </w:p>
    <w:p w14:paraId="3E2ED0AF" w14:textId="0ED8E9E0" w:rsidR="00040578" w:rsidRDefault="000C5897">
      <w:pPr>
        <w:pStyle w:val="TDC1"/>
        <w:rPr>
          <w:rFonts w:asciiTheme="minorHAnsi" w:eastAsiaTheme="minorEastAsia" w:hAnsiTheme="minorHAnsi" w:cstheme="minorBidi"/>
          <w:smallCaps w:val="0"/>
          <w:noProof/>
          <w:szCs w:val="22"/>
          <w:lang w:val="es-ES" w:eastAsia="es-ES"/>
        </w:rPr>
      </w:pPr>
      <w:hyperlink w:anchor="_Toc153454651" w:history="1">
        <w:r w:rsidR="00040578" w:rsidRPr="00554007">
          <w:rPr>
            <w:rStyle w:val="Hipervnculo"/>
            <w:noProof/>
          </w:rPr>
          <w:t>V. Fundamento de la opinión desfavorable</w:t>
        </w:r>
        <w:r w:rsidR="00040578">
          <w:rPr>
            <w:noProof/>
            <w:webHidden/>
          </w:rPr>
          <w:tab/>
        </w:r>
        <w:r w:rsidR="00040578">
          <w:rPr>
            <w:noProof/>
            <w:webHidden/>
          </w:rPr>
          <w:fldChar w:fldCharType="begin"/>
        </w:r>
        <w:r w:rsidR="00040578">
          <w:rPr>
            <w:noProof/>
            <w:webHidden/>
          </w:rPr>
          <w:instrText xml:space="preserve"> PAGEREF _Toc153454651 \h </w:instrText>
        </w:r>
        <w:r w:rsidR="00040578">
          <w:rPr>
            <w:noProof/>
            <w:webHidden/>
          </w:rPr>
        </w:r>
        <w:r w:rsidR="00040578">
          <w:rPr>
            <w:noProof/>
            <w:webHidden/>
          </w:rPr>
          <w:fldChar w:fldCharType="separate"/>
        </w:r>
        <w:r w:rsidR="00040578">
          <w:rPr>
            <w:noProof/>
            <w:webHidden/>
          </w:rPr>
          <w:t>16</w:t>
        </w:r>
        <w:r w:rsidR="00040578">
          <w:rPr>
            <w:noProof/>
            <w:webHidden/>
          </w:rPr>
          <w:fldChar w:fldCharType="end"/>
        </w:r>
      </w:hyperlink>
    </w:p>
    <w:p w14:paraId="25088ECF" w14:textId="38F5BC86" w:rsidR="00040578" w:rsidRDefault="000C5897">
      <w:pPr>
        <w:pStyle w:val="TDC1"/>
        <w:rPr>
          <w:rFonts w:asciiTheme="minorHAnsi" w:eastAsiaTheme="minorEastAsia" w:hAnsiTheme="minorHAnsi" w:cstheme="minorBidi"/>
          <w:smallCaps w:val="0"/>
          <w:noProof/>
          <w:szCs w:val="22"/>
          <w:lang w:val="es-ES" w:eastAsia="es-ES"/>
        </w:rPr>
      </w:pPr>
      <w:hyperlink w:anchor="_Toc153454652" w:history="1">
        <w:r w:rsidR="00040578" w:rsidRPr="00554007">
          <w:rPr>
            <w:rStyle w:val="Hipervnculo"/>
            <w:noProof/>
          </w:rPr>
          <w:t>VI. Cuestiones clave de auditoría</w:t>
        </w:r>
        <w:r w:rsidR="00040578">
          <w:rPr>
            <w:noProof/>
            <w:webHidden/>
          </w:rPr>
          <w:tab/>
        </w:r>
        <w:r w:rsidR="00040578">
          <w:rPr>
            <w:noProof/>
            <w:webHidden/>
          </w:rPr>
          <w:fldChar w:fldCharType="begin"/>
        </w:r>
        <w:r w:rsidR="00040578">
          <w:rPr>
            <w:noProof/>
            <w:webHidden/>
          </w:rPr>
          <w:instrText xml:space="preserve"> PAGEREF _Toc153454652 \h </w:instrText>
        </w:r>
        <w:r w:rsidR="00040578">
          <w:rPr>
            <w:noProof/>
            <w:webHidden/>
          </w:rPr>
        </w:r>
        <w:r w:rsidR="00040578">
          <w:rPr>
            <w:noProof/>
            <w:webHidden/>
          </w:rPr>
          <w:fldChar w:fldCharType="separate"/>
        </w:r>
        <w:r w:rsidR="00040578">
          <w:rPr>
            <w:noProof/>
            <w:webHidden/>
          </w:rPr>
          <w:t>18</w:t>
        </w:r>
        <w:r w:rsidR="00040578">
          <w:rPr>
            <w:noProof/>
            <w:webHidden/>
          </w:rPr>
          <w:fldChar w:fldCharType="end"/>
        </w:r>
      </w:hyperlink>
    </w:p>
    <w:p w14:paraId="545B6EBE" w14:textId="247F5EF4" w:rsidR="00040578" w:rsidRDefault="000C5897">
      <w:pPr>
        <w:pStyle w:val="TDC1"/>
        <w:rPr>
          <w:rFonts w:asciiTheme="minorHAnsi" w:eastAsiaTheme="minorEastAsia" w:hAnsiTheme="minorHAnsi" w:cstheme="minorBidi"/>
          <w:smallCaps w:val="0"/>
          <w:noProof/>
          <w:szCs w:val="22"/>
          <w:lang w:val="es-ES" w:eastAsia="es-ES"/>
        </w:rPr>
      </w:pPr>
      <w:hyperlink w:anchor="_Toc153454653" w:history="1">
        <w:r w:rsidR="00040578" w:rsidRPr="00554007">
          <w:rPr>
            <w:rStyle w:val="Hipervnculo"/>
            <w:noProof/>
          </w:rPr>
          <w:t>VII. Párrafo de énfasis</w:t>
        </w:r>
        <w:r w:rsidR="00040578">
          <w:rPr>
            <w:noProof/>
            <w:webHidden/>
          </w:rPr>
          <w:tab/>
        </w:r>
        <w:r w:rsidR="00040578">
          <w:rPr>
            <w:noProof/>
            <w:webHidden/>
          </w:rPr>
          <w:fldChar w:fldCharType="begin"/>
        </w:r>
        <w:r w:rsidR="00040578">
          <w:rPr>
            <w:noProof/>
            <w:webHidden/>
          </w:rPr>
          <w:instrText xml:space="preserve"> PAGEREF _Toc153454653 \h </w:instrText>
        </w:r>
        <w:r w:rsidR="00040578">
          <w:rPr>
            <w:noProof/>
            <w:webHidden/>
          </w:rPr>
        </w:r>
        <w:r w:rsidR="00040578">
          <w:rPr>
            <w:noProof/>
            <w:webHidden/>
          </w:rPr>
          <w:fldChar w:fldCharType="separate"/>
        </w:r>
        <w:r w:rsidR="00040578">
          <w:rPr>
            <w:noProof/>
            <w:webHidden/>
          </w:rPr>
          <w:t>19</w:t>
        </w:r>
        <w:r w:rsidR="00040578">
          <w:rPr>
            <w:noProof/>
            <w:webHidden/>
          </w:rPr>
          <w:fldChar w:fldCharType="end"/>
        </w:r>
      </w:hyperlink>
    </w:p>
    <w:p w14:paraId="52B45D2B" w14:textId="495D6A72" w:rsidR="00040578" w:rsidRDefault="000C5897">
      <w:pPr>
        <w:pStyle w:val="TDC1"/>
        <w:rPr>
          <w:rFonts w:asciiTheme="minorHAnsi" w:eastAsiaTheme="minorEastAsia" w:hAnsiTheme="minorHAnsi" w:cstheme="minorBidi"/>
          <w:smallCaps w:val="0"/>
          <w:noProof/>
          <w:szCs w:val="22"/>
          <w:lang w:val="es-ES" w:eastAsia="es-ES"/>
        </w:rPr>
      </w:pPr>
      <w:hyperlink w:anchor="_Toc153454654" w:history="1">
        <w:r w:rsidR="00040578" w:rsidRPr="00554007">
          <w:rPr>
            <w:rStyle w:val="Hipervnculo"/>
            <w:noProof/>
          </w:rPr>
          <w:t>VIII. Informe sobre otros requerimientos legales y reglamentarios</w:t>
        </w:r>
        <w:r w:rsidR="00040578">
          <w:rPr>
            <w:noProof/>
            <w:webHidden/>
          </w:rPr>
          <w:tab/>
        </w:r>
        <w:r w:rsidR="00040578">
          <w:rPr>
            <w:noProof/>
            <w:webHidden/>
          </w:rPr>
          <w:fldChar w:fldCharType="begin"/>
        </w:r>
        <w:r w:rsidR="00040578">
          <w:rPr>
            <w:noProof/>
            <w:webHidden/>
          </w:rPr>
          <w:instrText xml:space="preserve"> PAGEREF _Toc153454654 \h </w:instrText>
        </w:r>
        <w:r w:rsidR="00040578">
          <w:rPr>
            <w:noProof/>
            <w:webHidden/>
          </w:rPr>
        </w:r>
        <w:r w:rsidR="00040578">
          <w:rPr>
            <w:noProof/>
            <w:webHidden/>
          </w:rPr>
          <w:fldChar w:fldCharType="separate"/>
        </w:r>
        <w:r w:rsidR="00040578">
          <w:rPr>
            <w:noProof/>
            <w:webHidden/>
          </w:rPr>
          <w:t>20</w:t>
        </w:r>
        <w:r w:rsidR="00040578">
          <w:rPr>
            <w:noProof/>
            <w:webHidden/>
          </w:rPr>
          <w:fldChar w:fldCharType="end"/>
        </w:r>
      </w:hyperlink>
    </w:p>
    <w:p w14:paraId="6C6714E8" w14:textId="67592517" w:rsidR="00040578" w:rsidRDefault="000C5897">
      <w:pPr>
        <w:pStyle w:val="TDC1"/>
        <w:rPr>
          <w:rFonts w:asciiTheme="minorHAnsi" w:eastAsiaTheme="minorEastAsia" w:hAnsiTheme="minorHAnsi" w:cstheme="minorBidi"/>
          <w:smallCaps w:val="0"/>
          <w:noProof/>
          <w:szCs w:val="22"/>
          <w:lang w:val="es-ES" w:eastAsia="es-ES"/>
        </w:rPr>
      </w:pPr>
      <w:hyperlink w:anchor="_Toc153454655" w:history="1">
        <w:r w:rsidR="00040578" w:rsidRPr="00554007">
          <w:rPr>
            <w:rStyle w:val="Hipervnculo"/>
            <w:noProof/>
          </w:rPr>
          <w:t>IX. Responsabilidad del Consejo de la Juventud de Navarra</w:t>
        </w:r>
        <w:r w:rsidR="00040578">
          <w:rPr>
            <w:noProof/>
            <w:webHidden/>
          </w:rPr>
          <w:tab/>
        </w:r>
        <w:r w:rsidR="00040578">
          <w:rPr>
            <w:noProof/>
            <w:webHidden/>
          </w:rPr>
          <w:fldChar w:fldCharType="begin"/>
        </w:r>
        <w:r w:rsidR="00040578">
          <w:rPr>
            <w:noProof/>
            <w:webHidden/>
          </w:rPr>
          <w:instrText xml:space="preserve"> PAGEREF _Toc153454655 \h </w:instrText>
        </w:r>
        <w:r w:rsidR="00040578">
          <w:rPr>
            <w:noProof/>
            <w:webHidden/>
          </w:rPr>
        </w:r>
        <w:r w:rsidR="00040578">
          <w:rPr>
            <w:noProof/>
            <w:webHidden/>
          </w:rPr>
          <w:fldChar w:fldCharType="separate"/>
        </w:r>
        <w:r w:rsidR="00040578">
          <w:rPr>
            <w:noProof/>
            <w:webHidden/>
          </w:rPr>
          <w:t>22</w:t>
        </w:r>
        <w:r w:rsidR="00040578">
          <w:rPr>
            <w:noProof/>
            <w:webHidden/>
          </w:rPr>
          <w:fldChar w:fldCharType="end"/>
        </w:r>
      </w:hyperlink>
    </w:p>
    <w:p w14:paraId="499A03C3" w14:textId="466DAEBC" w:rsidR="00040578" w:rsidRDefault="000C5897">
      <w:pPr>
        <w:pStyle w:val="TDC1"/>
        <w:rPr>
          <w:rFonts w:asciiTheme="minorHAnsi" w:eastAsiaTheme="minorEastAsia" w:hAnsiTheme="minorHAnsi" w:cstheme="minorBidi"/>
          <w:smallCaps w:val="0"/>
          <w:noProof/>
          <w:szCs w:val="22"/>
          <w:lang w:val="es-ES" w:eastAsia="es-ES"/>
        </w:rPr>
      </w:pPr>
      <w:hyperlink w:anchor="_Toc153454656" w:history="1">
        <w:r w:rsidR="00040578" w:rsidRPr="00554007">
          <w:rPr>
            <w:rStyle w:val="Hipervnculo"/>
            <w:noProof/>
          </w:rPr>
          <w:t>X. Responsabilidad de la Cámara de Comptos de Navarra</w:t>
        </w:r>
        <w:r w:rsidR="00040578">
          <w:rPr>
            <w:noProof/>
            <w:webHidden/>
          </w:rPr>
          <w:tab/>
        </w:r>
        <w:r w:rsidR="00040578">
          <w:rPr>
            <w:noProof/>
            <w:webHidden/>
          </w:rPr>
          <w:fldChar w:fldCharType="begin"/>
        </w:r>
        <w:r w:rsidR="00040578">
          <w:rPr>
            <w:noProof/>
            <w:webHidden/>
          </w:rPr>
          <w:instrText xml:space="preserve"> PAGEREF _Toc153454656 \h </w:instrText>
        </w:r>
        <w:r w:rsidR="00040578">
          <w:rPr>
            <w:noProof/>
            <w:webHidden/>
          </w:rPr>
        </w:r>
        <w:r w:rsidR="00040578">
          <w:rPr>
            <w:noProof/>
            <w:webHidden/>
          </w:rPr>
          <w:fldChar w:fldCharType="separate"/>
        </w:r>
        <w:r w:rsidR="00040578">
          <w:rPr>
            <w:noProof/>
            <w:webHidden/>
          </w:rPr>
          <w:t>23</w:t>
        </w:r>
        <w:r w:rsidR="00040578">
          <w:rPr>
            <w:noProof/>
            <w:webHidden/>
          </w:rPr>
          <w:fldChar w:fldCharType="end"/>
        </w:r>
      </w:hyperlink>
    </w:p>
    <w:p w14:paraId="348F36DE" w14:textId="69655C50" w:rsidR="00040578" w:rsidRDefault="000C5897">
      <w:pPr>
        <w:pStyle w:val="TDC1"/>
        <w:rPr>
          <w:rFonts w:asciiTheme="minorHAnsi" w:eastAsiaTheme="minorEastAsia" w:hAnsiTheme="minorHAnsi" w:cstheme="minorBidi"/>
          <w:smallCaps w:val="0"/>
          <w:noProof/>
          <w:szCs w:val="22"/>
          <w:lang w:val="es-ES" w:eastAsia="es-ES"/>
        </w:rPr>
      </w:pPr>
      <w:hyperlink w:anchor="_Toc153454657" w:history="1">
        <w:r w:rsidR="00040578" w:rsidRPr="00554007">
          <w:rPr>
            <w:rStyle w:val="Hipervnculo"/>
            <w:noProof/>
          </w:rPr>
          <w:t>XI. Conclusiones y recomendaciones</w:t>
        </w:r>
        <w:r w:rsidR="00040578">
          <w:rPr>
            <w:noProof/>
            <w:webHidden/>
          </w:rPr>
          <w:tab/>
        </w:r>
        <w:r w:rsidR="00040578">
          <w:rPr>
            <w:noProof/>
            <w:webHidden/>
          </w:rPr>
          <w:fldChar w:fldCharType="begin"/>
        </w:r>
        <w:r w:rsidR="00040578">
          <w:rPr>
            <w:noProof/>
            <w:webHidden/>
          </w:rPr>
          <w:instrText xml:space="preserve"> PAGEREF _Toc153454657 \h </w:instrText>
        </w:r>
        <w:r w:rsidR="00040578">
          <w:rPr>
            <w:noProof/>
            <w:webHidden/>
          </w:rPr>
        </w:r>
        <w:r w:rsidR="00040578">
          <w:rPr>
            <w:noProof/>
            <w:webHidden/>
          </w:rPr>
          <w:fldChar w:fldCharType="separate"/>
        </w:r>
        <w:r w:rsidR="00040578">
          <w:rPr>
            <w:noProof/>
            <w:webHidden/>
          </w:rPr>
          <w:t>25</w:t>
        </w:r>
        <w:r w:rsidR="00040578">
          <w:rPr>
            <w:noProof/>
            <w:webHidden/>
          </w:rPr>
          <w:fldChar w:fldCharType="end"/>
        </w:r>
      </w:hyperlink>
    </w:p>
    <w:p w14:paraId="7538B31E" w14:textId="151A6E80" w:rsidR="00040578" w:rsidRDefault="000C5897">
      <w:pPr>
        <w:pStyle w:val="TDC1"/>
        <w:rPr>
          <w:rFonts w:asciiTheme="minorHAnsi" w:eastAsiaTheme="minorEastAsia" w:hAnsiTheme="minorHAnsi" w:cstheme="minorBidi"/>
          <w:smallCaps w:val="0"/>
          <w:noProof/>
          <w:szCs w:val="22"/>
          <w:lang w:val="es-ES" w:eastAsia="es-ES"/>
        </w:rPr>
      </w:pPr>
      <w:hyperlink w:anchor="_Toc153454658" w:history="1">
        <w:r w:rsidR="00040578" w:rsidRPr="00554007">
          <w:rPr>
            <w:rStyle w:val="Hipervnculo"/>
            <w:noProof/>
          </w:rPr>
          <w:t>Apéndice 1. Marco normativo regulador</w:t>
        </w:r>
        <w:r w:rsidR="00040578">
          <w:rPr>
            <w:noProof/>
            <w:webHidden/>
          </w:rPr>
          <w:tab/>
        </w:r>
        <w:r w:rsidR="00040578">
          <w:rPr>
            <w:noProof/>
            <w:webHidden/>
          </w:rPr>
          <w:fldChar w:fldCharType="begin"/>
        </w:r>
        <w:r w:rsidR="00040578">
          <w:rPr>
            <w:noProof/>
            <w:webHidden/>
          </w:rPr>
          <w:instrText xml:space="preserve"> PAGEREF _Toc153454658 \h </w:instrText>
        </w:r>
        <w:r w:rsidR="00040578">
          <w:rPr>
            <w:noProof/>
            <w:webHidden/>
          </w:rPr>
        </w:r>
        <w:r w:rsidR="00040578">
          <w:rPr>
            <w:noProof/>
            <w:webHidden/>
          </w:rPr>
          <w:fldChar w:fldCharType="separate"/>
        </w:r>
        <w:r w:rsidR="00040578">
          <w:rPr>
            <w:noProof/>
            <w:webHidden/>
          </w:rPr>
          <w:t>28</w:t>
        </w:r>
        <w:r w:rsidR="00040578">
          <w:rPr>
            <w:noProof/>
            <w:webHidden/>
          </w:rPr>
          <w:fldChar w:fldCharType="end"/>
        </w:r>
      </w:hyperlink>
    </w:p>
    <w:p w14:paraId="1B3C8940" w14:textId="55A1642C" w:rsidR="00040578" w:rsidRDefault="000C5897">
      <w:pPr>
        <w:pStyle w:val="TDC1"/>
        <w:rPr>
          <w:rFonts w:asciiTheme="minorHAnsi" w:eastAsiaTheme="minorEastAsia" w:hAnsiTheme="minorHAnsi" w:cstheme="minorBidi"/>
          <w:smallCaps w:val="0"/>
          <w:noProof/>
          <w:szCs w:val="22"/>
          <w:lang w:val="es-ES" w:eastAsia="es-ES"/>
        </w:rPr>
      </w:pPr>
      <w:hyperlink w:anchor="_Toc153454659" w:history="1">
        <w:r w:rsidR="00040578" w:rsidRPr="00554007">
          <w:rPr>
            <w:rStyle w:val="Hipervnculo"/>
            <w:noProof/>
          </w:rPr>
          <w:t>Anexo 1. Actividades llevadas a cabo por el Consejo de la Juventud de Navarra (2019-2022)</w:t>
        </w:r>
        <w:r w:rsidR="00040578">
          <w:rPr>
            <w:noProof/>
            <w:webHidden/>
          </w:rPr>
          <w:tab/>
        </w:r>
        <w:r w:rsidR="00040578">
          <w:rPr>
            <w:noProof/>
            <w:webHidden/>
          </w:rPr>
          <w:fldChar w:fldCharType="begin"/>
        </w:r>
        <w:r w:rsidR="00040578">
          <w:rPr>
            <w:noProof/>
            <w:webHidden/>
          </w:rPr>
          <w:instrText xml:space="preserve"> PAGEREF _Toc153454659 \h </w:instrText>
        </w:r>
        <w:r w:rsidR="00040578">
          <w:rPr>
            <w:noProof/>
            <w:webHidden/>
          </w:rPr>
        </w:r>
        <w:r w:rsidR="00040578">
          <w:rPr>
            <w:noProof/>
            <w:webHidden/>
          </w:rPr>
          <w:fldChar w:fldCharType="separate"/>
        </w:r>
        <w:r w:rsidR="00040578">
          <w:rPr>
            <w:noProof/>
            <w:webHidden/>
          </w:rPr>
          <w:t>29</w:t>
        </w:r>
        <w:r w:rsidR="00040578">
          <w:rPr>
            <w:noProof/>
            <w:webHidden/>
          </w:rPr>
          <w:fldChar w:fldCharType="end"/>
        </w:r>
      </w:hyperlink>
    </w:p>
    <w:p w14:paraId="7C6A1FC2" w14:textId="2417EE4A" w:rsidR="00040578" w:rsidRDefault="000C5897">
      <w:pPr>
        <w:pStyle w:val="TDC1"/>
        <w:rPr>
          <w:rFonts w:asciiTheme="minorHAnsi" w:eastAsiaTheme="minorEastAsia" w:hAnsiTheme="minorHAnsi" w:cstheme="minorBidi"/>
          <w:smallCaps w:val="0"/>
          <w:noProof/>
          <w:szCs w:val="22"/>
          <w:lang w:val="es-ES" w:eastAsia="es-ES"/>
        </w:rPr>
      </w:pPr>
      <w:hyperlink w:anchor="_Toc153454660" w:history="1">
        <w:r w:rsidR="00040578" w:rsidRPr="00554007">
          <w:rPr>
            <w:rStyle w:val="Hipervnculo"/>
            <w:noProof/>
          </w:rPr>
          <w:t>Anexo 2. Balance de situación y cuenta de pérdidas y ganancias del Consejo de la Juventud de Navarra a 31 de diciembre de 2019, 2020, 2021 y 2022</w:t>
        </w:r>
        <w:r w:rsidR="00040578">
          <w:rPr>
            <w:noProof/>
            <w:webHidden/>
          </w:rPr>
          <w:tab/>
        </w:r>
        <w:r w:rsidR="00040578">
          <w:rPr>
            <w:noProof/>
            <w:webHidden/>
          </w:rPr>
          <w:fldChar w:fldCharType="begin"/>
        </w:r>
        <w:r w:rsidR="00040578">
          <w:rPr>
            <w:noProof/>
            <w:webHidden/>
          </w:rPr>
          <w:instrText xml:space="preserve"> PAGEREF _Toc153454660 \h </w:instrText>
        </w:r>
        <w:r w:rsidR="00040578">
          <w:rPr>
            <w:noProof/>
            <w:webHidden/>
          </w:rPr>
        </w:r>
        <w:r w:rsidR="00040578">
          <w:rPr>
            <w:noProof/>
            <w:webHidden/>
          </w:rPr>
          <w:fldChar w:fldCharType="separate"/>
        </w:r>
        <w:r w:rsidR="00040578">
          <w:rPr>
            <w:noProof/>
            <w:webHidden/>
          </w:rPr>
          <w:t>34</w:t>
        </w:r>
        <w:r w:rsidR="00040578">
          <w:rPr>
            <w:noProof/>
            <w:webHidden/>
          </w:rPr>
          <w:fldChar w:fldCharType="end"/>
        </w:r>
      </w:hyperlink>
    </w:p>
    <w:p w14:paraId="544A3C28" w14:textId="5C79D880" w:rsidR="008B3A77" w:rsidRPr="006E0784" w:rsidRDefault="008B3A77" w:rsidP="008B3A77">
      <w:pPr>
        <w:pStyle w:val="texto"/>
        <w:tabs>
          <w:tab w:val="left" w:pos="8647"/>
        </w:tabs>
        <w:rPr>
          <w:smallCaps/>
          <w:szCs w:val="26"/>
        </w:rPr>
      </w:pPr>
      <w:r w:rsidRPr="006E0784">
        <w:rPr>
          <w:smallCaps/>
          <w:szCs w:val="26"/>
        </w:rPr>
        <w:fldChar w:fldCharType="end"/>
      </w:r>
    </w:p>
    <w:p w14:paraId="3EF2B707" w14:textId="77777777" w:rsidR="008B3A77" w:rsidRPr="001A37A6" w:rsidRDefault="008B3A77" w:rsidP="008B3A77">
      <w:pPr>
        <w:tabs>
          <w:tab w:val="left" w:pos="8647"/>
        </w:tabs>
        <w:ind w:left="426"/>
        <w:rPr>
          <w:b/>
          <w:spacing w:val="-3"/>
          <w:sz w:val="26"/>
          <w:szCs w:val="26"/>
        </w:rPr>
      </w:pPr>
    </w:p>
    <w:p w14:paraId="006461FC" w14:textId="77777777" w:rsidR="008B3A77" w:rsidRPr="001A37A6" w:rsidRDefault="008B3A77" w:rsidP="008B3A77">
      <w:pPr>
        <w:tabs>
          <w:tab w:val="left" w:pos="8647"/>
        </w:tabs>
        <w:ind w:left="426"/>
        <w:rPr>
          <w:b/>
          <w:spacing w:val="-3"/>
          <w:sz w:val="26"/>
          <w:szCs w:val="26"/>
        </w:rPr>
      </w:pPr>
    </w:p>
    <w:p w14:paraId="260FBD3E" w14:textId="77777777" w:rsidR="008B3A77" w:rsidRPr="001A37A6" w:rsidRDefault="008B3A77" w:rsidP="008B3A77">
      <w:pPr>
        <w:pStyle w:val="texto"/>
        <w:tabs>
          <w:tab w:val="left" w:pos="8647"/>
        </w:tabs>
        <w:rPr>
          <w:szCs w:val="26"/>
        </w:rPr>
        <w:sectPr w:rsidR="008B3A77" w:rsidRPr="001A37A6" w:rsidSect="008B3A77">
          <w:headerReference w:type="default" r:id="rId17"/>
          <w:footerReference w:type="default" r:id="rId18"/>
          <w:headerReference w:type="first" r:id="rId19"/>
          <w:pgSz w:w="11907" w:h="16840" w:code="9"/>
          <w:pgMar w:top="2084" w:right="1275" w:bottom="2109" w:left="1559" w:header="369" w:footer="136" w:gutter="0"/>
          <w:pgNumType w:start="3"/>
          <w:cols w:space="720"/>
          <w:titlePg/>
          <w:docGrid w:linePitch="360"/>
        </w:sectPr>
      </w:pPr>
    </w:p>
    <w:p w14:paraId="44DBABF2" w14:textId="77777777" w:rsidR="008B3A77" w:rsidRPr="008F2B11" w:rsidRDefault="008B3A77" w:rsidP="008F2B11">
      <w:pPr>
        <w:pStyle w:val="atitulo1"/>
      </w:pPr>
      <w:bookmarkStart w:id="0" w:name="_Toc153454644"/>
      <w:r w:rsidRPr="008F2B11">
        <w:lastRenderedPageBreak/>
        <w:t>I. Introducción</w:t>
      </w:r>
      <w:bookmarkEnd w:id="0"/>
    </w:p>
    <w:p w14:paraId="27AAB047" w14:textId="77777777" w:rsidR="00735125" w:rsidRDefault="562D81B6" w:rsidP="008F2B11">
      <w:pPr>
        <w:pStyle w:val="texto"/>
      </w:pPr>
      <w:r>
        <w:t>La Junta de Portavoces del Parlamento de Navarra, en su sesión de 27 de marzo de 2023, acordó solicitar a la Cámara de Comptos a petición</w:t>
      </w:r>
      <w:r w:rsidR="31145715">
        <w:t>,</w:t>
      </w:r>
      <w:r>
        <w:t xml:space="preserve"> de los grupos parlamentarios Navarra Suma, Partido Socialista de Navarra, EH Bildu Nafarroa y la Agrupación de Parlamentarios Forales de Podemos </w:t>
      </w:r>
      <w:proofErr w:type="spellStart"/>
      <w:r>
        <w:t>Ahal</w:t>
      </w:r>
      <w:proofErr w:type="spellEnd"/>
      <w:r>
        <w:t xml:space="preserve"> Dugu, un informe de fiscalización sobre “</w:t>
      </w:r>
      <w:r w:rsidRPr="14B3A08B">
        <w:rPr>
          <w:i/>
          <w:iCs/>
        </w:rPr>
        <w:t>las cuentas del Consejo de la Juventud de Navarra-NGK desde 2011 a 2022</w:t>
      </w:r>
      <w:r>
        <w:t>”.</w:t>
      </w:r>
      <w:r w:rsidR="44BB6BFC">
        <w:t xml:space="preserve"> </w:t>
      </w:r>
    </w:p>
    <w:p w14:paraId="5CA28E3A" w14:textId="0C953D3D" w:rsidR="00FE1E9F" w:rsidRDefault="44BB6BFC" w:rsidP="008F2B11">
      <w:pPr>
        <w:pStyle w:val="texto"/>
      </w:pPr>
      <w:r>
        <w:t xml:space="preserve">Si bien la petición parlamentaria solicitaba el análisis de las cuentas del periodo 2011-2022, </w:t>
      </w:r>
      <w:r w:rsidR="00735125">
        <w:t>e</w:t>
      </w:r>
      <w:r>
        <w:t>sta Cámara ha auditado las correspondientes al periodo 2019-2022</w:t>
      </w:r>
      <w:r w:rsidR="00735125">
        <w:t xml:space="preserve"> por entender que no era necesario incrementar los años de revisión ya que las conclusiones no iban a variar significativamente.</w:t>
      </w:r>
    </w:p>
    <w:p w14:paraId="19E4DFD4" w14:textId="136775E4" w:rsidR="008B3A77" w:rsidRDefault="00FE1E9F" w:rsidP="008F2B11">
      <w:pPr>
        <w:pStyle w:val="texto"/>
      </w:pPr>
      <w:r>
        <w:t>U</w:t>
      </w:r>
      <w:r w:rsidR="008B3A77" w:rsidRPr="004051FC">
        <w:t xml:space="preserve">n equipo integrado por </w:t>
      </w:r>
      <w:r w:rsidR="00B80751" w:rsidRPr="004051FC">
        <w:t>una técnica de auditoría</w:t>
      </w:r>
      <w:r>
        <w:t xml:space="preserve"> y una auditora</w:t>
      </w:r>
      <w:r w:rsidR="00B80751" w:rsidRPr="004051FC">
        <w:t xml:space="preserve"> </w:t>
      </w:r>
      <w:r>
        <w:t>realizaron el trabajo de campo entre los meses de octubre y noviembre</w:t>
      </w:r>
      <w:r w:rsidR="008B3A77" w:rsidRPr="004051FC">
        <w:t xml:space="preserve">, con la colaboración de los servicios jurídicos y administrativos de la Cámara. </w:t>
      </w:r>
    </w:p>
    <w:p w14:paraId="577951CD" w14:textId="1CECCE8C" w:rsidR="005705BE" w:rsidRPr="00040578" w:rsidRDefault="005705BE" w:rsidP="005705BE">
      <w:pPr>
        <w:pStyle w:val="texto"/>
      </w:pPr>
      <w:r w:rsidRPr="00040578">
        <w:t xml:space="preserve">De conformidad con lo previsto en el artículo 11 de la Ley Foral 19/1984, de 20 de diciembre, de la Cámara de Comptos de Navarra, los resultados de este trabajo se pusieron de manifiesto a las personas responsables del Consejo de la juventud de Navarra y del Instituto Navarro de la Juventud, así como a la consejera del Departamento de Vivienda, Juventud y políticas </w:t>
      </w:r>
      <w:r w:rsidR="007D545D" w:rsidRPr="00040578">
        <w:t>migratorias</w:t>
      </w:r>
      <w:r w:rsidRPr="00040578">
        <w:t xml:space="preserve">, y a la consejera de Cultura y Deporte, con el fin de que formularan </w:t>
      </w:r>
      <w:r w:rsidR="00123680" w:rsidRPr="00040578">
        <w:t>alegaciones. Finalizado el plazo, no se han presentado alegaciones.</w:t>
      </w:r>
    </w:p>
    <w:p w14:paraId="7C6B96FD" w14:textId="4F4CD9AE" w:rsidR="008B3A77" w:rsidRPr="004051FC" w:rsidRDefault="008B3A77" w:rsidP="008F2B11">
      <w:pPr>
        <w:pStyle w:val="texto"/>
      </w:pPr>
      <w:r>
        <w:t xml:space="preserve">Agradecemos al personal </w:t>
      </w:r>
      <w:r w:rsidR="00B80751">
        <w:t>de</w:t>
      </w:r>
      <w:r w:rsidR="00FE1E9F">
        <w:t>l</w:t>
      </w:r>
      <w:r w:rsidR="59D3E665">
        <w:t xml:space="preserve"> Consejo de la Juventud de Navarra</w:t>
      </w:r>
      <w:r w:rsidR="00FE1E9F">
        <w:t xml:space="preserve"> </w:t>
      </w:r>
      <w:r w:rsidR="52F2A0DB">
        <w:t xml:space="preserve">(en adelante </w:t>
      </w:r>
      <w:r w:rsidR="00FE1E9F">
        <w:t>CJN</w:t>
      </w:r>
      <w:r w:rsidR="3C0978F0">
        <w:t>)</w:t>
      </w:r>
      <w:r w:rsidR="00FE1E9F">
        <w:t xml:space="preserve"> y del Instituto Navarro de la Juventud la </w:t>
      </w:r>
      <w:r>
        <w:t>colaboración prestada en la realización del presente trabajo.</w:t>
      </w:r>
    </w:p>
    <w:p w14:paraId="1497064B" w14:textId="77777777" w:rsidR="008B3A77" w:rsidRDefault="008B3A77" w:rsidP="008B3A77">
      <w:pPr>
        <w:tabs>
          <w:tab w:val="left" w:pos="8647"/>
        </w:tabs>
        <w:spacing w:after="0"/>
        <w:ind w:firstLine="0"/>
        <w:jc w:val="left"/>
        <w:rPr>
          <w:sz w:val="26"/>
          <w:szCs w:val="26"/>
          <w:lang w:eastAsia="es-ES"/>
        </w:rPr>
      </w:pPr>
      <w:r>
        <w:rPr>
          <w:sz w:val="26"/>
          <w:szCs w:val="26"/>
        </w:rPr>
        <w:br w:type="page"/>
      </w:r>
    </w:p>
    <w:p w14:paraId="2BC86685" w14:textId="6F5E6FB3" w:rsidR="00FE1E9F" w:rsidRPr="008F2B11" w:rsidRDefault="00FE1E9F" w:rsidP="008F2B11">
      <w:pPr>
        <w:pStyle w:val="atitulo1"/>
      </w:pPr>
      <w:bookmarkStart w:id="1" w:name="_Toc153454645"/>
      <w:r w:rsidRPr="008F2B11">
        <w:lastRenderedPageBreak/>
        <w:t>II. El Consejo de la Juventud de Navarra</w:t>
      </w:r>
      <w:bookmarkEnd w:id="1"/>
    </w:p>
    <w:p w14:paraId="0264A2D4" w14:textId="0B30BFEA" w:rsidR="00FE1E9F" w:rsidRPr="008F2B11" w:rsidRDefault="00FE1E9F" w:rsidP="008F2B11">
      <w:pPr>
        <w:pStyle w:val="atitulo2"/>
      </w:pPr>
      <w:bookmarkStart w:id="2" w:name="_Toc149914886"/>
      <w:bookmarkStart w:id="3" w:name="_Toc153454646"/>
      <w:r w:rsidRPr="008F2B11">
        <w:t>II.1 Datos generales</w:t>
      </w:r>
      <w:bookmarkEnd w:id="2"/>
      <w:bookmarkEnd w:id="3"/>
    </w:p>
    <w:p w14:paraId="69C74DB2" w14:textId="77777777" w:rsidR="00FE1E9F" w:rsidRPr="00760490" w:rsidRDefault="00FE1E9F" w:rsidP="008F2B11">
      <w:pPr>
        <w:pStyle w:val="atitulo3"/>
        <w:spacing w:before="240"/>
      </w:pPr>
      <w:r w:rsidRPr="00760490">
        <w:t>Creación</w:t>
      </w:r>
    </w:p>
    <w:p w14:paraId="1DFC85BA" w14:textId="5EE4F5E0" w:rsidR="00FE1E9F" w:rsidRDefault="00FE1E9F" w:rsidP="008F2B11">
      <w:pPr>
        <w:pStyle w:val="texto"/>
      </w:pPr>
      <w:r>
        <w:t>El CJN fue creado por el Decreto Foral 110/1986</w:t>
      </w:r>
      <w:r w:rsidR="68977799">
        <w:t>,</w:t>
      </w:r>
      <w:r>
        <w:t xml:space="preserve"> de 18 de abril. Posteriormente se aprobó la Ley Foral 11/2011, de 1 de abril, de Juventud y el Decreto Foral 53/2023, de 21 de junio, por el que se establece la composición, organización y funcionamiento del CJN.</w:t>
      </w:r>
    </w:p>
    <w:p w14:paraId="47497502" w14:textId="39D02789" w:rsidR="00151577" w:rsidRDefault="00892864" w:rsidP="00151577">
      <w:pPr>
        <w:pStyle w:val="texto"/>
        <w:rPr>
          <w:rStyle w:val="normaltextrun"/>
        </w:rPr>
      </w:pPr>
      <w:r>
        <w:t>La</w:t>
      </w:r>
      <w:r w:rsidR="221A9A5C">
        <w:t xml:space="preserve"> citada ley foral</w:t>
      </w:r>
      <w:r>
        <w:t xml:space="preserve"> </w:t>
      </w:r>
      <w:r w:rsidR="3EDE2334">
        <w:t>define</w:t>
      </w:r>
      <w:r>
        <w:t xml:space="preserve"> al CJN como </w:t>
      </w:r>
      <w:r w:rsidR="7932F0E1">
        <w:t>“</w:t>
      </w:r>
      <w:r>
        <w:t>una entidad de derecho público con personalidad jurídica propia y plena capacidad para el cumplimiento de sus fines</w:t>
      </w:r>
      <w:r w:rsidR="00151577">
        <w:t>, que se regirá por lo dispuesto en la presente Ley Foral, el Decreto Foral de su creación y demás normas que lo desarrollen</w:t>
      </w:r>
      <w:r w:rsidR="42C827C3">
        <w:t>”</w:t>
      </w:r>
      <w:r w:rsidR="00151577">
        <w:t>.</w:t>
      </w:r>
    </w:p>
    <w:p w14:paraId="5A92F7B7" w14:textId="523931A7" w:rsidR="6B7E3DD7" w:rsidRDefault="6B7E3DD7" w:rsidP="5AD4ADF4">
      <w:pPr>
        <w:pStyle w:val="texto"/>
      </w:pPr>
      <w:r>
        <w:t>En 2015, el CJN aprobó el “Reglamento Interno y Reglamento de Asambleas” que rige su composición, organización y funcionamiento.</w:t>
      </w:r>
    </w:p>
    <w:p w14:paraId="7BA2F5CD" w14:textId="581E4879" w:rsidR="00FE1E9F" w:rsidRPr="008F2B11" w:rsidRDefault="00151577" w:rsidP="008F2B11">
      <w:pPr>
        <w:pStyle w:val="texto"/>
      </w:pPr>
      <w:r>
        <w:t>E</w:t>
      </w:r>
      <w:r w:rsidR="00892864">
        <w:t>l Decreto Foral 53/2023 indica e</w:t>
      </w:r>
      <w:r w:rsidR="00FE1E9F">
        <w:t xml:space="preserve">xpresamente que esta entidad no pertenece a la Administración de la Comunidad Foral de Navarra y que se relacionará con </w:t>
      </w:r>
      <w:r w:rsidR="000C3D65">
        <w:t>e</w:t>
      </w:r>
      <w:r w:rsidR="00FE1E9F">
        <w:t>sta a través del Instituto Navarro de la Juventud (INJ en adelante).</w:t>
      </w:r>
    </w:p>
    <w:p w14:paraId="2F70E87A" w14:textId="2A7F9E55" w:rsidR="00555F50" w:rsidRPr="008F2B11" w:rsidRDefault="00555F50">
      <w:pPr>
        <w:pStyle w:val="texto"/>
      </w:pPr>
      <w:r>
        <w:t xml:space="preserve">Por otro lado, en 1991 se creó el organismo autónomo Instituto Navarro de Deporte y Juventud. </w:t>
      </w:r>
      <w:r w:rsidR="27239C75">
        <w:t xml:space="preserve">Posteriormente, </w:t>
      </w:r>
      <w:r w:rsidR="31955EA5">
        <w:t>e</w:t>
      </w:r>
      <w:r w:rsidR="5910BE56">
        <w:t>l Decreto Foral 327/2019, de 15 de noviembre, por el que se crea el organismo autónomo Instituto Navarro de la Juventud y se aprueban sus estatutos</w:t>
      </w:r>
      <w:r w:rsidR="011DBCAB">
        <w:t>,</w:t>
      </w:r>
      <w:r w:rsidR="5910BE56">
        <w:t xml:space="preserve"> </w:t>
      </w:r>
      <w:r w:rsidR="247B9FF2">
        <w:t>le asignó com</w:t>
      </w:r>
      <w:r>
        <w:t>petencias en materia de juventud en Navarra</w:t>
      </w:r>
      <w:r w:rsidR="00FD2512">
        <w:t>. En concreto,</w:t>
      </w:r>
      <w:r>
        <w:t xml:space="preserve"> la función básica de planificar, promover y evaluar políticas públicas de juventud desarrollando acciones específicas aplicando el principio de transversalidad en esta materia. </w:t>
      </w:r>
    </w:p>
    <w:p w14:paraId="35BCB362" w14:textId="77777777" w:rsidR="00FE1E9F" w:rsidRPr="00760490" w:rsidRDefault="00FE1E9F" w:rsidP="008F2B11">
      <w:pPr>
        <w:pStyle w:val="atitulo3"/>
        <w:spacing w:before="240"/>
      </w:pPr>
      <w:r w:rsidRPr="00760490">
        <w:t>Funciones</w:t>
      </w:r>
    </w:p>
    <w:p w14:paraId="233A7E76" w14:textId="3533FB1C" w:rsidR="00FE1E9F" w:rsidRDefault="00FE1E9F" w:rsidP="008F2B11">
      <w:pPr>
        <w:pStyle w:val="texto"/>
      </w:pPr>
      <w:r w:rsidRPr="55145637">
        <w:t xml:space="preserve">La </w:t>
      </w:r>
      <w:r>
        <w:t>Ley Foral 11/2011, de 1 de abril, de Juventud</w:t>
      </w:r>
      <w:r w:rsidRPr="55145637">
        <w:t xml:space="preserve"> establece que la finalidad esencial del CJN es promover la participación de las personas jóvenes en el desarrollo político, social, </w:t>
      </w:r>
      <w:r w:rsidRPr="008F2B11">
        <w:t>económico</w:t>
      </w:r>
      <w:r w:rsidRPr="55145637">
        <w:t xml:space="preserve"> y cultural de la Comunidad Foral de Navarra y velar por los derechos de la juventud impidiendo su discriminación, marginación y procurando su pleno desarrollo. Concreta dicha finalidad en las siguientes funciones:</w:t>
      </w:r>
    </w:p>
    <w:p w14:paraId="16122FC4" w14:textId="77777777" w:rsidR="00FE1E9F" w:rsidRPr="00F81BCE"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9"/>
        <w:rPr>
          <w:rFonts w:eastAsia="Calibri"/>
          <w:szCs w:val="26"/>
        </w:rPr>
      </w:pPr>
      <w:r w:rsidRPr="008F2B11">
        <w:rPr>
          <w:szCs w:val="26"/>
        </w:rPr>
        <w:t>Fomentar</w:t>
      </w:r>
      <w:r w:rsidRPr="00F81BCE">
        <w:rPr>
          <w:rFonts w:eastAsia="Calibri"/>
          <w:szCs w:val="26"/>
        </w:rPr>
        <w:t xml:space="preserve"> el asociacionismo juvenil, en igualdad de oportunidades, estimulando su desarrollo y prestando el apoyo, la asistencia y el asesoramiento que considere necesario o le fuere requerido.</w:t>
      </w:r>
    </w:p>
    <w:p w14:paraId="52BF1CD6" w14:textId="77777777" w:rsidR="00FE1E9F" w:rsidRPr="00F81BCE"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sidRPr="008F2B11">
        <w:rPr>
          <w:szCs w:val="26"/>
        </w:rPr>
        <w:t>Promover</w:t>
      </w:r>
      <w:r w:rsidRPr="00F81BCE">
        <w:rPr>
          <w:rFonts w:eastAsia="Calibri"/>
          <w:szCs w:val="26"/>
        </w:rPr>
        <w:t xml:space="preserve"> actividades dirigidas a asegurar la participación de las personas jóvenes de forma igualitaria en las decisiones y medidas que les afectan.</w:t>
      </w:r>
    </w:p>
    <w:p w14:paraId="08C22526" w14:textId="77777777" w:rsidR="00FE1E9F" w:rsidRPr="00F81BCE"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sidRPr="008F2B11">
        <w:rPr>
          <w:szCs w:val="26"/>
        </w:rPr>
        <w:lastRenderedPageBreak/>
        <w:t>Participar</w:t>
      </w:r>
      <w:r w:rsidRPr="00F81BCE">
        <w:rPr>
          <w:rFonts w:eastAsia="Calibri"/>
          <w:szCs w:val="26"/>
        </w:rPr>
        <w:t xml:space="preserve"> en los órganos consultivos que la Administración establezca para el estudio de cuestiones relacionadas con la juventud, así como proponer aquellos otros que considere de interés.</w:t>
      </w:r>
    </w:p>
    <w:p w14:paraId="1B17C965" w14:textId="77777777" w:rsidR="00FE1E9F" w:rsidRPr="00F81BCE"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sidRPr="00F81BCE">
        <w:rPr>
          <w:rFonts w:eastAsia="Calibri"/>
          <w:szCs w:val="26"/>
        </w:rPr>
        <w:t>Colaborar con el Gobierno de Navarra en la elaboración de su política juvenil mediante la promoción de campañas y actividades relacionadas con la problemática de la población joven.</w:t>
      </w:r>
    </w:p>
    <w:p w14:paraId="7A95F012" w14:textId="77777777" w:rsidR="00FE1E9F" w:rsidRPr="00F81BCE"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Pr>
          <w:rFonts w:eastAsia="Calibri"/>
          <w:szCs w:val="26"/>
        </w:rPr>
        <w:t>Elab</w:t>
      </w:r>
      <w:r w:rsidRPr="00F81BCE">
        <w:rPr>
          <w:rFonts w:eastAsia="Calibri"/>
          <w:szCs w:val="26"/>
        </w:rPr>
        <w:t xml:space="preserve">orar informes o estudios sobre cuestiones relacionadas con la juventud, por iniciativa propia o a petición de la Administración. A tal fin, el </w:t>
      </w:r>
      <w:r>
        <w:rPr>
          <w:rFonts w:eastAsia="Calibri"/>
          <w:szCs w:val="26"/>
        </w:rPr>
        <w:t>CJN</w:t>
      </w:r>
      <w:r w:rsidRPr="00F81BCE">
        <w:rPr>
          <w:rFonts w:eastAsia="Calibri"/>
          <w:szCs w:val="26"/>
        </w:rPr>
        <w:t xml:space="preserve"> podrá solicitar de la Administración aquella información que considere necesaria.</w:t>
      </w:r>
    </w:p>
    <w:p w14:paraId="6527CE36" w14:textId="77777777" w:rsidR="00FE1E9F" w:rsidRPr="00F81BCE"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sidRPr="00F81BCE">
        <w:rPr>
          <w:rFonts w:eastAsia="Calibri"/>
          <w:szCs w:val="26"/>
        </w:rPr>
        <w:t>Contribuir a mejorar la calidad de vida y al desarrollo saludable del tiempo libre de la población joven con la organización de actividades de carácter cultural, informativo, formativo y participativo, planificadas teniendo en cuenta las características de toda la población joven.</w:t>
      </w:r>
    </w:p>
    <w:p w14:paraId="0EF363E3" w14:textId="33DA28F7" w:rsidR="00FE1E9F" w:rsidRPr="008F2B11" w:rsidRDefault="00FE1E9F" w:rsidP="008F2B11">
      <w:pPr>
        <w:pStyle w:val="atitulo3"/>
        <w:spacing w:before="240"/>
      </w:pPr>
      <w:r w:rsidRPr="008F2B11">
        <w:t xml:space="preserve">Órganos de gobierno </w:t>
      </w:r>
    </w:p>
    <w:p w14:paraId="2A4BABA5" w14:textId="24D49800" w:rsidR="00FE1E9F" w:rsidRDefault="00FE1E9F" w:rsidP="00FE1E9F">
      <w:pPr>
        <w:pStyle w:val="texto"/>
        <w:spacing w:after="120"/>
      </w:pPr>
      <w:r>
        <w:t xml:space="preserve">Los órganos de gobierno establecidos en el </w:t>
      </w:r>
      <w:r w:rsidR="383A7F6C">
        <w:t xml:space="preserve">“Reglamento Interno y Reglamento de </w:t>
      </w:r>
      <w:r w:rsidR="2CD958A6">
        <w:t>Asambleas” son</w:t>
      </w:r>
      <w:r w:rsidR="383A7F6C">
        <w:t xml:space="preserve"> los siguientes</w:t>
      </w:r>
      <w:r>
        <w:t>:</w:t>
      </w:r>
    </w:p>
    <w:p w14:paraId="3404AAEA" w14:textId="77777777" w:rsidR="00FE1E9F" w:rsidRPr="00E44C5C"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szCs w:val="26"/>
        </w:rPr>
      </w:pPr>
      <w:r w:rsidRPr="55145637">
        <w:rPr>
          <w:rFonts w:eastAsia="Calibri"/>
          <w:szCs w:val="26"/>
        </w:rPr>
        <w:t>Órganos colegiados:</w:t>
      </w:r>
    </w:p>
    <w:p w14:paraId="321DA1E9" w14:textId="7F5F3C55" w:rsidR="00FE1E9F" w:rsidRPr="00E44C5C" w:rsidRDefault="00FE1E9F" w:rsidP="00615481">
      <w:pPr>
        <w:pStyle w:val="Default"/>
        <w:numPr>
          <w:ilvl w:val="1"/>
          <w:numId w:val="3"/>
        </w:numPr>
        <w:tabs>
          <w:tab w:val="left" w:pos="851"/>
        </w:tabs>
        <w:spacing w:before="120" w:after="120"/>
        <w:ind w:left="284" w:firstLine="283"/>
        <w:jc w:val="both"/>
        <w:rPr>
          <w:sz w:val="26"/>
          <w:szCs w:val="26"/>
        </w:rPr>
      </w:pPr>
      <w:r w:rsidRPr="33872AD3">
        <w:rPr>
          <w:rFonts w:eastAsia="Calibri"/>
          <w:sz w:val="26"/>
          <w:szCs w:val="26"/>
        </w:rPr>
        <w:t>Asamblea General</w:t>
      </w:r>
      <w:r w:rsidR="1B59A8DB" w:rsidRPr="33872AD3">
        <w:rPr>
          <w:rFonts w:eastAsia="Calibri"/>
          <w:sz w:val="26"/>
          <w:szCs w:val="26"/>
        </w:rPr>
        <w:t>,</w:t>
      </w:r>
      <w:r w:rsidRPr="33872AD3">
        <w:rPr>
          <w:rFonts w:eastAsia="Calibri"/>
          <w:sz w:val="26"/>
          <w:szCs w:val="26"/>
        </w:rPr>
        <w:t xml:space="preserve"> formada por representantes de las entidades miembros del CJN.</w:t>
      </w:r>
    </w:p>
    <w:p w14:paraId="35D92563" w14:textId="072D291C" w:rsidR="00FE1E9F" w:rsidRDefault="00FE1E9F" w:rsidP="00615481">
      <w:pPr>
        <w:pStyle w:val="Default"/>
        <w:numPr>
          <w:ilvl w:val="1"/>
          <w:numId w:val="3"/>
        </w:numPr>
        <w:tabs>
          <w:tab w:val="left" w:pos="851"/>
        </w:tabs>
        <w:spacing w:before="120" w:after="120"/>
        <w:ind w:left="284" w:firstLine="283"/>
        <w:jc w:val="both"/>
        <w:rPr>
          <w:rFonts w:eastAsia="Calibri"/>
          <w:sz w:val="26"/>
          <w:szCs w:val="26"/>
        </w:rPr>
      </w:pPr>
      <w:r w:rsidRPr="5AD4ADF4">
        <w:rPr>
          <w:rFonts w:eastAsia="Calibri"/>
          <w:sz w:val="26"/>
          <w:szCs w:val="26"/>
        </w:rPr>
        <w:t>Comisión Permanente</w:t>
      </w:r>
      <w:r w:rsidR="0F28B73C" w:rsidRPr="5AD4ADF4">
        <w:rPr>
          <w:rFonts w:eastAsia="Calibri"/>
          <w:sz w:val="26"/>
          <w:szCs w:val="26"/>
        </w:rPr>
        <w:t>,</w:t>
      </w:r>
      <w:r w:rsidRPr="5AD4ADF4">
        <w:rPr>
          <w:rFonts w:eastAsia="Calibri"/>
          <w:sz w:val="26"/>
          <w:szCs w:val="26"/>
        </w:rPr>
        <w:t xml:space="preserve"> formada por el presidente/a, vicepresidente/a, tesorero/a, secretario/a</w:t>
      </w:r>
      <w:r w:rsidR="5D80417A" w:rsidRPr="5AD4ADF4">
        <w:rPr>
          <w:rFonts w:eastAsia="Calibri"/>
          <w:sz w:val="26"/>
          <w:szCs w:val="26"/>
        </w:rPr>
        <w:t>, responsable de gestión</w:t>
      </w:r>
      <w:r w:rsidRPr="5AD4ADF4">
        <w:rPr>
          <w:rFonts w:eastAsia="Calibri"/>
          <w:sz w:val="26"/>
          <w:szCs w:val="26"/>
        </w:rPr>
        <w:t xml:space="preserve"> y </w:t>
      </w:r>
      <w:r w:rsidR="5719AB16" w:rsidRPr="5AD4ADF4">
        <w:rPr>
          <w:rFonts w:eastAsia="Calibri"/>
          <w:sz w:val="26"/>
          <w:szCs w:val="26"/>
        </w:rPr>
        <w:t>hasta seis</w:t>
      </w:r>
      <w:r w:rsidRPr="5AD4ADF4">
        <w:rPr>
          <w:rFonts w:eastAsia="Calibri"/>
          <w:sz w:val="26"/>
          <w:szCs w:val="26"/>
        </w:rPr>
        <w:t xml:space="preserve"> vocales elegidos por la Asamblea General.</w:t>
      </w:r>
    </w:p>
    <w:p w14:paraId="4120663C" w14:textId="77777777" w:rsidR="00FE1E9F"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Pr>
          <w:rFonts w:eastAsia="Calibri"/>
          <w:szCs w:val="26"/>
        </w:rPr>
        <w:t>Órganos unipersonales:</w:t>
      </w:r>
    </w:p>
    <w:p w14:paraId="12FEE6FD" w14:textId="4145E0A9" w:rsidR="00FE1E9F" w:rsidRDefault="00FE1E9F" w:rsidP="00615481">
      <w:pPr>
        <w:pStyle w:val="Default"/>
        <w:numPr>
          <w:ilvl w:val="1"/>
          <w:numId w:val="3"/>
        </w:numPr>
        <w:tabs>
          <w:tab w:val="left" w:pos="851"/>
        </w:tabs>
        <w:spacing w:before="120" w:after="120"/>
        <w:ind w:left="284" w:firstLine="283"/>
        <w:jc w:val="both"/>
        <w:rPr>
          <w:rFonts w:eastAsia="Calibri"/>
          <w:sz w:val="26"/>
          <w:szCs w:val="26"/>
          <w:lang w:val="es-ES_tradnl"/>
        </w:rPr>
      </w:pPr>
      <w:r w:rsidRPr="00EF65A7">
        <w:rPr>
          <w:rFonts w:eastAsia="Calibri"/>
          <w:sz w:val="26"/>
          <w:szCs w:val="26"/>
          <w:lang w:val="es-ES_tradnl"/>
        </w:rPr>
        <w:t>Presidente</w:t>
      </w:r>
      <w:r>
        <w:rPr>
          <w:rFonts w:eastAsia="Calibri"/>
          <w:sz w:val="26"/>
          <w:szCs w:val="26"/>
          <w:lang w:val="es-ES_tradnl"/>
        </w:rPr>
        <w:t>/a</w:t>
      </w:r>
      <w:r w:rsidR="00D5166A">
        <w:rPr>
          <w:rFonts w:eastAsia="Calibri"/>
          <w:sz w:val="26"/>
          <w:szCs w:val="26"/>
          <w:lang w:val="es-ES_tradnl"/>
        </w:rPr>
        <w:t>.</w:t>
      </w:r>
    </w:p>
    <w:p w14:paraId="57F02D8F" w14:textId="77777777" w:rsidR="00FE1E9F" w:rsidRDefault="00FE1E9F" w:rsidP="00615481">
      <w:pPr>
        <w:pStyle w:val="Default"/>
        <w:numPr>
          <w:ilvl w:val="1"/>
          <w:numId w:val="3"/>
        </w:numPr>
        <w:tabs>
          <w:tab w:val="left" w:pos="851"/>
        </w:tabs>
        <w:spacing w:before="120" w:after="120"/>
        <w:ind w:left="284" w:firstLine="283"/>
        <w:jc w:val="both"/>
        <w:rPr>
          <w:rFonts w:eastAsia="Calibri"/>
          <w:sz w:val="26"/>
          <w:szCs w:val="26"/>
          <w:lang w:val="es-ES_tradnl"/>
        </w:rPr>
      </w:pPr>
      <w:r w:rsidRPr="00EF65A7">
        <w:rPr>
          <w:rFonts w:eastAsia="Calibri"/>
          <w:sz w:val="26"/>
          <w:szCs w:val="26"/>
          <w:lang w:val="es-ES_tradnl"/>
        </w:rPr>
        <w:t>Vicepresidente</w:t>
      </w:r>
      <w:r>
        <w:rPr>
          <w:rFonts w:eastAsia="Calibri"/>
          <w:sz w:val="26"/>
          <w:szCs w:val="26"/>
          <w:lang w:val="es-ES_tradnl"/>
        </w:rPr>
        <w:t>/a.</w:t>
      </w:r>
    </w:p>
    <w:p w14:paraId="3410A2E3" w14:textId="77777777" w:rsidR="00FE1E9F" w:rsidRDefault="00FE1E9F" w:rsidP="00615481">
      <w:pPr>
        <w:pStyle w:val="Default"/>
        <w:numPr>
          <w:ilvl w:val="1"/>
          <w:numId w:val="3"/>
        </w:numPr>
        <w:tabs>
          <w:tab w:val="left" w:pos="851"/>
        </w:tabs>
        <w:spacing w:before="120" w:after="120"/>
        <w:ind w:left="284" w:firstLine="283"/>
        <w:jc w:val="both"/>
        <w:rPr>
          <w:rFonts w:eastAsia="Calibri"/>
          <w:sz w:val="26"/>
          <w:szCs w:val="26"/>
          <w:lang w:val="es-ES_tradnl"/>
        </w:rPr>
      </w:pPr>
      <w:r w:rsidRPr="00EF65A7">
        <w:rPr>
          <w:rFonts w:eastAsia="Calibri"/>
          <w:sz w:val="26"/>
          <w:szCs w:val="26"/>
          <w:lang w:val="es-ES_tradnl"/>
        </w:rPr>
        <w:t>Secretario</w:t>
      </w:r>
      <w:r>
        <w:rPr>
          <w:rFonts w:eastAsia="Calibri"/>
          <w:sz w:val="26"/>
          <w:szCs w:val="26"/>
          <w:lang w:val="es-ES_tradnl"/>
        </w:rPr>
        <w:t>/a.</w:t>
      </w:r>
    </w:p>
    <w:p w14:paraId="7D45B36E" w14:textId="77777777" w:rsidR="00FE1E9F" w:rsidRPr="00E44C5C" w:rsidRDefault="00FE1E9F" w:rsidP="00615481">
      <w:pPr>
        <w:pStyle w:val="Default"/>
        <w:numPr>
          <w:ilvl w:val="1"/>
          <w:numId w:val="3"/>
        </w:numPr>
        <w:tabs>
          <w:tab w:val="left" w:pos="851"/>
        </w:tabs>
        <w:spacing w:before="120" w:after="120"/>
        <w:ind w:left="284" w:firstLine="283"/>
        <w:jc w:val="both"/>
        <w:rPr>
          <w:rFonts w:eastAsia="Calibri"/>
          <w:sz w:val="26"/>
          <w:szCs w:val="26"/>
          <w:lang w:val="es-ES_tradnl"/>
        </w:rPr>
      </w:pPr>
      <w:r w:rsidRPr="5AD4ADF4">
        <w:rPr>
          <w:rFonts w:eastAsia="Calibri"/>
          <w:sz w:val="26"/>
          <w:szCs w:val="26"/>
        </w:rPr>
        <w:t>Tesorero/a.</w:t>
      </w:r>
    </w:p>
    <w:p w14:paraId="1B114E00" w14:textId="29737FA7" w:rsidR="00FE1E9F" w:rsidRDefault="0BAC2B0A" w:rsidP="5AD4ADF4">
      <w:pPr>
        <w:spacing w:before="120" w:after="0"/>
        <w:ind w:firstLine="270"/>
        <w:rPr>
          <w:sz w:val="24"/>
          <w:szCs w:val="24"/>
          <w:lang w:val="es-ES"/>
        </w:rPr>
      </w:pPr>
      <w:r w:rsidRPr="00735125">
        <w:rPr>
          <w:sz w:val="26"/>
          <w:szCs w:val="26"/>
        </w:rPr>
        <w:t>El Decreto Foral 53/2023</w:t>
      </w:r>
      <w:r w:rsidR="766D76F4" w:rsidRPr="00735125">
        <w:rPr>
          <w:sz w:val="26"/>
          <w:szCs w:val="26"/>
        </w:rPr>
        <w:t xml:space="preserve"> mantiene </w:t>
      </w:r>
      <w:r w:rsidR="766D76F4" w:rsidRPr="14B3A08B">
        <w:rPr>
          <w:sz w:val="26"/>
          <w:szCs w:val="26"/>
          <w:lang w:val="es-ES"/>
        </w:rPr>
        <w:t>los órganos citados, si bien suprime la figura de responsable de gestión de la Comisión Permanente</w:t>
      </w:r>
      <w:r w:rsidR="00F36FC1">
        <w:rPr>
          <w:sz w:val="26"/>
          <w:szCs w:val="26"/>
          <w:lang w:val="es-ES"/>
        </w:rPr>
        <w:t>,</w:t>
      </w:r>
      <w:r w:rsidR="766D76F4" w:rsidRPr="14B3A08B">
        <w:rPr>
          <w:sz w:val="26"/>
          <w:szCs w:val="26"/>
          <w:lang w:val="es-ES"/>
        </w:rPr>
        <w:t xml:space="preserve"> crea la Comisión de Garantías que estará </w:t>
      </w:r>
      <w:r w:rsidR="766D76F4" w:rsidRPr="14B3A08B">
        <w:rPr>
          <w:color w:val="000000" w:themeColor="text1"/>
          <w:sz w:val="26"/>
          <w:szCs w:val="26"/>
          <w:lang w:val="es-ES"/>
        </w:rPr>
        <w:t>formada por t</w:t>
      </w:r>
      <w:r w:rsidR="766D76F4" w:rsidRPr="14B3A08B">
        <w:rPr>
          <w:sz w:val="26"/>
          <w:szCs w:val="26"/>
          <w:lang w:val="es-ES"/>
        </w:rPr>
        <w:t>res personas elegidas por la Asamblea General entre los representantes de las entidades miembro.</w:t>
      </w:r>
    </w:p>
    <w:p w14:paraId="76018269" w14:textId="48AC047C" w:rsidR="00FE1E9F" w:rsidRDefault="562D81B6" w:rsidP="00FE1E9F">
      <w:pPr>
        <w:pStyle w:val="texto"/>
        <w:spacing w:before="120"/>
      </w:pPr>
      <w:r>
        <w:t>La Disposición Transitoria Primera de</w:t>
      </w:r>
      <w:r w:rsidR="21AEB8E0">
        <w:t xml:space="preserve"> este</w:t>
      </w:r>
      <w:r>
        <w:t xml:space="preserve"> decreto foral establece que el CJN debe presentar, en el plazo máximo de un año, su reglamento de organización y funcionamiento interno que deberá ser validado, a efectos de legalidad, por el organismo del Gobierno de Navarra competente en materia de juventud. A la fecha de redacción de est</w:t>
      </w:r>
      <w:r w:rsidR="361FC9C6">
        <w:t>e informe</w:t>
      </w:r>
      <w:r>
        <w:t xml:space="preserve">, el CJN está en fase de elaboración de este </w:t>
      </w:r>
      <w:r>
        <w:lastRenderedPageBreak/>
        <w:t>reglamento, por lo que</w:t>
      </w:r>
      <w:r w:rsidR="5CD4D266">
        <w:t xml:space="preserve"> le resultaría</w:t>
      </w:r>
      <w:r>
        <w:t xml:space="preserve"> de aplicación el "Reglamento Interno y Reglamento de las </w:t>
      </w:r>
      <w:r w:rsidR="45048735">
        <w:t>Asambleas” aprobado</w:t>
      </w:r>
      <w:r>
        <w:t xml:space="preserve"> en 2015, del cual destacamos los siguientes aspectos</w:t>
      </w:r>
      <w:r w:rsidR="05D2B12C">
        <w:t xml:space="preserve"> a efectos de nuestro informe</w:t>
      </w:r>
      <w:r>
        <w:t>:</w:t>
      </w:r>
    </w:p>
    <w:p w14:paraId="32F4F54D" w14:textId="7A035ED4" w:rsidR="00FE1E9F" w:rsidRDefault="00C44417" w:rsidP="005E58B8">
      <w:pPr>
        <w:pStyle w:val="texto"/>
        <w:tabs>
          <w:tab w:val="clear" w:pos="2835"/>
          <w:tab w:val="clear" w:pos="3969"/>
          <w:tab w:val="clear" w:pos="5103"/>
          <w:tab w:val="clear" w:pos="6237"/>
          <w:tab w:val="clear" w:pos="7371"/>
          <w:tab w:val="left" w:pos="426"/>
        </w:tabs>
        <w:spacing w:after="60"/>
        <w:ind w:firstLine="0"/>
        <w:rPr>
          <w:rFonts w:eastAsia="Calibri"/>
          <w:i/>
          <w:iCs/>
          <w:sz w:val="20"/>
          <w:szCs w:val="20"/>
        </w:rPr>
      </w:pPr>
      <w:r w:rsidRPr="00C44417">
        <w:rPr>
          <w:rFonts w:eastAsia="Calibri"/>
          <w:i/>
          <w:iCs/>
          <w:sz w:val="20"/>
          <w:szCs w:val="20"/>
        </w:rPr>
        <w:t>“</w:t>
      </w:r>
      <w:r w:rsidR="005E58B8">
        <w:rPr>
          <w:rFonts w:eastAsia="Calibri"/>
          <w:i/>
          <w:iCs/>
          <w:sz w:val="20"/>
          <w:szCs w:val="20"/>
        </w:rPr>
        <w:sym w:font="Wingdings" w:char="F09F"/>
      </w:r>
      <w:r w:rsidR="005E58B8">
        <w:rPr>
          <w:rFonts w:eastAsia="Calibri"/>
          <w:i/>
          <w:iCs/>
          <w:sz w:val="20"/>
          <w:szCs w:val="20"/>
        </w:rPr>
        <w:t xml:space="preserve"> </w:t>
      </w:r>
      <w:r w:rsidR="00FE1E9F" w:rsidRPr="00C44417">
        <w:rPr>
          <w:rFonts w:eastAsia="Calibri"/>
          <w:i/>
          <w:iCs/>
          <w:sz w:val="20"/>
          <w:szCs w:val="20"/>
        </w:rPr>
        <w:t>Será función del presidente la ordenación de pagos válidamente acordados.</w:t>
      </w:r>
      <w:r w:rsidRPr="00C44417">
        <w:rPr>
          <w:rFonts w:eastAsia="Calibri"/>
          <w:i/>
          <w:iCs/>
          <w:sz w:val="20"/>
          <w:szCs w:val="20"/>
        </w:rPr>
        <w:t xml:space="preserve"> </w:t>
      </w:r>
    </w:p>
    <w:p w14:paraId="7A7347E3" w14:textId="32E22E59" w:rsidR="00FE1E9F" w:rsidRPr="00C44417" w:rsidRDefault="005E58B8" w:rsidP="005E58B8">
      <w:pPr>
        <w:pStyle w:val="texto"/>
        <w:tabs>
          <w:tab w:val="clear" w:pos="2835"/>
          <w:tab w:val="clear" w:pos="3969"/>
          <w:tab w:val="clear" w:pos="5103"/>
          <w:tab w:val="clear" w:pos="6237"/>
          <w:tab w:val="clear" w:pos="7371"/>
          <w:tab w:val="left" w:pos="426"/>
        </w:tabs>
        <w:spacing w:after="60"/>
        <w:ind w:firstLine="0"/>
        <w:rPr>
          <w:rFonts w:eastAsia="Calibri"/>
          <w:i/>
          <w:iCs/>
          <w:sz w:val="20"/>
          <w:szCs w:val="20"/>
        </w:rPr>
      </w:pPr>
      <w:r>
        <w:rPr>
          <w:rFonts w:eastAsia="Calibri"/>
          <w:i/>
          <w:iCs/>
          <w:sz w:val="20"/>
          <w:szCs w:val="20"/>
        </w:rPr>
        <w:t xml:space="preserve">  </w:t>
      </w:r>
      <w:r>
        <w:rPr>
          <w:rFonts w:eastAsia="Calibri"/>
          <w:i/>
          <w:iCs/>
          <w:sz w:val="20"/>
          <w:szCs w:val="20"/>
        </w:rPr>
        <w:sym w:font="Wingdings" w:char="F09F"/>
      </w:r>
      <w:r>
        <w:rPr>
          <w:rFonts w:eastAsia="Calibri"/>
          <w:i/>
          <w:iCs/>
          <w:sz w:val="20"/>
          <w:szCs w:val="20"/>
        </w:rPr>
        <w:t xml:space="preserve"> </w:t>
      </w:r>
      <w:r w:rsidR="00FE1E9F" w:rsidRPr="00C44417">
        <w:rPr>
          <w:rFonts w:eastAsia="Calibri"/>
          <w:i/>
          <w:iCs/>
          <w:sz w:val="20"/>
          <w:szCs w:val="20"/>
        </w:rPr>
        <w:t xml:space="preserve">El </w:t>
      </w:r>
      <w:r w:rsidR="00FE1E9F" w:rsidRPr="00C44417">
        <w:rPr>
          <w:rFonts w:eastAsia="Calibri"/>
          <w:i/>
          <w:sz w:val="20"/>
          <w:szCs w:val="20"/>
        </w:rPr>
        <w:t>tesorero</w:t>
      </w:r>
      <w:r w:rsidR="00FE1E9F" w:rsidRPr="00C44417">
        <w:rPr>
          <w:rFonts w:eastAsia="Calibri"/>
          <w:i/>
          <w:iCs/>
          <w:sz w:val="20"/>
          <w:szCs w:val="20"/>
        </w:rPr>
        <w:t xml:space="preserve"> deberá controlar la contabilidad.</w:t>
      </w:r>
    </w:p>
    <w:p w14:paraId="3399C328" w14:textId="006E91CF" w:rsidR="00FE1E9F" w:rsidRPr="00C44417" w:rsidRDefault="005E58B8" w:rsidP="005E58B8">
      <w:pPr>
        <w:pStyle w:val="texto"/>
        <w:tabs>
          <w:tab w:val="clear" w:pos="2835"/>
          <w:tab w:val="clear" w:pos="3969"/>
          <w:tab w:val="clear" w:pos="5103"/>
          <w:tab w:val="clear" w:pos="6237"/>
          <w:tab w:val="clear" w:pos="7371"/>
          <w:tab w:val="left" w:pos="426"/>
        </w:tabs>
        <w:spacing w:after="60"/>
        <w:ind w:firstLine="0"/>
        <w:rPr>
          <w:rFonts w:eastAsia="Calibri"/>
          <w:i/>
          <w:iCs/>
          <w:sz w:val="20"/>
          <w:szCs w:val="20"/>
        </w:rPr>
      </w:pPr>
      <w:r>
        <w:rPr>
          <w:rFonts w:eastAsia="Calibri"/>
          <w:i/>
          <w:iCs/>
          <w:sz w:val="20"/>
          <w:szCs w:val="20"/>
        </w:rPr>
        <w:t xml:space="preserve">  </w:t>
      </w:r>
      <w:r>
        <w:rPr>
          <w:rFonts w:eastAsia="Calibri"/>
          <w:i/>
          <w:iCs/>
          <w:sz w:val="20"/>
          <w:szCs w:val="20"/>
        </w:rPr>
        <w:sym w:font="Wingdings" w:char="F09F"/>
      </w:r>
      <w:r w:rsidR="00FE1E9F" w:rsidRPr="00C44417">
        <w:rPr>
          <w:rFonts w:eastAsia="Calibri"/>
          <w:i/>
          <w:iCs/>
          <w:sz w:val="20"/>
          <w:szCs w:val="20"/>
        </w:rPr>
        <w:t>El primer recurso económico del CJN debe ser el ingreso derivado de las cuotas de las entidades que lo integran.</w:t>
      </w:r>
    </w:p>
    <w:p w14:paraId="2CE09A64" w14:textId="04F94E73" w:rsidR="00FE1E9F" w:rsidRPr="00C44417" w:rsidRDefault="005E58B8" w:rsidP="005E58B8">
      <w:pPr>
        <w:pStyle w:val="texto"/>
        <w:tabs>
          <w:tab w:val="clear" w:pos="2835"/>
          <w:tab w:val="clear" w:pos="3969"/>
          <w:tab w:val="clear" w:pos="5103"/>
          <w:tab w:val="clear" w:pos="6237"/>
          <w:tab w:val="clear" w:pos="7371"/>
          <w:tab w:val="left" w:pos="480"/>
        </w:tabs>
        <w:spacing w:after="60"/>
        <w:ind w:firstLine="0"/>
        <w:rPr>
          <w:rFonts w:eastAsia="Calibri"/>
          <w:i/>
          <w:iCs/>
          <w:sz w:val="20"/>
          <w:szCs w:val="20"/>
        </w:rPr>
      </w:pPr>
      <w:r>
        <w:rPr>
          <w:rFonts w:eastAsia="Calibri"/>
          <w:i/>
          <w:iCs/>
          <w:sz w:val="20"/>
          <w:szCs w:val="20"/>
        </w:rPr>
        <w:t xml:space="preserve">  </w:t>
      </w:r>
      <w:r>
        <w:rPr>
          <w:rFonts w:eastAsia="Calibri"/>
          <w:i/>
          <w:iCs/>
          <w:sz w:val="20"/>
          <w:szCs w:val="20"/>
        </w:rPr>
        <w:sym w:font="Wingdings" w:char="F09F"/>
      </w:r>
      <w:r w:rsidR="00FE1E9F" w:rsidRPr="00C44417">
        <w:rPr>
          <w:rFonts w:eastAsia="Calibri"/>
          <w:i/>
          <w:iCs/>
          <w:sz w:val="20"/>
          <w:szCs w:val="20"/>
        </w:rPr>
        <w:t>En la primera asamblea posterior al cierre contable se presentará la memoria del ejercicio junto con la cuenta de ingresos y gastos del periodo y el balance de situación a 31 de diciembre.</w:t>
      </w:r>
    </w:p>
    <w:p w14:paraId="3F8FC565" w14:textId="1AD95CDA" w:rsidR="00FE1E9F" w:rsidRPr="00C44417" w:rsidRDefault="005E58B8" w:rsidP="005E58B8">
      <w:pPr>
        <w:pStyle w:val="texto"/>
        <w:tabs>
          <w:tab w:val="clear" w:pos="2835"/>
          <w:tab w:val="clear" w:pos="3969"/>
          <w:tab w:val="clear" w:pos="5103"/>
          <w:tab w:val="clear" w:pos="6237"/>
          <w:tab w:val="clear" w:pos="7371"/>
          <w:tab w:val="left" w:pos="480"/>
        </w:tabs>
        <w:spacing w:after="60"/>
        <w:ind w:firstLine="0"/>
        <w:rPr>
          <w:i/>
          <w:iCs/>
          <w:sz w:val="20"/>
          <w:szCs w:val="20"/>
        </w:rPr>
      </w:pPr>
      <w:r>
        <w:rPr>
          <w:rFonts w:eastAsia="Calibri"/>
          <w:i/>
          <w:iCs/>
          <w:sz w:val="20"/>
          <w:szCs w:val="20"/>
        </w:rPr>
        <w:t xml:space="preserve"> </w:t>
      </w:r>
      <w:r>
        <w:rPr>
          <w:rFonts w:eastAsia="Calibri"/>
          <w:i/>
          <w:iCs/>
          <w:sz w:val="20"/>
          <w:szCs w:val="20"/>
        </w:rPr>
        <w:sym w:font="Wingdings" w:char="F09F"/>
      </w:r>
      <w:r w:rsidR="00FE1E9F" w:rsidRPr="00C44417">
        <w:rPr>
          <w:rFonts w:eastAsia="Calibri"/>
          <w:i/>
          <w:iCs/>
          <w:sz w:val="20"/>
          <w:szCs w:val="20"/>
        </w:rPr>
        <w:t>La Asamblea General debe considerar, debatir y aprobar en su caso el estado de cuentas y el balance de situación, así como las previsiones presupuestarias correspondientes.</w:t>
      </w:r>
      <w:r w:rsidR="00C44417" w:rsidRPr="00C44417">
        <w:rPr>
          <w:rFonts w:eastAsia="Calibri"/>
          <w:i/>
          <w:iCs/>
          <w:sz w:val="20"/>
          <w:szCs w:val="20"/>
        </w:rPr>
        <w:t>”</w:t>
      </w:r>
    </w:p>
    <w:p w14:paraId="748FD653" w14:textId="1ADD5F0D" w:rsidR="00922F1C" w:rsidRPr="008F2B11" w:rsidRDefault="00585285" w:rsidP="008F2B11">
      <w:pPr>
        <w:pStyle w:val="atitulo3"/>
        <w:spacing w:before="240"/>
      </w:pPr>
      <w:r w:rsidRPr="008F2B11">
        <w:t>Entidades miembros</w:t>
      </w:r>
      <w:r w:rsidR="00922F1C" w:rsidRPr="008F2B11">
        <w:t xml:space="preserve"> </w:t>
      </w:r>
      <w:r w:rsidR="00256B5E" w:rsidRPr="008F2B11">
        <w:t>de pleno derecho</w:t>
      </w:r>
    </w:p>
    <w:p w14:paraId="4D1E25E3" w14:textId="2780E838" w:rsidR="00922F1C" w:rsidRDefault="00922F1C" w:rsidP="0050169C">
      <w:pPr>
        <w:pStyle w:val="texto"/>
      </w:pPr>
      <w:r>
        <w:t xml:space="preserve">Según el Decreto Foral 110/1986 de 18 de abril y el “Reglamento Interno y </w:t>
      </w:r>
      <w:r w:rsidRPr="0050169C">
        <w:t>Reglamento</w:t>
      </w:r>
      <w:r>
        <w:t xml:space="preserve"> de Asambleas” aprobado por el CJN en 2015, podrán ser miembros</w:t>
      </w:r>
      <w:r w:rsidR="00256B5E">
        <w:t xml:space="preserve"> de pleno derecho</w:t>
      </w:r>
      <w:r>
        <w:t>:</w:t>
      </w:r>
    </w:p>
    <w:p w14:paraId="18A0597F" w14:textId="77777777" w:rsidR="00922F1C" w:rsidRPr="00922F1C" w:rsidRDefault="00922F1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sidRPr="00922F1C">
        <w:rPr>
          <w:rFonts w:eastAsia="Calibri"/>
          <w:szCs w:val="26"/>
        </w:rPr>
        <w:t>Asociaciones y Colectivos Juveniles censados y con un mínimo de 50 afiliados</w:t>
      </w:r>
      <w:r>
        <w:rPr>
          <w:rFonts w:eastAsia="Calibri"/>
          <w:szCs w:val="26"/>
        </w:rPr>
        <w:t>.</w:t>
      </w:r>
    </w:p>
    <w:p w14:paraId="5A96236B" w14:textId="77777777" w:rsidR="00922F1C" w:rsidRPr="00922F1C" w:rsidRDefault="00922F1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Pr>
          <w:rFonts w:eastAsia="Calibri"/>
          <w:szCs w:val="26"/>
        </w:rPr>
        <w:t>Federaciones compuestas por un</w:t>
      </w:r>
      <w:r w:rsidRPr="00922F1C">
        <w:rPr>
          <w:rFonts w:eastAsia="Calibri"/>
          <w:szCs w:val="26"/>
        </w:rPr>
        <w:t xml:space="preserve"> mínimo</w:t>
      </w:r>
      <w:r>
        <w:rPr>
          <w:rFonts w:eastAsia="Calibri"/>
          <w:szCs w:val="26"/>
        </w:rPr>
        <w:t xml:space="preserve"> de</w:t>
      </w:r>
      <w:r w:rsidRPr="00922F1C">
        <w:rPr>
          <w:rFonts w:eastAsia="Calibri"/>
          <w:szCs w:val="26"/>
        </w:rPr>
        <w:t xml:space="preserve"> </w:t>
      </w:r>
      <w:r>
        <w:rPr>
          <w:rFonts w:eastAsia="Calibri"/>
          <w:szCs w:val="26"/>
        </w:rPr>
        <w:t xml:space="preserve">tres </w:t>
      </w:r>
      <w:r w:rsidRPr="00922F1C">
        <w:rPr>
          <w:rFonts w:eastAsia="Calibri"/>
          <w:szCs w:val="26"/>
        </w:rPr>
        <w:t xml:space="preserve">asociaciones o colectivos juveniles con </w:t>
      </w:r>
      <w:r>
        <w:rPr>
          <w:rFonts w:eastAsia="Calibri"/>
          <w:szCs w:val="26"/>
        </w:rPr>
        <w:t>al menos</w:t>
      </w:r>
      <w:r w:rsidRPr="00922F1C">
        <w:rPr>
          <w:rFonts w:eastAsia="Calibri"/>
          <w:szCs w:val="26"/>
        </w:rPr>
        <w:t xml:space="preserve"> 100 afiliados</w:t>
      </w:r>
      <w:r>
        <w:rPr>
          <w:rFonts w:eastAsia="Calibri"/>
          <w:szCs w:val="26"/>
        </w:rPr>
        <w:t>.</w:t>
      </w:r>
    </w:p>
    <w:p w14:paraId="4CD9A83F" w14:textId="77777777" w:rsidR="00922F1C" w:rsidRPr="00922F1C" w:rsidRDefault="00922F1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sidRPr="00922F1C">
        <w:rPr>
          <w:rFonts w:eastAsia="Calibri"/>
          <w:szCs w:val="26"/>
        </w:rPr>
        <w:t>Secciones juveniles de las demás asociaciones siempre que tengan reconocida autonomía funcional, afiliación expresa a la sección juvenil y como mínimo 50 afiliados</w:t>
      </w:r>
      <w:r>
        <w:rPr>
          <w:rFonts w:eastAsia="Calibri"/>
          <w:szCs w:val="26"/>
        </w:rPr>
        <w:t>.</w:t>
      </w:r>
    </w:p>
    <w:p w14:paraId="551853B3" w14:textId="77777777" w:rsidR="00922F1C" w:rsidRPr="00922F1C" w:rsidRDefault="00922F1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sidRPr="00922F1C">
        <w:rPr>
          <w:rFonts w:eastAsia="Calibri"/>
          <w:szCs w:val="26"/>
        </w:rPr>
        <w:t>Entidades prestadoras de servicios a la juventud y con esa finalidad expresa</w:t>
      </w:r>
      <w:r>
        <w:rPr>
          <w:rFonts w:eastAsia="Calibri"/>
          <w:szCs w:val="26"/>
        </w:rPr>
        <w:t>,</w:t>
      </w:r>
      <w:r w:rsidRPr="00922F1C">
        <w:rPr>
          <w:rFonts w:eastAsia="Calibri"/>
          <w:szCs w:val="26"/>
        </w:rPr>
        <w:t xml:space="preserve"> siempre que presten servicio a un mínimo de 500 jóvenes al año</w:t>
      </w:r>
      <w:r>
        <w:rPr>
          <w:rFonts w:eastAsia="Calibri"/>
          <w:szCs w:val="26"/>
        </w:rPr>
        <w:t>.</w:t>
      </w:r>
    </w:p>
    <w:p w14:paraId="214FD990" w14:textId="77777777" w:rsidR="00922F1C" w:rsidRDefault="00922F1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sidRPr="00922F1C">
        <w:rPr>
          <w:rFonts w:eastAsia="Calibri"/>
          <w:szCs w:val="26"/>
        </w:rPr>
        <w:t>Consejos locales de juventud constituidos</w:t>
      </w:r>
      <w:r>
        <w:rPr>
          <w:rFonts w:eastAsia="Calibri"/>
          <w:szCs w:val="26"/>
        </w:rPr>
        <w:t xml:space="preserve"> en municipios de más de 2.000 h</w:t>
      </w:r>
      <w:r w:rsidRPr="00922F1C">
        <w:rPr>
          <w:rFonts w:eastAsia="Calibri"/>
          <w:szCs w:val="26"/>
        </w:rPr>
        <w:t xml:space="preserve">abitantes o consejos comarcales que agrupen a </w:t>
      </w:r>
      <w:r>
        <w:rPr>
          <w:rFonts w:eastAsia="Calibri"/>
          <w:szCs w:val="26"/>
        </w:rPr>
        <w:t>tres</w:t>
      </w:r>
      <w:r w:rsidRPr="00922F1C">
        <w:rPr>
          <w:rFonts w:eastAsia="Calibri"/>
          <w:szCs w:val="26"/>
        </w:rPr>
        <w:t xml:space="preserve"> o más municipios y que estén reconocidos por los ayuntamientos y concejos</w:t>
      </w:r>
      <w:r>
        <w:rPr>
          <w:rFonts w:eastAsia="Calibri"/>
          <w:szCs w:val="26"/>
        </w:rPr>
        <w:t>.</w:t>
      </w:r>
    </w:p>
    <w:p w14:paraId="0F5A337F" w14:textId="6B2E4240" w:rsidR="00922F1C" w:rsidRPr="00922F1C" w:rsidRDefault="00922F1C" w:rsidP="0050169C">
      <w:pPr>
        <w:pStyle w:val="texto"/>
      </w:pPr>
      <w:r>
        <w:t>Para ser miembro es necesario formular una solicitud de admisión al menos 60 días antes de la celebración de la Asamblea General</w:t>
      </w:r>
      <w:r w:rsidR="6573DF42">
        <w:t>; dicha petición</w:t>
      </w:r>
      <w:r>
        <w:t xml:space="preserve"> se votará en la celebración de dicha asamblea, previo informe de la Comisión Permanente. Los nuevos miembros serán dados de alta al día siguiente de su aprobación mediante votación en Asamblea General.</w:t>
      </w:r>
    </w:p>
    <w:p w14:paraId="12763BDF" w14:textId="1B449192" w:rsidR="00922F1C" w:rsidRPr="00922F1C" w:rsidRDefault="00922F1C" w:rsidP="0050169C">
      <w:pPr>
        <w:pStyle w:val="texto"/>
      </w:pPr>
      <w:r w:rsidRPr="00922F1C">
        <w:t xml:space="preserve">Se perderá la condición de miembro </w:t>
      </w:r>
      <w:r w:rsidR="00256B5E">
        <w:t xml:space="preserve">de pleno derecho </w:t>
      </w:r>
      <w:r w:rsidRPr="00922F1C">
        <w:t xml:space="preserve">por la no participación en la </w:t>
      </w:r>
      <w:r>
        <w:t>a</w:t>
      </w:r>
      <w:r w:rsidRPr="00922F1C">
        <w:t xml:space="preserve">samblea ni en áreas del CJN durante un periodo de </w:t>
      </w:r>
      <w:r>
        <w:t>cuatro</w:t>
      </w:r>
      <w:r w:rsidRPr="00922F1C">
        <w:t xml:space="preserve"> años</w:t>
      </w:r>
      <w:r w:rsidR="00256B5E">
        <w:t>, por la disolución de la entidad o por la petición de baja voluntaria</w:t>
      </w:r>
      <w:r w:rsidRPr="00922F1C">
        <w:t>.</w:t>
      </w:r>
    </w:p>
    <w:p w14:paraId="5CE39E58" w14:textId="77777777" w:rsidR="00922F1C" w:rsidRPr="00922F1C" w:rsidRDefault="00922F1C" w:rsidP="0050169C">
      <w:pPr>
        <w:pStyle w:val="texto"/>
      </w:pPr>
      <w:r w:rsidRPr="00922F1C">
        <w:t xml:space="preserve">Las bajas voluntarias serán efectivas en la fecha de su recepción. Las bajas por incumplimiento de requisitos mantendrán su estatus como entidad de pleno derecho hasta el día siguiente de la asamblea en la que sean dados de baja. Uno </w:t>
      </w:r>
      <w:r w:rsidRPr="00922F1C">
        <w:lastRenderedPageBreak/>
        <w:t xml:space="preserve">de los puntos del orden del día será obligatoriamente el de </w:t>
      </w:r>
      <w:r>
        <w:t>“a</w:t>
      </w:r>
      <w:r w:rsidRPr="00922F1C">
        <w:t>lta</w:t>
      </w:r>
      <w:r>
        <w:t>s y bajas de entidades miembros”.</w:t>
      </w:r>
    </w:p>
    <w:p w14:paraId="0AFBCE04" w14:textId="456FA34D" w:rsidR="00922F1C" w:rsidRDefault="7E789CA1" w:rsidP="0050169C">
      <w:pPr>
        <w:pStyle w:val="texto"/>
      </w:pPr>
      <w:r>
        <w:t xml:space="preserve">El </w:t>
      </w:r>
      <w:r w:rsidR="46BA5C5E">
        <w:t>INJ</w:t>
      </w:r>
      <w:r>
        <w:t xml:space="preserve"> nos proporcionó un certificado</w:t>
      </w:r>
      <w:r w:rsidR="7C61AF63">
        <w:t xml:space="preserve"> del número de entidades miembro</w:t>
      </w:r>
      <w:r>
        <w:t xml:space="preserve"> a 31 de diciembre de </w:t>
      </w:r>
      <w:r w:rsidR="18DF8C55">
        <w:t>2022 expedido</w:t>
      </w:r>
      <w:r>
        <w:t xml:space="preserve"> por el que era presidente</w:t>
      </w:r>
      <w:r w:rsidR="76E4F381">
        <w:t xml:space="preserve"> del CJN</w:t>
      </w:r>
      <w:r>
        <w:t xml:space="preserve"> en esa fecha</w:t>
      </w:r>
      <w:r w:rsidR="7A093304">
        <w:t>,</w:t>
      </w:r>
      <w:r>
        <w:t xml:space="preserve"> en el que consta</w:t>
      </w:r>
      <w:r w:rsidR="6AB4ED8C">
        <w:t>ba</w:t>
      </w:r>
      <w:r>
        <w:t xml:space="preserve">n 55 miembros. </w:t>
      </w:r>
      <w:r w:rsidR="00BE6985">
        <w:t>Llama la atención que e</w:t>
      </w:r>
      <w:r w:rsidR="46BA5C5E">
        <w:t>l CJN</w:t>
      </w:r>
      <w:r w:rsidR="00C9106F">
        <w:t>,</w:t>
      </w:r>
      <w:r w:rsidR="46BA5C5E">
        <w:t xml:space="preserve"> por su parte</w:t>
      </w:r>
      <w:r w:rsidR="00C9106F">
        <w:t>,</w:t>
      </w:r>
      <w:r w:rsidR="46BA5C5E">
        <w:t xml:space="preserve"> nos informó que el número de entidades a 31 de diciembre de 2022 era 51 de las cuales dos no </w:t>
      </w:r>
      <w:r w:rsidR="7FAC440B">
        <w:t>est</w:t>
      </w:r>
      <w:r w:rsidR="00BE6985">
        <w:t>aban</w:t>
      </w:r>
      <w:r w:rsidR="46BA5C5E">
        <w:t xml:space="preserve"> operativas.</w:t>
      </w:r>
    </w:p>
    <w:p w14:paraId="50B3FE41" w14:textId="0956FAE2" w:rsidR="00922F1C" w:rsidRDefault="00922F1C" w:rsidP="0050169C">
      <w:pPr>
        <w:pStyle w:val="texto"/>
      </w:pPr>
      <w:r>
        <w:t xml:space="preserve">Con el fin de verificar </w:t>
      </w:r>
      <w:r w:rsidR="00256B5E">
        <w:t>el número correcto de e</w:t>
      </w:r>
      <w:r>
        <w:t>ntidades</w:t>
      </w:r>
      <w:r w:rsidR="00256B5E">
        <w:t xml:space="preserve">, analizamos el cumplimiento de </w:t>
      </w:r>
      <w:r>
        <w:t xml:space="preserve">los requisitos </w:t>
      </w:r>
      <w:r w:rsidR="00256B5E">
        <w:t>exigidos para</w:t>
      </w:r>
      <w:r>
        <w:t xml:space="preserve"> ser miembros</w:t>
      </w:r>
      <w:r w:rsidR="00256B5E">
        <w:t xml:space="preserve">. Para ello, hemos revisado </w:t>
      </w:r>
      <w:r>
        <w:t xml:space="preserve">las actas de participación en las asambleas </w:t>
      </w:r>
      <w:r w:rsidRPr="0050169C">
        <w:t>de</w:t>
      </w:r>
      <w:r>
        <w:t xml:space="preserve"> los últimos cuatro años, constatando que solo 16 asociaciones han participado en este periodo. </w:t>
      </w:r>
    </w:p>
    <w:p w14:paraId="6F9E0A60" w14:textId="2E08CD30" w:rsidR="00922F1C" w:rsidRDefault="00922F1C" w:rsidP="0050169C">
      <w:pPr>
        <w:pStyle w:val="texto"/>
      </w:pPr>
      <w:r>
        <w:t>Para verificar el cumplimiento del resto de requisitos, el INJ nos proporcion</w:t>
      </w:r>
      <w:r w:rsidR="00C42589">
        <w:t>ó</w:t>
      </w:r>
      <w:r>
        <w:t xml:space="preserve"> datos sobre el</w:t>
      </w:r>
      <w:r w:rsidR="00C42589">
        <w:t xml:space="preserve"> tipo de entidad, su</w:t>
      </w:r>
      <w:r>
        <w:t xml:space="preserve"> número de socios y sobre su participación activa en el CJN. </w:t>
      </w:r>
    </w:p>
    <w:p w14:paraId="07757508" w14:textId="43FC99C4" w:rsidR="00922F1C" w:rsidRDefault="7CF552A7" w:rsidP="0050169C">
      <w:pPr>
        <w:pStyle w:val="texto"/>
      </w:pPr>
      <w:r>
        <w:t xml:space="preserve">La conclusión de nuestro análisis fue </w:t>
      </w:r>
      <w:proofErr w:type="gramStart"/>
      <w:r>
        <w:t>que</w:t>
      </w:r>
      <w:proofErr w:type="gramEnd"/>
      <w:r w:rsidR="29547113">
        <w:t xml:space="preserve"> d</w:t>
      </w:r>
      <w:r w:rsidR="00922F1C">
        <w:t xml:space="preserve">e las 16 asociaciones, solo </w:t>
      </w:r>
      <w:r w:rsidR="00892864">
        <w:t>siete</w:t>
      </w:r>
      <w:r w:rsidR="00922F1C">
        <w:t xml:space="preserve"> cumplen los requisitos exigidos en la normativa aplicable en el periodo analizado, si bien otras tres también cumplirían con las exigencias considerando las modificaciones sobre el número de socios </w:t>
      </w:r>
      <w:r w:rsidR="00C42589">
        <w:t>establecidas</w:t>
      </w:r>
      <w:r w:rsidR="00922F1C">
        <w:t xml:space="preserve"> en el Decreto Foral 53/2023, de 21 de junio, por el que se establece la composición, organización y funcionamiento del CJN.</w:t>
      </w:r>
    </w:p>
    <w:p w14:paraId="236827AF" w14:textId="5E3EFB1B" w:rsidR="00FE1E9F" w:rsidRPr="008F2B11" w:rsidRDefault="00FE1E9F" w:rsidP="0032304B">
      <w:pPr>
        <w:pStyle w:val="atitulo3"/>
        <w:spacing w:before="240"/>
      </w:pPr>
      <w:r w:rsidRPr="008F2B11">
        <w:t>Personal</w:t>
      </w:r>
      <w:r w:rsidRPr="55145637">
        <w:t xml:space="preserve"> </w:t>
      </w:r>
    </w:p>
    <w:p w14:paraId="6DC724EF" w14:textId="77777777" w:rsidR="00FE1E9F" w:rsidRPr="0039691D" w:rsidRDefault="00FE1E9F" w:rsidP="004850F6">
      <w:pPr>
        <w:pStyle w:val="texto"/>
        <w:spacing w:after="240"/>
      </w:pPr>
      <w:r w:rsidRPr="0039691D">
        <w:t>En el periodo 2019-2022 el personal que ha venido prestando sus servicios en el CJN ha sido el siguiente:</w:t>
      </w:r>
    </w:p>
    <w:tbl>
      <w:tblPr>
        <w:tblW w:w="878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3736"/>
        <w:gridCol w:w="1299"/>
        <w:gridCol w:w="1299"/>
        <w:gridCol w:w="1299"/>
        <w:gridCol w:w="1156"/>
      </w:tblGrid>
      <w:tr w:rsidR="00FE1E9F" w:rsidRPr="003D7202" w14:paraId="41C2BAD2" w14:textId="77777777" w:rsidTr="005E3B7B">
        <w:trPr>
          <w:trHeight w:val="255"/>
        </w:trPr>
        <w:tc>
          <w:tcPr>
            <w:tcW w:w="3676" w:type="dxa"/>
            <w:shd w:val="clear" w:color="auto" w:fill="8DB3E2" w:themeFill="text2" w:themeFillTint="66"/>
            <w:noWrap/>
            <w:vAlign w:val="center"/>
          </w:tcPr>
          <w:p w14:paraId="0BE0E627" w14:textId="77777777" w:rsidR="00FE1E9F" w:rsidRPr="003D7202" w:rsidRDefault="00FE1E9F" w:rsidP="0039691D">
            <w:pPr>
              <w:pStyle w:val="cuadroCabe"/>
              <w:jc w:val="left"/>
              <w:rPr>
                <w:lang w:val="es-ES" w:eastAsia="es-ES"/>
              </w:rPr>
            </w:pPr>
          </w:p>
        </w:tc>
        <w:tc>
          <w:tcPr>
            <w:tcW w:w="1278" w:type="dxa"/>
            <w:shd w:val="clear" w:color="auto" w:fill="8DB3E2" w:themeFill="text2" w:themeFillTint="66"/>
            <w:noWrap/>
            <w:vAlign w:val="center"/>
          </w:tcPr>
          <w:p w14:paraId="4DEA2D6D" w14:textId="77777777" w:rsidR="00FE1E9F" w:rsidRPr="003D7202" w:rsidRDefault="00FE1E9F" w:rsidP="0039691D">
            <w:pPr>
              <w:pStyle w:val="cuadroCabe"/>
              <w:jc w:val="right"/>
              <w:rPr>
                <w:lang w:val="es-ES" w:eastAsia="es-ES"/>
              </w:rPr>
            </w:pPr>
            <w:r w:rsidRPr="003D7202">
              <w:rPr>
                <w:lang w:val="es-ES" w:eastAsia="es-ES"/>
              </w:rPr>
              <w:t>2019</w:t>
            </w:r>
          </w:p>
        </w:tc>
        <w:tc>
          <w:tcPr>
            <w:tcW w:w="1278" w:type="dxa"/>
            <w:shd w:val="clear" w:color="auto" w:fill="8DB3E2" w:themeFill="text2" w:themeFillTint="66"/>
            <w:noWrap/>
            <w:vAlign w:val="center"/>
          </w:tcPr>
          <w:p w14:paraId="2BDD7E79" w14:textId="77777777" w:rsidR="00FE1E9F" w:rsidRPr="003D7202" w:rsidRDefault="00FE1E9F" w:rsidP="0039691D">
            <w:pPr>
              <w:pStyle w:val="cuadroCabe"/>
              <w:jc w:val="right"/>
              <w:rPr>
                <w:lang w:val="es-ES" w:eastAsia="es-ES"/>
              </w:rPr>
            </w:pPr>
            <w:r w:rsidRPr="003D7202">
              <w:rPr>
                <w:lang w:val="es-ES" w:eastAsia="es-ES"/>
              </w:rPr>
              <w:t>2020</w:t>
            </w:r>
          </w:p>
        </w:tc>
        <w:tc>
          <w:tcPr>
            <w:tcW w:w="1278" w:type="dxa"/>
            <w:shd w:val="clear" w:color="auto" w:fill="8DB3E2" w:themeFill="text2" w:themeFillTint="66"/>
            <w:noWrap/>
            <w:vAlign w:val="center"/>
          </w:tcPr>
          <w:p w14:paraId="6B49B38F" w14:textId="77777777" w:rsidR="00FE1E9F" w:rsidRPr="003D7202" w:rsidRDefault="00FE1E9F" w:rsidP="0039691D">
            <w:pPr>
              <w:pStyle w:val="cuadroCabe"/>
              <w:jc w:val="right"/>
              <w:rPr>
                <w:lang w:val="es-ES" w:eastAsia="es-ES"/>
              </w:rPr>
            </w:pPr>
            <w:r w:rsidRPr="003D7202">
              <w:rPr>
                <w:lang w:val="es-ES" w:eastAsia="es-ES"/>
              </w:rPr>
              <w:t>2021</w:t>
            </w:r>
          </w:p>
        </w:tc>
        <w:tc>
          <w:tcPr>
            <w:tcW w:w="1137" w:type="dxa"/>
            <w:shd w:val="clear" w:color="auto" w:fill="8DB3E2" w:themeFill="text2" w:themeFillTint="66"/>
            <w:noWrap/>
            <w:vAlign w:val="center"/>
          </w:tcPr>
          <w:p w14:paraId="057A595B" w14:textId="77777777" w:rsidR="00FE1E9F" w:rsidRPr="003D7202" w:rsidRDefault="00FE1E9F" w:rsidP="0039691D">
            <w:pPr>
              <w:pStyle w:val="cuadroCabe"/>
              <w:jc w:val="right"/>
              <w:rPr>
                <w:lang w:val="es-ES" w:eastAsia="es-ES"/>
              </w:rPr>
            </w:pPr>
            <w:r w:rsidRPr="003D7202">
              <w:rPr>
                <w:lang w:val="es-ES" w:eastAsia="es-ES"/>
              </w:rPr>
              <w:t>2022</w:t>
            </w:r>
          </w:p>
        </w:tc>
      </w:tr>
      <w:tr w:rsidR="00FE1E9F" w:rsidRPr="003D7202" w14:paraId="21EB3849" w14:textId="77777777" w:rsidTr="005E3B7B">
        <w:trPr>
          <w:trHeight w:val="198"/>
        </w:trPr>
        <w:tc>
          <w:tcPr>
            <w:tcW w:w="3676" w:type="dxa"/>
            <w:tcBorders>
              <w:bottom w:val="single" w:sz="2" w:space="0" w:color="auto"/>
            </w:tcBorders>
            <w:shd w:val="clear" w:color="auto" w:fill="auto"/>
            <w:noWrap/>
            <w:vAlign w:val="center"/>
            <w:hideMark/>
          </w:tcPr>
          <w:p w14:paraId="6685DE0F" w14:textId="77777777" w:rsidR="00FE1E9F" w:rsidRPr="003D7202" w:rsidRDefault="00FE1E9F" w:rsidP="0039691D">
            <w:pPr>
              <w:pStyle w:val="cuatexto"/>
              <w:jc w:val="left"/>
              <w:rPr>
                <w:lang w:val="es-ES" w:eastAsia="es-ES"/>
              </w:rPr>
            </w:pPr>
            <w:r w:rsidRPr="003D7202">
              <w:rPr>
                <w:lang w:val="es-ES" w:eastAsia="es-ES"/>
              </w:rPr>
              <w:t>Administrativa</w:t>
            </w:r>
          </w:p>
        </w:tc>
        <w:tc>
          <w:tcPr>
            <w:tcW w:w="1278" w:type="dxa"/>
            <w:tcBorders>
              <w:bottom w:val="single" w:sz="2" w:space="0" w:color="auto"/>
            </w:tcBorders>
            <w:shd w:val="clear" w:color="auto" w:fill="auto"/>
            <w:noWrap/>
            <w:vAlign w:val="center"/>
            <w:hideMark/>
          </w:tcPr>
          <w:p w14:paraId="38A4C223" w14:textId="77777777" w:rsidR="00FE1E9F" w:rsidRPr="003D7202" w:rsidRDefault="00FE1E9F" w:rsidP="0039691D">
            <w:pPr>
              <w:pStyle w:val="cuatexto"/>
              <w:jc w:val="right"/>
              <w:rPr>
                <w:lang w:val="es-ES" w:eastAsia="es-ES"/>
              </w:rPr>
            </w:pPr>
            <w:r w:rsidRPr="003D7202">
              <w:rPr>
                <w:lang w:val="es-ES" w:eastAsia="es-ES"/>
              </w:rPr>
              <w:t>1</w:t>
            </w:r>
          </w:p>
        </w:tc>
        <w:tc>
          <w:tcPr>
            <w:tcW w:w="1278" w:type="dxa"/>
            <w:tcBorders>
              <w:bottom w:val="single" w:sz="2" w:space="0" w:color="auto"/>
            </w:tcBorders>
            <w:shd w:val="clear" w:color="auto" w:fill="auto"/>
            <w:noWrap/>
            <w:vAlign w:val="center"/>
            <w:hideMark/>
          </w:tcPr>
          <w:p w14:paraId="23B886A4" w14:textId="77777777" w:rsidR="00FE1E9F" w:rsidRPr="003D7202" w:rsidRDefault="00FE1E9F" w:rsidP="0039691D">
            <w:pPr>
              <w:pStyle w:val="cuatexto"/>
              <w:jc w:val="right"/>
              <w:rPr>
                <w:lang w:val="es-ES" w:eastAsia="es-ES"/>
              </w:rPr>
            </w:pPr>
            <w:r w:rsidRPr="003D7202">
              <w:rPr>
                <w:lang w:val="es-ES" w:eastAsia="es-ES"/>
              </w:rPr>
              <w:t>1</w:t>
            </w:r>
          </w:p>
        </w:tc>
        <w:tc>
          <w:tcPr>
            <w:tcW w:w="1278" w:type="dxa"/>
            <w:tcBorders>
              <w:bottom w:val="single" w:sz="2" w:space="0" w:color="auto"/>
            </w:tcBorders>
            <w:shd w:val="clear" w:color="auto" w:fill="auto"/>
            <w:noWrap/>
            <w:vAlign w:val="center"/>
            <w:hideMark/>
          </w:tcPr>
          <w:p w14:paraId="791217D1" w14:textId="77777777" w:rsidR="00FE1E9F" w:rsidRPr="003D7202" w:rsidRDefault="00FE1E9F" w:rsidP="0039691D">
            <w:pPr>
              <w:pStyle w:val="cuatexto"/>
              <w:jc w:val="right"/>
              <w:rPr>
                <w:lang w:val="es-ES" w:eastAsia="es-ES"/>
              </w:rPr>
            </w:pPr>
            <w:r w:rsidRPr="003D7202">
              <w:rPr>
                <w:lang w:val="es-ES" w:eastAsia="es-ES"/>
              </w:rPr>
              <w:t>1</w:t>
            </w:r>
          </w:p>
        </w:tc>
        <w:tc>
          <w:tcPr>
            <w:tcW w:w="1137" w:type="dxa"/>
            <w:tcBorders>
              <w:bottom w:val="single" w:sz="2" w:space="0" w:color="auto"/>
            </w:tcBorders>
            <w:shd w:val="clear" w:color="auto" w:fill="auto"/>
            <w:noWrap/>
            <w:vAlign w:val="center"/>
            <w:hideMark/>
          </w:tcPr>
          <w:p w14:paraId="4628AFC0" w14:textId="77777777" w:rsidR="00FE1E9F" w:rsidRPr="003D7202" w:rsidRDefault="00FE1E9F" w:rsidP="0039691D">
            <w:pPr>
              <w:pStyle w:val="cuatexto"/>
              <w:jc w:val="right"/>
              <w:rPr>
                <w:lang w:val="es-ES" w:eastAsia="es-ES"/>
              </w:rPr>
            </w:pPr>
            <w:r w:rsidRPr="003D7202">
              <w:rPr>
                <w:lang w:val="es-ES" w:eastAsia="es-ES"/>
              </w:rPr>
              <w:t>1</w:t>
            </w:r>
          </w:p>
        </w:tc>
      </w:tr>
      <w:tr w:rsidR="00FE1E9F" w:rsidRPr="003D7202" w14:paraId="3B81C31E" w14:textId="77777777" w:rsidTr="005E3B7B">
        <w:trPr>
          <w:trHeight w:val="198"/>
        </w:trPr>
        <w:tc>
          <w:tcPr>
            <w:tcW w:w="3676" w:type="dxa"/>
            <w:tcBorders>
              <w:top w:val="single" w:sz="2" w:space="0" w:color="auto"/>
              <w:bottom w:val="single" w:sz="2" w:space="0" w:color="auto"/>
            </w:tcBorders>
            <w:shd w:val="clear" w:color="auto" w:fill="auto"/>
            <w:noWrap/>
            <w:vAlign w:val="center"/>
            <w:hideMark/>
          </w:tcPr>
          <w:p w14:paraId="57DB12B3" w14:textId="77777777" w:rsidR="00FE1E9F" w:rsidRPr="003D7202" w:rsidRDefault="00FE1E9F" w:rsidP="0039691D">
            <w:pPr>
              <w:pStyle w:val="cuatexto"/>
              <w:jc w:val="left"/>
              <w:rPr>
                <w:lang w:val="es-ES" w:eastAsia="es-ES"/>
              </w:rPr>
            </w:pPr>
            <w:r w:rsidRPr="003D7202">
              <w:rPr>
                <w:lang w:val="es-ES" w:eastAsia="es-ES"/>
              </w:rPr>
              <w:t>Técnico</w:t>
            </w:r>
            <w:r>
              <w:rPr>
                <w:lang w:val="es-ES" w:eastAsia="es-ES"/>
              </w:rPr>
              <w:t xml:space="preserve"> de a</w:t>
            </w:r>
            <w:r w:rsidRPr="003D7202">
              <w:rPr>
                <w:lang w:val="es-ES" w:eastAsia="es-ES"/>
              </w:rPr>
              <w:t>sociacionismo</w:t>
            </w:r>
          </w:p>
        </w:tc>
        <w:tc>
          <w:tcPr>
            <w:tcW w:w="1278" w:type="dxa"/>
            <w:tcBorders>
              <w:top w:val="single" w:sz="2" w:space="0" w:color="auto"/>
              <w:bottom w:val="single" w:sz="2" w:space="0" w:color="auto"/>
            </w:tcBorders>
            <w:shd w:val="clear" w:color="auto" w:fill="auto"/>
            <w:noWrap/>
            <w:vAlign w:val="center"/>
            <w:hideMark/>
          </w:tcPr>
          <w:p w14:paraId="0A693020" w14:textId="77777777" w:rsidR="00FE1E9F" w:rsidRPr="003D7202" w:rsidRDefault="00FE1E9F" w:rsidP="0039691D">
            <w:pPr>
              <w:pStyle w:val="cuatexto"/>
              <w:jc w:val="right"/>
              <w:rPr>
                <w:lang w:val="es-ES" w:eastAsia="es-ES"/>
              </w:rPr>
            </w:pPr>
            <w:r w:rsidRPr="003D7202">
              <w:rPr>
                <w:lang w:val="es-ES" w:eastAsia="es-ES"/>
              </w:rPr>
              <w:t>1</w:t>
            </w:r>
          </w:p>
        </w:tc>
        <w:tc>
          <w:tcPr>
            <w:tcW w:w="1278" w:type="dxa"/>
            <w:tcBorders>
              <w:top w:val="single" w:sz="2" w:space="0" w:color="auto"/>
              <w:bottom w:val="single" w:sz="2" w:space="0" w:color="auto"/>
            </w:tcBorders>
            <w:shd w:val="clear" w:color="auto" w:fill="auto"/>
            <w:noWrap/>
            <w:vAlign w:val="center"/>
            <w:hideMark/>
          </w:tcPr>
          <w:p w14:paraId="0067FFF7" w14:textId="77777777" w:rsidR="00FE1E9F" w:rsidRPr="003D7202" w:rsidRDefault="00FE1E9F" w:rsidP="0039691D">
            <w:pPr>
              <w:pStyle w:val="cuatexto"/>
              <w:jc w:val="right"/>
              <w:rPr>
                <w:lang w:val="es-ES" w:eastAsia="es-ES"/>
              </w:rPr>
            </w:pPr>
            <w:r w:rsidRPr="003D7202">
              <w:rPr>
                <w:lang w:val="es-ES" w:eastAsia="es-ES"/>
              </w:rPr>
              <w:t>1</w:t>
            </w:r>
          </w:p>
        </w:tc>
        <w:tc>
          <w:tcPr>
            <w:tcW w:w="1278" w:type="dxa"/>
            <w:tcBorders>
              <w:top w:val="single" w:sz="2" w:space="0" w:color="auto"/>
              <w:bottom w:val="single" w:sz="2" w:space="0" w:color="auto"/>
            </w:tcBorders>
            <w:shd w:val="clear" w:color="auto" w:fill="auto"/>
            <w:noWrap/>
            <w:vAlign w:val="center"/>
            <w:hideMark/>
          </w:tcPr>
          <w:p w14:paraId="30D34D05" w14:textId="77777777" w:rsidR="00FE1E9F" w:rsidRPr="003D7202" w:rsidRDefault="00FE1E9F" w:rsidP="0039691D">
            <w:pPr>
              <w:pStyle w:val="cuatexto"/>
              <w:jc w:val="right"/>
              <w:rPr>
                <w:lang w:val="es-ES" w:eastAsia="es-ES"/>
              </w:rPr>
            </w:pPr>
            <w:r w:rsidRPr="003D7202">
              <w:rPr>
                <w:lang w:val="es-ES" w:eastAsia="es-ES"/>
              </w:rPr>
              <w:t>1</w:t>
            </w:r>
          </w:p>
        </w:tc>
        <w:tc>
          <w:tcPr>
            <w:tcW w:w="1137" w:type="dxa"/>
            <w:tcBorders>
              <w:top w:val="single" w:sz="2" w:space="0" w:color="auto"/>
              <w:bottom w:val="single" w:sz="2" w:space="0" w:color="auto"/>
            </w:tcBorders>
            <w:shd w:val="clear" w:color="auto" w:fill="auto"/>
            <w:noWrap/>
            <w:vAlign w:val="center"/>
            <w:hideMark/>
          </w:tcPr>
          <w:p w14:paraId="353E8BB1" w14:textId="77777777" w:rsidR="00FE1E9F" w:rsidRPr="003D7202" w:rsidRDefault="00FE1E9F" w:rsidP="0039691D">
            <w:pPr>
              <w:pStyle w:val="cuatexto"/>
              <w:jc w:val="right"/>
              <w:rPr>
                <w:lang w:val="es-ES" w:eastAsia="es-ES"/>
              </w:rPr>
            </w:pPr>
            <w:r w:rsidRPr="003D7202">
              <w:rPr>
                <w:lang w:val="es-ES" w:eastAsia="es-ES"/>
              </w:rPr>
              <w:t>1</w:t>
            </w:r>
          </w:p>
        </w:tc>
      </w:tr>
      <w:tr w:rsidR="00FE1E9F" w:rsidRPr="003D7202" w14:paraId="517EA932" w14:textId="77777777" w:rsidTr="005E3B7B">
        <w:trPr>
          <w:trHeight w:val="198"/>
        </w:trPr>
        <w:tc>
          <w:tcPr>
            <w:tcW w:w="3676" w:type="dxa"/>
            <w:tcBorders>
              <w:top w:val="single" w:sz="2" w:space="0" w:color="auto"/>
              <w:bottom w:val="single" w:sz="2" w:space="0" w:color="auto"/>
            </w:tcBorders>
            <w:shd w:val="clear" w:color="auto" w:fill="auto"/>
            <w:noWrap/>
            <w:vAlign w:val="center"/>
            <w:hideMark/>
          </w:tcPr>
          <w:p w14:paraId="7C272A1D" w14:textId="77777777" w:rsidR="00FE1E9F" w:rsidRPr="003D7202" w:rsidRDefault="00FE1E9F" w:rsidP="0039691D">
            <w:pPr>
              <w:pStyle w:val="cuatexto"/>
              <w:jc w:val="left"/>
              <w:rPr>
                <w:lang w:val="es-ES" w:eastAsia="es-ES"/>
              </w:rPr>
            </w:pPr>
            <w:r w:rsidRPr="003D7202">
              <w:rPr>
                <w:lang w:val="es-ES" w:eastAsia="es-ES"/>
              </w:rPr>
              <w:t xml:space="preserve">Técnico de </w:t>
            </w:r>
            <w:r>
              <w:rPr>
                <w:lang w:val="es-ES" w:eastAsia="es-ES"/>
              </w:rPr>
              <w:t>s</w:t>
            </w:r>
            <w:r w:rsidRPr="003D7202">
              <w:rPr>
                <w:lang w:val="es-ES" w:eastAsia="es-ES"/>
              </w:rPr>
              <w:t>ocioeconomía</w:t>
            </w:r>
          </w:p>
        </w:tc>
        <w:tc>
          <w:tcPr>
            <w:tcW w:w="1278" w:type="dxa"/>
            <w:tcBorders>
              <w:top w:val="single" w:sz="2" w:space="0" w:color="auto"/>
              <w:bottom w:val="single" w:sz="2" w:space="0" w:color="auto"/>
            </w:tcBorders>
            <w:shd w:val="clear" w:color="auto" w:fill="auto"/>
            <w:noWrap/>
            <w:vAlign w:val="center"/>
            <w:hideMark/>
          </w:tcPr>
          <w:p w14:paraId="0587A109" w14:textId="77777777" w:rsidR="00FE1E9F" w:rsidRPr="003D7202" w:rsidRDefault="00FE1E9F" w:rsidP="0039691D">
            <w:pPr>
              <w:pStyle w:val="cuatexto"/>
              <w:jc w:val="right"/>
              <w:rPr>
                <w:lang w:val="es-ES" w:eastAsia="es-ES"/>
              </w:rPr>
            </w:pPr>
            <w:r w:rsidRPr="003D7202">
              <w:rPr>
                <w:lang w:val="es-ES" w:eastAsia="es-ES"/>
              </w:rPr>
              <w:t>1</w:t>
            </w:r>
          </w:p>
        </w:tc>
        <w:tc>
          <w:tcPr>
            <w:tcW w:w="1278" w:type="dxa"/>
            <w:tcBorders>
              <w:top w:val="single" w:sz="2" w:space="0" w:color="auto"/>
              <w:bottom w:val="single" w:sz="2" w:space="0" w:color="auto"/>
            </w:tcBorders>
            <w:shd w:val="clear" w:color="auto" w:fill="auto"/>
            <w:noWrap/>
            <w:vAlign w:val="center"/>
            <w:hideMark/>
          </w:tcPr>
          <w:p w14:paraId="3F398B8B" w14:textId="77777777" w:rsidR="00FE1E9F" w:rsidRPr="003D7202" w:rsidRDefault="00FE1E9F" w:rsidP="0039691D">
            <w:pPr>
              <w:pStyle w:val="cuatexto"/>
              <w:jc w:val="right"/>
              <w:rPr>
                <w:lang w:val="es-ES" w:eastAsia="es-ES"/>
              </w:rPr>
            </w:pPr>
            <w:r w:rsidRPr="003D7202">
              <w:rPr>
                <w:lang w:val="es-ES" w:eastAsia="es-ES"/>
              </w:rPr>
              <w:t>1</w:t>
            </w:r>
          </w:p>
        </w:tc>
        <w:tc>
          <w:tcPr>
            <w:tcW w:w="1278" w:type="dxa"/>
            <w:tcBorders>
              <w:top w:val="single" w:sz="2" w:space="0" w:color="auto"/>
              <w:bottom w:val="single" w:sz="2" w:space="0" w:color="auto"/>
            </w:tcBorders>
            <w:shd w:val="clear" w:color="auto" w:fill="auto"/>
            <w:noWrap/>
            <w:vAlign w:val="center"/>
            <w:hideMark/>
          </w:tcPr>
          <w:p w14:paraId="1DAB32F5" w14:textId="77777777" w:rsidR="00FE1E9F" w:rsidRPr="003D7202" w:rsidRDefault="00FE1E9F" w:rsidP="0039691D">
            <w:pPr>
              <w:pStyle w:val="cuatexto"/>
              <w:jc w:val="right"/>
              <w:rPr>
                <w:lang w:val="es-ES" w:eastAsia="es-ES"/>
              </w:rPr>
            </w:pPr>
            <w:r w:rsidRPr="003D7202">
              <w:rPr>
                <w:lang w:val="es-ES" w:eastAsia="es-ES"/>
              </w:rPr>
              <w:t>-</w:t>
            </w:r>
          </w:p>
        </w:tc>
        <w:tc>
          <w:tcPr>
            <w:tcW w:w="1137" w:type="dxa"/>
            <w:tcBorders>
              <w:top w:val="single" w:sz="2" w:space="0" w:color="auto"/>
              <w:bottom w:val="single" w:sz="2" w:space="0" w:color="auto"/>
            </w:tcBorders>
            <w:shd w:val="clear" w:color="auto" w:fill="auto"/>
            <w:noWrap/>
            <w:vAlign w:val="center"/>
            <w:hideMark/>
          </w:tcPr>
          <w:p w14:paraId="4BCEA437" w14:textId="77777777" w:rsidR="00FE1E9F" w:rsidRPr="003D7202" w:rsidRDefault="00FE1E9F" w:rsidP="0039691D">
            <w:pPr>
              <w:pStyle w:val="cuatexto"/>
              <w:jc w:val="right"/>
              <w:rPr>
                <w:lang w:val="es-ES" w:eastAsia="es-ES"/>
              </w:rPr>
            </w:pPr>
            <w:r w:rsidRPr="003D7202">
              <w:rPr>
                <w:lang w:val="es-ES" w:eastAsia="es-ES"/>
              </w:rPr>
              <w:t>-</w:t>
            </w:r>
          </w:p>
        </w:tc>
      </w:tr>
      <w:tr w:rsidR="00FE1E9F" w:rsidRPr="003D7202" w14:paraId="138126C9" w14:textId="77777777" w:rsidTr="005E3B7B">
        <w:trPr>
          <w:trHeight w:val="198"/>
        </w:trPr>
        <w:tc>
          <w:tcPr>
            <w:tcW w:w="3676" w:type="dxa"/>
            <w:tcBorders>
              <w:top w:val="single" w:sz="2" w:space="0" w:color="auto"/>
              <w:bottom w:val="single" w:sz="2" w:space="0" w:color="auto"/>
            </w:tcBorders>
            <w:shd w:val="clear" w:color="auto" w:fill="auto"/>
            <w:noWrap/>
            <w:vAlign w:val="center"/>
            <w:hideMark/>
          </w:tcPr>
          <w:p w14:paraId="032DCD7E" w14:textId="77777777" w:rsidR="00FE1E9F" w:rsidRPr="003D7202" w:rsidRDefault="00FE1E9F" w:rsidP="0039691D">
            <w:pPr>
              <w:pStyle w:val="cuatexto"/>
              <w:jc w:val="left"/>
              <w:rPr>
                <w:lang w:val="es-ES" w:eastAsia="es-ES"/>
              </w:rPr>
            </w:pPr>
            <w:r w:rsidRPr="003D7202">
              <w:rPr>
                <w:lang w:val="es-ES" w:eastAsia="es-ES"/>
              </w:rPr>
              <w:t xml:space="preserve">Técnico </w:t>
            </w:r>
            <w:r>
              <w:rPr>
                <w:lang w:val="es-ES" w:eastAsia="es-ES"/>
              </w:rPr>
              <w:t xml:space="preserve">del Proyecto </w:t>
            </w:r>
            <w:r w:rsidRPr="003D7202">
              <w:rPr>
                <w:lang w:val="es-ES" w:eastAsia="es-ES"/>
              </w:rPr>
              <w:t>Parlamento Joven</w:t>
            </w:r>
          </w:p>
        </w:tc>
        <w:tc>
          <w:tcPr>
            <w:tcW w:w="1278" w:type="dxa"/>
            <w:tcBorders>
              <w:top w:val="single" w:sz="2" w:space="0" w:color="auto"/>
              <w:bottom w:val="single" w:sz="2" w:space="0" w:color="auto"/>
            </w:tcBorders>
            <w:shd w:val="clear" w:color="auto" w:fill="auto"/>
            <w:noWrap/>
            <w:vAlign w:val="center"/>
            <w:hideMark/>
          </w:tcPr>
          <w:p w14:paraId="0F310496" w14:textId="77777777" w:rsidR="00FE1E9F" w:rsidRPr="003D7202" w:rsidRDefault="00FE1E9F" w:rsidP="0039691D">
            <w:pPr>
              <w:pStyle w:val="cuatexto"/>
              <w:jc w:val="right"/>
              <w:rPr>
                <w:lang w:val="es-ES" w:eastAsia="es-ES"/>
              </w:rPr>
            </w:pPr>
            <w:r w:rsidRPr="003D7202">
              <w:rPr>
                <w:lang w:val="es-ES" w:eastAsia="es-ES"/>
              </w:rPr>
              <w:t>1</w:t>
            </w:r>
          </w:p>
        </w:tc>
        <w:tc>
          <w:tcPr>
            <w:tcW w:w="1278" w:type="dxa"/>
            <w:tcBorders>
              <w:top w:val="single" w:sz="2" w:space="0" w:color="auto"/>
              <w:bottom w:val="single" w:sz="2" w:space="0" w:color="auto"/>
            </w:tcBorders>
            <w:shd w:val="clear" w:color="auto" w:fill="auto"/>
            <w:noWrap/>
            <w:vAlign w:val="center"/>
            <w:hideMark/>
          </w:tcPr>
          <w:p w14:paraId="6689AF9B" w14:textId="77777777" w:rsidR="00FE1E9F" w:rsidRPr="003D7202" w:rsidRDefault="00FE1E9F" w:rsidP="0039691D">
            <w:pPr>
              <w:pStyle w:val="cuatexto"/>
              <w:jc w:val="right"/>
              <w:rPr>
                <w:lang w:val="es-ES" w:eastAsia="es-ES"/>
              </w:rPr>
            </w:pPr>
            <w:r w:rsidRPr="003D7202">
              <w:rPr>
                <w:lang w:val="es-ES" w:eastAsia="es-ES"/>
              </w:rPr>
              <w:t>1</w:t>
            </w:r>
          </w:p>
        </w:tc>
        <w:tc>
          <w:tcPr>
            <w:tcW w:w="1278" w:type="dxa"/>
            <w:tcBorders>
              <w:top w:val="single" w:sz="2" w:space="0" w:color="auto"/>
              <w:bottom w:val="single" w:sz="2" w:space="0" w:color="auto"/>
            </w:tcBorders>
            <w:shd w:val="clear" w:color="auto" w:fill="auto"/>
            <w:noWrap/>
            <w:vAlign w:val="center"/>
            <w:hideMark/>
          </w:tcPr>
          <w:p w14:paraId="4B22B83B" w14:textId="77777777" w:rsidR="00FE1E9F" w:rsidRPr="003D7202" w:rsidRDefault="00FE1E9F" w:rsidP="0039691D">
            <w:pPr>
              <w:pStyle w:val="cuatexto"/>
              <w:jc w:val="right"/>
              <w:rPr>
                <w:lang w:val="es-ES" w:eastAsia="es-ES"/>
              </w:rPr>
            </w:pPr>
            <w:r w:rsidRPr="003D7202">
              <w:rPr>
                <w:lang w:val="es-ES" w:eastAsia="es-ES"/>
              </w:rPr>
              <w:t>1</w:t>
            </w:r>
          </w:p>
        </w:tc>
        <w:tc>
          <w:tcPr>
            <w:tcW w:w="1137" w:type="dxa"/>
            <w:tcBorders>
              <w:top w:val="single" w:sz="2" w:space="0" w:color="auto"/>
              <w:bottom w:val="single" w:sz="2" w:space="0" w:color="auto"/>
            </w:tcBorders>
            <w:shd w:val="clear" w:color="auto" w:fill="auto"/>
            <w:noWrap/>
            <w:vAlign w:val="center"/>
            <w:hideMark/>
          </w:tcPr>
          <w:p w14:paraId="0E0290FE" w14:textId="77777777" w:rsidR="00FE1E9F" w:rsidRPr="003D7202" w:rsidRDefault="00FE1E9F" w:rsidP="0039691D">
            <w:pPr>
              <w:pStyle w:val="cuatexto"/>
              <w:jc w:val="right"/>
              <w:rPr>
                <w:lang w:val="es-ES" w:eastAsia="es-ES"/>
              </w:rPr>
            </w:pPr>
            <w:r w:rsidRPr="003D7202">
              <w:rPr>
                <w:lang w:val="es-ES" w:eastAsia="es-ES"/>
              </w:rPr>
              <w:t>1</w:t>
            </w:r>
          </w:p>
        </w:tc>
      </w:tr>
      <w:tr w:rsidR="00FE1E9F" w:rsidRPr="003D7202" w14:paraId="54D09D3A" w14:textId="77777777" w:rsidTr="005E3B7B">
        <w:trPr>
          <w:trHeight w:val="198"/>
        </w:trPr>
        <w:tc>
          <w:tcPr>
            <w:tcW w:w="3676" w:type="dxa"/>
            <w:tcBorders>
              <w:top w:val="single" w:sz="2" w:space="0" w:color="auto"/>
              <w:bottom w:val="single" w:sz="2" w:space="0" w:color="auto"/>
            </w:tcBorders>
            <w:shd w:val="clear" w:color="auto" w:fill="auto"/>
            <w:noWrap/>
            <w:vAlign w:val="center"/>
            <w:hideMark/>
          </w:tcPr>
          <w:p w14:paraId="5CB99D92" w14:textId="77777777" w:rsidR="00FE1E9F" w:rsidRPr="003D7202" w:rsidRDefault="00FE1E9F" w:rsidP="0039691D">
            <w:pPr>
              <w:pStyle w:val="cuatexto"/>
              <w:jc w:val="left"/>
              <w:rPr>
                <w:lang w:val="es-ES" w:eastAsia="es-ES"/>
              </w:rPr>
            </w:pPr>
            <w:r w:rsidRPr="003D7202">
              <w:rPr>
                <w:lang w:val="es-ES" w:eastAsia="es-ES"/>
              </w:rPr>
              <w:t xml:space="preserve">Técnica </w:t>
            </w:r>
            <w:r>
              <w:rPr>
                <w:lang w:val="es-ES" w:eastAsia="es-ES"/>
              </w:rPr>
              <w:t>de c</w:t>
            </w:r>
            <w:r w:rsidRPr="003D7202">
              <w:rPr>
                <w:lang w:val="es-ES" w:eastAsia="es-ES"/>
              </w:rPr>
              <w:t>omunicación</w:t>
            </w:r>
          </w:p>
        </w:tc>
        <w:tc>
          <w:tcPr>
            <w:tcW w:w="1278" w:type="dxa"/>
            <w:tcBorders>
              <w:top w:val="single" w:sz="2" w:space="0" w:color="auto"/>
              <w:bottom w:val="single" w:sz="2" w:space="0" w:color="auto"/>
            </w:tcBorders>
            <w:shd w:val="clear" w:color="auto" w:fill="auto"/>
            <w:noWrap/>
            <w:vAlign w:val="center"/>
            <w:hideMark/>
          </w:tcPr>
          <w:p w14:paraId="57DEDEDA" w14:textId="77777777" w:rsidR="00FE1E9F" w:rsidRPr="003D7202" w:rsidRDefault="00FE1E9F" w:rsidP="0039691D">
            <w:pPr>
              <w:pStyle w:val="cuatexto"/>
              <w:jc w:val="right"/>
              <w:rPr>
                <w:lang w:val="es-ES" w:eastAsia="es-ES"/>
              </w:rPr>
            </w:pPr>
            <w:r w:rsidRPr="003D7202">
              <w:rPr>
                <w:lang w:val="es-ES" w:eastAsia="es-ES"/>
              </w:rPr>
              <w:t>1</w:t>
            </w:r>
          </w:p>
        </w:tc>
        <w:tc>
          <w:tcPr>
            <w:tcW w:w="1278" w:type="dxa"/>
            <w:tcBorders>
              <w:top w:val="single" w:sz="2" w:space="0" w:color="auto"/>
              <w:bottom w:val="single" w:sz="2" w:space="0" w:color="auto"/>
            </w:tcBorders>
            <w:shd w:val="clear" w:color="auto" w:fill="auto"/>
            <w:noWrap/>
            <w:vAlign w:val="center"/>
            <w:hideMark/>
          </w:tcPr>
          <w:p w14:paraId="1C1831DB" w14:textId="77777777" w:rsidR="00FE1E9F" w:rsidRPr="003D7202" w:rsidRDefault="00FE1E9F" w:rsidP="0039691D">
            <w:pPr>
              <w:pStyle w:val="cuatexto"/>
              <w:jc w:val="right"/>
              <w:rPr>
                <w:lang w:val="es-ES" w:eastAsia="es-ES"/>
              </w:rPr>
            </w:pPr>
            <w:r w:rsidRPr="003D7202">
              <w:rPr>
                <w:lang w:val="es-ES" w:eastAsia="es-ES"/>
              </w:rPr>
              <w:t>1</w:t>
            </w:r>
          </w:p>
        </w:tc>
        <w:tc>
          <w:tcPr>
            <w:tcW w:w="1278" w:type="dxa"/>
            <w:tcBorders>
              <w:top w:val="single" w:sz="2" w:space="0" w:color="auto"/>
              <w:bottom w:val="single" w:sz="2" w:space="0" w:color="auto"/>
            </w:tcBorders>
            <w:shd w:val="clear" w:color="auto" w:fill="auto"/>
            <w:noWrap/>
            <w:vAlign w:val="center"/>
            <w:hideMark/>
          </w:tcPr>
          <w:p w14:paraId="673D5E2C" w14:textId="77777777" w:rsidR="00FE1E9F" w:rsidRPr="003D7202" w:rsidRDefault="00FE1E9F" w:rsidP="0039691D">
            <w:pPr>
              <w:pStyle w:val="cuatexto"/>
              <w:jc w:val="right"/>
              <w:rPr>
                <w:lang w:val="es-ES" w:eastAsia="es-ES"/>
              </w:rPr>
            </w:pPr>
            <w:r w:rsidRPr="003D7202">
              <w:rPr>
                <w:lang w:val="es-ES" w:eastAsia="es-ES"/>
              </w:rPr>
              <w:t>1</w:t>
            </w:r>
          </w:p>
        </w:tc>
        <w:tc>
          <w:tcPr>
            <w:tcW w:w="1137" w:type="dxa"/>
            <w:tcBorders>
              <w:top w:val="single" w:sz="2" w:space="0" w:color="auto"/>
              <w:bottom w:val="single" w:sz="2" w:space="0" w:color="auto"/>
            </w:tcBorders>
            <w:shd w:val="clear" w:color="auto" w:fill="auto"/>
            <w:noWrap/>
            <w:vAlign w:val="center"/>
            <w:hideMark/>
          </w:tcPr>
          <w:p w14:paraId="38529FFE" w14:textId="77777777" w:rsidR="00FE1E9F" w:rsidRPr="003D7202" w:rsidRDefault="00FE1E9F" w:rsidP="0039691D">
            <w:pPr>
              <w:pStyle w:val="cuatexto"/>
              <w:jc w:val="right"/>
              <w:rPr>
                <w:lang w:val="es-ES" w:eastAsia="es-ES"/>
              </w:rPr>
            </w:pPr>
            <w:r w:rsidRPr="003D7202">
              <w:rPr>
                <w:lang w:val="es-ES" w:eastAsia="es-ES"/>
              </w:rPr>
              <w:t>1</w:t>
            </w:r>
          </w:p>
        </w:tc>
      </w:tr>
      <w:tr w:rsidR="00FE1E9F" w:rsidRPr="003D7202" w14:paraId="1FBD5F56" w14:textId="77777777" w:rsidTr="005E3B7B">
        <w:trPr>
          <w:trHeight w:val="198"/>
        </w:trPr>
        <w:tc>
          <w:tcPr>
            <w:tcW w:w="3676" w:type="dxa"/>
            <w:tcBorders>
              <w:top w:val="single" w:sz="2" w:space="0" w:color="auto"/>
              <w:bottom w:val="single" w:sz="4" w:space="0" w:color="auto"/>
            </w:tcBorders>
            <w:shd w:val="clear" w:color="auto" w:fill="auto"/>
            <w:noWrap/>
            <w:vAlign w:val="center"/>
            <w:hideMark/>
          </w:tcPr>
          <w:p w14:paraId="622C9E9F" w14:textId="77777777" w:rsidR="00FE1E9F" w:rsidRPr="003D7202" w:rsidRDefault="00FE1E9F" w:rsidP="0039691D">
            <w:pPr>
              <w:pStyle w:val="cuatexto"/>
              <w:jc w:val="left"/>
              <w:rPr>
                <w:lang w:val="es-ES" w:eastAsia="es-ES"/>
              </w:rPr>
            </w:pPr>
            <w:r w:rsidRPr="003D7202">
              <w:rPr>
                <w:lang w:val="es-ES" w:eastAsia="es-ES"/>
              </w:rPr>
              <w:t>Coordinador</w:t>
            </w:r>
          </w:p>
        </w:tc>
        <w:tc>
          <w:tcPr>
            <w:tcW w:w="1278" w:type="dxa"/>
            <w:tcBorders>
              <w:top w:val="single" w:sz="2" w:space="0" w:color="auto"/>
              <w:bottom w:val="single" w:sz="4" w:space="0" w:color="auto"/>
            </w:tcBorders>
            <w:shd w:val="clear" w:color="auto" w:fill="auto"/>
            <w:noWrap/>
            <w:vAlign w:val="center"/>
            <w:hideMark/>
          </w:tcPr>
          <w:p w14:paraId="64CE30D2" w14:textId="77777777" w:rsidR="00FE1E9F" w:rsidRPr="003D7202" w:rsidRDefault="00FE1E9F" w:rsidP="0039691D">
            <w:pPr>
              <w:pStyle w:val="cuatexto"/>
              <w:jc w:val="right"/>
              <w:rPr>
                <w:lang w:val="es-ES" w:eastAsia="es-ES"/>
              </w:rPr>
            </w:pPr>
            <w:r w:rsidRPr="003D7202">
              <w:rPr>
                <w:lang w:val="es-ES" w:eastAsia="es-ES"/>
              </w:rPr>
              <w:t>1</w:t>
            </w:r>
          </w:p>
        </w:tc>
        <w:tc>
          <w:tcPr>
            <w:tcW w:w="1278" w:type="dxa"/>
            <w:tcBorders>
              <w:top w:val="single" w:sz="2" w:space="0" w:color="auto"/>
              <w:bottom w:val="single" w:sz="4" w:space="0" w:color="auto"/>
            </w:tcBorders>
            <w:shd w:val="clear" w:color="auto" w:fill="auto"/>
            <w:noWrap/>
            <w:vAlign w:val="center"/>
            <w:hideMark/>
          </w:tcPr>
          <w:p w14:paraId="5533DA2E" w14:textId="77777777" w:rsidR="00FE1E9F" w:rsidRPr="003D7202" w:rsidRDefault="00FE1E9F" w:rsidP="0039691D">
            <w:pPr>
              <w:pStyle w:val="cuatexto"/>
              <w:jc w:val="right"/>
              <w:rPr>
                <w:lang w:val="es-ES" w:eastAsia="es-ES"/>
              </w:rPr>
            </w:pPr>
            <w:r w:rsidRPr="003D7202">
              <w:rPr>
                <w:lang w:val="es-ES" w:eastAsia="es-ES"/>
              </w:rPr>
              <w:t>1</w:t>
            </w:r>
          </w:p>
        </w:tc>
        <w:tc>
          <w:tcPr>
            <w:tcW w:w="1278" w:type="dxa"/>
            <w:tcBorders>
              <w:top w:val="single" w:sz="2" w:space="0" w:color="auto"/>
              <w:bottom w:val="single" w:sz="4" w:space="0" w:color="auto"/>
            </w:tcBorders>
            <w:shd w:val="clear" w:color="auto" w:fill="auto"/>
            <w:noWrap/>
            <w:vAlign w:val="center"/>
            <w:hideMark/>
          </w:tcPr>
          <w:p w14:paraId="4145F426" w14:textId="77777777" w:rsidR="00FE1E9F" w:rsidRPr="003D7202" w:rsidRDefault="00FE1E9F" w:rsidP="0039691D">
            <w:pPr>
              <w:pStyle w:val="cuatexto"/>
              <w:jc w:val="right"/>
              <w:rPr>
                <w:lang w:val="es-ES" w:eastAsia="es-ES"/>
              </w:rPr>
            </w:pPr>
            <w:r w:rsidRPr="003D7202">
              <w:rPr>
                <w:lang w:val="es-ES" w:eastAsia="es-ES"/>
              </w:rPr>
              <w:t>-</w:t>
            </w:r>
          </w:p>
        </w:tc>
        <w:tc>
          <w:tcPr>
            <w:tcW w:w="1137" w:type="dxa"/>
            <w:tcBorders>
              <w:top w:val="single" w:sz="2" w:space="0" w:color="auto"/>
              <w:bottom w:val="single" w:sz="4" w:space="0" w:color="auto"/>
            </w:tcBorders>
            <w:shd w:val="clear" w:color="auto" w:fill="auto"/>
            <w:noWrap/>
            <w:vAlign w:val="center"/>
            <w:hideMark/>
          </w:tcPr>
          <w:p w14:paraId="33B41CB0" w14:textId="77777777" w:rsidR="00FE1E9F" w:rsidRPr="003D7202" w:rsidRDefault="00FE1E9F" w:rsidP="0039691D">
            <w:pPr>
              <w:pStyle w:val="cuatexto"/>
              <w:jc w:val="right"/>
              <w:rPr>
                <w:lang w:val="es-ES" w:eastAsia="es-ES"/>
              </w:rPr>
            </w:pPr>
            <w:r w:rsidRPr="003D7202">
              <w:rPr>
                <w:lang w:val="es-ES" w:eastAsia="es-ES"/>
              </w:rPr>
              <w:t>-</w:t>
            </w:r>
          </w:p>
        </w:tc>
      </w:tr>
      <w:tr w:rsidR="00FE1E9F" w:rsidRPr="003D7202" w14:paraId="436E1B65" w14:textId="77777777" w:rsidTr="005E3B7B">
        <w:trPr>
          <w:trHeight w:val="255"/>
        </w:trPr>
        <w:tc>
          <w:tcPr>
            <w:tcW w:w="3676" w:type="dxa"/>
            <w:shd w:val="clear" w:color="auto" w:fill="8DB3E2" w:themeFill="text2" w:themeFillTint="66"/>
            <w:noWrap/>
            <w:vAlign w:val="center"/>
          </w:tcPr>
          <w:p w14:paraId="3EFF2016" w14:textId="77777777" w:rsidR="00FE1E9F" w:rsidRPr="003D7202" w:rsidRDefault="00FE1E9F" w:rsidP="0039691D">
            <w:pPr>
              <w:pStyle w:val="cuadroCabe"/>
              <w:jc w:val="left"/>
              <w:rPr>
                <w:lang w:val="es-ES" w:eastAsia="es-ES"/>
              </w:rPr>
            </w:pPr>
            <w:proofErr w:type="gramStart"/>
            <w:r w:rsidRPr="003D7202">
              <w:rPr>
                <w:lang w:val="es-ES" w:eastAsia="es-ES"/>
              </w:rPr>
              <w:t>Total</w:t>
            </w:r>
            <w:proofErr w:type="gramEnd"/>
            <w:r w:rsidRPr="003D7202">
              <w:rPr>
                <w:lang w:val="es-ES" w:eastAsia="es-ES"/>
              </w:rPr>
              <w:t xml:space="preserve"> personal</w:t>
            </w:r>
          </w:p>
        </w:tc>
        <w:tc>
          <w:tcPr>
            <w:tcW w:w="1278" w:type="dxa"/>
            <w:shd w:val="clear" w:color="auto" w:fill="8DB3E2" w:themeFill="text2" w:themeFillTint="66"/>
            <w:noWrap/>
            <w:vAlign w:val="center"/>
          </w:tcPr>
          <w:p w14:paraId="5C7ECE85" w14:textId="77777777" w:rsidR="00FE1E9F" w:rsidRPr="003D7202" w:rsidRDefault="00FE1E9F" w:rsidP="0039691D">
            <w:pPr>
              <w:pStyle w:val="cuadroCabe"/>
              <w:jc w:val="right"/>
              <w:rPr>
                <w:lang w:val="es-ES" w:eastAsia="es-ES"/>
              </w:rPr>
            </w:pPr>
            <w:r w:rsidRPr="003D7202">
              <w:rPr>
                <w:lang w:val="es-ES" w:eastAsia="es-ES"/>
              </w:rPr>
              <w:t>6</w:t>
            </w:r>
          </w:p>
        </w:tc>
        <w:tc>
          <w:tcPr>
            <w:tcW w:w="1278" w:type="dxa"/>
            <w:shd w:val="clear" w:color="auto" w:fill="8DB3E2" w:themeFill="text2" w:themeFillTint="66"/>
            <w:noWrap/>
            <w:vAlign w:val="center"/>
          </w:tcPr>
          <w:p w14:paraId="07C5BF0D" w14:textId="77777777" w:rsidR="00FE1E9F" w:rsidRPr="003D7202" w:rsidRDefault="00FE1E9F" w:rsidP="0039691D">
            <w:pPr>
              <w:pStyle w:val="cuadroCabe"/>
              <w:jc w:val="right"/>
              <w:rPr>
                <w:lang w:val="es-ES" w:eastAsia="es-ES"/>
              </w:rPr>
            </w:pPr>
            <w:r w:rsidRPr="003D7202">
              <w:rPr>
                <w:lang w:val="es-ES" w:eastAsia="es-ES"/>
              </w:rPr>
              <w:t>6</w:t>
            </w:r>
          </w:p>
        </w:tc>
        <w:tc>
          <w:tcPr>
            <w:tcW w:w="1278" w:type="dxa"/>
            <w:shd w:val="clear" w:color="auto" w:fill="8DB3E2" w:themeFill="text2" w:themeFillTint="66"/>
            <w:noWrap/>
            <w:vAlign w:val="center"/>
          </w:tcPr>
          <w:p w14:paraId="483F1D6E" w14:textId="77777777" w:rsidR="00FE1E9F" w:rsidRPr="003D7202" w:rsidRDefault="00FE1E9F" w:rsidP="0039691D">
            <w:pPr>
              <w:pStyle w:val="cuadroCabe"/>
              <w:jc w:val="right"/>
              <w:rPr>
                <w:lang w:val="es-ES" w:eastAsia="es-ES"/>
              </w:rPr>
            </w:pPr>
            <w:r w:rsidRPr="003D7202">
              <w:rPr>
                <w:lang w:val="es-ES" w:eastAsia="es-ES"/>
              </w:rPr>
              <w:t>4</w:t>
            </w:r>
          </w:p>
        </w:tc>
        <w:tc>
          <w:tcPr>
            <w:tcW w:w="1137" w:type="dxa"/>
            <w:shd w:val="clear" w:color="auto" w:fill="8DB3E2" w:themeFill="text2" w:themeFillTint="66"/>
            <w:noWrap/>
            <w:vAlign w:val="center"/>
          </w:tcPr>
          <w:p w14:paraId="3858D848" w14:textId="77777777" w:rsidR="00FE1E9F" w:rsidRPr="003D7202" w:rsidRDefault="00FE1E9F" w:rsidP="0039691D">
            <w:pPr>
              <w:pStyle w:val="cuadroCabe"/>
              <w:jc w:val="right"/>
              <w:rPr>
                <w:lang w:val="es-ES" w:eastAsia="es-ES"/>
              </w:rPr>
            </w:pPr>
            <w:r w:rsidRPr="003D7202">
              <w:rPr>
                <w:lang w:val="es-ES" w:eastAsia="es-ES"/>
              </w:rPr>
              <w:t>4</w:t>
            </w:r>
          </w:p>
        </w:tc>
      </w:tr>
    </w:tbl>
    <w:p w14:paraId="721DD857" w14:textId="685E4DB7" w:rsidR="00FE1E9F" w:rsidRDefault="562D81B6" w:rsidP="00735125">
      <w:pPr>
        <w:pStyle w:val="texto"/>
        <w:spacing w:before="240" w:line="259" w:lineRule="auto"/>
      </w:pPr>
      <w:r>
        <w:t>En 2022 prestaban sus servicios cuatro personas en el CJN, dos menos que las que lo hacían en 2019. A partir de 2021, el CJN no ha dispuesto de la persona dedicada a socioeconomía ni de la encargada de la coordinación.</w:t>
      </w:r>
      <w:r w:rsidR="46BA5C5E">
        <w:t xml:space="preserve"> </w:t>
      </w:r>
      <w:r w:rsidR="6642DEB7">
        <w:t>La persona que ocupaba la presidencia fue contratada como coordinador</w:t>
      </w:r>
      <w:r w:rsidR="00227B5B">
        <w:t>,</w:t>
      </w:r>
      <w:r w:rsidR="6642DEB7">
        <w:t xml:space="preserve"> percibiendo una remuneración mensual por ello.</w:t>
      </w:r>
    </w:p>
    <w:p w14:paraId="0C909492" w14:textId="4E8BECAD" w:rsidR="00256B5E" w:rsidRDefault="00256B5E" w:rsidP="0050169C">
      <w:pPr>
        <w:pStyle w:val="texto"/>
      </w:pPr>
      <w:r>
        <w:t xml:space="preserve">La disminución del personal, como se detalla más adelante, ha sido consecuencia de la reducción de la financiación recibida </w:t>
      </w:r>
      <w:r w:rsidRPr="0050169C">
        <w:t>del</w:t>
      </w:r>
      <w:r>
        <w:t xml:space="preserve"> INJ.</w:t>
      </w:r>
    </w:p>
    <w:p w14:paraId="3A074631" w14:textId="328E5050" w:rsidR="00735125" w:rsidRDefault="6AB4ED8C" w:rsidP="004850F6">
      <w:pPr>
        <w:pStyle w:val="texto"/>
      </w:pPr>
      <w:r>
        <w:lastRenderedPageBreak/>
        <w:t>E</w:t>
      </w:r>
      <w:r w:rsidR="46B63285">
        <w:t>l</w:t>
      </w:r>
      <w:r>
        <w:t xml:space="preserve"> personal</w:t>
      </w:r>
      <w:r w:rsidR="7A5C21A9">
        <w:t xml:space="preserve"> del CJN</w:t>
      </w:r>
      <w:r>
        <w:t xml:space="preserve"> se rige por el “Convenio extraestatutario” firmado en 2019</w:t>
      </w:r>
      <w:r w:rsidR="008405D9">
        <w:t>,</w:t>
      </w:r>
      <w:r>
        <w:t xml:space="preserve"> cuya vigencia finalizaba en 31 de dic</w:t>
      </w:r>
      <w:r w:rsidR="00F36FC1">
        <w:t xml:space="preserve">iembre de 2021 y fue renovado en septiembre de 2022. </w:t>
      </w:r>
      <w:r w:rsidR="004850F6">
        <w:t>Las nóminas de este personal las realiza una asesoría externa.</w:t>
      </w:r>
    </w:p>
    <w:p w14:paraId="01C7B8AB" w14:textId="05CFF994" w:rsidR="00E50594" w:rsidRPr="008F2B11" w:rsidRDefault="00E50594" w:rsidP="004C3092">
      <w:pPr>
        <w:pStyle w:val="atitulo3"/>
        <w:spacing w:before="240"/>
      </w:pPr>
      <w:r>
        <w:t xml:space="preserve">Actividades realizadas </w:t>
      </w:r>
    </w:p>
    <w:p w14:paraId="056650C5" w14:textId="1F92FE48" w:rsidR="00E50594" w:rsidRDefault="00E50594" w:rsidP="00E50594">
      <w:pPr>
        <w:pStyle w:val="texto"/>
        <w:spacing w:after="120"/>
      </w:pPr>
      <w:r>
        <w:t xml:space="preserve">El CJN presenta al INJ una memoria anual de las actividades realizadas. El Anexo 1 que acompaña a este informe contiene el resumen de las actividades realizadas para el periodo 2019-2022. Hay que tener en cuenta que la actividad de los años 2020 y 2021 está condicionada por la pandemia de la </w:t>
      </w:r>
      <w:proofErr w:type="spellStart"/>
      <w:r>
        <w:t>C</w:t>
      </w:r>
      <w:r w:rsidR="00556922">
        <w:t>ovid-1</w:t>
      </w:r>
      <w:r>
        <w:t>9</w:t>
      </w:r>
      <w:proofErr w:type="spellEnd"/>
      <w:r>
        <w:t>.</w:t>
      </w:r>
    </w:p>
    <w:p w14:paraId="0842C9D4" w14:textId="59C0C231" w:rsidR="00E50594" w:rsidRDefault="00E50594" w:rsidP="00E50594">
      <w:pPr>
        <w:pStyle w:val="texto"/>
        <w:spacing w:after="240"/>
      </w:pPr>
      <w:r w:rsidRPr="00156997">
        <w:t xml:space="preserve">Del análisis de las memorias del CJN </w:t>
      </w:r>
      <w:r>
        <w:t>del periodo 2019-2022</w:t>
      </w:r>
      <w:r w:rsidRPr="00156997">
        <w:t xml:space="preserve"> observamos una disminución de las actividades llevadas a cabo por esta entidad.</w:t>
      </w:r>
    </w:p>
    <w:p w14:paraId="7E017BF6" w14:textId="43B0E7AB" w:rsidR="00FE1E9F" w:rsidRPr="00192ECB" w:rsidRDefault="00FE1E9F" w:rsidP="00192ECB">
      <w:pPr>
        <w:pStyle w:val="atitulo2"/>
        <w:spacing w:before="240"/>
      </w:pPr>
      <w:bookmarkStart w:id="4" w:name="_Toc149914887"/>
      <w:bookmarkStart w:id="5" w:name="_Toc153454647"/>
      <w:r w:rsidRPr="00192ECB">
        <w:t>II.2 Gastos</w:t>
      </w:r>
      <w:r w:rsidR="00103B15" w:rsidRPr="00192ECB">
        <w:t xml:space="preserve"> e ingresos</w:t>
      </w:r>
      <w:r w:rsidRPr="00192ECB">
        <w:t xml:space="preserve"> del Consejo de la Juventud de Navarra (201</w:t>
      </w:r>
      <w:r w:rsidR="006E3597" w:rsidRPr="00192ECB">
        <w:t>9</w:t>
      </w:r>
      <w:r w:rsidRPr="00192ECB">
        <w:t>-2022)</w:t>
      </w:r>
      <w:bookmarkEnd w:id="4"/>
      <w:bookmarkEnd w:id="5"/>
    </w:p>
    <w:p w14:paraId="15D6A741" w14:textId="61F9559A" w:rsidR="00103B15" w:rsidRPr="00F81BCE" w:rsidRDefault="00C92766" w:rsidP="004C3092">
      <w:pPr>
        <w:pStyle w:val="atitulo3"/>
        <w:spacing w:before="240"/>
      </w:pPr>
      <w:bookmarkStart w:id="6" w:name="_Toc149914888"/>
      <w:r>
        <w:t xml:space="preserve">II.2.1 </w:t>
      </w:r>
      <w:r w:rsidR="00103B15">
        <w:t>Gastos</w:t>
      </w:r>
    </w:p>
    <w:p w14:paraId="4581A44E" w14:textId="10F22383" w:rsidR="00103B15" w:rsidRDefault="00103B15" w:rsidP="00E50594">
      <w:pPr>
        <w:pStyle w:val="texto"/>
        <w:spacing w:after="200"/>
      </w:pPr>
      <w:r>
        <w:t>En el periodo 2019-2022,</w:t>
      </w:r>
      <w:r w:rsidR="00D3379E">
        <w:t xml:space="preserve"> atendiendo a los movimientos bancarios de dichos años,</w:t>
      </w:r>
      <w:r>
        <w:t xml:space="preserve"> los gastos</w:t>
      </w:r>
      <w:r w:rsidR="00F86604">
        <w:t xml:space="preserve"> efectivamente pagados por </w:t>
      </w:r>
      <w:r>
        <w:t xml:space="preserve">el CJN </w:t>
      </w:r>
      <w:r w:rsidRPr="00760C4D">
        <w:t>ascendieron</w:t>
      </w:r>
      <w:r>
        <w:t xml:space="preserve"> a </w:t>
      </w:r>
      <w:r w:rsidR="00067256">
        <w:t>658.447</w:t>
      </w:r>
      <w:r>
        <w:t xml:space="preserve"> euros según el siguiente detalle:</w:t>
      </w:r>
    </w:p>
    <w:tbl>
      <w:tblPr>
        <w:tblW w:w="8931" w:type="dxa"/>
        <w:tblInd w:w="-142" w:type="dxa"/>
        <w:tblLayout w:type="fixed"/>
        <w:tblCellMar>
          <w:left w:w="70" w:type="dxa"/>
          <w:right w:w="70" w:type="dxa"/>
        </w:tblCellMar>
        <w:tblLook w:val="04A0" w:firstRow="1" w:lastRow="0" w:firstColumn="1" w:lastColumn="0" w:noHBand="0" w:noVBand="1"/>
      </w:tblPr>
      <w:tblGrid>
        <w:gridCol w:w="2256"/>
        <w:gridCol w:w="1268"/>
        <w:gridCol w:w="1316"/>
        <w:gridCol w:w="1316"/>
        <w:gridCol w:w="1316"/>
        <w:gridCol w:w="1459"/>
      </w:tblGrid>
      <w:tr w:rsidR="00D3379E" w:rsidRPr="00D3379E" w14:paraId="6758CD30" w14:textId="77777777" w:rsidTr="00977592">
        <w:trPr>
          <w:trHeight w:val="255"/>
        </w:trPr>
        <w:tc>
          <w:tcPr>
            <w:tcW w:w="2256" w:type="dxa"/>
            <w:tcBorders>
              <w:top w:val="single" w:sz="4" w:space="0" w:color="auto"/>
              <w:left w:val="nil"/>
              <w:bottom w:val="single" w:sz="4" w:space="0" w:color="auto"/>
              <w:right w:val="nil"/>
            </w:tcBorders>
            <w:shd w:val="clear" w:color="auto" w:fill="8DB3E2" w:themeFill="text2" w:themeFillTint="66"/>
            <w:noWrap/>
            <w:vAlign w:val="bottom"/>
            <w:hideMark/>
          </w:tcPr>
          <w:p w14:paraId="2A9ED68A" w14:textId="77777777" w:rsidR="00D3379E" w:rsidRPr="00D3379E" w:rsidRDefault="00D3379E" w:rsidP="00CA110D">
            <w:pPr>
              <w:pStyle w:val="cuadroCabe"/>
              <w:jc w:val="left"/>
              <w:rPr>
                <w:lang w:val="es-ES" w:eastAsia="es-ES"/>
              </w:rPr>
            </w:pPr>
          </w:p>
        </w:tc>
        <w:tc>
          <w:tcPr>
            <w:tcW w:w="1268" w:type="dxa"/>
            <w:tcBorders>
              <w:top w:val="single" w:sz="4" w:space="0" w:color="auto"/>
              <w:left w:val="nil"/>
              <w:bottom w:val="single" w:sz="4" w:space="0" w:color="auto"/>
              <w:right w:val="nil"/>
            </w:tcBorders>
            <w:shd w:val="clear" w:color="auto" w:fill="8DB3E2" w:themeFill="text2" w:themeFillTint="66"/>
            <w:noWrap/>
            <w:vAlign w:val="center"/>
            <w:hideMark/>
          </w:tcPr>
          <w:p w14:paraId="2A993D6F" w14:textId="273A1114" w:rsidR="00D3379E" w:rsidRPr="00D3379E" w:rsidRDefault="001A0C22" w:rsidP="00CA110D">
            <w:pPr>
              <w:pStyle w:val="cuadroCabe"/>
              <w:jc w:val="right"/>
              <w:rPr>
                <w:rFonts w:cs="Arial"/>
                <w:color w:val="000000"/>
                <w:szCs w:val="18"/>
                <w:lang w:val="es-ES" w:eastAsia="es-ES"/>
              </w:rPr>
            </w:pPr>
            <w:r>
              <w:rPr>
                <w:rFonts w:cs="Arial"/>
                <w:color w:val="000000"/>
                <w:szCs w:val="18"/>
                <w:lang w:val="es-ES" w:eastAsia="es-ES"/>
              </w:rPr>
              <w:t>2</w:t>
            </w:r>
            <w:r w:rsidR="00D3379E" w:rsidRPr="00D3379E">
              <w:rPr>
                <w:rFonts w:cs="Arial"/>
                <w:color w:val="000000"/>
                <w:szCs w:val="18"/>
                <w:lang w:val="es-ES" w:eastAsia="es-ES"/>
              </w:rPr>
              <w:t>019</w:t>
            </w:r>
          </w:p>
        </w:tc>
        <w:tc>
          <w:tcPr>
            <w:tcW w:w="1316" w:type="dxa"/>
            <w:tcBorders>
              <w:top w:val="single" w:sz="4" w:space="0" w:color="auto"/>
              <w:left w:val="nil"/>
              <w:bottom w:val="single" w:sz="4" w:space="0" w:color="auto"/>
              <w:right w:val="nil"/>
            </w:tcBorders>
            <w:shd w:val="clear" w:color="auto" w:fill="8DB3E2" w:themeFill="text2" w:themeFillTint="66"/>
            <w:noWrap/>
            <w:vAlign w:val="center"/>
            <w:hideMark/>
          </w:tcPr>
          <w:p w14:paraId="53D681DF" w14:textId="74E94EDF" w:rsidR="00D3379E" w:rsidRPr="00D3379E" w:rsidRDefault="001A0C22" w:rsidP="00CA110D">
            <w:pPr>
              <w:pStyle w:val="cuadroCabe"/>
              <w:jc w:val="right"/>
              <w:rPr>
                <w:rFonts w:cs="Arial"/>
                <w:color w:val="000000"/>
                <w:szCs w:val="18"/>
                <w:lang w:val="es-ES" w:eastAsia="es-ES"/>
              </w:rPr>
            </w:pPr>
            <w:r>
              <w:rPr>
                <w:rFonts w:cs="Arial"/>
                <w:color w:val="000000"/>
                <w:szCs w:val="18"/>
                <w:lang w:val="es-ES" w:eastAsia="es-ES"/>
              </w:rPr>
              <w:t>2</w:t>
            </w:r>
            <w:r w:rsidR="00D3379E" w:rsidRPr="00D3379E">
              <w:rPr>
                <w:rFonts w:cs="Arial"/>
                <w:color w:val="000000"/>
                <w:szCs w:val="18"/>
                <w:lang w:val="es-ES" w:eastAsia="es-ES"/>
              </w:rPr>
              <w:t>020</w:t>
            </w:r>
          </w:p>
        </w:tc>
        <w:tc>
          <w:tcPr>
            <w:tcW w:w="1316" w:type="dxa"/>
            <w:tcBorders>
              <w:top w:val="single" w:sz="4" w:space="0" w:color="auto"/>
              <w:left w:val="nil"/>
              <w:bottom w:val="single" w:sz="4" w:space="0" w:color="auto"/>
              <w:right w:val="nil"/>
            </w:tcBorders>
            <w:shd w:val="clear" w:color="auto" w:fill="8DB3E2" w:themeFill="text2" w:themeFillTint="66"/>
            <w:noWrap/>
            <w:vAlign w:val="center"/>
            <w:hideMark/>
          </w:tcPr>
          <w:p w14:paraId="67412AD7" w14:textId="3C545A10" w:rsidR="00D3379E" w:rsidRPr="00D3379E" w:rsidRDefault="001A0C22" w:rsidP="00CA110D">
            <w:pPr>
              <w:pStyle w:val="cuadroCabe"/>
              <w:jc w:val="right"/>
              <w:rPr>
                <w:rFonts w:cs="Arial"/>
                <w:color w:val="000000"/>
                <w:szCs w:val="18"/>
                <w:lang w:val="es-ES" w:eastAsia="es-ES"/>
              </w:rPr>
            </w:pPr>
            <w:r>
              <w:rPr>
                <w:rFonts w:cs="Arial"/>
                <w:color w:val="000000"/>
                <w:szCs w:val="18"/>
                <w:lang w:val="es-ES" w:eastAsia="es-ES"/>
              </w:rPr>
              <w:t>2</w:t>
            </w:r>
            <w:r w:rsidR="00D3379E" w:rsidRPr="00D3379E">
              <w:rPr>
                <w:rFonts w:cs="Arial"/>
                <w:color w:val="000000"/>
                <w:szCs w:val="18"/>
                <w:lang w:val="es-ES" w:eastAsia="es-ES"/>
              </w:rPr>
              <w:t>021</w:t>
            </w:r>
          </w:p>
        </w:tc>
        <w:tc>
          <w:tcPr>
            <w:tcW w:w="1316" w:type="dxa"/>
            <w:tcBorders>
              <w:top w:val="single" w:sz="4" w:space="0" w:color="auto"/>
              <w:left w:val="nil"/>
              <w:bottom w:val="single" w:sz="4" w:space="0" w:color="auto"/>
              <w:right w:val="nil"/>
            </w:tcBorders>
            <w:shd w:val="clear" w:color="auto" w:fill="8DB3E2" w:themeFill="text2" w:themeFillTint="66"/>
            <w:noWrap/>
            <w:vAlign w:val="center"/>
            <w:hideMark/>
          </w:tcPr>
          <w:p w14:paraId="4A156A59" w14:textId="5239B132" w:rsidR="00D3379E" w:rsidRPr="00D3379E" w:rsidRDefault="001A0C22" w:rsidP="00CA110D">
            <w:pPr>
              <w:pStyle w:val="cuadroCabe"/>
              <w:jc w:val="right"/>
              <w:rPr>
                <w:rFonts w:cs="Arial"/>
                <w:color w:val="000000"/>
                <w:szCs w:val="18"/>
                <w:lang w:val="es-ES" w:eastAsia="es-ES"/>
              </w:rPr>
            </w:pPr>
            <w:r>
              <w:rPr>
                <w:rFonts w:cs="Arial"/>
                <w:color w:val="000000"/>
                <w:szCs w:val="18"/>
                <w:lang w:val="es-ES" w:eastAsia="es-ES"/>
              </w:rPr>
              <w:t>2</w:t>
            </w:r>
            <w:r w:rsidR="00D3379E" w:rsidRPr="00D3379E">
              <w:rPr>
                <w:rFonts w:cs="Arial"/>
                <w:color w:val="000000"/>
                <w:szCs w:val="18"/>
                <w:lang w:val="es-ES" w:eastAsia="es-ES"/>
              </w:rPr>
              <w:t>022</w:t>
            </w:r>
          </w:p>
        </w:tc>
        <w:tc>
          <w:tcPr>
            <w:tcW w:w="1459" w:type="dxa"/>
            <w:tcBorders>
              <w:top w:val="single" w:sz="4" w:space="0" w:color="auto"/>
              <w:left w:val="nil"/>
              <w:bottom w:val="single" w:sz="4" w:space="0" w:color="auto"/>
              <w:right w:val="nil"/>
            </w:tcBorders>
            <w:shd w:val="clear" w:color="auto" w:fill="8DB3E2" w:themeFill="text2" w:themeFillTint="66"/>
            <w:noWrap/>
            <w:vAlign w:val="center"/>
            <w:hideMark/>
          </w:tcPr>
          <w:p w14:paraId="329DB5EB" w14:textId="77777777" w:rsidR="00D3379E" w:rsidRPr="00D3379E" w:rsidRDefault="00D3379E" w:rsidP="00CA110D">
            <w:pPr>
              <w:pStyle w:val="cuadroCabe"/>
              <w:jc w:val="right"/>
              <w:rPr>
                <w:rFonts w:cs="Arial"/>
                <w:color w:val="000000"/>
                <w:szCs w:val="18"/>
                <w:lang w:val="es-ES" w:eastAsia="es-ES"/>
              </w:rPr>
            </w:pPr>
            <w:r w:rsidRPr="00D3379E">
              <w:rPr>
                <w:rFonts w:cs="Arial"/>
                <w:color w:val="000000"/>
                <w:szCs w:val="18"/>
                <w:lang w:val="es-ES" w:eastAsia="es-ES"/>
              </w:rPr>
              <w:t>Total</w:t>
            </w:r>
          </w:p>
        </w:tc>
      </w:tr>
      <w:tr w:rsidR="002C5A07" w:rsidRPr="00D3379E" w14:paraId="5900B3DB" w14:textId="77777777" w:rsidTr="00977592">
        <w:trPr>
          <w:trHeight w:val="198"/>
        </w:trPr>
        <w:tc>
          <w:tcPr>
            <w:tcW w:w="2256" w:type="dxa"/>
            <w:tcBorders>
              <w:top w:val="single" w:sz="4" w:space="0" w:color="auto"/>
              <w:left w:val="nil"/>
              <w:bottom w:val="single" w:sz="2" w:space="0" w:color="auto"/>
              <w:right w:val="nil"/>
            </w:tcBorders>
            <w:shd w:val="clear" w:color="auto" w:fill="auto"/>
            <w:noWrap/>
            <w:vAlign w:val="center"/>
            <w:hideMark/>
          </w:tcPr>
          <w:p w14:paraId="54C49BF4" w14:textId="7FBFC8D3" w:rsidR="002C5A07" w:rsidRPr="00D3379E" w:rsidRDefault="002C5A07" w:rsidP="002C5A07">
            <w:pPr>
              <w:pStyle w:val="cuatexto"/>
              <w:jc w:val="left"/>
              <w:rPr>
                <w:lang w:val="es-ES" w:eastAsia="es-ES"/>
              </w:rPr>
            </w:pPr>
            <w:r w:rsidRPr="00D3379E">
              <w:rPr>
                <w:lang w:val="es-ES" w:eastAsia="es-ES"/>
              </w:rPr>
              <w:t>Personal</w:t>
            </w:r>
          </w:p>
        </w:tc>
        <w:tc>
          <w:tcPr>
            <w:tcW w:w="1268" w:type="dxa"/>
            <w:tcBorders>
              <w:top w:val="single" w:sz="4" w:space="0" w:color="auto"/>
              <w:left w:val="nil"/>
              <w:bottom w:val="single" w:sz="2" w:space="0" w:color="auto"/>
              <w:right w:val="nil"/>
            </w:tcBorders>
            <w:shd w:val="clear" w:color="auto" w:fill="auto"/>
            <w:noWrap/>
            <w:vAlign w:val="center"/>
            <w:hideMark/>
          </w:tcPr>
          <w:p w14:paraId="159FC09A" w14:textId="2512864C" w:rsidR="002C5A07" w:rsidRPr="00D3379E" w:rsidRDefault="002C5A07" w:rsidP="002C5A07">
            <w:pPr>
              <w:pStyle w:val="cuatexto"/>
              <w:jc w:val="right"/>
              <w:rPr>
                <w:lang w:val="es-ES" w:eastAsia="es-ES"/>
              </w:rPr>
            </w:pPr>
            <w:r>
              <w:rPr>
                <w:rFonts w:cs="Calibri"/>
                <w:color w:val="000000"/>
                <w:szCs w:val="20"/>
              </w:rPr>
              <w:t>146.032</w:t>
            </w:r>
          </w:p>
        </w:tc>
        <w:tc>
          <w:tcPr>
            <w:tcW w:w="1316" w:type="dxa"/>
            <w:tcBorders>
              <w:top w:val="single" w:sz="4" w:space="0" w:color="auto"/>
              <w:left w:val="nil"/>
              <w:bottom w:val="single" w:sz="2" w:space="0" w:color="auto"/>
              <w:right w:val="nil"/>
            </w:tcBorders>
            <w:shd w:val="clear" w:color="auto" w:fill="auto"/>
            <w:noWrap/>
            <w:vAlign w:val="center"/>
            <w:hideMark/>
          </w:tcPr>
          <w:p w14:paraId="2CAC8912" w14:textId="4C62843F" w:rsidR="002C5A07" w:rsidRPr="00D3379E" w:rsidRDefault="002C5A07" w:rsidP="002C5A07">
            <w:pPr>
              <w:pStyle w:val="cuatexto"/>
              <w:jc w:val="right"/>
              <w:rPr>
                <w:lang w:val="es-ES" w:eastAsia="es-ES"/>
              </w:rPr>
            </w:pPr>
            <w:r>
              <w:rPr>
                <w:rFonts w:cs="Calibri"/>
                <w:color w:val="000000"/>
                <w:szCs w:val="20"/>
              </w:rPr>
              <w:t>134.573</w:t>
            </w:r>
          </w:p>
        </w:tc>
        <w:tc>
          <w:tcPr>
            <w:tcW w:w="1316" w:type="dxa"/>
            <w:tcBorders>
              <w:top w:val="single" w:sz="4" w:space="0" w:color="auto"/>
              <w:left w:val="nil"/>
              <w:bottom w:val="single" w:sz="2" w:space="0" w:color="auto"/>
              <w:right w:val="nil"/>
            </w:tcBorders>
            <w:shd w:val="clear" w:color="auto" w:fill="auto"/>
            <w:noWrap/>
            <w:vAlign w:val="center"/>
            <w:hideMark/>
          </w:tcPr>
          <w:p w14:paraId="7213490F" w14:textId="70A10789" w:rsidR="002C5A07" w:rsidRPr="00D3379E" w:rsidRDefault="002C5A07" w:rsidP="002C5A07">
            <w:pPr>
              <w:pStyle w:val="cuatexto"/>
              <w:jc w:val="right"/>
              <w:rPr>
                <w:lang w:val="es-ES" w:eastAsia="es-ES"/>
              </w:rPr>
            </w:pPr>
            <w:r>
              <w:rPr>
                <w:rFonts w:cs="Calibri"/>
                <w:color w:val="000000"/>
                <w:szCs w:val="20"/>
              </w:rPr>
              <w:t>103.500</w:t>
            </w:r>
          </w:p>
        </w:tc>
        <w:tc>
          <w:tcPr>
            <w:tcW w:w="1316" w:type="dxa"/>
            <w:tcBorders>
              <w:top w:val="single" w:sz="4" w:space="0" w:color="auto"/>
              <w:left w:val="nil"/>
              <w:bottom w:val="single" w:sz="2" w:space="0" w:color="auto"/>
              <w:right w:val="nil"/>
            </w:tcBorders>
            <w:shd w:val="clear" w:color="auto" w:fill="auto"/>
            <w:noWrap/>
            <w:vAlign w:val="center"/>
            <w:hideMark/>
          </w:tcPr>
          <w:p w14:paraId="68E6B643" w14:textId="77464BC2" w:rsidR="002C5A07" w:rsidRPr="00D3379E" w:rsidRDefault="002C5A07" w:rsidP="002C5A07">
            <w:pPr>
              <w:pStyle w:val="cuatexto"/>
              <w:jc w:val="right"/>
              <w:rPr>
                <w:lang w:val="es-ES" w:eastAsia="es-ES"/>
              </w:rPr>
            </w:pPr>
            <w:r>
              <w:rPr>
                <w:rFonts w:cs="Calibri"/>
                <w:color w:val="000000"/>
                <w:szCs w:val="20"/>
              </w:rPr>
              <w:t>109.972</w:t>
            </w:r>
          </w:p>
        </w:tc>
        <w:tc>
          <w:tcPr>
            <w:tcW w:w="1459" w:type="dxa"/>
            <w:tcBorders>
              <w:top w:val="single" w:sz="4" w:space="0" w:color="auto"/>
              <w:left w:val="nil"/>
              <w:bottom w:val="single" w:sz="2" w:space="0" w:color="auto"/>
              <w:right w:val="nil"/>
            </w:tcBorders>
            <w:shd w:val="clear" w:color="auto" w:fill="auto"/>
            <w:noWrap/>
            <w:vAlign w:val="center"/>
            <w:hideMark/>
          </w:tcPr>
          <w:p w14:paraId="75EB253E" w14:textId="351EFAD3" w:rsidR="002C5A07" w:rsidRPr="00D3379E" w:rsidRDefault="002C5A07" w:rsidP="002C5A07">
            <w:pPr>
              <w:pStyle w:val="cuatexto"/>
              <w:jc w:val="right"/>
              <w:rPr>
                <w:lang w:val="es-ES" w:eastAsia="es-ES"/>
              </w:rPr>
            </w:pPr>
            <w:r>
              <w:rPr>
                <w:rFonts w:cs="Calibri"/>
                <w:color w:val="000000"/>
                <w:szCs w:val="20"/>
              </w:rPr>
              <w:t>494.077</w:t>
            </w:r>
          </w:p>
        </w:tc>
      </w:tr>
      <w:tr w:rsidR="002C5A07" w:rsidRPr="00D3379E" w14:paraId="34A98D33" w14:textId="77777777" w:rsidTr="00977592">
        <w:trPr>
          <w:trHeight w:val="198"/>
        </w:trPr>
        <w:tc>
          <w:tcPr>
            <w:tcW w:w="2256" w:type="dxa"/>
            <w:tcBorders>
              <w:top w:val="single" w:sz="2" w:space="0" w:color="auto"/>
              <w:left w:val="nil"/>
              <w:bottom w:val="single" w:sz="2" w:space="0" w:color="auto"/>
              <w:right w:val="nil"/>
            </w:tcBorders>
            <w:shd w:val="clear" w:color="auto" w:fill="auto"/>
            <w:noWrap/>
            <w:vAlign w:val="center"/>
            <w:hideMark/>
          </w:tcPr>
          <w:p w14:paraId="0B00CDFA" w14:textId="61D7C29A" w:rsidR="002C5A07" w:rsidRPr="00D3379E" w:rsidRDefault="002C5A07" w:rsidP="002C5A07">
            <w:pPr>
              <w:pStyle w:val="cuatexto"/>
              <w:jc w:val="left"/>
              <w:rPr>
                <w:lang w:val="es-ES" w:eastAsia="es-ES"/>
              </w:rPr>
            </w:pPr>
            <w:r>
              <w:rPr>
                <w:lang w:val="es-ES" w:eastAsia="es-ES"/>
              </w:rPr>
              <w:t>Desarrollo de a</w:t>
            </w:r>
            <w:r w:rsidRPr="00D3379E">
              <w:rPr>
                <w:lang w:val="es-ES" w:eastAsia="es-ES"/>
              </w:rPr>
              <w:t>ctividades</w:t>
            </w:r>
          </w:p>
        </w:tc>
        <w:tc>
          <w:tcPr>
            <w:tcW w:w="1268" w:type="dxa"/>
            <w:tcBorders>
              <w:top w:val="single" w:sz="2" w:space="0" w:color="auto"/>
              <w:left w:val="nil"/>
              <w:bottom w:val="single" w:sz="2" w:space="0" w:color="auto"/>
              <w:right w:val="nil"/>
            </w:tcBorders>
            <w:shd w:val="clear" w:color="auto" w:fill="auto"/>
            <w:vAlign w:val="center"/>
            <w:hideMark/>
          </w:tcPr>
          <w:p w14:paraId="38EA9523" w14:textId="2EA52DD1" w:rsidR="002C5A07" w:rsidRPr="00D3379E" w:rsidRDefault="002C5A07" w:rsidP="002C5A07">
            <w:pPr>
              <w:pStyle w:val="cuatexto"/>
              <w:jc w:val="right"/>
              <w:rPr>
                <w:lang w:val="es-ES" w:eastAsia="es-ES"/>
              </w:rPr>
            </w:pPr>
            <w:r>
              <w:rPr>
                <w:rFonts w:cs="Calibri"/>
                <w:color w:val="000000"/>
                <w:szCs w:val="20"/>
              </w:rPr>
              <w:t>25.496</w:t>
            </w:r>
          </w:p>
        </w:tc>
        <w:tc>
          <w:tcPr>
            <w:tcW w:w="1316" w:type="dxa"/>
            <w:tcBorders>
              <w:top w:val="single" w:sz="2" w:space="0" w:color="auto"/>
              <w:left w:val="nil"/>
              <w:bottom w:val="single" w:sz="2" w:space="0" w:color="auto"/>
              <w:right w:val="nil"/>
            </w:tcBorders>
            <w:shd w:val="clear" w:color="auto" w:fill="auto"/>
            <w:vAlign w:val="center"/>
            <w:hideMark/>
          </w:tcPr>
          <w:p w14:paraId="1A6824BA" w14:textId="2B7EA787" w:rsidR="002C5A07" w:rsidRPr="00D3379E" w:rsidRDefault="002C5A07" w:rsidP="002C5A07">
            <w:pPr>
              <w:pStyle w:val="cuatexto"/>
              <w:jc w:val="right"/>
              <w:rPr>
                <w:lang w:val="es-ES" w:eastAsia="es-ES"/>
              </w:rPr>
            </w:pPr>
            <w:r>
              <w:rPr>
                <w:rFonts w:cs="Calibri"/>
                <w:color w:val="000000"/>
                <w:szCs w:val="20"/>
              </w:rPr>
              <w:t>20.151</w:t>
            </w:r>
          </w:p>
        </w:tc>
        <w:tc>
          <w:tcPr>
            <w:tcW w:w="1316" w:type="dxa"/>
            <w:tcBorders>
              <w:top w:val="single" w:sz="2" w:space="0" w:color="auto"/>
              <w:left w:val="nil"/>
              <w:bottom w:val="single" w:sz="2" w:space="0" w:color="auto"/>
              <w:right w:val="nil"/>
            </w:tcBorders>
            <w:shd w:val="clear" w:color="auto" w:fill="auto"/>
            <w:vAlign w:val="center"/>
            <w:hideMark/>
          </w:tcPr>
          <w:p w14:paraId="2855B236" w14:textId="1D985D5A" w:rsidR="002C5A07" w:rsidRPr="00D3379E" w:rsidRDefault="002C5A07" w:rsidP="002C5A07">
            <w:pPr>
              <w:pStyle w:val="cuatexto"/>
              <w:jc w:val="right"/>
              <w:rPr>
                <w:lang w:val="es-ES" w:eastAsia="es-ES"/>
              </w:rPr>
            </w:pPr>
            <w:r>
              <w:rPr>
                <w:rFonts w:cs="Calibri"/>
                <w:color w:val="000000"/>
                <w:szCs w:val="20"/>
              </w:rPr>
              <w:t>25.927</w:t>
            </w:r>
          </w:p>
        </w:tc>
        <w:tc>
          <w:tcPr>
            <w:tcW w:w="1316" w:type="dxa"/>
            <w:tcBorders>
              <w:top w:val="single" w:sz="2" w:space="0" w:color="auto"/>
              <w:left w:val="nil"/>
              <w:bottom w:val="single" w:sz="2" w:space="0" w:color="auto"/>
              <w:right w:val="nil"/>
            </w:tcBorders>
            <w:shd w:val="clear" w:color="auto" w:fill="auto"/>
            <w:vAlign w:val="center"/>
            <w:hideMark/>
          </w:tcPr>
          <w:p w14:paraId="7AA295C2" w14:textId="5AD1FA2C" w:rsidR="002C5A07" w:rsidRPr="004850F6" w:rsidRDefault="002C5A07" w:rsidP="38D5559C">
            <w:pPr>
              <w:pStyle w:val="cuatexto"/>
              <w:jc w:val="right"/>
              <w:rPr>
                <w:lang w:val="es-ES" w:eastAsia="es-ES"/>
              </w:rPr>
            </w:pPr>
            <w:r w:rsidRPr="004850F6">
              <w:rPr>
                <w:rFonts w:cs="Calibri"/>
                <w:color w:val="000000" w:themeColor="text1"/>
              </w:rPr>
              <w:t>25</w:t>
            </w:r>
            <w:r w:rsidR="6638A020" w:rsidRPr="004850F6">
              <w:rPr>
                <w:rFonts w:cs="Calibri"/>
                <w:color w:val="000000" w:themeColor="text1"/>
              </w:rPr>
              <w:t>.</w:t>
            </w:r>
            <w:r w:rsidRPr="004850F6">
              <w:rPr>
                <w:rFonts w:cs="Calibri"/>
                <w:color w:val="000000" w:themeColor="text1"/>
              </w:rPr>
              <w:t>004</w:t>
            </w:r>
          </w:p>
        </w:tc>
        <w:tc>
          <w:tcPr>
            <w:tcW w:w="1459" w:type="dxa"/>
            <w:tcBorders>
              <w:top w:val="single" w:sz="2" w:space="0" w:color="auto"/>
              <w:left w:val="nil"/>
              <w:bottom w:val="single" w:sz="2" w:space="0" w:color="auto"/>
              <w:right w:val="nil"/>
            </w:tcBorders>
            <w:shd w:val="clear" w:color="auto" w:fill="auto"/>
            <w:noWrap/>
            <w:vAlign w:val="center"/>
            <w:hideMark/>
          </w:tcPr>
          <w:p w14:paraId="4A583301" w14:textId="25EA2BD7" w:rsidR="002C5A07" w:rsidRPr="00D3379E" w:rsidRDefault="002C5A07" w:rsidP="002C5A07">
            <w:pPr>
              <w:pStyle w:val="cuatexto"/>
              <w:jc w:val="right"/>
              <w:rPr>
                <w:lang w:val="es-ES" w:eastAsia="es-ES"/>
              </w:rPr>
            </w:pPr>
            <w:r>
              <w:rPr>
                <w:rFonts w:cs="Calibri"/>
                <w:color w:val="000000"/>
                <w:szCs w:val="20"/>
              </w:rPr>
              <w:t>96.578</w:t>
            </w:r>
          </w:p>
        </w:tc>
      </w:tr>
      <w:tr w:rsidR="002C5A07" w:rsidRPr="00D3379E" w14:paraId="5F775A85" w14:textId="77777777" w:rsidTr="00977592">
        <w:trPr>
          <w:trHeight w:val="198"/>
        </w:trPr>
        <w:tc>
          <w:tcPr>
            <w:tcW w:w="2256" w:type="dxa"/>
            <w:tcBorders>
              <w:top w:val="single" w:sz="2" w:space="0" w:color="auto"/>
              <w:left w:val="nil"/>
              <w:bottom w:val="single" w:sz="2" w:space="0" w:color="auto"/>
              <w:right w:val="nil"/>
            </w:tcBorders>
            <w:shd w:val="clear" w:color="auto" w:fill="auto"/>
            <w:noWrap/>
            <w:vAlign w:val="center"/>
            <w:hideMark/>
          </w:tcPr>
          <w:p w14:paraId="679A9D37" w14:textId="040ED987" w:rsidR="002C5A07" w:rsidRPr="00D3379E" w:rsidRDefault="002C5A07" w:rsidP="002C5A07">
            <w:pPr>
              <w:pStyle w:val="cuatexto"/>
              <w:jc w:val="left"/>
              <w:rPr>
                <w:lang w:val="es-ES" w:eastAsia="es-ES"/>
              </w:rPr>
            </w:pPr>
            <w:r w:rsidRPr="00D3379E">
              <w:rPr>
                <w:lang w:val="es-ES" w:eastAsia="es-ES"/>
              </w:rPr>
              <w:t xml:space="preserve">Gastos </w:t>
            </w:r>
            <w:r>
              <w:rPr>
                <w:lang w:val="es-ES" w:eastAsia="es-ES"/>
              </w:rPr>
              <w:t>d</w:t>
            </w:r>
            <w:r w:rsidRPr="00D3379E">
              <w:rPr>
                <w:lang w:val="es-ES" w:eastAsia="es-ES"/>
              </w:rPr>
              <w:t xml:space="preserve">e </w:t>
            </w:r>
            <w:r>
              <w:rPr>
                <w:lang w:val="es-ES" w:eastAsia="es-ES"/>
              </w:rPr>
              <w:t>f</w:t>
            </w:r>
            <w:r w:rsidRPr="00D3379E">
              <w:rPr>
                <w:lang w:val="es-ES" w:eastAsia="es-ES"/>
              </w:rPr>
              <w:t>uncionamiento</w:t>
            </w:r>
          </w:p>
        </w:tc>
        <w:tc>
          <w:tcPr>
            <w:tcW w:w="1268" w:type="dxa"/>
            <w:tcBorders>
              <w:top w:val="single" w:sz="2" w:space="0" w:color="auto"/>
              <w:left w:val="nil"/>
              <w:bottom w:val="single" w:sz="2" w:space="0" w:color="auto"/>
              <w:right w:val="nil"/>
            </w:tcBorders>
            <w:shd w:val="clear" w:color="auto" w:fill="auto"/>
            <w:noWrap/>
            <w:vAlign w:val="center"/>
            <w:hideMark/>
          </w:tcPr>
          <w:p w14:paraId="318E2FF5" w14:textId="64CB3B71" w:rsidR="002C5A07" w:rsidRPr="00D3379E" w:rsidRDefault="002C5A07" w:rsidP="002C5A07">
            <w:pPr>
              <w:pStyle w:val="cuatexto"/>
              <w:ind w:left="-242"/>
              <w:jc w:val="right"/>
              <w:rPr>
                <w:lang w:val="es-ES" w:eastAsia="es-ES"/>
              </w:rPr>
            </w:pPr>
            <w:r>
              <w:rPr>
                <w:rFonts w:cs="Calibri"/>
                <w:color w:val="000000"/>
                <w:szCs w:val="20"/>
              </w:rPr>
              <w:t>7.101</w:t>
            </w:r>
          </w:p>
        </w:tc>
        <w:tc>
          <w:tcPr>
            <w:tcW w:w="1316" w:type="dxa"/>
            <w:tcBorders>
              <w:top w:val="single" w:sz="2" w:space="0" w:color="auto"/>
              <w:left w:val="nil"/>
              <w:bottom w:val="single" w:sz="2" w:space="0" w:color="auto"/>
              <w:right w:val="nil"/>
            </w:tcBorders>
            <w:shd w:val="clear" w:color="auto" w:fill="auto"/>
            <w:noWrap/>
            <w:vAlign w:val="center"/>
            <w:hideMark/>
          </w:tcPr>
          <w:p w14:paraId="36D28FD7" w14:textId="14A2CE10" w:rsidR="002C5A07" w:rsidRPr="00D3379E" w:rsidRDefault="002C5A07" w:rsidP="002C5A07">
            <w:pPr>
              <w:pStyle w:val="cuatexto"/>
              <w:jc w:val="right"/>
              <w:rPr>
                <w:lang w:val="es-ES" w:eastAsia="es-ES"/>
              </w:rPr>
            </w:pPr>
            <w:r>
              <w:rPr>
                <w:rFonts w:cs="Calibri"/>
                <w:color w:val="000000"/>
                <w:szCs w:val="20"/>
              </w:rPr>
              <w:t>7.065</w:t>
            </w:r>
          </w:p>
        </w:tc>
        <w:tc>
          <w:tcPr>
            <w:tcW w:w="1316" w:type="dxa"/>
            <w:tcBorders>
              <w:top w:val="single" w:sz="2" w:space="0" w:color="auto"/>
              <w:left w:val="nil"/>
              <w:bottom w:val="single" w:sz="2" w:space="0" w:color="auto"/>
              <w:right w:val="nil"/>
            </w:tcBorders>
            <w:shd w:val="clear" w:color="auto" w:fill="auto"/>
            <w:noWrap/>
            <w:vAlign w:val="center"/>
            <w:hideMark/>
          </w:tcPr>
          <w:p w14:paraId="46E4E9AC" w14:textId="460B51DB" w:rsidR="002C5A07" w:rsidRPr="00D3379E" w:rsidRDefault="002C5A07" w:rsidP="002C5A07">
            <w:pPr>
              <w:pStyle w:val="cuatexto"/>
              <w:jc w:val="right"/>
              <w:rPr>
                <w:lang w:val="es-ES" w:eastAsia="es-ES"/>
              </w:rPr>
            </w:pPr>
            <w:r>
              <w:rPr>
                <w:rFonts w:cs="Calibri"/>
                <w:color w:val="000000"/>
                <w:szCs w:val="20"/>
              </w:rPr>
              <w:t>9.258</w:t>
            </w:r>
          </w:p>
        </w:tc>
        <w:tc>
          <w:tcPr>
            <w:tcW w:w="1316" w:type="dxa"/>
            <w:tcBorders>
              <w:top w:val="single" w:sz="2" w:space="0" w:color="auto"/>
              <w:left w:val="nil"/>
              <w:bottom w:val="single" w:sz="2" w:space="0" w:color="auto"/>
              <w:right w:val="nil"/>
            </w:tcBorders>
            <w:shd w:val="clear" w:color="auto" w:fill="auto"/>
            <w:noWrap/>
            <w:vAlign w:val="center"/>
            <w:hideMark/>
          </w:tcPr>
          <w:p w14:paraId="56E538A9" w14:textId="0A603742" w:rsidR="002C5A07" w:rsidRPr="004850F6" w:rsidRDefault="002C5A07" w:rsidP="002C5A07">
            <w:pPr>
              <w:pStyle w:val="cuatexto"/>
              <w:jc w:val="right"/>
              <w:rPr>
                <w:lang w:val="es-ES" w:eastAsia="es-ES"/>
              </w:rPr>
            </w:pPr>
            <w:r w:rsidRPr="004850F6">
              <w:rPr>
                <w:rFonts w:cs="Calibri"/>
                <w:color w:val="000000"/>
                <w:szCs w:val="20"/>
              </w:rPr>
              <w:t>12.093</w:t>
            </w:r>
          </w:p>
        </w:tc>
        <w:tc>
          <w:tcPr>
            <w:tcW w:w="1459" w:type="dxa"/>
            <w:tcBorders>
              <w:top w:val="single" w:sz="2" w:space="0" w:color="auto"/>
              <w:left w:val="nil"/>
              <w:bottom w:val="single" w:sz="2" w:space="0" w:color="auto"/>
              <w:right w:val="nil"/>
            </w:tcBorders>
            <w:shd w:val="clear" w:color="auto" w:fill="auto"/>
            <w:noWrap/>
            <w:vAlign w:val="center"/>
            <w:hideMark/>
          </w:tcPr>
          <w:p w14:paraId="32BB88AE" w14:textId="02706E80" w:rsidR="002C5A07" w:rsidRPr="00D3379E" w:rsidRDefault="002C5A07" w:rsidP="002C5A07">
            <w:pPr>
              <w:pStyle w:val="cuatexto"/>
              <w:jc w:val="right"/>
              <w:rPr>
                <w:lang w:val="es-ES" w:eastAsia="es-ES"/>
              </w:rPr>
            </w:pPr>
            <w:r>
              <w:rPr>
                <w:rFonts w:cs="Calibri"/>
                <w:color w:val="000000"/>
                <w:szCs w:val="20"/>
              </w:rPr>
              <w:t>35.517</w:t>
            </w:r>
          </w:p>
        </w:tc>
      </w:tr>
      <w:tr w:rsidR="002C5A07" w:rsidRPr="00D3379E" w14:paraId="3F3500EB" w14:textId="77777777" w:rsidTr="00977592">
        <w:trPr>
          <w:trHeight w:val="198"/>
        </w:trPr>
        <w:tc>
          <w:tcPr>
            <w:tcW w:w="2256" w:type="dxa"/>
            <w:tcBorders>
              <w:top w:val="single" w:sz="2" w:space="0" w:color="auto"/>
              <w:left w:val="nil"/>
              <w:bottom w:val="single" w:sz="2" w:space="0" w:color="auto"/>
              <w:right w:val="nil"/>
            </w:tcBorders>
            <w:shd w:val="clear" w:color="auto" w:fill="auto"/>
            <w:noWrap/>
            <w:vAlign w:val="center"/>
            <w:hideMark/>
          </w:tcPr>
          <w:p w14:paraId="00D87BF5" w14:textId="549ADE13" w:rsidR="002C5A07" w:rsidRPr="00D3379E" w:rsidRDefault="002C5A07" w:rsidP="002C5A07">
            <w:pPr>
              <w:pStyle w:val="cuatexto"/>
              <w:jc w:val="left"/>
              <w:rPr>
                <w:lang w:val="es-ES" w:eastAsia="es-ES"/>
              </w:rPr>
            </w:pPr>
            <w:r w:rsidRPr="00D3379E">
              <w:rPr>
                <w:lang w:val="es-ES" w:eastAsia="es-ES"/>
              </w:rPr>
              <w:t>Equipamiento</w:t>
            </w:r>
          </w:p>
        </w:tc>
        <w:tc>
          <w:tcPr>
            <w:tcW w:w="1268" w:type="dxa"/>
            <w:tcBorders>
              <w:top w:val="single" w:sz="2" w:space="0" w:color="auto"/>
              <w:left w:val="nil"/>
              <w:bottom w:val="single" w:sz="2" w:space="0" w:color="auto"/>
              <w:right w:val="nil"/>
            </w:tcBorders>
            <w:shd w:val="clear" w:color="auto" w:fill="auto"/>
            <w:noWrap/>
            <w:vAlign w:val="center"/>
            <w:hideMark/>
          </w:tcPr>
          <w:p w14:paraId="0C181F1A" w14:textId="2DC64DB6" w:rsidR="002C5A07" w:rsidRPr="00D3379E" w:rsidRDefault="002C5A07" w:rsidP="002C5A07">
            <w:pPr>
              <w:pStyle w:val="cuatexto"/>
              <w:jc w:val="right"/>
              <w:rPr>
                <w:lang w:val="es-ES" w:eastAsia="es-ES"/>
              </w:rPr>
            </w:pPr>
            <w:r>
              <w:rPr>
                <w:rFonts w:cs="Calibri"/>
                <w:color w:val="000000"/>
                <w:szCs w:val="20"/>
              </w:rPr>
              <w:t>2.700</w:t>
            </w:r>
          </w:p>
        </w:tc>
        <w:tc>
          <w:tcPr>
            <w:tcW w:w="1316" w:type="dxa"/>
            <w:tcBorders>
              <w:top w:val="single" w:sz="2" w:space="0" w:color="auto"/>
              <w:left w:val="nil"/>
              <w:bottom w:val="single" w:sz="2" w:space="0" w:color="auto"/>
              <w:right w:val="nil"/>
            </w:tcBorders>
            <w:shd w:val="clear" w:color="auto" w:fill="auto"/>
            <w:noWrap/>
            <w:vAlign w:val="center"/>
            <w:hideMark/>
          </w:tcPr>
          <w:p w14:paraId="146DEBA9" w14:textId="38577BC3" w:rsidR="002C5A07" w:rsidRPr="00D3379E" w:rsidRDefault="002C5A07" w:rsidP="002C5A07">
            <w:pPr>
              <w:pStyle w:val="cuatexto"/>
              <w:jc w:val="right"/>
              <w:rPr>
                <w:lang w:val="es-ES" w:eastAsia="es-ES"/>
              </w:rPr>
            </w:pPr>
            <w:r>
              <w:rPr>
                <w:rFonts w:cs="Calibri"/>
                <w:color w:val="000000"/>
                <w:szCs w:val="20"/>
              </w:rPr>
              <w:t>2.906</w:t>
            </w:r>
          </w:p>
        </w:tc>
        <w:tc>
          <w:tcPr>
            <w:tcW w:w="1316" w:type="dxa"/>
            <w:tcBorders>
              <w:top w:val="single" w:sz="2" w:space="0" w:color="auto"/>
              <w:left w:val="nil"/>
              <w:bottom w:val="single" w:sz="2" w:space="0" w:color="auto"/>
              <w:right w:val="nil"/>
            </w:tcBorders>
            <w:shd w:val="clear" w:color="auto" w:fill="auto"/>
            <w:noWrap/>
            <w:vAlign w:val="center"/>
            <w:hideMark/>
          </w:tcPr>
          <w:p w14:paraId="57F66EC0" w14:textId="4F100817" w:rsidR="002C5A07" w:rsidRPr="00D3379E" w:rsidRDefault="002C5A07" w:rsidP="002C5A07">
            <w:pPr>
              <w:pStyle w:val="cuatexto"/>
              <w:jc w:val="right"/>
              <w:rPr>
                <w:lang w:val="es-ES" w:eastAsia="es-ES"/>
              </w:rPr>
            </w:pPr>
            <w:r>
              <w:rPr>
                <w:rFonts w:cs="Calibri"/>
                <w:color w:val="000000"/>
                <w:szCs w:val="20"/>
              </w:rPr>
              <w:t>6.166</w:t>
            </w:r>
          </w:p>
        </w:tc>
        <w:tc>
          <w:tcPr>
            <w:tcW w:w="1316" w:type="dxa"/>
            <w:tcBorders>
              <w:top w:val="single" w:sz="2" w:space="0" w:color="auto"/>
              <w:left w:val="nil"/>
              <w:bottom w:val="single" w:sz="2" w:space="0" w:color="auto"/>
              <w:right w:val="nil"/>
            </w:tcBorders>
            <w:shd w:val="clear" w:color="auto" w:fill="auto"/>
            <w:noWrap/>
            <w:vAlign w:val="center"/>
            <w:hideMark/>
          </w:tcPr>
          <w:p w14:paraId="24038E5C" w14:textId="3D9AEA44" w:rsidR="002C5A07" w:rsidRPr="004850F6" w:rsidRDefault="002C5A07" w:rsidP="002C5A07">
            <w:pPr>
              <w:pStyle w:val="cuatexto"/>
              <w:jc w:val="right"/>
              <w:rPr>
                <w:lang w:val="es-ES" w:eastAsia="es-ES"/>
              </w:rPr>
            </w:pPr>
            <w:r w:rsidRPr="004850F6">
              <w:rPr>
                <w:rFonts w:cs="Calibri"/>
                <w:color w:val="000000"/>
                <w:szCs w:val="20"/>
              </w:rPr>
              <w:t>2.869</w:t>
            </w:r>
          </w:p>
        </w:tc>
        <w:tc>
          <w:tcPr>
            <w:tcW w:w="1459" w:type="dxa"/>
            <w:tcBorders>
              <w:top w:val="single" w:sz="2" w:space="0" w:color="auto"/>
              <w:left w:val="nil"/>
              <w:bottom w:val="single" w:sz="2" w:space="0" w:color="auto"/>
              <w:right w:val="nil"/>
            </w:tcBorders>
            <w:shd w:val="clear" w:color="auto" w:fill="auto"/>
            <w:noWrap/>
            <w:vAlign w:val="center"/>
            <w:hideMark/>
          </w:tcPr>
          <w:p w14:paraId="3779300C" w14:textId="31997F95" w:rsidR="002C5A07" w:rsidRPr="00D3379E" w:rsidRDefault="002C5A07" w:rsidP="002C5A07">
            <w:pPr>
              <w:pStyle w:val="cuatexto"/>
              <w:jc w:val="right"/>
              <w:rPr>
                <w:lang w:val="es-ES" w:eastAsia="es-ES"/>
              </w:rPr>
            </w:pPr>
            <w:r>
              <w:rPr>
                <w:rFonts w:cs="Calibri"/>
                <w:color w:val="000000"/>
                <w:szCs w:val="20"/>
              </w:rPr>
              <w:t>14.641</w:t>
            </w:r>
          </w:p>
        </w:tc>
      </w:tr>
      <w:tr w:rsidR="002C5A07" w:rsidRPr="00D3379E" w14:paraId="70E1BDCB" w14:textId="77777777" w:rsidTr="00977592">
        <w:trPr>
          <w:trHeight w:val="198"/>
        </w:trPr>
        <w:tc>
          <w:tcPr>
            <w:tcW w:w="2256" w:type="dxa"/>
            <w:tcBorders>
              <w:top w:val="single" w:sz="2" w:space="0" w:color="auto"/>
              <w:left w:val="nil"/>
              <w:bottom w:val="single" w:sz="2" w:space="0" w:color="auto"/>
              <w:right w:val="nil"/>
            </w:tcBorders>
            <w:shd w:val="clear" w:color="auto" w:fill="auto"/>
            <w:noWrap/>
            <w:vAlign w:val="center"/>
            <w:hideMark/>
          </w:tcPr>
          <w:p w14:paraId="6F7118ED" w14:textId="71A6EA28" w:rsidR="002C5A07" w:rsidRPr="00D3379E" w:rsidRDefault="002C5A07" w:rsidP="002C5A07">
            <w:pPr>
              <w:pStyle w:val="cuatexto"/>
              <w:jc w:val="left"/>
              <w:rPr>
                <w:lang w:val="es-ES" w:eastAsia="es-ES"/>
              </w:rPr>
            </w:pPr>
            <w:r w:rsidRPr="00D3379E">
              <w:rPr>
                <w:lang w:val="es-ES" w:eastAsia="es-ES"/>
              </w:rPr>
              <w:t xml:space="preserve">Gastos </w:t>
            </w:r>
            <w:r>
              <w:rPr>
                <w:lang w:val="es-ES" w:eastAsia="es-ES"/>
              </w:rPr>
              <w:t>f</w:t>
            </w:r>
            <w:r w:rsidRPr="00D3379E">
              <w:rPr>
                <w:lang w:val="es-ES" w:eastAsia="es-ES"/>
              </w:rPr>
              <w:t>inancieros</w:t>
            </w:r>
          </w:p>
        </w:tc>
        <w:tc>
          <w:tcPr>
            <w:tcW w:w="1268" w:type="dxa"/>
            <w:tcBorders>
              <w:top w:val="single" w:sz="2" w:space="0" w:color="auto"/>
              <w:left w:val="nil"/>
              <w:bottom w:val="single" w:sz="2" w:space="0" w:color="auto"/>
              <w:right w:val="nil"/>
            </w:tcBorders>
            <w:shd w:val="clear" w:color="auto" w:fill="auto"/>
            <w:noWrap/>
            <w:vAlign w:val="center"/>
            <w:hideMark/>
          </w:tcPr>
          <w:p w14:paraId="60D628F7" w14:textId="3409161D" w:rsidR="002C5A07" w:rsidRPr="00D3379E" w:rsidRDefault="002C5A07" w:rsidP="002C5A07">
            <w:pPr>
              <w:pStyle w:val="cuatexto"/>
              <w:jc w:val="right"/>
              <w:rPr>
                <w:lang w:val="es-ES" w:eastAsia="es-ES"/>
              </w:rPr>
            </w:pPr>
            <w:r>
              <w:rPr>
                <w:rFonts w:cs="Calibri"/>
                <w:color w:val="000000"/>
                <w:szCs w:val="20"/>
              </w:rPr>
              <w:t>437</w:t>
            </w:r>
          </w:p>
        </w:tc>
        <w:tc>
          <w:tcPr>
            <w:tcW w:w="1316" w:type="dxa"/>
            <w:tcBorders>
              <w:top w:val="single" w:sz="2" w:space="0" w:color="auto"/>
              <w:left w:val="nil"/>
              <w:bottom w:val="single" w:sz="2" w:space="0" w:color="auto"/>
              <w:right w:val="nil"/>
            </w:tcBorders>
            <w:shd w:val="clear" w:color="auto" w:fill="auto"/>
            <w:noWrap/>
            <w:vAlign w:val="center"/>
            <w:hideMark/>
          </w:tcPr>
          <w:p w14:paraId="12EE8917" w14:textId="75BF8038" w:rsidR="002C5A07" w:rsidRPr="00D3379E" w:rsidRDefault="002C5A07" w:rsidP="002C5A07">
            <w:pPr>
              <w:pStyle w:val="cuatexto"/>
              <w:jc w:val="right"/>
              <w:rPr>
                <w:lang w:val="es-ES" w:eastAsia="es-ES"/>
              </w:rPr>
            </w:pPr>
            <w:r>
              <w:rPr>
                <w:rFonts w:cs="Calibri"/>
                <w:color w:val="000000"/>
                <w:szCs w:val="20"/>
              </w:rPr>
              <w:t>1.067</w:t>
            </w:r>
          </w:p>
        </w:tc>
        <w:tc>
          <w:tcPr>
            <w:tcW w:w="1316" w:type="dxa"/>
            <w:tcBorders>
              <w:top w:val="single" w:sz="2" w:space="0" w:color="auto"/>
              <w:left w:val="nil"/>
              <w:bottom w:val="single" w:sz="2" w:space="0" w:color="auto"/>
              <w:right w:val="nil"/>
            </w:tcBorders>
            <w:shd w:val="clear" w:color="auto" w:fill="auto"/>
            <w:noWrap/>
            <w:vAlign w:val="center"/>
            <w:hideMark/>
          </w:tcPr>
          <w:p w14:paraId="640DE669" w14:textId="73782228" w:rsidR="002C5A07" w:rsidRPr="00D3379E" w:rsidRDefault="002C5A07" w:rsidP="002C5A07">
            <w:pPr>
              <w:pStyle w:val="cuatexto"/>
              <w:jc w:val="right"/>
              <w:rPr>
                <w:lang w:val="es-ES" w:eastAsia="es-ES"/>
              </w:rPr>
            </w:pPr>
            <w:r>
              <w:rPr>
                <w:rFonts w:cs="Calibri"/>
                <w:color w:val="000000"/>
                <w:szCs w:val="20"/>
              </w:rPr>
              <w:t>299</w:t>
            </w:r>
          </w:p>
        </w:tc>
        <w:tc>
          <w:tcPr>
            <w:tcW w:w="1316" w:type="dxa"/>
            <w:tcBorders>
              <w:top w:val="single" w:sz="2" w:space="0" w:color="auto"/>
              <w:left w:val="nil"/>
              <w:bottom w:val="single" w:sz="2" w:space="0" w:color="auto"/>
              <w:right w:val="nil"/>
            </w:tcBorders>
            <w:shd w:val="clear" w:color="auto" w:fill="auto"/>
            <w:noWrap/>
            <w:vAlign w:val="center"/>
            <w:hideMark/>
          </w:tcPr>
          <w:p w14:paraId="044D26AF" w14:textId="6F68ED30" w:rsidR="002C5A07" w:rsidRPr="004850F6" w:rsidRDefault="002C5A07" w:rsidP="38D5559C">
            <w:pPr>
              <w:pStyle w:val="cuatexto"/>
              <w:jc w:val="right"/>
              <w:rPr>
                <w:lang w:val="es-ES" w:eastAsia="es-ES"/>
              </w:rPr>
            </w:pPr>
            <w:r w:rsidRPr="004850F6">
              <w:rPr>
                <w:rFonts w:cs="Calibri"/>
                <w:color w:val="000000" w:themeColor="text1"/>
              </w:rPr>
              <w:t>1</w:t>
            </w:r>
            <w:r w:rsidR="3E5FF313" w:rsidRPr="004850F6">
              <w:rPr>
                <w:rFonts w:cs="Calibri"/>
                <w:color w:val="000000" w:themeColor="text1"/>
              </w:rPr>
              <w:t>.</w:t>
            </w:r>
            <w:r w:rsidRPr="004850F6">
              <w:rPr>
                <w:rFonts w:cs="Calibri"/>
                <w:color w:val="000000" w:themeColor="text1"/>
              </w:rPr>
              <w:t>553</w:t>
            </w:r>
          </w:p>
        </w:tc>
        <w:tc>
          <w:tcPr>
            <w:tcW w:w="1459" w:type="dxa"/>
            <w:tcBorders>
              <w:top w:val="single" w:sz="2" w:space="0" w:color="auto"/>
              <w:left w:val="nil"/>
              <w:bottom w:val="single" w:sz="2" w:space="0" w:color="auto"/>
              <w:right w:val="nil"/>
            </w:tcBorders>
            <w:shd w:val="clear" w:color="auto" w:fill="auto"/>
            <w:noWrap/>
            <w:vAlign w:val="center"/>
            <w:hideMark/>
          </w:tcPr>
          <w:p w14:paraId="1ED1C791" w14:textId="1F3EE30A" w:rsidR="002C5A07" w:rsidRPr="00D3379E" w:rsidRDefault="002C5A07" w:rsidP="002C5A07">
            <w:pPr>
              <w:pStyle w:val="cuatexto"/>
              <w:jc w:val="right"/>
              <w:rPr>
                <w:lang w:val="es-ES" w:eastAsia="es-ES"/>
              </w:rPr>
            </w:pPr>
            <w:r w:rsidRPr="7D3A2687">
              <w:rPr>
                <w:rFonts w:cs="Calibri"/>
                <w:color w:val="000000" w:themeColor="text1"/>
              </w:rPr>
              <w:t>3.356</w:t>
            </w:r>
          </w:p>
        </w:tc>
      </w:tr>
      <w:tr w:rsidR="002C5A07" w:rsidRPr="00D3379E" w14:paraId="44E347D6" w14:textId="77777777" w:rsidTr="00977592">
        <w:trPr>
          <w:trHeight w:val="198"/>
        </w:trPr>
        <w:tc>
          <w:tcPr>
            <w:tcW w:w="2256" w:type="dxa"/>
            <w:tcBorders>
              <w:top w:val="single" w:sz="2" w:space="0" w:color="auto"/>
              <w:left w:val="nil"/>
              <w:bottom w:val="single" w:sz="4" w:space="0" w:color="auto"/>
              <w:right w:val="nil"/>
            </w:tcBorders>
            <w:shd w:val="clear" w:color="auto" w:fill="auto"/>
            <w:noWrap/>
            <w:vAlign w:val="center"/>
            <w:hideMark/>
          </w:tcPr>
          <w:p w14:paraId="1F3B16D3" w14:textId="172B07C9" w:rsidR="002C5A07" w:rsidRPr="00D3379E" w:rsidRDefault="002C5A07" w:rsidP="002C5A07">
            <w:pPr>
              <w:pStyle w:val="cuatexto"/>
              <w:jc w:val="left"/>
              <w:rPr>
                <w:lang w:val="es-ES" w:eastAsia="es-ES"/>
              </w:rPr>
            </w:pPr>
            <w:r w:rsidRPr="00D3379E">
              <w:rPr>
                <w:lang w:val="es-ES" w:eastAsia="es-ES"/>
              </w:rPr>
              <w:t xml:space="preserve">Otros </w:t>
            </w:r>
            <w:r>
              <w:rPr>
                <w:lang w:val="es-ES" w:eastAsia="es-ES"/>
              </w:rPr>
              <w:t>g</w:t>
            </w:r>
            <w:r w:rsidRPr="00D3379E">
              <w:rPr>
                <w:lang w:val="es-ES" w:eastAsia="es-ES"/>
              </w:rPr>
              <w:t>astos</w:t>
            </w:r>
          </w:p>
        </w:tc>
        <w:tc>
          <w:tcPr>
            <w:tcW w:w="1268" w:type="dxa"/>
            <w:tcBorders>
              <w:top w:val="single" w:sz="2" w:space="0" w:color="auto"/>
              <w:left w:val="nil"/>
              <w:bottom w:val="single" w:sz="4" w:space="0" w:color="auto"/>
              <w:right w:val="nil"/>
            </w:tcBorders>
            <w:shd w:val="clear" w:color="auto" w:fill="auto"/>
            <w:vAlign w:val="center"/>
            <w:hideMark/>
          </w:tcPr>
          <w:p w14:paraId="38E75CB7" w14:textId="604F487C" w:rsidR="002C5A07" w:rsidRPr="00D3379E" w:rsidRDefault="002C5A07" w:rsidP="002C5A07">
            <w:pPr>
              <w:pStyle w:val="cuatexto"/>
              <w:jc w:val="right"/>
              <w:rPr>
                <w:lang w:val="es-ES" w:eastAsia="es-ES"/>
              </w:rPr>
            </w:pPr>
            <w:r>
              <w:rPr>
                <w:rFonts w:cs="Calibri"/>
                <w:color w:val="000000"/>
                <w:szCs w:val="20"/>
              </w:rPr>
              <w:t>5.502</w:t>
            </w:r>
          </w:p>
        </w:tc>
        <w:tc>
          <w:tcPr>
            <w:tcW w:w="1316" w:type="dxa"/>
            <w:tcBorders>
              <w:top w:val="single" w:sz="2" w:space="0" w:color="auto"/>
              <w:left w:val="nil"/>
              <w:bottom w:val="single" w:sz="4" w:space="0" w:color="auto"/>
              <w:right w:val="nil"/>
            </w:tcBorders>
            <w:shd w:val="clear" w:color="auto" w:fill="auto"/>
            <w:vAlign w:val="center"/>
            <w:hideMark/>
          </w:tcPr>
          <w:p w14:paraId="1EDCBDF0" w14:textId="01CD8C2E" w:rsidR="002C5A07" w:rsidRPr="00D3379E" w:rsidRDefault="002C5A07" w:rsidP="002C5A07">
            <w:pPr>
              <w:pStyle w:val="cuatexto"/>
              <w:jc w:val="right"/>
              <w:rPr>
                <w:lang w:val="es-ES" w:eastAsia="es-ES"/>
              </w:rPr>
            </w:pPr>
            <w:r>
              <w:rPr>
                <w:rFonts w:cs="Calibri"/>
                <w:color w:val="000000"/>
                <w:szCs w:val="20"/>
              </w:rPr>
              <w:t>3.121</w:t>
            </w:r>
          </w:p>
        </w:tc>
        <w:tc>
          <w:tcPr>
            <w:tcW w:w="1316" w:type="dxa"/>
            <w:tcBorders>
              <w:top w:val="single" w:sz="2" w:space="0" w:color="auto"/>
              <w:left w:val="nil"/>
              <w:bottom w:val="single" w:sz="4" w:space="0" w:color="auto"/>
              <w:right w:val="nil"/>
            </w:tcBorders>
            <w:shd w:val="clear" w:color="auto" w:fill="auto"/>
            <w:vAlign w:val="center"/>
            <w:hideMark/>
          </w:tcPr>
          <w:p w14:paraId="156F516B" w14:textId="775354B0" w:rsidR="002C5A07" w:rsidRPr="00D3379E" w:rsidRDefault="002C5A07" w:rsidP="002C5A07">
            <w:pPr>
              <w:pStyle w:val="cuatexto"/>
              <w:jc w:val="right"/>
              <w:rPr>
                <w:lang w:val="es-ES" w:eastAsia="es-ES"/>
              </w:rPr>
            </w:pPr>
            <w:r>
              <w:rPr>
                <w:rFonts w:cs="Calibri"/>
                <w:color w:val="000000"/>
                <w:szCs w:val="20"/>
              </w:rPr>
              <w:t>2.985</w:t>
            </w:r>
          </w:p>
        </w:tc>
        <w:tc>
          <w:tcPr>
            <w:tcW w:w="1316" w:type="dxa"/>
            <w:tcBorders>
              <w:top w:val="single" w:sz="2" w:space="0" w:color="auto"/>
              <w:left w:val="nil"/>
              <w:bottom w:val="single" w:sz="4" w:space="0" w:color="auto"/>
              <w:right w:val="nil"/>
            </w:tcBorders>
            <w:shd w:val="clear" w:color="auto" w:fill="auto"/>
            <w:vAlign w:val="center"/>
            <w:hideMark/>
          </w:tcPr>
          <w:p w14:paraId="6A93364F" w14:textId="314D939F" w:rsidR="002C5A07" w:rsidRPr="004850F6" w:rsidRDefault="002C5A07" w:rsidP="002C5A07">
            <w:pPr>
              <w:pStyle w:val="cuatexto"/>
              <w:jc w:val="right"/>
              <w:rPr>
                <w:lang w:val="es-ES" w:eastAsia="es-ES"/>
              </w:rPr>
            </w:pPr>
            <w:r w:rsidRPr="004850F6">
              <w:rPr>
                <w:rFonts w:cs="Calibri"/>
                <w:color w:val="000000"/>
                <w:szCs w:val="20"/>
              </w:rPr>
              <w:t>2.669</w:t>
            </w:r>
          </w:p>
        </w:tc>
        <w:tc>
          <w:tcPr>
            <w:tcW w:w="1459" w:type="dxa"/>
            <w:tcBorders>
              <w:top w:val="single" w:sz="2" w:space="0" w:color="auto"/>
              <w:left w:val="nil"/>
              <w:bottom w:val="single" w:sz="4" w:space="0" w:color="auto"/>
              <w:right w:val="nil"/>
            </w:tcBorders>
            <w:shd w:val="clear" w:color="auto" w:fill="auto"/>
            <w:noWrap/>
            <w:vAlign w:val="center"/>
            <w:hideMark/>
          </w:tcPr>
          <w:p w14:paraId="2C9756A2" w14:textId="0E8EEC69" w:rsidR="002C5A07" w:rsidRPr="00D3379E" w:rsidRDefault="002C5A07" w:rsidP="002C5A07">
            <w:pPr>
              <w:pStyle w:val="cuatexto"/>
              <w:jc w:val="right"/>
              <w:rPr>
                <w:lang w:val="es-ES" w:eastAsia="es-ES"/>
              </w:rPr>
            </w:pPr>
            <w:r>
              <w:rPr>
                <w:rFonts w:cs="Calibri"/>
                <w:color w:val="000000"/>
                <w:szCs w:val="20"/>
              </w:rPr>
              <w:t>14.277</w:t>
            </w:r>
          </w:p>
        </w:tc>
      </w:tr>
      <w:tr w:rsidR="002C5A07" w:rsidRPr="00D3379E" w14:paraId="2D1387D0" w14:textId="77777777" w:rsidTr="00977592">
        <w:trPr>
          <w:trHeight w:val="255"/>
        </w:trPr>
        <w:tc>
          <w:tcPr>
            <w:tcW w:w="2256" w:type="dxa"/>
            <w:tcBorders>
              <w:top w:val="single" w:sz="4" w:space="0" w:color="auto"/>
              <w:left w:val="nil"/>
              <w:bottom w:val="single" w:sz="4" w:space="0" w:color="auto"/>
              <w:right w:val="nil"/>
            </w:tcBorders>
            <w:shd w:val="clear" w:color="auto" w:fill="8DB3E2" w:themeFill="text2" w:themeFillTint="66"/>
            <w:noWrap/>
            <w:vAlign w:val="center"/>
            <w:hideMark/>
          </w:tcPr>
          <w:p w14:paraId="5E47C56A" w14:textId="77777777" w:rsidR="002C5A07" w:rsidRPr="00D3379E" w:rsidRDefault="002C5A07" w:rsidP="002C5A07">
            <w:pPr>
              <w:pStyle w:val="cuadroCabe"/>
              <w:jc w:val="left"/>
              <w:rPr>
                <w:lang w:val="es-ES" w:eastAsia="es-ES"/>
              </w:rPr>
            </w:pPr>
            <w:proofErr w:type="gramStart"/>
            <w:r w:rsidRPr="00D3379E">
              <w:rPr>
                <w:lang w:val="es-ES" w:eastAsia="es-ES"/>
              </w:rPr>
              <w:t>Total</w:t>
            </w:r>
            <w:proofErr w:type="gramEnd"/>
            <w:r w:rsidRPr="00D3379E">
              <w:rPr>
                <w:lang w:val="es-ES" w:eastAsia="es-ES"/>
              </w:rPr>
              <w:t xml:space="preserve"> gastos</w:t>
            </w:r>
          </w:p>
        </w:tc>
        <w:tc>
          <w:tcPr>
            <w:tcW w:w="1268" w:type="dxa"/>
            <w:tcBorders>
              <w:top w:val="single" w:sz="4" w:space="0" w:color="auto"/>
              <w:left w:val="nil"/>
              <w:bottom w:val="single" w:sz="4" w:space="0" w:color="auto"/>
              <w:right w:val="nil"/>
            </w:tcBorders>
            <w:shd w:val="clear" w:color="auto" w:fill="8DB3E2" w:themeFill="text2" w:themeFillTint="66"/>
            <w:noWrap/>
            <w:vAlign w:val="center"/>
            <w:hideMark/>
          </w:tcPr>
          <w:p w14:paraId="026D6A33" w14:textId="32BCAC11" w:rsidR="002C5A07" w:rsidRPr="00D3379E" w:rsidRDefault="002C5A07" w:rsidP="002C5A07">
            <w:pPr>
              <w:pStyle w:val="cuadroCabe"/>
              <w:jc w:val="right"/>
              <w:rPr>
                <w:lang w:val="es-ES" w:eastAsia="es-ES"/>
              </w:rPr>
            </w:pPr>
            <w:r>
              <w:rPr>
                <w:rFonts w:cs="Arial"/>
                <w:color w:val="000000"/>
                <w:szCs w:val="18"/>
              </w:rPr>
              <w:t>187.268</w:t>
            </w:r>
          </w:p>
        </w:tc>
        <w:tc>
          <w:tcPr>
            <w:tcW w:w="1316" w:type="dxa"/>
            <w:tcBorders>
              <w:top w:val="single" w:sz="4" w:space="0" w:color="auto"/>
              <w:left w:val="nil"/>
              <w:bottom w:val="single" w:sz="4" w:space="0" w:color="auto"/>
              <w:right w:val="nil"/>
            </w:tcBorders>
            <w:shd w:val="clear" w:color="auto" w:fill="8DB3E2" w:themeFill="text2" w:themeFillTint="66"/>
            <w:noWrap/>
            <w:vAlign w:val="center"/>
            <w:hideMark/>
          </w:tcPr>
          <w:p w14:paraId="3A8FCF37" w14:textId="2A08D1BE" w:rsidR="002C5A07" w:rsidRPr="00D3379E" w:rsidRDefault="002C5A07" w:rsidP="002C5A07">
            <w:pPr>
              <w:pStyle w:val="cuadroCabe"/>
              <w:jc w:val="right"/>
              <w:rPr>
                <w:lang w:val="es-ES" w:eastAsia="es-ES"/>
              </w:rPr>
            </w:pPr>
            <w:r>
              <w:rPr>
                <w:rFonts w:cs="Arial"/>
                <w:color w:val="000000"/>
                <w:szCs w:val="18"/>
              </w:rPr>
              <w:t>168.883</w:t>
            </w:r>
          </w:p>
        </w:tc>
        <w:tc>
          <w:tcPr>
            <w:tcW w:w="1316" w:type="dxa"/>
            <w:tcBorders>
              <w:top w:val="single" w:sz="4" w:space="0" w:color="auto"/>
              <w:left w:val="nil"/>
              <w:bottom w:val="single" w:sz="4" w:space="0" w:color="auto"/>
              <w:right w:val="nil"/>
            </w:tcBorders>
            <w:shd w:val="clear" w:color="auto" w:fill="8DB3E2" w:themeFill="text2" w:themeFillTint="66"/>
            <w:noWrap/>
            <w:vAlign w:val="center"/>
            <w:hideMark/>
          </w:tcPr>
          <w:p w14:paraId="3A0D3CA9" w14:textId="0DDDAFBA" w:rsidR="002C5A07" w:rsidRPr="00D3379E" w:rsidRDefault="002C5A07" w:rsidP="002C5A07">
            <w:pPr>
              <w:pStyle w:val="cuadroCabe"/>
              <w:jc w:val="right"/>
              <w:rPr>
                <w:lang w:val="es-ES" w:eastAsia="es-ES"/>
              </w:rPr>
            </w:pPr>
            <w:r>
              <w:rPr>
                <w:rFonts w:cs="Arial"/>
                <w:color w:val="000000"/>
                <w:szCs w:val="18"/>
              </w:rPr>
              <w:t>148.135</w:t>
            </w:r>
          </w:p>
        </w:tc>
        <w:tc>
          <w:tcPr>
            <w:tcW w:w="1316" w:type="dxa"/>
            <w:tcBorders>
              <w:top w:val="single" w:sz="4" w:space="0" w:color="auto"/>
              <w:left w:val="nil"/>
              <w:bottom w:val="single" w:sz="4" w:space="0" w:color="auto"/>
              <w:right w:val="nil"/>
            </w:tcBorders>
            <w:shd w:val="clear" w:color="auto" w:fill="8DB3E2" w:themeFill="text2" w:themeFillTint="66"/>
            <w:noWrap/>
            <w:vAlign w:val="center"/>
            <w:hideMark/>
          </w:tcPr>
          <w:p w14:paraId="28DCFB69" w14:textId="1E9CF7FD" w:rsidR="002C5A07" w:rsidRPr="00D3379E" w:rsidRDefault="002C5A07" w:rsidP="002C5A07">
            <w:pPr>
              <w:pStyle w:val="cuadroCabe"/>
              <w:jc w:val="right"/>
              <w:rPr>
                <w:lang w:val="es-ES" w:eastAsia="es-ES"/>
              </w:rPr>
            </w:pPr>
            <w:r>
              <w:rPr>
                <w:rFonts w:cs="Arial"/>
                <w:color w:val="000000"/>
                <w:szCs w:val="18"/>
              </w:rPr>
              <w:t>154.160</w:t>
            </w:r>
          </w:p>
        </w:tc>
        <w:tc>
          <w:tcPr>
            <w:tcW w:w="1459" w:type="dxa"/>
            <w:tcBorders>
              <w:top w:val="single" w:sz="4" w:space="0" w:color="auto"/>
              <w:left w:val="nil"/>
              <w:bottom w:val="single" w:sz="4" w:space="0" w:color="auto"/>
              <w:right w:val="nil"/>
            </w:tcBorders>
            <w:shd w:val="clear" w:color="auto" w:fill="8DB3E2" w:themeFill="text2" w:themeFillTint="66"/>
            <w:noWrap/>
            <w:vAlign w:val="center"/>
            <w:hideMark/>
          </w:tcPr>
          <w:p w14:paraId="40A5A0B8" w14:textId="3656E944" w:rsidR="002C5A07" w:rsidRPr="00D3379E" w:rsidRDefault="002C5A07" w:rsidP="002C5A07">
            <w:pPr>
              <w:pStyle w:val="cuadroCabe"/>
              <w:jc w:val="right"/>
              <w:rPr>
                <w:lang w:val="es-ES" w:eastAsia="es-ES"/>
              </w:rPr>
            </w:pPr>
            <w:r>
              <w:rPr>
                <w:rFonts w:cs="Arial"/>
                <w:color w:val="000000"/>
                <w:szCs w:val="18"/>
              </w:rPr>
              <w:t>658.446</w:t>
            </w:r>
          </w:p>
        </w:tc>
      </w:tr>
    </w:tbl>
    <w:p w14:paraId="7CEE93D5" w14:textId="23A56189" w:rsidR="00067256" w:rsidRDefault="00067256" w:rsidP="00E50594">
      <w:pPr>
        <w:pStyle w:val="texto"/>
        <w:spacing w:before="200"/>
      </w:pPr>
      <w:r>
        <w:t xml:space="preserve">Del análisis </w:t>
      </w:r>
      <w:r w:rsidRPr="0050169C">
        <w:t>de</w:t>
      </w:r>
      <w:r>
        <w:t xml:space="preserve"> los datos anteriores señalamos los siguientes aspectos:</w:t>
      </w:r>
    </w:p>
    <w:p w14:paraId="1B64B6F8" w14:textId="64E3CCA3" w:rsidR="00067256" w:rsidRDefault="18851A1F" w:rsidP="00150D66">
      <w:pPr>
        <w:pStyle w:val="texto"/>
        <w:numPr>
          <w:ilvl w:val="0"/>
          <w:numId w:val="3"/>
        </w:numPr>
        <w:tabs>
          <w:tab w:val="clear" w:pos="2835"/>
          <w:tab w:val="clear" w:pos="3969"/>
          <w:tab w:val="clear" w:pos="5103"/>
          <w:tab w:val="clear" w:pos="6237"/>
          <w:tab w:val="clear" w:pos="7371"/>
          <w:tab w:val="num" w:pos="300"/>
          <w:tab w:val="left" w:pos="480"/>
          <w:tab w:val="num" w:pos="600"/>
        </w:tabs>
        <w:spacing w:after="0"/>
        <w:ind w:left="0" w:firstLine="284"/>
        <w:rPr>
          <w:rFonts w:eastAsia="Calibri"/>
        </w:rPr>
      </w:pPr>
      <w:r w:rsidRPr="7D3A2687">
        <w:rPr>
          <w:rFonts w:eastAsia="Calibri"/>
        </w:rPr>
        <w:t>L</w:t>
      </w:r>
      <w:r w:rsidR="00067256" w:rsidRPr="7D3A2687">
        <w:rPr>
          <w:rFonts w:eastAsia="Calibri"/>
        </w:rPr>
        <w:t>a distribución del gasto del CJN por concepto en el periodo 2019-2022</w:t>
      </w:r>
      <w:r w:rsidR="7CDEC555" w:rsidRPr="7D3A2687">
        <w:rPr>
          <w:rFonts w:eastAsia="Calibri"/>
        </w:rPr>
        <w:t xml:space="preserve"> es la siguiente</w:t>
      </w:r>
      <w:r w:rsidR="00067256" w:rsidRPr="7D3A2687">
        <w:rPr>
          <w:rFonts w:eastAsia="Calibri"/>
        </w:rPr>
        <w:t>:</w:t>
      </w:r>
    </w:p>
    <w:p w14:paraId="36CCD178" w14:textId="3E71BEF2" w:rsidR="00067256" w:rsidRPr="00067256" w:rsidRDefault="00067256" w:rsidP="14B3A08B">
      <w:pPr>
        <w:pStyle w:val="Default"/>
        <w:spacing w:before="120" w:after="120"/>
        <w:ind w:left="284" w:hanging="426"/>
        <w:jc w:val="both"/>
        <w:rPr>
          <w:rFonts w:eastAsia="Calibri"/>
          <w:sz w:val="26"/>
          <w:szCs w:val="26"/>
        </w:rPr>
      </w:pPr>
      <w:r>
        <w:rPr>
          <w:noProof/>
        </w:rPr>
        <w:drawing>
          <wp:inline distT="0" distB="0" distL="0" distR="0" wp14:anchorId="2CB723C1" wp14:editId="05151728">
            <wp:extent cx="5836920" cy="2151143"/>
            <wp:effectExtent l="0" t="0" r="0" b="190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AF687F" w14:textId="7F338233" w:rsidR="00067256" w:rsidRDefault="00067256" w:rsidP="00760C4D">
      <w:pPr>
        <w:pStyle w:val="texto"/>
      </w:pPr>
      <w:r>
        <w:lastRenderedPageBreak/>
        <w:t xml:space="preserve">El 75 por ciento del gasto se destinó a personal, el 15 por ciento al desarrollo de actividades, el cinco por ciento a gastos de funcionamiento, el dos por ciento tanto a equipamiento como a otros gastos, y el uno por </w:t>
      </w:r>
      <w:bookmarkStart w:id="7" w:name="_Int_QYalb5OW"/>
      <w:proofErr w:type="gramStart"/>
      <w:r>
        <w:t>ciento restante</w:t>
      </w:r>
      <w:bookmarkEnd w:id="7"/>
      <w:proofErr w:type="gramEnd"/>
      <w:r>
        <w:t xml:space="preserve"> a gastos financieros. </w:t>
      </w:r>
    </w:p>
    <w:p w14:paraId="2D8C1741" w14:textId="25676CBF" w:rsidR="00067256" w:rsidRPr="00067256" w:rsidRDefault="00067256"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iCs/>
          <w:szCs w:val="26"/>
        </w:rPr>
      </w:pPr>
      <w:r>
        <w:rPr>
          <w:rFonts w:eastAsia="Calibri"/>
          <w:iCs/>
          <w:szCs w:val="26"/>
        </w:rPr>
        <w:t xml:space="preserve">Los gastos </w:t>
      </w:r>
      <w:r w:rsidRPr="00CA110D">
        <w:rPr>
          <w:rFonts w:eastAsia="Calibri"/>
          <w:szCs w:val="26"/>
        </w:rPr>
        <w:t>de</w:t>
      </w:r>
      <w:r>
        <w:rPr>
          <w:rFonts w:eastAsia="Calibri"/>
          <w:iCs/>
          <w:szCs w:val="26"/>
        </w:rPr>
        <w:t xml:space="preserve"> personal, actividades</w:t>
      </w:r>
      <w:r>
        <w:rPr>
          <w:rStyle w:val="Refdenotaalpie"/>
          <w:rFonts w:eastAsia="Calibri"/>
          <w:iCs/>
          <w:szCs w:val="26"/>
        </w:rPr>
        <w:footnoteReference w:id="1"/>
      </w:r>
      <w:r>
        <w:rPr>
          <w:rFonts w:eastAsia="Calibri"/>
          <w:iCs/>
          <w:szCs w:val="26"/>
        </w:rPr>
        <w:t>, funcionamiento y equipamiento se corresponden con los presentados como justificación a las subvenciones procedentes del INJ y del Parlamento de Navarra</w:t>
      </w:r>
      <w:r w:rsidRPr="00067256">
        <w:rPr>
          <w:rFonts w:eastAsia="Calibri"/>
          <w:iCs/>
          <w:szCs w:val="26"/>
        </w:rPr>
        <w:t>.</w:t>
      </w:r>
    </w:p>
    <w:p w14:paraId="7264DD65" w14:textId="2AB4DFB3" w:rsidR="00067256" w:rsidRPr="00067256" w:rsidRDefault="006D5D6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rPr>
      </w:pPr>
      <w:r w:rsidRPr="7D3A2687">
        <w:rPr>
          <w:rFonts w:eastAsia="Calibri"/>
        </w:rPr>
        <w:t>El</w:t>
      </w:r>
      <w:r w:rsidR="00067256" w:rsidRPr="7D3A2687">
        <w:rPr>
          <w:rFonts w:eastAsia="Calibri"/>
        </w:rPr>
        <w:t xml:space="preserve"> concepto “otros gastos” agrupa el resto de </w:t>
      </w:r>
      <w:bookmarkStart w:id="8" w:name="_Int_4Ity744I"/>
      <w:proofErr w:type="gramStart"/>
      <w:r w:rsidR="00067256" w:rsidRPr="7D3A2687">
        <w:rPr>
          <w:rFonts w:eastAsia="Calibri"/>
        </w:rPr>
        <w:t>gastos</w:t>
      </w:r>
      <w:bookmarkEnd w:id="8"/>
      <w:proofErr w:type="gramEnd"/>
      <w:r w:rsidR="00067256" w:rsidRPr="7D3A2687">
        <w:rPr>
          <w:rFonts w:eastAsia="Calibri"/>
        </w:rPr>
        <w:t xml:space="preserve"> resultante de los movimientos bancarios una vez deducidos los gastos presentados como justificación a las subvenciones mencionadas. </w:t>
      </w:r>
    </w:p>
    <w:p w14:paraId="576BAB09" w14:textId="5D68DAB4" w:rsidR="00067256" w:rsidRPr="00067256" w:rsidRDefault="4F2956E9"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rPr>
      </w:pPr>
      <w:r w:rsidRPr="7D3A2687">
        <w:rPr>
          <w:rFonts w:eastAsia="Calibri"/>
        </w:rPr>
        <w:t>D</w:t>
      </w:r>
      <w:r w:rsidR="00067256" w:rsidRPr="7D3A2687">
        <w:rPr>
          <w:rFonts w:eastAsia="Calibri"/>
        </w:rPr>
        <w:t>ado el desfase existente entre la recepción de los ingresos y el devengo de los gastos</w:t>
      </w:r>
      <w:r w:rsidR="72672812" w:rsidRPr="7D3A2687">
        <w:rPr>
          <w:rFonts w:eastAsia="Calibri"/>
        </w:rPr>
        <w:t xml:space="preserve"> y la existencia de gastos no subvencionados</w:t>
      </w:r>
      <w:r w:rsidR="00067256" w:rsidRPr="7D3A2687">
        <w:rPr>
          <w:rFonts w:eastAsia="Calibri"/>
        </w:rPr>
        <w:t xml:space="preserve">, esta entidad utilizaba en el periodo analizado una cuenta de crédito cuyos gastos financieros </w:t>
      </w:r>
      <w:r w:rsidR="53799E89" w:rsidRPr="7D3A2687">
        <w:rPr>
          <w:rFonts w:eastAsia="Calibri"/>
        </w:rPr>
        <w:t xml:space="preserve">anterior ascendieron a 3.356 </w:t>
      </w:r>
      <w:r w:rsidR="006C7561">
        <w:rPr>
          <w:rFonts w:eastAsia="Calibri"/>
        </w:rPr>
        <w:t xml:space="preserve">euros </w:t>
      </w:r>
      <w:r w:rsidR="53799E89" w:rsidRPr="7D3A2687">
        <w:rPr>
          <w:rFonts w:eastAsia="Calibri"/>
        </w:rPr>
        <w:t>en el periodo</w:t>
      </w:r>
      <w:r w:rsidR="00067256" w:rsidRPr="7D3A2687">
        <w:rPr>
          <w:rFonts w:eastAsia="Calibri"/>
        </w:rPr>
        <w:t xml:space="preserve">. </w:t>
      </w:r>
    </w:p>
    <w:bookmarkEnd w:id="6"/>
    <w:p w14:paraId="585CCFBB" w14:textId="6D2927D1" w:rsidR="00103B15" w:rsidRPr="00F81BCE" w:rsidRDefault="000323D7" w:rsidP="0050169C">
      <w:pPr>
        <w:pStyle w:val="atitulo3"/>
        <w:spacing w:before="240"/>
      </w:pPr>
      <w:r>
        <w:t>II.2.2</w:t>
      </w:r>
      <w:r w:rsidR="00C92766">
        <w:t xml:space="preserve"> </w:t>
      </w:r>
      <w:r w:rsidR="00103B15">
        <w:t>Ingresos</w:t>
      </w:r>
    </w:p>
    <w:p w14:paraId="18445697" w14:textId="77143202" w:rsidR="00FE1E9F" w:rsidRDefault="006E3597" w:rsidP="0050169C">
      <w:pPr>
        <w:pStyle w:val="texto"/>
        <w:spacing w:after="240"/>
      </w:pPr>
      <w:r>
        <w:t xml:space="preserve">En el </w:t>
      </w:r>
      <w:r w:rsidRPr="0050169C">
        <w:t>periodo</w:t>
      </w:r>
      <w:r>
        <w:t xml:space="preserve"> 2019</w:t>
      </w:r>
      <w:r w:rsidR="00FE1E9F">
        <w:t>-</w:t>
      </w:r>
      <w:r w:rsidR="00FE1E9F" w:rsidRPr="003E4E96">
        <w:t>2022</w:t>
      </w:r>
      <w:r w:rsidR="00FE1E9F">
        <w:t xml:space="preserve">, </w:t>
      </w:r>
      <w:r w:rsidR="005C6B5B">
        <w:t xml:space="preserve">según los movimientos </w:t>
      </w:r>
      <w:r w:rsidR="005C6B5B" w:rsidRPr="0050169C">
        <w:t xml:space="preserve">bancarios del CJN, esta entidad </w:t>
      </w:r>
      <w:r w:rsidR="00F86604">
        <w:t xml:space="preserve">cobró un total de </w:t>
      </w:r>
      <w:r w:rsidR="00C92766" w:rsidRPr="0050169C">
        <w:t>659.64</w:t>
      </w:r>
      <w:r w:rsidR="002C5A07">
        <w:t>2</w:t>
      </w:r>
      <w:r w:rsidR="00C92766" w:rsidRPr="0050169C">
        <w:t xml:space="preserve"> euros </w:t>
      </w:r>
      <w:r w:rsidR="00FE1E9F" w:rsidRPr="0050169C">
        <w:t>según</w:t>
      </w:r>
      <w:r w:rsidR="00FE1E9F">
        <w:t xml:space="preserve"> el siguiente detalle:</w:t>
      </w:r>
    </w:p>
    <w:tbl>
      <w:tblPr>
        <w:tblW w:w="8789" w:type="dxa"/>
        <w:tblLayout w:type="fixed"/>
        <w:tblCellMar>
          <w:left w:w="70" w:type="dxa"/>
          <w:right w:w="70" w:type="dxa"/>
        </w:tblCellMar>
        <w:tblLook w:val="04A0" w:firstRow="1" w:lastRow="0" w:firstColumn="1" w:lastColumn="0" w:noHBand="0" w:noVBand="1"/>
      </w:tblPr>
      <w:tblGrid>
        <w:gridCol w:w="3404"/>
        <w:gridCol w:w="1077"/>
        <w:gridCol w:w="1077"/>
        <w:gridCol w:w="1077"/>
        <w:gridCol w:w="1077"/>
        <w:gridCol w:w="1077"/>
      </w:tblGrid>
      <w:tr w:rsidR="005C6B5B" w:rsidRPr="00D3379E" w14:paraId="76D0CF86" w14:textId="77777777" w:rsidTr="00977592">
        <w:trPr>
          <w:trHeight w:val="255"/>
        </w:trPr>
        <w:tc>
          <w:tcPr>
            <w:tcW w:w="3404" w:type="dxa"/>
            <w:tcBorders>
              <w:top w:val="single" w:sz="4" w:space="0" w:color="auto"/>
              <w:left w:val="nil"/>
              <w:bottom w:val="single" w:sz="4" w:space="0" w:color="auto"/>
              <w:right w:val="nil"/>
            </w:tcBorders>
            <w:shd w:val="clear" w:color="auto" w:fill="8DB3E2" w:themeFill="text2" w:themeFillTint="66"/>
            <w:noWrap/>
            <w:vAlign w:val="bottom"/>
            <w:hideMark/>
          </w:tcPr>
          <w:p w14:paraId="7B808851" w14:textId="77777777" w:rsidR="005C6B5B" w:rsidRPr="00D3379E" w:rsidRDefault="005C6B5B" w:rsidP="0050169C">
            <w:pPr>
              <w:pStyle w:val="cuadroCabe"/>
              <w:jc w:val="left"/>
              <w:rPr>
                <w:lang w:val="es-ES" w:eastAsia="es-ES"/>
              </w:rPr>
            </w:pP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0CFA75C1" w14:textId="77777777" w:rsidR="005C6B5B" w:rsidRPr="00D3379E" w:rsidRDefault="005C6B5B" w:rsidP="0050169C">
            <w:pPr>
              <w:pStyle w:val="cuadroCabe"/>
              <w:jc w:val="right"/>
              <w:rPr>
                <w:rFonts w:cs="Arial"/>
                <w:color w:val="000000"/>
                <w:szCs w:val="18"/>
                <w:lang w:val="es-ES" w:eastAsia="es-ES"/>
              </w:rPr>
            </w:pPr>
            <w:r w:rsidRPr="00D3379E">
              <w:rPr>
                <w:rFonts w:cs="Arial"/>
                <w:color w:val="000000"/>
                <w:szCs w:val="18"/>
                <w:lang w:val="es-ES" w:eastAsia="es-ES"/>
              </w:rPr>
              <w:t>2.019</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7F8416FF" w14:textId="77777777" w:rsidR="005C6B5B" w:rsidRPr="00D3379E" w:rsidRDefault="005C6B5B" w:rsidP="0050169C">
            <w:pPr>
              <w:pStyle w:val="cuadroCabe"/>
              <w:jc w:val="right"/>
              <w:rPr>
                <w:rFonts w:cs="Arial"/>
                <w:color w:val="000000"/>
                <w:szCs w:val="18"/>
                <w:lang w:val="es-ES" w:eastAsia="es-ES"/>
              </w:rPr>
            </w:pPr>
            <w:r w:rsidRPr="00D3379E">
              <w:rPr>
                <w:rFonts w:cs="Arial"/>
                <w:color w:val="000000"/>
                <w:szCs w:val="18"/>
                <w:lang w:val="es-ES" w:eastAsia="es-ES"/>
              </w:rPr>
              <w:t>2.020</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09732316" w14:textId="77777777" w:rsidR="005C6B5B" w:rsidRPr="00D3379E" w:rsidRDefault="005C6B5B" w:rsidP="0050169C">
            <w:pPr>
              <w:pStyle w:val="cuadroCabe"/>
              <w:jc w:val="right"/>
              <w:rPr>
                <w:rFonts w:cs="Arial"/>
                <w:color w:val="000000"/>
                <w:szCs w:val="18"/>
                <w:lang w:val="es-ES" w:eastAsia="es-ES"/>
              </w:rPr>
            </w:pPr>
            <w:r w:rsidRPr="00D3379E">
              <w:rPr>
                <w:rFonts w:cs="Arial"/>
                <w:color w:val="000000"/>
                <w:szCs w:val="18"/>
                <w:lang w:val="es-ES" w:eastAsia="es-ES"/>
              </w:rPr>
              <w:t>2.021</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2115AC94" w14:textId="77777777" w:rsidR="005C6B5B" w:rsidRPr="00D3379E" w:rsidRDefault="005C6B5B" w:rsidP="0050169C">
            <w:pPr>
              <w:pStyle w:val="cuadroCabe"/>
              <w:jc w:val="right"/>
              <w:rPr>
                <w:rFonts w:cs="Arial"/>
                <w:color w:val="000000"/>
                <w:szCs w:val="18"/>
                <w:lang w:val="es-ES" w:eastAsia="es-ES"/>
              </w:rPr>
            </w:pPr>
            <w:r w:rsidRPr="00D3379E">
              <w:rPr>
                <w:rFonts w:cs="Arial"/>
                <w:color w:val="000000"/>
                <w:szCs w:val="18"/>
                <w:lang w:val="es-ES" w:eastAsia="es-ES"/>
              </w:rPr>
              <w:t>2.022</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578A7C56" w14:textId="77777777" w:rsidR="005C6B5B" w:rsidRPr="00D3379E" w:rsidRDefault="005C6B5B" w:rsidP="0050169C">
            <w:pPr>
              <w:pStyle w:val="cuadroCabe"/>
              <w:jc w:val="right"/>
              <w:rPr>
                <w:rFonts w:cs="Arial"/>
                <w:color w:val="000000"/>
                <w:szCs w:val="18"/>
                <w:lang w:val="es-ES" w:eastAsia="es-ES"/>
              </w:rPr>
            </w:pPr>
            <w:r w:rsidRPr="00D3379E">
              <w:rPr>
                <w:rFonts w:cs="Arial"/>
                <w:color w:val="000000"/>
                <w:szCs w:val="18"/>
                <w:lang w:val="es-ES" w:eastAsia="es-ES"/>
              </w:rPr>
              <w:t>Total</w:t>
            </w:r>
          </w:p>
        </w:tc>
      </w:tr>
      <w:tr w:rsidR="002C5A07" w:rsidRPr="00D3379E" w14:paraId="25E24A04" w14:textId="77777777" w:rsidTr="00977592">
        <w:trPr>
          <w:trHeight w:val="198"/>
        </w:trPr>
        <w:tc>
          <w:tcPr>
            <w:tcW w:w="3404" w:type="dxa"/>
            <w:tcBorders>
              <w:top w:val="single" w:sz="4" w:space="0" w:color="auto"/>
              <w:left w:val="nil"/>
              <w:bottom w:val="single" w:sz="2" w:space="0" w:color="auto"/>
              <w:right w:val="nil"/>
            </w:tcBorders>
            <w:shd w:val="clear" w:color="auto" w:fill="auto"/>
            <w:noWrap/>
            <w:vAlign w:val="center"/>
            <w:hideMark/>
          </w:tcPr>
          <w:p w14:paraId="43B6312E" w14:textId="7BC5DFCE" w:rsidR="002C5A07" w:rsidRPr="00D3379E" w:rsidRDefault="002C5A07" w:rsidP="002C5A07">
            <w:pPr>
              <w:pStyle w:val="cuatexto"/>
              <w:jc w:val="left"/>
              <w:rPr>
                <w:lang w:val="es-ES" w:eastAsia="es-ES"/>
              </w:rPr>
            </w:pPr>
            <w:r>
              <w:rPr>
                <w:lang w:val="es-ES" w:eastAsia="es-ES"/>
              </w:rPr>
              <w:t>Convenio con el INJ</w:t>
            </w:r>
          </w:p>
        </w:tc>
        <w:tc>
          <w:tcPr>
            <w:tcW w:w="1077" w:type="dxa"/>
            <w:tcBorders>
              <w:top w:val="single" w:sz="4" w:space="0" w:color="auto"/>
              <w:left w:val="nil"/>
              <w:bottom w:val="single" w:sz="2" w:space="0" w:color="auto"/>
              <w:right w:val="nil"/>
            </w:tcBorders>
            <w:shd w:val="clear" w:color="auto" w:fill="auto"/>
            <w:noWrap/>
            <w:vAlign w:val="center"/>
            <w:hideMark/>
          </w:tcPr>
          <w:p w14:paraId="3F8981F6" w14:textId="4AD37142" w:rsidR="002C5A07" w:rsidRPr="00D3379E" w:rsidRDefault="002C5A07" w:rsidP="002C5A07">
            <w:pPr>
              <w:pStyle w:val="cuatexto"/>
              <w:jc w:val="right"/>
              <w:rPr>
                <w:lang w:val="es-ES" w:eastAsia="es-ES"/>
              </w:rPr>
            </w:pPr>
            <w:r>
              <w:rPr>
                <w:rFonts w:cs="Calibri"/>
                <w:color w:val="000000"/>
                <w:szCs w:val="20"/>
              </w:rPr>
              <w:t>161.329</w:t>
            </w:r>
          </w:p>
        </w:tc>
        <w:tc>
          <w:tcPr>
            <w:tcW w:w="1077" w:type="dxa"/>
            <w:tcBorders>
              <w:top w:val="single" w:sz="4" w:space="0" w:color="auto"/>
              <w:left w:val="nil"/>
              <w:bottom w:val="single" w:sz="2" w:space="0" w:color="auto"/>
              <w:right w:val="nil"/>
            </w:tcBorders>
            <w:shd w:val="clear" w:color="auto" w:fill="auto"/>
            <w:noWrap/>
            <w:vAlign w:val="center"/>
            <w:hideMark/>
          </w:tcPr>
          <w:p w14:paraId="194B8273" w14:textId="79C87E4C" w:rsidR="002C5A07" w:rsidRPr="00D3379E" w:rsidRDefault="002C5A07" w:rsidP="002C5A07">
            <w:pPr>
              <w:pStyle w:val="cuatexto"/>
              <w:jc w:val="right"/>
              <w:rPr>
                <w:lang w:val="es-ES" w:eastAsia="es-ES"/>
              </w:rPr>
            </w:pPr>
            <w:r>
              <w:rPr>
                <w:rFonts w:cs="Calibri"/>
                <w:color w:val="000000"/>
                <w:szCs w:val="20"/>
              </w:rPr>
              <w:t>141.445</w:t>
            </w:r>
          </w:p>
        </w:tc>
        <w:tc>
          <w:tcPr>
            <w:tcW w:w="1077" w:type="dxa"/>
            <w:tcBorders>
              <w:top w:val="single" w:sz="4" w:space="0" w:color="auto"/>
              <w:left w:val="nil"/>
              <w:bottom w:val="single" w:sz="2" w:space="0" w:color="auto"/>
              <w:right w:val="nil"/>
            </w:tcBorders>
            <w:shd w:val="clear" w:color="auto" w:fill="auto"/>
            <w:noWrap/>
            <w:vAlign w:val="center"/>
            <w:hideMark/>
          </w:tcPr>
          <w:p w14:paraId="00D84595" w14:textId="3453A31B" w:rsidR="002C5A07" w:rsidRPr="00D3379E" w:rsidRDefault="002C5A07" w:rsidP="002C5A07">
            <w:pPr>
              <w:pStyle w:val="cuatexto"/>
              <w:jc w:val="right"/>
              <w:rPr>
                <w:lang w:val="es-ES" w:eastAsia="es-ES"/>
              </w:rPr>
            </w:pPr>
            <w:r>
              <w:rPr>
                <w:rFonts w:cs="Calibri"/>
                <w:color w:val="000000"/>
                <w:szCs w:val="20"/>
              </w:rPr>
              <w:t>124.050</w:t>
            </w:r>
          </w:p>
        </w:tc>
        <w:tc>
          <w:tcPr>
            <w:tcW w:w="1077" w:type="dxa"/>
            <w:tcBorders>
              <w:top w:val="single" w:sz="4" w:space="0" w:color="auto"/>
              <w:left w:val="nil"/>
              <w:bottom w:val="single" w:sz="2" w:space="0" w:color="auto"/>
              <w:right w:val="nil"/>
            </w:tcBorders>
            <w:shd w:val="clear" w:color="auto" w:fill="auto"/>
            <w:noWrap/>
            <w:vAlign w:val="center"/>
            <w:hideMark/>
          </w:tcPr>
          <w:p w14:paraId="03F20367" w14:textId="61941D24" w:rsidR="002C5A07" w:rsidRPr="00D3379E" w:rsidRDefault="002C5A07" w:rsidP="002C5A07">
            <w:pPr>
              <w:pStyle w:val="cuatexto"/>
              <w:jc w:val="right"/>
              <w:rPr>
                <w:lang w:val="es-ES" w:eastAsia="es-ES"/>
              </w:rPr>
            </w:pPr>
            <w:r>
              <w:rPr>
                <w:rFonts w:cs="Calibri"/>
                <w:color w:val="000000"/>
                <w:szCs w:val="20"/>
              </w:rPr>
              <w:t>124.942</w:t>
            </w:r>
          </w:p>
        </w:tc>
        <w:tc>
          <w:tcPr>
            <w:tcW w:w="1077" w:type="dxa"/>
            <w:tcBorders>
              <w:top w:val="single" w:sz="4" w:space="0" w:color="auto"/>
              <w:left w:val="nil"/>
              <w:bottom w:val="single" w:sz="2" w:space="0" w:color="auto"/>
              <w:right w:val="nil"/>
            </w:tcBorders>
            <w:shd w:val="clear" w:color="auto" w:fill="auto"/>
            <w:noWrap/>
            <w:vAlign w:val="center"/>
            <w:hideMark/>
          </w:tcPr>
          <w:p w14:paraId="76794894" w14:textId="44C2F9FA" w:rsidR="002C5A07" w:rsidRPr="00D3379E" w:rsidRDefault="002C5A07" w:rsidP="002C5A07">
            <w:pPr>
              <w:pStyle w:val="cuatexto"/>
              <w:jc w:val="right"/>
              <w:rPr>
                <w:lang w:val="es-ES" w:eastAsia="es-ES"/>
              </w:rPr>
            </w:pPr>
            <w:r>
              <w:rPr>
                <w:rFonts w:cs="Calibri"/>
                <w:color w:val="000000"/>
                <w:szCs w:val="20"/>
              </w:rPr>
              <w:t>551.766</w:t>
            </w:r>
          </w:p>
        </w:tc>
      </w:tr>
      <w:tr w:rsidR="002C5A07" w:rsidRPr="00D3379E" w14:paraId="181805C6" w14:textId="77777777" w:rsidTr="00977592">
        <w:trPr>
          <w:trHeight w:val="198"/>
        </w:trPr>
        <w:tc>
          <w:tcPr>
            <w:tcW w:w="3404" w:type="dxa"/>
            <w:tcBorders>
              <w:top w:val="single" w:sz="2" w:space="0" w:color="auto"/>
              <w:left w:val="nil"/>
              <w:bottom w:val="single" w:sz="2" w:space="0" w:color="auto"/>
              <w:right w:val="nil"/>
            </w:tcBorders>
            <w:shd w:val="clear" w:color="auto" w:fill="auto"/>
            <w:noWrap/>
            <w:vAlign w:val="center"/>
            <w:hideMark/>
          </w:tcPr>
          <w:p w14:paraId="753E336C" w14:textId="7D06BB85" w:rsidR="002C5A07" w:rsidRPr="00D3379E" w:rsidRDefault="002C5A07" w:rsidP="002C5A07">
            <w:pPr>
              <w:pStyle w:val="cuatexto"/>
              <w:jc w:val="left"/>
              <w:rPr>
                <w:lang w:val="es-ES" w:eastAsia="es-ES"/>
              </w:rPr>
            </w:pPr>
            <w:r>
              <w:rPr>
                <w:lang w:val="es-ES" w:eastAsia="es-ES"/>
              </w:rPr>
              <w:t>Convenio con el Parlamento de Navarra</w:t>
            </w:r>
          </w:p>
        </w:tc>
        <w:tc>
          <w:tcPr>
            <w:tcW w:w="1077" w:type="dxa"/>
            <w:tcBorders>
              <w:top w:val="single" w:sz="2" w:space="0" w:color="auto"/>
              <w:left w:val="nil"/>
              <w:bottom w:val="single" w:sz="2" w:space="0" w:color="auto"/>
              <w:right w:val="nil"/>
            </w:tcBorders>
            <w:shd w:val="clear" w:color="auto" w:fill="auto"/>
            <w:vAlign w:val="center"/>
            <w:hideMark/>
          </w:tcPr>
          <w:p w14:paraId="6E47AA5F" w14:textId="28D0663C" w:rsidR="002C5A07" w:rsidRPr="00D3379E" w:rsidRDefault="002C5A07" w:rsidP="002C5A07">
            <w:pPr>
              <w:pStyle w:val="cuatexto"/>
              <w:jc w:val="right"/>
              <w:rPr>
                <w:lang w:val="es-ES" w:eastAsia="es-ES"/>
              </w:rPr>
            </w:pPr>
            <w:r>
              <w:rPr>
                <w:rFonts w:cs="Calibri"/>
                <w:color w:val="000000"/>
                <w:szCs w:val="20"/>
              </w:rPr>
              <w:t>20.000</w:t>
            </w:r>
          </w:p>
        </w:tc>
        <w:tc>
          <w:tcPr>
            <w:tcW w:w="1077" w:type="dxa"/>
            <w:tcBorders>
              <w:top w:val="single" w:sz="2" w:space="0" w:color="auto"/>
              <w:left w:val="nil"/>
              <w:bottom w:val="single" w:sz="2" w:space="0" w:color="auto"/>
              <w:right w:val="nil"/>
            </w:tcBorders>
            <w:shd w:val="clear" w:color="auto" w:fill="auto"/>
            <w:vAlign w:val="center"/>
            <w:hideMark/>
          </w:tcPr>
          <w:p w14:paraId="4E5FED55" w14:textId="2D90F68E" w:rsidR="002C5A07" w:rsidRPr="00D3379E" w:rsidRDefault="002C5A07" w:rsidP="002C5A07">
            <w:pPr>
              <w:pStyle w:val="cuatexto"/>
              <w:jc w:val="right"/>
              <w:rPr>
                <w:lang w:val="es-ES" w:eastAsia="es-ES"/>
              </w:rPr>
            </w:pPr>
            <w:r>
              <w:rPr>
                <w:rFonts w:cs="Calibri"/>
                <w:color w:val="000000"/>
                <w:szCs w:val="20"/>
              </w:rPr>
              <w:t>22.400</w:t>
            </w:r>
          </w:p>
        </w:tc>
        <w:tc>
          <w:tcPr>
            <w:tcW w:w="1077" w:type="dxa"/>
            <w:tcBorders>
              <w:top w:val="single" w:sz="2" w:space="0" w:color="auto"/>
              <w:left w:val="nil"/>
              <w:bottom w:val="single" w:sz="2" w:space="0" w:color="auto"/>
              <w:right w:val="nil"/>
            </w:tcBorders>
            <w:shd w:val="clear" w:color="auto" w:fill="auto"/>
            <w:vAlign w:val="center"/>
            <w:hideMark/>
          </w:tcPr>
          <w:p w14:paraId="5120A23B" w14:textId="5E766328" w:rsidR="002C5A07" w:rsidRPr="00D3379E" w:rsidRDefault="002C5A07" w:rsidP="002C5A07">
            <w:pPr>
              <w:pStyle w:val="cuatexto"/>
              <w:jc w:val="right"/>
              <w:rPr>
                <w:lang w:val="es-ES" w:eastAsia="es-ES"/>
              </w:rPr>
            </w:pPr>
            <w:r>
              <w:rPr>
                <w:rFonts w:cs="Calibri"/>
                <w:color w:val="000000"/>
                <w:szCs w:val="20"/>
              </w:rPr>
              <w:t>21.353</w:t>
            </w:r>
          </w:p>
        </w:tc>
        <w:tc>
          <w:tcPr>
            <w:tcW w:w="1077" w:type="dxa"/>
            <w:tcBorders>
              <w:top w:val="single" w:sz="2" w:space="0" w:color="auto"/>
              <w:left w:val="nil"/>
              <w:bottom w:val="single" w:sz="2" w:space="0" w:color="auto"/>
              <w:right w:val="nil"/>
            </w:tcBorders>
            <w:shd w:val="clear" w:color="auto" w:fill="auto"/>
            <w:vAlign w:val="center"/>
            <w:hideMark/>
          </w:tcPr>
          <w:p w14:paraId="6BFC8ECB" w14:textId="2C841BE2" w:rsidR="002C5A07" w:rsidRPr="00D3379E" w:rsidRDefault="002C5A07" w:rsidP="002C5A07">
            <w:pPr>
              <w:pStyle w:val="cuatexto"/>
              <w:jc w:val="right"/>
              <w:rPr>
                <w:lang w:val="es-ES" w:eastAsia="es-ES"/>
              </w:rPr>
            </w:pPr>
            <w:r>
              <w:rPr>
                <w:rFonts w:cs="Calibri"/>
                <w:color w:val="000000"/>
                <w:szCs w:val="20"/>
              </w:rPr>
              <w:t>26.696</w:t>
            </w:r>
          </w:p>
        </w:tc>
        <w:tc>
          <w:tcPr>
            <w:tcW w:w="1077" w:type="dxa"/>
            <w:tcBorders>
              <w:top w:val="single" w:sz="2" w:space="0" w:color="auto"/>
              <w:left w:val="nil"/>
              <w:bottom w:val="single" w:sz="2" w:space="0" w:color="auto"/>
              <w:right w:val="nil"/>
            </w:tcBorders>
            <w:shd w:val="clear" w:color="auto" w:fill="auto"/>
            <w:noWrap/>
            <w:vAlign w:val="center"/>
            <w:hideMark/>
          </w:tcPr>
          <w:p w14:paraId="52FEE806" w14:textId="089A38A5" w:rsidR="002C5A07" w:rsidRPr="00D3379E" w:rsidRDefault="002C5A07" w:rsidP="002C5A07">
            <w:pPr>
              <w:pStyle w:val="cuatexto"/>
              <w:jc w:val="right"/>
              <w:rPr>
                <w:lang w:val="es-ES" w:eastAsia="es-ES"/>
              </w:rPr>
            </w:pPr>
            <w:r>
              <w:rPr>
                <w:rFonts w:cs="Calibri"/>
                <w:color w:val="000000"/>
                <w:szCs w:val="20"/>
              </w:rPr>
              <w:t>90.449</w:t>
            </w:r>
          </w:p>
        </w:tc>
      </w:tr>
      <w:tr w:rsidR="002C5A07" w:rsidRPr="00D3379E" w14:paraId="48ACF47E" w14:textId="77777777" w:rsidTr="00977592">
        <w:trPr>
          <w:trHeight w:val="198"/>
        </w:trPr>
        <w:tc>
          <w:tcPr>
            <w:tcW w:w="3404" w:type="dxa"/>
            <w:tcBorders>
              <w:top w:val="single" w:sz="2" w:space="0" w:color="auto"/>
              <w:left w:val="nil"/>
              <w:bottom w:val="single" w:sz="4" w:space="0" w:color="auto"/>
              <w:right w:val="nil"/>
            </w:tcBorders>
            <w:shd w:val="clear" w:color="auto" w:fill="auto"/>
            <w:noWrap/>
            <w:vAlign w:val="center"/>
            <w:hideMark/>
          </w:tcPr>
          <w:p w14:paraId="6CA23D5E" w14:textId="7C8C10C0" w:rsidR="002C5A07" w:rsidRPr="00D3379E" w:rsidRDefault="002C5A07" w:rsidP="002C5A07">
            <w:pPr>
              <w:pStyle w:val="cuatexto"/>
              <w:jc w:val="left"/>
              <w:rPr>
                <w:lang w:val="es-ES" w:eastAsia="es-ES"/>
              </w:rPr>
            </w:pPr>
            <w:r>
              <w:rPr>
                <w:lang w:val="es-ES" w:eastAsia="es-ES"/>
              </w:rPr>
              <w:t>Otros ingresos</w:t>
            </w:r>
          </w:p>
        </w:tc>
        <w:tc>
          <w:tcPr>
            <w:tcW w:w="1077" w:type="dxa"/>
            <w:tcBorders>
              <w:top w:val="single" w:sz="2" w:space="0" w:color="auto"/>
              <w:left w:val="nil"/>
              <w:bottom w:val="single" w:sz="4" w:space="0" w:color="auto"/>
              <w:right w:val="nil"/>
            </w:tcBorders>
            <w:shd w:val="clear" w:color="auto" w:fill="auto"/>
            <w:noWrap/>
            <w:vAlign w:val="center"/>
            <w:hideMark/>
          </w:tcPr>
          <w:p w14:paraId="27192115" w14:textId="68F2BB52" w:rsidR="002C5A07" w:rsidRPr="00D3379E" w:rsidRDefault="002C5A07" w:rsidP="002C5A07">
            <w:pPr>
              <w:pStyle w:val="cuatexto"/>
              <w:jc w:val="right"/>
              <w:rPr>
                <w:lang w:val="es-ES" w:eastAsia="es-ES"/>
              </w:rPr>
            </w:pPr>
            <w:r>
              <w:rPr>
                <w:rFonts w:cs="Calibri"/>
                <w:color w:val="000000"/>
                <w:szCs w:val="20"/>
              </w:rPr>
              <w:t>13.473</w:t>
            </w:r>
          </w:p>
        </w:tc>
        <w:tc>
          <w:tcPr>
            <w:tcW w:w="1077" w:type="dxa"/>
            <w:tcBorders>
              <w:top w:val="single" w:sz="2" w:space="0" w:color="auto"/>
              <w:left w:val="nil"/>
              <w:bottom w:val="single" w:sz="4" w:space="0" w:color="auto"/>
              <w:right w:val="nil"/>
            </w:tcBorders>
            <w:shd w:val="clear" w:color="auto" w:fill="auto"/>
            <w:noWrap/>
            <w:vAlign w:val="center"/>
            <w:hideMark/>
          </w:tcPr>
          <w:p w14:paraId="0A16E5B1" w14:textId="4EA675F4" w:rsidR="002C5A07" w:rsidRPr="00D3379E" w:rsidRDefault="002C5A07" w:rsidP="002C5A07">
            <w:pPr>
              <w:pStyle w:val="cuatexto"/>
              <w:jc w:val="right"/>
              <w:rPr>
                <w:lang w:val="es-ES" w:eastAsia="es-ES"/>
              </w:rPr>
            </w:pPr>
            <w:r>
              <w:rPr>
                <w:rFonts w:cs="Calibri"/>
                <w:color w:val="000000"/>
                <w:szCs w:val="20"/>
              </w:rPr>
              <w:t>2.695</w:t>
            </w:r>
          </w:p>
        </w:tc>
        <w:tc>
          <w:tcPr>
            <w:tcW w:w="1077" w:type="dxa"/>
            <w:tcBorders>
              <w:top w:val="single" w:sz="2" w:space="0" w:color="auto"/>
              <w:left w:val="nil"/>
              <w:bottom w:val="single" w:sz="4" w:space="0" w:color="auto"/>
              <w:right w:val="nil"/>
            </w:tcBorders>
            <w:shd w:val="clear" w:color="auto" w:fill="auto"/>
            <w:noWrap/>
            <w:vAlign w:val="center"/>
            <w:hideMark/>
          </w:tcPr>
          <w:p w14:paraId="2B768095" w14:textId="40EA6A7A" w:rsidR="002C5A07" w:rsidRPr="00D3379E" w:rsidRDefault="002C5A07" w:rsidP="002C5A07">
            <w:pPr>
              <w:pStyle w:val="cuatexto"/>
              <w:jc w:val="right"/>
              <w:rPr>
                <w:lang w:val="es-ES" w:eastAsia="es-ES"/>
              </w:rPr>
            </w:pPr>
            <w:r>
              <w:rPr>
                <w:rFonts w:cs="Calibri"/>
                <w:color w:val="000000"/>
                <w:szCs w:val="20"/>
              </w:rPr>
              <w:t>317</w:t>
            </w:r>
          </w:p>
        </w:tc>
        <w:tc>
          <w:tcPr>
            <w:tcW w:w="1077" w:type="dxa"/>
            <w:tcBorders>
              <w:top w:val="single" w:sz="2" w:space="0" w:color="auto"/>
              <w:left w:val="nil"/>
              <w:bottom w:val="single" w:sz="4" w:space="0" w:color="auto"/>
              <w:right w:val="nil"/>
            </w:tcBorders>
            <w:shd w:val="clear" w:color="auto" w:fill="auto"/>
            <w:noWrap/>
            <w:vAlign w:val="center"/>
            <w:hideMark/>
          </w:tcPr>
          <w:p w14:paraId="7C2FA054" w14:textId="340AFB91" w:rsidR="002C5A07" w:rsidRPr="00D3379E" w:rsidRDefault="002C5A07" w:rsidP="002C5A07">
            <w:pPr>
              <w:pStyle w:val="cuatexto"/>
              <w:jc w:val="right"/>
              <w:rPr>
                <w:lang w:val="es-ES" w:eastAsia="es-ES"/>
              </w:rPr>
            </w:pPr>
            <w:r>
              <w:rPr>
                <w:rFonts w:cs="Calibri"/>
                <w:color w:val="000000"/>
                <w:szCs w:val="20"/>
              </w:rPr>
              <w:t>942</w:t>
            </w:r>
          </w:p>
        </w:tc>
        <w:tc>
          <w:tcPr>
            <w:tcW w:w="1077" w:type="dxa"/>
            <w:tcBorders>
              <w:top w:val="single" w:sz="2" w:space="0" w:color="auto"/>
              <w:left w:val="nil"/>
              <w:bottom w:val="single" w:sz="4" w:space="0" w:color="auto"/>
              <w:right w:val="nil"/>
            </w:tcBorders>
            <w:shd w:val="clear" w:color="auto" w:fill="auto"/>
            <w:noWrap/>
            <w:vAlign w:val="center"/>
            <w:hideMark/>
          </w:tcPr>
          <w:p w14:paraId="4A26AC4D" w14:textId="52E48FAA" w:rsidR="002C5A07" w:rsidRPr="00D3379E" w:rsidRDefault="002C5A07" w:rsidP="002C5A07">
            <w:pPr>
              <w:pStyle w:val="cuatexto"/>
              <w:jc w:val="right"/>
              <w:rPr>
                <w:lang w:val="es-ES" w:eastAsia="es-ES"/>
              </w:rPr>
            </w:pPr>
            <w:r>
              <w:rPr>
                <w:rFonts w:cs="Calibri"/>
                <w:color w:val="000000"/>
                <w:szCs w:val="20"/>
              </w:rPr>
              <w:t>17.427</w:t>
            </w:r>
          </w:p>
        </w:tc>
      </w:tr>
      <w:tr w:rsidR="002C5A07" w:rsidRPr="00C92766" w14:paraId="73A18B51" w14:textId="77777777" w:rsidTr="00977592">
        <w:trPr>
          <w:trHeight w:val="255"/>
        </w:trPr>
        <w:tc>
          <w:tcPr>
            <w:tcW w:w="3404" w:type="dxa"/>
            <w:tcBorders>
              <w:top w:val="single" w:sz="4" w:space="0" w:color="auto"/>
              <w:left w:val="nil"/>
              <w:bottom w:val="single" w:sz="4" w:space="0" w:color="auto"/>
              <w:right w:val="nil"/>
            </w:tcBorders>
            <w:shd w:val="clear" w:color="auto" w:fill="8DB3E2" w:themeFill="text2" w:themeFillTint="66"/>
            <w:noWrap/>
            <w:vAlign w:val="center"/>
            <w:hideMark/>
          </w:tcPr>
          <w:p w14:paraId="4E7B7077" w14:textId="5295C41B" w:rsidR="002C5A07" w:rsidRPr="00D3379E" w:rsidRDefault="002C5A07" w:rsidP="002C5A07">
            <w:pPr>
              <w:pStyle w:val="cuadroCabe"/>
              <w:jc w:val="left"/>
              <w:rPr>
                <w:lang w:val="es-ES" w:eastAsia="es-ES"/>
              </w:rPr>
            </w:pPr>
            <w:proofErr w:type="gramStart"/>
            <w:r w:rsidRPr="00D3379E">
              <w:rPr>
                <w:lang w:val="es-ES" w:eastAsia="es-ES"/>
              </w:rPr>
              <w:t>Total</w:t>
            </w:r>
            <w:proofErr w:type="gramEnd"/>
            <w:r w:rsidRPr="00D3379E">
              <w:rPr>
                <w:lang w:val="es-ES" w:eastAsia="es-ES"/>
              </w:rPr>
              <w:t xml:space="preserve"> </w:t>
            </w:r>
            <w:r>
              <w:rPr>
                <w:lang w:val="es-ES" w:eastAsia="es-ES"/>
              </w:rPr>
              <w:t>ingresos</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70965D45" w14:textId="2B15FC84" w:rsidR="002C5A07" w:rsidRPr="00C92766" w:rsidRDefault="002C5A07" w:rsidP="002C5A07">
            <w:pPr>
              <w:pStyle w:val="cuadroCabe"/>
              <w:jc w:val="right"/>
              <w:rPr>
                <w:lang w:val="es-ES" w:eastAsia="es-ES"/>
              </w:rPr>
            </w:pPr>
            <w:r>
              <w:rPr>
                <w:rFonts w:cs="Arial"/>
                <w:color w:val="000000"/>
                <w:szCs w:val="18"/>
              </w:rPr>
              <w:t>194.802</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53850A50" w14:textId="5F4C2CA9" w:rsidR="002C5A07" w:rsidRPr="00C92766" w:rsidRDefault="002C5A07" w:rsidP="002C5A07">
            <w:pPr>
              <w:pStyle w:val="cuadroCabe"/>
              <w:jc w:val="right"/>
              <w:rPr>
                <w:lang w:val="es-ES" w:eastAsia="es-ES"/>
              </w:rPr>
            </w:pPr>
            <w:r>
              <w:rPr>
                <w:rFonts w:cs="Arial"/>
                <w:color w:val="000000"/>
                <w:szCs w:val="18"/>
              </w:rPr>
              <w:t>166.540</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31E98EC8" w14:textId="0898D5B1" w:rsidR="002C5A07" w:rsidRPr="00C92766" w:rsidRDefault="002C5A07" w:rsidP="002C5A07">
            <w:pPr>
              <w:pStyle w:val="cuadroCabe"/>
              <w:jc w:val="right"/>
              <w:rPr>
                <w:lang w:val="es-ES" w:eastAsia="es-ES"/>
              </w:rPr>
            </w:pPr>
            <w:r>
              <w:rPr>
                <w:rFonts w:cs="Arial"/>
                <w:color w:val="000000"/>
                <w:szCs w:val="18"/>
              </w:rPr>
              <w:t>145.720</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681761D3" w14:textId="4D8D7A08" w:rsidR="002C5A07" w:rsidRPr="00C92766" w:rsidRDefault="002C5A07" w:rsidP="002C5A07">
            <w:pPr>
              <w:pStyle w:val="cuadroCabe"/>
              <w:jc w:val="right"/>
              <w:rPr>
                <w:lang w:val="es-ES" w:eastAsia="es-ES"/>
              </w:rPr>
            </w:pPr>
            <w:r>
              <w:rPr>
                <w:rFonts w:cs="Arial"/>
                <w:color w:val="000000"/>
                <w:szCs w:val="18"/>
              </w:rPr>
              <w:t>152.580</w:t>
            </w:r>
          </w:p>
        </w:tc>
        <w:tc>
          <w:tcPr>
            <w:tcW w:w="1077" w:type="dxa"/>
            <w:tcBorders>
              <w:top w:val="single" w:sz="4" w:space="0" w:color="auto"/>
              <w:left w:val="nil"/>
              <w:bottom w:val="single" w:sz="4" w:space="0" w:color="auto"/>
              <w:right w:val="nil"/>
            </w:tcBorders>
            <w:shd w:val="clear" w:color="auto" w:fill="8DB3E2" w:themeFill="text2" w:themeFillTint="66"/>
            <w:noWrap/>
            <w:vAlign w:val="center"/>
            <w:hideMark/>
          </w:tcPr>
          <w:p w14:paraId="6410CD51" w14:textId="60F66548" w:rsidR="002C5A07" w:rsidRPr="00C92766" w:rsidRDefault="002C5A07" w:rsidP="002C5A07">
            <w:pPr>
              <w:pStyle w:val="cuadroCabe"/>
              <w:jc w:val="right"/>
              <w:rPr>
                <w:lang w:val="es-ES" w:eastAsia="es-ES"/>
              </w:rPr>
            </w:pPr>
            <w:r>
              <w:rPr>
                <w:rFonts w:cs="Arial"/>
                <w:color w:val="000000"/>
                <w:szCs w:val="18"/>
              </w:rPr>
              <w:t>659.642</w:t>
            </w:r>
          </w:p>
        </w:tc>
      </w:tr>
    </w:tbl>
    <w:p w14:paraId="66B073B0" w14:textId="3E2BFD61" w:rsidR="00FE1E9F" w:rsidRDefault="00FE1E9F" w:rsidP="00256C39">
      <w:pPr>
        <w:pStyle w:val="texto"/>
        <w:spacing w:before="240"/>
        <w:rPr>
          <w:rFonts w:eastAsia="Calibri"/>
        </w:rPr>
      </w:pPr>
      <w:r w:rsidRPr="7D3A2687">
        <w:rPr>
          <w:rFonts w:eastAsia="Calibri"/>
        </w:rPr>
        <w:t xml:space="preserve">El </w:t>
      </w:r>
      <w:r w:rsidR="00C92766" w:rsidRPr="7D3A2687">
        <w:rPr>
          <w:rFonts w:eastAsia="Calibri"/>
        </w:rPr>
        <w:t>83</w:t>
      </w:r>
      <w:r w:rsidRPr="7D3A2687">
        <w:rPr>
          <w:rFonts w:eastAsia="Calibri"/>
        </w:rPr>
        <w:t xml:space="preserve"> por ciento del total de ingresos</w:t>
      </w:r>
      <w:r w:rsidR="00C92766" w:rsidRPr="7D3A2687">
        <w:rPr>
          <w:rFonts w:eastAsia="Calibri"/>
        </w:rPr>
        <w:t xml:space="preserve"> del periodo</w:t>
      </w:r>
      <w:r w:rsidRPr="7D3A2687">
        <w:rPr>
          <w:rFonts w:eastAsia="Calibri"/>
        </w:rPr>
        <w:t xml:space="preserve"> corresponde a un</w:t>
      </w:r>
      <w:r w:rsidR="129B857F" w:rsidRPr="7D3A2687">
        <w:rPr>
          <w:rFonts w:eastAsia="Calibri"/>
        </w:rPr>
        <w:t>a subvención regulada en un</w:t>
      </w:r>
      <w:r w:rsidRPr="7D3A2687">
        <w:rPr>
          <w:rFonts w:eastAsia="Calibri"/>
        </w:rPr>
        <w:t xml:space="preserve"> convenio entre el CJN y el INJ</w:t>
      </w:r>
      <w:r w:rsidR="00C92766" w:rsidRPr="7D3A2687">
        <w:rPr>
          <w:rFonts w:eastAsia="Calibri"/>
        </w:rPr>
        <w:t xml:space="preserve">, </w:t>
      </w:r>
      <w:r w:rsidRPr="7D3A2687">
        <w:rPr>
          <w:rFonts w:eastAsia="Calibri"/>
        </w:rPr>
        <w:t xml:space="preserve">el </w:t>
      </w:r>
      <w:r w:rsidR="00C92766" w:rsidRPr="7D3A2687">
        <w:rPr>
          <w:rFonts w:eastAsia="Calibri"/>
        </w:rPr>
        <w:t>14</w:t>
      </w:r>
      <w:r w:rsidRPr="7D3A2687">
        <w:rPr>
          <w:rFonts w:eastAsia="Calibri"/>
        </w:rPr>
        <w:t xml:space="preserve"> por ciento a otro convenio formalizado con el Parlamento de Navarra</w:t>
      </w:r>
      <w:r w:rsidR="00C92766" w:rsidRPr="7D3A2687">
        <w:rPr>
          <w:rFonts w:eastAsia="Calibri"/>
        </w:rPr>
        <w:t xml:space="preserve">, y el tres por </w:t>
      </w:r>
      <w:bookmarkStart w:id="9" w:name="_Int_3u3bpdtq"/>
      <w:proofErr w:type="gramStart"/>
      <w:r w:rsidR="00C92766" w:rsidRPr="7D3A2687">
        <w:rPr>
          <w:rFonts w:eastAsia="Calibri"/>
        </w:rPr>
        <w:t>ciento restante</w:t>
      </w:r>
      <w:bookmarkEnd w:id="9"/>
      <w:proofErr w:type="gramEnd"/>
      <w:r w:rsidR="00C92766" w:rsidRPr="7D3A2687">
        <w:rPr>
          <w:rFonts w:eastAsia="Calibri"/>
        </w:rPr>
        <w:t xml:space="preserve"> a </w:t>
      </w:r>
      <w:r w:rsidR="601F2F9A" w:rsidRPr="7D3A2687">
        <w:rPr>
          <w:rFonts w:eastAsia="Calibri"/>
        </w:rPr>
        <w:t xml:space="preserve">ingresos por </w:t>
      </w:r>
      <w:r w:rsidR="00C92766" w:rsidRPr="7D3A2687">
        <w:rPr>
          <w:rFonts w:eastAsia="Calibri"/>
        </w:rPr>
        <w:t>actividades realizadas para otras entidades públicas</w:t>
      </w:r>
      <w:r w:rsidR="006B1439">
        <w:rPr>
          <w:rFonts w:eastAsia="Calibri"/>
        </w:rPr>
        <w:t>,</w:t>
      </w:r>
      <w:r w:rsidR="00C92766" w:rsidRPr="7D3A2687">
        <w:rPr>
          <w:rFonts w:eastAsia="Calibri"/>
        </w:rPr>
        <w:t xml:space="preserve"> como el Instituto Navarro de Salud Pública o ayuntamientos. </w:t>
      </w:r>
    </w:p>
    <w:p w14:paraId="05E15F06" w14:textId="62CD492F" w:rsidR="00922F1C" w:rsidRPr="00256C39" w:rsidRDefault="00922F1C" w:rsidP="00256C39">
      <w:pPr>
        <w:pStyle w:val="texto"/>
        <w:rPr>
          <w:rFonts w:eastAsia="Calibri"/>
        </w:rPr>
      </w:pPr>
      <w:r w:rsidRPr="7D3A2687">
        <w:rPr>
          <w:rFonts w:eastAsia="Calibri"/>
        </w:rPr>
        <w:t>A pesar de estar previst</w:t>
      </w:r>
      <w:r w:rsidR="6EFC2AB3" w:rsidRPr="7D3A2687">
        <w:rPr>
          <w:rFonts w:eastAsia="Calibri"/>
        </w:rPr>
        <w:t>o</w:t>
      </w:r>
      <w:r w:rsidRPr="7D3A2687">
        <w:rPr>
          <w:rFonts w:eastAsia="Calibri"/>
        </w:rPr>
        <w:t xml:space="preserve"> en la normativa aplicable al CJN que uno de los recursos económicos serán las cuotas de sus </w:t>
      </w:r>
      <w:r w:rsidRPr="7D3A2687">
        <w:rPr>
          <w:rStyle w:val="Textoennegrita"/>
          <w:rFonts w:eastAsia="Calibri"/>
          <w:b w:val="0"/>
          <w:bCs w:val="0"/>
        </w:rPr>
        <w:t>miembros</w:t>
      </w:r>
      <w:r w:rsidRPr="7D3A2687">
        <w:rPr>
          <w:rFonts w:eastAsia="Calibri"/>
        </w:rPr>
        <w:t xml:space="preserve">, esta entidad no ha exigido, ni </w:t>
      </w:r>
      <w:r w:rsidR="00123680" w:rsidRPr="7D3A2687">
        <w:rPr>
          <w:rFonts w:eastAsia="Calibri"/>
        </w:rPr>
        <w:t>cobrado,</w:t>
      </w:r>
      <w:r w:rsidRPr="7D3A2687">
        <w:rPr>
          <w:rFonts w:eastAsia="Calibri"/>
        </w:rPr>
        <w:t xml:space="preserve"> por lo tanto, ningún ingreso por esta vía</w:t>
      </w:r>
      <w:r w:rsidR="251DBA90" w:rsidRPr="7D3A2687">
        <w:rPr>
          <w:rFonts w:eastAsia="Calibri"/>
        </w:rPr>
        <w:t xml:space="preserve"> ni en el periodo analizado ni desde su creación</w:t>
      </w:r>
      <w:r w:rsidRPr="7D3A2687">
        <w:rPr>
          <w:rFonts w:eastAsia="Calibri"/>
        </w:rPr>
        <w:t xml:space="preserve">. </w:t>
      </w:r>
    </w:p>
    <w:p w14:paraId="59D4FD2D" w14:textId="73C9D7DB" w:rsidR="005E5E2D" w:rsidRDefault="00FE1E9F" w:rsidP="30A56CBC">
      <w:pPr>
        <w:pStyle w:val="texto"/>
        <w:rPr>
          <w:rFonts w:ascii="Arial" w:hAnsi="Arial" w:cs="Arial"/>
          <w:i/>
          <w:iCs/>
        </w:rPr>
      </w:pPr>
      <w:r>
        <w:t>A continuación</w:t>
      </w:r>
      <w:r w:rsidR="00C92766">
        <w:t>,</w:t>
      </w:r>
      <w:r>
        <w:t xml:space="preserve"> detallamos los aspectos referidos al convenio entre el CJN y el INJ y al formalizado con el Parlamento de Navarra.</w:t>
      </w:r>
    </w:p>
    <w:p w14:paraId="4FF499AF" w14:textId="77B907C1" w:rsidR="00FE1E9F" w:rsidRPr="00C92766" w:rsidRDefault="004850F6" w:rsidP="0032304B">
      <w:pPr>
        <w:pStyle w:val="atitulo3"/>
        <w:spacing w:before="240"/>
      </w:pPr>
      <w:r>
        <w:lastRenderedPageBreak/>
        <w:t>C</w:t>
      </w:r>
      <w:r w:rsidR="00FE1E9F" w:rsidRPr="00C92766">
        <w:t>onvenio con el Instituto Navarro de Juventud</w:t>
      </w:r>
    </w:p>
    <w:p w14:paraId="4721E7B1" w14:textId="53D6F945" w:rsidR="00FE1E9F" w:rsidRPr="00256C39" w:rsidRDefault="00FE1E9F" w:rsidP="002C5A07">
      <w:pPr>
        <w:pStyle w:val="texto"/>
      </w:pPr>
      <w:r>
        <w:t>El CJN recibe anualmente</w:t>
      </w:r>
      <w:r w:rsidR="002C5A07">
        <w:t>, desde su creación en 1986,</w:t>
      </w:r>
      <w:r>
        <w:t xml:space="preserve"> una subvención nominativa de</w:t>
      </w:r>
      <w:r w:rsidR="6EC1C972">
        <w:t>l INJ</w:t>
      </w:r>
      <w:r>
        <w:t xml:space="preserve"> regulada en un convenio anual.</w:t>
      </w:r>
      <w:r w:rsidR="002C5A07">
        <w:t xml:space="preserve"> </w:t>
      </w:r>
      <w:r>
        <w:t>Este convenio incluye financiación para dos conceptos: gastos corrientes necesarios para el cumplimiento de los fines del C</w:t>
      </w:r>
      <w:r w:rsidR="000A2564">
        <w:t>JN</w:t>
      </w:r>
      <w:r>
        <w:t xml:space="preserve"> (personal, servicios y otros relacionados con las actividades llevadas a cabo) y gastos de capital destinados a la adquisición de material informático e inventariable. </w:t>
      </w:r>
    </w:p>
    <w:p w14:paraId="7AC239E7" w14:textId="77777777" w:rsidR="00FE1E9F" w:rsidRPr="00256C39" w:rsidRDefault="00FE1E9F" w:rsidP="00256C39">
      <w:pPr>
        <w:pStyle w:val="texto"/>
      </w:pPr>
      <w:r w:rsidRPr="00256C39">
        <w:t>El procedimiento de abono y justificación de los importes establecidos en el convenio que se firma anualmente es el siguiente:</w:t>
      </w:r>
    </w:p>
    <w:p w14:paraId="08345380" w14:textId="3F723986" w:rsidR="00FE1E9F" w:rsidRPr="00B46121"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rPr>
      </w:pPr>
      <w:r w:rsidRPr="7D3A2687">
        <w:rPr>
          <w:rFonts w:eastAsia="Calibri"/>
        </w:rPr>
        <w:t>Un primer abono por un 30 por ciento</w:t>
      </w:r>
      <w:r w:rsidR="41470F43" w:rsidRPr="7D3A2687">
        <w:rPr>
          <w:rFonts w:eastAsia="Calibri"/>
        </w:rPr>
        <w:t xml:space="preserve"> </w:t>
      </w:r>
      <w:r w:rsidRPr="7D3A2687">
        <w:rPr>
          <w:rFonts w:eastAsia="Calibri"/>
        </w:rPr>
        <w:t>a la firma del convenio.</w:t>
      </w:r>
    </w:p>
    <w:p w14:paraId="5A73FD49" w14:textId="77777777" w:rsidR="00FE1E9F" w:rsidRPr="00B46121"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sidRPr="00B46121">
        <w:rPr>
          <w:rFonts w:eastAsia="Calibri"/>
          <w:szCs w:val="26"/>
        </w:rPr>
        <w:t xml:space="preserve">Un segundo abono previa justificación de </w:t>
      </w:r>
      <w:r>
        <w:rPr>
          <w:rFonts w:eastAsia="Calibri"/>
          <w:szCs w:val="26"/>
        </w:rPr>
        <w:t>los gastos en los que haya incurrido el CJN desde enero hasta el</w:t>
      </w:r>
      <w:r w:rsidRPr="00B46121">
        <w:rPr>
          <w:rFonts w:eastAsia="Calibri"/>
          <w:szCs w:val="26"/>
        </w:rPr>
        <w:t xml:space="preserve"> </w:t>
      </w:r>
      <w:r>
        <w:rPr>
          <w:rFonts w:eastAsia="Calibri"/>
          <w:szCs w:val="26"/>
        </w:rPr>
        <w:t>15 de junio del ejercicio correspondiente, fecha límite en la que tendrá que presentar dicho soporte.</w:t>
      </w:r>
    </w:p>
    <w:p w14:paraId="2EC8C4AB" w14:textId="77777777" w:rsidR="00FE1E9F" w:rsidRPr="00B46121"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Pr>
          <w:rFonts w:eastAsia="Calibri"/>
          <w:szCs w:val="26"/>
        </w:rPr>
        <w:t>Un t</w:t>
      </w:r>
      <w:r w:rsidRPr="00B46121">
        <w:rPr>
          <w:rFonts w:eastAsia="Calibri"/>
          <w:szCs w:val="26"/>
        </w:rPr>
        <w:t>ercer abono previa justificación de gastos antes del 15</w:t>
      </w:r>
      <w:r>
        <w:rPr>
          <w:rFonts w:eastAsia="Calibri"/>
          <w:szCs w:val="26"/>
        </w:rPr>
        <w:t xml:space="preserve"> de octubre del ejercicio</w:t>
      </w:r>
      <w:r w:rsidRPr="00B46121">
        <w:rPr>
          <w:rFonts w:eastAsia="Calibri"/>
          <w:szCs w:val="26"/>
        </w:rPr>
        <w:t xml:space="preserve">. </w:t>
      </w:r>
    </w:p>
    <w:p w14:paraId="672DA438" w14:textId="77777777" w:rsidR="00FE1E9F"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sidRPr="00B46121">
        <w:rPr>
          <w:rFonts w:eastAsia="Calibri"/>
          <w:szCs w:val="26"/>
        </w:rPr>
        <w:t>Justificación final</w:t>
      </w:r>
      <w:r>
        <w:rPr>
          <w:rFonts w:eastAsia="Calibri"/>
          <w:szCs w:val="26"/>
        </w:rPr>
        <w:t xml:space="preserve"> de gastos</w:t>
      </w:r>
      <w:r w:rsidRPr="00B46121">
        <w:rPr>
          <w:rFonts w:eastAsia="Calibri"/>
          <w:szCs w:val="26"/>
        </w:rPr>
        <w:t xml:space="preserve"> antes del </w:t>
      </w:r>
      <w:r>
        <w:rPr>
          <w:rFonts w:eastAsia="Calibri"/>
          <w:szCs w:val="26"/>
        </w:rPr>
        <w:t xml:space="preserve">10 de diciembre del ejercicio para poder percibir lo que reste de subvención. </w:t>
      </w:r>
    </w:p>
    <w:p w14:paraId="5D01D8DA" w14:textId="77777777" w:rsidR="00FE1E9F"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sidRPr="55145637">
        <w:rPr>
          <w:rFonts w:eastAsia="Calibri"/>
          <w:szCs w:val="26"/>
        </w:rPr>
        <w:t xml:space="preserve">El CJN presentará, además, memoria de actividades y el balance económico de ingresos y gastos generales antes del 31 de diciembre de cada ejercicio. </w:t>
      </w:r>
    </w:p>
    <w:p w14:paraId="5A7F63C7" w14:textId="77777777" w:rsidR="004C3C59" w:rsidRPr="004C3C59"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pPr>
      <w:r w:rsidRPr="00E137C0">
        <w:rPr>
          <w:rFonts w:eastAsia="Calibri"/>
        </w:rPr>
        <w:t xml:space="preserve">El INJ </w:t>
      </w:r>
      <w:r w:rsidR="719B8344" w:rsidRPr="00E137C0">
        <w:rPr>
          <w:rFonts w:eastAsia="Calibri"/>
        </w:rPr>
        <w:t xml:space="preserve">y la intervención delegada </w:t>
      </w:r>
      <w:r w:rsidRPr="00E137C0">
        <w:rPr>
          <w:rFonts w:eastAsia="Calibri"/>
        </w:rPr>
        <w:t xml:space="preserve">revisa todas las justificaciones presentadas por el INJ habiéndose producido en su caso los reintegros correspondientes. </w:t>
      </w:r>
    </w:p>
    <w:p w14:paraId="57CABE68" w14:textId="6A5E3E24" w:rsidR="004C3C59" w:rsidRDefault="006C7561" w:rsidP="004C3C59">
      <w:pPr>
        <w:pStyle w:val="texto"/>
        <w:tabs>
          <w:tab w:val="clear" w:pos="2835"/>
          <w:tab w:val="clear" w:pos="3969"/>
          <w:tab w:val="clear" w:pos="5103"/>
          <w:tab w:val="clear" w:pos="6237"/>
          <w:tab w:val="clear" w:pos="7371"/>
          <w:tab w:val="left" w:pos="480"/>
          <w:tab w:val="num" w:pos="600"/>
        </w:tabs>
      </w:pPr>
      <w:r>
        <w:rPr>
          <w:noProof/>
          <w:lang w:val="es-ES" w:eastAsia="es-ES"/>
        </w:rPr>
        <w:drawing>
          <wp:anchor distT="0" distB="0" distL="114300" distR="114300" simplePos="0" relativeHeight="251660800" behindDoc="0" locked="0" layoutInCell="1" allowOverlap="0" wp14:anchorId="6FF0328F" wp14:editId="350786E1">
            <wp:simplePos x="0" y="0"/>
            <wp:positionH relativeFrom="margin">
              <wp:posOffset>-237490</wp:posOffset>
            </wp:positionH>
            <wp:positionV relativeFrom="paragraph">
              <wp:posOffset>537210</wp:posOffset>
            </wp:positionV>
            <wp:extent cx="5867400" cy="2600325"/>
            <wp:effectExtent l="0" t="0" r="0" b="0"/>
            <wp:wrapSquare wrapText="bothSides"/>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4C3C59">
        <w:t xml:space="preserve">En el periodo 2012-2022 el CJN obtuvo del INJ un total de 1,16 millones según el siguiente detalle por concepto de gasto </w:t>
      </w:r>
      <w:r w:rsidR="004C3C59" w:rsidRPr="00256C39">
        <w:t>financiado</w:t>
      </w:r>
      <w:r w:rsidR="004C3C59">
        <w:t>:</w:t>
      </w:r>
    </w:p>
    <w:p w14:paraId="44E55131" w14:textId="4E806E53" w:rsidR="00FE1E9F" w:rsidRDefault="00FE1E9F" w:rsidP="00977592">
      <w:pPr>
        <w:pStyle w:val="texto"/>
        <w:tabs>
          <w:tab w:val="clear" w:pos="2835"/>
          <w:tab w:val="clear" w:pos="3969"/>
          <w:tab w:val="clear" w:pos="5103"/>
          <w:tab w:val="clear" w:pos="6237"/>
          <w:tab w:val="clear" w:pos="7371"/>
          <w:tab w:val="num" w:pos="300"/>
          <w:tab w:val="left" w:pos="480"/>
          <w:tab w:val="num" w:pos="600"/>
        </w:tabs>
        <w:spacing w:before="360"/>
        <w:ind w:left="284" w:firstLine="0"/>
      </w:pPr>
      <w:r>
        <w:lastRenderedPageBreak/>
        <w:t xml:space="preserve"> Del análisis de los datos anteriores señalamos los siguientes aspectos</w:t>
      </w:r>
      <w:r w:rsidR="00F86604">
        <w:rPr>
          <w:rStyle w:val="Refdenotaalpie"/>
        </w:rPr>
        <w:footnoteReference w:id="2"/>
      </w:r>
      <w:r>
        <w:t>:</w:t>
      </w:r>
    </w:p>
    <w:p w14:paraId="2C688C95" w14:textId="6FD86780" w:rsidR="00FE1E9F"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szCs w:val="26"/>
        </w:rPr>
      </w:pPr>
      <w:r w:rsidRPr="55145637">
        <w:rPr>
          <w:rFonts w:eastAsia="Calibri"/>
          <w:szCs w:val="26"/>
        </w:rPr>
        <w:t>En 2022</w:t>
      </w:r>
      <w:r w:rsidR="00142104">
        <w:rPr>
          <w:rFonts w:eastAsia="Calibri"/>
          <w:szCs w:val="26"/>
        </w:rPr>
        <w:t>,</w:t>
      </w:r>
      <w:r w:rsidRPr="55145637">
        <w:rPr>
          <w:rFonts w:eastAsia="Calibri"/>
          <w:szCs w:val="26"/>
        </w:rPr>
        <w:t xml:space="preserve"> los ingresos del </w:t>
      </w:r>
      <w:r w:rsidR="000A2564">
        <w:rPr>
          <w:rFonts w:eastAsia="Calibri"/>
          <w:szCs w:val="26"/>
        </w:rPr>
        <w:t>CJN</w:t>
      </w:r>
      <w:r w:rsidRPr="55145637">
        <w:rPr>
          <w:rFonts w:eastAsia="Calibri"/>
          <w:szCs w:val="26"/>
        </w:rPr>
        <w:t xml:space="preserve"> ascendieron a 123.173 euros, cifra superior a la de 2021 en un dos por ciento, pero inferior a la de 2012 en un 26 por ciento.</w:t>
      </w:r>
      <w:r w:rsidRPr="55145637">
        <w:rPr>
          <w:szCs w:val="26"/>
        </w:rPr>
        <w:t xml:space="preserve"> </w:t>
      </w:r>
    </w:p>
    <w:p w14:paraId="41E60A6B" w14:textId="72BDD477" w:rsidR="00FE1E9F"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pPr>
      <w:r>
        <w:t xml:space="preserve">En 2023, los </w:t>
      </w:r>
      <w:r w:rsidRPr="070F4F61">
        <w:rPr>
          <w:rFonts w:eastAsia="Calibri"/>
        </w:rPr>
        <w:t>créditos</w:t>
      </w:r>
      <w:r>
        <w:t xml:space="preserve"> definitivos aprobados por el INJ ascendieron a 88.000 euros lo que supone una disminución del 29 por ciento frente a 2022; a la fecha de redacción </w:t>
      </w:r>
      <w:r w:rsidRPr="004850F6">
        <w:t xml:space="preserve">de </w:t>
      </w:r>
      <w:r w:rsidR="7C712085" w:rsidRPr="00734C9C">
        <w:t>este informe</w:t>
      </w:r>
      <w:r w:rsidR="00142104">
        <w:t>,</w:t>
      </w:r>
      <w:r w:rsidRPr="00734C9C">
        <w:t xml:space="preserve"> se han</w:t>
      </w:r>
      <w:r>
        <w:t xml:space="preserve"> reconocido unos gastos de 82.368 euros. </w:t>
      </w:r>
    </w:p>
    <w:p w14:paraId="42A70EA9" w14:textId="77777777" w:rsidR="00FE1E9F" w:rsidRPr="00C92766"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sidRPr="00C92766">
        <w:rPr>
          <w:rFonts w:eastAsia="Calibri"/>
          <w:szCs w:val="26"/>
        </w:rPr>
        <w:t>En el periodo 2012-2022, el 78 por ciento del gasto subvencionado correspondió a personal, el 14 por ciento a servicios, el siete por ciento a otros gastos corrientes y el uno por ciento a material informático e inventariable.</w:t>
      </w:r>
    </w:p>
    <w:p w14:paraId="1DEA4662" w14:textId="52D537D1" w:rsidR="00FE1E9F" w:rsidRPr="0070064A" w:rsidRDefault="562D81B6" w:rsidP="00256C39">
      <w:pPr>
        <w:pStyle w:val="texto"/>
        <w:rPr>
          <w:rFonts w:eastAsia="Calibri"/>
        </w:rPr>
      </w:pPr>
      <w:r w:rsidRPr="14B3A08B">
        <w:rPr>
          <w:rFonts w:eastAsia="Calibri"/>
        </w:rPr>
        <w:t>El personal financiado con este convenio a lo largo del tiempo ha sido la totalidad del señalado en el epígrafe anterior a excepción de la persona dedicada al proyecto Parlamento Joven</w:t>
      </w:r>
      <w:r w:rsidR="00142104">
        <w:rPr>
          <w:rFonts w:eastAsia="Calibri"/>
        </w:rPr>
        <w:t xml:space="preserve">. Su </w:t>
      </w:r>
      <w:r w:rsidRPr="14B3A08B">
        <w:rPr>
          <w:rFonts w:eastAsia="Calibri"/>
        </w:rPr>
        <w:t>gasto se sufraga con la subvención recibida del Parlamento</w:t>
      </w:r>
      <w:r w:rsidR="00142104">
        <w:rPr>
          <w:rFonts w:eastAsia="Calibri"/>
        </w:rPr>
        <w:t>,</w:t>
      </w:r>
      <w:r w:rsidRPr="14B3A08B">
        <w:rPr>
          <w:rFonts w:eastAsia="Calibri"/>
        </w:rPr>
        <w:t xml:space="preserve"> tal y como se expone en el siguiente </w:t>
      </w:r>
      <w:r w:rsidRPr="00585285">
        <w:rPr>
          <w:rFonts w:eastAsia="Calibri"/>
        </w:rPr>
        <w:t>apartado</w:t>
      </w:r>
      <w:r w:rsidR="1AE4D0B2" w:rsidRPr="00585285">
        <w:rPr>
          <w:rFonts w:eastAsia="Calibri"/>
        </w:rPr>
        <w:t>.</w:t>
      </w:r>
      <w:r w:rsidRPr="00585285">
        <w:rPr>
          <w:rFonts w:eastAsia="Calibri"/>
        </w:rPr>
        <w:t xml:space="preserve"> </w:t>
      </w:r>
      <w:r w:rsidR="00142104">
        <w:rPr>
          <w:rFonts w:eastAsia="Calibri"/>
        </w:rPr>
        <w:t>En 2023</w:t>
      </w:r>
      <w:r>
        <w:t xml:space="preserve">, ante la </w:t>
      </w:r>
      <w:r w:rsidR="781391FE">
        <w:t>disminución</w:t>
      </w:r>
      <w:r>
        <w:t xml:space="preserve"> de la financiación prevista en el convenio, la Asamblea General decidió que la técnica de comunicación dejara de prestar sus servicios en el CJN.</w:t>
      </w:r>
    </w:p>
    <w:p w14:paraId="5969912F" w14:textId="29F134EF" w:rsidR="00435F89" w:rsidRPr="00F86604" w:rsidRDefault="00435F89" w:rsidP="00435F89">
      <w:pPr>
        <w:pStyle w:val="atitulo3"/>
        <w:spacing w:before="240"/>
        <w:rPr>
          <w:vertAlign w:val="superscript"/>
        </w:rPr>
      </w:pPr>
      <w:r w:rsidRPr="00D933B0">
        <w:t>Convenio con el Parlamento de Navarra</w:t>
      </w:r>
    </w:p>
    <w:p w14:paraId="3540944A" w14:textId="573A4F6B" w:rsidR="00FE1E9F" w:rsidRDefault="00FE1E9F" w:rsidP="00760C4D">
      <w:pPr>
        <w:pStyle w:val="texto"/>
      </w:pPr>
      <w:r>
        <w:t>La financiación obtenida por el CJN del Parlamento de Navarra proviene de un</w:t>
      </w:r>
      <w:r w:rsidR="0908C076">
        <w:t>a subvención regulada en un</w:t>
      </w:r>
      <w:r>
        <w:t xml:space="preserve"> convenio anual desde 2017. El fin de este convenio es colaborar en el proyecto “Parlamento Joven de Navarra-</w:t>
      </w:r>
      <w:proofErr w:type="spellStart"/>
      <w:r>
        <w:t>Nafarroako</w:t>
      </w:r>
      <w:proofErr w:type="spellEnd"/>
      <w:r>
        <w:t xml:space="preserve"> </w:t>
      </w:r>
      <w:proofErr w:type="spellStart"/>
      <w:r>
        <w:t>Gazte</w:t>
      </w:r>
      <w:proofErr w:type="spellEnd"/>
      <w:r>
        <w:t xml:space="preserve"> </w:t>
      </w:r>
      <w:proofErr w:type="spellStart"/>
      <w:r>
        <w:t>Parlamentua</w:t>
      </w:r>
      <w:proofErr w:type="spellEnd"/>
      <w:r>
        <w:t xml:space="preserve">” y para ello se financian tanto las actividades que se programen, hasta un importe máximo que varía anualmente, y el gasto del personal encargado de organizarlas. </w:t>
      </w:r>
    </w:p>
    <w:p w14:paraId="0985AC2F" w14:textId="77777777" w:rsidR="00FE1E9F" w:rsidRPr="00B46121" w:rsidRDefault="00FE1E9F" w:rsidP="00760C4D">
      <w:pPr>
        <w:pStyle w:val="texto"/>
      </w:pPr>
      <w:r w:rsidRPr="00B46121">
        <w:t xml:space="preserve">El </w:t>
      </w:r>
      <w:r>
        <w:t xml:space="preserve">procedimiento de </w:t>
      </w:r>
      <w:r w:rsidRPr="00B46121">
        <w:t>abono y</w:t>
      </w:r>
      <w:r>
        <w:t xml:space="preserve"> justificación de los importes es el siguiente:</w:t>
      </w:r>
    </w:p>
    <w:p w14:paraId="682B3D9F" w14:textId="77777777" w:rsidR="00FE1E9F" w:rsidRPr="00B46121"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sidRPr="00B46121">
        <w:rPr>
          <w:rFonts w:eastAsia="Calibri"/>
          <w:szCs w:val="26"/>
        </w:rPr>
        <w:t>Un primer abono</w:t>
      </w:r>
      <w:r>
        <w:rPr>
          <w:rFonts w:eastAsia="Calibri"/>
          <w:szCs w:val="26"/>
        </w:rPr>
        <w:t xml:space="preserve"> en concepto de anticipo por un 80 por ciento del gasto previsto.</w:t>
      </w:r>
    </w:p>
    <w:p w14:paraId="5DE7DF97" w14:textId="77777777" w:rsidR="00FE1E9F"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Pr>
          <w:rFonts w:eastAsia="Calibri"/>
          <w:szCs w:val="26"/>
        </w:rPr>
        <w:t>El 20 por ciento restante hasta alcanzar la cuantía máxima del gasto de la actividad una vez que ésta se haya realizado previa justificación de dichos gastos.</w:t>
      </w:r>
    </w:p>
    <w:p w14:paraId="2379941A" w14:textId="77777777" w:rsidR="00FE1E9F" w:rsidRPr="00B46121"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sidRPr="55145637">
        <w:rPr>
          <w:rFonts w:eastAsia="Calibri"/>
          <w:szCs w:val="26"/>
        </w:rPr>
        <w:t>El Parlamento revisa todas las justificaciones presentadas</w:t>
      </w:r>
      <w:r>
        <w:rPr>
          <w:rFonts w:eastAsia="Calibri"/>
          <w:szCs w:val="26"/>
        </w:rPr>
        <w:t>,</w:t>
      </w:r>
      <w:r w:rsidRPr="55145637">
        <w:rPr>
          <w:rFonts w:eastAsia="Calibri"/>
          <w:szCs w:val="26"/>
        </w:rPr>
        <w:t xml:space="preserve"> habiéndose producido en su caso los reintegros correspondientes. </w:t>
      </w:r>
    </w:p>
    <w:p w14:paraId="3342951B" w14:textId="77777777" w:rsidR="00150D66" w:rsidRDefault="00150D66">
      <w:pPr>
        <w:spacing w:after="0"/>
        <w:ind w:firstLine="0"/>
        <w:jc w:val="left"/>
        <w:rPr>
          <w:spacing w:val="6"/>
          <w:sz w:val="26"/>
          <w:szCs w:val="24"/>
        </w:rPr>
      </w:pPr>
      <w:r>
        <w:br w:type="page"/>
      </w:r>
    </w:p>
    <w:p w14:paraId="0A3360AC" w14:textId="6913AF8D" w:rsidR="00FE1E9F" w:rsidRDefault="00FE1E9F" w:rsidP="00256C39">
      <w:pPr>
        <w:pStyle w:val="texto"/>
      </w:pPr>
      <w:r>
        <w:lastRenderedPageBreak/>
        <w:t xml:space="preserve">En el periodo 2017-2022 el </w:t>
      </w:r>
      <w:r w:rsidR="000A2564">
        <w:t>CJN</w:t>
      </w:r>
      <w:r>
        <w:t xml:space="preserve"> obtuvo del Parlamento de Navarra un total de 124.495 euros </w:t>
      </w:r>
      <w:r w:rsidRPr="00760C4D">
        <w:t>según</w:t>
      </w:r>
      <w:r>
        <w:t xml:space="preserve"> el siguiente detalle por concepto de gasto financiado:</w:t>
      </w:r>
    </w:p>
    <w:p w14:paraId="701054F0" w14:textId="77777777" w:rsidR="00FE1E9F" w:rsidRDefault="00FE1E9F" w:rsidP="00794C6A">
      <w:pPr>
        <w:pStyle w:val="texto"/>
        <w:spacing w:before="120"/>
        <w:ind w:left="-284" w:firstLine="0"/>
        <w:jc w:val="center"/>
      </w:pPr>
      <w:r>
        <w:rPr>
          <w:noProof/>
          <w:lang w:val="es-ES" w:eastAsia="es-ES"/>
        </w:rPr>
        <w:drawing>
          <wp:inline distT="0" distB="0" distL="0" distR="0" wp14:anchorId="0F36BA56" wp14:editId="6A76D8E5">
            <wp:extent cx="5814060" cy="3482340"/>
            <wp:effectExtent l="0" t="0" r="0" b="381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D976CB4" w14:textId="7DB874FB" w:rsidR="00FE1E9F" w:rsidRDefault="00FE1E9F" w:rsidP="00760C4D">
      <w:pPr>
        <w:pStyle w:val="texto"/>
        <w:spacing w:before="240"/>
      </w:pPr>
      <w:r>
        <w:t>Del análisis de los datos anteriores señalamos los siguientes aspectos:</w:t>
      </w:r>
    </w:p>
    <w:p w14:paraId="7532166B" w14:textId="0CDE1104" w:rsidR="00FE1E9F"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pPr>
      <w:r w:rsidRPr="30A56CBC">
        <w:rPr>
          <w:rFonts w:eastAsia="Calibri"/>
        </w:rPr>
        <w:t xml:space="preserve">En 2022 los ingresos del </w:t>
      </w:r>
      <w:r w:rsidR="000A2564">
        <w:rPr>
          <w:rFonts w:eastAsia="Calibri"/>
        </w:rPr>
        <w:t>CJN</w:t>
      </w:r>
      <w:r w:rsidRPr="30A56CBC">
        <w:rPr>
          <w:rFonts w:eastAsia="Calibri"/>
        </w:rPr>
        <w:t xml:space="preserve"> ascendieron a 25.823 euros, cifra superior a la</w:t>
      </w:r>
      <w:r w:rsidR="1F542D75" w:rsidRPr="30A56CBC">
        <w:rPr>
          <w:rFonts w:eastAsia="Calibri"/>
        </w:rPr>
        <w:t>s</w:t>
      </w:r>
      <w:r w:rsidRPr="30A56CBC">
        <w:rPr>
          <w:rFonts w:eastAsia="Calibri"/>
        </w:rPr>
        <w:t xml:space="preserve"> de 2017 y 2021 en un 77 y en un ocho por ciento</w:t>
      </w:r>
      <w:r w:rsidR="05B3EBD8" w:rsidRPr="30A56CBC">
        <w:rPr>
          <w:rFonts w:eastAsia="Calibri"/>
        </w:rPr>
        <w:t>,</w:t>
      </w:r>
      <w:r w:rsidRPr="30A56CBC">
        <w:rPr>
          <w:rFonts w:eastAsia="Calibri"/>
        </w:rPr>
        <w:t xml:space="preserve"> respectivamente.</w:t>
      </w:r>
      <w:r>
        <w:t xml:space="preserve"> </w:t>
      </w:r>
    </w:p>
    <w:p w14:paraId="1D930FB1" w14:textId="4212B799" w:rsidR="00FE1E9F" w:rsidRDefault="00FE1E9F" w:rsidP="00256C39">
      <w:pPr>
        <w:pStyle w:val="texto"/>
      </w:pPr>
      <w:r>
        <w:t>En 2023, el convenio prevé un gasto máximo de 28.000 euros de los cuales a la fecha de redacción de este informe se han</w:t>
      </w:r>
      <w:r w:rsidR="05131924">
        <w:t xml:space="preserve"> abonado</w:t>
      </w:r>
      <w:r>
        <w:t xml:space="preserve"> un total de 25.823 euros. </w:t>
      </w:r>
      <w:r w:rsidR="581C9116">
        <w:t>C</w:t>
      </w:r>
      <w:r>
        <w:t xml:space="preserve">omo hecho posterior al alcance de este trabajo, </w:t>
      </w:r>
      <w:r w:rsidR="1A07FDCE">
        <w:t xml:space="preserve">señalamos que </w:t>
      </w:r>
      <w:r>
        <w:t>el Parlamento de Navarra ha comunicado al CJN que no renovará para 2024 este convenio.</w:t>
      </w:r>
    </w:p>
    <w:p w14:paraId="4765072E" w14:textId="77777777" w:rsidR="00C92766" w:rsidRDefault="00FE1E9F"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rPr>
      </w:pPr>
      <w:r w:rsidRPr="1D9DB827">
        <w:rPr>
          <w:rFonts w:eastAsia="Calibri"/>
        </w:rPr>
        <w:t xml:space="preserve">En el periodo 2017-2022, el 78 por ciento del gasto subvencionado correspondió a personal, el 13 por ciento a promoción y campañas de promoción, el seis por ciento a otros gastos corrientes y el tres por </w:t>
      </w:r>
      <w:bookmarkStart w:id="10" w:name="_Int_DIhtPrcH"/>
      <w:proofErr w:type="gramStart"/>
      <w:r w:rsidRPr="1D9DB827">
        <w:rPr>
          <w:rFonts w:eastAsia="Calibri"/>
        </w:rPr>
        <w:t>ciento restante</w:t>
      </w:r>
      <w:bookmarkEnd w:id="10"/>
      <w:proofErr w:type="gramEnd"/>
      <w:r w:rsidRPr="1D9DB827">
        <w:rPr>
          <w:rFonts w:eastAsia="Calibri"/>
        </w:rPr>
        <w:t xml:space="preserve"> a informática</w:t>
      </w:r>
      <w:r w:rsidR="00C92766" w:rsidRPr="1D9DB827">
        <w:rPr>
          <w:rFonts w:eastAsia="Calibri"/>
        </w:rPr>
        <w:t>.</w:t>
      </w:r>
    </w:p>
    <w:p w14:paraId="58111212" w14:textId="3C660BA1" w:rsidR="00FE1E9F" w:rsidRPr="00256C39" w:rsidRDefault="1CA3DA8A" w:rsidP="00256C39">
      <w:pPr>
        <w:pStyle w:val="texto"/>
      </w:pPr>
      <w:r>
        <w:t>E</w:t>
      </w:r>
      <w:r w:rsidR="00FE1E9F">
        <w:t>l personal financiado con cargo a este convenio es la técnica encargada de gestionar este proyecto. Como hemos señalado previamente, al desaparecer esta subvención en 2024, esta persona dejará de prestar sus servicios en el CJN a partir de enero de dicho año.</w:t>
      </w:r>
    </w:p>
    <w:p w14:paraId="695E3CBB" w14:textId="11709391" w:rsidR="6D741EA3" w:rsidRPr="007810C3" w:rsidRDefault="6D741EA3" w:rsidP="0057014C">
      <w:pPr>
        <w:pStyle w:val="atitulo3"/>
        <w:spacing w:before="240"/>
      </w:pPr>
      <w:r w:rsidRPr="007810C3">
        <w:t>Revisión de las justifi</w:t>
      </w:r>
      <w:r w:rsidR="491D60D3" w:rsidRPr="007810C3">
        <w:t>caciones a los convenios</w:t>
      </w:r>
    </w:p>
    <w:p w14:paraId="298A79A3" w14:textId="72010985" w:rsidR="003158F4" w:rsidRDefault="003158F4" w:rsidP="00256C39">
      <w:pPr>
        <w:pStyle w:val="texto"/>
      </w:pPr>
      <w:r>
        <w:t>Hemos revisado la justificación presentada por el CJN a las subvenciones recibidas en 2022</w:t>
      </w:r>
      <w:r w:rsidR="004B5A90">
        <w:t>,</w:t>
      </w:r>
      <w:r w:rsidR="00BE6985">
        <w:t xml:space="preserve"> tanto del I</w:t>
      </w:r>
      <w:r>
        <w:t>N</w:t>
      </w:r>
      <w:r w:rsidR="00BE6985">
        <w:t>J</w:t>
      </w:r>
      <w:r>
        <w:t xml:space="preserve"> como del Parlamento de Navarra</w:t>
      </w:r>
      <w:r w:rsidR="004B5A90">
        <w:t>,</w:t>
      </w:r>
      <w:r>
        <w:t xml:space="preserve"> </w:t>
      </w:r>
      <w:r w:rsidR="00B174D7">
        <w:t>concluyendo que</w:t>
      </w:r>
      <w:r w:rsidR="004B5A90">
        <w:t xml:space="preserve"> los gastos están autorizados, intervenidos y justificados, y que la concesión, </w:t>
      </w:r>
      <w:r w:rsidR="004B5A90">
        <w:lastRenderedPageBreak/>
        <w:t xml:space="preserve">justificación y abono, o reintegro en su caso, se realizó conforme a lo establecido en la </w:t>
      </w:r>
      <w:r w:rsidR="00555F50">
        <w:t>normativa reguladora</w:t>
      </w:r>
      <w:r w:rsidR="00B20129">
        <w:t xml:space="preserve">. Hemos constatado, no obstante, </w:t>
      </w:r>
      <w:proofErr w:type="gramStart"/>
      <w:r w:rsidR="00B20129">
        <w:t>que</w:t>
      </w:r>
      <w:proofErr w:type="gramEnd"/>
      <w:r w:rsidR="00B20129">
        <w:t xml:space="preserve"> en </w:t>
      </w:r>
      <w:r w:rsidR="002C5A07">
        <w:t>2022,</w:t>
      </w:r>
      <w:r w:rsidR="00B03872">
        <w:t xml:space="preserve"> </w:t>
      </w:r>
      <w:r w:rsidR="000A5AFF">
        <w:t xml:space="preserve">el CJN </w:t>
      </w:r>
      <w:r w:rsidR="00B03872">
        <w:t>no present</w:t>
      </w:r>
      <w:r w:rsidR="000A5AFF">
        <w:t>ó</w:t>
      </w:r>
      <w:r w:rsidR="00B03872">
        <w:t xml:space="preserve"> gastos</w:t>
      </w:r>
      <w:r w:rsidR="002C5A07">
        <w:t xml:space="preserve"> por un total de 1.128 euros</w:t>
      </w:r>
      <w:r w:rsidR="00B03872">
        <w:t xml:space="preserve"> </w:t>
      </w:r>
      <w:r w:rsidR="000A5AFF">
        <w:t xml:space="preserve">que podrían haber sido subvencionados. </w:t>
      </w:r>
    </w:p>
    <w:p w14:paraId="21EF1A0D" w14:textId="3A287332" w:rsidR="00FE1E9F" w:rsidRPr="00B97DFC" w:rsidRDefault="00FE1E9F" w:rsidP="00B97DFC">
      <w:pPr>
        <w:pStyle w:val="atitulo2"/>
        <w:spacing w:before="240"/>
      </w:pPr>
      <w:bookmarkStart w:id="11" w:name="_Toc149914889"/>
      <w:bookmarkStart w:id="12" w:name="_Toc153454648"/>
      <w:r w:rsidRPr="00B97DFC">
        <w:t>II.</w:t>
      </w:r>
      <w:r w:rsidR="00EC0DFC" w:rsidRPr="00B97DFC">
        <w:t>3</w:t>
      </w:r>
      <w:r w:rsidRPr="00B97DFC">
        <w:t xml:space="preserve"> Presentación de cuentas en la Asamblea General</w:t>
      </w:r>
      <w:bookmarkEnd w:id="11"/>
      <w:bookmarkEnd w:id="12"/>
    </w:p>
    <w:p w14:paraId="6CC73292" w14:textId="116716B7" w:rsidR="00FE1E9F" w:rsidRPr="00D933B0" w:rsidRDefault="562D81B6" w:rsidP="00B97DFC">
      <w:pPr>
        <w:pStyle w:val="texto"/>
      </w:pPr>
      <w:r>
        <w:t xml:space="preserve">Como hemos </w:t>
      </w:r>
      <w:r w:rsidR="2B7B6691">
        <w:t>señalado</w:t>
      </w:r>
      <w:r>
        <w:t xml:space="preserve"> previamente, la Asamblea General debe considerar, debatir y aprobar</w:t>
      </w:r>
      <w:r w:rsidR="2B7B6691">
        <w:t>,</w:t>
      </w:r>
      <w:r>
        <w:t xml:space="preserve"> en su caso</w:t>
      </w:r>
      <w:r w:rsidR="2B7B6691">
        <w:t>,</w:t>
      </w:r>
      <w:r>
        <w:t xml:space="preserve"> el estado de cuentas, la cuenta de ingresos y gastos</w:t>
      </w:r>
      <w:r w:rsidR="6F78298C">
        <w:t xml:space="preserve"> (cuenta de pérdidas y ganancias)</w:t>
      </w:r>
      <w:r>
        <w:t xml:space="preserve"> del periodo y el balance de situación a 31 de diciembre, así como las previsiones presupuestarias correspondientes.</w:t>
      </w:r>
    </w:p>
    <w:p w14:paraId="30EC00AE" w14:textId="5320ECFE" w:rsidR="00FE1E9F" w:rsidRPr="00D933B0" w:rsidRDefault="562D81B6" w:rsidP="00B97DFC">
      <w:pPr>
        <w:pStyle w:val="texto"/>
      </w:pPr>
      <w:r>
        <w:t>No consta que este órgano haya aprobado el balance de situación a 31 de diciembre ni</w:t>
      </w:r>
      <w:r w:rsidR="08891638">
        <w:t xml:space="preserve"> la</w:t>
      </w:r>
      <w:r>
        <w:t xml:space="preserve"> cuenta de pérdidas y ganancias </w:t>
      </w:r>
      <w:proofErr w:type="gramStart"/>
      <w:r w:rsidR="00150D66">
        <w:t>de acuerdo al</w:t>
      </w:r>
      <w:proofErr w:type="gramEnd"/>
      <w:r w:rsidR="00150D66">
        <w:t xml:space="preserve"> marco de información financiera aplicable </w:t>
      </w:r>
      <w:r>
        <w:t>al menos en los últimos cinco años.</w:t>
      </w:r>
      <w:r w:rsidR="42D71E5E">
        <w:t xml:space="preserve"> </w:t>
      </w:r>
    </w:p>
    <w:p w14:paraId="0FDB5ACC" w14:textId="3429C289" w:rsidR="00555F50" w:rsidRDefault="00555F50" w:rsidP="00156997">
      <w:pPr>
        <w:spacing w:after="0"/>
        <w:ind w:firstLine="284"/>
        <w:jc w:val="left"/>
        <w:rPr>
          <w:rFonts w:eastAsia="Calibri"/>
          <w:color w:val="000000"/>
          <w:sz w:val="26"/>
          <w:szCs w:val="26"/>
          <w:lang w:val="es-ES" w:eastAsia="es-ES"/>
        </w:rPr>
      </w:pPr>
      <w:r>
        <w:rPr>
          <w:rFonts w:eastAsia="Calibri"/>
          <w:sz w:val="26"/>
          <w:szCs w:val="26"/>
        </w:rPr>
        <w:br w:type="page"/>
      </w:r>
    </w:p>
    <w:p w14:paraId="00D92FBC" w14:textId="14E27182" w:rsidR="00B80751" w:rsidRPr="00702FE8" w:rsidRDefault="00FE1E9F" w:rsidP="00702FE8">
      <w:pPr>
        <w:pStyle w:val="atitulo1"/>
      </w:pPr>
      <w:bookmarkStart w:id="13" w:name="_Toc153454649"/>
      <w:r w:rsidRPr="00702FE8">
        <w:lastRenderedPageBreak/>
        <w:t>I</w:t>
      </w:r>
      <w:r w:rsidR="00B80751" w:rsidRPr="00702FE8">
        <w:t>II. Objetivos, alcance y limitaciones</w:t>
      </w:r>
      <w:bookmarkEnd w:id="13"/>
      <w:r w:rsidR="00B80751" w:rsidRPr="00702FE8">
        <w:t xml:space="preserve"> </w:t>
      </w:r>
    </w:p>
    <w:p w14:paraId="1C86BD57" w14:textId="167B2490" w:rsidR="00D67FDB" w:rsidRPr="00B416D6" w:rsidRDefault="005E5E2D" w:rsidP="00702FE8">
      <w:pPr>
        <w:pStyle w:val="texto"/>
      </w:pPr>
      <w:r>
        <w:t xml:space="preserve">Teniendo en cuenta la petición parlamentaria recibida, el objetivo de nuestro trabajo ha sido </w:t>
      </w:r>
      <w:r w:rsidR="00D67FDB">
        <w:t xml:space="preserve">emitir una opinión sobre si las cuentas anuales </w:t>
      </w:r>
      <w:r w:rsidR="5FED2620">
        <w:t>del periodo</w:t>
      </w:r>
      <w:r w:rsidR="005A53E3">
        <w:t xml:space="preserve"> 2019</w:t>
      </w:r>
      <w:r w:rsidR="5B8CEAA4">
        <w:t>-</w:t>
      </w:r>
      <w:r w:rsidR="20809B5B">
        <w:t xml:space="preserve"> </w:t>
      </w:r>
      <w:r w:rsidR="00D67FDB">
        <w:t xml:space="preserve">2022 del CJN expresan, en todos sus aspectos significativos, la imagen fiel del patrimonio, de la situación financiera, de la liquidación presupuestaria y del resultado económico a 31 de diciembre </w:t>
      </w:r>
      <w:r w:rsidR="005A53E3">
        <w:t>de los años mencionados</w:t>
      </w:r>
      <w:r w:rsidR="00D67FDB">
        <w:t xml:space="preserve">, de conformidad con el marco normativo que resulta de aplicación y, en particular, con los principios y criterios contables y presupuestarios contenidos en el mismo. </w:t>
      </w:r>
    </w:p>
    <w:p w14:paraId="331D4A84" w14:textId="77EFDD26" w:rsidR="005E5E2D" w:rsidRDefault="005E5E2D" w:rsidP="00702FE8">
      <w:pPr>
        <w:pStyle w:val="texto"/>
      </w:pPr>
      <w:r w:rsidRPr="1D9DB827">
        <w:rPr>
          <w:rStyle w:val="normaltextrun"/>
          <w:rFonts w:eastAsia="Calibri"/>
        </w:rPr>
        <w:t>El alcance de la fiscalización son las cuentas anuales del CJN</w:t>
      </w:r>
      <w:r w:rsidR="00D67FDB" w:rsidRPr="1D9DB827">
        <w:rPr>
          <w:rStyle w:val="normaltextrun"/>
          <w:rFonts w:eastAsia="Calibri"/>
        </w:rPr>
        <w:t xml:space="preserve"> formadas</w:t>
      </w:r>
      <w:r w:rsidRPr="1D9DB827">
        <w:rPr>
          <w:rStyle w:val="normaltextrun"/>
          <w:rFonts w:eastAsia="Calibri"/>
        </w:rPr>
        <w:t xml:space="preserve"> por el balance de situación y la cuenta de pérdidas y ganancias</w:t>
      </w:r>
      <w:r w:rsidR="00D77FAD" w:rsidRPr="1D9DB827">
        <w:rPr>
          <w:rStyle w:val="normaltextrun"/>
          <w:rFonts w:eastAsia="Calibri"/>
        </w:rPr>
        <w:t xml:space="preserve"> a 31 de diciembre </w:t>
      </w:r>
      <w:r w:rsidR="01A4DB42" w:rsidRPr="1D9DB827">
        <w:rPr>
          <w:rStyle w:val="normaltextrun"/>
          <w:rFonts w:eastAsia="Calibri"/>
        </w:rPr>
        <w:t>del periodo</w:t>
      </w:r>
      <w:r w:rsidR="69FFDA17" w:rsidRPr="1D9DB827">
        <w:rPr>
          <w:rStyle w:val="normaltextrun"/>
          <w:rFonts w:eastAsia="Calibri"/>
        </w:rPr>
        <w:t xml:space="preserve"> </w:t>
      </w:r>
      <w:r w:rsidR="00D77FAD" w:rsidRPr="1D9DB827">
        <w:rPr>
          <w:rStyle w:val="normaltextrun"/>
          <w:rFonts w:eastAsia="Calibri"/>
        </w:rPr>
        <w:t>2019</w:t>
      </w:r>
      <w:r w:rsidR="6A9FC9AF" w:rsidRPr="1D9DB827">
        <w:rPr>
          <w:rStyle w:val="normaltextrun"/>
          <w:rFonts w:eastAsia="Calibri"/>
        </w:rPr>
        <w:t>-</w:t>
      </w:r>
      <w:r w:rsidR="00D77FAD" w:rsidRPr="1D9DB827">
        <w:rPr>
          <w:rStyle w:val="normaltextrun"/>
          <w:rFonts w:eastAsia="Calibri"/>
        </w:rPr>
        <w:t>2022.</w:t>
      </w:r>
    </w:p>
    <w:p w14:paraId="38585F50" w14:textId="4DC1AF30" w:rsidR="00347AEF" w:rsidRDefault="0E7D160B" w:rsidP="30A56CBC">
      <w:pPr>
        <w:pStyle w:val="texto"/>
        <w:rPr>
          <w:rStyle w:val="eop"/>
        </w:rPr>
      </w:pPr>
      <w:r>
        <w:t>El</w:t>
      </w:r>
      <w:r w:rsidR="384E2296">
        <w:t xml:space="preserve"> CJN no formula sus cuentas anuales ni</w:t>
      </w:r>
      <w:r w:rsidR="007F0881">
        <w:t>,</w:t>
      </w:r>
      <w:r w:rsidR="384E2296">
        <w:t xml:space="preserve"> por lo tanto</w:t>
      </w:r>
      <w:r w:rsidR="007F0881">
        <w:t>,</w:t>
      </w:r>
      <w:r w:rsidR="384E2296">
        <w:t xml:space="preserve"> los estados contables que anualmente de</w:t>
      </w:r>
      <w:r w:rsidR="79D1A7BE">
        <w:t>be</w:t>
      </w:r>
      <w:r w:rsidR="384E2296">
        <w:t xml:space="preserve"> aprobar la Asamblea General (balance de situación y cuenta de pérdidas y ganancias). Si bien este hecho </w:t>
      </w:r>
      <w:r w:rsidR="7E789CA1">
        <w:t>hubiera podido</w:t>
      </w:r>
      <w:r w:rsidR="384E2296">
        <w:t xml:space="preserve"> constituir una limitación al alcance de nuestro trabajo, hemos tenido acceso a la aplicación informática que esta entidad utiliza para registrar la contabilidad, </w:t>
      </w:r>
      <w:r w:rsidR="6B05E3EE">
        <w:t>obteniendo así</w:t>
      </w:r>
      <w:r w:rsidR="384E2296">
        <w:t xml:space="preserve"> el balance de situación y la cuenta de pérdidas y ganancias</w:t>
      </w:r>
      <w:r w:rsidR="6B05E3EE">
        <w:t xml:space="preserve"> a 31 de diciembre</w:t>
      </w:r>
      <w:r w:rsidR="6F45C44F">
        <w:t xml:space="preserve"> incluidos en el Anexo </w:t>
      </w:r>
      <w:r w:rsidR="00E41E7F">
        <w:t>2</w:t>
      </w:r>
      <w:r w:rsidR="6F45C44F">
        <w:t xml:space="preserve"> de este informe</w:t>
      </w:r>
      <w:r w:rsidR="384E2296">
        <w:t>.</w:t>
      </w:r>
    </w:p>
    <w:p w14:paraId="36A6F994" w14:textId="77777777" w:rsidR="00092474" w:rsidRDefault="00092474" w:rsidP="00092474">
      <w:pPr>
        <w:pStyle w:val="texto"/>
        <w:tabs>
          <w:tab w:val="clear" w:pos="2835"/>
          <w:tab w:val="clear" w:pos="3969"/>
          <w:tab w:val="clear" w:pos="5103"/>
          <w:tab w:val="clear" w:pos="6237"/>
          <w:tab w:val="clear" w:pos="7371"/>
        </w:tabs>
        <w:spacing w:after="100"/>
        <w:ind w:left="284" w:firstLine="0"/>
        <w:rPr>
          <w:szCs w:val="26"/>
        </w:rPr>
      </w:pPr>
    </w:p>
    <w:p w14:paraId="1EDE5C22" w14:textId="77777777" w:rsidR="00564D57" w:rsidRDefault="00564D57" w:rsidP="00B80751">
      <w:pPr>
        <w:pStyle w:val="texto"/>
        <w:tabs>
          <w:tab w:val="clear" w:pos="2835"/>
          <w:tab w:val="clear" w:pos="3969"/>
          <w:tab w:val="clear" w:pos="5103"/>
          <w:tab w:val="clear" w:pos="6237"/>
          <w:tab w:val="clear" w:pos="7371"/>
        </w:tabs>
        <w:spacing w:before="120"/>
        <w:rPr>
          <w:szCs w:val="26"/>
        </w:rPr>
      </w:pPr>
    </w:p>
    <w:p w14:paraId="0E0E0BE9" w14:textId="77777777" w:rsidR="00B80751" w:rsidRDefault="00B80751" w:rsidP="00B80751">
      <w:pPr>
        <w:spacing w:after="0"/>
        <w:ind w:firstLine="0"/>
        <w:jc w:val="left"/>
        <w:rPr>
          <w:sz w:val="26"/>
          <w:szCs w:val="26"/>
          <w:lang w:eastAsia="es-ES"/>
        </w:rPr>
      </w:pPr>
      <w:r>
        <w:rPr>
          <w:sz w:val="26"/>
          <w:szCs w:val="26"/>
          <w:lang w:eastAsia="es-ES"/>
        </w:rPr>
        <w:br w:type="page"/>
      </w:r>
    </w:p>
    <w:p w14:paraId="266B12CE" w14:textId="065146E3" w:rsidR="00851DBC" w:rsidRPr="00702FE8" w:rsidRDefault="00851DBC" w:rsidP="00702FE8">
      <w:pPr>
        <w:pStyle w:val="atitulo1"/>
      </w:pPr>
      <w:bookmarkStart w:id="14" w:name="_Toc153454650"/>
      <w:bookmarkStart w:id="15" w:name="_Toc127443952"/>
      <w:r>
        <w:lastRenderedPageBreak/>
        <w:t>I</w:t>
      </w:r>
      <w:r w:rsidR="005E5E2D">
        <w:t>V</w:t>
      </w:r>
      <w:r>
        <w:t xml:space="preserve">. </w:t>
      </w:r>
      <w:r w:rsidR="005E5E2D">
        <w:t xml:space="preserve">Opinión </w:t>
      </w:r>
      <w:r w:rsidR="63A6CD92">
        <w:t>desfavorable</w:t>
      </w:r>
      <w:bookmarkEnd w:id="14"/>
    </w:p>
    <w:p w14:paraId="56F22053" w14:textId="605FF940" w:rsidR="00D67FDB" w:rsidRPr="00702FE8" w:rsidRDefault="00D67FDB" w:rsidP="00702FE8">
      <w:pPr>
        <w:pStyle w:val="texto"/>
      </w:pPr>
      <w:r>
        <w:t>La Cámara de Comptos de Navarra, en uso de las competencias que le atribuye la Ley Foral 19/1984, ha fiscalizado las cuentas anuales del CJN, que comprenden el balance y la cuenta de pérdidas y ganancias a 31 de diciembre de 20</w:t>
      </w:r>
      <w:r w:rsidR="00D77FAD">
        <w:t>19</w:t>
      </w:r>
      <w:r w:rsidR="205915AC">
        <w:t xml:space="preserve"> a </w:t>
      </w:r>
      <w:r w:rsidR="00D77FAD">
        <w:t>2022</w:t>
      </w:r>
      <w:r>
        <w:t>.</w:t>
      </w:r>
    </w:p>
    <w:p w14:paraId="042B4BA2" w14:textId="50C65748" w:rsidR="00D67FDB" w:rsidRDefault="00D67FDB" w:rsidP="00702FE8">
      <w:pPr>
        <w:pStyle w:val="texto"/>
      </w:pPr>
      <w:r>
        <w:t>En nuestra opinión, debido al efecto muy significativo de las cuestiones descritas en la sección “Fundamento de la opinión desfavorable” de nuestro informe, las cuentas anuales no expresan, en todos los aspectos significativos, la imagen fiel del patrimonio y de la situación financiera del CJN a 31 de diciembre de 20</w:t>
      </w:r>
      <w:r w:rsidR="00D77FAD">
        <w:t>19</w:t>
      </w:r>
      <w:r w:rsidR="58821E77">
        <w:t xml:space="preserve"> a 2022</w:t>
      </w:r>
      <w:r w:rsidR="009AB388">
        <w:t>,</w:t>
      </w:r>
      <w:r>
        <w:t xml:space="preserve"> así como de sus resultados económicos correspondientes al ejercicio terminado en dicha fecha, de conformidad con el marco normativo de información financiera aplicable y, en particular, con los principios y criterios contables contenidos en el mismo.</w:t>
      </w:r>
    </w:p>
    <w:p w14:paraId="01D5BF96" w14:textId="23A39E06" w:rsidR="0059327F" w:rsidRPr="00D67FDB" w:rsidRDefault="0059327F" w:rsidP="00D67FDB">
      <w:pPr>
        <w:pStyle w:val="texto"/>
        <w:tabs>
          <w:tab w:val="clear" w:pos="2835"/>
          <w:tab w:val="clear" w:pos="3969"/>
          <w:tab w:val="clear" w:pos="5103"/>
          <w:tab w:val="clear" w:pos="6237"/>
          <w:tab w:val="clear" w:pos="7371"/>
        </w:tabs>
        <w:spacing w:after="100"/>
        <w:rPr>
          <w:szCs w:val="26"/>
        </w:rPr>
      </w:pPr>
      <w:r w:rsidRPr="00D67FDB">
        <w:rPr>
          <w:szCs w:val="26"/>
        </w:rPr>
        <w:br w:type="page"/>
      </w:r>
    </w:p>
    <w:p w14:paraId="6657C75D" w14:textId="3CD15300" w:rsidR="005E5E2D" w:rsidRPr="00702FE8" w:rsidRDefault="005E5E2D" w:rsidP="00702FE8">
      <w:pPr>
        <w:pStyle w:val="atitulo1"/>
      </w:pPr>
      <w:bookmarkStart w:id="16" w:name="_Toc153454651"/>
      <w:r w:rsidRPr="00702FE8">
        <w:lastRenderedPageBreak/>
        <w:t>V. Fundamento de la opinión</w:t>
      </w:r>
      <w:r w:rsidR="00D67FDB" w:rsidRPr="00702FE8">
        <w:t xml:space="preserve"> desfavorable</w:t>
      </w:r>
      <w:bookmarkEnd w:id="16"/>
    </w:p>
    <w:p w14:paraId="5FD1A401" w14:textId="71654772" w:rsidR="00CA56F1" w:rsidRDefault="00CA56F1" w:rsidP="6A9246BB">
      <w:pPr>
        <w:pStyle w:val="texto"/>
        <w:rPr>
          <w:rStyle w:val="normaltextrun"/>
          <w:rFonts w:eastAsia="Calibri"/>
        </w:rPr>
      </w:pPr>
      <w:r w:rsidRPr="6A9246BB">
        <w:rPr>
          <w:rStyle w:val="normaltextrun"/>
          <w:rFonts w:eastAsia="Calibri"/>
        </w:rPr>
        <w:t>Las salvedades que soportan nuestra opinión</w:t>
      </w:r>
      <w:r w:rsidR="132AE443" w:rsidRPr="6A9246BB">
        <w:rPr>
          <w:rStyle w:val="normaltextrun"/>
          <w:rFonts w:eastAsia="Calibri"/>
        </w:rPr>
        <w:t xml:space="preserve"> desfavorable</w:t>
      </w:r>
      <w:r w:rsidRPr="6A9246BB">
        <w:rPr>
          <w:rStyle w:val="normaltextrun"/>
          <w:rFonts w:eastAsia="Calibri"/>
        </w:rPr>
        <w:t xml:space="preserve"> son las siguientes</w:t>
      </w:r>
      <w:r w:rsidR="00380814" w:rsidRPr="6A9246BB">
        <w:rPr>
          <w:rStyle w:val="Refdenotaalpie"/>
          <w:rFonts w:eastAsia="Calibri"/>
        </w:rPr>
        <w:footnoteReference w:id="3"/>
      </w:r>
      <w:r w:rsidRPr="6A9246BB">
        <w:rPr>
          <w:rStyle w:val="normaltextrun"/>
          <w:rFonts w:eastAsia="Calibri"/>
        </w:rPr>
        <w:t>:</w:t>
      </w:r>
    </w:p>
    <w:p w14:paraId="32395925" w14:textId="59A19F10" w:rsidR="00CA56F1" w:rsidRDefault="24B19CCA" w:rsidP="00615481">
      <w:pPr>
        <w:pStyle w:val="paragraph"/>
        <w:numPr>
          <w:ilvl w:val="0"/>
          <w:numId w:val="4"/>
        </w:numPr>
        <w:tabs>
          <w:tab w:val="left" w:pos="567"/>
        </w:tabs>
        <w:spacing w:before="0" w:beforeAutospacing="0" w:after="140" w:afterAutospacing="0"/>
        <w:ind w:left="0" w:firstLine="284"/>
        <w:jc w:val="both"/>
        <w:textAlignment w:val="baseline"/>
        <w:rPr>
          <w:rStyle w:val="normaltextrun"/>
          <w:rFonts w:eastAsia="Calibri"/>
          <w:sz w:val="26"/>
          <w:szCs w:val="26"/>
        </w:rPr>
      </w:pPr>
      <w:r w:rsidRPr="38D5559C">
        <w:rPr>
          <w:rStyle w:val="normaltextrun"/>
          <w:rFonts w:eastAsia="Calibri"/>
          <w:sz w:val="26"/>
          <w:szCs w:val="26"/>
        </w:rPr>
        <w:t>N</w:t>
      </w:r>
      <w:r w:rsidR="00CA56F1" w:rsidRPr="38D5559C">
        <w:rPr>
          <w:rStyle w:val="normaltextrun"/>
          <w:rFonts w:eastAsia="Calibri"/>
          <w:sz w:val="26"/>
          <w:szCs w:val="26"/>
        </w:rPr>
        <w:t>o se han contabilizado todas las operaciones contables relacionadas con la actividad del CJN</w:t>
      </w:r>
      <w:r w:rsidR="00695BC9" w:rsidRPr="38D5559C">
        <w:rPr>
          <w:rStyle w:val="normaltextrun"/>
          <w:rFonts w:eastAsia="Calibri"/>
          <w:sz w:val="26"/>
          <w:szCs w:val="26"/>
        </w:rPr>
        <w:t xml:space="preserve">. </w:t>
      </w:r>
      <w:r w:rsidR="1E4B0666" w:rsidRPr="38D5559C">
        <w:rPr>
          <w:rStyle w:val="normaltextrun"/>
          <w:rFonts w:eastAsia="Calibri"/>
          <w:sz w:val="26"/>
          <w:szCs w:val="26"/>
        </w:rPr>
        <w:t>A</w:t>
      </w:r>
      <w:r w:rsidR="00695BC9" w:rsidRPr="38D5559C">
        <w:rPr>
          <w:rStyle w:val="normaltextrun"/>
          <w:rFonts w:eastAsia="Calibri"/>
          <w:sz w:val="26"/>
          <w:szCs w:val="26"/>
        </w:rPr>
        <w:t xml:space="preserve">lgunos de estos ejemplos son la falta del asiento de apertura del ejercicio, del asiento de cierre, o del registro de determinados </w:t>
      </w:r>
      <w:r w:rsidR="00E84D86" w:rsidRPr="38D5559C">
        <w:rPr>
          <w:rStyle w:val="normaltextrun"/>
          <w:rFonts w:eastAsia="Calibri"/>
          <w:sz w:val="26"/>
          <w:szCs w:val="26"/>
        </w:rPr>
        <w:t>gastos existentes en los movimientos</w:t>
      </w:r>
      <w:r w:rsidR="00695BC9" w:rsidRPr="38D5559C">
        <w:rPr>
          <w:rStyle w:val="normaltextrun"/>
          <w:rFonts w:eastAsia="Calibri"/>
          <w:sz w:val="26"/>
          <w:szCs w:val="26"/>
        </w:rPr>
        <w:t xml:space="preserve"> bancarios</w:t>
      </w:r>
      <w:r w:rsidR="00E84D86" w:rsidRPr="38D5559C">
        <w:rPr>
          <w:rStyle w:val="normaltextrun"/>
          <w:rFonts w:eastAsia="Calibri"/>
          <w:sz w:val="26"/>
          <w:szCs w:val="26"/>
        </w:rPr>
        <w:t xml:space="preserve"> revisados</w:t>
      </w:r>
      <w:r w:rsidR="00347AEF" w:rsidRPr="38D5559C">
        <w:rPr>
          <w:rStyle w:val="normaltextrun"/>
          <w:rFonts w:eastAsia="Calibri"/>
          <w:sz w:val="26"/>
          <w:szCs w:val="26"/>
        </w:rPr>
        <w:t>.</w:t>
      </w:r>
      <w:r w:rsidR="00695BC9" w:rsidRPr="38D5559C">
        <w:rPr>
          <w:rStyle w:val="normaltextrun"/>
          <w:rFonts w:eastAsia="Calibri"/>
          <w:sz w:val="26"/>
          <w:szCs w:val="26"/>
        </w:rPr>
        <w:t xml:space="preserve"> </w:t>
      </w:r>
      <w:r w:rsidR="00660851">
        <w:rPr>
          <w:rStyle w:val="normaltextrun"/>
          <w:rFonts w:eastAsia="Calibri"/>
          <w:sz w:val="26"/>
          <w:szCs w:val="26"/>
        </w:rPr>
        <w:t>A modo de ejemplo, en 2022</w:t>
      </w:r>
      <w:r w:rsidR="00380814" w:rsidRPr="38D5559C">
        <w:rPr>
          <w:rStyle w:val="normaltextrun"/>
          <w:rFonts w:eastAsia="Calibri"/>
          <w:sz w:val="26"/>
          <w:szCs w:val="26"/>
        </w:rPr>
        <w:t xml:space="preserve"> no se contabilizaron gastos por importe de 2.485 euros, ni ingresos por 7.949 euros. </w:t>
      </w:r>
    </w:p>
    <w:p w14:paraId="640A4FC3" w14:textId="7833CB0A" w:rsidR="00380814" w:rsidRDefault="00380814" w:rsidP="00615481">
      <w:pPr>
        <w:pStyle w:val="paragraph"/>
        <w:numPr>
          <w:ilvl w:val="0"/>
          <w:numId w:val="4"/>
        </w:numPr>
        <w:tabs>
          <w:tab w:val="left" w:pos="567"/>
        </w:tabs>
        <w:spacing w:before="0" w:beforeAutospacing="0" w:after="140" w:afterAutospacing="0"/>
        <w:ind w:left="0" w:firstLine="284"/>
        <w:jc w:val="both"/>
        <w:textAlignment w:val="baseline"/>
        <w:rPr>
          <w:rStyle w:val="normaltextrun"/>
          <w:rFonts w:eastAsia="Calibri"/>
          <w:sz w:val="26"/>
          <w:szCs w:val="26"/>
        </w:rPr>
      </w:pPr>
      <w:r w:rsidRPr="1E4C4DC6">
        <w:rPr>
          <w:rStyle w:val="normaltextrun"/>
          <w:rFonts w:eastAsia="Calibri"/>
          <w:sz w:val="26"/>
          <w:szCs w:val="26"/>
        </w:rPr>
        <w:t>No se aplica el principio de devengo, contabilizando gastos e ingresos de un ejercicio en el siguiente. En 2022, se contabilizaron gastos por importe de 2.568 euros e ingreso por un total de 6.740 euros correspondientes al ejercicio 2021.</w:t>
      </w:r>
    </w:p>
    <w:p w14:paraId="3EF82556" w14:textId="61587F9D" w:rsidR="00380814" w:rsidRDefault="75646EA2" w:rsidP="00615481">
      <w:pPr>
        <w:pStyle w:val="paragraph"/>
        <w:numPr>
          <w:ilvl w:val="0"/>
          <w:numId w:val="4"/>
        </w:numPr>
        <w:tabs>
          <w:tab w:val="left" w:pos="567"/>
        </w:tabs>
        <w:spacing w:before="0" w:beforeAutospacing="0" w:after="140" w:afterAutospacing="0"/>
        <w:ind w:left="0" w:firstLine="284"/>
        <w:jc w:val="both"/>
        <w:textAlignment w:val="baseline"/>
        <w:rPr>
          <w:rStyle w:val="normaltextrun"/>
          <w:rFonts w:eastAsia="Calibri"/>
          <w:sz w:val="26"/>
          <w:szCs w:val="26"/>
        </w:rPr>
      </w:pPr>
      <w:r w:rsidRPr="1D9DB827">
        <w:rPr>
          <w:rStyle w:val="normaltextrun"/>
          <w:rFonts w:eastAsia="Calibri"/>
          <w:sz w:val="26"/>
          <w:szCs w:val="26"/>
        </w:rPr>
        <w:t>Hemos observado errores relevantes en la contabilidad del CJN entre los que citamos los siguientes</w:t>
      </w:r>
      <w:r w:rsidR="00380814" w:rsidRPr="1D9DB827">
        <w:rPr>
          <w:rStyle w:val="normaltextrun"/>
          <w:rFonts w:eastAsia="Calibri"/>
          <w:sz w:val="26"/>
          <w:szCs w:val="26"/>
        </w:rPr>
        <w:t>:</w:t>
      </w:r>
    </w:p>
    <w:p w14:paraId="70E6FA2A" w14:textId="33E0C15B" w:rsidR="00380814" w:rsidRDefault="00695BC9"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rPr>
      </w:pPr>
      <w:r w:rsidRPr="1E4C4DC6">
        <w:rPr>
          <w:rFonts w:eastAsia="Calibri"/>
        </w:rPr>
        <w:t xml:space="preserve">En el periodo 2019-2021, el reconocimiento de los ingresos por subvenciones no se contabiliza correctamente </w:t>
      </w:r>
      <w:r w:rsidR="00E84D86" w:rsidRPr="1E4C4DC6">
        <w:rPr>
          <w:rFonts w:eastAsia="Calibri"/>
        </w:rPr>
        <w:t xml:space="preserve">al no reflejarse dichos </w:t>
      </w:r>
      <w:r w:rsidRPr="1E4C4DC6">
        <w:rPr>
          <w:rFonts w:eastAsia="Calibri"/>
        </w:rPr>
        <w:t xml:space="preserve">importes en la cuenta de pérdidas y ganancias. </w:t>
      </w:r>
    </w:p>
    <w:p w14:paraId="7079412B" w14:textId="0CA5E417" w:rsidR="00695BC9" w:rsidRDefault="5D79ECED"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rPr>
      </w:pPr>
      <w:r w:rsidRPr="14B3A08B">
        <w:rPr>
          <w:rFonts w:eastAsia="Calibri"/>
        </w:rPr>
        <w:t>En 2022, si bien los importes se contabilizan en una cuenta de ingresos,</w:t>
      </w:r>
      <w:r w:rsidR="394A4AD5" w:rsidRPr="14B3A08B">
        <w:rPr>
          <w:rFonts w:eastAsia="Calibri"/>
        </w:rPr>
        <w:t xml:space="preserve"> </w:t>
      </w:r>
      <w:r w:rsidR="588EF2E0" w:rsidRPr="14B3A08B">
        <w:rPr>
          <w:rFonts w:eastAsia="Calibri"/>
        </w:rPr>
        <w:t>las cifras</w:t>
      </w:r>
      <w:r w:rsidR="394A4AD5" w:rsidRPr="14B3A08B">
        <w:rPr>
          <w:rFonts w:eastAsia="Calibri"/>
        </w:rPr>
        <w:t xml:space="preserve"> no se acaban reflejando en la cuenta de pérdidas y ganancias por</w:t>
      </w:r>
      <w:r w:rsidR="715405FB" w:rsidRPr="14B3A08B">
        <w:rPr>
          <w:rFonts w:eastAsia="Calibri"/>
        </w:rPr>
        <w:t xml:space="preserve"> un</w:t>
      </w:r>
      <w:r w:rsidR="2DA92418" w:rsidRPr="14B3A08B">
        <w:rPr>
          <w:rFonts w:eastAsia="Calibri"/>
        </w:rPr>
        <w:t xml:space="preserve">a disfuncionalidad en la aplicación informática que mantiene las cifras exclusivamente de los gastos. </w:t>
      </w:r>
      <w:r w:rsidRPr="14B3A08B">
        <w:rPr>
          <w:rFonts w:eastAsia="Calibri"/>
        </w:rPr>
        <w:t xml:space="preserve"> </w:t>
      </w:r>
    </w:p>
    <w:p w14:paraId="488EC62C" w14:textId="5BD8F348" w:rsidR="00380814" w:rsidRDefault="00380814"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rPr>
      </w:pPr>
      <w:r w:rsidRPr="2DF618C5">
        <w:rPr>
          <w:rFonts w:eastAsia="Calibri"/>
        </w:rPr>
        <w:t xml:space="preserve">En 2022 se registró un </w:t>
      </w:r>
      <w:r w:rsidR="394383B8" w:rsidRPr="2DF618C5">
        <w:rPr>
          <w:rFonts w:eastAsia="Calibri"/>
        </w:rPr>
        <w:t>aumento de tesorería</w:t>
      </w:r>
      <w:r w:rsidRPr="2DF618C5">
        <w:rPr>
          <w:rFonts w:eastAsia="Calibri"/>
        </w:rPr>
        <w:t xml:space="preserve"> con el concepto de “asiento de regularización”</w:t>
      </w:r>
      <w:r w:rsidR="00942202">
        <w:rPr>
          <w:rFonts w:eastAsia="Calibri"/>
        </w:rPr>
        <w:t>,</w:t>
      </w:r>
      <w:r w:rsidRPr="2DF618C5">
        <w:rPr>
          <w:rFonts w:eastAsia="Calibri"/>
        </w:rPr>
        <w:t xml:space="preserve"> por un total de 150.905 euros que el propio CJN nos indica que no sabe a qué obedece. </w:t>
      </w:r>
    </w:p>
    <w:p w14:paraId="411F0E3E" w14:textId="0DA950CC" w:rsidR="00380814" w:rsidRPr="00380814" w:rsidRDefault="00380814"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rPr>
      </w:pPr>
      <w:r w:rsidRPr="1E4C4DC6">
        <w:rPr>
          <w:rFonts w:eastAsia="Calibri"/>
        </w:rPr>
        <w:t xml:space="preserve">En 2022, se han contabilizado </w:t>
      </w:r>
      <w:r w:rsidR="4224C272" w:rsidRPr="1E4C4DC6">
        <w:rPr>
          <w:rFonts w:eastAsia="Calibri"/>
        </w:rPr>
        <w:t xml:space="preserve">por duplicado </w:t>
      </w:r>
      <w:r w:rsidRPr="1E4C4DC6">
        <w:rPr>
          <w:rFonts w:eastAsia="Calibri"/>
        </w:rPr>
        <w:t>gastos por un total de 4.012 euros.</w:t>
      </w:r>
    </w:p>
    <w:p w14:paraId="0F548500" w14:textId="2537382C" w:rsidR="007810C3" w:rsidRDefault="705C4D20" w:rsidP="00615481">
      <w:pPr>
        <w:pStyle w:val="paragraph"/>
        <w:numPr>
          <w:ilvl w:val="0"/>
          <w:numId w:val="4"/>
        </w:numPr>
        <w:tabs>
          <w:tab w:val="left" w:pos="567"/>
        </w:tabs>
        <w:spacing w:before="0" w:beforeAutospacing="0" w:after="140" w:afterAutospacing="0"/>
        <w:ind w:left="0" w:firstLine="284"/>
        <w:jc w:val="both"/>
        <w:rPr>
          <w:rStyle w:val="normaltextrun"/>
          <w:rFonts w:eastAsia="Calibri"/>
          <w:sz w:val="26"/>
          <w:szCs w:val="26"/>
        </w:rPr>
      </w:pPr>
      <w:r w:rsidRPr="14B3A08B">
        <w:rPr>
          <w:rStyle w:val="normaltextrun"/>
          <w:rFonts w:eastAsia="Calibri"/>
          <w:sz w:val="26"/>
          <w:szCs w:val="26"/>
        </w:rPr>
        <w:t>En el periodo 2019-2022, los movimientos de la línea de crédito no</w:t>
      </w:r>
      <w:r w:rsidR="38E2710F" w:rsidRPr="14B3A08B">
        <w:rPr>
          <w:rStyle w:val="normaltextrun"/>
          <w:rFonts w:eastAsia="Calibri"/>
          <w:sz w:val="26"/>
          <w:szCs w:val="26"/>
        </w:rPr>
        <w:t xml:space="preserve"> se contabilizan correctamente</w:t>
      </w:r>
      <w:r w:rsidR="2D0C1653" w:rsidRPr="14B3A08B">
        <w:rPr>
          <w:rStyle w:val="normaltextrun"/>
          <w:rFonts w:eastAsia="Calibri"/>
          <w:sz w:val="26"/>
          <w:szCs w:val="26"/>
        </w:rPr>
        <w:t>,</w:t>
      </w:r>
      <w:r w:rsidR="38E2710F" w:rsidRPr="14B3A08B">
        <w:rPr>
          <w:rStyle w:val="normaltextrun"/>
          <w:rFonts w:eastAsia="Calibri"/>
          <w:sz w:val="26"/>
          <w:szCs w:val="26"/>
        </w:rPr>
        <w:t xml:space="preserve"> lo que implica que el saldo de tesorería sea negativo.</w:t>
      </w:r>
    </w:p>
    <w:p w14:paraId="25533881" w14:textId="4D03911D" w:rsidR="00695BC9" w:rsidRPr="007810C3" w:rsidRDefault="007810C3" w:rsidP="00615481">
      <w:pPr>
        <w:pStyle w:val="paragraph"/>
        <w:numPr>
          <w:ilvl w:val="0"/>
          <w:numId w:val="4"/>
        </w:numPr>
        <w:tabs>
          <w:tab w:val="left" w:pos="567"/>
        </w:tabs>
        <w:spacing w:before="0" w:beforeAutospacing="0" w:after="140" w:afterAutospacing="0"/>
        <w:ind w:left="0" w:firstLine="284"/>
        <w:jc w:val="both"/>
        <w:rPr>
          <w:rStyle w:val="normaltextrun"/>
          <w:rFonts w:eastAsia="Calibri"/>
          <w:sz w:val="26"/>
          <w:szCs w:val="26"/>
        </w:rPr>
      </w:pPr>
      <w:r w:rsidRPr="007810C3">
        <w:rPr>
          <w:rStyle w:val="normaltextrun"/>
          <w:rFonts w:eastAsia="Calibri"/>
          <w:sz w:val="26"/>
          <w:szCs w:val="26"/>
        </w:rPr>
        <w:t xml:space="preserve">Todo lo anterior supone que el </w:t>
      </w:r>
      <w:r w:rsidR="5D79ECED" w:rsidRPr="007810C3">
        <w:rPr>
          <w:rStyle w:val="normaltextrun"/>
          <w:rFonts w:eastAsia="Calibri"/>
          <w:sz w:val="26"/>
          <w:szCs w:val="26"/>
        </w:rPr>
        <w:t>balance de situación</w:t>
      </w:r>
      <w:r w:rsidR="2DD5C877" w:rsidRPr="007810C3">
        <w:rPr>
          <w:rStyle w:val="normaltextrun"/>
          <w:rFonts w:eastAsia="Calibri"/>
          <w:sz w:val="26"/>
          <w:szCs w:val="26"/>
        </w:rPr>
        <w:t xml:space="preserve"> esté descuadrado en todos los ejercicios analizados, siendo el valor del activo y del pasivo negativo</w:t>
      </w:r>
      <w:r w:rsidR="00942202">
        <w:rPr>
          <w:rStyle w:val="normaltextrun"/>
          <w:rFonts w:eastAsia="Calibri"/>
          <w:sz w:val="26"/>
          <w:szCs w:val="26"/>
        </w:rPr>
        <w:t>;</w:t>
      </w:r>
      <w:r w:rsidR="5D79ECED" w:rsidRPr="007810C3">
        <w:rPr>
          <w:rStyle w:val="normaltextrun"/>
          <w:rFonts w:eastAsia="Calibri"/>
          <w:sz w:val="26"/>
          <w:szCs w:val="26"/>
        </w:rPr>
        <w:t xml:space="preserve"> y</w:t>
      </w:r>
      <w:r w:rsidR="68D6EA5D" w:rsidRPr="007810C3">
        <w:rPr>
          <w:rStyle w:val="normaltextrun"/>
          <w:rFonts w:eastAsia="Calibri"/>
          <w:sz w:val="26"/>
          <w:szCs w:val="26"/>
        </w:rPr>
        <w:t xml:space="preserve"> </w:t>
      </w:r>
      <w:r w:rsidR="00942202">
        <w:rPr>
          <w:rStyle w:val="normaltextrun"/>
          <w:rFonts w:eastAsia="Calibri"/>
          <w:sz w:val="26"/>
          <w:szCs w:val="26"/>
        </w:rPr>
        <w:t xml:space="preserve">que </w:t>
      </w:r>
      <w:r w:rsidR="68D6EA5D" w:rsidRPr="007810C3">
        <w:rPr>
          <w:rStyle w:val="normaltextrun"/>
          <w:rFonts w:eastAsia="Calibri"/>
          <w:sz w:val="26"/>
          <w:szCs w:val="26"/>
        </w:rPr>
        <w:t>la</w:t>
      </w:r>
      <w:r w:rsidR="5D79ECED" w:rsidRPr="007810C3">
        <w:rPr>
          <w:rStyle w:val="normaltextrun"/>
          <w:rFonts w:eastAsia="Calibri"/>
          <w:sz w:val="26"/>
          <w:szCs w:val="26"/>
        </w:rPr>
        <w:t xml:space="preserve"> cuenta de pérdidas y ganancias no sea correct</w:t>
      </w:r>
      <w:r w:rsidR="00942202">
        <w:rPr>
          <w:rStyle w:val="normaltextrun"/>
          <w:rFonts w:eastAsia="Calibri"/>
          <w:sz w:val="26"/>
          <w:szCs w:val="26"/>
        </w:rPr>
        <w:t>a</w:t>
      </w:r>
      <w:r w:rsidR="21617A1D" w:rsidRPr="007810C3">
        <w:rPr>
          <w:rStyle w:val="normaltextrun"/>
          <w:rFonts w:eastAsia="Calibri"/>
          <w:sz w:val="26"/>
          <w:szCs w:val="26"/>
        </w:rPr>
        <w:t>,</w:t>
      </w:r>
      <w:r w:rsidR="6B05E3EE" w:rsidRPr="007810C3">
        <w:rPr>
          <w:rStyle w:val="normaltextrun"/>
          <w:rFonts w:eastAsia="Calibri"/>
          <w:sz w:val="26"/>
          <w:szCs w:val="26"/>
        </w:rPr>
        <w:t xml:space="preserve"> sin que</w:t>
      </w:r>
      <w:r w:rsidR="5D79ECED" w:rsidRPr="007810C3">
        <w:rPr>
          <w:rStyle w:val="normaltextrun"/>
          <w:rFonts w:eastAsia="Calibri"/>
          <w:sz w:val="26"/>
          <w:szCs w:val="26"/>
        </w:rPr>
        <w:t xml:space="preserve"> los saldos de determinadas cuentas sean coherentes con </w:t>
      </w:r>
      <w:r>
        <w:rPr>
          <w:rStyle w:val="normaltextrun"/>
          <w:rFonts w:eastAsia="Calibri"/>
          <w:sz w:val="26"/>
          <w:szCs w:val="26"/>
        </w:rPr>
        <w:t>el</w:t>
      </w:r>
      <w:r w:rsidR="5A143098" w:rsidRPr="007810C3">
        <w:rPr>
          <w:rStyle w:val="normaltextrun"/>
          <w:rFonts w:eastAsia="Calibri"/>
          <w:sz w:val="26"/>
          <w:szCs w:val="26"/>
        </w:rPr>
        <w:t xml:space="preserve"> marco de información </w:t>
      </w:r>
      <w:r w:rsidR="0A36E74B" w:rsidRPr="007810C3">
        <w:rPr>
          <w:rStyle w:val="normaltextrun"/>
          <w:rFonts w:eastAsia="Calibri"/>
          <w:sz w:val="26"/>
          <w:szCs w:val="26"/>
        </w:rPr>
        <w:t>financiera que resulta aplicable</w:t>
      </w:r>
      <w:r w:rsidR="5A143098" w:rsidRPr="007810C3">
        <w:rPr>
          <w:rStyle w:val="normaltextrun"/>
          <w:rFonts w:eastAsia="Calibri"/>
          <w:sz w:val="26"/>
          <w:szCs w:val="26"/>
        </w:rPr>
        <w:t>.</w:t>
      </w:r>
    </w:p>
    <w:p w14:paraId="2C934220" w14:textId="4FC637FC" w:rsidR="00D67FDB" w:rsidRPr="00702FE8" w:rsidRDefault="00695BC9" w:rsidP="1D9DB827">
      <w:pPr>
        <w:pStyle w:val="texto"/>
        <w:rPr>
          <w:rStyle w:val="normaltextrun"/>
          <w:rFonts w:eastAsia="Calibri"/>
        </w:rPr>
      </w:pPr>
      <w:r w:rsidRPr="1D9DB827">
        <w:rPr>
          <w:rStyle w:val="normaltextrun"/>
          <w:rFonts w:eastAsia="Calibri"/>
        </w:rPr>
        <w:t xml:space="preserve">Hemos </w:t>
      </w:r>
      <w:r w:rsidR="00D67FDB" w:rsidRPr="1D9DB827">
        <w:rPr>
          <w:rStyle w:val="normaltextrun"/>
          <w:rFonts w:eastAsia="Calibri"/>
        </w:rPr>
        <w:t xml:space="preserve">llevado a cabo nuestra fiscalización de conformidad con los principios fundamentales de fiscalización de las instituciones públicas de control externo y más en concreto, con la ISSAI-ES 200 referida a las fiscalizaciones financieras. </w:t>
      </w:r>
      <w:r w:rsidR="00D67FDB" w:rsidRPr="1D9DB827">
        <w:rPr>
          <w:rStyle w:val="normaltextrun"/>
          <w:rFonts w:eastAsia="Calibri"/>
        </w:rPr>
        <w:lastRenderedPageBreak/>
        <w:t xml:space="preserve">Nuestras responsabilidades de acuerdo con dichas normas se describen más adelante en la sección “Responsabilidades de la Cámara de Comptos” de nuestro informe. </w:t>
      </w:r>
    </w:p>
    <w:p w14:paraId="4717EBA9" w14:textId="0072A43D" w:rsidR="00D67FDB" w:rsidRPr="00702FE8" w:rsidRDefault="00D67FDB" w:rsidP="00702FE8">
      <w:pPr>
        <w:pStyle w:val="texto"/>
        <w:rPr>
          <w:rStyle w:val="normaltextrun"/>
          <w:rFonts w:eastAsia="Calibri"/>
        </w:rPr>
      </w:pPr>
      <w:r w:rsidRPr="00702FE8">
        <w:rPr>
          <w:rStyle w:val="normaltextrun"/>
          <w:rFonts w:eastAsia="Calibri"/>
        </w:rPr>
        <w:t>Somos independientes del CJN de conformidad con los requerimientos de ética y protección de la independencia que son aplicables a nuestra fiscalización de las cuentas anuales</w:t>
      </w:r>
      <w:r w:rsidR="00DF2362">
        <w:rPr>
          <w:rStyle w:val="normaltextrun"/>
          <w:rFonts w:eastAsia="Calibri"/>
        </w:rPr>
        <w:t>,</w:t>
      </w:r>
      <w:r w:rsidRPr="00702FE8">
        <w:rPr>
          <w:rStyle w:val="normaltextrun"/>
          <w:rFonts w:eastAsia="Calibri"/>
        </w:rPr>
        <w:t xml:space="preserve"> según lo exigido por la normativa reguladora de la actividad de fiscalización pública. </w:t>
      </w:r>
    </w:p>
    <w:p w14:paraId="4605D193" w14:textId="1214EF50" w:rsidR="005E5E2D" w:rsidRPr="00D67FDB" w:rsidRDefault="00D67FDB" w:rsidP="00702FE8">
      <w:pPr>
        <w:pStyle w:val="texto"/>
        <w:rPr>
          <w:rStyle w:val="normaltextrun"/>
          <w:rFonts w:eastAsia="Calibri"/>
          <w:szCs w:val="26"/>
        </w:rPr>
      </w:pPr>
      <w:r w:rsidRPr="00702FE8">
        <w:rPr>
          <w:rStyle w:val="normaltextrun"/>
          <w:rFonts w:eastAsia="Calibri"/>
        </w:rPr>
        <w:t>Consideramos que</w:t>
      </w:r>
      <w:r w:rsidRPr="00D67FDB">
        <w:rPr>
          <w:rStyle w:val="normaltextrun"/>
          <w:rFonts w:eastAsia="Calibri"/>
          <w:szCs w:val="26"/>
        </w:rPr>
        <w:t xml:space="preserve"> la evidencia de auditoría que hemos obtenido proporciona una base suficiente y adecuada para nuestra opinión desfavorable.</w:t>
      </w:r>
    </w:p>
    <w:p w14:paraId="41A3103C" w14:textId="77777777" w:rsidR="005E5E2D" w:rsidRPr="00D67FDB" w:rsidRDefault="005E5E2D" w:rsidP="00D67FDB">
      <w:pPr>
        <w:pStyle w:val="paragraph"/>
        <w:spacing w:before="120" w:beforeAutospacing="0" w:after="0" w:afterAutospacing="0"/>
        <w:ind w:firstLine="272"/>
        <w:jc w:val="both"/>
        <w:textAlignment w:val="baseline"/>
        <w:rPr>
          <w:rStyle w:val="normaltextrun"/>
          <w:rFonts w:eastAsia="Calibri"/>
          <w:sz w:val="26"/>
          <w:szCs w:val="26"/>
        </w:rPr>
      </w:pPr>
    </w:p>
    <w:p w14:paraId="52E1B4A3" w14:textId="77777777" w:rsidR="005E5E2D" w:rsidRDefault="005E5E2D">
      <w:pPr>
        <w:spacing w:after="0"/>
        <w:ind w:firstLine="0"/>
        <w:jc w:val="left"/>
        <w:rPr>
          <w:rFonts w:ascii="Arial" w:hAnsi="Arial"/>
          <w:b/>
          <w:color w:val="000000"/>
          <w:kern w:val="28"/>
          <w:sz w:val="25"/>
          <w:szCs w:val="26"/>
        </w:rPr>
      </w:pPr>
      <w:r>
        <w:br w:type="page"/>
      </w:r>
    </w:p>
    <w:p w14:paraId="6C9E947B" w14:textId="71ED5F59" w:rsidR="005E5E2D" w:rsidRPr="00702FE8" w:rsidRDefault="384E2296" w:rsidP="00702FE8">
      <w:pPr>
        <w:pStyle w:val="atitulo1"/>
      </w:pPr>
      <w:bookmarkStart w:id="17" w:name="_Toc153454652"/>
      <w:r>
        <w:lastRenderedPageBreak/>
        <w:t>VI. Cuestiones clave de auditoría</w:t>
      </w:r>
      <w:bookmarkEnd w:id="17"/>
    </w:p>
    <w:p w14:paraId="23BFC010" w14:textId="77777777" w:rsidR="00A40C60" w:rsidRPr="00702FE8" w:rsidRDefault="3D644833" w:rsidP="00702FE8">
      <w:pPr>
        <w:pStyle w:val="texto"/>
      </w:pPr>
      <w:r>
        <w:t>Las cuestiones clave de la auditoría son aquellas que, según nuestro juicio profesional, han sido de la mayor significatividad en nuestra fiscalización de las cuentas anuales del periodo actual. Estas cuestiones han sido tratadas en el contexto de nuestra auditoría de las cuentas anuales en su conjunto y en la formación de nuestra opinión sobre estas, y no expresamos una opinión por separado sobre las mismas.</w:t>
      </w:r>
    </w:p>
    <w:p w14:paraId="0E37E4FB" w14:textId="2CDB0887" w:rsidR="00A40C60" w:rsidRDefault="00A40C60" w:rsidP="00702FE8">
      <w:pPr>
        <w:pStyle w:val="texto"/>
      </w:pPr>
      <w:r w:rsidRPr="00702FE8">
        <w:t xml:space="preserve">Excepto por las cuestiones descritas en la sección de “Fundamento de la opinión </w:t>
      </w:r>
      <w:r w:rsidR="00C42589" w:rsidRPr="00702FE8">
        <w:t>desfavorable</w:t>
      </w:r>
      <w:r w:rsidRPr="00702FE8">
        <w:t>” de este informe, no comunicamos ningún otro aspecto considerado como clave</w:t>
      </w:r>
      <w:r>
        <w:t xml:space="preserve"> en nuestra fiscalización.</w:t>
      </w:r>
    </w:p>
    <w:p w14:paraId="4AE82C09" w14:textId="77777777" w:rsidR="005E5E2D" w:rsidRDefault="005E5E2D" w:rsidP="000D4AA2">
      <w:pPr>
        <w:pStyle w:val="atitulo1"/>
      </w:pPr>
    </w:p>
    <w:p w14:paraId="7CDE42E9" w14:textId="77777777" w:rsidR="005E5E2D" w:rsidRDefault="005E5E2D">
      <w:pPr>
        <w:spacing w:after="0"/>
        <w:ind w:firstLine="0"/>
        <w:jc w:val="left"/>
        <w:rPr>
          <w:rFonts w:ascii="Arial" w:hAnsi="Arial"/>
          <w:b/>
          <w:color w:val="000000"/>
          <w:kern w:val="28"/>
          <w:sz w:val="25"/>
          <w:szCs w:val="26"/>
        </w:rPr>
      </w:pPr>
      <w:r>
        <w:br w:type="page"/>
      </w:r>
    </w:p>
    <w:p w14:paraId="55BC69CB" w14:textId="4B7EEF33" w:rsidR="00695BC9" w:rsidRPr="00702FE8" w:rsidRDefault="00695BC9" w:rsidP="00702FE8">
      <w:pPr>
        <w:pStyle w:val="atitulo1"/>
      </w:pPr>
      <w:bookmarkStart w:id="18" w:name="_Toc153454653"/>
      <w:r>
        <w:lastRenderedPageBreak/>
        <w:t>VII. Párrafo de énfasis</w:t>
      </w:r>
      <w:bookmarkEnd w:id="18"/>
    </w:p>
    <w:p w14:paraId="1055AA0C" w14:textId="2AC2DC03" w:rsidR="00695BC9" w:rsidRPr="00702FE8" w:rsidRDefault="00695BC9" w:rsidP="00702FE8">
      <w:pPr>
        <w:pStyle w:val="texto"/>
      </w:pPr>
      <w:r>
        <w:t xml:space="preserve">Llamamos la atención sobre </w:t>
      </w:r>
      <w:r w:rsidR="00C657F1">
        <w:t>los siguientes hechos posteriores</w:t>
      </w:r>
      <w:r>
        <w:t xml:space="preserve"> ocurrido entre la fecha de los estados contables y la de nuestro informe de auditoría:</w:t>
      </w:r>
    </w:p>
    <w:p w14:paraId="2E2369D4" w14:textId="635846C2" w:rsidR="00695BC9" w:rsidRPr="00702FE8" w:rsidRDefault="00695BC9" w:rsidP="00702FE8">
      <w:pPr>
        <w:pStyle w:val="texto"/>
      </w:pPr>
      <w:r>
        <w:t>Los flujos de gastos e ingresos del CJN no son coincidentes en el tiempo, d</w:t>
      </w:r>
      <w:r w:rsidR="00922F1C">
        <w:t xml:space="preserve">e tal forma que los gastos de la entidad se producen y hay que hacer frente a ellos antes de recibir la </w:t>
      </w:r>
      <w:r>
        <w:t>financiación del INJ y del Parlamento de Navarra,</w:t>
      </w:r>
      <w:r w:rsidR="00922F1C">
        <w:t xml:space="preserve"> la cual suponía el 97 por ciento del total de ingresos en el periodo analizado</w:t>
      </w:r>
      <w:r>
        <w:t>. Por este motivo,</w:t>
      </w:r>
      <w:r w:rsidR="00922F1C">
        <w:t xml:space="preserve"> </w:t>
      </w:r>
      <w:r w:rsidR="00E84D86">
        <w:t xml:space="preserve">en el periodo analizado, </w:t>
      </w:r>
      <w:r>
        <w:t>el CJN ha venido recurriendo a líneas de crédito bancarias que le aporta</w:t>
      </w:r>
      <w:r w:rsidR="00E84D86">
        <w:t>b</w:t>
      </w:r>
      <w:r>
        <w:t>an la liquidez requerida.</w:t>
      </w:r>
    </w:p>
    <w:p w14:paraId="41E6C59E" w14:textId="073972D3" w:rsidR="00E84D86" w:rsidRPr="00702FE8" w:rsidRDefault="00E84D86" w:rsidP="00702FE8">
      <w:pPr>
        <w:pStyle w:val="texto"/>
      </w:pPr>
      <w:r w:rsidRPr="00702FE8">
        <w:t xml:space="preserve">En abril de 2023, la entidad bancaria con la que el CJN contrataba la línea de crédito comunica a esta entidad que este producto quedaba cancelado. </w:t>
      </w:r>
    </w:p>
    <w:p w14:paraId="41F6BC94" w14:textId="69DBE0EB" w:rsidR="00E84D86" w:rsidRDefault="00E84D86" w:rsidP="00702FE8">
      <w:pPr>
        <w:pStyle w:val="texto"/>
      </w:pPr>
      <w:r w:rsidRPr="00702FE8">
        <w:t>Teniendo en cuenta esta circunstancia y los gastos a los que tiene que hacer frente el CJN próximamente</w:t>
      </w:r>
      <w:r>
        <w:t xml:space="preserve"> (nóminas de los trabajadores, gastos de suministros, etc.), esta Cámara entiende que se genera una incertidumbre significativa sobre la capacidad de esta entidad para hacer frente a dichos gastos, lo cual podría poner en riesgo su continuidad. </w:t>
      </w:r>
    </w:p>
    <w:p w14:paraId="61310354" w14:textId="77777777" w:rsidR="00922F1C" w:rsidRDefault="00922F1C" w:rsidP="00695BC9">
      <w:pPr>
        <w:pStyle w:val="texto"/>
      </w:pPr>
    </w:p>
    <w:p w14:paraId="495DB471" w14:textId="77777777" w:rsidR="00695BC9" w:rsidRDefault="00695BC9">
      <w:pPr>
        <w:spacing w:after="0"/>
        <w:ind w:firstLine="0"/>
        <w:jc w:val="left"/>
        <w:rPr>
          <w:rFonts w:ascii="Arial" w:hAnsi="Arial"/>
          <w:b/>
          <w:color w:val="000000"/>
          <w:kern w:val="28"/>
          <w:sz w:val="25"/>
          <w:szCs w:val="26"/>
        </w:rPr>
      </w:pPr>
      <w:r>
        <w:br w:type="page"/>
      </w:r>
    </w:p>
    <w:p w14:paraId="0A150901" w14:textId="59BAFB9E" w:rsidR="00E84D86" w:rsidRPr="00702FE8" w:rsidRDefault="00E84D86" w:rsidP="00702FE8">
      <w:pPr>
        <w:pStyle w:val="atitulo1"/>
      </w:pPr>
      <w:bookmarkStart w:id="19" w:name="_Toc153454654"/>
      <w:r>
        <w:lastRenderedPageBreak/>
        <w:t xml:space="preserve">VIII. </w:t>
      </w:r>
      <w:r w:rsidR="00874606">
        <w:t>Informe sobre o</w:t>
      </w:r>
      <w:r>
        <w:t>tros requerimientos legales y reglamentarios</w:t>
      </w:r>
      <w:bookmarkEnd w:id="19"/>
    </w:p>
    <w:p w14:paraId="464C6222" w14:textId="3195BEE0" w:rsidR="00874606" w:rsidRPr="00702FE8" w:rsidRDefault="00874606" w:rsidP="00702FE8">
      <w:pPr>
        <w:pStyle w:val="texto"/>
      </w:pPr>
      <w:r>
        <w:t xml:space="preserve">Con el alcance previsto en nuestra auditoría financiera sobre las cuentas anuales </w:t>
      </w:r>
      <w:r w:rsidR="00B64821">
        <w:t>del CJN</w:t>
      </w:r>
      <w:r>
        <w:t xml:space="preserve">, hemos revisado el cumplimiento </w:t>
      </w:r>
      <w:r w:rsidR="00B64821">
        <w:t xml:space="preserve">de </w:t>
      </w:r>
      <w:r w:rsidR="00B6794D">
        <w:t>las</w:t>
      </w:r>
      <w:r w:rsidR="00B64821">
        <w:t xml:space="preserve"> funciones de los órganos colegiados y </w:t>
      </w:r>
      <w:r w:rsidR="00B64821" w:rsidRPr="00702FE8">
        <w:t>unipersonales de esta entidad relacionadas con la elaboración y aprobación de sus cuentas</w:t>
      </w:r>
      <w:r w:rsidR="00B6794D" w:rsidRPr="00702FE8">
        <w:t xml:space="preserve"> y con el régimen económico y administrativo establecidas en su “Reglamento Interno y Reglamento de Asambleas”</w:t>
      </w:r>
      <w:r w:rsidR="006C724C">
        <w:t>,</w:t>
      </w:r>
      <w:r w:rsidR="00B6794D" w:rsidRPr="00702FE8">
        <w:t xml:space="preserve"> aprobado en 2015 y aplicable durante el periodo auditado</w:t>
      </w:r>
      <w:r w:rsidRPr="00702FE8">
        <w:t xml:space="preserve">. </w:t>
      </w:r>
    </w:p>
    <w:p w14:paraId="22DA5F57" w14:textId="48E8E4BB" w:rsidR="00874606" w:rsidRPr="00702FE8" w:rsidRDefault="00874606" w:rsidP="00702FE8">
      <w:pPr>
        <w:pStyle w:val="texto"/>
      </w:pPr>
      <w:r w:rsidRPr="00702FE8">
        <w:t>Dicha comprobación se ha efectuado aplicando procedimientos de auditoria consistentes en la verificación del control</w:t>
      </w:r>
      <w:r w:rsidR="0005412E" w:rsidRPr="00702FE8">
        <w:t xml:space="preserve"> interno</w:t>
      </w:r>
      <w:r w:rsidRPr="00702FE8">
        <w:t xml:space="preserve"> </w:t>
      </w:r>
      <w:r w:rsidR="0005412E" w:rsidRPr="00702FE8">
        <w:t>aplicado</w:t>
      </w:r>
      <w:r w:rsidRPr="00702FE8">
        <w:t xml:space="preserve">. </w:t>
      </w:r>
    </w:p>
    <w:p w14:paraId="5BE5D0F1" w14:textId="28165E1C" w:rsidR="0005412E" w:rsidRDefault="00874606" w:rsidP="006C724C">
      <w:pPr>
        <w:pStyle w:val="texto"/>
      </w:pPr>
      <w:r w:rsidRPr="00702FE8">
        <w:t xml:space="preserve">Hemos alcanzado evidencia suficiente y adecuada para considerar que, </w:t>
      </w:r>
      <w:r w:rsidR="006C724C">
        <w:t>en el periodo 2019-2022, con</w:t>
      </w:r>
      <w:r w:rsidRPr="00702FE8">
        <w:t xml:space="preserve"> </w:t>
      </w:r>
      <w:r w:rsidR="0005412E" w:rsidRPr="00702FE8">
        <w:t xml:space="preserve">el control interno </w:t>
      </w:r>
      <w:r w:rsidR="008413A1" w:rsidRPr="00702FE8">
        <w:t>existente en el CJN</w:t>
      </w:r>
      <w:r w:rsidR="0005412E" w:rsidRPr="00702FE8">
        <w:t xml:space="preserve"> </w:t>
      </w:r>
      <w:r w:rsidRPr="00702FE8">
        <w:t>se ha</w:t>
      </w:r>
      <w:r w:rsidR="0005412E" w:rsidRPr="00702FE8">
        <w:t>n incumplido los siguientes aspectos relevantes del “Reglamento</w:t>
      </w:r>
      <w:r w:rsidR="0005412E">
        <w:t xml:space="preserve"> Interno y Reglamento de Asambleas”: </w:t>
      </w:r>
      <w:r w:rsidR="32A34CF5">
        <w:t xml:space="preserve">La </w:t>
      </w:r>
      <w:r w:rsidR="32A34CF5" w:rsidRPr="14B3A08B">
        <w:rPr>
          <w:rFonts w:eastAsia="Calibri"/>
        </w:rPr>
        <w:t>Comisión</w:t>
      </w:r>
      <w:r w:rsidR="32A34CF5">
        <w:t xml:space="preserve"> Permanente no presentó a la Asamblea General la cuenta </w:t>
      </w:r>
      <w:r w:rsidR="4E9AE08A">
        <w:t xml:space="preserve">de </w:t>
      </w:r>
      <w:r w:rsidR="35A687AD">
        <w:t>p</w:t>
      </w:r>
      <w:r w:rsidR="4E9AE08A">
        <w:t xml:space="preserve">érdidas y </w:t>
      </w:r>
      <w:r w:rsidR="5508B0BD">
        <w:t>g</w:t>
      </w:r>
      <w:r w:rsidR="4E9AE08A">
        <w:t>anancias</w:t>
      </w:r>
      <w:r w:rsidR="32A34CF5">
        <w:t xml:space="preserve"> del periodo ni el balance de situación a 31 de diciembre de cada ejercicio. En consecuencia, la Asamblea General no consideró, debatió ni aprobó </w:t>
      </w:r>
      <w:r w:rsidR="20977E9D">
        <w:t xml:space="preserve">dichos estados contables. </w:t>
      </w:r>
    </w:p>
    <w:p w14:paraId="335EA5FF" w14:textId="77777777" w:rsidR="00465B8C" w:rsidRDefault="00465B8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szCs w:val="26"/>
        </w:rPr>
      </w:pPr>
      <w:r w:rsidRPr="0005412E">
        <w:rPr>
          <w:szCs w:val="26"/>
        </w:rPr>
        <w:t xml:space="preserve">La </w:t>
      </w:r>
      <w:r w:rsidRPr="00CA110D">
        <w:rPr>
          <w:rFonts w:eastAsia="Calibri"/>
          <w:szCs w:val="26"/>
        </w:rPr>
        <w:t>Asamblea</w:t>
      </w:r>
      <w:r w:rsidRPr="0005412E">
        <w:rPr>
          <w:szCs w:val="26"/>
        </w:rPr>
        <w:t xml:space="preserve"> General no aprobó cuotas para que los miembros contribuyeran económicamente al mantenimiento del CJN.</w:t>
      </w:r>
      <w:r w:rsidRPr="55145637">
        <w:rPr>
          <w:szCs w:val="26"/>
        </w:rPr>
        <w:t xml:space="preserve"> </w:t>
      </w:r>
    </w:p>
    <w:p w14:paraId="7590DABF" w14:textId="09D6B3A9" w:rsidR="00C42589" w:rsidRDefault="00465B8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strike/>
        </w:rPr>
      </w:pPr>
      <w:r>
        <w:t xml:space="preserve">No </w:t>
      </w:r>
      <w:r w:rsidRPr="1D9DB827">
        <w:rPr>
          <w:rFonts w:eastAsia="Calibri"/>
        </w:rPr>
        <w:t>consta</w:t>
      </w:r>
      <w:r>
        <w:t xml:space="preserve"> que el presidente </w:t>
      </w:r>
      <w:r w:rsidR="4F472018">
        <w:t>ejerciera la función de ordenar el pago</w:t>
      </w:r>
      <w:r w:rsidR="002D2B57">
        <w:t xml:space="preserve"> mediante un sistema de doble firma bancaria</w:t>
      </w:r>
      <w:r w:rsidR="4F472018">
        <w:t>, siendo realizada la misma exclusivamente por la persona que realiza labores administrativas.</w:t>
      </w:r>
    </w:p>
    <w:p w14:paraId="65B1EE69" w14:textId="2DFB0FC7" w:rsidR="00C42589" w:rsidRDefault="002D2B57"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pPr>
      <w:r>
        <w:t>No consta que l</w:t>
      </w:r>
      <w:r w:rsidR="00465B8C">
        <w:t xml:space="preserve">a </w:t>
      </w:r>
      <w:r w:rsidR="00465B8C" w:rsidRPr="1D9DB827">
        <w:rPr>
          <w:rFonts w:eastAsia="Calibri"/>
        </w:rPr>
        <w:t>persona</w:t>
      </w:r>
      <w:r w:rsidR="00465B8C">
        <w:t xml:space="preserve"> que ocupa el puesto de tesorero/a haya informado periódicamente a la Comisión Permanente </w:t>
      </w:r>
      <w:r>
        <w:t>de la situación económica del C</w:t>
      </w:r>
      <w:r w:rsidR="00465B8C">
        <w:t>J</w:t>
      </w:r>
      <w:r>
        <w:t>N</w:t>
      </w:r>
      <w:r w:rsidR="2B83282A">
        <w:t xml:space="preserve">; </w:t>
      </w:r>
      <w:r w:rsidR="006C724C">
        <w:t xml:space="preserve">tampoco </w:t>
      </w:r>
      <w:r w:rsidR="2B83282A">
        <w:t>ejerce las funciones de control de la contabilidad ni realización del inventario de bienes.</w:t>
      </w:r>
      <w:r w:rsidR="00465B8C">
        <w:t xml:space="preserve"> </w:t>
      </w:r>
    </w:p>
    <w:p w14:paraId="35A955B2" w14:textId="3E0FEA1A" w:rsidR="002C5A07" w:rsidRDefault="007810C3"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pPr>
      <w:r>
        <w:t>L</w:t>
      </w:r>
      <w:r w:rsidR="1F741255">
        <w:t>a</w:t>
      </w:r>
      <w:r w:rsidR="199E4935">
        <w:t xml:space="preserve"> página web del CJN no </w:t>
      </w:r>
      <w:r w:rsidR="4F91D1F2">
        <w:t>tiene</w:t>
      </w:r>
      <w:r w:rsidR="199E4935">
        <w:t xml:space="preserve"> habilitado un Portal de Transparencia ni </w:t>
      </w:r>
      <w:r w:rsidR="15AF1B4C">
        <w:t>contiene</w:t>
      </w:r>
      <w:r w:rsidR="199E4935">
        <w:t xml:space="preserve"> información sobre los requerimientos </w:t>
      </w:r>
      <w:r w:rsidR="006C724C">
        <w:t>de</w:t>
      </w:r>
      <w:r w:rsidR="199E4935">
        <w:t xml:space="preserve"> publicidad exigidos en el artículo 18 de la Ley Foral 5/2018, de 17 de mayo, de Transparencia, acceso a la información pública y buen gobierno, de los cuales consideramos fundamentales los siguientes: </w:t>
      </w:r>
    </w:p>
    <w:p w14:paraId="76B2CBEA" w14:textId="61667665" w:rsidR="002C5A07" w:rsidRDefault="002C5A07" w:rsidP="00615481">
      <w:pPr>
        <w:pStyle w:val="Default"/>
        <w:numPr>
          <w:ilvl w:val="1"/>
          <w:numId w:val="3"/>
        </w:numPr>
        <w:tabs>
          <w:tab w:val="left" w:pos="567"/>
        </w:tabs>
        <w:spacing w:before="120" w:after="120"/>
        <w:ind w:left="0" w:firstLine="284"/>
        <w:jc w:val="both"/>
        <w:rPr>
          <w:rFonts w:eastAsia="Calibri"/>
          <w:sz w:val="26"/>
          <w:szCs w:val="26"/>
          <w:lang w:val="es-ES_tradnl"/>
        </w:rPr>
      </w:pPr>
      <w:r>
        <w:rPr>
          <w:rFonts w:eastAsia="Calibri"/>
          <w:sz w:val="26"/>
          <w:szCs w:val="26"/>
          <w:lang w:val="es-ES_tradnl"/>
        </w:rPr>
        <w:t>I</w:t>
      </w:r>
      <w:r w:rsidRPr="002C5A07">
        <w:rPr>
          <w:rFonts w:eastAsia="Calibri"/>
          <w:sz w:val="26"/>
          <w:szCs w:val="26"/>
          <w:lang w:val="es-ES_tradnl"/>
        </w:rPr>
        <w:t>nformación institucional</w:t>
      </w:r>
      <w:r>
        <w:rPr>
          <w:rFonts w:eastAsia="Calibri"/>
          <w:sz w:val="26"/>
          <w:szCs w:val="26"/>
          <w:lang w:val="es-ES_tradnl"/>
        </w:rPr>
        <w:t>,</w:t>
      </w:r>
      <w:r w:rsidRPr="002C5A07">
        <w:rPr>
          <w:rFonts w:eastAsia="Calibri"/>
          <w:sz w:val="26"/>
          <w:szCs w:val="26"/>
          <w:lang w:val="es-ES_tradnl"/>
        </w:rPr>
        <w:t xml:space="preserve"> organizativa y de planificación</w:t>
      </w:r>
      <w:r>
        <w:rPr>
          <w:rFonts w:eastAsia="Calibri"/>
          <w:sz w:val="26"/>
          <w:szCs w:val="26"/>
          <w:lang w:val="es-ES_tradnl"/>
        </w:rPr>
        <w:t>.</w:t>
      </w:r>
    </w:p>
    <w:p w14:paraId="2CEDDEF0" w14:textId="43F395B1" w:rsidR="002C5A07" w:rsidRDefault="002C5A07" w:rsidP="00615481">
      <w:pPr>
        <w:pStyle w:val="Default"/>
        <w:numPr>
          <w:ilvl w:val="1"/>
          <w:numId w:val="3"/>
        </w:numPr>
        <w:tabs>
          <w:tab w:val="left" w:pos="567"/>
        </w:tabs>
        <w:spacing w:before="120" w:after="120"/>
        <w:ind w:left="0" w:firstLine="284"/>
        <w:jc w:val="both"/>
        <w:rPr>
          <w:rFonts w:eastAsia="Calibri"/>
          <w:sz w:val="26"/>
          <w:szCs w:val="26"/>
          <w:lang w:val="es-ES_tradnl"/>
        </w:rPr>
      </w:pPr>
      <w:r>
        <w:rPr>
          <w:rFonts w:eastAsia="Calibri"/>
          <w:sz w:val="26"/>
          <w:szCs w:val="26"/>
          <w:lang w:val="es-ES_tradnl"/>
        </w:rPr>
        <w:t>I</w:t>
      </w:r>
      <w:r w:rsidRPr="002C5A07">
        <w:rPr>
          <w:rFonts w:eastAsia="Calibri"/>
          <w:sz w:val="26"/>
          <w:szCs w:val="26"/>
          <w:lang w:val="es-ES_tradnl"/>
        </w:rPr>
        <w:t>nformación sobre altos cargos y personal direct</w:t>
      </w:r>
      <w:r>
        <w:rPr>
          <w:rFonts w:eastAsia="Calibri"/>
          <w:sz w:val="26"/>
          <w:szCs w:val="26"/>
          <w:lang w:val="es-ES_tradnl"/>
        </w:rPr>
        <w:t>ivo.</w:t>
      </w:r>
    </w:p>
    <w:p w14:paraId="0D379DB4" w14:textId="495497FA" w:rsidR="002C5A07" w:rsidRDefault="002C5A07" w:rsidP="00615481">
      <w:pPr>
        <w:pStyle w:val="Default"/>
        <w:numPr>
          <w:ilvl w:val="1"/>
          <w:numId w:val="3"/>
        </w:numPr>
        <w:tabs>
          <w:tab w:val="left" w:pos="567"/>
        </w:tabs>
        <w:spacing w:before="120" w:after="120"/>
        <w:ind w:left="0" w:firstLine="284"/>
        <w:jc w:val="both"/>
        <w:rPr>
          <w:rFonts w:eastAsia="Calibri"/>
          <w:sz w:val="26"/>
          <w:szCs w:val="26"/>
          <w:lang w:val="es-ES_tradnl"/>
        </w:rPr>
      </w:pPr>
      <w:r>
        <w:rPr>
          <w:rFonts w:eastAsia="Calibri"/>
          <w:sz w:val="26"/>
          <w:szCs w:val="26"/>
          <w:lang w:val="es-ES_tradnl"/>
        </w:rPr>
        <w:t>I</w:t>
      </w:r>
      <w:r w:rsidRPr="002C5A07">
        <w:rPr>
          <w:rFonts w:eastAsia="Calibri"/>
          <w:sz w:val="26"/>
          <w:szCs w:val="26"/>
          <w:lang w:val="es-ES_tradnl"/>
        </w:rPr>
        <w:t>nformación de relevancia jurídica</w:t>
      </w:r>
      <w:r>
        <w:rPr>
          <w:rFonts w:eastAsia="Calibri"/>
          <w:sz w:val="26"/>
          <w:szCs w:val="26"/>
          <w:lang w:val="es-ES_tradnl"/>
        </w:rPr>
        <w:t>.</w:t>
      </w:r>
    </w:p>
    <w:p w14:paraId="76575D4C" w14:textId="77777777" w:rsidR="002C5A07" w:rsidRDefault="002C5A07" w:rsidP="00615481">
      <w:pPr>
        <w:pStyle w:val="Default"/>
        <w:numPr>
          <w:ilvl w:val="1"/>
          <w:numId w:val="3"/>
        </w:numPr>
        <w:tabs>
          <w:tab w:val="left" w:pos="567"/>
        </w:tabs>
        <w:spacing w:before="120" w:after="120"/>
        <w:ind w:left="0" w:firstLine="284"/>
        <w:jc w:val="both"/>
        <w:rPr>
          <w:rFonts w:eastAsia="Calibri"/>
          <w:sz w:val="26"/>
          <w:szCs w:val="26"/>
          <w:lang w:val="es-ES_tradnl"/>
        </w:rPr>
      </w:pPr>
      <w:r>
        <w:rPr>
          <w:rFonts w:eastAsia="Calibri"/>
          <w:sz w:val="26"/>
          <w:szCs w:val="26"/>
          <w:lang w:val="es-ES_tradnl"/>
        </w:rPr>
        <w:t>I</w:t>
      </w:r>
      <w:r w:rsidRPr="002C5A07">
        <w:rPr>
          <w:rFonts w:eastAsia="Calibri"/>
          <w:sz w:val="26"/>
          <w:szCs w:val="26"/>
          <w:lang w:val="es-ES_tradnl"/>
        </w:rPr>
        <w:t xml:space="preserve">nformación económica, presupuestaria y financiera. </w:t>
      </w:r>
    </w:p>
    <w:p w14:paraId="1E10ECBF" w14:textId="0B9D538E" w:rsidR="000B7C62" w:rsidRPr="00151577" w:rsidRDefault="20977E9D"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szCs w:val="26"/>
        </w:rPr>
      </w:pPr>
      <w:r>
        <w:t xml:space="preserve">El </w:t>
      </w:r>
      <w:r w:rsidRPr="14B3A08B">
        <w:rPr>
          <w:rFonts w:eastAsia="Calibri"/>
        </w:rPr>
        <w:t>reglamento</w:t>
      </w:r>
      <w:r>
        <w:t xml:space="preserve"> prevé que el ejercicio de los cargos electos sea gratuito, si bien establece que tendrán derecho al reembolso de los gastos de viaje, dietas y, </w:t>
      </w:r>
      <w:r>
        <w:lastRenderedPageBreak/>
        <w:t xml:space="preserve">en su caso, una compensación en concepto de especial dedicación fijada por la Comisión Permanente siguiendo los criterios fijados por la Asamblea. </w:t>
      </w:r>
    </w:p>
    <w:p w14:paraId="4C07B9AC" w14:textId="4259CFBF" w:rsidR="002C5A07" w:rsidRDefault="199E4935" w:rsidP="00702FE8">
      <w:pPr>
        <w:pStyle w:val="texto"/>
      </w:pPr>
      <w:r w:rsidRPr="00151577">
        <w:t>En marzo de 2015 se celebra la Asamblea ordinaria del CJN en la que se debate sobre la posibilidad de establecer dicha compensación aprobándose finalmente por cinco votos a favor, cuatro en contra y cinco abstenciones de los asistentes. E</w:t>
      </w:r>
      <w:r w:rsidR="00E97B0D">
        <w:t>sto supone que</w:t>
      </w:r>
      <w:r w:rsidRPr="00151577">
        <w:t xml:space="preserve"> </w:t>
      </w:r>
      <w:r w:rsidR="20977E9D" w:rsidRPr="00151577">
        <w:t>en 2019 y 2020</w:t>
      </w:r>
      <w:r w:rsidR="00E97B0D">
        <w:t xml:space="preserve"> </w:t>
      </w:r>
      <w:r w:rsidR="20977E9D" w:rsidRPr="00151577">
        <w:t xml:space="preserve">la persona que </w:t>
      </w:r>
      <w:r w:rsidR="2E611690" w:rsidRPr="00151577">
        <w:t>ejercía el cargo de presidente</w:t>
      </w:r>
      <w:r w:rsidR="20977E9D" w:rsidRPr="00151577">
        <w:t xml:space="preserve"> ocupaba</w:t>
      </w:r>
      <w:r w:rsidR="2E611690" w:rsidRPr="00151577">
        <w:t xml:space="preserve"> también</w:t>
      </w:r>
      <w:r w:rsidR="20977E9D" w:rsidRPr="00151577">
        <w:t xml:space="preserve"> el puesto de coordinador</w:t>
      </w:r>
      <w:r w:rsidR="00E97B0D">
        <w:t>,</w:t>
      </w:r>
      <w:r w:rsidR="20977E9D" w:rsidRPr="00151577">
        <w:t xml:space="preserve"> percibi</w:t>
      </w:r>
      <w:r w:rsidR="00E97B0D">
        <w:t>endo</w:t>
      </w:r>
      <w:r w:rsidR="20977E9D" w:rsidRPr="00151577">
        <w:t xml:space="preserve"> por ello </w:t>
      </w:r>
      <w:r w:rsidRPr="00151577">
        <w:t xml:space="preserve">una remuneración </w:t>
      </w:r>
      <w:r w:rsidR="40598662" w:rsidRPr="00151577">
        <w:t>de 32.441 euros (18.196 euros en 2019 y 14.245 euros en 2020).</w:t>
      </w:r>
      <w:r w:rsidR="20977E9D" w:rsidRPr="00151577">
        <w:t xml:space="preserve"> </w:t>
      </w:r>
    </w:p>
    <w:p w14:paraId="06C8CC1C" w14:textId="5DBF2908" w:rsidR="007810C3" w:rsidRPr="00151577" w:rsidRDefault="007810C3" w:rsidP="00702FE8">
      <w:pPr>
        <w:pStyle w:val="texto"/>
      </w:pPr>
      <w:r>
        <w:t>En 2020</w:t>
      </w:r>
      <w:r w:rsidR="00E97B0D">
        <w:t>,</w:t>
      </w:r>
      <w:r>
        <w:t xml:space="preserve"> la remuneración fue menor porque en un reparo interpuesto por la Interventora Delegada en el INJ se pusieron de manifiesto varias cuestiones</w:t>
      </w:r>
      <w:r w:rsidR="00E97B0D">
        <w:t>, entre ellas este hecho. Si bien</w:t>
      </w:r>
      <w:r>
        <w:t xml:space="preserve"> el Gobierno acabó levantando el reparo, la persona que ocupaba la presidencia dejó de percibir la remuneración correspondiente.  </w:t>
      </w:r>
    </w:p>
    <w:p w14:paraId="44AF0E0F" w14:textId="5B09E6E3" w:rsidR="00E84D86" w:rsidRDefault="1A772346" w:rsidP="00F36FC1">
      <w:pPr>
        <w:pStyle w:val="texto"/>
        <w:rPr>
          <w:rFonts w:ascii="Arial" w:hAnsi="Arial"/>
          <w:b/>
          <w:bCs/>
          <w:sz w:val="25"/>
          <w:szCs w:val="25"/>
        </w:rPr>
      </w:pPr>
      <w:r w:rsidRPr="00F36FC1">
        <w:t>Si bien se cumplió con el trámite establecido en el reglamento para aprobar dicha compensación, el tratamiento que realizó el CJN de dichos pagos como derivados de la existencia de una contratación por cuenta ajena y de carácter laboral no fue jurídicamente correcto</w:t>
      </w:r>
      <w:r w:rsidR="00E97B0D">
        <w:t>. De hecho, suponía</w:t>
      </w:r>
      <w:r w:rsidRPr="00F36FC1">
        <w:t xml:space="preserve"> que la persona que ejercía la presidencia fuera considerada como un trabajador. Este hecho no es coherente y prueba de </w:t>
      </w:r>
      <w:r w:rsidR="0DB38929">
        <w:t>ello</w:t>
      </w:r>
      <w:r w:rsidR="20977E9D">
        <w:t xml:space="preserve"> es que el convenio </w:t>
      </w:r>
      <w:r w:rsidR="00036BE2">
        <w:t>extraestatutario</w:t>
      </w:r>
      <w:r w:rsidR="20977E9D">
        <w:t xml:space="preserve"> de los trabajadores </w:t>
      </w:r>
      <w:r w:rsidR="00E97B0D">
        <w:t xml:space="preserve">lo </w:t>
      </w:r>
      <w:r w:rsidR="20977E9D">
        <w:t>firmó</w:t>
      </w:r>
      <w:r w:rsidR="00E97B0D">
        <w:t xml:space="preserve">, en febrero de 2019, </w:t>
      </w:r>
      <w:r w:rsidR="20977E9D">
        <w:t xml:space="preserve">la persona que ocupaba la presidencia en calidad de presidente y en calidad de persona </w:t>
      </w:r>
      <w:r w:rsidR="705C4D20">
        <w:t>trabajadora</w:t>
      </w:r>
      <w:r w:rsidR="20977E9D">
        <w:t xml:space="preserve">. </w:t>
      </w:r>
      <w:r w:rsidR="00151577">
        <w:br w:type="page"/>
      </w:r>
    </w:p>
    <w:p w14:paraId="4BEBACB4" w14:textId="6ECBD441" w:rsidR="00B80751" w:rsidRPr="00702FE8" w:rsidRDefault="00E84D86" w:rsidP="00702FE8">
      <w:pPr>
        <w:pStyle w:val="atitulo1"/>
      </w:pPr>
      <w:bookmarkStart w:id="20" w:name="_Toc153454655"/>
      <w:r w:rsidRPr="00702FE8">
        <w:lastRenderedPageBreak/>
        <w:t>IX</w:t>
      </w:r>
      <w:r w:rsidR="00B80751" w:rsidRPr="00702FE8">
        <w:t xml:space="preserve">. </w:t>
      </w:r>
      <w:bookmarkEnd w:id="15"/>
      <w:r w:rsidR="00851DBC" w:rsidRPr="00702FE8">
        <w:t xml:space="preserve">Responsabilidad </w:t>
      </w:r>
      <w:r w:rsidR="005E5E2D" w:rsidRPr="00702FE8">
        <w:t>del Consejo de la Juventud de Navarra</w:t>
      </w:r>
      <w:bookmarkEnd w:id="20"/>
    </w:p>
    <w:p w14:paraId="2B078B3F" w14:textId="29CCDA9A" w:rsidR="00B80751" w:rsidRPr="00702FE8" w:rsidRDefault="005A53E3" w:rsidP="00702FE8">
      <w:pPr>
        <w:pStyle w:val="texto"/>
      </w:pPr>
      <w:bookmarkStart w:id="21" w:name="_Toc127443947"/>
      <w:r>
        <w:t>El tesorero o tesorera</w:t>
      </w:r>
      <w:r w:rsidR="00DA2BE3">
        <w:t xml:space="preserve"> es r</w:t>
      </w:r>
      <w:r w:rsidR="001020B1">
        <w:t>esponsable de</w:t>
      </w:r>
      <w:r w:rsidR="00DA2BE3">
        <w:t xml:space="preserve"> controlar la contabilidad y la Comisión </w:t>
      </w:r>
      <w:r w:rsidR="00DA2BE3" w:rsidRPr="00702FE8">
        <w:t>Permanente de presentar la cuenta de ingresos y gastos del periodo y el balance de situación a 31 de diciembre en la Asamblea General para su aprobación</w:t>
      </w:r>
      <w:r w:rsidR="00851DBC" w:rsidRPr="00702FE8">
        <w:t xml:space="preserve">. </w:t>
      </w:r>
    </w:p>
    <w:p w14:paraId="5B75B066" w14:textId="02BFD976" w:rsidR="00B80751" w:rsidRDefault="00DA2BE3" w:rsidP="00702FE8">
      <w:pPr>
        <w:pStyle w:val="texto"/>
      </w:pPr>
      <w:r w:rsidRPr="00702FE8">
        <w:t>La Comisión Permanente</w:t>
      </w:r>
      <w:r w:rsidR="00B80751" w:rsidRPr="00702FE8">
        <w:t xml:space="preserve"> debe garantizar que las actividades y operaciones de gestión realizadas resultan conformes con </w:t>
      </w:r>
      <w:r w:rsidRPr="00702FE8">
        <w:t xml:space="preserve">el </w:t>
      </w:r>
      <w:r w:rsidR="00E00AE0" w:rsidRPr="00702FE8">
        <w:t>“</w:t>
      </w:r>
      <w:r w:rsidRPr="00702FE8">
        <w:t>Reglamento interno y reglamento de las asambleas</w:t>
      </w:r>
      <w:r w:rsidR="00E00AE0">
        <w:t>”</w:t>
      </w:r>
      <w:r>
        <w:t xml:space="preserve"> a través de los sistemas </w:t>
      </w:r>
      <w:r w:rsidR="00B80751" w:rsidRPr="00D73091">
        <w:t xml:space="preserve">que considere necesarios para esa finalidad. </w:t>
      </w:r>
    </w:p>
    <w:p w14:paraId="5703436C" w14:textId="4931CBA8" w:rsidR="00851DBC" w:rsidRDefault="00851DBC" w:rsidP="00B80751">
      <w:pPr>
        <w:pStyle w:val="texto"/>
      </w:pPr>
    </w:p>
    <w:p w14:paraId="165EBB15" w14:textId="4F0C2873" w:rsidR="00851DBC" w:rsidRDefault="00851DBC" w:rsidP="00B80751">
      <w:pPr>
        <w:pStyle w:val="texto"/>
      </w:pPr>
    </w:p>
    <w:p w14:paraId="2078AB41" w14:textId="285266E1" w:rsidR="00851DBC" w:rsidRDefault="00851DBC" w:rsidP="00B80751">
      <w:pPr>
        <w:pStyle w:val="texto"/>
      </w:pPr>
    </w:p>
    <w:p w14:paraId="7C41868C" w14:textId="44735652" w:rsidR="00851DBC" w:rsidRDefault="00851DBC" w:rsidP="00B80751">
      <w:pPr>
        <w:pStyle w:val="texto"/>
      </w:pPr>
    </w:p>
    <w:p w14:paraId="69F7025B" w14:textId="77777777" w:rsidR="00851DBC" w:rsidRDefault="00851DBC">
      <w:pPr>
        <w:spacing w:after="0"/>
        <w:ind w:firstLine="0"/>
        <w:jc w:val="left"/>
        <w:rPr>
          <w:rFonts w:ascii="Arial" w:hAnsi="Arial"/>
          <w:i/>
          <w:iCs/>
          <w:color w:val="000000"/>
          <w:spacing w:val="10"/>
          <w:kern w:val="28"/>
          <w:sz w:val="25"/>
          <w:szCs w:val="26"/>
        </w:rPr>
      </w:pPr>
      <w:r>
        <w:br w:type="page"/>
      </w:r>
    </w:p>
    <w:p w14:paraId="58F7ADE6" w14:textId="756D20C1" w:rsidR="00851DBC" w:rsidRPr="00134DF4" w:rsidRDefault="00695BC9" w:rsidP="00702FE8">
      <w:pPr>
        <w:pStyle w:val="atitulo1"/>
      </w:pPr>
      <w:bookmarkStart w:id="22" w:name="_Toc153454656"/>
      <w:r>
        <w:lastRenderedPageBreak/>
        <w:t>X</w:t>
      </w:r>
      <w:r w:rsidR="00851DBC" w:rsidRPr="00134DF4">
        <w:t xml:space="preserve">. </w:t>
      </w:r>
      <w:r w:rsidR="00851DBC">
        <w:t>Responsabilidad de la Cámara de Comptos de Navarra</w:t>
      </w:r>
      <w:bookmarkEnd w:id="22"/>
    </w:p>
    <w:p w14:paraId="0AE18C96" w14:textId="068BB5A7" w:rsidR="00695BC9" w:rsidRPr="00702FE8" w:rsidRDefault="00695BC9" w:rsidP="00702FE8">
      <w:pPr>
        <w:pStyle w:val="texto"/>
      </w:pPr>
      <w:r w:rsidRPr="00702FE8">
        <w:t xml:space="preserve">Nuestro objetivo es obtener una seguridad razonable de que las cuentas anuales en su conjunto están libres de incorrección material, debida a fraude o error. </w:t>
      </w:r>
    </w:p>
    <w:p w14:paraId="09DB06AD" w14:textId="77777777" w:rsidR="00695BC9" w:rsidRPr="00702FE8" w:rsidRDefault="00695BC9" w:rsidP="00702FE8">
      <w:pPr>
        <w:pStyle w:val="texto"/>
      </w:pPr>
      <w:r w:rsidRPr="00702FE8">
        <w:t xml:space="preserve">Seguridad razonable es un alto grado de seguridad, pero no garantiza que una fiscalización realizada de conformidad con la normativa reguladora de los órganos de control externo siempre detecte una incorrección material o un incumplimiento significativo cuando exista. Las incorrecciones pueden deberse a fraude o error y a incumplimientos de legalidad y se consideran materiales aplicando los criterios de esta Cámara de Comptos y siempre que pueda preverse razonablemente que influyan en las decisiones económicas de las personas usuarias de los informes. </w:t>
      </w:r>
    </w:p>
    <w:p w14:paraId="329BC675" w14:textId="77777777" w:rsidR="00695BC9" w:rsidRPr="00E83238" w:rsidRDefault="00695BC9" w:rsidP="00702FE8">
      <w:pPr>
        <w:pStyle w:val="texto"/>
      </w:pPr>
      <w:r w:rsidRPr="00702FE8">
        <w:t>Como parte de una fiscalización y de conformidad con la normativa reguladora de los órganos de control externo, aplicamos nuestro juicio profesional y mantenemos una actitud</w:t>
      </w:r>
      <w:r w:rsidRPr="00E83238">
        <w:t xml:space="preserve"> de escepticismo profesional dura</w:t>
      </w:r>
      <w:r>
        <w:t>nte toda la auditoría. También:</w:t>
      </w:r>
    </w:p>
    <w:p w14:paraId="1D194568" w14:textId="77777777" w:rsidR="00695BC9" w:rsidRPr="00E83238" w:rsidRDefault="5D79ECED"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cs="Arial"/>
        </w:rPr>
      </w:pPr>
      <w:r w:rsidRPr="14B3A08B">
        <w:rPr>
          <w:rFonts w:eastAsia="Calibri"/>
        </w:rPr>
        <w:t>Identificamos</w:t>
      </w:r>
      <w:r w:rsidRPr="14B3A08B">
        <w:rPr>
          <w:rFonts w:cs="Arial"/>
        </w:rPr>
        <w:t xml:space="preserve"> y valoramos los riesgos de incorrección material debida a fraude o error y de incumplimiento legales, diseñamos y aplicamos procedimientos de auditoría para responder a dichos riesgos y obtenemos evidencia de auditoría suficiente y adecuada para proporcionar una base para nuestra opinión. El riesgo de no detectar una incorrección material o un incumplimiento debido a fraude es más elevado que en el caso de una incorrección material debida a error, ya que el fraude puede implicar colusión, falsificación, omisiones deliberadas, manifestaciones intencionadamente erróneas, o la elusión del control interno.</w:t>
      </w:r>
    </w:p>
    <w:p w14:paraId="6D886485" w14:textId="77777777" w:rsidR="00695BC9" w:rsidRPr="00E83238" w:rsidRDefault="5D79ECED"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cs="Arial"/>
        </w:rPr>
      </w:pPr>
      <w:r w:rsidRPr="14B3A08B">
        <w:rPr>
          <w:rFonts w:cs="Arial"/>
        </w:rPr>
        <w:t xml:space="preserve">Obtenemos </w:t>
      </w:r>
      <w:r w:rsidRPr="14B3A08B">
        <w:rPr>
          <w:rFonts w:eastAsia="Calibri"/>
        </w:rPr>
        <w:t>conocimiento</w:t>
      </w:r>
      <w:r w:rsidRPr="14B3A08B">
        <w:rPr>
          <w:rFonts w:cs="Arial"/>
        </w:rPr>
        <w:t xml:space="preserve"> del control interno relevante para la fiscalización con el fin de diseñar procedimientos de auditoría que sean adecuados en función de las circunstancias, y no con la finalidad de expresar una opinión sobre la eficacia del control interno de la entidad.</w:t>
      </w:r>
    </w:p>
    <w:p w14:paraId="248535EF" w14:textId="77777777" w:rsidR="00695BC9" w:rsidRPr="00E83238" w:rsidRDefault="5D79ECED"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cs="Arial"/>
        </w:rPr>
      </w:pPr>
      <w:r w:rsidRPr="14B3A08B">
        <w:rPr>
          <w:rFonts w:cs="Arial"/>
        </w:rPr>
        <w:t xml:space="preserve">Evaluamos si las políticas contables aplicadas son adecuadas y la razonabilidad de las </w:t>
      </w:r>
      <w:r w:rsidRPr="14B3A08B">
        <w:rPr>
          <w:rFonts w:eastAsia="Calibri"/>
        </w:rPr>
        <w:t>estimaciones</w:t>
      </w:r>
      <w:r w:rsidRPr="14B3A08B">
        <w:rPr>
          <w:rFonts w:cs="Arial"/>
        </w:rPr>
        <w:t xml:space="preserve"> contables y la correspondiente información revelada por el órgano de gestión.</w:t>
      </w:r>
    </w:p>
    <w:p w14:paraId="2572CFCB" w14:textId="77777777" w:rsidR="00695BC9" w:rsidRPr="00E83238" w:rsidRDefault="5D79ECED"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cs="Arial"/>
        </w:rPr>
      </w:pPr>
      <w:r w:rsidRPr="14B3A08B">
        <w:rPr>
          <w:rFonts w:cs="Arial"/>
        </w:rPr>
        <w:t>Evaluamos la presentación global, la estructura y el contenido de las cuentas anuales, incluida la información revelada, y si estas cuentas</w:t>
      </w:r>
      <w:r w:rsidRPr="14B3A08B">
        <w:rPr>
          <w:rFonts w:cs="Arial"/>
          <w:color w:val="FF0000"/>
        </w:rPr>
        <w:t xml:space="preserve"> </w:t>
      </w:r>
      <w:r w:rsidRPr="14B3A08B">
        <w:rPr>
          <w:rFonts w:cs="Arial"/>
        </w:rPr>
        <w:t>representan las transacciones y hechos subyacentes de un modo que logran expresar la imagen fiel.</w:t>
      </w:r>
    </w:p>
    <w:p w14:paraId="409A5A8A" w14:textId="77777777" w:rsidR="00695BC9" w:rsidRDefault="00695BC9" w:rsidP="00702FE8">
      <w:pPr>
        <w:pStyle w:val="texto"/>
      </w:pPr>
      <w:r w:rsidRPr="00E83238">
        <w:t xml:space="preserve">Nos comunicamos con el órgano de gobierno de la entidad en relación con, entre otras cuestiones, el alcance y el momento de realización de las pruebas de auditoría </w:t>
      </w:r>
      <w:r w:rsidRPr="00702FE8">
        <w:t>planificadas</w:t>
      </w:r>
      <w:r w:rsidRPr="00E83238">
        <w:t xml:space="preserve"> y los hallazgos significativos de la fiscalización, así como cualquier deficiencia significativa del control interno que identificamos en el </w:t>
      </w:r>
      <w:r w:rsidRPr="00E83238">
        <w:lastRenderedPageBreak/>
        <w:t>transcurso de la fiscalización. Entre las cuestiones que han sido objeto de comunicación al órgano de gobierno de la entidad, determinamos las que han sido de mayor significatividad en la fiscalización y que son, en consecuencia, las cuestiones clave de la auditoría.</w:t>
      </w:r>
    </w:p>
    <w:p w14:paraId="11E613E6" w14:textId="77777777" w:rsidR="00B3111E" w:rsidRDefault="00B3111E" w:rsidP="00B3111E">
      <w:pPr>
        <w:pStyle w:val="texto"/>
        <w:jc w:val="center"/>
      </w:pPr>
    </w:p>
    <w:p w14:paraId="71C39D7D" w14:textId="77777777" w:rsidR="00695BC9" w:rsidRDefault="00695BC9">
      <w:pPr>
        <w:spacing w:after="0"/>
        <w:ind w:firstLine="0"/>
        <w:jc w:val="left"/>
        <w:rPr>
          <w:rFonts w:ascii="Arial" w:hAnsi="Arial"/>
          <w:b/>
          <w:color w:val="000000"/>
          <w:kern w:val="28"/>
          <w:sz w:val="25"/>
          <w:szCs w:val="26"/>
        </w:rPr>
      </w:pPr>
      <w:r>
        <w:br w:type="page"/>
      </w:r>
    </w:p>
    <w:p w14:paraId="77DD4CC6" w14:textId="0D913AE8" w:rsidR="005E5E2D" w:rsidRPr="00702FE8" w:rsidRDefault="005E5E2D" w:rsidP="00702FE8">
      <w:pPr>
        <w:pStyle w:val="atitulo1"/>
      </w:pPr>
      <w:bookmarkStart w:id="23" w:name="_Toc153454657"/>
      <w:r w:rsidRPr="00702FE8">
        <w:lastRenderedPageBreak/>
        <w:t>X</w:t>
      </w:r>
      <w:r w:rsidR="00E84D86" w:rsidRPr="00702FE8">
        <w:t>I</w:t>
      </w:r>
      <w:r w:rsidRPr="00702FE8">
        <w:t>. Conclusiones y recomendaciones</w:t>
      </w:r>
      <w:bookmarkEnd w:id="23"/>
    </w:p>
    <w:p w14:paraId="4FEEB100" w14:textId="133862B8" w:rsidR="000A3E69" w:rsidRDefault="3E2B6E81" w:rsidP="00702FE8">
      <w:pPr>
        <w:pStyle w:val="texto"/>
      </w:pPr>
      <w:r>
        <w:t xml:space="preserve">El Consejo de Juventud de Navarra </w:t>
      </w:r>
      <w:r w:rsidR="57D8A0E2">
        <w:t xml:space="preserve">se creó en 1986 con el objetivo fundamental de promover la participación de las personas jóvenes en el desarrollo de la Comunidad Foral de Navarra y velar por sus derechos. </w:t>
      </w:r>
      <w:r w:rsidR="4C13BFE4">
        <w:t>Es una entidad pública atípica cuyos ingresos</w:t>
      </w:r>
      <w:r w:rsidR="5D0E98E1">
        <w:t>, pese a lo dispuesto en su reglamento,</w:t>
      </w:r>
      <w:r w:rsidR="4C13BFE4">
        <w:t xml:space="preserve"> son de origen público en su totalidad y provienen fundamentalmente del Instituto Navarro de Juventud (83 por ciento) y del Parlamento de Navarra (14 por ciento). </w:t>
      </w:r>
    </w:p>
    <w:p w14:paraId="064BCA8F" w14:textId="4F9D7AD0" w:rsidR="003C6BFA" w:rsidRDefault="003C6BFA" w:rsidP="00702FE8">
      <w:pPr>
        <w:pStyle w:val="texto"/>
      </w:pPr>
      <w:r>
        <w:t>En 2022, cuatro personas prestaban sus servicios en el CJN, si bien en abril de 2023 ante la reducción en un 29 por ciento de la subvención percibida del INJ, una persona dejó de hacerlo. Asimismo, el Parlamento de Navarra comunicó al CJN que</w:t>
      </w:r>
      <w:r w:rsidR="005E8AFA">
        <w:t xml:space="preserve"> en 2024</w:t>
      </w:r>
      <w:r>
        <w:t xml:space="preserve"> no va a subvencionar a esta entidad, por lo que otra persona tendrá que dejar de prestar sus servicios. </w:t>
      </w:r>
    </w:p>
    <w:p w14:paraId="6E611CC8" w14:textId="2CEA01D5" w:rsidR="003C6BFA" w:rsidRDefault="376FA977" w:rsidP="00702FE8">
      <w:pPr>
        <w:pStyle w:val="texto"/>
      </w:pPr>
      <w:r>
        <w:t>En 2022</w:t>
      </w:r>
      <w:r w:rsidR="4C13BFE4">
        <w:t>,</w:t>
      </w:r>
      <w:r>
        <w:t xml:space="preserve"> los gastos e ingresos </w:t>
      </w:r>
      <w:r w:rsidR="4C13BFE4">
        <w:t>de esta entidad alcanzaron los 153.249 y 152.579 euros respectivamente</w:t>
      </w:r>
      <w:r w:rsidR="1F987FB5">
        <w:t xml:space="preserve">, y en años anteriores </w:t>
      </w:r>
      <w:r w:rsidR="005F34B1">
        <w:t>las diferencias entre ambas</w:t>
      </w:r>
      <w:r w:rsidR="1F987FB5">
        <w:t xml:space="preserve"> han sido similares</w:t>
      </w:r>
      <w:r w:rsidR="4C13BFE4">
        <w:t>.</w:t>
      </w:r>
      <w:r w:rsidR="05CE8B59">
        <w:t xml:space="preserve"> </w:t>
      </w:r>
      <w:r w:rsidR="167EA578">
        <w:t>Ante el desfase temporal existente entre los ingresos y gastos,</w:t>
      </w:r>
      <w:r w:rsidR="4C13BFE4">
        <w:t xml:space="preserve"> el CJN ha recurrido a las líneas de crédito para obtener financiación.</w:t>
      </w:r>
    </w:p>
    <w:p w14:paraId="1D59E503" w14:textId="073127F5" w:rsidR="00555F50" w:rsidRDefault="00744767" w:rsidP="00702FE8">
      <w:pPr>
        <w:pStyle w:val="texto"/>
      </w:pPr>
      <w:r>
        <w:t>L</w:t>
      </w:r>
      <w:r w:rsidR="003C6BFA">
        <w:t>a</w:t>
      </w:r>
      <w:r>
        <w:t>s</w:t>
      </w:r>
      <w:r w:rsidR="003C6BFA">
        <w:t xml:space="preserve"> labores administrativas</w:t>
      </w:r>
      <w:r>
        <w:t xml:space="preserve"> del CJN </w:t>
      </w:r>
      <w:r w:rsidR="00555F50">
        <w:t>han consistido fundamentalmente en efectuar</w:t>
      </w:r>
      <w:r w:rsidR="003C6BFA">
        <w:t xml:space="preserve"> los pagos correspondientes y preparar la justificación para las subvenciones recibidas, aspecto que ha cumplido con la normativa y ha sido revisado adecuadamente por los entes concedentes. Sin embargo, la contabilidad no se ha llevado adecuadamente</w:t>
      </w:r>
      <w:r w:rsidR="7910559B">
        <w:t>,</w:t>
      </w:r>
      <w:r w:rsidR="003C6BFA">
        <w:t xml:space="preserve"> lo que implica que los estados contables del periodo 2019-2022, que la Comisión Permanente debía </w:t>
      </w:r>
      <w:r w:rsidR="4B4C6AD1">
        <w:t>presentar</w:t>
      </w:r>
      <w:r w:rsidR="003C6BFA">
        <w:t xml:space="preserve"> y la Asamblea General aprobar, no son correctos y no reflejan la imagen fiel del patrimonio, ni la situación financiera ni los resultados económicos del CJN. </w:t>
      </w:r>
    </w:p>
    <w:p w14:paraId="64832A9D" w14:textId="0BA5C2DB" w:rsidR="003C6BFA" w:rsidRDefault="524B6CAE" w:rsidP="00702FE8">
      <w:pPr>
        <w:pStyle w:val="texto"/>
      </w:pPr>
      <w:r>
        <w:t>Hemos constatado</w:t>
      </w:r>
      <w:r w:rsidR="18187E9C">
        <w:t>,</w:t>
      </w:r>
      <w:r>
        <w:t xml:space="preserve"> asimismo</w:t>
      </w:r>
      <w:r w:rsidR="7DFE0E60">
        <w:t>,</w:t>
      </w:r>
      <w:r w:rsidR="4C13BFE4">
        <w:t xml:space="preserve"> falta de control por parte de los órganos del CJN</w:t>
      </w:r>
      <w:r w:rsidR="00F564C4">
        <w:t>,</w:t>
      </w:r>
      <w:r w:rsidR="4C13BFE4">
        <w:t xml:space="preserve"> que no han llevado a cabo las acciones oportunas para velar por el cumplimiento del Reglamento Interno.</w:t>
      </w:r>
    </w:p>
    <w:p w14:paraId="27EE50D8" w14:textId="65020705" w:rsidR="003C6BFA" w:rsidRDefault="4C13BFE4" w:rsidP="00702FE8">
      <w:pPr>
        <w:pStyle w:val="texto"/>
      </w:pPr>
      <w:r>
        <w:t>En 2023, el CJN ha dejado de tener financiación vía línea de crédito, lo que unido a la reducción de la subvención del INJ, actualmente pone de manifiesto una incertidumbre sobre la capacidad de esta entidad para hacer frente a sus gastos y</w:t>
      </w:r>
      <w:r w:rsidR="00F564C4">
        <w:t>,</w:t>
      </w:r>
      <w:r>
        <w:t xml:space="preserve"> por lo tanto</w:t>
      </w:r>
      <w:r w:rsidR="00F564C4">
        <w:t>,</w:t>
      </w:r>
      <w:r>
        <w:t xml:space="preserve"> sobre su continuidad en el tiempo. </w:t>
      </w:r>
    </w:p>
    <w:p w14:paraId="7A6B0C46" w14:textId="1F8BB8F2" w:rsidR="00A4193C" w:rsidRDefault="003B6359" w:rsidP="14B3A08B">
      <w:pPr>
        <w:pStyle w:val="texto"/>
      </w:pPr>
      <w:r>
        <w:t xml:space="preserve">Finalmente, hemos constatado una disminución de las actividades llevadas a cabo por el CJN en el periodo 2019-2022. Asimismo, </w:t>
      </w:r>
      <w:r w:rsidR="17DBD3BA">
        <w:t>atendiendo a</w:t>
      </w:r>
      <w:r>
        <w:t xml:space="preserve"> la ejecución de estas a</w:t>
      </w:r>
      <w:r w:rsidR="17DBD3BA">
        <w:t>ctividades</w:t>
      </w:r>
      <w:r>
        <w:t>,</w:t>
      </w:r>
      <w:r w:rsidR="17DBD3BA">
        <w:t xml:space="preserve"> </w:t>
      </w:r>
      <w:r w:rsidR="3222CABD">
        <w:t xml:space="preserve">esta Cámara entiende que </w:t>
      </w:r>
      <w:r w:rsidR="501A2287">
        <w:t>no</w:t>
      </w:r>
      <w:r w:rsidR="3222CABD">
        <w:t xml:space="preserve"> está desarrollando </w:t>
      </w:r>
      <w:r w:rsidR="5F9D84EC">
        <w:t xml:space="preserve">las principales funciones </w:t>
      </w:r>
      <w:r w:rsidR="3222CABD">
        <w:t>que tiene asignadas por la normativa</w:t>
      </w:r>
      <w:r w:rsidR="453452A1">
        <w:t xml:space="preserve"> </w:t>
      </w:r>
      <w:r w:rsidR="1F604B81">
        <w:t>en términos de economía, eficiencia y eficacia.</w:t>
      </w:r>
    </w:p>
    <w:p w14:paraId="2E467234" w14:textId="77777777" w:rsidR="00A4193C" w:rsidRDefault="00A4193C">
      <w:pPr>
        <w:spacing w:after="0"/>
        <w:ind w:firstLine="0"/>
        <w:jc w:val="left"/>
        <w:rPr>
          <w:spacing w:val="6"/>
          <w:sz w:val="26"/>
          <w:szCs w:val="24"/>
        </w:rPr>
      </w:pPr>
      <w:r>
        <w:br w:type="page"/>
      </w:r>
    </w:p>
    <w:p w14:paraId="27AE14DA" w14:textId="18A78EC3" w:rsidR="000A3E69" w:rsidRDefault="000A3E69" w:rsidP="000A3E69">
      <w:pPr>
        <w:spacing w:before="120" w:after="120"/>
        <w:ind w:firstLine="284"/>
        <w:rPr>
          <w:spacing w:val="6"/>
          <w:sz w:val="26"/>
          <w:szCs w:val="24"/>
        </w:rPr>
      </w:pPr>
      <w:r>
        <w:rPr>
          <w:spacing w:val="6"/>
          <w:sz w:val="26"/>
          <w:szCs w:val="24"/>
        </w:rPr>
        <w:lastRenderedPageBreak/>
        <w:t xml:space="preserve">Teniendo en cuenta las conclusiones de nuestro trabajo </w:t>
      </w:r>
      <w:r w:rsidRPr="00E137C0">
        <w:rPr>
          <w:spacing w:val="6"/>
          <w:sz w:val="26"/>
          <w:szCs w:val="24"/>
        </w:rPr>
        <w:t>recomendamos</w:t>
      </w:r>
      <w:r>
        <w:rPr>
          <w:spacing w:val="6"/>
          <w:sz w:val="26"/>
          <w:szCs w:val="24"/>
        </w:rPr>
        <w:t>:</w:t>
      </w:r>
    </w:p>
    <w:p w14:paraId="128742AE" w14:textId="04222094" w:rsidR="00151577" w:rsidRPr="007810C3" w:rsidRDefault="007810C3" w:rsidP="0032304B">
      <w:pPr>
        <w:pStyle w:val="atitulo3"/>
        <w:spacing w:before="240"/>
      </w:pPr>
      <w:r>
        <w:t>C</w:t>
      </w:r>
      <w:r w:rsidR="4AA3B514" w:rsidRPr="007810C3">
        <w:t>onfiguración legal</w:t>
      </w:r>
    </w:p>
    <w:p w14:paraId="0DCB2EDA" w14:textId="3473DA87" w:rsidR="1A772346" w:rsidRDefault="13C00032"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szCs w:val="26"/>
        </w:rPr>
      </w:pPr>
      <w:r w:rsidRPr="14B3A08B">
        <w:rPr>
          <w:rFonts w:eastAsia="Calibri"/>
          <w:i/>
          <w:iCs/>
        </w:rPr>
        <w:t xml:space="preserve">Modificar la configuración legal del </w:t>
      </w:r>
      <w:r w:rsidR="1A772346" w:rsidRPr="14B3A08B">
        <w:rPr>
          <w:rFonts w:eastAsia="Calibri"/>
          <w:i/>
          <w:iCs/>
        </w:rPr>
        <w:t>CJN</w:t>
      </w:r>
      <w:r w:rsidR="731272CA" w:rsidRPr="14B3A08B">
        <w:rPr>
          <w:rFonts w:eastAsia="Calibri"/>
          <w:i/>
          <w:iCs/>
        </w:rPr>
        <w:t xml:space="preserve"> asemejándola a la naturaleza jurídica del Consejo de la Juventud de España</w:t>
      </w:r>
      <w:r w:rsidR="7E5A398A" w:rsidRPr="14B3A08B">
        <w:rPr>
          <w:rFonts w:eastAsia="Calibri"/>
          <w:i/>
          <w:iCs/>
        </w:rPr>
        <w:t>,</w:t>
      </w:r>
      <w:r w:rsidR="763EA16F" w:rsidRPr="14B3A08B">
        <w:rPr>
          <w:rFonts w:eastAsia="Calibri"/>
          <w:i/>
          <w:iCs/>
        </w:rPr>
        <w:t xml:space="preserve"> definiéndolo </w:t>
      </w:r>
      <w:r w:rsidR="1A772346" w:rsidRPr="14B3A08B">
        <w:rPr>
          <w:rFonts w:eastAsia="Calibri"/>
          <w:i/>
          <w:iCs/>
        </w:rPr>
        <w:t>como u</w:t>
      </w:r>
      <w:r w:rsidR="2A3113E0" w:rsidRPr="14B3A08B">
        <w:rPr>
          <w:rFonts w:eastAsia="Calibri"/>
          <w:i/>
          <w:iCs/>
        </w:rPr>
        <w:t xml:space="preserve">n ente </w:t>
      </w:r>
      <w:r w:rsidR="26615822" w:rsidRPr="14B3A08B">
        <w:rPr>
          <w:rFonts w:eastAsia="Calibri"/>
          <w:i/>
          <w:iCs/>
        </w:rPr>
        <w:t>corporativo de</w:t>
      </w:r>
      <w:r w:rsidR="1A772346" w:rsidRPr="14B3A08B">
        <w:rPr>
          <w:rFonts w:eastAsia="Calibri"/>
          <w:i/>
          <w:iCs/>
        </w:rPr>
        <w:t xml:space="preserve"> base privada</w:t>
      </w:r>
      <w:r w:rsidR="49C5E19C" w:rsidRPr="14B3A08B">
        <w:rPr>
          <w:rFonts w:eastAsia="Calibri"/>
          <w:i/>
          <w:iCs/>
        </w:rPr>
        <w:t>.</w:t>
      </w:r>
    </w:p>
    <w:p w14:paraId="6DEBB5BF" w14:textId="56EEB123" w:rsidR="0C2C0A9C" w:rsidRDefault="0C2C0A9C"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szCs w:val="26"/>
        </w:rPr>
      </w:pPr>
      <w:r w:rsidRPr="14B3A08B">
        <w:rPr>
          <w:rFonts w:eastAsia="Calibri"/>
          <w:i/>
          <w:iCs/>
          <w:szCs w:val="26"/>
        </w:rPr>
        <w:t xml:space="preserve">Una vez </w:t>
      </w:r>
      <w:r w:rsidR="2AA79488" w:rsidRPr="14B3A08B">
        <w:rPr>
          <w:rFonts w:eastAsia="Calibri"/>
          <w:i/>
          <w:iCs/>
          <w:szCs w:val="26"/>
        </w:rPr>
        <w:t>modificada</w:t>
      </w:r>
      <w:r w:rsidRPr="14B3A08B">
        <w:rPr>
          <w:rFonts w:eastAsia="Calibri"/>
          <w:i/>
          <w:iCs/>
          <w:szCs w:val="26"/>
        </w:rPr>
        <w:t xml:space="preserve"> su naturaleza jurídica según lo señalado en la recomendación anterior, </w:t>
      </w:r>
      <w:r w:rsidR="277B65E3" w:rsidRPr="14B3A08B">
        <w:rPr>
          <w:rFonts w:eastAsia="Calibri"/>
          <w:i/>
          <w:iCs/>
          <w:szCs w:val="26"/>
        </w:rPr>
        <w:t>ejercer</w:t>
      </w:r>
      <w:r w:rsidR="189BF095" w:rsidRPr="14B3A08B">
        <w:rPr>
          <w:rFonts w:eastAsia="Calibri"/>
          <w:i/>
          <w:iCs/>
          <w:szCs w:val="26"/>
        </w:rPr>
        <w:t xml:space="preserve"> todas las funciones </w:t>
      </w:r>
      <w:r w:rsidR="3BDFF8A4" w:rsidRPr="14B3A08B">
        <w:rPr>
          <w:rFonts w:eastAsia="Calibri"/>
          <w:i/>
          <w:iCs/>
          <w:szCs w:val="26"/>
        </w:rPr>
        <w:t xml:space="preserve">que se le hayan </w:t>
      </w:r>
      <w:r w:rsidR="189BF095" w:rsidRPr="14B3A08B">
        <w:rPr>
          <w:rFonts w:eastAsia="Calibri"/>
          <w:i/>
          <w:iCs/>
          <w:szCs w:val="26"/>
        </w:rPr>
        <w:t>asignad</w:t>
      </w:r>
      <w:r w:rsidR="4599F9F4" w:rsidRPr="14B3A08B">
        <w:rPr>
          <w:rFonts w:eastAsia="Calibri"/>
          <w:i/>
          <w:iCs/>
          <w:szCs w:val="26"/>
        </w:rPr>
        <w:t>o</w:t>
      </w:r>
      <w:r w:rsidR="189BF095" w:rsidRPr="14B3A08B">
        <w:rPr>
          <w:rFonts w:eastAsia="Calibri"/>
          <w:i/>
          <w:iCs/>
          <w:szCs w:val="26"/>
        </w:rPr>
        <w:t xml:space="preserve"> </w:t>
      </w:r>
      <w:r w:rsidR="2A236266" w:rsidRPr="14B3A08B">
        <w:rPr>
          <w:rFonts w:eastAsia="Calibri"/>
          <w:i/>
          <w:iCs/>
          <w:szCs w:val="26"/>
        </w:rPr>
        <w:t>legalmente</w:t>
      </w:r>
      <w:r w:rsidR="001636BC">
        <w:rPr>
          <w:rFonts w:eastAsia="Calibri"/>
          <w:i/>
          <w:iCs/>
          <w:szCs w:val="26"/>
        </w:rPr>
        <w:t xml:space="preserve"> y</w:t>
      </w:r>
      <w:r w:rsidR="2D1E543B" w:rsidRPr="14B3A08B">
        <w:rPr>
          <w:rFonts w:eastAsia="Calibri"/>
          <w:i/>
          <w:iCs/>
          <w:szCs w:val="26"/>
        </w:rPr>
        <w:t xml:space="preserve"> </w:t>
      </w:r>
      <w:r w:rsidR="7413D064" w:rsidRPr="14B3A08B">
        <w:rPr>
          <w:rFonts w:eastAsia="Calibri"/>
          <w:i/>
          <w:iCs/>
          <w:szCs w:val="26"/>
        </w:rPr>
        <w:t>a</w:t>
      </w:r>
      <w:r w:rsidR="2A236266" w:rsidRPr="14B3A08B">
        <w:rPr>
          <w:rFonts w:eastAsia="Calibri"/>
          <w:i/>
          <w:iCs/>
          <w:szCs w:val="26"/>
        </w:rPr>
        <w:t>dapta</w:t>
      </w:r>
      <w:r w:rsidR="452C1765" w:rsidRPr="14B3A08B">
        <w:rPr>
          <w:rFonts w:eastAsia="Calibri"/>
          <w:i/>
          <w:iCs/>
          <w:szCs w:val="26"/>
        </w:rPr>
        <w:t>r</w:t>
      </w:r>
      <w:r w:rsidR="2A236266" w:rsidRPr="14B3A08B">
        <w:rPr>
          <w:rFonts w:eastAsia="Calibri"/>
          <w:i/>
          <w:iCs/>
          <w:szCs w:val="26"/>
        </w:rPr>
        <w:t xml:space="preserve"> su estructura organizativa y recursos personales y financieros, a los estric</w:t>
      </w:r>
      <w:r w:rsidR="6F2EDDFB" w:rsidRPr="14B3A08B">
        <w:rPr>
          <w:rFonts w:eastAsia="Calibri"/>
          <w:i/>
          <w:iCs/>
          <w:szCs w:val="26"/>
        </w:rPr>
        <w:t>t</w:t>
      </w:r>
      <w:r w:rsidR="2A236266" w:rsidRPr="14B3A08B">
        <w:rPr>
          <w:rFonts w:eastAsia="Calibri"/>
          <w:i/>
          <w:iCs/>
          <w:szCs w:val="26"/>
        </w:rPr>
        <w:t xml:space="preserve">amente necesarios para el desarrollo de su actividad. </w:t>
      </w:r>
    </w:p>
    <w:p w14:paraId="55B79E52" w14:textId="79BE3F07" w:rsidR="454582F4" w:rsidRPr="007810C3" w:rsidRDefault="454582F4" w:rsidP="0032304B">
      <w:pPr>
        <w:pStyle w:val="atitulo3"/>
        <w:spacing w:before="240"/>
      </w:pPr>
      <w:r w:rsidRPr="007810C3">
        <w:t xml:space="preserve"> </w:t>
      </w:r>
      <w:r w:rsidR="79209C79" w:rsidRPr="007810C3">
        <w:t>En materia contable</w:t>
      </w:r>
      <w:r w:rsidR="4EE90401" w:rsidRPr="007810C3">
        <w:t xml:space="preserve"> </w:t>
      </w:r>
    </w:p>
    <w:p w14:paraId="770481AF" w14:textId="04655C75" w:rsidR="003C6BFA" w:rsidRPr="00702FE8" w:rsidRDefault="4C13BFE4"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sidRPr="14B3A08B">
        <w:rPr>
          <w:rFonts w:eastAsia="Calibri"/>
          <w:i/>
          <w:iCs/>
        </w:rPr>
        <w:t xml:space="preserve">Registrar </w:t>
      </w:r>
      <w:r w:rsidR="443784C0" w:rsidRPr="14B3A08B">
        <w:rPr>
          <w:rFonts w:eastAsia="Calibri"/>
          <w:i/>
          <w:iCs/>
        </w:rPr>
        <w:t xml:space="preserve">correctamente </w:t>
      </w:r>
      <w:r w:rsidRPr="14B3A08B">
        <w:rPr>
          <w:rFonts w:eastAsia="Calibri"/>
          <w:i/>
          <w:iCs/>
        </w:rPr>
        <w:t>todos los hechos contables que se produzcan.</w:t>
      </w:r>
    </w:p>
    <w:p w14:paraId="39DB42C0" w14:textId="3B7C93C7" w:rsidR="00555F50" w:rsidRDefault="524B6CAE"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sidRPr="14B3A08B">
        <w:rPr>
          <w:rFonts w:eastAsia="Calibri"/>
          <w:i/>
          <w:iCs/>
        </w:rPr>
        <w:t xml:space="preserve">Realizar tareas de cuadre y </w:t>
      </w:r>
      <w:r w:rsidR="01F751E2" w:rsidRPr="14B3A08B">
        <w:rPr>
          <w:rFonts w:eastAsia="Calibri"/>
          <w:i/>
          <w:iCs/>
        </w:rPr>
        <w:t>conciliaciones previas</w:t>
      </w:r>
      <w:r w:rsidRPr="14B3A08B">
        <w:rPr>
          <w:rFonts w:eastAsia="Calibri"/>
          <w:i/>
          <w:iCs/>
        </w:rPr>
        <w:t xml:space="preserve"> a la formulación de cuentas anuales.</w:t>
      </w:r>
    </w:p>
    <w:p w14:paraId="04418D67" w14:textId="66A872A3" w:rsidR="00E137C0" w:rsidRDefault="00E137C0"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sidRPr="00E137C0">
        <w:rPr>
          <w:rFonts w:eastAsia="Calibri"/>
          <w:i/>
          <w:iCs/>
        </w:rPr>
        <w:t>Resolver las disfunciones de la aplicación informática utilizada par</w:t>
      </w:r>
      <w:r>
        <w:rPr>
          <w:rFonts w:eastAsia="Calibri"/>
          <w:i/>
          <w:iCs/>
        </w:rPr>
        <w:t>a la contabilidad para f</w:t>
      </w:r>
      <w:r w:rsidR="2CB428A2" w:rsidRPr="00E137C0">
        <w:rPr>
          <w:rFonts w:eastAsia="Calibri"/>
          <w:i/>
          <w:iCs/>
        </w:rPr>
        <w:t>ormular</w:t>
      </w:r>
      <w:r w:rsidR="4C13BFE4" w:rsidRPr="00E137C0">
        <w:rPr>
          <w:rFonts w:eastAsia="Calibri"/>
          <w:i/>
          <w:iCs/>
        </w:rPr>
        <w:t xml:space="preserve"> la cuenta de pérdidas y ganancias </w:t>
      </w:r>
      <w:r w:rsidR="375E47C2" w:rsidRPr="00E137C0">
        <w:rPr>
          <w:rFonts w:eastAsia="Calibri"/>
          <w:i/>
          <w:iCs/>
        </w:rPr>
        <w:t xml:space="preserve">y </w:t>
      </w:r>
      <w:r w:rsidR="4C13BFE4" w:rsidRPr="00E137C0">
        <w:rPr>
          <w:rFonts w:eastAsia="Calibri"/>
          <w:i/>
          <w:iCs/>
        </w:rPr>
        <w:t>el balance de situación</w:t>
      </w:r>
      <w:r w:rsidR="00E47E55">
        <w:rPr>
          <w:rFonts w:eastAsia="Calibri"/>
          <w:i/>
          <w:iCs/>
        </w:rPr>
        <w:t>,</w:t>
      </w:r>
      <w:r w:rsidR="4C13BFE4" w:rsidRPr="00E137C0">
        <w:rPr>
          <w:rFonts w:eastAsia="Calibri"/>
          <w:i/>
          <w:iCs/>
        </w:rPr>
        <w:t xml:space="preserve"> </w:t>
      </w:r>
      <w:r w:rsidR="23B1DCBF" w:rsidRPr="00E137C0">
        <w:rPr>
          <w:rFonts w:eastAsia="Calibri"/>
          <w:i/>
          <w:iCs/>
        </w:rPr>
        <w:t>conforme a</w:t>
      </w:r>
      <w:r w:rsidR="02F76D5A" w:rsidRPr="00E137C0">
        <w:rPr>
          <w:rFonts w:eastAsia="Calibri"/>
          <w:i/>
          <w:iCs/>
        </w:rPr>
        <w:t>l marco de información financiera</w:t>
      </w:r>
      <w:r>
        <w:rPr>
          <w:rFonts w:eastAsia="Calibri"/>
          <w:i/>
          <w:iCs/>
        </w:rPr>
        <w:t xml:space="preserve"> con el fin de que </w:t>
      </w:r>
      <w:r w:rsidR="4C13BFE4" w:rsidRPr="00E137C0">
        <w:rPr>
          <w:rFonts w:eastAsia="Calibri"/>
          <w:i/>
          <w:iCs/>
        </w:rPr>
        <w:t>reflejen la realidad de la entidad</w:t>
      </w:r>
      <w:r>
        <w:rPr>
          <w:rFonts w:eastAsia="Calibri"/>
          <w:i/>
          <w:iCs/>
        </w:rPr>
        <w:t>.</w:t>
      </w:r>
    </w:p>
    <w:p w14:paraId="6C803A79" w14:textId="53A6800E" w:rsidR="004605A2" w:rsidRPr="004605A2" w:rsidRDefault="004605A2" w:rsidP="0032304B">
      <w:pPr>
        <w:pStyle w:val="atitulo3"/>
        <w:spacing w:before="240"/>
      </w:pPr>
      <w:r w:rsidRPr="004605A2">
        <w:t>Control interno</w:t>
      </w:r>
    </w:p>
    <w:p w14:paraId="5890AF91" w14:textId="77777777" w:rsidR="004605A2" w:rsidRDefault="004605A2"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sidRPr="14B3A08B">
        <w:rPr>
          <w:rFonts w:eastAsia="Calibri"/>
          <w:i/>
          <w:iCs/>
        </w:rPr>
        <w:t>Velar por el cumplimiento del Reglamento Interno ejerciendo los órganos de la entidad todas las funciones que tienen asignadas.</w:t>
      </w:r>
    </w:p>
    <w:p w14:paraId="7743C3A9" w14:textId="08A3E962" w:rsidR="26D12966" w:rsidRDefault="26D12966"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sidRPr="14B3A08B">
        <w:rPr>
          <w:rFonts w:eastAsia="Calibri"/>
          <w:i/>
          <w:iCs/>
        </w:rPr>
        <w:t>Implantar la firma mancomunada para la realización de pagos.</w:t>
      </w:r>
    </w:p>
    <w:p w14:paraId="0E05107F" w14:textId="7AC530DA" w:rsidR="1DB45D65" w:rsidRPr="004605A2" w:rsidRDefault="1DB45D65"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sidRPr="004605A2">
        <w:rPr>
          <w:rFonts w:eastAsia="Calibri"/>
          <w:i/>
          <w:iCs/>
        </w:rPr>
        <w:t>Revisar y actualizar el censo de entidades miembros del CJN según la normativa vigente</w:t>
      </w:r>
      <w:r w:rsidR="004605A2">
        <w:rPr>
          <w:rFonts w:eastAsia="Calibri"/>
          <w:i/>
          <w:iCs/>
        </w:rPr>
        <w:t>.</w:t>
      </w:r>
    </w:p>
    <w:p w14:paraId="3868BFAD" w14:textId="017ED0FB" w:rsidR="00E137C0" w:rsidRDefault="00E137C0"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Pr>
          <w:rFonts w:eastAsia="Calibri"/>
          <w:i/>
          <w:iCs/>
        </w:rPr>
        <w:t>Aprobar los estados contables formulados en las asambleas anuales que se celebren.</w:t>
      </w:r>
    </w:p>
    <w:p w14:paraId="3B3FED3B" w14:textId="35271BF8" w:rsidR="1DB45D65" w:rsidRPr="004605A2" w:rsidRDefault="1DB45D65"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sidRPr="004605A2">
        <w:rPr>
          <w:rFonts w:eastAsia="Calibri"/>
          <w:i/>
          <w:iCs/>
        </w:rPr>
        <w:t>En caso de que se vuelva a aprobar una compensación o indemnización por el ejercicio de cargos electos, no realizar las mismas como un pago de salarios derivados de una contratación de carácter laboral.</w:t>
      </w:r>
    </w:p>
    <w:p w14:paraId="1F93D63F" w14:textId="77777777" w:rsidR="00BE6985" w:rsidRDefault="1DB45D65"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sidRPr="004605A2">
        <w:rPr>
          <w:rFonts w:eastAsia="Calibri"/>
          <w:i/>
          <w:iCs/>
        </w:rPr>
        <w:t>Cumplir con los requerimientos sobre publicidad establecidos en la Ley Foral 5/2018, de 17 de mayo, de Transparencia, acceso a la información pública y buen gobierno.</w:t>
      </w:r>
    </w:p>
    <w:p w14:paraId="35706DA6" w14:textId="65CCEF2C" w:rsidR="00A4193C" w:rsidRDefault="004605A2"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sidRPr="00BE6985">
        <w:rPr>
          <w:rFonts w:eastAsia="Calibri"/>
          <w:i/>
          <w:iCs/>
        </w:rPr>
        <w:t xml:space="preserve">Presentar todos los gastos que sean susceptibles de financiación a la justificación de las subvenciones recibidas. </w:t>
      </w:r>
    </w:p>
    <w:p w14:paraId="739999D0" w14:textId="67304D41" w:rsidR="75F80C93" w:rsidRPr="004605A2" w:rsidRDefault="75F80C93" w:rsidP="0032304B">
      <w:pPr>
        <w:pStyle w:val="atitulo3"/>
        <w:spacing w:before="240"/>
      </w:pPr>
      <w:r w:rsidRPr="004605A2">
        <w:lastRenderedPageBreak/>
        <w:t>Financiación</w:t>
      </w:r>
    </w:p>
    <w:p w14:paraId="0000AA73" w14:textId="257AE95F" w:rsidR="003C6BFA" w:rsidRPr="00702FE8" w:rsidRDefault="4C13BFE4"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eastAsia="Calibri"/>
          <w:i/>
          <w:iCs/>
        </w:rPr>
      </w:pPr>
      <w:r w:rsidRPr="14B3A08B">
        <w:rPr>
          <w:rFonts w:eastAsia="Calibri"/>
          <w:i/>
          <w:iCs/>
        </w:rPr>
        <w:t xml:space="preserve">Aprobar y exigir el cobro </w:t>
      </w:r>
      <w:r w:rsidR="1D7ADBE0" w:rsidRPr="14B3A08B">
        <w:rPr>
          <w:rFonts w:eastAsia="Calibri"/>
          <w:i/>
          <w:iCs/>
        </w:rPr>
        <w:t>de cuotas</w:t>
      </w:r>
      <w:r w:rsidRPr="14B3A08B">
        <w:rPr>
          <w:rFonts w:eastAsia="Calibri"/>
          <w:i/>
          <w:iCs/>
        </w:rPr>
        <w:t xml:space="preserve"> a los miembros de la entidad.</w:t>
      </w:r>
    </w:p>
    <w:p w14:paraId="26E853E6" w14:textId="39504FE6" w:rsidR="00744767" w:rsidRDefault="443784C0" w:rsidP="00615481">
      <w:pPr>
        <w:pStyle w:val="texto"/>
        <w:numPr>
          <w:ilvl w:val="0"/>
          <w:numId w:val="3"/>
        </w:numPr>
        <w:tabs>
          <w:tab w:val="clear" w:pos="2835"/>
          <w:tab w:val="clear" w:pos="3969"/>
          <w:tab w:val="clear" w:pos="5103"/>
          <w:tab w:val="clear" w:pos="6237"/>
          <w:tab w:val="clear" w:pos="7371"/>
          <w:tab w:val="num" w:pos="300"/>
          <w:tab w:val="left" w:pos="480"/>
          <w:tab w:val="num" w:pos="600"/>
        </w:tabs>
        <w:ind w:left="0" w:firstLine="284"/>
        <w:rPr>
          <w:rFonts w:cs="Arial"/>
          <w:i/>
          <w:iCs/>
        </w:rPr>
      </w:pPr>
      <w:r w:rsidRPr="14B3A08B">
        <w:rPr>
          <w:rFonts w:cs="Arial"/>
          <w:i/>
          <w:iCs/>
        </w:rPr>
        <w:t>Negociar líneas de crédito con entidades bancarias para solventar los problemas de liquidez debidos al desfase temporal de gastos e ingresos</w:t>
      </w:r>
      <w:r w:rsidR="524B6CAE" w:rsidRPr="14B3A08B">
        <w:rPr>
          <w:rFonts w:cs="Arial"/>
          <w:i/>
          <w:iCs/>
        </w:rPr>
        <w:t>.</w:t>
      </w:r>
    </w:p>
    <w:p w14:paraId="1C215F89" w14:textId="077B0818" w:rsidR="004712A4" w:rsidRPr="00BB60F4" w:rsidRDefault="004712A4" w:rsidP="002D6603">
      <w:pPr>
        <w:pStyle w:val="texto"/>
        <w:spacing w:before="240"/>
      </w:pPr>
      <w:r w:rsidRPr="00BB60F4">
        <w:t>Informe que se emite a propuesta de la auditora Karen Moreno Orduña, responsable de la realización de este trabajo, una vez cumplimentados los trámites previstos por la normativa vigente.</w:t>
      </w:r>
    </w:p>
    <w:p w14:paraId="63F542F1" w14:textId="437F30CF" w:rsidR="00702FE8" w:rsidRDefault="00702FE8" w:rsidP="00702FE8">
      <w:pPr>
        <w:pStyle w:val="texto"/>
        <w:tabs>
          <w:tab w:val="clear" w:pos="2835"/>
          <w:tab w:val="clear" w:pos="3969"/>
          <w:tab w:val="clear" w:pos="5103"/>
          <w:tab w:val="clear" w:pos="6237"/>
          <w:tab w:val="clear" w:pos="7371"/>
          <w:tab w:val="left" w:pos="480"/>
        </w:tabs>
        <w:rPr>
          <w:rFonts w:cs="Arial"/>
          <w:i/>
        </w:rPr>
      </w:pPr>
    </w:p>
    <w:p w14:paraId="01804F44" w14:textId="77777777" w:rsidR="00702FE8" w:rsidRDefault="00702FE8" w:rsidP="00702FE8">
      <w:pPr>
        <w:pStyle w:val="texto"/>
        <w:tabs>
          <w:tab w:val="clear" w:pos="2835"/>
          <w:tab w:val="clear" w:pos="3969"/>
          <w:tab w:val="clear" w:pos="5103"/>
          <w:tab w:val="clear" w:pos="6237"/>
          <w:tab w:val="clear" w:pos="7371"/>
          <w:tab w:val="left" w:pos="480"/>
        </w:tabs>
        <w:rPr>
          <w:rFonts w:cs="Arial"/>
          <w:i/>
        </w:rPr>
      </w:pPr>
    </w:p>
    <w:p w14:paraId="26EA0F88" w14:textId="26DAFBA7" w:rsidR="005E5E2D" w:rsidRPr="00702FE8" w:rsidRDefault="00702FE8" w:rsidP="000A3E69">
      <w:pPr>
        <w:spacing w:before="120" w:after="120"/>
        <w:ind w:firstLine="284"/>
        <w:jc w:val="center"/>
        <w:rPr>
          <w:rFonts w:ascii="Arial" w:hAnsi="Arial"/>
          <w:b/>
          <w:i/>
          <w:color w:val="000000"/>
          <w:kern w:val="28"/>
          <w:sz w:val="24"/>
          <w:szCs w:val="24"/>
        </w:rPr>
      </w:pPr>
      <w:r w:rsidRPr="00702FE8">
        <w:rPr>
          <w:i/>
          <w:sz w:val="24"/>
          <w:szCs w:val="24"/>
        </w:rPr>
        <w:t xml:space="preserve">(Documento firmado digitalmente por </w:t>
      </w:r>
      <w:r w:rsidR="00DA035A">
        <w:rPr>
          <w:i/>
          <w:sz w:val="24"/>
          <w:szCs w:val="24"/>
        </w:rPr>
        <w:t>el presidente</w:t>
      </w:r>
      <w:r w:rsidRPr="00702FE8">
        <w:rPr>
          <w:i/>
          <w:sz w:val="24"/>
          <w:szCs w:val="24"/>
        </w:rPr>
        <w:t xml:space="preserve">, </w:t>
      </w:r>
      <w:r w:rsidR="00DA035A">
        <w:rPr>
          <w:i/>
          <w:sz w:val="24"/>
          <w:szCs w:val="24"/>
        </w:rPr>
        <w:t>Ignacio Cabeza del Salvador</w:t>
      </w:r>
      <w:r w:rsidRPr="00702FE8">
        <w:rPr>
          <w:i/>
          <w:sz w:val="24"/>
          <w:szCs w:val="24"/>
        </w:rPr>
        <w:t>, en la fecha indicada al margen)</w:t>
      </w:r>
      <w:r w:rsidR="005E5E2D" w:rsidRPr="00702FE8">
        <w:rPr>
          <w:i/>
          <w:sz w:val="24"/>
          <w:szCs w:val="24"/>
        </w:rPr>
        <w:br w:type="page"/>
      </w:r>
    </w:p>
    <w:p w14:paraId="52562ABC" w14:textId="64B00314" w:rsidR="00B80751" w:rsidRPr="00702FE8" w:rsidRDefault="00E92B02" w:rsidP="00702FE8">
      <w:pPr>
        <w:pStyle w:val="atitulo1"/>
      </w:pPr>
      <w:bookmarkStart w:id="24" w:name="_Toc153454658"/>
      <w:r w:rsidRPr="00702FE8">
        <w:lastRenderedPageBreak/>
        <w:t xml:space="preserve">Apéndice 1. </w:t>
      </w:r>
      <w:r w:rsidR="005E5E2D" w:rsidRPr="00702FE8">
        <w:t>Marco normativo regulador</w:t>
      </w:r>
      <w:bookmarkEnd w:id="24"/>
      <w:r w:rsidR="00B80751" w:rsidRPr="00702FE8">
        <w:t xml:space="preserve"> </w:t>
      </w:r>
      <w:bookmarkEnd w:id="21"/>
    </w:p>
    <w:p w14:paraId="0DECD0A1" w14:textId="233D64FD" w:rsidR="000A3E69" w:rsidRDefault="000A3E69" w:rsidP="00702FE8">
      <w:pPr>
        <w:pStyle w:val="texto"/>
      </w:pPr>
      <w:r>
        <w:t>El principal marco normativo aplicable al CJN es, entre otro, el siguiente:</w:t>
      </w:r>
    </w:p>
    <w:p w14:paraId="7E353FA4" w14:textId="0F6AB81C" w:rsidR="00402DA0" w:rsidRDefault="7E2C877E" w:rsidP="00615481">
      <w:pPr>
        <w:pStyle w:val="texto"/>
        <w:numPr>
          <w:ilvl w:val="0"/>
          <w:numId w:val="5"/>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1E4C4DC6">
        <w:rPr>
          <w:rFonts w:cs="Arial"/>
        </w:rPr>
        <w:t>Ley Foral 11/2005, de 9 de noviembre, de Subvenciones.</w:t>
      </w:r>
    </w:p>
    <w:p w14:paraId="257A7218" w14:textId="7ADF15BD" w:rsidR="00402DA0" w:rsidRDefault="00402DA0" w:rsidP="00615481">
      <w:pPr>
        <w:pStyle w:val="texto"/>
        <w:numPr>
          <w:ilvl w:val="0"/>
          <w:numId w:val="5"/>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1E4C4DC6">
        <w:rPr>
          <w:rFonts w:cs="Arial"/>
        </w:rPr>
        <w:t>Ley Foral 11/2011, de 1 de abril, de Juventud.</w:t>
      </w:r>
    </w:p>
    <w:p w14:paraId="33547363" w14:textId="123C040F" w:rsidR="00CA06A6" w:rsidRDefault="00CA06A6" w:rsidP="00615481">
      <w:pPr>
        <w:pStyle w:val="texto"/>
        <w:numPr>
          <w:ilvl w:val="0"/>
          <w:numId w:val="5"/>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1E4C4DC6">
        <w:rPr>
          <w:rFonts w:cs="Arial"/>
        </w:rPr>
        <w:t xml:space="preserve">Ley Foral 5/2018, </w:t>
      </w:r>
      <w:r>
        <w:t>de 17 de mayo, de Transparencia, acceso a la información pública y buen gobierno.</w:t>
      </w:r>
    </w:p>
    <w:p w14:paraId="4E7742EA" w14:textId="3E17EB7E" w:rsidR="00402DA0" w:rsidRDefault="00402DA0" w:rsidP="00615481">
      <w:pPr>
        <w:pStyle w:val="texto"/>
        <w:numPr>
          <w:ilvl w:val="0"/>
          <w:numId w:val="5"/>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 xml:space="preserve">Decreto Foral 110/1986, de 18 de abril, por el que se crea el Consejo de la Juventud de la Comunidad Foral de Navarra. </w:t>
      </w:r>
    </w:p>
    <w:p w14:paraId="36B2215B" w14:textId="3080365A" w:rsidR="00402DA0" w:rsidRPr="00555F50" w:rsidRDefault="00402DA0" w:rsidP="00615481">
      <w:pPr>
        <w:pStyle w:val="texto"/>
        <w:numPr>
          <w:ilvl w:val="0"/>
          <w:numId w:val="5"/>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00555F50">
        <w:rPr>
          <w:rFonts w:cs="Arial"/>
        </w:rPr>
        <w:t>Decreto Foral 53/2023, de 21 de junio, por el que se establece la composición, organización y funcionamiento del Consejo de la Juventud de Navarra.</w:t>
      </w:r>
    </w:p>
    <w:p w14:paraId="1C8E1C4F" w14:textId="5E607656" w:rsidR="00402DA0" w:rsidRPr="00402DA0" w:rsidRDefault="00402DA0" w:rsidP="00615481">
      <w:pPr>
        <w:pStyle w:val="texto"/>
        <w:numPr>
          <w:ilvl w:val="0"/>
          <w:numId w:val="5"/>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Pr>
          <w:rFonts w:cs="Arial"/>
        </w:rPr>
        <w:t>Reglamento interno y reglamento de las asambleas aprobado en 2015.</w:t>
      </w:r>
    </w:p>
    <w:p w14:paraId="3ED49A13" w14:textId="23C11C1C" w:rsidR="00402DA0" w:rsidRPr="00402DA0" w:rsidRDefault="00402DA0" w:rsidP="00615481">
      <w:pPr>
        <w:pStyle w:val="texto"/>
        <w:numPr>
          <w:ilvl w:val="0"/>
          <w:numId w:val="5"/>
        </w:numPr>
        <w:tabs>
          <w:tab w:val="clear" w:pos="2835"/>
          <w:tab w:val="clear" w:pos="3969"/>
          <w:tab w:val="clear" w:pos="5103"/>
          <w:tab w:val="clear" w:pos="6237"/>
          <w:tab w:val="clear" w:pos="7371"/>
          <w:tab w:val="num" w:pos="300"/>
          <w:tab w:val="num" w:pos="360"/>
          <w:tab w:val="left" w:pos="480"/>
          <w:tab w:val="num" w:pos="600"/>
          <w:tab w:val="num" w:pos="720"/>
          <w:tab w:val="num" w:pos="1320"/>
          <w:tab w:val="num" w:pos="2062"/>
          <w:tab w:val="num" w:pos="4472"/>
        </w:tabs>
        <w:ind w:left="0" w:firstLine="289"/>
        <w:rPr>
          <w:rFonts w:cs="Arial"/>
        </w:rPr>
      </w:pPr>
      <w:r w:rsidRPr="2B7CE711">
        <w:rPr>
          <w:rFonts w:cs="Arial"/>
        </w:rPr>
        <w:t>Convenio extraestatutario del Consejo de la Juventud de Nava</w:t>
      </w:r>
      <w:r w:rsidR="00F36FC1">
        <w:rPr>
          <w:rFonts w:cs="Arial"/>
        </w:rPr>
        <w:t>rra aprobado en febrero de 2019 y renovado en septiembre de 2022.</w:t>
      </w:r>
    </w:p>
    <w:p w14:paraId="0557FE5A" w14:textId="77777777" w:rsidR="00402DA0" w:rsidRDefault="00402DA0" w:rsidP="000A3E69">
      <w:pPr>
        <w:spacing w:after="0"/>
        <w:ind w:firstLine="284"/>
        <w:rPr>
          <w:spacing w:val="6"/>
          <w:sz w:val="26"/>
          <w:szCs w:val="24"/>
        </w:rPr>
      </w:pPr>
    </w:p>
    <w:p w14:paraId="235AC003" w14:textId="77777777" w:rsidR="000A3E69" w:rsidRDefault="000A3E69" w:rsidP="000A3E69">
      <w:pPr>
        <w:spacing w:after="0"/>
        <w:ind w:firstLine="284"/>
        <w:rPr>
          <w:spacing w:val="6"/>
          <w:sz w:val="26"/>
          <w:szCs w:val="24"/>
        </w:rPr>
      </w:pPr>
    </w:p>
    <w:p w14:paraId="7020C707" w14:textId="77777777" w:rsidR="005E5E2D" w:rsidRPr="00402DA0" w:rsidRDefault="005E5E2D" w:rsidP="00615481">
      <w:pPr>
        <w:pStyle w:val="Prrafodelista"/>
        <w:numPr>
          <w:ilvl w:val="0"/>
          <w:numId w:val="6"/>
        </w:numPr>
        <w:spacing w:after="0"/>
        <w:jc w:val="left"/>
        <w:rPr>
          <w:rFonts w:ascii="Arial" w:hAnsi="Arial"/>
          <w:b/>
          <w:color w:val="000000"/>
          <w:kern w:val="28"/>
          <w:sz w:val="25"/>
          <w:szCs w:val="26"/>
        </w:rPr>
      </w:pPr>
      <w:r>
        <w:br w:type="page"/>
      </w:r>
    </w:p>
    <w:p w14:paraId="21071984" w14:textId="267A5897" w:rsidR="00E41E7F" w:rsidRDefault="00E41E7F" w:rsidP="00D17FD1">
      <w:pPr>
        <w:pStyle w:val="atitulo1"/>
      </w:pPr>
      <w:bookmarkStart w:id="25" w:name="_Toc153454659"/>
      <w:r w:rsidRPr="00E41E7F">
        <w:lastRenderedPageBreak/>
        <w:t xml:space="preserve">Anexo </w:t>
      </w:r>
      <w:r w:rsidR="00D17FD1">
        <w:t>1</w:t>
      </w:r>
      <w:r w:rsidRPr="00E41E7F">
        <w:t xml:space="preserve">. </w:t>
      </w:r>
      <w:r>
        <w:t xml:space="preserve">Actividades llevadas a cabo por el </w:t>
      </w:r>
      <w:r w:rsidR="00D17FD1">
        <w:t>Consejo de la Juventud</w:t>
      </w:r>
      <w:r>
        <w:t xml:space="preserve"> </w:t>
      </w:r>
      <w:r w:rsidR="00150D66">
        <w:t>de Navarra (2019-2022)</w:t>
      </w:r>
      <w:bookmarkEnd w:id="25"/>
    </w:p>
    <w:p w14:paraId="585D352F" w14:textId="77777777" w:rsidR="00150D66" w:rsidRPr="00150D66" w:rsidRDefault="00150D66" w:rsidP="00150D66">
      <w:pPr>
        <w:pStyle w:val="texto"/>
        <w:spacing w:before="240" w:after="120"/>
        <w:ind w:firstLine="0"/>
        <w:rPr>
          <w:rFonts w:ascii="Arial" w:hAnsi="Arial" w:cs="Arial"/>
          <w:sz w:val="25"/>
          <w:szCs w:val="25"/>
        </w:rPr>
      </w:pPr>
      <w:r w:rsidRPr="00150D66">
        <w:rPr>
          <w:rFonts w:ascii="Arial" w:hAnsi="Arial" w:cs="Arial"/>
          <w:sz w:val="25"/>
          <w:szCs w:val="25"/>
        </w:rPr>
        <w:t>Actividades de 2019 según la memoria del CJN</w:t>
      </w:r>
    </w:p>
    <w:p w14:paraId="0ACE3E7E" w14:textId="77777777" w:rsidR="00150D66" w:rsidRPr="00156997"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szCs w:val="26"/>
        </w:rPr>
      </w:pPr>
      <w:r w:rsidRPr="00156997">
        <w:rPr>
          <w:szCs w:val="26"/>
        </w:rPr>
        <w:t>Participación y asociacionismo</w:t>
      </w:r>
      <w:r>
        <w:rPr>
          <w:szCs w:val="26"/>
        </w:rPr>
        <w:t>:</w:t>
      </w:r>
    </w:p>
    <w:p w14:paraId="25402943" w14:textId="77777777" w:rsidR="00150D66" w:rsidRPr="00156997" w:rsidRDefault="00150D66" w:rsidP="002A4390">
      <w:pPr>
        <w:pStyle w:val="paragraph"/>
        <w:numPr>
          <w:ilvl w:val="1"/>
          <w:numId w:val="3"/>
        </w:numPr>
        <w:tabs>
          <w:tab w:val="left" w:pos="567"/>
        </w:tabs>
        <w:spacing w:before="0" w:beforeAutospacing="0" w:after="140" w:afterAutospacing="0"/>
        <w:ind w:left="0" w:firstLine="284"/>
        <w:jc w:val="both"/>
        <w:textAlignment w:val="baseline"/>
        <w:rPr>
          <w:rFonts w:eastAsia="Calibri"/>
          <w:sz w:val="26"/>
          <w:szCs w:val="26"/>
        </w:rPr>
      </w:pPr>
      <w:r>
        <w:rPr>
          <w:rFonts w:eastAsia="Calibri"/>
          <w:sz w:val="26"/>
          <w:szCs w:val="26"/>
        </w:rPr>
        <w:t xml:space="preserve">Proyecto </w:t>
      </w:r>
      <w:r w:rsidRPr="002A4390">
        <w:rPr>
          <w:rStyle w:val="normaltextrun"/>
          <w:rFonts w:eastAsia="Calibri"/>
        </w:rPr>
        <w:t>Juventud</w:t>
      </w:r>
      <w:r>
        <w:rPr>
          <w:rFonts w:eastAsia="Calibri"/>
          <w:sz w:val="26"/>
          <w:szCs w:val="26"/>
        </w:rPr>
        <w:t xml:space="preserve"> y políticos: ¿hablamos?</w:t>
      </w:r>
    </w:p>
    <w:p w14:paraId="297BBFBD" w14:textId="77777777" w:rsidR="00150D66" w:rsidRPr="00156997" w:rsidRDefault="00150D66" w:rsidP="002A4390">
      <w:pPr>
        <w:pStyle w:val="paragraph"/>
        <w:numPr>
          <w:ilvl w:val="1"/>
          <w:numId w:val="3"/>
        </w:numPr>
        <w:tabs>
          <w:tab w:val="left" w:pos="567"/>
        </w:tabs>
        <w:spacing w:before="0" w:beforeAutospacing="0" w:after="140" w:afterAutospacing="0"/>
        <w:ind w:left="0" w:firstLine="284"/>
        <w:jc w:val="both"/>
        <w:textAlignment w:val="baseline"/>
        <w:rPr>
          <w:rFonts w:eastAsia="Calibri"/>
          <w:sz w:val="26"/>
          <w:szCs w:val="26"/>
        </w:rPr>
      </w:pPr>
      <w:r w:rsidRPr="00156997">
        <w:rPr>
          <w:rFonts w:eastAsia="Calibri"/>
          <w:sz w:val="26"/>
          <w:szCs w:val="26"/>
        </w:rPr>
        <w:t>Redes de cooperación juvenil transfronteriza</w:t>
      </w:r>
      <w:r>
        <w:rPr>
          <w:rFonts w:eastAsia="Calibri"/>
          <w:sz w:val="26"/>
          <w:szCs w:val="26"/>
        </w:rPr>
        <w:t xml:space="preserve"> para</w:t>
      </w:r>
      <w:r w:rsidRPr="00156997">
        <w:rPr>
          <w:rFonts w:eastAsia="Calibri"/>
          <w:sz w:val="26"/>
          <w:szCs w:val="26"/>
        </w:rPr>
        <w:t xml:space="preserve"> generar foros de debate con personas jóvenes de la eurorregión Nueva Aquitania.</w:t>
      </w:r>
      <w:r>
        <w:rPr>
          <w:rFonts w:eastAsia="Calibri"/>
          <w:sz w:val="26"/>
          <w:szCs w:val="26"/>
        </w:rPr>
        <w:t xml:space="preserve"> En esta red p</w:t>
      </w:r>
      <w:r w:rsidRPr="00156997">
        <w:rPr>
          <w:rFonts w:eastAsia="Calibri"/>
          <w:sz w:val="26"/>
          <w:szCs w:val="26"/>
        </w:rPr>
        <w:t xml:space="preserve">articipan </w:t>
      </w:r>
      <w:r>
        <w:rPr>
          <w:rFonts w:eastAsia="Calibri"/>
          <w:sz w:val="26"/>
          <w:szCs w:val="26"/>
        </w:rPr>
        <w:t>cuatro</w:t>
      </w:r>
      <w:r w:rsidRPr="00156997">
        <w:rPr>
          <w:rFonts w:eastAsia="Calibri"/>
          <w:sz w:val="26"/>
          <w:szCs w:val="26"/>
        </w:rPr>
        <w:t xml:space="preserve"> entidades. </w:t>
      </w:r>
    </w:p>
    <w:p w14:paraId="0B778BAE" w14:textId="77777777" w:rsidR="00150D66" w:rsidRPr="00156997" w:rsidRDefault="00150D66" w:rsidP="002A4390">
      <w:pPr>
        <w:pStyle w:val="paragraph"/>
        <w:numPr>
          <w:ilvl w:val="1"/>
          <w:numId w:val="3"/>
        </w:numPr>
        <w:tabs>
          <w:tab w:val="left" w:pos="567"/>
        </w:tabs>
        <w:spacing w:before="0" w:beforeAutospacing="0" w:after="140" w:afterAutospacing="0"/>
        <w:ind w:left="0" w:firstLine="284"/>
        <w:jc w:val="both"/>
        <w:textAlignment w:val="baseline"/>
        <w:rPr>
          <w:rFonts w:eastAsia="Calibri"/>
          <w:sz w:val="26"/>
          <w:szCs w:val="26"/>
        </w:rPr>
      </w:pPr>
      <w:r w:rsidRPr="00156997">
        <w:rPr>
          <w:rFonts w:eastAsia="Calibri"/>
          <w:sz w:val="26"/>
          <w:szCs w:val="26"/>
        </w:rPr>
        <w:t>Bolsa de formación: Celebración de cuatro formaciones dirigidas a entidades y personal técnico que trabaja con juventud de variada temática: igualdad, comunicación en lengua de signos, realidad LGTBI+, gestión de participación y relevo en las asociaciones. Asistieron 62 jóvenes de 16 asociaciones</w:t>
      </w:r>
      <w:r>
        <w:rPr>
          <w:rFonts w:eastAsia="Calibri"/>
          <w:sz w:val="26"/>
          <w:szCs w:val="26"/>
        </w:rPr>
        <w:t>.</w:t>
      </w:r>
    </w:p>
    <w:p w14:paraId="043659C5" w14:textId="63D37F57" w:rsidR="00150D66" w:rsidRPr="00156997" w:rsidRDefault="00130467"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szCs w:val="26"/>
        </w:rPr>
      </w:pPr>
      <w:proofErr w:type="gramStart"/>
      <w:r w:rsidRPr="00C335C7">
        <w:rPr>
          <w:rFonts w:eastAsia="Calibri"/>
        </w:rPr>
        <w:t>Mesa de asociaciones de ocio y tiempo libre YAJAI!</w:t>
      </w:r>
      <w:proofErr w:type="gramEnd"/>
      <w:r w:rsidRPr="00C335C7">
        <w:rPr>
          <w:rFonts w:eastAsia="Calibri"/>
        </w:rPr>
        <w:t xml:space="preserve"> </w:t>
      </w:r>
      <w:r w:rsidR="00150D66" w:rsidRPr="00156997">
        <w:rPr>
          <w:szCs w:val="26"/>
        </w:rPr>
        <w:t xml:space="preserve"> constituida con el objetivo de fortalecer y fomentar la relación entre asociaciones y aumentar su visibilidad. Participaron 11 asociaciones</w:t>
      </w:r>
      <w:r w:rsidR="00150D66">
        <w:rPr>
          <w:szCs w:val="26"/>
        </w:rPr>
        <w:t>.</w:t>
      </w:r>
    </w:p>
    <w:p w14:paraId="341E9FF3" w14:textId="77777777" w:rsidR="00150D66"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Relación</w:t>
      </w:r>
      <w:r w:rsidRPr="00156997">
        <w:rPr>
          <w:szCs w:val="26"/>
        </w:rPr>
        <w:t xml:space="preserve"> con las asociaciones miembro: </w:t>
      </w:r>
      <w:r>
        <w:rPr>
          <w:szCs w:val="26"/>
        </w:rPr>
        <w:t>nueve</w:t>
      </w:r>
      <w:r w:rsidRPr="00156997">
        <w:rPr>
          <w:szCs w:val="26"/>
        </w:rPr>
        <w:t xml:space="preserve"> </w:t>
      </w:r>
      <w:proofErr w:type="spellStart"/>
      <w:r w:rsidRPr="00156997">
        <w:rPr>
          <w:szCs w:val="26"/>
        </w:rPr>
        <w:t>Newsletter</w:t>
      </w:r>
      <w:proofErr w:type="spellEnd"/>
      <w:r w:rsidRPr="00156997">
        <w:rPr>
          <w:szCs w:val="26"/>
        </w:rPr>
        <w:t xml:space="preserve"> enviadas, 25 visitas a 18 asociaciones, grupo de </w:t>
      </w:r>
      <w:proofErr w:type="spellStart"/>
      <w:r w:rsidRPr="00156997">
        <w:rPr>
          <w:szCs w:val="26"/>
        </w:rPr>
        <w:t>whatsapp</w:t>
      </w:r>
      <w:proofErr w:type="spellEnd"/>
      <w:r>
        <w:rPr>
          <w:szCs w:val="26"/>
        </w:rPr>
        <w:t xml:space="preserve"> activo con </w:t>
      </w:r>
      <w:r w:rsidRPr="00156997">
        <w:rPr>
          <w:szCs w:val="26"/>
        </w:rPr>
        <w:t>47 entidades e</w:t>
      </w:r>
      <w:r>
        <w:rPr>
          <w:szCs w:val="26"/>
        </w:rPr>
        <w:t>n el grupo, 40 mensajes del CJN y</w:t>
      </w:r>
      <w:r w:rsidRPr="00156997">
        <w:rPr>
          <w:szCs w:val="26"/>
        </w:rPr>
        <w:t xml:space="preserve"> 41</w:t>
      </w:r>
      <w:r>
        <w:rPr>
          <w:szCs w:val="26"/>
        </w:rPr>
        <w:t xml:space="preserve"> mensajes de asociaciones.</w:t>
      </w:r>
    </w:p>
    <w:p w14:paraId="15EB0EC3" w14:textId="77777777" w:rsidR="00150D66" w:rsidRPr="00A937C7"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Campaña</w:t>
      </w:r>
      <w:r w:rsidRPr="00A937C7">
        <w:rPr>
          <w:szCs w:val="26"/>
        </w:rPr>
        <w:t xml:space="preserve"> de salud sexual: colaboración con la Comisión Ciudadana Antisida, con financiación del Departamento de Salud del Gobierno de Navarra: distribución de material informativo y preventivo durante 29 fiestas y eventos.</w:t>
      </w:r>
    </w:p>
    <w:p w14:paraId="75A20E60" w14:textId="77777777" w:rsidR="00150D66" w:rsidRPr="00A937C7"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Participación</w:t>
      </w:r>
      <w:r w:rsidRPr="00A937C7">
        <w:rPr>
          <w:szCs w:val="26"/>
        </w:rPr>
        <w:t xml:space="preserve"> en el programa </w:t>
      </w:r>
      <w:proofErr w:type="spellStart"/>
      <w:r w:rsidRPr="00A937C7">
        <w:rPr>
          <w:szCs w:val="26"/>
        </w:rPr>
        <w:t>Gozamenez</w:t>
      </w:r>
      <w:proofErr w:type="spellEnd"/>
      <w:r w:rsidRPr="00A937C7">
        <w:rPr>
          <w:szCs w:val="26"/>
        </w:rPr>
        <w:t xml:space="preserve"> que cuenta con subvención y gestión específicas.</w:t>
      </w:r>
    </w:p>
    <w:p w14:paraId="650E7A46" w14:textId="77777777" w:rsidR="00150D66" w:rsidRPr="00156997"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szCs w:val="26"/>
        </w:rPr>
      </w:pPr>
      <w:r>
        <w:rPr>
          <w:szCs w:val="26"/>
        </w:rPr>
        <w:t>A</w:t>
      </w:r>
      <w:r w:rsidRPr="00156997">
        <w:rPr>
          <w:szCs w:val="26"/>
        </w:rPr>
        <w:t xml:space="preserve">cciones de asesoramiento e información: </w:t>
      </w:r>
      <w:r>
        <w:rPr>
          <w:szCs w:val="26"/>
        </w:rPr>
        <w:t xml:space="preserve">diez personas atendidas y seis </w:t>
      </w:r>
      <w:r w:rsidRPr="00156997">
        <w:rPr>
          <w:szCs w:val="26"/>
        </w:rPr>
        <w:t>talleres impartidos a 81 personas</w:t>
      </w:r>
      <w:r>
        <w:rPr>
          <w:szCs w:val="26"/>
        </w:rPr>
        <w:t>.</w:t>
      </w:r>
    </w:p>
    <w:p w14:paraId="7775C3F1" w14:textId="77777777" w:rsidR="00150D66"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Acompañamiento</w:t>
      </w:r>
      <w:r w:rsidRPr="00156997">
        <w:rPr>
          <w:szCs w:val="26"/>
        </w:rPr>
        <w:t xml:space="preserve"> a jóvenes en riesgo de exclusión social del IESO Pedro de Atarrabia: 23 personas atendidas</w:t>
      </w:r>
      <w:r>
        <w:rPr>
          <w:szCs w:val="26"/>
        </w:rPr>
        <w:t>.</w:t>
      </w:r>
    </w:p>
    <w:p w14:paraId="7BEADFB2" w14:textId="77777777" w:rsidR="00150D66" w:rsidRPr="00A937C7"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szCs w:val="26"/>
        </w:rPr>
      </w:pPr>
      <w:r w:rsidRPr="00A937C7">
        <w:rPr>
          <w:rFonts w:eastAsia="Calibri"/>
          <w:szCs w:val="26"/>
          <w:lang w:val="es-ES"/>
        </w:rPr>
        <w:t>Defensa de derechos laborales y sociales de la juventud: asesoramiento en conflictos laborales puntuales (</w:t>
      </w:r>
      <w:r w:rsidRPr="00A937C7">
        <w:rPr>
          <w:rFonts w:eastAsia="Calibri"/>
          <w:szCs w:val="26"/>
        </w:rPr>
        <w:t>cuatro</w:t>
      </w:r>
      <w:r w:rsidRPr="00A937C7">
        <w:rPr>
          <w:rFonts w:eastAsia="Calibri"/>
          <w:szCs w:val="26"/>
          <w:lang w:val="es-ES"/>
        </w:rPr>
        <w:t xml:space="preserve"> atenciones) y participación en el grupo de prácticas de la U</w:t>
      </w:r>
      <w:proofErr w:type="spellStart"/>
      <w:r w:rsidRPr="00A937C7">
        <w:rPr>
          <w:rFonts w:eastAsia="Calibri"/>
          <w:szCs w:val="26"/>
        </w:rPr>
        <w:t>niversidad</w:t>
      </w:r>
      <w:proofErr w:type="spellEnd"/>
      <w:r w:rsidRPr="00A937C7">
        <w:rPr>
          <w:rFonts w:eastAsia="Calibri"/>
          <w:szCs w:val="26"/>
        </w:rPr>
        <w:t xml:space="preserve"> Pública de Navarra.</w:t>
      </w:r>
    </w:p>
    <w:p w14:paraId="7C94A646" w14:textId="77777777" w:rsidR="00150D66" w:rsidRPr="00A937C7"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rFonts w:eastAsia="Calibri"/>
          <w:szCs w:val="26"/>
          <w:lang w:val="es-ES"/>
        </w:rPr>
      </w:pPr>
      <w:r w:rsidRPr="00C335C7">
        <w:rPr>
          <w:rFonts w:eastAsia="Calibri"/>
        </w:rPr>
        <w:t>Vivienda</w:t>
      </w:r>
      <w:r w:rsidRPr="00A937C7">
        <w:rPr>
          <w:rFonts w:eastAsia="Calibri"/>
          <w:szCs w:val="26"/>
          <w:lang w:val="es-ES"/>
        </w:rPr>
        <w:t xml:space="preserve"> y emancipación juvenil: asesoramiento sobre las ayudas al alquiler </w:t>
      </w:r>
      <w:proofErr w:type="spellStart"/>
      <w:r w:rsidRPr="00A937C7">
        <w:rPr>
          <w:rFonts w:eastAsia="Calibri"/>
          <w:szCs w:val="26"/>
          <w:lang w:val="es-ES"/>
        </w:rPr>
        <w:t>Emanzipa</w:t>
      </w:r>
      <w:proofErr w:type="spellEnd"/>
      <w:r w:rsidRPr="00A937C7">
        <w:rPr>
          <w:rFonts w:eastAsia="Calibri"/>
          <w:szCs w:val="26"/>
          <w:lang w:val="es-ES"/>
        </w:rPr>
        <w:t xml:space="preserve"> (personas nacidas en 1190 a 1996) y David (familias/personas con menores a su cargo) con un total de 95 personas atendidas.</w:t>
      </w:r>
    </w:p>
    <w:p w14:paraId="6DBBB9F2" w14:textId="77777777" w:rsidR="00150D66" w:rsidRPr="00A937C7"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rFonts w:eastAsia="Calibri"/>
          <w:szCs w:val="26"/>
          <w:lang w:val="es-ES"/>
        </w:rPr>
      </w:pPr>
      <w:r w:rsidRPr="00A937C7">
        <w:rPr>
          <w:rFonts w:eastAsia="Calibri"/>
          <w:szCs w:val="26"/>
          <w:lang w:val="es-ES"/>
        </w:rPr>
        <w:t xml:space="preserve">Movilidad </w:t>
      </w:r>
      <w:r w:rsidRPr="00C335C7">
        <w:rPr>
          <w:rFonts w:eastAsia="Calibri"/>
        </w:rPr>
        <w:t>internacional</w:t>
      </w:r>
      <w:r w:rsidRPr="00A937C7">
        <w:rPr>
          <w:rFonts w:eastAsia="Calibri"/>
          <w:szCs w:val="26"/>
          <w:lang w:val="es-ES"/>
        </w:rPr>
        <w:t>: CES. Como entidad coordinadora de envío y acogida de voluntarios, se atendió a 24 personas y se realizó un taller en un centro educativo al que asistieron 15 personas.</w:t>
      </w:r>
    </w:p>
    <w:p w14:paraId="55D9761E" w14:textId="77777777" w:rsidR="00150D66" w:rsidRPr="00A937C7"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rFonts w:eastAsia="Calibri"/>
          <w:szCs w:val="26"/>
          <w:lang w:val="es-ES"/>
        </w:rPr>
      </w:pPr>
      <w:r w:rsidRPr="00A937C7">
        <w:rPr>
          <w:rFonts w:eastAsia="Calibri"/>
          <w:szCs w:val="26"/>
          <w:lang w:val="es-ES"/>
        </w:rPr>
        <w:lastRenderedPageBreak/>
        <w:t xml:space="preserve">Convivencia y no discriminación: Participación en ZASKA (red </w:t>
      </w:r>
      <w:proofErr w:type="spellStart"/>
      <w:r w:rsidRPr="00A937C7">
        <w:rPr>
          <w:rFonts w:eastAsia="Calibri"/>
          <w:szCs w:val="26"/>
          <w:lang w:val="es-ES"/>
        </w:rPr>
        <w:t>antirrumores</w:t>
      </w:r>
      <w:proofErr w:type="spellEnd"/>
      <w:r w:rsidRPr="00A937C7">
        <w:rPr>
          <w:rFonts w:eastAsia="Calibri"/>
          <w:szCs w:val="26"/>
          <w:lang w:val="es-ES"/>
        </w:rPr>
        <w:t xml:space="preserve"> de Navarra).</w:t>
      </w:r>
    </w:p>
    <w:p w14:paraId="7A185B0A" w14:textId="365E7355" w:rsidR="00150D66" w:rsidRPr="00150D66" w:rsidRDefault="00150D66" w:rsidP="00C335C7">
      <w:pPr>
        <w:pStyle w:val="texto"/>
        <w:numPr>
          <w:ilvl w:val="0"/>
          <w:numId w:val="7"/>
        </w:numPr>
        <w:tabs>
          <w:tab w:val="clear" w:pos="2835"/>
          <w:tab w:val="clear" w:pos="3969"/>
          <w:tab w:val="clear" w:pos="5103"/>
          <w:tab w:val="clear" w:pos="6237"/>
          <w:tab w:val="clear" w:pos="7371"/>
          <w:tab w:val="num" w:pos="300"/>
          <w:tab w:val="left" w:pos="480"/>
          <w:tab w:val="num" w:pos="600"/>
        </w:tabs>
        <w:ind w:left="0" w:firstLine="284"/>
        <w:rPr>
          <w:rFonts w:eastAsia="Calibri"/>
          <w:szCs w:val="26"/>
          <w:lang w:val="es-ES"/>
        </w:rPr>
      </w:pPr>
      <w:r w:rsidRPr="00A937C7">
        <w:rPr>
          <w:rFonts w:eastAsia="Calibri"/>
          <w:szCs w:val="26"/>
          <w:lang w:val="es-ES"/>
        </w:rPr>
        <w:t>Comunicación: web, presencia en R</w:t>
      </w:r>
      <w:r>
        <w:rPr>
          <w:rFonts w:eastAsia="Calibri"/>
          <w:szCs w:val="26"/>
          <w:lang w:val="es-ES"/>
        </w:rPr>
        <w:t>edes Sociales y en</w:t>
      </w:r>
      <w:r w:rsidRPr="00A937C7">
        <w:rPr>
          <w:rFonts w:eastAsia="Calibri"/>
          <w:szCs w:val="26"/>
          <w:lang w:val="es-ES"/>
        </w:rPr>
        <w:t xml:space="preserve"> medios de comunicación.</w:t>
      </w:r>
    </w:p>
    <w:p w14:paraId="27781A18" w14:textId="57BFF49F" w:rsidR="00E41E7F" w:rsidRDefault="00E41E7F" w:rsidP="00E41E7F">
      <w:pPr>
        <w:pStyle w:val="texto"/>
        <w:spacing w:before="240" w:after="120"/>
        <w:ind w:firstLine="0"/>
        <w:rPr>
          <w:rFonts w:ascii="Arial" w:hAnsi="Arial" w:cs="Arial"/>
          <w:sz w:val="25"/>
          <w:szCs w:val="25"/>
        </w:rPr>
      </w:pPr>
      <w:r>
        <w:rPr>
          <w:rFonts w:ascii="Arial" w:hAnsi="Arial" w:cs="Arial"/>
          <w:sz w:val="25"/>
          <w:szCs w:val="25"/>
        </w:rPr>
        <w:t>Actividades de 2020 según la memoria del CJN</w:t>
      </w:r>
    </w:p>
    <w:p w14:paraId="4CC14A8C" w14:textId="7527293A" w:rsid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E60826">
        <w:rPr>
          <w:szCs w:val="26"/>
        </w:rPr>
        <w:t>Visita</w:t>
      </w:r>
      <w:r>
        <w:rPr>
          <w:szCs w:val="26"/>
        </w:rPr>
        <w:t xml:space="preserve"> a un centro educativo.</w:t>
      </w:r>
    </w:p>
    <w:p w14:paraId="191B62AC" w14:textId="354A3437"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E60826">
        <w:rPr>
          <w:szCs w:val="26"/>
        </w:rPr>
        <w:t xml:space="preserve">Mapeo </w:t>
      </w:r>
      <w:r w:rsidRPr="00C335C7">
        <w:rPr>
          <w:rFonts w:eastAsia="Calibri"/>
        </w:rPr>
        <w:t>de</w:t>
      </w:r>
      <w:r w:rsidRPr="00E60826">
        <w:rPr>
          <w:szCs w:val="26"/>
        </w:rPr>
        <w:t xml:space="preserve"> las asociaciones juveniles de Navarra</w:t>
      </w:r>
      <w:r>
        <w:rPr>
          <w:szCs w:val="26"/>
        </w:rPr>
        <w:t>.</w:t>
      </w:r>
    </w:p>
    <w:p w14:paraId="3D263192" w14:textId="77777777"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E60826">
        <w:rPr>
          <w:szCs w:val="26"/>
        </w:rPr>
        <w:t xml:space="preserve">Jornada </w:t>
      </w:r>
      <w:r w:rsidRPr="00C335C7">
        <w:rPr>
          <w:rFonts w:eastAsia="Calibri"/>
        </w:rPr>
        <w:t>entre</w:t>
      </w:r>
      <w:r w:rsidRPr="00E60826">
        <w:rPr>
          <w:szCs w:val="26"/>
        </w:rPr>
        <w:t xml:space="preserve"> asociaciones juveniles y el Instituto de Salud Pública y Laboral de Navarra.</w:t>
      </w:r>
    </w:p>
    <w:p w14:paraId="7D487C30" w14:textId="77777777"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Campaña</w:t>
      </w:r>
      <w:r w:rsidRPr="00E60826">
        <w:rPr>
          <w:szCs w:val="26"/>
        </w:rPr>
        <w:t xml:space="preserve"> “</w:t>
      </w:r>
      <w:proofErr w:type="spellStart"/>
      <w:r w:rsidRPr="00E60826">
        <w:rPr>
          <w:szCs w:val="26"/>
        </w:rPr>
        <w:t>JóvenesyResponsables</w:t>
      </w:r>
      <w:proofErr w:type="spellEnd"/>
      <w:r w:rsidRPr="00E60826">
        <w:rPr>
          <w:szCs w:val="26"/>
        </w:rPr>
        <w:t>”.</w:t>
      </w:r>
    </w:p>
    <w:p w14:paraId="7AB78B1A" w14:textId="40B73B11"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Sistematización</w:t>
      </w:r>
      <w:r w:rsidRPr="00E60826">
        <w:rPr>
          <w:szCs w:val="26"/>
        </w:rPr>
        <w:t xml:space="preserve"> de las visitas a las entidades miembro y fomento de los canales de relación con las mismas</w:t>
      </w:r>
      <w:r>
        <w:rPr>
          <w:szCs w:val="26"/>
        </w:rPr>
        <w:t>.</w:t>
      </w:r>
    </w:p>
    <w:p w14:paraId="0180D763" w14:textId="53E0896C"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Cuestionario</w:t>
      </w:r>
      <w:r w:rsidRPr="00E60826">
        <w:rPr>
          <w:szCs w:val="26"/>
        </w:rPr>
        <w:t xml:space="preserve"> para conocer la situación de las asociaciones juveniles durante el confinamiento</w:t>
      </w:r>
      <w:r>
        <w:rPr>
          <w:szCs w:val="26"/>
        </w:rPr>
        <w:t xml:space="preserve"> al cual </w:t>
      </w:r>
      <w:r w:rsidRPr="00E60826">
        <w:rPr>
          <w:szCs w:val="26"/>
        </w:rPr>
        <w:t>respondieron 15 asocia</w:t>
      </w:r>
      <w:r>
        <w:rPr>
          <w:szCs w:val="26"/>
        </w:rPr>
        <w:t>ciones.</w:t>
      </w:r>
    </w:p>
    <w:p w14:paraId="15EAC9F2" w14:textId="1849466E"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Pr>
          <w:szCs w:val="26"/>
        </w:rPr>
        <w:t xml:space="preserve">Envío de 31 </w:t>
      </w:r>
      <w:proofErr w:type="spellStart"/>
      <w:r w:rsidRPr="00E60826">
        <w:rPr>
          <w:szCs w:val="26"/>
        </w:rPr>
        <w:t>Newsletter</w:t>
      </w:r>
      <w:proofErr w:type="spellEnd"/>
      <w:r>
        <w:rPr>
          <w:szCs w:val="26"/>
        </w:rPr>
        <w:t xml:space="preserve"> a las asociaciones. </w:t>
      </w:r>
    </w:p>
    <w:p w14:paraId="2E6DB43C" w14:textId="70BD24D3" w:rsid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Grupo</w:t>
      </w:r>
      <w:r>
        <w:rPr>
          <w:szCs w:val="26"/>
        </w:rPr>
        <w:t xml:space="preserve"> de </w:t>
      </w:r>
      <w:proofErr w:type="spellStart"/>
      <w:r>
        <w:rPr>
          <w:szCs w:val="26"/>
        </w:rPr>
        <w:t>Whatsapp</w:t>
      </w:r>
      <w:proofErr w:type="spellEnd"/>
      <w:r>
        <w:rPr>
          <w:szCs w:val="26"/>
        </w:rPr>
        <w:t xml:space="preserve"> habitual con 40 asociaciones, 34 mensajes enviados por el CJN y 41 por las asociaciones.</w:t>
      </w:r>
    </w:p>
    <w:p w14:paraId="412805A1" w14:textId="684293AD" w:rsid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Grupo</w:t>
      </w:r>
      <w:r>
        <w:rPr>
          <w:szCs w:val="26"/>
        </w:rPr>
        <w:t xml:space="preserve"> de </w:t>
      </w:r>
      <w:proofErr w:type="spellStart"/>
      <w:r>
        <w:rPr>
          <w:szCs w:val="26"/>
        </w:rPr>
        <w:t>Whatsapp</w:t>
      </w:r>
      <w:proofErr w:type="spellEnd"/>
      <w:r>
        <w:rPr>
          <w:szCs w:val="26"/>
        </w:rPr>
        <w:t xml:space="preserve"> de COVID19 con 23 entidades, 61 mensajes enviados por el CJN y 60 por las asociaciones.</w:t>
      </w:r>
    </w:p>
    <w:p w14:paraId="3D0BD7DA" w14:textId="233182D9"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Realización</w:t>
      </w:r>
      <w:r>
        <w:rPr>
          <w:szCs w:val="26"/>
        </w:rPr>
        <w:t xml:space="preserve"> de seis </w:t>
      </w:r>
      <w:r w:rsidRPr="00E60826">
        <w:rPr>
          <w:szCs w:val="26"/>
        </w:rPr>
        <w:t>reuniones con distintas asociaciones.</w:t>
      </w:r>
    </w:p>
    <w:p w14:paraId="534C1432" w14:textId="396F8B9D"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Participación</w:t>
      </w:r>
      <w:r>
        <w:rPr>
          <w:szCs w:val="26"/>
        </w:rPr>
        <w:t xml:space="preserve"> en tres</w:t>
      </w:r>
      <w:r w:rsidRPr="00E60826">
        <w:rPr>
          <w:szCs w:val="26"/>
        </w:rPr>
        <w:t xml:space="preserve"> reuniones</w:t>
      </w:r>
      <w:r>
        <w:rPr>
          <w:szCs w:val="26"/>
        </w:rPr>
        <w:t xml:space="preserve"> con grupos de trabajo</w:t>
      </w:r>
      <w:r w:rsidRPr="00E60826">
        <w:rPr>
          <w:szCs w:val="26"/>
        </w:rPr>
        <w:t>.</w:t>
      </w:r>
    </w:p>
    <w:p w14:paraId="28AF91BD" w14:textId="59F9A780"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Realización</w:t>
      </w:r>
      <w:r>
        <w:rPr>
          <w:szCs w:val="26"/>
        </w:rPr>
        <w:t xml:space="preserve"> de cinco encuentros de </w:t>
      </w:r>
      <w:r w:rsidRPr="00E60826">
        <w:rPr>
          <w:szCs w:val="26"/>
        </w:rPr>
        <w:t>Intercultura</w:t>
      </w:r>
      <w:r>
        <w:rPr>
          <w:szCs w:val="26"/>
        </w:rPr>
        <w:t xml:space="preserve">lidad – Jóvenes </w:t>
      </w:r>
      <w:proofErr w:type="spellStart"/>
      <w:r>
        <w:rPr>
          <w:szCs w:val="26"/>
        </w:rPr>
        <w:t>intercolectivos</w:t>
      </w:r>
      <w:proofErr w:type="spellEnd"/>
      <w:r w:rsidRPr="00E60826">
        <w:rPr>
          <w:szCs w:val="26"/>
        </w:rPr>
        <w:t>.</w:t>
      </w:r>
    </w:p>
    <w:p w14:paraId="53F31BA3" w14:textId="3A0285C2"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Participación</w:t>
      </w:r>
      <w:r w:rsidRPr="00E60826">
        <w:rPr>
          <w:szCs w:val="26"/>
        </w:rPr>
        <w:t xml:space="preserve"> con el Ayuntamiento de Atarrabia</w:t>
      </w:r>
      <w:r>
        <w:rPr>
          <w:szCs w:val="26"/>
        </w:rPr>
        <w:t xml:space="preserve"> en un grupo de trabajo relacionado con la vivienda.</w:t>
      </w:r>
    </w:p>
    <w:p w14:paraId="5F98BE05" w14:textId="1D368B98"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Pr>
          <w:szCs w:val="26"/>
        </w:rPr>
        <w:t xml:space="preserve">Apoyo a </w:t>
      </w:r>
      <w:r w:rsidRPr="00E60826">
        <w:rPr>
          <w:szCs w:val="26"/>
        </w:rPr>
        <w:t>las embajadas de Navarra tanto en el VII</w:t>
      </w:r>
      <w:r>
        <w:rPr>
          <w:szCs w:val="26"/>
        </w:rPr>
        <w:t xml:space="preserve"> como en el VIII</w:t>
      </w:r>
      <w:r w:rsidRPr="00E60826">
        <w:rPr>
          <w:szCs w:val="26"/>
        </w:rPr>
        <w:t xml:space="preserve"> Ciclo </w:t>
      </w:r>
      <w:r>
        <w:rPr>
          <w:szCs w:val="26"/>
        </w:rPr>
        <w:t>y presencia</w:t>
      </w:r>
      <w:r w:rsidRPr="00E60826">
        <w:rPr>
          <w:szCs w:val="26"/>
        </w:rPr>
        <w:t xml:space="preserve"> en la I Formación de Embajadas del Diálogo con la Juventud.</w:t>
      </w:r>
    </w:p>
    <w:p w14:paraId="58BC55EB" w14:textId="6584C53A"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Proyecto</w:t>
      </w:r>
      <w:r>
        <w:rPr>
          <w:szCs w:val="26"/>
        </w:rPr>
        <w:t xml:space="preserve"> P</w:t>
      </w:r>
      <w:r w:rsidRPr="00E60826">
        <w:rPr>
          <w:szCs w:val="26"/>
        </w:rPr>
        <w:t>arlamento Joven de Navarra</w:t>
      </w:r>
      <w:r>
        <w:rPr>
          <w:szCs w:val="26"/>
        </w:rPr>
        <w:t>.</w:t>
      </w:r>
    </w:p>
    <w:p w14:paraId="41576047" w14:textId="7FA42302"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Formación</w:t>
      </w:r>
      <w:r>
        <w:rPr>
          <w:szCs w:val="26"/>
        </w:rPr>
        <w:t xml:space="preserve"> en d</w:t>
      </w:r>
      <w:r w:rsidRPr="00E60826">
        <w:rPr>
          <w:szCs w:val="26"/>
        </w:rPr>
        <w:t>inamización de Espacios Virtuales</w:t>
      </w:r>
      <w:r>
        <w:rPr>
          <w:szCs w:val="26"/>
        </w:rPr>
        <w:t xml:space="preserve"> en la que </w:t>
      </w:r>
      <w:r w:rsidRPr="00E60826">
        <w:rPr>
          <w:szCs w:val="26"/>
        </w:rPr>
        <w:t>participaron 21 personas.</w:t>
      </w:r>
    </w:p>
    <w:p w14:paraId="04617208" w14:textId="46BD61C7"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Construye</w:t>
      </w:r>
      <w:r w:rsidRPr="00E60826">
        <w:rPr>
          <w:szCs w:val="26"/>
        </w:rPr>
        <w:t xml:space="preserve"> – </w:t>
      </w:r>
      <w:proofErr w:type="spellStart"/>
      <w:r w:rsidRPr="00E60826">
        <w:rPr>
          <w:szCs w:val="26"/>
        </w:rPr>
        <w:t>Eraiki</w:t>
      </w:r>
      <w:proofErr w:type="spellEnd"/>
      <w:r w:rsidRPr="00E60826">
        <w:rPr>
          <w:szCs w:val="26"/>
        </w:rPr>
        <w:t xml:space="preserve">: Página web para </w:t>
      </w:r>
      <w:r>
        <w:rPr>
          <w:szCs w:val="26"/>
        </w:rPr>
        <w:t>realizar aportaciones. Se recibieron 124 propuestas.</w:t>
      </w:r>
    </w:p>
    <w:p w14:paraId="6D26E639" w14:textId="3A48E71D"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lastRenderedPageBreak/>
        <w:t>Realización</w:t>
      </w:r>
      <w:r w:rsidRPr="00E60826">
        <w:rPr>
          <w:szCs w:val="26"/>
        </w:rPr>
        <w:t xml:space="preserve"> de 11 reuniones sobre el proyecto </w:t>
      </w:r>
      <w:proofErr w:type="spellStart"/>
      <w:r w:rsidRPr="00E60826">
        <w:rPr>
          <w:szCs w:val="26"/>
        </w:rPr>
        <w:t>Olatuak</w:t>
      </w:r>
      <w:proofErr w:type="spellEnd"/>
      <w:r w:rsidRPr="00E60826">
        <w:rPr>
          <w:szCs w:val="26"/>
        </w:rPr>
        <w:t xml:space="preserve"> que finalmente no se ha implantado.</w:t>
      </w:r>
    </w:p>
    <w:p w14:paraId="26569CBE" w14:textId="32762F4D"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Reuniones</w:t>
      </w:r>
      <w:r w:rsidRPr="00E60826">
        <w:rPr>
          <w:szCs w:val="26"/>
        </w:rPr>
        <w:t xml:space="preserve"> con los partidos, el Gobierno de Navarra, la Mesa del Parlamento, asistencia a eventos, etc</w:t>
      </w:r>
      <w:r>
        <w:rPr>
          <w:szCs w:val="26"/>
        </w:rPr>
        <w:t>.</w:t>
      </w:r>
    </w:p>
    <w:p w14:paraId="651ED9CA" w14:textId="276B8C68"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Participación</w:t>
      </w:r>
      <w:r>
        <w:rPr>
          <w:szCs w:val="26"/>
        </w:rPr>
        <w:t xml:space="preserve"> en cuatro reuniones para la elaboración del Plan Foral de Juventud</w:t>
      </w:r>
      <w:r w:rsidRPr="00E60826">
        <w:rPr>
          <w:szCs w:val="26"/>
        </w:rPr>
        <w:t>.</w:t>
      </w:r>
    </w:p>
    <w:p w14:paraId="62EED831" w14:textId="149F1745"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Elaboración</w:t>
      </w:r>
      <w:r>
        <w:rPr>
          <w:szCs w:val="26"/>
        </w:rPr>
        <w:t xml:space="preserve"> de un d</w:t>
      </w:r>
      <w:r w:rsidRPr="00E60826">
        <w:rPr>
          <w:szCs w:val="26"/>
        </w:rPr>
        <w:t>ocumento con más de 160 propuestas enfocadas al Plan Reactivar Navarra.</w:t>
      </w:r>
    </w:p>
    <w:p w14:paraId="0E8102E2" w14:textId="6A2E04BB"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Realización</w:t>
      </w:r>
      <w:r>
        <w:rPr>
          <w:szCs w:val="26"/>
        </w:rPr>
        <w:t xml:space="preserve"> de ocho reuniones para el d</w:t>
      </w:r>
      <w:r w:rsidRPr="00E60826">
        <w:rPr>
          <w:szCs w:val="26"/>
        </w:rPr>
        <w:t xml:space="preserve">iagnóstico y denuncia de la realidad del acceso a la vivienda en Navarra. </w:t>
      </w:r>
    </w:p>
    <w:p w14:paraId="0658553F" w14:textId="153CE881"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Diagnóstico</w:t>
      </w:r>
      <w:r w:rsidRPr="00E60826">
        <w:rPr>
          <w:szCs w:val="26"/>
        </w:rPr>
        <w:t xml:space="preserve"> y denuncia de la realidad de los menores y jóvenes no-acompañados residentes en Navarra</w:t>
      </w:r>
      <w:r>
        <w:rPr>
          <w:szCs w:val="26"/>
        </w:rPr>
        <w:t>: realización de siete reuniones y tres acciones</w:t>
      </w:r>
      <w:r w:rsidRPr="00E60826">
        <w:rPr>
          <w:szCs w:val="26"/>
        </w:rPr>
        <w:t>.</w:t>
      </w:r>
    </w:p>
    <w:p w14:paraId="50DAACE2" w14:textId="6BC6025E"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Participación</w:t>
      </w:r>
      <w:r w:rsidRPr="00E60826">
        <w:rPr>
          <w:szCs w:val="26"/>
        </w:rPr>
        <w:t xml:space="preserve"> en el programa </w:t>
      </w:r>
      <w:proofErr w:type="spellStart"/>
      <w:r w:rsidRPr="00E60826">
        <w:rPr>
          <w:szCs w:val="26"/>
        </w:rPr>
        <w:t>Zaska</w:t>
      </w:r>
      <w:proofErr w:type="spellEnd"/>
      <w:r>
        <w:rPr>
          <w:szCs w:val="26"/>
        </w:rPr>
        <w:t>.</w:t>
      </w:r>
    </w:p>
    <w:p w14:paraId="70273CB4" w14:textId="71EFC3D5"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E60826">
        <w:rPr>
          <w:szCs w:val="26"/>
        </w:rPr>
        <w:t>Campaña de promoción de la Salud Sexual –</w:t>
      </w:r>
      <w:proofErr w:type="spellStart"/>
      <w:r w:rsidRPr="00E60826">
        <w:rPr>
          <w:szCs w:val="26"/>
        </w:rPr>
        <w:t>DisfrutaTU</w:t>
      </w:r>
      <w:proofErr w:type="spellEnd"/>
      <w:r w:rsidRPr="00E60826">
        <w:rPr>
          <w:szCs w:val="26"/>
        </w:rPr>
        <w:t xml:space="preserve"> </w:t>
      </w:r>
      <w:proofErr w:type="spellStart"/>
      <w:r w:rsidRPr="00E60826">
        <w:rPr>
          <w:szCs w:val="26"/>
        </w:rPr>
        <w:t>Fest</w:t>
      </w:r>
      <w:proofErr w:type="spellEnd"/>
      <w:r w:rsidRPr="00E60826">
        <w:rPr>
          <w:szCs w:val="26"/>
        </w:rPr>
        <w:t xml:space="preserve">: </w:t>
      </w:r>
      <w:r>
        <w:rPr>
          <w:szCs w:val="26"/>
        </w:rPr>
        <w:t xml:space="preserve">presencia </w:t>
      </w:r>
      <w:r w:rsidRPr="00E60826">
        <w:rPr>
          <w:szCs w:val="26"/>
        </w:rPr>
        <w:t>en un espacio de manera presencial: "Las Noches del Iruña Rock" (09-10 octubre).</w:t>
      </w:r>
    </w:p>
    <w:p w14:paraId="2C50C718" w14:textId="4A42FB17"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E60826">
        <w:rPr>
          <w:szCs w:val="26"/>
        </w:rPr>
        <w:t>Campaña de Salud Sexual - Llévame Contigo</w:t>
      </w:r>
      <w:r>
        <w:rPr>
          <w:szCs w:val="26"/>
        </w:rPr>
        <w:t>.</w:t>
      </w:r>
    </w:p>
    <w:p w14:paraId="6FB81FF6" w14:textId="77777777"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E60826">
        <w:rPr>
          <w:szCs w:val="26"/>
        </w:rPr>
        <w:t>Proyecto piloto de inserción laboral en Villava. Proyecto realizado en 2018, 2019 y 2020.</w:t>
      </w:r>
    </w:p>
    <w:p w14:paraId="28DAC5B9" w14:textId="21F91EAA"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Pr>
          <w:szCs w:val="26"/>
        </w:rPr>
        <w:t>Realización de cuatro</w:t>
      </w:r>
      <w:r w:rsidRPr="00E60826">
        <w:rPr>
          <w:szCs w:val="26"/>
        </w:rPr>
        <w:t xml:space="preserve"> sesiones informativas en formato on-line dirigidas al alumnado y familias identificadas por el orientador del centro.</w:t>
      </w:r>
    </w:p>
    <w:p w14:paraId="6BE01B94" w14:textId="77777777"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E60826">
        <w:rPr>
          <w:szCs w:val="26"/>
        </w:rPr>
        <w:t xml:space="preserve">Trabajo de </w:t>
      </w:r>
      <w:r w:rsidRPr="00C335C7">
        <w:rPr>
          <w:rFonts w:eastAsia="Calibri"/>
        </w:rPr>
        <w:t>campo</w:t>
      </w:r>
      <w:r w:rsidRPr="00E60826">
        <w:rPr>
          <w:szCs w:val="26"/>
        </w:rPr>
        <w:t xml:space="preserve"> con bajeras y cuadrillas de Villava-Atarrabia necesario para la elaboración del estudio-diagnóstico.</w:t>
      </w:r>
    </w:p>
    <w:p w14:paraId="5EEEC8CB" w14:textId="7B706CFE"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E60826">
        <w:rPr>
          <w:szCs w:val="26"/>
        </w:rPr>
        <w:t xml:space="preserve">Cuerpo </w:t>
      </w:r>
      <w:r w:rsidRPr="00C335C7">
        <w:rPr>
          <w:rFonts w:eastAsia="Calibri"/>
        </w:rPr>
        <w:t>Europeo</w:t>
      </w:r>
      <w:r w:rsidRPr="00E60826">
        <w:rPr>
          <w:szCs w:val="26"/>
        </w:rPr>
        <w:t xml:space="preserve"> de Solidaridad (CES)</w:t>
      </w:r>
      <w:r>
        <w:rPr>
          <w:szCs w:val="26"/>
        </w:rPr>
        <w:t xml:space="preserve">: seis sesiones de trabajo, 18 personas atendidas. </w:t>
      </w:r>
    </w:p>
    <w:p w14:paraId="622D2D33" w14:textId="12C6DC79"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Participación</w:t>
      </w:r>
      <w:r>
        <w:rPr>
          <w:szCs w:val="26"/>
        </w:rPr>
        <w:t xml:space="preserve"> en el programa </w:t>
      </w:r>
      <w:proofErr w:type="spellStart"/>
      <w:r w:rsidRPr="00E60826">
        <w:rPr>
          <w:szCs w:val="26"/>
        </w:rPr>
        <w:t>Gozamenez</w:t>
      </w:r>
      <w:proofErr w:type="spellEnd"/>
      <w:r>
        <w:rPr>
          <w:szCs w:val="26"/>
        </w:rPr>
        <w:t>.</w:t>
      </w:r>
    </w:p>
    <w:p w14:paraId="3FF16D74" w14:textId="77777777"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proofErr w:type="spellStart"/>
      <w:r w:rsidRPr="00E60826">
        <w:rPr>
          <w:szCs w:val="26"/>
        </w:rPr>
        <w:t>VIIº</w:t>
      </w:r>
      <w:proofErr w:type="spellEnd"/>
      <w:r w:rsidRPr="00E60826">
        <w:rPr>
          <w:szCs w:val="26"/>
        </w:rPr>
        <w:t xml:space="preserve"> Concurso de Cortos ¿Cómo gozas y disfrutas? 11 cortos presentados.</w:t>
      </w:r>
    </w:p>
    <w:p w14:paraId="2C00C3D3" w14:textId="2B518000"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E60826">
        <w:rPr>
          <w:szCs w:val="26"/>
        </w:rPr>
        <w:t xml:space="preserve">Teatro </w:t>
      </w:r>
      <w:r w:rsidRPr="00C335C7">
        <w:rPr>
          <w:rFonts w:eastAsia="Calibri"/>
        </w:rPr>
        <w:t>Sinvergüenzas</w:t>
      </w:r>
      <w:r w:rsidRPr="00E60826">
        <w:rPr>
          <w:szCs w:val="26"/>
        </w:rPr>
        <w:t xml:space="preserve"> – </w:t>
      </w:r>
      <w:proofErr w:type="spellStart"/>
      <w:r w:rsidRPr="00E60826">
        <w:rPr>
          <w:szCs w:val="26"/>
        </w:rPr>
        <w:t>Lotsagabeak</w:t>
      </w:r>
      <w:proofErr w:type="spellEnd"/>
      <w:r>
        <w:rPr>
          <w:szCs w:val="26"/>
        </w:rPr>
        <w:t>.</w:t>
      </w:r>
      <w:r w:rsidRPr="00E60826">
        <w:rPr>
          <w:szCs w:val="26"/>
        </w:rPr>
        <w:t xml:space="preserve"> 70 asistentes.</w:t>
      </w:r>
    </w:p>
    <w:p w14:paraId="34653079" w14:textId="5A335061"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E60826">
        <w:rPr>
          <w:szCs w:val="26"/>
        </w:rPr>
        <w:t>Atenciones e información y orientación socio laboral y de vivienda:</w:t>
      </w:r>
      <w:r>
        <w:rPr>
          <w:szCs w:val="26"/>
        </w:rPr>
        <w:t xml:space="preserve"> 18 atenciones presenciales, 21 atenciones telefónicas, cinco reuniones, tres entidades participantes, seis talleres con 48 asistentes. </w:t>
      </w:r>
    </w:p>
    <w:p w14:paraId="5E97328F" w14:textId="5DBFD74C" w:rsidR="00E60826" w:rsidRPr="00E60826" w:rsidRDefault="00E6082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Participación</w:t>
      </w:r>
      <w:r>
        <w:rPr>
          <w:szCs w:val="26"/>
        </w:rPr>
        <w:t xml:space="preserve"> en Redes Sociales y</w:t>
      </w:r>
      <w:r w:rsidRPr="00E60826">
        <w:rPr>
          <w:szCs w:val="26"/>
        </w:rPr>
        <w:t xml:space="preserve"> Medios de Comunicación</w:t>
      </w:r>
      <w:r>
        <w:rPr>
          <w:szCs w:val="26"/>
        </w:rPr>
        <w:t>.</w:t>
      </w:r>
    </w:p>
    <w:p w14:paraId="40811BC7" w14:textId="65A8B063" w:rsidR="00E60826" w:rsidRPr="00E60826"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Fonts w:eastAsia="Calibri"/>
          <w:sz w:val="26"/>
          <w:szCs w:val="26"/>
        </w:rPr>
      </w:pPr>
      <w:r w:rsidRPr="00E60826">
        <w:rPr>
          <w:rFonts w:eastAsia="Calibri"/>
          <w:sz w:val="26"/>
          <w:szCs w:val="26"/>
        </w:rPr>
        <w:t xml:space="preserve">Foro </w:t>
      </w:r>
      <w:proofErr w:type="spellStart"/>
      <w:r w:rsidRPr="002A4390">
        <w:rPr>
          <w:rStyle w:val="normaltextrun"/>
          <w:rFonts w:eastAsia="Calibri"/>
        </w:rPr>
        <w:t>Gazte</w:t>
      </w:r>
      <w:proofErr w:type="spellEnd"/>
      <w:r w:rsidRPr="00E60826">
        <w:rPr>
          <w:rFonts w:eastAsia="Calibri"/>
          <w:sz w:val="26"/>
          <w:szCs w:val="26"/>
        </w:rPr>
        <w:t xml:space="preserve"> Ágora: tres artículos.</w:t>
      </w:r>
    </w:p>
    <w:p w14:paraId="34137F7B" w14:textId="41BBB981" w:rsidR="00E60826" w:rsidRPr="00E60826"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Fonts w:eastAsia="Calibri"/>
          <w:sz w:val="26"/>
          <w:szCs w:val="26"/>
        </w:rPr>
      </w:pPr>
      <w:r w:rsidRPr="002A4390">
        <w:rPr>
          <w:rStyle w:val="normaltextrun"/>
          <w:rFonts w:eastAsia="Calibri"/>
        </w:rPr>
        <w:t>Observatorio</w:t>
      </w:r>
      <w:r w:rsidRPr="00E60826">
        <w:rPr>
          <w:rFonts w:eastAsia="Calibri"/>
          <w:sz w:val="26"/>
          <w:szCs w:val="26"/>
        </w:rPr>
        <w:t xml:space="preserve"> de Emancipación Juvenil de Navarra: seis artículos.</w:t>
      </w:r>
    </w:p>
    <w:p w14:paraId="6B0E5185" w14:textId="0D8A2020" w:rsidR="00E60826" w:rsidRPr="002A4390"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Style w:val="normaltextrun"/>
          <w:rFonts w:eastAsia="Calibri"/>
        </w:rPr>
      </w:pPr>
      <w:r w:rsidRPr="002A4390">
        <w:rPr>
          <w:rStyle w:val="normaltextrun"/>
          <w:rFonts w:eastAsia="Calibri"/>
        </w:rPr>
        <w:lastRenderedPageBreak/>
        <w:t>Jóvenes y responsables: dos artículos.</w:t>
      </w:r>
    </w:p>
    <w:p w14:paraId="1F5A523B" w14:textId="41925D49" w:rsidR="00E60826" w:rsidRPr="002A4390"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Style w:val="normaltextrun"/>
          <w:rFonts w:eastAsia="Calibri"/>
        </w:rPr>
      </w:pPr>
      <w:r w:rsidRPr="002A4390">
        <w:rPr>
          <w:rStyle w:val="normaltextrun"/>
          <w:rFonts w:eastAsia="Calibri"/>
        </w:rPr>
        <w:t>Propuestas para el Plan Reactivar Navarra: cinco artículos.</w:t>
      </w:r>
    </w:p>
    <w:p w14:paraId="67115F19" w14:textId="7337A6A4" w:rsidR="00E60826" w:rsidRPr="002A4390"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Style w:val="normaltextrun"/>
          <w:rFonts w:eastAsia="Calibri"/>
        </w:rPr>
      </w:pPr>
      <w:r w:rsidRPr="002A4390">
        <w:rPr>
          <w:rStyle w:val="normaltextrun"/>
          <w:rFonts w:eastAsia="Calibri"/>
        </w:rPr>
        <w:t>CEUPNA: tres artículos.</w:t>
      </w:r>
    </w:p>
    <w:p w14:paraId="207A2EBB" w14:textId="5515793C" w:rsidR="00E60826" w:rsidRPr="002A4390"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Style w:val="normaltextrun"/>
          <w:rFonts w:eastAsia="Calibri"/>
        </w:rPr>
      </w:pPr>
      <w:r w:rsidRPr="002A4390">
        <w:rPr>
          <w:rStyle w:val="normaltextrun"/>
          <w:rFonts w:eastAsia="Calibri"/>
        </w:rPr>
        <w:t>Situación campamentos de verano: ocho artículos.</w:t>
      </w:r>
    </w:p>
    <w:p w14:paraId="0A5F7DF3" w14:textId="66BE2CEF" w:rsidR="00E60826" w:rsidRPr="002A4390"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Style w:val="normaltextrun"/>
          <w:rFonts w:eastAsia="Calibri"/>
        </w:rPr>
      </w:pPr>
      <w:r w:rsidRPr="002A4390">
        <w:rPr>
          <w:rStyle w:val="normaltextrun"/>
          <w:rFonts w:eastAsia="Calibri"/>
        </w:rPr>
        <w:t>Campaña Llévame Contigo (Salud Sexual): cinco artículos.</w:t>
      </w:r>
    </w:p>
    <w:p w14:paraId="0C6F87BB" w14:textId="0F2C531E" w:rsidR="00E60826" w:rsidRPr="00E60826"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Fonts w:eastAsia="Calibri"/>
          <w:sz w:val="26"/>
          <w:szCs w:val="26"/>
        </w:rPr>
      </w:pPr>
      <w:r w:rsidRPr="002A4390">
        <w:rPr>
          <w:rStyle w:val="normaltextrun"/>
          <w:rFonts w:eastAsia="Calibri"/>
        </w:rPr>
        <w:t>Día</w:t>
      </w:r>
      <w:r w:rsidRPr="00E60826">
        <w:rPr>
          <w:rFonts w:eastAsia="Calibri"/>
          <w:sz w:val="26"/>
          <w:szCs w:val="26"/>
        </w:rPr>
        <w:t xml:space="preserve"> Internacional de la Juventud: siete artículos.</w:t>
      </w:r>
    </w:p>
    <w:p w14:paraId="424DA39F" w14:textId="3501BE49" w:rsidR="00993F07"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Fonts w:eastAsia="Calibri"/>
          <w:sz w:val="26"/>
          <w:szCs w:val="26"/>
        </w:rPr>
      </w:pPr>
      <w:r w:rsidRPr="002A4390">
        <w:rPr>
          <w:rStyle w:val="normaltextrun"/>
          <w:rFonts w:eastAsia="Calibri"/>
        </w:rPr>
        <w:t>Asamblea</w:t>
      </w:r>
      <w:r w:rsidRPr="00E60826">
        <w:rPr>
          <w:rFonts w:eastAsia="Calibri"/>
          <w:sz w:val="26"/>
          <w:szCs w:val="26"/>
        </w:rPr>
        <w:t xml:space="preserve"> Extraordinaria del Consejo: seis artículos.</w:t>
      </w:r>
    </w:p>
    <w:p w14:paraId="587437FD" w14:textId="167F9930" w:rsidR="00E60826" w:rsidRPr="00993F07" w:rsidRDefault="00E60826" w:rsidP="002A4390">
      <w:pPr>
        <w:pStyle w:val="paragraph"/>
        <w:numPr>
          <w:ilvl w:val="0"/>
          <w:numId w:val="13"/>
        </w:numPr>
        <w:tabs>
          <w:tab w:val="left" w:pos="567"/>
        </w:tabs>
        <w:spacing w:before="0" w:beforeAutospacing="0" w:after="140" w:afterAutospacing="0"/>
        <w:ind w:left="0" w:firstLine="284"/>
        <w:jc w:val="both"/>
        <w:textAlignment w:val="baseline"/>
        <w:rPr>
          <w:rFonts w:eastAsia="Calibri"/>
          <w:sz w:val="26"/>
          <w:szCs w:val="26"/>
        </w:rPr>
      </w:pPr>
      <w:r w:rsidRPr="00993F07">
        <w:rPr>
          <w:rFonts w:eastAsia="Calibri"/>
          <w:sz w:val="26"/>
          <w:szCs w:val="26"/>
        </w:rPr>
        <w:t>Firma del convenio entre el Consejo y el INAJ: cinco artículos.</w:t>
      </w:r>
    </w:p>
    <w:p w14:paraId="4F0BD959" w14:textId="3F5F2C9F" w:rsidR="00E41E7F" w:rsidRDefault="00E41E7F" w:rsidP="00993F07">
      <w:pPr>
        <w:pStyle w:val="texto"/>
        <w:spacing w:before="240" w:after="120"/>
        <w:ind w:firstLine="0"/>
        <w:rPr>
          <w:rFonts w:ascii="Arial" w:hAnsi="Arial" w:cs="Arial"/>
          <w:sz w:val="25"/>
          <w:szCs w:val="25"/>
        </w:rPr>
      </w:pPr>
      <w:r>
        <w:rPr>
          <w:rFonts w:ascii="Arial" w:hAnsi="Arial" w:cs="Arial"/>
          <w:sz w:val="25"/>
          <w:szCs w:val="25"/>
        </w:rPr>
        <w:t>Actividades de 2021 según la memoria del CJN</w:t>
      </w:r>
    </w:p>
    <w:p w14:paraId="2306BDB0" w14:textId="41C6F8E4"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Celebración</w:t>
      </w:r>
      <w:r w:rsidRPr="00615481">
        <w:rPr>
          <w:szCs w:val="26"/>
        </w:rPr>
        <w:t xml:space="preserve"> de </w:t>
      </w:r>
      <w:r>
        <w:rPr>
          <w:szCs w:val="26"/>
        </w:rPr>
        <w:t>tres</w:t>
      </w:r>
      <w:r w:rsidRPr="00615481">
        <w:rPr>
          <w:szCs w:val="26"/>
        </w:rPr>
        <w:t xml:space="preserve"> jornadas sobre Igualdad y participación (18 participantes), Día de Europa y Salud mental (20 participantes)</w:t>
      </w:r>
      <w:r>
        <w:rPr>
          <w:szCs w:val="26"/>
        </w:rPr>
        <w:t>.</w:t>
      </w:r>
    </w:p>
    <w:p w14:paraId="54A7D656" w14:textId="1306E4E5"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Realización</w:t>
      </w:r>
      <w:r>
        <w:rPr>
          <w:szCs w:val="26"/>
        </w:rPr>
        <w:t xml:space="preserve"> de tres c</w:t>
      </w:r>
      <w:r w:rsidRPr="00615481">
        <w:rPr>
          <w:szCs w:val="26"/>
        </w:rPr>
        <w:t xml:space="preserve">ampañas de sensibilización: Jóvenes y Responsables, </w:t>
      </w:r>
      <w:proofErr w:type="spellStart"/>
      <w:r w:rsidRPr="00615481">
        <w:rPr>
          <w:szCs w:val="26"/>
        </w:rPr>
        <w:t>8M</w:t>
      </w:r>
      <w:proofErr w:type="spellEnd"/>
      <w:r>
        <w:rPr>
          <w:szCs w:val="26"/>
        </w:rPr>
        <w:t xml:space="preserve"> y</w:t>
      </w:r>
      <w:r w:rsidRPr="00615481">
        <w:rPr>
          <w:szCs w:val="26"/>
        </w:rPr>
        <w:t xml:space="preserve"> Salud </w:t>
      </w:r>
      <w:r>
        <w:rPr>
          <w:szCs w:val="26"/>
        </w:rPr>
        <w:t>M</w:t>
      </w:r>
      <w:r w:rsidRPr="00615481">
        <w:rPr>
          <w:szCs w:val="26"/>
        </w:rPr>
        <w:t>ental.</w:t>
      </w:r>
    </w:p>
    <w:p w14:paraId="45D6936F" w14:textId="54C07CBF"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615481">
        <w:rPr>
          <w:szCs w:val="26"/>
        </w:rPr>
        <w:t xml:space="preserve">Relación con las asociaciones miembro: 29 </w:t>
      </w:r>
      <w:proofErr w:type="spellStart"/>
      <w:r w:rsidRPr="00615481">
        <w:rPr>
          <w:szCs w:val="26"/>
        </w:rPr>
        <w:t>Newsletter</w:t>
      </w:r>
      <w:proofErr w:type="spellEnd"/>
      <w:r w:rsidRPr="00615481">
        <w:rPr>
          <w:szCs w:val="26"/>
        </w:rPr>
        <w:t xml:space="preserve"> enviadas, 23 visitas a 11 asociaciones, grupo de </w:t>
      </w:r>
      <w:proofErr w:type="spellStart"/>
      <w:r w:rsidRPr="00615481">
        <w:rPr>
          <w:szCs w:val="26"/>
        </w:rPr>
        <w:t>whatsapp</w:t>
      </w:r>
      <w:proofErr w:type="spellEnd"/>
      <w:r w:rsidRPr="00615481">
        <w:rPr>
          <w:szCs w:val="26"/>
        </w:rPr>
        <w:t xml:space="preserve"> </w:t>
      </w:r>
      <w:r>
        <w:rPr>
          <w:szCs w:val="26"/>
        </w:rPr>
        <w:t xml:space="preserve">activo con </w:t>
      </w:r>
      <w:r w:rsidRPr="00615481">
        <w:rPr>
          <w:szCs w:val="26"/>
        </w:rPr>
        <w:t>28 entidades en el grupo, 35 mensajes del CJN</w:t>
      </w:r>
      <w:r>
        <w:rPr>
          <w:szCs w:val="26"/>
        </w:rPr>
        <w:t xml:space="preserve"> y dos mensajes de asociaciones.</w:t>
      </w:r>
    </w:p>
    <w:p w14:paraId="41291FD4" w14:textId="5D5D8702"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Constitución</w:t>
      </w:r>
      <w:r>
        <w:rPr>
          <w:szCs w:val="26"/>
        </w:rPr>
        <w:t xml:space="preserve"> de siete</w:t>
      </w:r>
      <w:r w:rsidRPr="00615481">
        <w:rPr>
          <w:szCs w:val="26"/>
        </w:rPr>
        <w:t xml:space="preserve"> grupos de trabajo internos</w:t>
      </w:r>
      <w:r>
        <w:rPr>
          <w:szCs w:val="26"/>
        </w:rPr>
        <w:t>.</w:t>
      </w:r>
    </w:p>
    <w:p w14:paraId="61B6DCE8" w14:textId="6EFD7B79"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Parlamento</w:t>
      </w:r>
      <w:r w:rsidRPr="00615481">
        <w:rPr>
          <w:szCs w:val="26"/>
        </w:rPr>
        <w:t xml:space="preserve"> Joven de Navarra</w:t>
      </w:r>
      <w:r>
        <w:rPr>
          <w:szCs w:val="26"/>
        </w:rPr>
        <w:t>.</w:t>
      </w:r>
    </w:p>
    <w:p w14:paraId="3F45A8C4" w14:textId="77B1E012"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615481">
        <w:rPr>
          <w:szCs w:val="26"/>
        </w:rPr>
        <w:t>Bols</w:t>
      </w:r>
      <w:r>
        <w:rPr>
          <w:szCs w:val="26"/>
        </w:rPr>
        <w:t>a de formación: celebración de tres</w:t>
      </w:r>
      <w:r w:rsidRPr="00615481">
        <w:rPr>
          <w:szCs w:val="26"/>
        </w:rPr>
        <w:t xml:space="preserve"> formaciones: Cómo conseguir recursos europeos</w:t>
      </w:r>
      <w:r>
        <w:rPr>
          <w:szCs w:val="26"/>
        </w:rPr>
        <w:t xml:space="preserve"> para entidades (12 asistentes);</w:t>
      </w:r>
      <w:r w:rsidRPr="00615481">
        <w:rPr>
          <w:szCs w:val="26"/>
        </w:rPr>
        <w:t xml:space="preserve"> Dinamización de espacios virtuales (13 asistentes)</w:t>
      </w:r>
      <w:r>
        <w:rPr>
          <w:szCs w:val="26"/>
        </w:rPr>
        <w:t xml:space="preserve"> y</w:t>
      </w:r>
      <w:r w:rsidRPr="00615481">
        <w:rPr>
          <w:szCs w:val="26"/>
        </w:rPr>
        <w:t xml:space="preserve"> Oratoria y Portavocía (14 asistentes)</w:t>
      </w:r>
      <w:r>
        <w:rPr>
          <w:szCs w:val="26"/>
        </w:rPr>
        <w:t>.</w:t>
      </w:r>
    </w:p>
    <w:p w14:paraId="31070F7F" w14:textId="5F82A3AC"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615481">
        <w:rPr>
          <w:szCs w:val="26"/>
        </w:rPr>
        <w:t>Contacto con Grupos Parlamentarios, Gobierno de Navarra y Parlamento de Navarra.</w:t>
      </w:r>
    </w:p>
    <w:p w14:paraId="76EA4949" w14:textId="75B88E33"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Representación</w:t>
      </w:r>
      <w:r w:rsidRPr="00615481">
        <w:rPr>
          <w:szCs w:val="26"/>
        </w:rPr>
        <w:t xml:space="preserve"> institucional en diversos eventos</w:t>
      </w:r>
      <w:r>
        <w:rPr>
          <w:szCs w:val="26"/>
        </w:rPr>
        <w:t>.</w:t>
      </w:r>
    </w:p>
    <w:p w14:paraId="150A60AC" w14:textId="206A2305"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Actualización</w:t>
      </w:r>
      <w:r>
        <w:rPr>
          <w:szCs w:val="26"/>
        </w:rPr>
        <w:t xml:space="preserve"> de la normativa del CJN </w:t>
      </w:r>
      <w:r w:rsidRPr="00615481">
        <w:rPr>
          <w:szCs w:val="26"/>
        </w:rPr>
        <w:t>junto con el INJ</w:t>
      </w:r>
      <w:r>
        <w:rPr>
          <w:szCs w:val="26"/>
        </w:rPr>
        <w:t>.</w:t>
      </w:r>
    </w:p>
    <w:p w14:paraId="7AB71497" w14:textId="3B20F29A"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Participación</w:t>
      </w:r>
      <w:r w:rsidRPr="00615481">
        <w:rPr>
          <w:szCs w:val="26"/>
        </w:rPr>
        <w:t xml:space="preserve"> en la elaboración del Plan Foral de Juventud</w:t>
      </w:r>
      <w:r>
        <w:rPr>
          <w:szCs w:val="26"/>
        </w:rPr>
        <w:t>.</w:t>
      </w:r>
    </w:p>
    <w:p w14:paraId="2EE81387" w14:textId="2022D6D2"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Participación</w:t>
      </w:r>
      <w:r w:rsidRPr="00615481">
        <w:rPr>
          <w:szCs w:val="26"/>
        </w:rPr>
        <w:t xml:space="preserve"> en ZASKA (red </w:t>
      </w:r>
      <w:proofErr w:type="spellStart"/>
      <w:r w:rsidRPr="00615481">
        <w:rPr>
          <w:szCs w:val="26"/>
        </w:rPr>
        <w:t>antirrumores</w:t>
      </w:r>
      <w:proofErr w:type="spellEnd"/>
      <w:r w:rsidRPr="00615481">
        <w:rPr>
          <w:szCs w:val="26"/>
        </w:rPr>
        <w:t xml:space="preserve"> de Navarra)</w:t>
      </w:r>
      <w:r>
        <w:rPr>
          <w:szCs w:val="26"/>
        </w:rPr>
        <w:t>.</w:t>
      </w:r>
    </w:p>
    <w:p w14:paraId="1841EB2D" w14:textId="48D66A96"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Participación</w:t>
      </w:r>
      <w:r w:rsidRPr="00615481">
        <w:rPr>
          <w:szCs w:val="26"/>
        </w:rPr>
        <w:t xml:space="preserve"> en el grupo intercultural de acogida a jóvenes migrantes</w:t>
      </w:r>
      <w:r>
        <w:rPr>
          <w:szCs w:val="26"/>
        </w:rPr>
        <w:t>.</w:t>
      </w:r>
    </w:p>
    <w:p w14:paraId="33E7DB9D" w14:textId="02C0A299"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Campaña</w:t>
      </w:r>
      <w:r w:rsidRPr="00615481">
        <w:rPr>
          <w:szCs w:val="26"/>
        </w:rPr>
        <w:t xml:space="preserve"> de Salud Sexual: Llévame contigo</w:t>
      </w:r>
      <w:r>
        <w:rPr>
          <w:szCs w:val="26"/>
        </w:rPr>
        <w:t>.</w:t>
      </w:r>
    </w:p>
    <w:p w14:paraId="60E0EDB3" w14:textId="47AA421F"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615481">
        <w:rPr>
          <w:szCs w:val="26"/>
        </w:rPr>
        <w:t xml:space="preserve">CES: como </w:t>
      </w:r>
      <w:r w:rsidRPr="00C335C7">
        <w:rPr>
          <w:rFonts w:eastAsia="Calibri"/>
        </w:rPr>
        <w:t>entidad</w:t>
      </w:r>
      <w:r w:rsidRPr="00615481">
        <w:rPr>
          <w:szCs w:val="26"/>
        </w:rPr>
        <w:t xml:space="preserve"> coordinadora de envío y acogida de voluntarios, se ha atendido a 20 personas</w:t>
      </w:r>
      <w:r>
        <w:rPr>
          <w:szCs w:val="26"/>
        </w:rPr>
        <w:t>.</w:t>
      </w:r>
      <w:r w:rsidRPr="00615481">
        <w:rPr>
          <w:szCs w:val="26"/>
        </w:rPr>
        <w:t xml:space="preserve"> </w:t>
      </w:r>
    </w:p>
    <w:p w14:paraId="300BD9CC" w14:textId="730EE27D" w:rsidR="00615481" w:rsidRP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615481">
        <w:rPr>
          <w:szCs w:val="26"/>
        </w:rPr>
        <w:lastRenderedPageBreak/>
        <w:t xml:space="preserve">Participación en el programa </w:t>
      </w:r>
      <w:proofErr w:type="spellStart"/>
      <w:r w:rsidRPr="00615481">
        <w:rPr>
          <w:szCs w:val="26"/>
        </w:rPr>
        <w:t>Gozamenez</w:t>
      </w:r>
      <w:proofErr w:type="spellEnd"/>
      <w:r w:rsidRPr="00615481">
        <w:rPr>
          <w:szCs w:val="26"/>
        </w:rPr>
        <w:t xml:space="preserve"> que cuenta con subvención y gestión específicas</w:t>
      </w:r>
      <w:r>
        <w:rPr>
          <w:szCs w:val="26"/>
        </w:rPr>
        <w:t>.</w:t>
      </w:r>
    </w:p>
    <w:p w14:paraId="049DBC6A" w14:textId="77777777" w:rsidR="00615481"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615481">
        <w:rPr>
          <w:szCs w:val="26"/>
        </w:rPr>
        <w:t>Evento: Ciudad de las Mujeres</w:t>
      </w:r>
      <w:r>
        <w:rPr>
          <w:szCs w:val="26"/>
        </w:rPr>
        <w:t xml:space="preserve"> para </w:t>
      </w:r>
      <w:r w:rsidRPr="00615481">
        <w:rPr>
          <w:szCs w:val="26"/>
        </w:rPr>
        <w:t>ofrecer una mirada feminista de la historia de Pamplona a través de un paseo turístico por Pamplona.</w:t>
      </w:r>
      <w:r>
        <w:rPr>
          <w:szCs w:val="26"/>
        </w:rPr>
        <w:t xml:space="preserve"> Se celebraron dos s</w:t>
      </w:r>
      <w:r w:rsidRPr="00615481">
        <w:rPr>
          <w:szCs w:val="26"/>
        </w:rPr>
        <w:t>esiones</w:t>
      </w:r>
      <w:r>
        <w:rPr>
          <w:szCs w:val="26"/>
        </w:rPr>
        <w:t xml:space="preserve"> en las que hubo 27 participantes.</w:t>
      </w:r>
    </w:p>
    <w:p w14:paraId="26B51B02" w14:textId="77777777" w:rsidR="00150D66" w:rsidRDefault="00615481"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615481">
        <w:rPr>
          <w:szCs w:val="26"/>
        </w:rPr>
        <w:t xml:space="preserve">Presencia en medios: entrevistas en radio y televisión, presencia en Redes Sociales (Twitter, Facebook, Instagram, </w:t>
      </w:r>
      <w:proofErr w:type="spellStart"/>
      <w:r w:rsidRPr="00615481">
        <w:rPr>
          <w:szCs w:val="26"/>
        </w:rPr>
        <w:t>Youtube</w:t>
      </w:r>
      <w:proofErr w:type="spellEnd"/>
      <w:r w:rsidRPr="00615481">
        <w:rPr>
          <w:szCs w:val="26"/>
        </w:rPr>
        <w:t>).</w:t>
      </w:r>
    </w:p>
    <w:p w14:paraId="6A47C474" w14:textId="77777777" w:rsidR="00150D66" w:rsidRPr="00150D66" w:rsidRDefault="00150D66" w:rsidP="00150D66">
      <w:pPr>
        <w:pStyle w:val="texto"/>
        <w:spacing w:before="240" w:after="120"/>
        <w:ind w:firstLine="0"/>
        <w:rPr>
          <w:rFonts w:ascii="Arial" w:hAnsi="Arial" w:cs="Arial"/>
          <w:sz w:val="25"/>
          <w:szCs w:val="25"/>
        </w:rPr>
      </w:pPr>
      <w:r w:rsidRPr="00150D66">
        <w:rPr>
          <w:rFonts w:ascii="Arial" w:hAnsi="Arial" w:cs="Arial"/>
          <w:sz w:val="25"/>
          <w:szCs w:val="25"/>
        </w:rPr>
        <w:t>Actividades de 2022 según la memoria del CJN</w:t>
      </w:r>
    </w:p>
    <w:p w14:paraId="5E4893F2" w14:textId="77777777" w:rsidR="00150D66" w:rsidRP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150D66">
        <w:rPr>
          <w:szCs w:val="26"/>
        </w:rPr>
        <w:t>Visita a dos centros educativos.</w:t>
      </w:r>
    </w:p>
    <w:p w14:paraId="216083C8" w14:textId="77777777" w:rsidR="00150D66" w:rsidRP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150D66">
        <w:rPr>
          <w:szCs w:val="26"/>
        </w:rPr>
        <w:t>Campaña de sensibilización del 25 de noviembre “Día internacional de la Violencia contra las mujeres”.</w:t>
      </w:r>
    </w:p>
    <w:p w14:paraId="0EAC5378" w14:textId="77777777" w:rsidR="00150D66" w:rsidRP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150D66">
        <w:rPr>
          <w:szCs w:val="26"/>
        </w:rPr>
        <w:t xml:space="preserve">Campaña #GazteHate: creación de un espacio web para destacar el papel de la juventud de </w:t>
      </w:r>
      <w:r w:rsidRPr="00C335C7">
        <w:rPr>
          <w:rFonts w:eastAsia="Calibri"/>
        </w:rPr>
        <w:t>forma</w:t>
      </w:r>
      <w:r w:rsidRPr="00150D66">
        <w:rPr>
          <w:szCs w:val="26"/>
        </w:rPr>
        <w:t xml:space="preserve"> positiva (este espacio no presenta actividad en 2023).</w:t>
      </w:r>
    </w:p>
    <w:p w14:paraId="040AE4D6" w14:textId="77777777" w:rsidR="00150D66" w:rsidRP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Presencia</w:t>
      </w:r>
      <w:r w:rsidRPr="00150D66">
        <w:rPr>
          <w:szCs w:val="26"/>
        </w:rPr>
        <w:t xml:space="preserve"> en medios: entrevistas en radio y tv, presencia en redes sociales (Twitter, Facebook, Instagram, YouTube).</w:t>
      </w:r>
    </w:p>
    <w:p w14:paraId="30F988BC" w14:textId="77777777" w:rsidR="00150D66" w:rsidRP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Comparecencias</w:t>
      </w:r>
      <w:r w:rsidRPr="00150D66">
        <w:rPr>
          <w:szCs w:val="26"/>
        </w:rPr>
        <w:t xml:space="preserve"> en el Parlamento de Navarra.</w:t>
      </w:r>
    </w:p>
    <w:p w14:paraId="6FFF6777" w14:textId="77777777" w:rsidR="00150D66" w:rsidRPr="00C335C7"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rFonts w:eastAsia="Calibri"/>
        </w:rPr>
      </w:pPr>
      <w:r w:rsidRPr="00C335C7">
        <w:rPr>
          <w:rFonts w:eastAsia="Calibri"/>
        </w:rPr>
        <w:t>Propuestas para el programa Parlamento Joven.</w:t>
      </w:r>
    </w:p>
    <w:p w14:paraId="343131E6" w14:textId="77777777" w:rsidR="00150D66" w:rsidRPr="00C335C7"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rFonts w:eastAsia="Calibri"/>
        </w:rPr>
      </w:pPr>
      <w:r w:rsidRPr="00C335C7">
        <w:rPr>
          <w:rFonts w:eastAsia="Calibri"/>
        </w:rPr>
        <w:t>Contacto con Grupos Parlamentarios y Gobierno de Navarra.</w:t>
      </w:r>
    </w:p>
    <w:p w14:paraId="5E540D29" w14:textId="77777777" w:rsidR="00150D66" w:rsidRP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Artículos</w:t>
      </w:r>
      <w:r w:rsidRPr="00150D66">
        <w:rPr>
          <w:szCs w:val="26"/>
        </w:rPr>
        <w:t xml:space="preserve"> publicados sobre salud mental de la juventud, sobre el 8 de marzo, situación laboral de la juventud, Sahara, etc.</w:t>
      </w:r>
    </w:p>
    <w:p w14:paraId="5989B81B" w14:textId="77777777" w:rsidR="00150D66" w:rsidRPr="00C335C7"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rFonts w:eastAsia="Calibri"/>
        </w:rPr>
      </w:pPr>
      <w:r w:rsidRPr="00C335C7">
        <w:rPr>
          <w:rFonts w:eastAsia="Calibri"/>
        </w:rPr>
        <w:t xml:space="preserve">Organización de dos sesiones para “Construye: recogida de propuestas entre jóvenes”. </w:t>
      </w:r>
    </w:p>
    <w:p w14:paraId="1368D853" w14:textId="77777777" w:rsidR="00150D66" w:rsidRPr="00C335C7"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rFonts w:eastAsia="Calibri"/>
        </w:rPr>
      </w:pPr>
      <w:proofErr w:type="spellStart"/>
      <w:r w:rsidRPr="00C335C7">
        <w:rPr>
          <w:rFonts w:eastAsia="Calibri"/>
        </w:rPr>
        <w:t>Olatuak</w:t>
      </w:r>
      <w:proofErr w:type="spellEnd"/>
      <w:r w:rsidRPr="00C335C7">
        <w:rPr>
          <w:rFonts w:eastAsia="Calibri"/>
        </w:rPr>
        <w:t xml:space="preserve">: asesoramiento para mejorar la participación extraescolar de los jóvenes en Valles de Salazar y Roncal. </w:t>
      </w:r>
    </w:p>
    <w:p w14:paraId="383FACF0" w14:textId="77777777" w:rsidR="00150D66" w:rsidRPr="00C335C7"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rFonts w:eastAsia="Calibri"/>
        </w:rPr>
      </w:pPr>
      <w:r w:rsidRPr="00C335C7">
        <w:rPr>
          <w:rFonts w:eastAsia="Calibri"/>
        </w:rPr>
        <w:t xml:space="preserve">Participación en ZASKA (red </w:t>
      </w:r>
      <w:proofErr w:type="spellStart"/>
      <w:r w:rsidRPr="00C335C7">
        <w:rPr>
          <w:rFonts w:eastAsia="Calibri"/>
        </w:rPr>
        <w:t>antirrumores</w:t>
      </w:r>
      <w:proofErr w:type="spellEnd"/>
      <w:r w:rsidRPr="00C335C7">
        <w:rPr>
          <w:rFonts w:eastAsia="Calibri"/>
        </w:rPr>
        <w:t xml:space="preserve"> de Navarra).</w:t>
      </w:r>
    </w:p>
    <w:p w14:paraId="7DDA4348" w14:textId="77777777" w:rsidR="00150D66" w:rsidRPr="00C335C7"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rFonts w:eastAsia="Calibri"/>
        </w:rPr>
      </w:pPr>
      <w:r w:rsidRPr="00C335C7">
        <w:rPr>
          <w:rFonts w:eastAsia="Calibri"/>
        </w:rPr>
        <w:t>Participación en el grupo intercultural de acogida a jóvenes migrantes.</w:t>
      </w:r>
    </w:p>
    <w:p w14:paraId="39542807" w14:textId="77777777" w:rsidR="00150D66" w:rsidRP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C335C7">
        <w:rPr>
          <w:rFonts w:eastAsia="Calibri"/>
        </w:rPr>
        <w:t>Campaña de</w:t>
      </w:r>
      <w:r w:rsidRPr="00150D66">
        <w:rPr>
          <w:szCs w:val="26"/>
        </w:rPr>
        <w:t xml:space="preserve"> Salud Sexual en San Fermín.</w:t>
      </w:r>
    </w:p>
    <w:p w14:paraId="6C906C95" w14:textId="77777777" w:rsidR="00150D66" w:rsidRP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szCs w:val="26"/>
        </w:rPr>
      </w:pPr>
      <w:r w:rsidRPr="00150D66">
        <w:rPr>
          <w:szCs w:val="26"/>
        </w:rPr>
        <w:t xml:space="preserve">Campaña </w:t>
      </w:r>
      <w:proofErr w:type="spellStart"/>
      <w:r w:rsidRPr="00150D66">
        <w:rPr>
          <w:szCs w:val="26"/>
        </w:rPr>
        <w:t>DisfrutatuFest</w:t>
      </w:r>
      <w:proofErr w:type="spellEnd"/>
      <w:r w:rsidRPr="00150D66">
        <w:rPr>
          <w:szCs w:val="26"/>
        </w:rPr>
        <w:t>: reparto de material sexual preventivo en 14 conciertos, festivales y eventos juveniles.</w:t>
      </w:r>
    </w:p>
    <w:p w14:paraId="7BA27A60" w14:textId="77777777" w:rsidR="00150D66" w:rsidRDefault="00150D66" w:rsidP="00C335C7">
      <w:pPr>
        <w:pStyle w:val="texto"/>
        <w:numPr>
          <w:ilvl w:val="0"/>
          <w:numId w:val="10"/>
        </w:numPr>
        <w:tabs>
          <w:tab w:val="clear" w:pos="2835"/>
          <w:tab w:val="clear" w:pos="3969"/>
          <w:tab w:val="clear" w:pos="5103"/>
          <w:tab w:val="clear" w:pos="6237"/>
          <w:tab w:val="clear" w:pos="7371"/>
          <w:tab w:val="num" w:pos="300"/>
          <w:tab w:val="left" w:pos="480"/>
          <w:tab w:val="num" w:pos="600"/>
        </w:tabs>
        <w:ind w:left="0" w:firstLine="284"/>
        <w:rPr>
          <w:rFonts w:eastAsia="Calibri"/>
          <w:szCs w:val="26"/>
        </w:rPr>
      </w:pPr>
      <w:r w:rsidRPr="00C335C7">
        <w:rPr>
          <w:rFonts w:eastAsia="Calibri"/>
        </w:rPr>
        <w:t>Colaboración</w:t>
      </w:r>
      <w:r w:rsidRPr="00150D66">
        <w:rPr>
          <w:szCs w:val="26"/>
        </w:rPr>
        <w:t xml:space="preserve"> en el programa comunitario </w:t>
      </w:r>
      <w:proofErr w:type="spellStart"/>
      <w:r w:rsidRPr="00150D66">
        <w:rPr>
          <w:szCs w:val="26"/>
        </w:rPr>
        <w:t>Gozamenez</w:t>
      </w:r>
      <w:proofErr w:type="spellEnd"/>
      <w:r w:rsidRPr="00150D66">
        <w:rPr>
          <w:szCs w:val="26"/>
        </w:rPr>
        <w:t xml:space="preserve"> de sexualidad y juventud). </w:t>
      </w:r>
    </w:p>
    <w:p w14:paraId="67EE9FDC" w14:textId="43261309" w:rsidR="00E41E7F" w:rsidRPr="00615481" w:rsidRDefault="00E41E7F" w:rsidP="00615481">
      <w:pPr>
        <w:pStyle w:val="Prrafodelista"/>
        <w:numPr>
          <w:ilvl w:val="0"/>
          <w:numId w:val="10"/>
        </w:numPr>
        <w:spacing w:before="120" w:after="120"/>
        <w:ind w:left="0" w:firstLine="284"/>
        <w:contextualSpacing w:val="0"/>
        <w:rPr>
          <w:sz w:val="26"/>
          <w:szCs w:val="26"/>
        </w:rPr>
      </w:pPr>
      <w:r w:rsidRPr="00615481">
        <w:rPr>
          <w:rFonts w:ascii="Arial" w:hAnsi="Arial" w:cs="Arial"/>
          <w:b/>
          <w:sz w:val="25"/>
          <w:szCs w:val="25"/>
        </w:rPr>
        <w:br w:type="page"/>
      </w:r>
    </w:p>
    <w:p w14:paraId="0E7E2F77" w14:textId="7C01B0F5" w:rsidR="005E5E2D" w:rsidRPr="00702FE8" w:rsidRDefault="384E2296" w:rsidP="00702FE8">
      <w:pPr>
        <w:pStyle w:val="atitulo1"/>
      </w:pPr>
      <w:bookmarkStart w:id="26" w:name="_Toc153454660"/>
      <w:r>
        <w:lastRenderedPageBreak/>
        <w:t xml:space="preserve">Anexo </w:t>
      </w:r>
      <w:r w:rsidR="00E41E7F">
        <w:t>2</w:t>
      </w:r>
      <w:r>
        <w:t xml:space="preserve">. Balance de situación y cuenta de pérdidas y ganancias del Consejo de la Juventud de Navarra a 31 de diciembre de </w:t>
      </w:r>
      <w:r w:rsidR="4B1A6772">
        <w:t>2019, 2020, 2021 y 2022</w:t>
      </w:r>
      <w:r w:rsidR="004605A2">
        <w:rPr>
          <w:rStyle w:val="Refdenotaalpie"/>
        </w:rPr>
        <w:footnoteReference w:id="4"/>
      </w:r>
      <w:bookmarkEnd w:id="26"/>
      <w:r w:rsidR="2D4CDBB0">
        <w:t xml:space="preserve"> </w:t>
      </w:r>
    </w:p>
    <w:p w14:paraId="16A01751" w14:textId="058637AA" w:rsidR="007E2B6D" w:rsidRPr="003860F8" w:rsidRDefault="007E2B6D" w:rsidP="003860F8">
      <w:pPr>
        <w:pStyle w:val="atitulo3"/>
        <w:rPr>
          <w:i w:val="0"/>
        </w:rPr>
      </w:pPr>
      <w:r w:rsidRPr="003860F8">
        <w:rPr>
          <w:i w:val="0"/>
        </w:rPr>
        <w:t>Balance de situación a 31 de diciembre de 2019 y 2020</w:t>
      </w:r>
    </w:p>
    <w:tbl>
      <w:tblPr>
        <w:tblW w:w="9214" w:type="dxa"/>
        <w:jc w:val="center"/>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2880"/>
        <w:gridCol w:w="865"/>
        <w:gridCol w:w="864"/>
        <w:gridCol w:w="2877"/>
        <w:gridCol w:w="864"/>
        <w:gridCol w:w="864"/>
      </w:tblGrid>
      <w:tr w:rsidR="007E2B6D" w:rsidRPr="00317F02" w14:paraId="0E62FD7A" w14:textId="77777777" w:rsidTr="00130467">
        <w:trPr>
          <w:trHeight w:val="255"/>
          <w:jc w:val="center"/>
        </w:trPr>
        <w:tc>
          <w:tcPr>
            <w:tcW w:w="2835" w:type="dxa"/>
            <w:shd w:val="clear" w:color="auto" w:fill="95B3D7" w:themeFill="accent1" w:themeFillTint="99"/>
            <w:noWrap/>
            <w:vAlign w:val="center"/>
          </w:tcPr>
          <w:p w14:paraId="39AC5C61" w14:textId="77777777" w:rsidR="007E2B6D" w:rsidRPr="00317F02" w:rsidRDefault="007E2B6D" w:rsidP="00702FE8">
            <w:pPr>
              <w:pStyle w:val="cuadroCabe"/>
              <w:rPr>
                <w:lang w:val="es-ES" w:eastAsia="es-ES"/>
              </w:rPr>
            </w:pPr>
            <w:r w:rsidRPr="00317F02">
              <w:rPr>
                <w:lang w:val="es-ES" w:eastAsia="es-ES"/>
              </w:rPr>
              <w:t>ACTIVO</w:t>
            </w:r>
          </w:p>
        </w:tc>
        <w:tc>
          <w:tcPr>
            <w:tcW w:w="851" w:type="dxa"/>
            <w:shd w:val="clear" w:color="auto" w:fill="95B3D7" w:themeFill="accent1" w:themeFillTint="99"/>
            <w:noWrap/>
            <w:vAlign w:val="center"/>
          </w:tcPr>
          <w:p w14:paraId="2460CF61" w14:textId="2A44590A" w:rsidR="007E2B6D" w:rsidRPr="00317F02" w:rsidRDefault="007E2B6D" w:rsidP="003860F8">
            <w:pPr>
              <w:pStyle w:val="cuadroCabe"/>
              <w:ind w:left="-75"/>
              <w:jc w:val="right"/>
              <w:rPr>
                <w:lang w:val="es-ES" w:eastAsia="es-ES"/>
              </w:rPr>
            </w:pPr>
            <w:r w:rsidRPr="60353C01">
              <w:rPr>
                <w:color w:val="000000" w:themeColor="text1"/>
                <w:lang w:val="es-ES" w:eastAsia="es-ES"/>
              </w:rPr>
              <w:t>20</w:t>
            </w:r>
            <w:r>
              <w:rPr>
                <w:color w:val="000000" w:themeColor="text1"/>
                <w:lang w:val="es-ES" w:eastAsia="es-ES"/>
              </w:rPr>
              <w:t>19</w:t>
            </w:r>
          </w:p>
        </w:tc>
        <w:tc>
          <w:tcPr>
            <w:tcW w:w="851" w:type="dxa"/>
            <w:tcBorders>
              <w:right w:val="single" w:sz="2" w:space="0" w:color="auto"/>
            </w:tcBorders>
            <w:shd w:val="clear" w:color="auto" w:fill="95B3D7" w:themeFill="accent1" w:themeFillTint="99"/>
            <w:noWrap/>
            <w:vAlign w:val="center"/>
          </w:tcPr>
          <w:p w14:paraId="31008EE3" w14:textId="61269245" w:rsidR="007E2B6D" w:rsidRPr="00317F02" w:rsidRDefault="007E2B6D" w:rsidP="00A532EF">
            <w:pPr>
              <w:pStyle w:val="cuadroCabe"/>
              <w:jc w:val="right"/>
              <w:rPr>
                <w:lang w:val="es-ES" w:eastAsia="es-ES"/>
              </w:rPr>
            </w:pPr>
            <w:r w:rsidRPr="00317F02">
              <w:rPr>
                <w:lang w:val="es-ES" w:eastAsia="es-ES"/>
              </w:rPr>
              <w:t>20</w:t>
            </w:r>
            <w:r>
              <w:rPr>
                <w:lang w:val="es-ES" w:eastAsia="es-ES"/>
              </w:rPr>
              <w:t>20</w:t>
            </w:r>
          </w:p>
        </w:tc>
        <w:tc>
          <w:tcPr>
            <w:tcW w:w="2833" w:type="dxa"/>
            <w:tcBorders>
              <w:left w:val="single" w:sz="2" w:space="0" w:color="auto"/>
              <w:bottom w:val="single" w:sz="4" w:space="0" w:color="auto"/>
            </w:tcBorders>
            <w:shd w:val="clear" w:color="auto" w:fill="95B3D7" w:themeFill="accent1" w:themeFillTint="99"/>
            <w:vAlign w:val="center"/>
          </w:tcPr>
          <w:p w14:paraId="7D765B59" w14:textId="77777777" w:rsidR="007E2B6D" w:rsidRPr="00317F02" w:rsidRDefault="007E2B6D" w:rsidP="00702FE8">
            <w:pPr>
              <w:pStyle w:val="cuadroCabe"/>
              <w:rPr>
                <w:lang w:val="es-ES" w:eastAsia="es-ES"/>
              </w:rPr>
            </w:pPr>
            <w:r w:rsidRPr="00317F02">
              <w:rPr>
                <w:lang w:val="es-ES" w:eastAsia="es-ES"/>
              </w:rPr>
              <w:t>PASIVO</w:t>
            </w:r>
          </w:p>
        </w:tc>
        <w:tc>
          <w:tcPr>
            <w:tcW w:w="851" w:type="dxa"/>
            <w:shd w:val="clear" w:color="auto" w:fill="95B3D7" w:themeFill="accent1" w:themeFillTint="99"/>
            <w:noWrap/>
            <w:vAlign w:val="center"/>
          </w:tcPr>
          <w:p w14:paraId="409B7113" w14:textId="4D149F44" w:rsidR="007E2B6D" w:rsidRPr="00317F02" w:rsidRDefault="007E2B6D" w:rsidP="00F26066">
            <w:pPr>
              <w:pStyle w:val="cuadroCabe"/>
              <w:jc w:val="right"/>
              <w:rPr>
                <w:lang w:val="es-ES" w:eastAsia="es-ES"/>
              </w:rPr>
            </w:pPr>
            <w:r w:rsidRPr="60353C01">
              <w:rPr>
                <w:color w:val="000000" w:themeColor="text1"/>
                <w:lang w:val="es-ES" w:eastAsia="es-ES"/>
              </w:rPr>
              <w:t>20</w:t>
            </w:r>
            <w:r>
              <w:rPr>
                <w:color w:val="000000" w:themeColor="text1"/>
                <w:lang w:val="es-ES" w:eastAsia="es-ES"/>
              </w:rPr>
              <w:t>19</w:t>
            </w:r>
          </w:p>
        </w:tc>
        <w:tc>
          <w:tcPr>
            <w:tcW w:w="851" w:type="dxa"/>
            <w:shd w:val="clear" w:color="auto" w:fill="95B3D7" w:themeFill="accent1" w:themeFillTint="99"/>
            <w:noWrap/>
            <w:vAlign w:val="center"/>
          </w:tcPr>
          <w:p w14:paraId="264DB69A" w14:textId="011517A7" w:rsidR="007E2B6D" w:rsidRPr="00317F02" w:rsidRDefault="007E2B6D" w:rsidP="00F26066">
            <w:pPr>
              <w:pStyle w:val="cuadroCabe"/>
              <w:jc w:val="right"/>
              <w:rPr>
                <w:lang w:val="es-ES" w:eastAsia="es-ES"/>
              </w:rPr>
            </w:pPr>
            <w:r>
              <w:rPr>
                <w:lang w:val="es-ES" w:eastAsia="es-ES"/>
              </w:rPr>
              <w:t>2020</w:t>
            </w:r>
          </w:p>
        </w:tc>
      </w:tr>
      <w:tr w:rsidR="007E2B6D" w:rsidRPr="009D2B8E" w14:paraId="2D840787" w14:textId="77777777" w:rsidTr="00C30A9B">
        <w:trPr>
          <w:trHeight w:val="198"/>
          <w:jc w:val="center"/>
        </w:trPr>
        <w:tc>
          <w:tcPr>
            <w:tcW w:w="2835" w:type="dxa"/>
            <w:tcBorders>
              <w:bottom w:val="single" w:sz="2" w:space="0" w:color="auto"/>
            </w:tcBorders>
            <w:shd w:val="clear" w:color="auto" w:fill="auto"/>
            <w:vAlign w:val="center"/>
          </w:tcPr>
          <w:p w14:paraId="06A2E865" w14:textId="79E5A30B" w:rsidR="007E2B6D" w:rsidRPr="009D2B8E" w:rsidRDefault="007E2B6D" w:rsidP="006E3597">
            <w:pPr>
              <w:spacing w:after="0"/>
              <w:ind w:firstLine="0"/>
              <w:jc w:val="left"/>
              <w:rPr>
                <w:rFonts w:ascii="Arial Narrow" w:hAnsi="Arial Narrow" w:cs="Arial"/>
                <w:b/>
                <w:bCs/>
                <w:sz w:val="18"/>
                <w:szCs w:val="18"/>
                <w:lang w:val="es-ES" w:eastAsia="es-ES"/>
              </w:rPr>
            </w:pPr>
            <w:r w:rsidRPr="009D2B8E">
              <w:rPr>
                <w:rFonts w:ascii="Arial Narrow" w:hAnsi="Arial Narrow" w:cs="Arial"/>
                <w:b/>
                <w:bCs/>
                <w:sz w:val="18"/>
                <w:szCs w:val="18"/>
                <w:lang w:val="es-ES" w:eastAsia="es-ES"/>
              </w:rPr>
              <w:t>A) ACTIVO NO CORRIENTE</w:t>
            </w:r>
          </w:p>
        </w:tc>
        <w:tc>
          <w:tcPr>
            <w:tcW w:w="851" w:type="dxa"/>
            <w:tcBorders>
              <w:bottom w:val="single" w:sz="2" w:space="0" w:color="auto"/>
            </w:tcBorders>
            <w:shd w:val="clear" w:color="auto" w:fill="auto"/>
            <w:noWrap/>
            <w:vAlign w:val="center"/>
          </w:tcPr>
          <w:p w14:paraId="32BA3193" w14:textId="45048046" w:rsidR="007E2B6D" w:rsidRPr="009D2B8E" w:rsidRDefault="007E2B6D" w:rsidP="003860F8">
            <w:pPr>
              <w:spacing w:after="0"/>
              <w:ind w:left="-75" w:firstLine="0"/>
              <w:jc w:val="right"/>
              <w:rPr>
                <w:rFonts w:ascii="Arial Narrow" w:hAnsi="Arial Narrow" w:cs="Arial"/>
                <w:b/>
                <w:bCs/>
                <w:color w:val="000000"/>
                <w:sz w:val="18"/>
                <w:szCs w:val="18"/>
                <w:lang w:val="es-ES" w:eastAsia="es-ES"/>
              </w:rPr>
            </w:pPr>
            <w:r w:rsidRPr="009D2B8E">
              <w:rPr>
                <w:rFonts w:ascii="Arial Narrow" w:hAnsi="Arial Narrow" w:cs="Arial"/>
                <w:b/>
                <w:bCs/>
                <w:color w:val="000000"/>
                <w:sz w:val="18"/>
                <w:szCs w:val="18"/>
                <w:lang w:val="es-ES" w:eastAsia="es-ES"/>
              </w:rPr>
              <w:t>2.700</w:t>
            </w:r>
          </w:p>
        </w:tc>
        <w:tc>
          <w:tcPr>
            <w:tcW w:w="851" w:type="dxa"/>
            <w:tcBorders>
              <w:bottom w:val="single" w:sz="2" w:space="0" w:color="auto"/>
              <w:right w:val="single" w:sz="2" w:space="0" w:color="auto"/>
            </w:tcBorders>
            <w:shd w:val="clear" w:color="auto" w:fill="auto"/>
            <w:noWrap/>
            <w:vAlign w:val="center"/>
          </w:tcPr>
          <w:p w14:paraId="2C0CA7CD" w14:textId="2FD125B9" w:rsidR="007E2B6D" w:rsidRPr="009D2B8E" w:rsidRDefault="007E2B6D" w:rsidP="00A532EF">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
                <w:bCs/>
                <w:color w:val="000000"/>
                <w:sz w:val="18"/>
                <w:szCs w:val="18"/>
                <w:lang w:val="es-ES" w:eastAsia="es-ES"/>
              </w:rPr>
              <w:t>2.700</w:t>
            </w:r>
          </w:p>
        </w:tc>
        <w:tc>
          <w:tcPr>
            <w:tcW w:w="2833" w:type="dxa"/>
            <w:tcBorders>
              <w:left w:val="single" w:sz="2" w:space="0" w:color="auto"/>
              <w:bottom w:val="single" w:sz="2" w:space="0" w:color="auto"/>
            </w:tcBorders>
            <w:shd w:val="clear" w:color="auto" w:fill="auto"/>
            <w:vAlign w:val="center"/>
          </w:tcPr>
          <w:p w14:paraId="7C8E1D50" w14:textId="32F036B8" w:rsidR="007E2B6D" w:rsidRPr="009D2B8E" w:rsidRDefault="007E2B6D" w:rsidP="007E2B6D">
            <w:pPr>
              <w:spacing w:after="0"/>
              <w:ind w:firstLine="0"/>
              <w:jc w:val="left"/>
              <w:rPr>
                <w:rFonts w:ascii="Arial Narrow" w:hAnsi="Arial Narrow" w:cs="Arial"/>
                <w:b/>
                <w:bCs/>
                <w:sz w:val="18"/>
                <w:szCs w:val="18"/>
                <w:lang w:val="es-ES" w:eastAsia="es-ES"/>
              </w:rPr>
            </w:pPr>
            <w:r w:rsidRPr="009D2B8E">
              <w:rPr>
                <w:rFonts w:ascii="Arial Narrow" w:hAnsi="Arial Narrow" w:cs="Arial"/>
                <w:b/>
                <w:bCs/>
                <w:sz w:val="18"/>
                <w:szCs w:val="18"/>
                <w:lang w:val="es-ES" w:eastAsia="es-ES"/>
              </w:rPr>
              <w:t xml:space="preserve"> A) PATRIMONIO NETO</w:t>
            </w:r>
          </w:p>
        </w:tc>
        <w:tc>
          <w:tcPr>
            <w:tcW w:w="851" w:type="dxa"/>
            <w:tcBorders>
              <w:bottom w:val="single" w:sz="2" w:space="0" w:color="auto"/>
            </w:tcBorders>
            <w:shd w:val="clear" w:color="auto" w:fill="auto"/>
            <w:noWrap/>
            <w:vAlign w:val="center"/>
          </w:tcPr>
          <w:p w14:paraId="73078EF4" w14:textId="57BD6C29" w:rsidR="007E2B6D" w:rsidRPr="009D2B8E" w:rsidRDefault="007E2B6D"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
                <w:bCs/>
                <w:color w:val="000000"/>
                <w:sz w:val="18"/>
                <w:szCs w:val="18"/>
                <w:lang w:val="es-ES" w:eastAsia="es-ES"/>
              </w:rPr>
              <w:t>-176.067</w:t>
            </w:r>
          </w:p>
        </w:tc>
        <w:tc>
          <w:tcPr>
            <w:tcW w:w="851" w:type="dxa"/>
            <w:tcBorders>
              <w:bottom w:val="single" w:sz="2" w:space="0" w:color="auto"/>
            </w:tcBorders>
            <w:shd w:val="clear" w:color="auto" w:fill="auto"/>
            <w:noWrap/>
            <w:vAlign w:val="center"/>
          </w:tcPr>
          <w:p w14:paraId="04042174" w14:textId="7980B1ED" w:rsidR="007E2B6D"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
                <w:bCs/>
                <w:color w:val="000000"/>
                <w:sz w:val="18"/>
                <w:szCs w:val="18"/>
                <w:lang w:val="es-ES" w:eastAsia="es-ES"/>
              </w:rPr>
              <w:t>-339.659</w:t>
            </w:r>
          </w:p>
        </w:tc>
      </w:tr>
      <w:tr w:rsidR="007E2B6D" w:rsidRPr="009D2B8E" w14:paraId="0F747DC0"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3D219C36" w14:textId="4F3522F4" w:rsidR="007E2B6D" w:rsidRPr="009D2B8E" w:rsidRDefault="007E2B6D" w:rsidP="007E2B6D">
            <w:pPr>
              <w:spacing w:after="0"/>
              <w:ind w:firstLine="0"/>
              <w:jc w:val="left"/>
              <w:rPr>
                <w:rFonts w:ascii="Arial Narrow" w:hAnsi="Arial Narrow" w:cs="Arial"/>
                <w:bCs/>
                <w:sz w:val="18"/>
                <w:szCs w:val="18"/>
                <w:lang w:val="es-ES" w:eastAsia="es-ES"/>
              </w:rPr>
            </w:pPr>
            <w:r w:rsidRPr="009D2B8E">
              <w:rPr>
                <w:rFonts w:ascii="Arial Narrow" w:hAnsi="Arial Narrow" w:cs="Arial"/>
                <w:bCs/>
                <w:sz w:val="18"/>
                <w:szCs w:val="18"/>
                <w:lang w:val="es-ES" w:eastAsia="es-ES"/>
              </w:rPr>
              <w:t xml:space="preserve">I. Inmovilizado intangible </w:t>
            </w:r>
          </w:p>
        </w:tc>
        <w:tc>
          <w:tcPr>
            <w:tcW w:w="851" w:type="dxa"/>
            <w:tcBorders>
              <w:top w:val="single" w:sz="2" w:space="0" w:color="auto"/>
              <w:bottom w:val="single" w:sz="2" w:space="0" w:color="auto"/>
            </w:tcBorders>
            <w:shd w:val="clear" w:color="auto" w:fill="auto"/>
            <w:noWrap/>
            <w:vAlign w:val="center"/>
          </w:tcPr>
          <w:p w14:paraId="4D72991C" w14:textId="0FB7DB86" w:rsidR="007E2B6D" w:rsidRPr="009D2B8E" w:rsidRDefault="007E2B6D" w:rsidP="003860F8">
            <w:pPr>
              <w:spacing w:after="0"/>
              <w:ind w:left="-75" w:firstLine="0"/>
              <w:jc w:val="right"/>
              <w:rPr>
                <w:rFonts w:ascii="Arial Narrow" w:hAnsi="Arial Narrow" w:cs="Arial"/>
                <w:bCs/>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4068AAAD" w14:textId="55E41368" w:rsidR="007E2B6D" w:rsidRPr="009D2B8E" w:rsidRDefault="007E2B6D" w:rsidP="00A532EF">
            <w:pPr>
              <w:spacing w:after="0"/>
              <w:ind w:firstLine="0"/>
              <w:jc w:val="right"/>
              <w:rPr>
                <w:rFonts w:ascii="Arial Narrow" w:hAnsi="Arial Narrow" w:cs="Arial"/>
                <w:bCs/>
                <w:color w:val="000000"/>
                <w:sz w:val="18"/>
                <w:szCs w:val="18"/>
                <w:lang w:val="es-ES" w:eastAsia="es-ES"/>
              </w:rPr>
            </w:pPr>
            <w:r w:rsidRPr="009D2B8E">
              <w:rPr>
                <w:rFonts w:ascii="Arial Narrow" w:hAnsi="Arial Narrow" w:cs="Arial"/>
                <w:bCs/>
                <w:color w:val="000000"/>
                <w:sz w:val="18"/>
                <w:szCs w:val="18"/>
                <w:lang w:val="es-ES" w:eastAsia="es-ES"/>
              </w:rPr>
              <w:t>0</w:t>
            </w:r>
          </w:p>
        </w:tc>
        <w:tc>
          <w:tcPr>
            <w:tcW w:w="2833" w:type="dxa"/>
            <w:tcBorders>
              <w:top w:val="single" w:sz="2" w:space="0" w:color="auto"/>
              <w:left w:val="single" w:sz="2" w:space="0" w:color="auto"/>
              <w:bottom w:val="single" w:sz="2" w:space="0" w:color="auto"/>
            </w:tcBorders>
            <w:shd w:val="clear" w:color="auto" w:fill="auto"/>
            <w:vAlign w:val="center"/>
          </w:tcPr>
          <w:p w14:paraId="0A689115" w14:textId="0B74A9D0" w:rsidR="007E2B6D" w:rsidRPr="009D2B8E" w:rsidRDefault="007E2B6D" w:rsidP="007E2B6D">
            <w:pPr>
              <w:spacing w:after="0"/>
              <w:ind w:firstLine="0"/>
              <w:jc w:val="left"/>
              <w:rPr>
                <w:rFonts w:ascii="Arial Narrow" w:hAnsi="Arial Narrow" w:cs="Arial"/>
                <w:b/>
                <w:bCs/>
                <w:sz w:val="18"/>
                <w:szCs w:val="18"/>
                <w:lang w:val="es-ES" w:eastAsia="es-ES"/>
              </w:rPr>
            </w:pPr>
            <w:r w:rsidRPr="009D2B8E">
              <w:rPr>
                <w:rFonts w:ascii="Arial Narrow" w:hAnsi="Arial Narrow" w:cs="Arial"/>
                <w:b/>
                <w:bCs/>
                <w:sz w:val="18"/>
                <w:szCs w:val="18"/>
                <w:lang w:val="es-ES" w:eastAsia="es-ES"/>
              </w:rPr>
              <w:t>A-1) Fondos propios</w:t>
            </w:r>
          </w:p>
        </w:tc>
        <w:tc>
          <w:tcPr>
            <w:tcW w:w="851" w:type="dxa"/>
            <w:tcBorders>
              <w:top w:val="single" w:sz="2" w:space="0" w:color="auto"/>
              <w:bottom w:val="single" w:sz="2" w:space="0" w:color="auto"/>
            </w:tcBorders>
            <w:shd w:val="clear" w:color="auto" w:fill="auto"/>
            <w:noWrap/>
            <w:vAlign w:val="center"/>
          </w:tcPr>
          <w:p w14:paraId="68928B1F" w14:textId="1C116418" w:rsidR="007E2B6D" w:rsidRPr="009D2B8E" w:rsidRDefault="007E2B6D"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
                <w:bCs/>
                <w:color w:val="000000"/>
                <w:sz w:val="18"/>
                <w:szCs w:val="18"/>
                <w:lang w:val="es-ES" w:eastAsia="es-ES"/>
              </w:rPr>
              <w:t>-176.067</w:t>
            </w:r>
          </w:p>
        </w:tc>
        <w:tc>
          <w:tcPr>
            <w:tcW w:w="851" w:type="dxa"/>
            <w:tcBorders>
              <w:top w:val="single" w:sz="2" w:space="0" w:color="auto"/>
              <w:bottom w:val="single" w:sz="2" w:space="0" w:color="auto"/>
            </w:tcBorders>
            <w:shd w:val="clear" w:color="auto" w:fill="auto"/>
            <w:noWrap/>
            <w:vAlign w:val="center"/>
          </w:tcPr>
          <w:p w14:paraId="58F022D0" w14:textId="0AFBD7F6" w:rsidR="007E2B6D"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
                <w:bCs/>
                <w:color w:val="000000"/>
                <w:sz w:val="18"/>
                <w:szCs w:val="18"/>
                <w:lang w:val="es-ES" w:eastAsia="es-ES"/>
              </w:rPr>
              <w:t>-339.659</w:t>
            </w:r>
          </w:p>
        </w:tc>
      </w:tr>
      <w:tr w:rsidR="00BE5033" w:rsidRPr="009D2B8E" w14:paraId="74F99839"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0308EFB8" w14:textId="0856D62A" w:rsidR="00BE5033" w:rsidRPr="009D2B8E" w:rsidRDefault="00BE5033" w:rsidP="00BE5033">
            <w:pPr>
              <w:spacing w:after="0"/>
              <w:ind w:firstLine="0"/>
              <w:jc w:val="left"/>
              <w:rPr>
                <w:rFonts w:ascii="Arial Narrow" w:hAnsi="Arial Narrow" w:cs="Arial"/>
                <w:sz w:val="18"/>
                <w:szCs w:val="18"/>
                <w:lang w:val="es-ES" w:eastAsia="es-ES"/>
              </w:rPr>
            </w:pPr>
            <w:r w:rsidRPr="009D2B8E">
              <w:rPr>
                <w:rFonts w:ascii="Arial Narrow" w:hAnsi="Arial Narrow" w:cs="Arial"/>
                <w:bCs/>
                <w:sz w:val="18"/>
                <w:szCs w:val="18"/>
                <w:lang w:val="es-ES" w:eastAsia="es-ES"/>
              </w:rPr>
              <w:t xml:space="preserve">II. Inmovilizado material </w:t>
            </w:r>
          </w:p>
        </w:tc>
        <w:tc>
          <w:tcPr>
            <w:tcW w:w="851" w:type="dxa"/>
            <w:tcBorders>
              <w:top w:val="single" w:sz="2" w:space="0" w:color="auto"/>
              <w:bottom w:val="single" w:sz="2" w:space="0" w:color="auto"/>
            </w:tcBorders>
            <w:shd w:val="clear" w:color="auto" w:fill="auto"/>
            <w:noWrap/>
            <w:vAlign w:val="center"/>
          </w:tcPr>
          <w:p w14:paraId="08E10578" w14:textId="0662AC8E" w:rsidR="00BE5033" w:rsidRPr="009D2B8E" w:rsidRDefault="00BE5033" w:rsidP="003860F8">
            <w:pPr>
              <w:spacing w:after="0"/>
              <w:ind w:left="-75" w:firstLine="0"/>
              <w:jc w:val="right"/>
              <w:rPr>
                <w:rFonts w:ascii="Arial Narrow" w:hAnsi="Arial Narrow" w:cs="Arial"/>
                <w:color w:val="000000"/>
                <w:sz w:val="18"/>
                <w:szCs w:val="18"/>
                <w:lang w:val="es-ES" w:eastAsia="es-ES"/>
              </w:rPr>
            </w:pPr>
            <w:r w:rsidRPr="009D2B8E">
              <w:rPr>
                <w:rFonts w:ascii="Arial Narrow" w:hAnsi="Arial Narrow" w:cs="Arial"/>
                <w:bCs/>
                <w:color w:val="000000"/>
                <w:sz w:val="18"/>
                <w:szCs w:val="18"/>
                <w:lang w:val="es-ES" w:eastAsia="es-ES"/>
              </w:rPr>
              <w:t>2.700</w:t>
            </w:r>
          </w:p>
        </w:tc>
        <w:tc>
          <w:tcPr>
            <w:tcW w:w="851" w:type="dxa"/>
            <w:tcBorders>
              <w:top w:val="single" w:sz="2" w:space="0" w:color="auto"/>
              <w:bottom w:val="single" w:sz="2" w:space="0" w:color="auto"/>
              <w:right w:val="single" w:sz="2" w:space="0" w:color="auto"/>
            </w:tcBorders>
            <w:shd w:val="clear" w:color="auto" w:fill="auto"/>
            <w:noWrap/>
            <w:vAlign w:val="center"/>
          </w:tcPr>
          <w:p w14:paraId="3B9B72BC" w14:textId="2C7CFE64" w:rsidR="00BE5033" w:rsidRPr="009D2B8E" w:rsidRDefault="00BE5033" w:rsidP="00A532EF">
            <w:pPr>
              <w:spacing w:after="0"/>
              <w:ind w:firstLine="0"/>
              <w:jc w:val="right"/>
              <w:rPr>
                <w:rFonts w:ascii="Arial Narrow" w:hAnsi="Arial Narrow" w:cs="Arial"/>
                <w:color w:val="000000"/>
                <w:sz w:val="18"/>
                <w:szCs w:val="18"/>
                <w:lang w:val="es-ES" w:eastAsia="es-ES"/>
              </w:rPr>
            </w:pPr>
            <w:r w:rsidRPr="009D2B8E">
              <w:rPr>
                <w:rFonts w:ascii="Arial Narrow" w:hAnsi="Arial Narrow" w:cs="Arial"/>
                <w:bCs/>
                <w:color w:val="000000"/>
                <w:sz w:val="18"/>
                <w:szCs w:val="18"/>
                <w:lang w:val="es-ES" w:eastAsia="es-ES"/>
              </w:rPr>
              <w:t>2.700</w:t>
            </w:r>
          </w:p>
        </w:tc>
        <w:tc>
          <w:tcPr>
            <w:tcW w:w="2833" w:type="dxa"/>
            <w:tcBorders>
              <w:top w:val="single" w:sz="2" w:space="0" w:color="auto"/>
              <w:left w:val="single" w:sz="2" w:space="0" w:color="auto"/>
              <w:bottom w:val="single" w:sz="2" w:space="0" w:color="auto"/>
            </w:tcBorders>
            <w:shd w:val="clear" w:color="auto" w:fill="auto"/>
            <w:vAlign w:val="center"/>
          </w:tcPr>
          <w:p w14:paraId="558D7239" w14:textId="60B50D6D" w:rsidR="00BE5033" w:rsidRPr="009D2B8E" w:rsidRDefault="00BE5033" w:rsidP="00BE5033">
            <w:pPr>
              <w:spacing w:after="0"/>
              <w:ind w:firstLine="0"/>
              <w:jc w:val="left"/>
              <w:rPr>
                <w:rFonts w:ascii="Arial Narrow" w:hAnsi="Arial Narrow" w:cs="Arial"/>
                <w:sz w:val="18"/>
                <w:szCs w:val="18"/>
                <w:lang w:val="es-ES" w:eastAsia="es-ES"/>
              </w:rPr>
            </w:pPr>
            <w:r w:rsidRPr="009D2B8E">
              <w:rPr>
                <w:rFonts w:ascii="Arial Narrow" w:hAnsi="Arial Narrow" w:cs="Arial"/>
                <w:bCs/>
                <w:sz w:val="18"/>
                <w:szCs w:val="18"/>
                <w:lang w:val="es-ES" w:eastAsia="es-ES"/>
              </w:rPr>
              <w:t xml:space="preserve">I. Capital social </w:t>
            </w:r>
          </w:p>
        </w:tc>
        <w:tc>
          <w:tcPr>
            <w:tcW w:w="851" w:type="dxa"/>
            <w:tcBorders>
              <w:top w:val="single" w:sz="2" w:space="0" w:color="auto"/>
              <w:bottom w:val="single" w:sz="2" w:space="0" w:color="auto"/>
            </w:tcBorders>
            <w:shd w:val="clear" w:color="auto" w:fill="auto"/>
            <w:noWrap/>
            <w:vAlign w:val="center"/>
          </w:tcPr>
          <w:p w14:paraId="2E63E0C1" w14:textId="77E2F8EA" w:rsidR="00BE5033"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48B2231B" w14:textId="32D93771" w:rsidR="00BE5033"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bCs/>
                <w:color w:val="000000"/>
                <w:sz w:val="18"/>
                <w:szCs w:val="18"/>
                <w:lang w:val="es-ES" w:eastAsia="es-ES"/>
              </w:rPr>
              <w:t>0</w:t>
            </w:r>
          </w:p>
        </w:tc>
      </w:tr>
      <w:tr w:rsidR="00BE5033" w:rsidRPr="009D2B8E" w14:paraId="5E8AA977"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2651C59C" w14:textId="2DB6D6C0" w:rsidR="00BE5033" w:rsidRPr="009D2B8E" w:rsidRDefault="00BE5033" w:rsidP="00BE5033">
            <w:pPr>
              <w:spacing w:after="0"/>
              <w:ind w:firstLine="0"/>
              <w:jc w:val="left"/>
              <w:rPr>
                <w:rFonts w:ascii="Arial Narrow" w:hAnsi="Arial Narrow" w:cs="Arial"/>
                <w:sz w:val="18"/>
                <w:szCs w:val="18"/>
                <w:lang w:val="es-ES" w:eastAsia="es-ES"/>
              </w:rPr>
            </w:pPr>
            <w:r w:rsidRPr="009D2B8E">
              <w:rPr>
                <w:rFonts w:ascii="Arial Narrow" w:hAnsi="Arial Narrow" w:cs="Arial"/>
                <w:bCs/>
                <w:sz w:val="18"/>
                <w:szCs w:val="18"/>
                <w:lang w:val="es-ES" w:eastAsia="es-ES"/>
              </w:rPr>
              <w:t xml:space="preserve">III. Inversiones inmobiliarias </w:t>
            </w:r>
          </w:p>
        </w:tc>
        <w:tc>
          <w:tcPr>
            <w:tcW w:w="851" w:type="dxa"/>
            <w:tcBorders>
              <w:top w:val="single" w:sz="2" w:space="0" w:color="auto"/>
              <w:bottom w:val="single" w:sz="2" w:space="0" w:color="auto"/>
            </w:tcBorders>
            <w:shd w:val="clear" w:color="auto" w:fill="auto"/>
            <w:noWrap/>
            <w:vAlign w:val="center"/>
          </w:tcPr>
          <w:p w14:paraId="2A16B1BD" w14:textId="5A595173" w:rsidR="00BE5033" w:rsidRPr="009D2B8E" w:rsidRDefault="00BE5033" w:rsidP="003860F8">
            <w:pPr>
              <w:spacing w:after="0"/>
              <w:ind w:left="-75" w:firstLine="0"/>
              <w:jc w:val="right"/>
              <w:rPr>
                <w:rFonts w:ascii="Arial Narrow" w:hAnsi="Arial Narrow" w:cs="Arial"/>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43AD5EC0" w14:textId="4C755C9D" w:rsidR="00BE5033" w:rsidRPr="009D2B8E" w:rsidRDefault="00BE5033" w:rsidP="00A532EF">
            <w:pPr>
              <w:spacing w:after="0"/>
              <w:ind w:firstLine="0"/>
              <w:jc w:val="right"/>
              <w:rPr>
                <w:rFonts w:ascii="Arial Narrow" w:hAnsi="Arial Narrow" w:cs="Arial"/>
                <w:color w:val="000000"/>
                <w:sz w:val="18"/>
                <w:szCs w:val="18"/>
                <w:lang w:val="es-ES" w:eastAsia="es-ES"/>
              </w:rPr>
            </w:pPr>
            <w:r w:rsidRPr="009D2B8E">
              <w:rPr>
                <w:rFonts w:ascii="Arial Narrow" w:hAnsi="Arial Narrow" w:cs="Arial"/>
                <w:bCs/>
                <w:color w:val="000000"/>
                <w:sz w:val="18"/>
                <w:szCs w:val="18"/>
                <w:lang w:val="es-ES" w:eastAsia="es-ES"/>
              </w:rPr>
              <w:t>0</w:t>
            </w:r>
          </w:p>
        </w:tc>
        <w:tc>
          <w:tcPr>
            <w:tcW w:w="2833" w:type="dxa"/>
            <w:tcBorders>
              <w:top w:val="single" w:sz="2" w:space="0" w:color="auto"/>
              <w:left w:val="single" w:sz="2" w:space="0" w:color="auto"/>
              <w:bottom w:val="single" w:sz="2" w:space="0" w:color="auto"/>
            </w:tcBorders>
            <w:shd w:val="clear" w:color="auto" w:fill="auto"/>
            <w:vAlign w:val="center"/>
          </w:tcPr>
          <w:p w14:paraId="6D18C357" w14:textId="689A270E" w:rsidR="00BE5033" w:rsidRPr="009D2B8E" w:rsidRDefault="00BE5033" w:rsidP="00BE5033">
            <w:pPr>
              <w:spacing w:after="0"/>
              <w:ind w:firstLine="0"/>
              <w:jc w:val="left"/>
              <w:rPr>
                <w:rFonts w:ascii="Arial Narrow" w:hAnsi="Arial Narrow" w:cs="Arial"/>
                <w:sz w:val="18"/>
                <w:szCs w:val="18"/>
                <w:lang w:val="es-ES" w:eastAsia="es-ES"/>
              </w:rPr>
            </w:pPr>
            <w:r w:rsidRPr="009D2B8E">
              <w:rPr>
                <w:rFonts w:ascii="Arial Narrow" w:hAnsi="Arial Narrow" w:cs="Arial"/>
                <w:bCs/>
                <w:sz w:val="18"/>
                <w:szCs w:val="18"/>
                <w:lang w:val="es-ES" w:eastAsia="es-ES"/>
              </w:rPr>
              <w:t xml:space="preserve">II. Prima de emisión </w:t>
            </w:r>
          </w:p>
        </w:tc>
        <w:tc>
          <w:tcPr>
            <w:tcW w:w="851" w:type="dxa"/>
            <w:tcBorders>
              <w:top w:val="single" w:sz="2" w:space="0" w:color="auto"/>
              <w:bottom w:val="single" w:sz="2" w:space="0" w:color="auto"/>
            </w:tcBorders>
            <w:shd w:val="clear" w:color="auto" w:fill="auto"/>
            <w:noWrap/>
            <w:vAlign w:val="center"/>
          </w:tcPr>
          <w:p w14:paraId="6A0AC768" w14:textId="332891FE" w:rsidR="00BE5033"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3A90C2B7" w14:textId="30D57629" w:rsidR="00BE5033"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bCs/>
                <w:color w:val="000000"/>
                <w:sz w:val="18"/>
                <w:szCs w:val="18"/>
                <w:lang w:val="es-ES" w:eastAsia="es-ES"/>
              </w:rPr>
              <w:t>0</w:t>
            </w:r>
          </w:p>
        </w:tc>
      </w:tr>
      <w:tr w:rsidR="00BE5033" w:rsidRPr="009D2B8E" w14:paraId="4D70B4E2"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089422E9" w14:textId="3E318125" w:rsidR="00BE5033" w:rsidRPr="009D2B8E" w:rsidRDefault="00BE5033" w:rsidP="00BE5033">
            <w:pPr>
              <w:spacing w:after="0"/>
              <w:ind w:firstLine="0"/>
              <w:jc w:val="left"/>
              <w:rPr>
                <w:rFonts w:ascii="Arial Narrow" w:hAnsi="Arial Narrow" w:cs="Arial"/>
                <w:sz w:val="18"/>
                <w:szCs w:val="18"/>
                <w:lang w:val="es-ES" w:eastAsia="es-ES"/>
              </w:rPr>
            </w:pPr>
            <w:r w:rsidRPr="009D2B8E">
              <w:rPr>
                <w:rFonts w:ascii="Arial Narrow" w:hAnsi="Arial Narrow" w:cs="Arial"/>
                <w:bCs/>
                <w:sz w:val="18"/>
                <w:szCs w:val="18"/>
                <w:lang w:val="es-ES" w:eastAsia="es-ES"/>
              </w:rPr>
              <w:t xml:space="preserve">IV. Inversiones en empresas del grupo y asociadas a largo plazo </w:t>
            </w:r>
          </w:p>
        </w:tc>
        <w:tc>
          <w:tcPr>
            <w:tcW w:w="851" w:type="dxa"/>
            <w:tcBorders>
              <w:top w:val="single" w:sz="2" w:space="0" w:color="auto"/>
              <w:bottom w:val="single" w:sz="2" w:space="0" w:color="auto"/>
            </w:tcBorders>
            <w:shd w:val="clear" w:color="auto" w:fill="auto"/>
            <w:noWrap/>
            <w:vAlign w:val="center"/>
          </w:tcPr>
          <w:p w14:paraId="360BEE9B" w14:textId="0C3446B4" w:rsidR="00BE5033" w:rsidRPr="009D2B8E" w:rsidRDefault="00BE5033" w:rsidP="003860F8">
            <w:pPr>
              <w:spacing w:after="0"/>
              <w:ind w:left="-75" w:firstLine="0"/>
              <w:jc w:val="right"/>
              <w:rPr>
                <w:rFonts w:ascii="Arial Narrow" w:hAnsi="Arial Narrow" w:cs="Arial"/>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02CD7F5D" w14:textId="2F041B8E" w:rsidR="00BE5033" w:rsidRPr="009D2B8E" w:rsidRDefault="00BE5033" w:rsidP="00A532EF">
            <w:pPr>
              <w:spacing w:after="0"/>
              <w:ind w:firstLine="0"/>
              <w:jc w:val="right"/>
              <w:rPr>
                <w:rFonts w:ascii="Arial Narrow" w:hAnsi="Arial Narrow" w:cs="Arial"/>
                <w:color w:val="000000"/>
                <w:sz w:val="18"/>
                <w:szCs w:val="18"/>
                <w:lang w:val="es-ES" w:eastAsia="es-ES"/>
              </w:rPr>
            </w:pPr>
            <w:r w:rsidRPr="009D2B8E">
              <w:rPr>
                <w:rFonts w:ascii="Arial Narrow" w:hAnsi="Arial Narrow" w:cs="Arial"/>
                <w:bCs/>
                <w:color w:val="000000"/>
                <w:sz w:val="18"/>
                <w:szCs w:val="18"/>
                <w:lang w:val="es-ES" w:eastAsia="es-ES"/>
              </w:rPr>
              <w:t>0</w:t>
            </w:r>
          </w:p>
        </w:tc>
        <w:tc>
          <w:tcPr>
            <w:tcW w:w="2833" w:type="dxa"/>
            <w:tcBorders>
              <w:top w:val="single" w:sz="2" w:space="0" w:color="auto"/>
              <w:left w:val="single" w:sz="2" w:space="0" w:color="auto"/>
              <w:bottom w:val="single" w:sz="2" w:space="0" w:color="auto"/>
            </w:tcBorders>
            <w:shd w:val="clear" w:color="auto" w:fill="auto"/>
            <w:vAlign w:val="center"/>
          </w:tcPr>
          <w:p w14:paraId="209BB81A" w14:textId="6D3A3985" w:rsidR="00BE5033" w:rsidRPr="009D2B8E" w:rsidRDefault="00BE5033" w:rsidP="00BE5033">
            <w:pPr>
              <w:spacing w:after="0"/>
              <w:ind w:firstLine="0"/>
              <w:jc w:val="left"/>
              <w:rPr>
                <w:rFonts w:ascii="Arial Narrow" w:hAnsi="Arial Narrow" w:cs="Arial"/>
                <w:sz w:val="18"/>
                <w:szCs w:val="18"/>
                <w:lang w:val="es-ES" w:eastAsia="es-ES"/>
              </w:rPr>
            </w:pPr>
            <w:r w:rsidRPr="009D2B8E">
              <w:rPr>
                <w:rFonts w:ascii="Arial Narrow" w:hAnsi="Arial Narrow" w:cs="Arial"/>
                <w:bCs/>
                <w:sz w:val="18"/>
                <w:szCs w:val="18"/>
                <w:lang w:val="es-ES" w:eastAsia="es-ES"/>
              </w:rPr>
              <w:t xml:space="preserve">III. Reservas </w:t>
            </w:r>
          </w:p>
        </w:tc>
        <w:tc>
          <w:tcPr>
            <w:tcW w:w="851" w:type="dxa"/>
            <w:tcBorders>
              <w:top w:val="single" w:sz="2" w:space="0" w:color="auto"/>
              <w:bottom w:val="single" w:sz="2" w:space="0" w:color="auto"/>
            </w:tcBorders>
            <w:shd w:val="clear" w:color="auto" w:fill="auto"/>
            <w:noWrap/>
            <w:vAlign w:val="center"/>
          </w:tcPr>
          <w:p w14:paraId="10F28276" w14:textId="5DE5610E" w:rsidR="00BE5033"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42839826" w14:textId="3B3338B6" w:rsidR="00BE5033"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bCs/>
                <w:color w:val="000000"/>
                <w:sz w:val="18"/>
                <w:szCs w:val="18"/>
                <w:lang w:val="es-ES" w:eastAsia="es-ES"/>
              </w:rPr>
              <w:t>0</w:t>
            </w:r>
          </w:p>
        </w:tc>
      </w:tr>
      <w:tr w:rsidR="00BE5033" w:rsidRPr="009D2B8E" w14:paraId="7D001316"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7D81C16" w14:textId="45BE26F4" w:rsidR="00BE5033" w:rsidRPr="009D2B8E" w:rsidRDefault="00BE5033" w:rsidP="00BE5033">
            <w:pPr>
              <w:spacing w:after="0"/>
              <w:ind w:firstLine="0"/>
              <w:jc w:val="left"/>
              <w:rPr>
                <w:rFonts w:ascii="Arial Narrow" w:hAnsi="Arial Narrow" w:cs="Arial"/>
                <w:sz w:val="18"/>
                <w:szCs w:val="18"/>
                <w:lang w:val="es-ES" w:eastAsia="es-ES"/>
              </w:rPr>
            </w:pPr>
            <w:r w:rsidRPr="009D2B8E">
              <w:rPr>
                <w:rFonts w:ascii="Arial Narrow" w:hAnsi="Arial Narrow" w:cs="Arial"/>
                <w:bCs/>
                <w:sz w:val="18"/>
                <w:szCs w:val="18"/>
                <w:lang w:val="es-ES" w:eastAsia="es-ES"/>
              </w:rPr>
              <w:t xml:space="preserve">V. Inversiones financieras a largo plazo </w:t>
            </w:r>
          </w:p>
        </w:tc>
        <w:tc>
          <w:tcPr>
            <w:tcW w:w="851" w:type="dxa"/>
            <w:tcBorders>
              <w:top w:val="single" w:sz="2" w:space="0" w:color="auto"/>
              <w:bottom w:val="single" w:sz="2" w:space="0" w:color="auto"/>
            </w:tcBorders>
            <w:shd w:val="clear" w:color="auto" w:fill="auto"/>
            <w:noWrap/>
            <w:vAlign w:val="center"/>
          </w:tcPr>
          <w:p w14:paraId="38BA7DF7" w14:textId="379F2217" w:rsidR="00BE5033" w:rsidRPr="009D2B8E" w:rsidRDefault="00BE5033" w:rsidP="003860F8">
            <w:pPr>
              <w:spacing w:after="0"/>
              <w:ind w:left="-75" w:firstLine="0"/>
              <w:jc w:val="right"/>
              <w:rPr>
                <w:rFonts w:ascii="Arial Narrow" w:hAnsi="Arial Narrow" w:cs="Arial"/>
                <w:color w:val="000000"/>
                <w:sz w:val="18"/>
                <w:szCs w:val="18"/>
                <w:lang w:val="es-ES" w:eastAsia="es-ES"/>
              </w:rPr>
            </w:pPr>
            <w:r w:rsidRPr="009D2B8E">
              <w:rPr>
                <w:rFonts w:ascii="Arial Narrow" w:hAnsi="Arial Narrow" w:cs="Arial"/>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657F3DE0" w14:textId="1F12B174" w:rsidR="00BE5033" w:rsidRPr="009D2B8E" w:rsidRDefault="00BE5033" w:rsidP="00A532EF">
            <w:pPr>
              <w:spacing w:after="0"/>
              <w:ind w:firstLine="0"/>
              <w:jc w:val="right"/>
              <w:rPr>
                <w:rFonts w:ascii="Arial Narrow" w:hAnsi="Arial Narrow" w:cs="Arial"/>
                <w:color w:val="000000"/>
                <w:sz w:val="18"/>
                <w:szCs w:val="18"/>
                <w:lang w:val="es-ES" w:eastAsia="es-ES"/>
              </w:rPr>
            </w:pPr>
            <w:r w:rsidRPr="009D2B8E">
              <w:rPr>
                <w:rFonts w:ascii="Arial Narrow" w:hAnsi="Arial Narrow" w:cs="Arial"/>
                <w:color w:val="000000"/>
                <w:sz w:val="18"/>
                <w:szCs w:val="18"/>
                <w:lang w:val="es-ES" w:eastAsia="es-ES"/>
              </w:rPr>
              <w:t>0</w:t>
            </w:r>
          </w:p>
        </w:tc>
        <w:tc>
          <w:tcPr>
            <w:tcW w:w="2833" w:type="dxa"/>
            <w:tcBorders>
              <w:top w:val="single" w:sz="2" w:space="0" w:color="auto"/>
              <w:left w:val="single" w:sz="2" w:space="0" w:color="auto"/>
              <w:bottom w:val="single" w:sz="2" w:space="0" w:color="auto"/>
            </w:tcBorders>
            <w:shd w:val="clear" w:color="auto" w:fill="auto"/>
            <w:vAlign w:val="center"/>
          </w:tcPr>
          <w:p w14:paraId="5D75AFB6" w14:textId="49A5EF62" w:rsidR="00BE5033" w:rsidRPr="009D2B8E" w:rsidRDefault="00BE5033" w:rsidP="00BE5033">
            <w:pPr>
              <w:spacing w:after="0"/>
              <w:ind w:firstLine="0"/>
              <w:jc w:val="left"/>
              <w:rPr>
                <w:rFonts w:ascii="Arial Narrow" w:hAnsi="Arial Narrow" w:cs="Arial"/>
                <w:sz w:val="18"/>
                <w:szCs w:val="18"/>
                <w:lang w:val="es-ES" w:eastAsia="es-ES"/>
              </w:rPr>
            </w:pPr>
            <w:r w:rsidRPr="009D2B8E">
              <w:rPr>
                <w:rFonts w:ascii="Arial Narrow" w:hAnsi="Arial Narrow" w:cs="Arial"/>
                <w:bCs/>
                <w:sz w:val="18"/>
                <w:szCs w:val="18"/>
                <w:lang w:val="es-ES" w:eastAsia="es-ES"/>
              </w:rPr>
              <w:t xml:space="preserve">IV. (Acciones y participaciones en patrimonio propias) </w:t>
            </w:r>
          </w:p>
        </w:tc>
        <w:tc>
          <w:tcPr>
            <w:tcW w:w="851" w:type="dxa"/>
            <w:tcBorders>
              <w:top w:val="single" w:sz="2" w:space="0" w:color="auto"/>
              <w:bottom w:val="single" w:sz="2" w:space="0" w:color="auto"/>
            </w:tcBorders>
            <w:shd w:val="clear" w:color="auto" w:fill="auto"/>
            <w:noWrap/>
            <w:vAlign w:val="center"/>
          </w:tcPr>
          <w:p w14:paraId="06E2C432" w14:textId="1BCD1C0B" w:rsidR="00BE5033" w:rsidRPr="009D2B8E" w:rsidRDefault="00BE5033" w:rsidP="00F26066">
            <w:pPr>
              <w:spacing w:after="0"/>
              <w:ind w:firstLine="0"/>
              <w:jc w:val="right"/>
              <w:rPr>
                <w:rFonts w:ascii="Arial Narrow" w:hAnsi="Arial Narrow" w:cs="Arial"/>
                <w:bCs/>
                <w:color w:val="000000"/>
                <w:sz w:val="18"/>
                <w:szCs w:val="18"/>
                <w:lang w:val="es-ES" w:eastAsia="es-ES"/>
              </w:rPr>
            </w:pPr>
            <w:r w:rsidRPr="009D2B8E">
              <w:rPr>
                <w:rFonts w:ascii="Arial Narrow" w:hAnsi="Arial Narrow" w:cs="Arial"/>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448D54EE" w14:textId="0246B429" w:rsidR="00BE5033" w:rsidRPr="009D2B8E" w:rsidRDefault="00BE5033" w:rsidP="00F26066">
            <w:pPr>
              <w:spacing w:after="0"/>
              <w:ind w:firstLine="0"/>
              <w:jc w:val="right"/>
              <w:rPr>
                <w:rFonts w:ascii="Arial Narrow" w:hAnsi="Arial Narrow" w:cs="Arial"/>
                <w:bCs/>
                <w:color w:val="000000"/>
                <w:sz w:val="18"/>
                <w:szCs w:val="18"/>
                <w:lang w:val="es-ES" w:eastAsia="es-ES"/>
              </w:rPr>
            </w:pPr>
            <w:r w:rsidRPr="009D2B8E">
              <w:rPr>
                <w:rFonts w:ascii="Arial Narrow" w:hAnsi="Arial Narrow" w:cs="Arial"/>
                <w:color w:val="000000"/>
                <w:sz w:val="18"/>
                <w:szCs w:val="18"/>
                <w:lang w:val="es-ES" w:eastAsia="es-ES"/>
              </w:rPr>
              <w:t>0</w:t>
            </w:r>
          </w:p>
        </w:tc>
      </w:tr>
      <w:tr w:rsidR="00BE5033" w:rsidRPr="009D2B8E" w14:paraId="629E6976"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06E93107" w14:textId="12C8FBD6" w:rsidR="00BE5033" w:rsidRPr="009D2B8E" w:rsidRDefault="00BE5033" w:rsidP="00BE5033">
            <w:pPr>
              <w:spacing w:after="0"/>
              <w:ind w:firstLine="0"/>
              <w:jc w:val="left"/>
              <w:rPr>
                <w:rFonts w:ascii="Arial Narrow" w:hAnsi="Arial Narrow" w:cs="Arial"/>
                <w:bCs/>
                <w:sz w:val="18"/>
                <w:szCs w:val="18"/>
                <w:lang w:val="es-ES" w:eastAsia="es-ES"/>
              </w:rPr>
            </w:pPr>
            <w:r w:rsidRPr="009D2B8E">
              <w:rPr>
                <w:rFonts w:ascii="Arial Narrow" w:hAnsi="Arial Narrow" w:cs="Arial"/>
                <w:bCs/>
                <w:sz w:val="18"/>
                <w:szCs w:val="18"/>
                <w:lang w:val="es-ES" w:eastAsia="es-ES"/>
              </w:rPr>
              <w:t>VI. Activos por impuesto diferido</w:t>
            </w:r>
          </w:p>
        </w:tc>
        <w:tc>
          <w:tcPr>
            <w:tcW w:w="851" w:type="dxa"/>
            <w:tcBorders>
              <w:top w:val="single" w:sz="2" w:space="0" w:color="auto"/>
              <w:bottom w:val="single" w:sz="2" w:space="0" w:color="auto"/>
            </w:tcBorders>
            <w:shd w:val="clear" w:color="auto" w:fill="auto"/>
            <w:noWrap/>
            <w:vAlign w:val="center"/>
          </w:tcPr>
          <w:p w14:paraId="3B0A7ABD" w14:textId="43A0A8E1" w:rsidR="00BE5033" w:rsidRPr="009D2B8E" w:rsidRDefault="00BE5033" w:rsidP="003860F8">
            <w:pPr>
              <w:spacing w:after="0"/>
              <w:ind w:left="-75" w:firstLine="0"/>
              <w:jc w:val="right"/>
              <w:rPr>
                <w:rFonts w:ascii="Arial Narrow" w:hAnsi="Arial Narrow" w:cs="Arial"/>
                <w:bCs/>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1C136A0C" w14:textId="2B2E688A" w:rsidR="00BE5033" w:rsidRPr="009D2B8E" w:rsidRDefault="00BE5033" w:rsidP="00A532EF">
            <w:pPr>
              <w:spacing w:after="0"/>
              <w:ind w:firstLine="0"/>
              <w:jc w:val="right"/>
              <w:rPr>
                <w:rFonts w:ascii="Arial Narrow" w:hAnsi="Arial Narrow" w:cs="Arial"/>
                <w:bCs/>
                <w:color w:val="000000"/>
                <w:sz w:val="18"/>
                <w:szCs w:val="18"/>
                <w:lang w:val="es-ES" w:eastAsia="es-ES"/>
              </w:rPr>
            </w:pPr>
            <w:r w:rsidRPr="009D2B8E">
              <w:rPr>
                <w:rFonts w:ascii="Arial Narrow" w:hAnsi="Arial Narrow" w:cs="Arial"/>
                <w:bCs/>
                <w:color w:val="000000"/>
                <w:sz w:val="18"/>
                <w:szCs w:val="18"/>
                <w:lang w:val="es-ES" w:eastAsia="es-ES"/>
              </w:rPr>
              <w:t>0</w:t>
            </w:r>
          </w:p>
        </w:tc>
        <w:tc>
          <w:tcPr>
            <w:tcW w:w="2833" w:type="dxa"/>
            <w:tcBorders>
              <w:top w:val="single" w:sz="2" w:space="0" w:color="auto"/>
              <w:left w:val="single" w:sz="2" w:space="0" w:color="auto"/>
              <w:bottom w:val="single" w:sz="2" w:space="0" w:color="auto"/>
            </w:tcBorders>
            <w:shd w:val="clear" w:color="auto" w:fill="auto"/>
            <w:vAlign w:val="center"/>
          </w:tcPr>
          <w:p w14:paraId="2FD8097B" w14:textId="29E39F55" w:rsidR="00BE5033" w:rsidRPr="009D2B8E" w:rsidRDefault="00BE5033" w:rsidP="00BE5033">
            <w:pPr>
              <w:spacing w:after="0"/>
              <w:ind w:firstLine="0"/>
              <w:jc w:val="left"/>
              <w:rPr>
                <w:rFonts w:ascii="Arial Narrow" w:hAnsi="Arial Narrow" w:cs="Arial"/>
                <w:b/>
                <w:sz w:val="18"/>
                <w:szCs w:val="18"/>
                <w:lang w:val="es-ES" w:eastAsia="es-ES"/>
              </w:rPr>
            </w:pPr>
            <w:r w:rsidRPr="009D2B8E">
              <w:rPr>
                <w:rFonts w:ascii="Arial Narrow" w:hAnsi="Arial Narrow" w:cs="Arial"/>
                <w:bCs/>
                <w:sz w:val="18"/>
                <w:szCs w:val="18"/>
                <w:lang w:val="es-ES" w:eastAsia="es-ES"/>
              </w:rPr>
              <w:t>V. Resultados de ejercicios anteriores</w:t>
            </w:r>
          </w:p>
        </w:tc>
        <w:tc>
          <w:tcPr>
            <w:tcW w:w="851" w:type="dxa"/>
            <w:tcBorders>
              <w:top w:val="single" w:sz="2" w:space="0" w:color="auto"/>
              <w:bottom w:val="single" w:sz="2" w:space="0" w:color="auto"/>
            </w:tcBorders>
            <w:shd w:val="clear" w:color="auto" w:fill="auto"/>
            <w:noWrap/>
            <w:vAlign w:val="center"/>
          </w:tcPr>
          <w:p w14:paraId="0DF0733A" w14:textId="4E77C21E" w:rsidR="00BE5033" w:rsidRPr="009D2B8E" w:rsidRDefault="00BE5033" w:rsidP="00F26066">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5C812CBE" w14:textId="6D7A401D" w:rsidR="00BE5033" w:rsidRPr="009D2B8E" w:rsidRDefault="00BE5033" w:rsidP="00F26066">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Cs/>
                <w:color w:val="000000"/>
                <w:sz w:val="18"/>
                <w:szCs w:val="18"/>
                <w:lang w:val="es-ES" w:eastAsia="es-ES"/>
              </w:rPr>
              <w:t>0</w:t>
            </w:r>
          </w:p>
        </w:tc>
      </w:tr>
      <w:tr w:rsidR="00BE5033" w:rsidRPr="009D2B8E" w14:paraId="357FA43D"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240B80B" w14:textId="191DB68F" w:rsidR="00BE5033" w:rsidRPr="009D2B8E" w:rsidRDefault="00BE5033" w:rsidP="00BE5033">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37E17894" w14:textId="6FBBF7C8" w:rsidR="00BE5033" w:rsidRPr="009D2B8E" w:rsidRDefault="00BE5033"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5FDBA5E6" w14:textId="6AE509F5" w:rsidR="00BE5033" w:rsidRPr="009D2B8E" w:rsidRDefault="00BE5033"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0878441F" w14:textId="67BFBA51" w:rsidR="00BE5033" w:rsidRPr="009D2B8E" w:rsidRDefault="00BE5033" w:rsidP="00BE5033">
            <w:pPr>
              <w:spacing w:after="0"/>
              <w:ind w:firstLine="0"/>
              <w:jc w:val="left"/>
              <w:rPr>
                <w:rFonts w:ascii="Arial Narrow" w:hAnsi="Arial Narrow" w:cs="Arial"/>
                <w:b/>
                <w:bCs/>
                <w:sz w:val="18"/>
                <w:szCs w:val="18"/>
                <w:lang w:val="es-ES" w:eastAsia="es-ES"/>
              </w:rPr>
            </w:pPr>
            <w:r w:rsidRPr="009D2B8E">
              <w:rPr>
                <w:rFonts w:ascii="Arial Narrow" w:hAnsi="Arial Narrow" w:cs="Arial"/>
                <w:bCs/>
                <w:sz w:val="18"/>
                <w:szCs w:val="18"/>
                <w:lang w:val="es-ES" w:eastAsia="es-ES"/>
              </w:rPr>
              <w:t>VI. Otras aportaciones de socios</w:t>
            </w:r>
          </w:p>
        </w:tc>
        <w:tc>
          <w:tcPr>
            <w:tcW w:w="851" w:type="dxa"/>
            <w:tcBorders>
              <w:top w:val="single" w:sz="2" w:space="0" w:color="auto"/>
              <w:bottom w:val="single" w:sz="2" w:space="0" w:color="auto"/>
            </w:tcBorders>
            <w:shd w:val="clear" w:color="auto" w:fill="auto"/>
            <w:noWrap/>
            <w:vAlign w:val="center"/>
          </w:tcPr>
          <w:p w14:paraId="08DA0B64" w14:textId="425E5152" w:rsidR="00BE5033"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2FF3C2A9" w14:textId="7901DC12" w:rsidR="00BE5033"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Cs/>
                <w:color w:val="000000"/>
                <w:sz w:val="18"/>
                <w:szCs w:val="18"/>
                <w:lang w:val="es-ES" w:eastAsia="es-ES"/>
              </w:rPr>
              <w:t>0</w:t>
            </w:r>
          </w:p>
        </w:tc>
      </w:tr>
      <w:tr w:rsidR="007E2B6D" w:rsidRPr="009D2B8E" w14:paraId="28323BC6"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CCC7FA3" w14:textId="46D112EF" w:rsidR="007E2B6D" w:rsidRPr="009D2B8E" w:rsidRDefault="007E2B6D" w:rsidP="007E2B6D">
            <w:pPr>
              <w:spacing w:after="0"/>
              <w:ind w:firstLine="0"/>
              <w:jc w:val="left"/>
              <w:rPr>
                <w:rFonts w:ascii="Arial Narrow" w:hAnsi="Arial Narrow" w:cs="Arial"/>
                <w:sz w:val="18"/>
                <w:szCs w:val="18"/>
                <w:lang w:val="es-ES" w:eastAsia="es-ES"/>
              </w:rPr>
            </w:pPr>
            <w:r w:rsidRPr="009D2B8E">
              <w:rPr>
                <w:rFonts w:ascii="Arial Narrow" w:hAnsi="Arial Narrow" w:cs="Arial"/>
                <w:b/>
                <w:bCs/>
                <w:sz w:val="18"/>
                <w:szCs w:val="18"/>
                <w:lang w:val="es-ES" w:eastAsia="es-ES"/>
              </w:rPr>
              <w:t>B) ACTIVO CORRIENTE</w:t>
            </w:r>
          </w:p>
        </w:tc>
        <w:tc>
          <w:tcPr>
            <w:tcW w:w="851" w:type="dxa"/>
            <w:tcBorders>
              <w:top w:val="single" w:sz="2" w:space="0" w:color="auto"/>
              <w:bottom w:val="single" w:sz="2" w:space="0" w:color="auto"/>
            </w:tcBorders>
            <w:shd w:val="clear" w:color="auto" w:fill="auto"/>
            <w:noWrap/>
            <w:vAlign w:val="center"/>
          </w:tcPr>
          <w:p w14:paraId="4C499B5B" w14:textId="49AA9E6B" w:rsidR="007E2B6D" w:rsidRPr="009D2B8E" w:rsidRDefault="007E2B6D" w:rsidP="003860F8">
            <w:pPr>
              <w:spacing w:after="0"/>
              <w:ind w:left="-75" w:firstLine="0"/>
              <w:jc w:val="right"/>
              <w:rPr>
                <w:rFonts w:ascii="Arial Narrow" w:hAnsi="Arial Narrow" w:cs="Arial"/>
                <w:color w:val="000000"/>
                <w:sz w:val="18"/>
                <w:szCs w:val="18"/>
                <w:lang w:val="es-ES" w:eastAsia="es-ES"/>
              </w:rPr>
            </w:pPr>
            <w:r w:rsidRPr="009D2B8E">
              <w:rPr>
                <w:rFonts w:ascii="Arial Narrow" w:hAnsi="Arial Narrow" w:cs="Arial"/>
                <w:b/>
                <w:bCs/>
                <w:color w:val="000000"/>
                <w:sz w:val="18"/>
                <w:szCs w:val="18"/>
                <w:lang w:val="es-ES" w:eastAsia="es-ES"/>
              </w:rPr>
              <w:t>-174.502</w:t>
            </w:r>
          </w:p>
        </w:tc>
        <w:tc>
          <w:tcPr>
            <w:tcW w:w="851" w:type="dxa"/>
            <w:tcBorders>
              <w:top w:val="single" w:sz="2" w:space="0" w:color="auto"/>
              <w:bottom w:val="single" w:sz="2" w:space="0" w:color="auto"/>
              <w:right w:val="single" w:sz="2" w:space="0" w:color="auto"/>
            </w:tcBorders>
            <w:shd w:val="clear" w:color="auto" w:fill="auto"/>
            <w:noWrap/>
            <w:vAlign w:val="center"/>
          </w:tcPr>
          <w:p w14:paraId="3ED9D7BD" w14:textId="47AC6EBC" w:rsidR="007E2B6D" w:rsidRPr="009D2B8E" w:rsidRDefault="007E2B6D" w:rsidP="00A532EF">
            <w:pPr>
              <w:spacing w:after="0"/>
              <w:ind w:firstLine="0"/>
              <w:jc w:val="right"/>
              <w:rPr>
                <w:rFonts w:ascii="Arial Narrow" w:hAnsi="Arial Narrow" w:cs="Arial"/>
                <w:color w:val="000000"/>
                <w:sz w:val="18"/>
                <w:szCs w:val="18"/>
                <w:lang w:val="es-ES" w:eastAsia="es-ES"/>
              </w:rPr>
            </w:pPr>
            <w:r w:rsidRPr="009D2B8E">
              <w:rPr>
                <w:rFonts w:ascii="Arial Narrow" w:hAnsi="Arial Narrow" w:cs="Arial"/>
                <w:b/>
                <w:bCs/>
                <w:color w:val="000000"/>
                <w:sz w:val="18"/>
                <w:szCs w:val="18"/>
                <w:lang w:val="es-ES" w:eastAsia="es-ES"/>
              </w:rPr>
              <w:t>-346.886</w:t>
            </w:r>
          </w:p>
        </w:tc>
        <w:tc>
          <w:tcPr>
            <w:tcW w:w="2833" w:type="dxa"/>
            <w:tcBorders>
              <w:top w:val="single" w:sz="2" w:space="0" w:color="auto"/>
              <w:left w:val="single" w:sz="2" w:space="0" w:color="auto"/>
              <w:bottom w:val="single" w:sz="2" w:space="0" w:color="auto"/>
            </w:tcBorders>
            <w:shd w:val="clear" w:color="auto" w:fill="auto"/>
            <w:vAlign w:val="center"/>
          </w:tcPr>
          <w:p w14:paraId="463633CB" w14:textId="1599E8D7" w:rsidR="007E2B6D" w:rsidRPr="009D2B8E" w:rsidRDefault="007E2B6D" w:rsidP="007E2B6D">
            <w:pPr>
              <w:spacing w:after="0"/>
              <w:ind w:firstLine="0"/>
              <w:jc w:val="left"/>
              <w:rPr>
                <w:rFonts w:ascii="Arial Narrow" w:hAnsi="Arial Narrow" w:cs="Arial"/>
                <w:sz w:val="18"/>
                <w:szCs w:val="18"/>
                <w:lang w:val="es-ES" w:eastAsia="es-ES"/>
              </w:rPr>
            </w:pPr>
            <w:r w:rsidRPr="009D2B8E">
              <w:rPr>
                <w:rFonts w:ascii="Arial Narrow" w:hAnsi="Arial Narrow" w:cs="Arial"/>
                <w:bCs/>
                <w:sz w:val="18"/>
                <w:szCs w:val="18"/>
                <w:lang w:val="es-ES" w:eastAsia="es-ES"/>
              </w:rPr>
              <w:t xml:space="preserve">VII. Resultado del ejercicio </w:t>
            </w:r>
          </w:p>
        </w:tc>
        <w:tc>
          <w:tcPr>
            <w:tcW w:w="851" w:type="dxa"/>
            <w:tcBorders>
              <w:top w:val="single" w:sz="2" w:space="0" w:color="auto"/>
              <w:bottom w:val="single" w:sz="2" w:space="0" w:color="auto"/>
            </w:tcBorders>
            <w:shd w:val="clear" w:color="auto" w:fill="auto"/>
            <w:noWrap/>
            <w:vAlign w:val="center"/>
          </w:tcPr>
          <w:p w14:paraId="286DCD30" w14:textId="473FC37C" w:rsidR="007E2B6D" w:rsidRPr="009D2B8E" w:rsidRDefault="007E2B6D"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color w:val="000000"/>
                <w:sz w:val="18"/>
                <w:szCs w:val="18"/>
                <w:lang w:val="es-ES" w:eastAsia="es-ES"/>
              </w:rPr>
              <w:t>-176.067</w:t>
            </w:r>
          </w:p>
        </w:tc>
        <w:tc>
          <w:tcPr>
            <w:tcW w:w="851" w:type="dxa"/>
            <w:tcBorders>
              <w:top w:val="single" w:sz="2" w:space="0" w:color="auto"/>
              <w:bottom w:val="single" w:sz="2" w:space="0" w:color="auto"/>
            </w:tcBorders>
            <w:shd w:val="clear" w:color="auto" w:fill="auto"/>
            <w:noWrap/>
            <w:vAlign w:val="center"/>
          </w:tcPr>
          <w:p w14:paraId="17656722" w14:textId="2EB4C7A3" w:rsidR="007E2B6D"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color w:val="000000"/>
                <w:sz w:val="18"/>
                <w:szCs w:val="18"/>
                <w:lang w:val="es-ES" w:eastAsia="es-ES"/>
              </w:rPr>
              <w:t>-339.659</w:t>
            </w:r>
          </w:p>
        </w:tc>
      </w:tr>
      <w:tr w:rsidR="007E2B6D" w:rsidRPr="009D2B8E" w14:paraId="63A30DDE"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2A2BEC27" w14:textId="57F72DD7" w:rsidR="007E2B6D" w:rsidRPr="009D2B8E" w:rsidRDefault="007E2B6D" w:rsidP="007E2B6D">
            <w:pPr>
              <w:spacing w:after="0"/>
              <w:ind w:firstLine="0"/>
              <w:jc w:val="left"/>
              <w:rPr>
                <w:rFonts w:ascii="Arial Narrow" w:hAnsi="Arial Narrow" w:cs="Arial"/>
                <w:b/>
                <w:sz w:val="18"/>
                <w:szCs w:val="18"/>
                <w:lang w:val="es-ES" w:eastAsia="es-ES"/>
              </w:rPr>
            </w:pPr>
            <w:r w:rsidRPr="009D2B8E">
              <w:rPr>
                <w:rFonts w:ascii="Arial Narrow" w:hAnsi="Arial Narrow" w:cs="Arial"/>
                <w:b/>
                <w:bCs/>
                <w:sz w:val="18"/>
                <w:szCs w:val="18"/>
                <w:lang w:val="es-ES" w:eastAsia="es-ES"/>
              </w:rPr>
              <w:t>I. Existencias</w:t>
            </w:r>
          </w:p>
        </w:tc>
        <w:tc>
          <w:tcPr>
            <w:tcW w:w="851" w:type="dxa"/>
            <w:tcBorders>
              <w:top w:val="single" w:sz="2" w:space="0" w:color="auto"/>
              <w:bottom w:val="single" w:sz="2" w:space="0" w:color="auto"/>
            </w:tcBorders>
            <w:shd w:val="clear" w:color="auto" w:fill="auto"/>
            <w:noWrap/>
            <w:vAlign w:val="center"/>
          </w:tcPr>
          <w:p w14:paraId="720F6A1C" w14:textId="196AF810" w:rsidR="007E2B6D" w:rsidRPr="009D2B8E" w:rsidRDefault="007E2B6D" w:rsidP="003860F8">
            <w:pPr>
              <w:spacing w:after="0"/>
              <w:ind w:left="-75" w:firstLine="0"/>
              <w:jc w:val="right"/>
              <w:rPr>
                <w:rFonts w:ascii="Arial Narrow" w:hAnsi="Arial Narrow" w:cs="Arial"/>
                <w:b/>
                <w:color w:val="000000"/>
                <w:sz w:val="18"/>
                <w:szCs w:val="18"/>
                <w:lang w:val="es-ES" w:eastAsia="es-ES"/>
              </w:rPr>
            </w:pPr>
            <w:r w:rsidRPr="009D2B8E">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54669B1F" w14:textId="3DDF05BF" w:rsidR="007E2B6D" w:rsidRPr="009D2B8E" w:rsidRDefault="007E2B6D" w:rsidP="00A532EF">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
                <w:bCs/>
                <w:color w:val="000000"/>
                <w:sz w:val="18"/>
                <w:szCs w:val="18"/>
                <w:lang w:val="es-ES" w:eastAsia="es-ES"/>
              </w:rPr>
              <w:t>0</w:t>
            </w:r>
          </w:p>
        </w:tc>
        <w:tc>
          <w:tcPr>
            <w:tcW w:w="2833" w:type="dxa"/>
            <w:tcBorders>
              <w:top w:val="single" w:sz="2" w:space="0" w:color="auto"/>
              <w:left w:val="single" w:sz="2" w:space="0" w:color="auto"/>
              <w:bottom w:val="single" w:sz="2" w:space="0" w:color="auto"/>
            </w:tcBorders>
            <w:shd w:val="clear" w:color="auto" w:fill="auto"/>
            <w:vAlign w:val="center"/>
          </w:tcPr>
          <w:p w14:paraId="7F59E447" w14:textId="01548B2A" w:rsidR="007E2B6D" w:rsidRPr="009D2B8E" w:rsidRDefault="007E2B6D" w:rsidP="007E2B6D">
            <w:pPr>
              <w:spacing w:after="0"/>
              <w:ind w:firstLine="0"/>
              <w:jc w:val="left"/>
              <w:rPr>
                <w:rFonts w:ascii="Arial Narrow" w:hAnsi="Arial Narrow" w:cs="Arial"/>
                <w:sz w:val="18"/>
                <w:szCs w:val="18"/>
                <w:lang w:val="es-ES" w:eastAsia="es-ES"/>
              </w:rPr>
            </w:pPr>
            <w:r w:rsidRPr="009D2B8E">
              <w:rPr>
                <w:rFonts w:ascii="Arial Narrow" w:hAnsi="Arial Narrow" w:cs="Arial"/>
                <w:bCs/>
                <w:sz w:val="18"/>
                <w:szCs w:val="18"/>
                <w:lang w:val="es-ES" w:eastAsia="es-ES"/>
              </w:rPr>
              <w:t>VIII. Dividendo a cuenta</w:t>
            </w:r>
          </w:p>
        </w:tc>
        <w:tc>
          <w:tcPr>
            <w:tcW w:w="851" w:type="dxa"/>
            <w:tcBorders>
              <w:top w:val="single" w:sz="2" w:space="0" w:color="auto"/>
              <w:bottom w:val="single" w:sz="2" w:space="0" w:color="auto"/>
            </w:tcBorders>
            <w:shd w:val="clear" w:color="auto" w:fill="auto"/>
            <w:noWrap/>
            <w:vAlign w:val="center"/>
          </w:tcPr>
          <w:p w14:paraId="369766D6" w14:textId="1542FAE3" w:rsidR="007E2B6D" w:rsidRPr="009D2B8E" w:rsidRDefault="007E2B6D"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69510112" w14:textId="35310126" w:rsidR="007E2B6D"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color w:val="000000"/>
                <w:sz w:val="18"/>
                <w:szCs w:val="18"/>
                <w:lang w:val="es-ES" w:eastAsia="es-ES"/>
              </w:rPr>
              <w:t>0</w:t>
            </w:r>
          </w:p>
        </w:tc>
      </w:tr>
      <w:tr w:rsidR="00BE5033" w:rsidRPr="009D2B8E" w14:paraId="53C31918"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0157E0EF" w14:textId="0E8AC885" w:rsidR="00BE5033" w:rsidRPr="009D2B8E" w:rsidRDefault="00BE5033" w:rsidP="00BE5033">
            <w:pPr>
              <w:spacing w:after="0"/>
              <w:ind w:firstLine="0"/>
              <w:jc w:val="left"/>
              <w:rPr>
                <w:rFonts w:ascii="Arial Narrow" w:hAnsi="Arial Narrow" w:cs="Arial"/>
                <w:b/>
                <w:sz w:val="18"/>
                <w:szCs w:val="18"/>
                <w:lang w:val="es-ES" w:eastAsia="es-ES"/>
              </w:rPr>
            </w:pPr>
            <w:r w:rsidRPr="009D2B8E">
              <w:rPr>
                <w:rFonts w:ascii="Arial Narrow" w:hAnsi="Arial Narrow" w:cs="Arial"/>
                <w:b/>
                <w:bCs/>
                <w:sz w:val="18"/>
                <w:szCs w:val="18"/>
                <w:lang w:val="es-ES" w:eastAsia="es-ES"/>
              </w:rPr>
              <w:t>II. Deudores comerciales y otras cuentas a cobrar</w:t>
            </w:r>
          </w:p>
        </w:tc>
        <w:tc>
          <w:tcPr>
            <w:tcW w:w="851" w:type="dxa"/>
            <w:tcBorders>
              <w:top w:val="single" w:sz="2" w:space="0" w:color="auto"/>
              <w:bottom w:val="single" w:sz="2" w:space="0" w:color="auto"/>
            </w:tcBorders>
            <w:shd w:val="clear" w:color="auto" w:fill="auto"/>
            <w:noWrap/>
            <w:vAlign w:val="center"/>
          </w:tcPr>
          <w:p w14:paraId="235CD7CA" w14:textId="7F9845DF" w:rsidR="00BE5033" w:rsidRPr="009D2B8E" w:rsidRDefault="00BE5033" w:rsidP="003860F8">
            <w:pPr>
              <w:spacing w:after="0"/>
              <w:ind w:left="-75" w:firstLine="0"/>
              <w:jc w:val="right"/>
              <w:rPr>
                <w:rFonts w:ascii="Arial Narrow" w:hAnsi="Arial Narrow" w:cs="Arial"/>
                <w:b/>
                <w:color w:val="000000"/>
                <w:sz w:val="18"/>
                <w:szCs w:val="18"/>
                <w:lang w:val="es-ES" w:eastAsia="es-ES"/>
              </w:rPr>
            </w:pPr>
            <w:r w:rsidRPr="009D2B8E">
              <w:rPr>
                <w:rFonts w:ascii="Arial Narrow" w:hAnsi="Arial Narrow" w:cs="Arial"/>
                <w:b/>
                <w:bCs/>
                <w:color w:val="000000"/>
                <w:sz w:val="18"/>
                <w:szCs w:val="18"/>
                <w:lang w:val="es-ES" w:eastAsia="es-ES"/>
              </w:rPr>
              <w:t>-170.274</w:t>
            </w:r>
          </w:p>
        </w:tc>
        <w:tc>
          <w:tcPr>
            <w:tcW w:w="851" w:type="dxa"/>
            <w:tcBorders>
              <w:top w:val="single" w:sz="2" w:space="0" w:color="auto"/>
              <w:bottom w:val="single" w:sz="2" w:space="0" w:color="auto"/>
              <w:right w:val="single" w:sz="2" w:space="0" w:color="auto"/>
            </w:tcBorders>
            <w:shd w:val="clear" w:color="auto" w:fill="auto"/>
            <w:noWrap/>
            <w:vAlign w:val="center"/>
          </w:tcPr>
          <w:p w14:paraId="3BCF253E" w14:textId="1F881CC9" w:rsidR="00BE5033" w:rsidRPr="009D2B8E" w:rsidRDefault="00BE5033" w:rsidP="00A532EF">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
                <w:bCs/>
                <w:color w:val="000000"/>
                <w:sz w:val="18"/>
                <w:szCs w:val="18"/>
                <w:lang w:val="es-ES" w:eastAsia="es-ES"/>
              </w:rPr>
              <w:t>-336.813</w:t>
            </w:r>
          </w:p>
        </w:tc>
        <w:tc>
          <w:tcPr>
            <w:tcW w:w="2833" w:type="dxa"/>
            <w:tcBorders>
              <w:top w:val="single" w:sz="2" w:space="0" w:color="auto"/>
              <w:left w:val="single" w:sz="2" w:space="0" w:color="auto"/>
              <w:bottom w:val="single" w:sz="2" w:space="0" w:color="auto"/>
            </w:tcBorders>
            <w:shd w:val="clear" w:color="auto" w:fill="auto"/>
            <w:vAlign w:val="center"/>
          </w:tcPr>
          <w:p w14:paraId="14D49E18" w14:textId="3E4B4994" w:rsidR="00BE5033" w:rsidRPr="009D2B8E" w:rsidRDefault="00BE5033" w:rsidP="00BE5033">
            <w:pPr>
              <w:spacing w:after="0"/>
              <w:ind w:firstLine="0"/>
              <w:jc w:val="left"/>
              <w:rPr>
                <w:rFonts w:ascii="Arial Narrow" w:hAnsi="Arial Narrow" w:cs="Arial"/>
                <w:sz w:val="18"/>
                <w:szCs w:val="18"/>
                <w:lang w:val="es-ES" w:eastAsia="es-ES"/>
              </w:rPr>
            </w:pPr>
            <w:r w:rsidRPr="009D2B8E">
              <w:rPr>
                <w:rFonts w:ascii="Arial Narrow" w:hAnsi="Arial Narrow" w:cs="Arial"/>
                <w:b/>
                <w:bCs/>
                <w:sz w:val="18"/>
                <w:szCs w:val="18"/>
                <w:lang w:val="es-ES" w:eastAsia="es-ES"/>
              </w:rPr>
              <w:t>A-2) Ajustes en patrimonio neto</w:t>
            </w:r>
          </w:p>
        </w:tc>
        <w:tc>
          <w:tcPr>
            <w:tcW w:w="851" w:type="dxa"/>
            <w:tcBorders>
              <w:top w:val="single" w:sz="2" w:space="0" w:color="auto"/>
              <w:bottom w:val="single" w:sz="2" w:space="0" w:color="auto"/>
            </w:tcBorders>
            <w:shd w:val="clear" w:color="auto" w:fill="auto"/>
            <w:noWrap/>
            <w:vAlign w:val="center"/>
          </w:tcPr>
          <w:p w14:paraId="3BC1C35B" w14:textId="69528243" w:rsidR="00BE5033"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13703C39" w14:textId="45439463" w:rsidR="00BE5033"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b/>
                <w:bCs/>
                <w:color w:val="000000"/>
                <w:sz w:val="18"/>
                <w:szCs w:val="18"/>
                <w:lang w:val="es-ES" w:eastAsia="es-ES"/>
              </w:rPr>
              <w:t>0</w:t>
            </w:r>
          </w:p>
        </w:tc>
      </w:tr>
      <w:tr w:rsidR="00BE5033" w:rsidRPr="009D2B8E" w14:paraId="12670087"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134E3674" w14:textId="4FDF20FE" w:rsidR="00BE5033" w:rsidRPr="009D2B8E" w:rsidRDefault="00BE5033" w:rsidP="00BE5033">
            <w:pPr>
              <w:spacing w:after="0"/>
              <w:ind w:firstLine="0"/>
              <w:jc w:val="left"/>
              <w:rPr>
                <w:rFonts w:ascii="Arial Narrow" w:hAnsi="Arial Narrow" w:cs="Arial"/>
                <w:bCs/>
                <w:sz w:val="18"/>
                <w:szCs w:val="18"/>
                <w:lang w:val="es-ES" w:eastAsia="es-ES"/>
              </w:rPr>
            </w:pPr>
            <w:r w:rsidRPr="009D2B8E">
              <w:rPr>
                <w:rFonts w:ascii="Arial Narrow" w:hAnsi="Arial Narrow" w:cs="Arial"/>
                <w:sz w:val="18"/>
                <w:szCs w:val="18"/>
                <w:lang w:val="es-ES" w:eastAsia="es-ES"/>
              </w:rPr>
              <w:t xml:space="preserve">1. Clientes por </w:t>
            </w:r>
            <w:proofErr w:type="spellStart"/>
            <w:r w:rsidRPr="009D2B8E">
              <w:rPr>
                <w:rFonts w:ascii="Arial Narrow" w:hAnsi="Arial Narrow" w:cs="Arial"/>
                <w:sz w:val="18"/>
                <w:szCs w:val="18"/>
                <w:lang w:val="es-ES" w:eastAsia="es-ES"/>
              </w:rPr>
              <w:t>vtas</w:t>
            </w:r>
            <w:proofErr w:type="spellEnd"/>
            <w:r w:rsidRPr="009D2B8E">
              <w:rPr>
                <w:rFonts w:ascii="Arial Narrow" w:hAnsi="Arial Narrow" w:cs="Arial"/>
                <w:sz w:val="18"/>
                <w:szCs w:val="18"/>
                <w:lang w:val="es-ES" w:eastAsia="es-ES"/>
              </w:rPr>
              <w:t xml:space="preserve"> y prestaciones de </w:t>
            </w:r>
            <w:proofErr w:type="spellStart"/>
            <w:r w:rsidRPr="009D2B8E">
              <w:rPr>
                <w:rFonts w:ascii="Arial Narrow" w:hAnsi="Arial Narrow" w:cs="Arial"/>
                <w:sz w:val="18"/>
                <w:szCs w:val="18"/>
                <w:lang w:val="es-ES" w:eastAsia="es-ES"/>
              </w:rPr>
              <w:t>serv</w:t>
            </w:r>
            <w:proofErr w:type="spellEnd"/>
            <w:r w:rsidRPr="009D2B8E">
              <w:rPr>
                <w:rFonts w:ascii="Arial Narrow" w:hAnsi="Arial Narrow" w:cs="Arial"/>
                <w:sz w:val="18"/>
                <w:szCs w:val="18"/>
                <w:lang w:val="es-ES" w:eastAsia="es-ES"/>
              </w:rPr>
              <w:t>.</w:t>
            </w:r>
          </w:p>
        </w:tc>
        <w:tc>
          <w:tcPr>
            <w:tcW w:w="851" w:type="dxa"/>
            <w:tcBorders>
              <w:top w:val="single" w:sz="2" w:space="0" w:color="auto"/>
              <w:bottom w:val="single" w:sz="2" w:space="0" w:color="auto"/>
            </w:tcBorders>
            <w:shd w:val="clear" w:color="auto" w:fill="auto"/>
            <w:noWrap/>
            <w:vAlign w:val="center"/>
          </w:tcPr>
          <w:p w14:paraId="3A8BB1D2" w14:textId="0FABFE62" w:rsidR="00BE5033" w:rsidRPr="009D2B8E" w:rsidRDefault="00BE5033" w:rsidP="003860F8">
            <w:pPr>
              <w:spacing w:after="0"/>
              <w:ind w:left="-75" w:firstLine="0"/>
              <w:jc w:val="right"/>
              <w:rPr>
                <w:rFonts w:ascii="Arial Narrow" w:hAnsi="Arial Narrow" w:cs="Arial"/>
                <w:bCs/>
                <w:color w:val="000000"/>
                <w:sz w:val="18"/>
                <w:szCs w:val="18"/>
                <w:lang w:val="es-ES" w:eastAsia="es-ES"/>
              </w:rPr>
            </w:pPr>
            <w:r w:rsidRPr="009D2B8E">
              <w:rPr>
                <w:rFonts w:ascii="Arial Narrow" w:hAnsi="Arial Narrow" w:cs="Arial"/>
                <w:bCs/>
                <w:color w:val="000000"/>
                <w:sz w:val="18"/>
                <w:szCs w:val="18"/>
                <w:lang w:val="es-ES" w:eastAsia="es-ES"/>
              </w:rPr>
              <w:t>-499</w:t>
            </w:r>
          </w:p>
        </w:tc>
        <w:tc>
          <w:tcPr>
            <w:tcW w:w="851" w:type="dxa"/>
            <w:tcBorders>
              <w:top w:val="single" w:sz="2" w:space="0" w:color="auto"/>
              <w:bottom w:val="single" w:sz="2" w:space="0" w:color="auto"/>
              <w:right w:val="single" w:sz="2" w:space="0" w:color="auto"/>
            </w:tcBorders>
            <w:shd w:val="clear" w:color="auto" w:fill="auto"/>
            <w:noWrap/>
            <w:vAlign w:val="center"/>
          </w:tcPr>
          <w:p w14:paraId="1C31892D" w14:textId="627408B5" w:rsidR="00BE5033" w:rsidRPr="009D2B8E" w:rsidRDefault="00BE5033" w:rsidP="00A532EF">
            <w:pPr>
              <w:spacing w:after="0"/>
              <w:ind w:firstLine="0"/>
              <w:jc w:val="right"/>
              <w:rPr>
                <w:rFonts w:ascii="Arial Narrow" w:hAnsi="Arial Narrow" w:cs="Arial"/>
                <w:bCs/>
                <w:color w:val="000000"/>
                <w:sz w:val="18"/>
                <w:szCs w:val="18"/>
                <w:lang w:val="es-ES" w:eastAsia="es-ES"/>
              </w:rPr>
            </w:pPr>
            <w:r w:rsidRPr="009D2B8E">
              <w:rPr>
                <w:rFonts w:ascii="Arial Narrow" w:hAnsi="Arial Narrow" w:cs="Arial"/>
                <w:bCs/>
                <w:color w:val="000000"/>
                <w:sz w:val="18"/>
                <w:szCs w:val="18"/>
                <w:lang w:val="es-ES" w:eastAsia="es-ES"/>
              </w:rPr>
              <w:t>-818</w:t>
            </w:r>
          </w:p>
        </w:tc>
        <w:tc>
          <w:tcPr>
            <w:tcW w:w="2833" w:type="dxa"/>
            <w:tcBorders>
              <w:top w:val="single" w:sz="2" w:space="0" w:color="auto"/>
              <w:left w:val="single" w:sz="2" w:space="0" w:color="auto"/>
              <w:bottom w:val="single" w:sz="2" w:space="0" w:color="auto"/>
            </w:tcBorders>
            <w:shd w:val="clear" w:color="auto" w:fill="auto"/>
            <w:vAlign w:val="center"/>
          </w:tcPr>
          <w:p w14:paraId="33684C8E" w14:textId="2F7CFBE4" w:rsidR="00BE5033" w:rsidRPr="009D2B8E" w:rsidRDefault="00BE5033" w:rsidP="00BE5033">
            <w:pPr>
              <w:spacing w:after="0"/>
              <w:ind w:firstLine="0"/>
              <w:jc w:val="left"/>
              <w:rPr>
                <w:rFonts w:ascii="Arial Narrow" w:hAnsi="Arial Narrow" w:cs="Arial"/>
                <w:sz w:val="18"/>
                <w:szCs w:val="18"/>
                <w:lang w:val="es-ES" w:eastAsia="es-ES"/>
              </w:rPr>
            </w:pPr>
            <w:r w:rsidRPr="009D2B8E">
              <w:rPr>
                <w:rFonts w:ascii="Arial Narrow" w:hAnsi="Arial Narrow" w:cs="Arial"/>
                <w:b/>
                <w:bCs/>
                <w:sz w:val="18"/>
                <w:szCs w:val="18"/>
                <w:lang w:val="es-ES" w:eastAsia="es-ES"/>
              </w:rPr>
              <w:t xml:space="preserve">A-3) </w:t>
            </w:r>
            <w:proofErr w:type="spellStart"/>
            <w:r w:rsidRPr="009D2B8E">
              <w:rPr>
                <w:rFonts w:ascii="Arial Narrow" w:hAnsi="Arial Narrow" w:cs="Arial"/>
                <w:b/>
                <w:bCs/>
                <w:sz w:val="18"/>
                <w:szCs w:val="18"/>
                <w:lang w:val="es-ES" w:eastAsia="es-ES"/>
              </w:rPr>
              <w:t>Subv</w:t>
            </w:r>
            <w:proofErr w:type="spellEnd"/>
            <w:r w:rsidRPr="009D2B8E">
              <w:rPr>
                <w:rFonts w:ascii="Arial Narrow" w:hAnsi="Arial Narrow" w:cs="Arial"/>
                <w:b/>
                <w:bCs/>
                <w:sz w:val="18"/>
                <w:szCs w:val="18"/>
                <w:lang w:val="es-ES" w:eastAsia="es-ES"/>
              </w:rPr>
              <w:t xml:space="preserve">., </w:t>
            </w:r>
            <w:proofErr w:type="spellStart"/>
            <w:r w:rsidRPr="009D2B8E">
              <w:rPr>
                <w:rFonts w:ascii="Arial Narrow" w:hAnsi="Arial Narrow" w:cs="Arial"/>
                <w:b/>
                <w:bCs/>
                <w:sz w:val="18"/>
                <w:szCs w:val="18"/>
                <w:lang w:val="es-ES" w:eastAsia="es-ES"/>
              </w:rPr>
              <w:t>donac</w:t>
            </w:r>
            <w:proofErr w:type="spellEnd"/>
            <w:r w:rsidRPr="009D2B8E">
              <w:rPr>
                <w:rFonts w:ascii="Arial Narrow" w:hAnsi="Arial Narrow" w:cs="Arial"/>
                <w:b/>
                <w:bCs/>
                <w:sz w:val="18"/>
                <w:szCs w:val="18"/>
                <w:lang w:val="es-ES" w:eastAsia="es-ES"/>
              </w:rPr>
              <w:t>. y legados recibidos</w:t>
            </w:r>
          </w:p>
        </w:tc>
        <w:tc>
          <w:tcPr>
            <w:tcW w:w="851" w:type="dxa"/>
            <w:tcBorders>
              <w:top w:val="single" w:sz="2" w:space="0" w:color="auto"/>
              <w:bottom w:val="single" w:sz="2" w:space="0" w:color="auto"/>
            </w:tcBorders>
            <w:shd w:val="clear" w:color="auto" w:fill="auto"/>
            <w:noWrap/>
            <w:vAlign w:val="center"/>
          </w:tcPr>
          <w:p w14:paraId="434DA8D2" w14:textId="1AEB5A25" w:rsidR="00BE5033"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155253D6" w14:textId="4405C64F" w:rsidR="00BE5033"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b/>
                <w:bCs/>
                <w:color w:val="000000"/>
                <w:sz w:val="18"/>
                <w:szCs w:val="18"/>
                <w:lang w:val="es-ES" w:eastAsia="es-ES"/>
              </w:rPr>
              <w:t>0</w:t>
            </w:r>
          </w:p>
        </w:tc>
      </w:tr>
      <w:tr w:rsidR="00BE5033" w:rsidRPr="009D2B8E" w14:paraId="3AE1A041"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7B9EE88" w14:textId="083B62D9" w:rsidR="00BE5033" w:rsidRPr="009D2B8E" w:rsidRDefault="00BE5033" w:rsidP="00BE5033">
            <w:pPr>
              <w:spacing w:after="0"/>
              <w:ind w:firstLine="0"/>
              <w:jc w:val="left"/>
              <w:rPr>
                <w:rFonts w:ascii="Arial Narrow" w:hAnsi="Arial Narrow" w:cs="Arial"/>
                <w:sz w:val="18"/>
                <w:szCs w:val="18"/>
                <w:lang w:val="es-ES" w:eastAsia="es-ES"/>
              </w:rPr>
            </w:pPr>
            <w:r w:rsidRPr="009D2B8E">
              <w:rPr>
                <w:rFonts w:ascii="Arial Narrow" w:hAnsi="Arial Narrow" w:cs="Arial"/>
                <w:sz w:val="18"/>
                <w:szCs w:val="18"/>
                <w:lang w:val="es-ES" w:eastAsia="es-ES"/>
              </w:rPr>
              <w:t xml:space="preserve">2. Accionistas por desembolsos exigidos </w:t>
            </w:r>
          </w:p>
        </w:tc>
        <w:tc>
          <w:tcPr>
            <w:tcW w:w="851" w:type="dxa"/>
            <w:tcBorders>
              <w:top w:val="single" w:sz="2" w:space="0" w:color="auto"/>
              <w:bottom w:val="single" w:sz="2" w:space="0" w:color="auto"/>
            </w:tcBorders>
            <w:shd w:val="clear" w:color="auto" w:fill="auto"/>
            <w:noWrap/>
            <w:vAlign w:val="center"/>
          </w:tcPr>
          <w:p w14:paraId="3300DF41" w14:textId="5AD12CD4" w:rsidR="00BE5033" w:rsidRPr="009D2B8E" w:rsidRDefault="00BE5033" w:rsidP="003860F8">
            <w:pPr>
              <w:spacing w:after="0"/>
              <w:ind w:left="-75" w:firstLine="0"/>
              <w:jc w:val="right"/>
              <w:rPr>
                <w:rFonts w:ascii="Arial Narrow" w:hAnsi="Arial Narrow" w:cs="Arial"/>
                <w:bCs/>
                <w:color w:val="000000"/>
                <w:sz w:val="18"/>
                <w:szCs w:val="18"/>
                <w:lang w:val="es-ES" w:eastAsia="es-ES"/>
              </w:rPr>
            </w:pPr>
            <w:r w:rsidRPr="009D2B8E">
              <w:rPr>
                <w:rFonts w:ascii="Arial Narrow" w:hAnsi="Arial Narrow" w:cs="Arial"/>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4381803A" w14:textId="326EEAC3" w:rsidR="00BE5033" w:rsidRPr="009D2B8E" w:rsidRDefault="00BE5033" w:rsidP="00A532EF">
            <w:pPr>
              <w:spacing w:after="0"/>
              <w:ind w:firstLine="0"/>
              <w:jc w:val="right"/>
              <w:rPr>
                <w:rFonts w:ascii="Arial Narrow" w:hAnsi="Arial Narrow" w:cs="Arial"/>
                <w:bCs/>
                <w:color w:val="000000"/>
                <w:sz w:val="18"/>
                <w:szCs w:val="18"/>
                <w:lang w:val="es-ES" w:eastAsia="es-ES"/>
              </w:rPr>
            </w:pPr>
            <w:r w:rsidRPr="009D2B8E">
              <w:rPr>
                <w:rFonts w:ascii="Arial Narrow" w:hAnsi="Arial Narrow" w:cs="Arial"/>
                <w:color w:val="000000"/>
                <w:sz w:val="18"/>
                <w:szCs w:val="18"/>
                <w:lang w:val="es-ES" w:eastAsia="es-ES"/>
              </w:rPr>
              <w:t>0</w:t>
            </w:r>
          </w:p>
        </w:tc>
        <w:tc>
          <w:tcPr>
            <w:tcW w:w="2833" w:type="dxa"/>
            <w:tcBorders>
              <w:top w:val="single" w:sz="2" w:space="0" w:color="auto"/>
              <w:left w:val="single" w:sz="2" w:space="0" w:color="auto"/>
              <w:bottom w:val="single" w:sz="2" w:space="0" w:color="auto"/>
            </w:tcBorders>
            <w:shd w:val="clear" w:color="auto" w:fill="auto"/>
            <w:vAlign w:val="center"/>
          </w:tcPr>
          <w:p w14:paraId="5A211313" w14:textId="345F2995" w:rsidR="00BE5033" w:rsidRPr="009D2B8E" w:rsidRDefault="00BE5033" w:rsidP="00BE5033">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41E5B038" w14:textId="41CB0242" w:rsidR="00BE5033" w:rsidRPr="009D2B8E" w:rsidRDefault="00BE5033" w:rsidP="00F26066">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23A638E6" w14:textId="2422829B" w:rsidR="00BE5033" w:rsidRPr="009D2B8E" w:rsidRDefault="00BE5033" w:rsidP="00F26066">
            <w:pPr>
              <w:spacing w:after="0"/>
              <w:ind w:firstLine="0"/>
              <w:jc w:val="right"/>
              <w:rPr>
                <w:rFonts w:ascii="Arial Narrow" w:hAnsi="Arial Narrow" w:cs="Arial"/>
                <w:color w:val="000000"/>
                <w:sz w:val="18"/>
                <w:szCs w:val="18"/>
                <w:lang w:val="es-ES" w:eastAsia="es-ES"/>
              </w:rPr>
            </w:pPr>
          </w:p>
        </w:tc>
      </w:tr>
      <w:tr w:rsidR="00BE5033" w:rsidRPr="009D2B8E" w14:paraId="62032004"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04884AD3" w14:textId="7B0B801D" w:rsidR="00BE5033" w:rsidRPr="009D2B8E" w:rsidRDefault="00BE5033" w:rsidP="00BE5033">
            <w:pPr>
              <w:spacing w:after="0"/>
              <w:ind w:firstLine="0"/>
              <w:jc w:val="left"/>
              <w:rPr>
                <w:rFonts w:ascii="Arial Narrow" w:hAnsi="Arial Narrow" w:cs="Arial"/>
                <w:sz w:val="18"/>
                <w:szCs w:val="18"/>
                <w:lang w:val="es-ES" w:eastAsia="es-ES"/>
              </w:rPr>
            </w:pPr>
            <w:r w:rsidRPr="009D2B8E">
              <w:rPr>
                <w:rFonts w:ascii="Arial Narrow" w:hAnsi="Arial Narrow" w:cs="Arial"/>
                <w:sz w:val="18"/>
                <w:szCs w:val="18"/>
                <w:lang w:val="es-ES" w:eastAsia="es-ES"/>
              </w:rPr>
              <w:t>3. Otros deudores</w:t>
            </w:r>
          </w:p>
        </w:tc>
        <w:tc>
          <w:tcPr>
            <w:tcW w:w="851" w:type="dxa"/>
            <w:tcBorders>
              <w:top w:val="single" w:sz="2" w:space="0" w:color="auto"/>
              <w:bottom w:val="single" w:sz="2" w:space="0" w:color="auto"/>
            </w:tcBorders>
            <w:shd w:val="clear" w:color="auto" w:fill="auto"/>
            <w:noWrap/>
            <w:vAlign w:val="center"/>
          </w:tcPr>
          <w:p w14:paraId="7BAB39F8" w14:textId="56C69763" w:rsidR="00BE5033" w:rsidRPr="009D2B8E" w:rsidRDefault="00BE5033" w:rsidP="003860F8">
            <w:pPr>
              <w:spacing w:after="0"/>
              <w:ind w:left="-75" w:firstLine="0"/>
              <w:jc w:val="right"/>
              <w:rPr>
                <w:rFonts w:ascii="Arial Narrow" w:hAnsi="Arial Narrow" w:cs="Arial"/>
                <w:bCs/>
                <w:color w:val="000000"/>
                <w:sz w:val="18"/>
                <w:szCs w:val="18"/>
                <w:lang w:val="es-ES" w:eastAsia="es-ES"/>
              </w:rPr>
            </w:pPr>
            <w:r w:rsidRPr="009D2B8E">
              <w:rPr>
                <w:rFonts w:ascii="Arial Narrow" w:hAnsi="Arial Narrow" w:cs="Arial"/>
                <w:color w:val="000000"/>
                <w:sz w:val="18"/>
                <w:szCs w:val="18"/>
                <w:lang w:val="es-ES" w:eastAsia="es-ES"/>
              </w:rPr>
              <w:t>-169.774</w:t>
            </w:r>
          </w:p>
        </w:tc>
        <w:tc>
          <w:tcPr>
            <w:tcW w:w="851" w:type="dxa"/>
            <w:tcBorders>
              <w:top w:val="single" w:sz="2" w:space="0" w:color="auto"/>
              <w:bottom w:val="single" w:sz="2" w:space="0" w:color="auto"/>
              <w:right w:val="single" w:sz="2" w:space="0" w:color="auto"/>
            </w:tcBorders>
            <w:shd w:val="clear" w:color="auto" w:fill="auto"/>
            <w:noWrap/>
            <w:vAlign w:val="center"/>
          </w:tcPr>
          <w:p w14:paraId="72DBDD92" w14:textId="64F4A841" w:rsidR="00BE5033" w:rsidRPr="009D2B8E" w:rsidRDefault="00BE5033" w:rsidP="00A532EF">
            <w:pPr>
              <w:spacing w:after="0"/>
              <w:ind w:firstLine="0"/>
              <w:jc w:val="right"/>
              <w:rPr>
                <w:rFonts w:ascii="Arial Narrow" w:hAnsi="Arial Narrow" w:cs="Arial"/>
                <w:bCs/>
                <w:color w:val="000000"/>
                <w:sz w:val="18"/>
                <w:szCs w:val="18"/>
                <w:lang w:val="es-ES" w:eastAsia="es-ES"/>
              </w:rPr>
            </w:pPr>
            <w:r w:rsidRPr="009D2B8E">
              <w:rPr>
                <w:rFonts w:ascii="Arial Narrow" w:hAnsi="Arial Narrow" w:cs="Arial"/>
                <w:color w:val="000000"/>
                <w:sz w:val="18"/>
                <w:szCs w:val="18"/>
                <w:lang w:val="es-ES" w:eastAsia="es-ES"/>
              </w:rPr>
              <w:t>-335.996</w:t>
            </w:r>
          </w:p>
        </w:tc>
        <w:tc>
          <w:tcPr>
            <w:tcW w:w="2833" w:type="dxa"/>
            <w:tcBorders>
              <w:top w:val="single" w:sz="2" w:space="0" w:color="auto"/>
              <w:left w:val="single" w:sz="2" w:space="0" w:color="auto"/>
              <w:bottom w:val="single" w:sz="2" w:space="0" w:color="auto"/>
            </w:tcBorders>
            <w:shd w:val="clear" w:color="auto" w:fill="auto"/>
            <w:vAlign w:val="center"/>
          </w:tcPr>
          <w:p w14:paraId="77D01B41" w14:textId="5AF94BF9" w:rsidR="00BE5033" w:rsidRPr="009D2B8E" w:rsidRDefault="00BE5033" w:rsidP="00BE5033">
            <w:pPr>
              <w:spacing w:after="0"/>
              <w:ind w:firstLine="0"/>
              <w:jc w:val="left"/>
              <w:rPr>
                <w:rFonts w:ascii="Arial Narrow" w:hAnsi="Arial Narrow" w:cs="Arial"/>
                <w:sz w:val="18"/>
                <w:szCs w:val="18"/>
                <w:lang w:val="es-ES" w:eastAsia="es-ES"/>
              </w:rPr>
            </w:pPr>
            <w:r w:rsidRPr="009D2B8E">
              <w:rPr>
                <w:rFonts w:ascii="Arial Narrow" w:hAnsi="Arial Narrow" w:cs="Arial"/>
                <w:b/>
                <w:bCs/>
                <w:sz w:val="18"/>
                <w:szCs w:val="18"/>
                <w:lang w:val="es-ES" w:eastAsia="es-ES"/>
              </w:rPr>
              <w:t xml:space="preserve"> B) PASIVO NO CORRIENTE</w:t>
            </w:r>
          </w:p>
        </w:tc>
        <w:tc>
          <w:tcPr>
            <w:tcW w:w="851" w:type="dxa"/>
            <w:tcBorders>
              <w:top w:val="single" w:sz="2" w:space="0" w:color="auto"/>
              <w:bottom w:val="single" w:sz="2" w:space="0" w:color="auto"/>
            </w:tcBorders>
            <w:shd w:val="clear" w:color="auto" w:fill="auto"/>
            <w:noWrap/>
            <w:vAlign w:val="center"/>
          </w:tcPr>
          <w:p w14:paraId="05B27824" w14:textId="28E47D3B" w:rsidR="00BE5033"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2AB7A35E" w14:textId="01381998" w:rsidR="00BE5033"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b/>
                <w:bCs/>
                <w:color w:val="000000"/>
                <w:sz w:val="18"/>
                <w:szCs w:val="18"/>
                <w:lang w:val="es-ES" w:eastAsia="es-ES"/>
              </w:rPr>
              <w:t>0</w:t>
            </w:r>
          </w:p>
        </w:tc>
      </w:tr>
      <w:tr w:rsidR="00BE5033" w:rsidRPr="009D2B8E" w14:paraId="64366841"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EA68502" w14:textId="5E4827E5" w:rsidR="00BE5033" w:rsidRPr="009D2B8E" w:rsidRDefault="00BE5033" w:rsidP="00BE5033">
            <w:pPr>
              <w:spacing w:after="0"/>
              <w:ind w:firstLine="0"/>
              <w:jc w:val="left"/>
              <w:rPr>
                <w:rFonts w:ascii="Arial Narrow" w:hAnsi="Arial Narrow" w:cs="Arial"/>
                <w:b/>
                <w:sz w:val="18"/>
                <w:szCs w:val="18"/>
                <w:lang w:val="es-ES" w:eastAsia="es-ES"/>
              </w:rPr>
            </w:pPr>
            <w:r w:rsidRPr="009D2B8E">
              <w:rPr>
                <w:rFonts w:ascii="Arial Narrow" w:hAnsi="Arial Narrow" w:cs="Arial"/>
                <w:b/>
                <w:bCs/>
                <w:sz w:val="18"/>
                <w:szCs w:val="18"/>
                <w:lang w:val="es-ES" w:eastAsia="es-ES"/>
              </w:rPr>
              <w:t>III. Inversiones en empresas del grupo y asociadas a largo plazo</w:t>
            </w:r>
          </w:p>
        </w:tc>
        <w:tc>
          <w:tcPr>
            <w:tcW w:w="851" w:type="dxa"/>
            <w:tcBorders>
              <w:top w:val="single" w:sz="2" w:space="0" w:color="auto"/>
              <w:bottom w:val="single" w:sz="2" w:space="0" w:color="auto"/>
            </w:tcBorders>
            <w:shd w:val="clear" w:color="auto" w:fill="auto"/>
            <w:noWrap/>
            <w:vAlign w:val="center"/>
          </w:tcPr>
          <w:p w14:paraId="55498F04" w14:textId="5F41A7DB" w:rsidR="00BE5033" w:rsidRPr="009D2B8E" w:rsidRDefault="00BE5033" w:rsidP="003860F8">
            <w:pPr>
              <w:spacing w:after="0"/>
              <w:ind w:left="-75" w:firstLine="0"/>
              <w:jc w:val="right"/>
              <w:rPr>
                <w:rFonts w:ascii="Arial Narrow" w:hAnsi="Arial Narrow" w:cs="Arial"/>
                <w:b/>
                <w:color w:val="000000"/>
                <w:sz w:val="18"/>
                <w:szCs w:val="18"/>
                <w:lang w:val="es-ES" w:eastAsia="es-ES"/>
              </w:rPr>
            </w:pPr>
            <w:r w:rsidRPr="009D2B8E">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02007EDF" w14:textId="43D2473E" w:rsidR="00BE5033" w:rsidRPr="009D2B8E" w:rsidRDefault="00BE5033" w:rsidP="00A532EF">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
                <w:bCs/>
                <w:color w:val="000000"/>
                <w:sz w:val="18"/>
                <w:szCs w:val="18"/>
                <w:lang w:val="es-ES" w:eastAsia="es-ES"/>
              </w:rPr>
              <w:t>0</w:t>
            </w:r>
          </w:p>
        </w:tc>
        <w:tc>
          <w:tcPr>
            <w:tcW w:w="2833" w:type="dxa"/>
            <w:tcBorders>
              <w:top w:val="single" w:sz="2" w:space="0" w:color="auto"/>
              <w:left w:val="single" w:sz="2" w:space="0" w:color="auto"/>
              <w:bottom w:val="single" w:sz="2" w:space="0" w:color="auto"/>
            </w:tcBorders>
            <w:shd w:val="clear" w:color="auto" w:fill="auto"/>
            <w:vAlign w:val="center"/>
          </w:tcPr>
          <w:p w14:paraId="680FF27F" w14:textId="5BD60005" w:rsidR="00BE5033" w:rsidRPr="009D2B8E" w:rsidRDefault="00BE5033" w:rsidP="00BE5033">
            <w:pPr>
              <w:spacing w:after="0"/>
              <w:ind w:firstLine="0"/>
              <w:jc w:val="left"/>
              <w:rPr>
                <w:rFonts w:ascii="Arial Narrow" w:hAnsi="Arial Narrow" w:cs="Arial"/>
                <w:b/>
                <w:bCs/>
                <w:sz w:val="18"/>
                <w:szCs w:val="18"/>
                <w:lang w:val="es-ES" w:eastAsia="es-ES"/>
              </w:rPr>
            </w:pPr>
            <w:r w:rsidRPr="009D2B8E">
              <w:rPr>
                <w:rFonts w:ascii="Arial Narrow" w:hAnsi="Arial Narrow" w:cs="Arial"/>
                <w:bCs/>
                <w:sz w:val="18"/>
                <w:szCs w:val="18"/>
                <w:lang w:val="es-ES" w:eastAsia="es-ES"/>
              </w:rPr>
              <w:t>I. Provisiones a largo plazo</w:t>
            </w:r>
          </w:p>
        </w:tc>
        <w:tc>
          <w:tcPr>
            <w:tcW w:w="851" w:type="dxa"/>
            <w:tcBorders>
              <w:top w:val="single" w:sz="2" w:space="0" w:color="auto"/>
              <w:bottom w:val="single" w:sz="2" w:space="0" w:color="auto"/>
            </w:tcBorders>
            <w:shd w:val="clear" w:color="auto" w:fill="auto"/>
            <w:noWrap/>
            <w:vAlign w:val="center"/>
          </w:tcPr>
          <w:p w14:paraId="46D6E8E6" w14:textId="0E0EC57B" w:rsidR="00BE5033"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3DB1AC93" w14:textId="44173546" w:rsidR="00BE5033"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Cs/>
                <w:color w:val="000000"/>
                <w:sz w:val="18"/>
                <w:szCs w:val="18"/>
                <w:lang w:val="es-ES" w:eastAsia="es-ES"/>
              </w:rPr>
              <w:t>0</w:t>
            </w:r>
          </w:p>
        </w:tc>
      </w:tr>
      <w:tr w:rsidR="00BE5033" w:rsidRPr="009D2B8E" w14:paraId="5CB914F8"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164A7230" w14:textId="681D2512" w:rsidR="00BE5033" w:rsidRPr="009D2B8E" w:rsidRDefault="00BE5033" w:rsidP="00BE5033">
            <w:pPr>
              <w:spacing w:after="0"/>
              <w:ind w:firstLine="0"/>
              <w:jc w:val="left"/>
              <w:rPr>
                <w:rFonts w:ascii="Arial Narrow" w:hAnsi="Arial Narrow" w:cs="Arial"/>
                <w:b/>
                <w:bCs/>
                <w:sz w:val="18"/>
                <w:szCs w:val="18"/>
                <w:lang w:val="es-ES" w:eastAsia="es-ES"/>
              </w:rPr>
            </w:pPr>
            <w:r w:rsidRPr="009D2B8E">
              <w:rPr>
                <w:rFonts w:ascii="Arial Narrow" w:hAnsi="Arial Narrow" w:cs="Arial"/>
                <w:b/>
                <w:bCs/>
                <w:sz w:val="18"/>
                <w:szCs w:val="18"/>
                <w:lang w:val="es-ES" w:eastAsia="es-ES"/>
              </w:rPr>
              <w:t xml:space="preserve">IV. Inversiones financieras a corto plazo </w:t>
            </w:r>
          </w:p>
        </w:tc>
        <w:tc>
          <w:tcPr>
            <w:tcW w:w="851" w:type="dxa"/>
            <w:tcBorders>
              <w:top w:val="single" w:sz="2" w:space="0" w:color="auto"/>
              <w:bottom w:val="single" w:sz="2" w:space="0" w:color="auto"/>
            </w:tcBorders>
            <w:shd w:val="clear" w:color="auto" w:fill="auto"/>
            <w:noWrap/>
            <w:vAlign w:val="center"/>
          </w:tcPr>
          <w:p w14:paraId="410B567B" w14:textId="517292A1" w:rsidR="00BE5033" w:rsidRPr="009D2B8E" w:rsidRDefault="00BE5033" w:rsidP="003860F8">
            <w:pPr>
              <w:spacing w:after="0"/>
              <w:ind w:left="-75" w:firstLine="0"/>
              <w:jc w:val="right"/>
              <w:rPr>
                <w:rFonts w:ascii="Arial Narrow" w:hAnsi="Arial Narrow" w:cs="Arial"/>
                <w:b/>
                <w:bCs/>
                <w:color w:val="000000"/>
                <w:sz w:val="18"/>
                <w:szCs w:val="18"/>
                <w:lang w:val="es-ES" w:eastAsia="es-ES"/>
              </w:rPr>
            </w:pPr>
            <w:r w:rsidRPr="009D2B8E">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6B018B9E" w14:textId="34210541" w:rsidR="00BE5033" w:rsidRPr="009D2B8E" w:rsidRDefault="00BE5033" w:rsidP="00A532EF">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
                <w:bCs/>
                <w:color w:val="000000"/>
                <w:sz w:val="18"/>
                <w:szCs w:val="18"/>
                <w:lang w:val="es-ES" w:eastAsia="es-ES"/>
              </w:rPr>
              <w:t>0</w:t>
            </w:r>
          </w:p>
        </w:tc>
        <w:tc>
          <w:tcPr>
            <w:tcW w:w="2833" w:type="dxa"/>
            <w:tcBorders>
              <w:top w:val="single" w:sz="2" w:space="0" w:color="auto"/>
              <w:left w:val="single" w:sz="2" w:space="0" w:color="auto"/>
              <w:bottom w:val="single" w:sz="2" w:space="0" w:color="auto"/>
            </w:tcBorders>
            <w:shd w:val="clear" w:color="auto" w:fill="auto"/>
            <w:vAlign w:val="center"/>
          </w:tcPr>
          <w:p w14:paraId="35560B8F" w14:textId="71D1553E" w:rsidR="00BE5033" w:rsidRPr="009D2B8E" w:rsidRDefault="00BE5033" w:rsidP="00BE5033">
            <w:pPr>
              <w:spacing w:after="0"/>
              <w:ind w:firstLine="0"/>
              <w:jc w:val="left"/>
              <w:rPr>
                <w:rFonts w:ascii="Arial Narrow" w:hAnsi="Arial Narrow" w:cs="Arial"/>
                <w:b/>
                <w:sz w:val="18"/>
                <w:szCs w:val="18"/>
                <w:lang w:val="es-ES" w:eastAsia="es-ES"/>
              </w:rPr>
            </w:pPr>
            <w:r w:rsidRPr="009D2B8E">
              <w:rPr>
                <w:rFonts w:ascii="Arial Narrow" w:hAnsi="Arial Narrow" w:cs="Arial"/>
                <w:bCs/>
                <w:sz w:val="18"/>
                <w:szCs w:val="18"/>
                <w:lang w:val="es-ES" w:eastAsia="es-ES"/>
              </w:rPr>
              <w:t>II. Deudas a largo plazo</w:t>
            </w:r>
          </w:p>
        </w:tc>
        <w:tc>
          <w:tcPr>
            <w:tcW w:w="851" w:type="dxa"/>
            <w:tcBorders>
              <w:top w:val="single" w:sz="2" w:space="0" w:color="auto"/>
              <w:bottom w:val="single" w:sz="2" w:space="0" w:color="auto"/>
            </w:tcBorders>
            <w:shd w:val="clear" w:color="auto" w:fill="auto"/>
            <w:noWrap/>
            <w:vAlign w:val="center"/>
          </w:tcPr>
          <w:p w14:paraId="41063ACD" w14:textId="148599E4" w:rsidR="00BE5033"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270A99C0" w14:textId="0CB2E24B" w:rsidR="00BE5033"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Cs/>
                <w:color w:val="000000"/>
                <w:sz w:val="18"/>
                <w:szCs w:val="18"/>
                <w:lang w:val="es-ES" w:eastAsia="es-ES"/>
              </w:rPr>
              <w:t>0</w:t>
            </w:r>
          </w:p>
        </w:tc>
      </w:tr>
      <w:tr w:rsidR="00BE5033" w:rsidRPr="009D2B8E" w14:paraId="5B050951"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43664D1A" w14:textId="7DB897DF" w:rsidR="00BE5033" w:rsidRPr="009D2B8E" w:rsidRDefault="00BE5033" w:rsidP="00BE5033">
            <w:pPr>
              <w:spacing w:after="0"/>
              <w:ind w:firstLine="0"/>
              <w:jc w:val="left"/>
              <w:rPr>
                <w:rFonts w:ascii="Arial Narrow" w:hAnsi="Arial Narrow" w:cs="Arial"/>
                <w:b/>
                <w:sz w:val="18"/>
                <w:szCs w:val="18"/>
                <w:lang w:val="es-ES" w:eastAsia="es-ES"/>
              </w:rPr>
            </w:pPr>
            <w:r w:rsidRPr="009D2B8E">
              <w:rPr>
                <w:rFonts w:ascii="Arial Narrow" w:hAnsi="Arial Narrow" w:cs="Arial"/>
                <w:b/>
                <w:sz w:val="18"/>
                <w:szCs w:val="18"/>
                <w:lang w:val="es-ES" w:eastAsia="es-ES"/>
              </w:rPr>
              <w:t>V. Periodificaciones a corto plazo</w:t>
            </w:r>
          </w:p>
        </w:tc>
        <w:tc>
          <w:tcPr>
            <w:tcW w:w="851" w:type="dxa"/>
            <w:tcBorders>
              <w:top w:val="single" w:sz="2" w:space="0" w:color="auto"/>
              <w:bottom w:val="single" w:sz="2" w:space="0" w:color="auto"/>
            </w:tcBorders>
            <w:shd w:val="clear" w:color="auto" w:fill="auto"/>
            <w:noWrap/>
            <w:vAlign w:val="center"/>
          </w:tcPr>
          <w:p w14:paraId="46A8C493" w14:textId="0D66DBFF" w:rsidR="00BE5033" w:rsidRPr="009D2B8E" w:rsidRDefault="00BE5033" w:rsidP="003860F8">
            <w:pPr>
              <w:spacing w:after="0"/>
              <w:ind w:left="-75" w:firstLine="0"/>
              <w:jc w:val="right"/>
              <w:rPr>
                <w:rFonts w:ascii="Arial Narrow" w:hAnsi="Arial Narrow" w:cs="Arial"/>
                <w:b/>
                <w:color w:val="000000"/>
                <w:sz w:val="18"/>
                <w:szCs w:val="18"/>
                <w:lang w:val="es-ES" w:eastAsia="es-ES"/>
              </w:rPr>
            </w:pPr>
            <w:r w:rsidRPr="009D2B8E">
              <w:rPr>
                <w:rFonts w:ascii="Arial Narrow" w:hAnsi="Arial Narrow" w:cs="Arial"/>
                <w:b/>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538A04FB" w14:textId="59458B51" w:rsidR="00BE5033" w:rsidRPr="009D2B8E" w:rsidRDefault="00BE5033" w:rsidP="00A532EF">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
                <w:color w:val="000000"/>
                <w:sz w:val="18"/>
                <w:szCs w:val="18"/>
                <w:lang w:val="es-ES" w:eastAsia="es-ES"/>
              </w:rPr>
              <w:t>0</w:t>
            </w:r>
          </w:p>
        </w:tc>
        <w:tc>
          <w:tcPr>
            <w:tcW w:w="2833" w:type="dxa"/>
            <w:tcBorders>
              <w:top w:val="single" w:sz="2" w:space="0" w:color="auto"/>
              <w:left w:val="single" w:sz="2" w:space="0" w:color="auto"/>
              <w:bottom w:val="single" w:sz="2" w:space="0" w:color="auto"/>
            </w:tcBorders>
            <w:shd w:val="clear" w:color="auto" w:fill="auto"/>
            <w:vAlign w:val="center"/>
          </w:tcPr>
          <w:p w14:paraId="70EDF942" w14:textId="28947800" w:rsidR="00BE5033" w:rsidRPr="009D2B8E" w:rsidRDefault="00BE5033" w:rsidP="00BE5033">
            <w:pPr>
              <w:spacing w:after="0"/>
              <w:ind w:firstLine="0"/>
              <w:jc w:val="left"/>
              <w:rPr>
                <w:rFonts w:ascii="Arial Narrow" w:hAnsi="Arial Narrow" w:cs="Arial"/>
                <w:b/>
                <w:bCs/>
                <w:sz w:val="18"/>
                <w:szCs w:val="18"/>
                <w:lang w:val="es-ES" w:eastAsia="es-ES"/>
              </w:rPr>
            </w:pPr>
            <w:r w:rsidRPr="009D2B8E">
              <w:rPr>
                <w:rFonts w:ascii="Arial Narrow" w:hAnsi="Arial Narrow" w:cs="Arial"/>
                <w:bCs/>
                <w:sz w:val="18"/>
                <w:szCs w:val="18"/>
                <w:lang w:val="es-ES" w:eastAsia="es-ES"/>
              </w:rPr>
              <w:t xml:space="preserve">III. Deudas con </w:t>
            </w:r>
            <w:proofErr w:type="spellStart"/>
            <w:r w:rsidRPr="009D2B8E">
              <w:rPr>
                <w:rFonts w:ascii="Arial Narrow" w:hAnsi="Arial Narrow" w:cs="Arial"/>
                <w:bCs/>
                <w:sz w:val="18"/>
                <w:szCs w:val="18"/>
                <w:lang w:val="es-ES" w:eastAsia="es-ES"/>
              </w:rPr>
              <w:t>emp</w:t>
            </w:r>
            <w:proofErr w:type="spellEnd"/>
            <w:r w:rsidRPr="009D2B8E">
              <w:rPr>
                <w:rFonts w:ascii="Arial Narrow" w:hAnsi="Arial Narrow" w:cs="Arial"/>
                <w:bCs/>
                <w:sz w:val="18"/>
                <w:szCs w:val="18"/>
                <w:lang w:val="es-ES" w:eastAsia="es-ES"/>
              </w:rPr>
              <w:t>. del grupo y asociadas a l/p</w:t>
            </w:r>
          </w:p>
        </w:tc>
        <w:tc>
          <w:tcPr>
            <w:tcW w:w="851" w:type="dxa"/>
            <w:tcBorders>
              <w:top w:val="single" w:sz="2" w:space="0" w:color="auto"/>
              <w:bottom w:val="single" w:sz="2" w:space="0" w:color="auto"/>
            </w:tcBorders>
            <w:shd w:val="clear" w:color="auto" w:fill="auto"/>
            <w:noWrap/>
            <w:vAlign w:val="center"/>
          </w:tcPr>
          <w:p w14:paraId="74803E47" w14:textId="24BEED83" w:rsidR="00BE5033"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76E219CF" w14:textId="29605A84" w:rsidR="00BE5033"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Cs/>
                <w:color w:val="000000"/>
                <w:sz w:val="18"/>
                <w:szCs w:val="18"/>
                <w:lang w:val="es-ES" w:eastAsia="es-ES"/>
              </w:rPr>
              <w:t>0</w:t>
            </w:r>
          </w:p>
        </w:tc>
      </w:tr>
      <w:tr w:rsidR="00BE5033" w:rsidRPr="009D2B8E" w14:paraId="63AFCDFC"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2E4E80A1" w14:textId="4C282105" w:rsidR="00BE5033" w:rsidRPr="009D2B8E" w:rsidRDefault="00BE5033" w:rsidP="00BE5033">
            <w:pPr>
              <w:spacing w:after="0"/>
              <w:ind w:firstLine="0"/>
              <w:jc w:val="left"/>
              <w:rPr>
                <w:rFonts w:ascii="Arial Narrow" w:hAnsi="Arial Narrow" w:cs="Arial"/>
                <w:b/>
                <w:sz w:val="18"/>
                <w:szCs w:val="18"/>
                <w:lang w:val="es-ES" w:eastAsia="es-ES"/>
              </w:rPr>
            </w:pPr>
            <w:r w:rsidRPr="009D2B8E">
              <w:rPr>
                <w:rFonts w:ascii="Arial Narrow" w:hAnsi="Arial Narrow" w:cs="Arial"/>
                <w:b/>
                <w:sz w:val="18"/>
                <w:szCs w:val="18"/>
                <w:lang w:val="es-ES" w:eastAsia="es-ES"/>
              </w:rPr>
              <w:t>VI. Efectivo y otros activos líquidos equivalentes</w:t>
            </w:r>
          </w:p>
        </w:tc>
        <w:tc>
          <w:tcPr>
            <w:tcW w:w="851" w:type="dxa"/>
            <w:tcBorders>
              <w:top w:val="single" w:sz="2" w:space="0" w:color="auto"/>
              <w:bottom w:val="single" w:sz="2" w:space="0" w:color="auto"/>
            </w:tcBorders>
            <w:shd w:val="clear" w:color="auto" w:fill="auto"/>
            <w:noWrap/>
            <w:vAlign w:val="center"/>
          </w:tcPr>
          <w:p w14:paraId="14A96C8B" w14:textId="302342E7" w:rsidR="00BE5033" w:rsidRPr="009D2B8E" w:rsidRDefault="00BE5033" w:rsidP="003860F8">
            <w:pPr>
              <w:spacing w:after="0"/>
              <w:ind w:left="-75" w:firstLine="0"/>
              <w:jc w:val="right"/>
              <w:rPr>
                <w:rFonts w:ascii="Arial Narrow" w:hAnsi="Arial Narrow" w:cs="Arial"/>
                <w:b/>
                <w:color w:val="000000"/>
                <w:sz w:val="18"/>
                <w:szCs w:val="18"/>
                <w:lang w:val="es-ES" w:eastAsia="es-ES"/>
              </w:rPr>
            </w:pPr>
            <w:r w:rsidRPr="009D2B8E">
              <w:rPr>
                <w:rFonts w:ascii="Arial Narrow" w:hAnsi="Arial Narrow" w:cs="Arial"/>
                <w:b/>
                <w:color w:val="000000"/>
                <w:sz w:val="18"/>
                <w:szCs w:val="18"/>
                <w:lang w:val="es-ES" w:eastAsia="es-ES"/>
              </w:rPr>
              <w:t>-4.228</w:t>
            </w:r>
          </w:p>
        </w:tc>
        <w:tc>
          <w:tcPr>
            <w:tcW w:w="851" w:type="dxa"/>
            <w:tcBorders>
              <w:top w:val="single" w:sz="2" w:space="0" w:color="auto"/>
              <w:bottom w:val="single" w:sz="2" w:space="0" w:color="auto"/>
              <w:right w:val="single" w:sz="2" w:space="0" w:color="auto"/>
            </w:tcBorders>
            <w:shd w:val="clear" w:color="auto" w:fill="auto"/>
            <w:noWrap/>
            <w:vAlign w:val="center"/>
          </w:tcPr>
          <w:p w14:paraId="42B5D1FC" w14:textId="41CCF646" w:rsidR="00BE5033" w:rsidRPr="009D2B8E" w:rsidRDefault="00BE5033" w:rsidP="00A532EF">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
                <w:color w:val="000000"/>
                <w:sz w:val="18"/>
                <w:szCs w:val="18"/>
                <w:lang w:val="es-ES" w:eastAsia="es-ES"/>
              </w:rPr>
              <w:t>-10.073</w:t>
            </w:r>
          </w:p>
        </w:tc>
        <w:tc>
          <w:tcPr>
            <w:tcW w:w="2833" w:type="dxa"/>
            <w:tcBorders>
              <w:top w:val="single" w:sz="2" w:space="0" w:color="auto"/>
              <w:left w:val="single" w:sz="2" w:space="0" w:color="auto"/>
              <w:bottom w:val="single" w:sz="2" w:space="0" w:color="auto"/>
            </w:tcBorders>
            <w:shd w:val="clear" w:color="auto" w:fill="auto"/>
            <w:vAlign w:val="center"/>
          </w:tcPr>
          <w:p w14:paraId="544580F2" w14:textId="0C3FAAC4" w:rsidR="00BE5033" w:rsidRPr="009D2B8E" w:rsidRDefault="00BE5033" w:rsidP="00BE5033">
            <w:pPr>
              <w:spacing w:after="0"/>
              <w:ind w:firstLine="0"/>
              <w:jc w:val="left"/>
              <w:rPr>
                <w:rFonts w:ascii="Arial Narrow" w:hAnsi="Arial Narrow" w:cs="Arial"/>
                <w:b/>
                <w:bCs/>
                <w:sz w:val="18"/>
                <w:szCs w:val="18"/>
                <w:lang w:val="es-ES" w:eastAsia="es-ES"/>
              </w:rPr>
            </w:pPr>
            <w:r w:rsidRPr="009D2B8E">
              <w:rPr>
                <w:rFonts w:ascii="Arial Narrow" w:hAnsi="Arial Narrow" w:cs="Arial"/>
                <w:bCs/>
                <w:sz w:val="18"/>
                <w:szCs w:val="18"/>
                <w:lang w:val="es-ES" w:eastAsia="es-ES"/>
              </w:rPr>
              <w:t xml:space="preserve">IV. Pasivos por impuesto diferido </w:t>
            </w:r>
          </w:p>
        </w:tc>
        <w:tc>
          <w:tcPr>
            <w:tcW w:w="851" w:type="dxa"/>
            <w:tcBorders>
              <w:top w:val="single" w:sz="2" w:space="0" w:color="auto"/>
              <w:bottom w:val="single" w:sz="2" w:space="0" w:color="auto"/>
            </w:tcBorders>
            <w:shd w:val="clear" w:color="auto" w:fill="auto"/>
            <w:noWrap/>
            <w:vAlign w:val="center"/>
          </w:tcPr>
          <w:p w14:paraId="097099EF" w14:textId="2CAE07FB" w:rsidR="00BE5033"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3FCE2D62" w14:textId="117D7602" w:rsidR="00BE5033"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color w:val="000000"/>
                <w:sz w:val="18"/>
                <w:szCs w:val="18"/>
                <w:lang w:val="es-ES" w:eastAsia="es-ES"/>
              </w:rPr>
              <w:t>0</w:t>
            </w:r>
          </w:p>
        </w:tc>
      </w:tr>
      <w:tr w:rsidR="00BE5033" w:rsidRPr="009D2B8E" w14:paraId="45618D48"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6B4350A6" w14:textId="2C6CE9FF" w:rsidR="00BE5033" w:rsidRPr="009D2B8E" w:rsidRDefault="00BE5033" w:rsidP="00BE5033">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1079E38C" w14:textId="453F675B" w:rsidR="00BE5033" w:rsidRPr="009D2B8E" w:rsidRDefault="00BE5033"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2F1B336C" w14:textId="05025339" w:rsidR="00BE5033" w:rsidRPr="009D2B8E" w:rsidRDefault="00BE5033"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41908D9A" w14:textId="21A6F49E" w:rsidR="00BE5033" w:rsidRPr="009D2B8E" w:rsidRDefault="00BE5033" w:rsidP="00BE5033">
            <w:pPr>
              <w:spacing w:after="0"/>
              <w:ind w:firstLine="0"/>
              <w:jc w:val="left"/>
              <w:rPr>
                <w:rFonts w:ascii="Arial Narrow" w:hAnsi="Arial Narrow" w:cs="Arial"/>
                <w:b/>
                <w:bCs/>
                <w:sz w:val="18"/>
                <w:szCs w:val="18"/>
                <w:lang w:val="es-ES" w:eastAsia="es-ES"/>
              </w:rPr>
            </w:pPr>
            <w:r w:rsidRPr="009D2B8E">
              <w:rPr>
                <w:rFonts w:ascii="Arial Narrow" w:hAnsi="Arial Narrow" w:cs="Arial"/>
                <w:bCs/>
                <w:sz w:val="18"/>
                <w:szCs w:val="18"/>
                <w:lang w:val="es-ES" w:eastAsia="es-ES"/>
              </w:rPr>
              <w:t>V. Periodificaciones a largo plazo</w:t>
            </w:r>
          </w:p>
        </w:tc>
        <w:tc>
          <w:tcPr>
            <w:tcW w:w="851" w:type="dxa"/>
            <w:tcBorders>
              <w:top w:val="single" w:sz="2" w:space="0" w:color="auto"/>
              <w:bottom w:val="single" w:sz="2" w:space="0" w:color="auto"/>
            </w:tcBorders>
            <w:shd w:val="clear" w:color="auto" w:fill="auto"/>
            <w:noWrap/>
            <w:vAlign w:val="center"/>
          </w:tcPr>
          <w:p w14:paraId="61951ED7" w14:textId="1A5CFA57" w:rsidR="00BE5033"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30CD0C67" w14:textId="1524F548" w:rsidR="00BE5033"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Cs/>
                <w:color w:val="000000"/>
                <w:sz w:val="18"/>
                <w:szCs w:val="18"/>
                <w:lang w:val="es-ES" w:eastAsia="es-ES"/>
              </w:rPr>
              <w:t>0</w:t>
            </w:r>
          </w:p>
        </w:tc>
      </w:tr>
      <w:tr w:rsidR="00BE5033" w:rsidRPr="009D2B8E" w14:paraId="0C59F26E"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4A75D008" w14:textId="106438C6" w:rsidR="00BE5033" w:rsidRPr="009D2B8E" w:rsidRDefault="00BE5033" w:rsidP="00BE5033">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24BAAAAF" w14:textId="30D90366" w:rsidR="00BE5033" w:rsidRPr="009D2B8E" w:rsidRDefault="00BE5033" w:rsidP="003860F8">
            <w:pPr>
              <w:spacing w:after="0"/>
              <w:ind w:left="-75" w:firstLine="0"/>
              <w:jc w:val="right"/>
              <w:rPr>
                <w:rFonts w:ascii="Arial Narrow" w:hAnsi="Arial Narrow" w:cs="Arial"/>
                <w:b/>
                <w:bCs/>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2832C501" w14:textId="6959B09A" w:rsidR="00BE5033" w:rsidRPr="009D2B8E" w:rsidRDefault="00BE5033" w:rsidP="00A532EF">
            <w:pPr>
              <w:spacing w:after="0"/>
              <w:ind w:firstLine="0"/>
              <w:jc w:val="right"/>
              <w:rPr>
                <w:rFonts w:ascii="Arial Narrow" w:hAnsi="Arial Narrow" w:cs="Arial"/>
                <w:b/>
                <w:bCs/>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3EBC9181" w14:textId="523C2DA4" w:rsidR="00BE5033" w:rsidRPr="009D2B8E" w:rsidRDefault="00BE5033" w:rsidP="00BE5033">
            <w:pPr>
              <w:spacing w:after="0"/>
              <w:ind w:firstLine="0"/>
              <w:jc w:val="left"/>
              <w:rPr>
                <w:rFonts w:ascii="Arial Narrow" w:hAnsi="Arial Narrow" w:cs="Arial"/>
                <w:sz w:val="18"/>
                <w:szCs w:val="18"/>
                <w:lang w:val="es-ES" w:eastAsia="es-ES"/>
              </w:rPr>
            </w:pPr>
            <w:r w:rsidRPr="009D2B8E">
              <w:rPr>
                <w:rFonts w:ascii="Arial Narrow" w:hAnsi="Arial Narrow" w:cs="Arial"/>
                <w:bCs/>
                <w:sz w:val="18"/>
                <w:szCs w:val="18"/>
                <w:lang w:val="es-ES" w:eastAsia="es-ES"/>
              </w:rPr>
              <w:t>VI. Acreedores comerciales no corrientes</w:t>
            </w:r>
          </w:p>
        </w:tc>
        <w:tc>
          <w:tcPr>
            <w:tcW w:w="851" w:type="dxa"/>
            <w:tcBorders>
              <w:top w:val="single" w:sz="2" w:space="0" w:color="auto"/>
              <w:bottom w:val="single" w:sz="2" w:space="0" w:color="auto"/>
            </w:tcBorders>
            <w:shd w:val="clear" w:color="auto" w:fill="auto"/>
            <w:noWrap/>
            <w:vAlign w:val="center"/>
          </w:tcPr>
          <w:p w14:paraId="6326C90B" w14:textId="15FFF832" w:rsidR="00BE5033"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61FB9A43" w14:textId="2156CE07" w:rsidR="00BE5033"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bCs/>
                <w:color w:val="000000"/>
                <w:sz w:val="18"/>
                <w:szCs w:val="18"/>
                <w:lang w:val="es-ES" w:eastAsia="es-ES"/>
              </w:rPr>
              <w:t>0</w:t>
            </w:r>
          </w:p>
        </w:tc>
      </w:tr>
      <w:tr w:rsidR="00BE5033" w:rsidRPr="009D2B8E" w14:paraId="260A9822"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1B623A0" w14:textId="37A3922F" w:rsidR="00BE5033" w:rsidRPr="009D2B8E" w:rsidRDefault="00BE5033" w:rsidP="00BE5033">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73819DC5" w14:textId="67FEDE50" w:rsidR="00BE5033" w:rsidRPr="009D2B8E" w:rsidRDefault="00BE5033" w:rsidP="003860F8">
            <w:pPr>
              <w:spacing w:after="0"/>
              <w:ind w:left="-75" w:firstLine="0"/>
              <w:jc w:val="right"/>
              <w:rPr>
                <w:rFonts w:ascii="Arial Narrow" w:hAnsi="Arial Narrow" w:cs="Arial"/>
                <w:b/>
                <w:bCs/>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4E8E7717" w14:textId="6FE2B9CD" w:rsidR="00BE5033" w:rsidRPr="009D2B8E" w:rsidRDefault="00BE5033" w:rsidP="00A532EF">
            <w:pPr>
              <w:spacing w:after="0"/>
              <w:ind w:firstLine="0"/>
              <w:jc w:val="right"/>
              <w:rPr>
                <w:rFonts w:ascii="Arial Narrow" w:hAnsi="Arial Narrow" w:cs="Arial"/>
                <w:b/>
                <w:bCs/>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4A7B962E" w14:textId="0A848D69" w:rsidR="00BE5033" w:rsidRPr="009D2B8E" w:rsidRDefault="00BE5033" w:rsidP="00BE5033">
            <w:pPr>
              <w:spacing w:after="0"/>
              <w:ind w:firstLine="0"/>
              <w:jc w:val="left"/>
              <w:rPr>
                <w:rFonts w:ascii="Arial Narrow" w:hAnsi="Arial Narrow" w:cs="Arial"/>
                <w:bCs/>
                <w:sz w:val="18"/>
                <w:szCs w:val="18"/>
                <w:lang w:val="es-ES" w:eastAsia="es-ES"/>
              </w:rPr>
            </w:pPr>
            <w:r w:rsidRPr="009D2B8E">
              <w:rPr>
                <w:rFonts w:ascii="Arial Narrow" w:hAnsi="Arial Narrow" w:cs="Arial"/>
                <w:bCs/>
                <w:sz w:val="18"/>
                <w:szCs w:val="18"/>
                <w:lang w:val="es-ES" w:eastAsia="es-ES"/>
              </w:rPr>
              <w:t xml:space="preserve">VII. Deuda especial a largo plazo </w:t>
            </w:r>
          </w:p>
        </w:tc>
        <w:tc>
          <w:tcPr>
            <w:tcW w:w="851" w:type="dxa"/>
            <w:tcBorders>
              <w:top w:val="single" w:sz="2" w:space="0" w:color="auto"/>
              <w:bottom w:val="single" w:sz="2" w:space="0" w:color="auto"/>
            </w:tcBorders>
            <w:shd w:val="clear" w:color="auto" w:fill="auto"/>
            <w:noWrap/>
            <w:vAlign w:val="center"/>
          </w:tcPr>
          <w:p w14:paraId="023D40FA" w14:textId="7BFC8601" w:rsidR="00BE5033"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02F25745" w14:textId="72D7C0CD" w:rsidR="00BE5033"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color w:val="000000"/>
                <w:sz w:val="18"/>
                <w:szCs w:val="18"/>
                <w:lang w:val="es-ES" w:eastAsia="es-ES"/>
              </w:rPr>
              <w:t>0</w:t>
            </w:r>
          </w:p>
        </w:tc>
      </w:tr>
      <w:tr w:rsidR="007E2B6D" w:rsidRPr="009D2B8E" w14:paraId="49AE8BCE"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F7B2550" w14:textId="15011DB3" w:rsidR="007E2B6D" w:rsidRPr="009D2B8E" w:rsidRDefault="007E2B6D" w:rsidP="007E2B6D">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325365E0" w14:textId="41DEA232" w:rsidR="007E2B6D" w:rsidRPr="009D2B8E" w:rsidRDefault="007E2B6D" w:rsidP="003860F8">
            <w:pPr>
              <w:spacing w:after="0"/>
              <w:ind w:left="-75" w:firstLine="0"/>
              <w:jc w:val="right"/>
              <w:rPr>
                <w:rFonts w:ascii="Arial Narrow" w:hAnsi="Arial Narrow" w:cs="Arial"/>
                <w:b/>
                <w:bCs/>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447806EF" w14:textId="192BD6DD" w:rsidR="007E2B6D" w:rsidRPr="009D2B8E" w:rsidRDefault="007E2B6D" w:rsidP="00A532EF">
            <w:pPr>
              <w:spacing w:after="0"/>
              <w:ind w:firstLine="0"/>
              <w:jc w:val="right"/>
              <w:rPr>
                <w:rFonts w:ascii="Arial Narrow" w:hAnsi="Arial Narrow" w:cs="Arial"/>
                <w:b/>
                <w:bCs/>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4BAEE061" w14:textId="5DB9F944" w:rsidR="007E2B6D" w:rsidRPr="009D2B8E" w:rsidRDefault="007E2B6D" w:rsidP="007E2B6D">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0EE2D61D" w14:textId="429C95DF" w:rsidR="007E2B6D" w:rsidRPr="009D2B8E" w:rsidRDefault="007E2B6D" w:rsidP="00F26066">
            <w:pPr>
              <w:spacing w:after="0"/>
              <w:ind w:firstLine="0"/>
              <w:jc w:val="right"/>
              <w:rPr>
                <w:rFonts w:ascii="Arial Narrow" w:hAnsi="Arial Narrow" w:cs="Arial"/>
                <w:b/>
                <w:bCs/>
                <w:color w:val="000000"/>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2F3CC717" w14:textId="0C2E62A2" w:rsidR="007E2B6D" w:rsidRPr="009D2B8E" w:rsidRDefault="007E2B6D" w:rsidP="00F26066">
            <w:pPr>
              <w:spacing w:after="0"/>
              <w:ind w:firstLine="0"/>
              <w:jc w:val="right"/>
              <w:rPr>
                <w:rFonts w:ascii="Arial Narrow" w:hAnsi="Arial Narrow" w:cs="Arial"/>
                <w:b/>
                <w:bCs/>
                <w:color w:val="000000"/>
                <w:sz w:val="18"/>
                <w:szCs w:val="18"/>
                <w:lang w:val="es-ES" w:eastAsia="es-ES"/>
              </w:rPr>
            </w:pPr>
          </w:p>
        </w:tc>
      </w:tr>
      <w:tr w:rsidR="007E2B6D" w:rsidRPr="009D2B8E" w14:paraId="4F9C5632"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48363E7E" w14:textId="734E16AB" w:rsidR="007E2B6D" w:rsidRPr="009D2B8E" w:rsidRDefault="007E2B6D" w:rsidP="007E2B6D">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64084DC0" w14:textId="4CE4744A"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2D9BA0C2" w14:textId="66DD2515"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4672FC6E" w14:textId="6E121640" w:rsidR="007E2B6D" w:rsidRPr="009D2B8E" w:rsidRDefault="007E2B6D" w:rsidP="007E2B6D">
            <w:pPr>
              <w:spacing w:after="0"/>
              <w:ind w:firstLine="0"/>
              <w:jc w:val="left"/>
              <w:rPr>
                <w:rFonts w:ascii="Arial Narrow" w:hAnsi="Arial Narrow" w:cs="Arial"/>
                <w:b/>
                <w:bCs/>
                <w:sz w:val="18"/>
                <w:szCs w:val="18"/>
                <w:lang w:val="es-ES" w:eastAsia="es-ES"/>
              </w:rPr>
            </w:pPr>
            <w:r w:rsidRPr="009D2B8E">
              <w:rPr>
                <w:rFonts w:ascii="Arial Narrow" w:hAnsi="Arial Narrow" w:cs="Arial"/>
                <w:b/>
                <w:bCs/>
                <w:sz w:val="18"/>
                <w:szCs w:val="18"/>
                <w:lang w:val="es-ES" w:eastAsia="es-ES"/>
              </w:rPr>
              <w:t xml:space="preserve"> C) PASIVO CORRIENTE</w:t>
            </w:r>
          </w:p>
        </w:tc>
        <w:tc>
          <w:tcPr>
            <w:tcW w:w="851" w:type="dxa"/>
            <w:tcBorders>
              <w:top w:val="single" w:sz="2" w:space="0" w:color="auto"/>
              <w:bottom w:val="single" w:sz="2" w:space="0" w:color="auto"/>
            </w:tcBorders>
            <w:shd w:val="clear" w:color="auto" w:fill="auto"/>
            <w:noWrap/>
            <w:vAlign w:val="center"/>
          </w:tcPr>
          <w:p w14:paraId="444AEC84" w14:textId="53FA04F4" w:rsidR="007E2B6D" w:rsidRPr="009D2B8E" w:rsidRDefault="007E2B6D"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
                <w:bCs/>
                <w:color w:val="000000"/>
                <w:sz w:val="18"/>
                <w:szCs w:val="18"/>
                <w:lang w:val="es-ES" w:eastAsia="es-ES"/>
              </w:rPr>
              <w:t>4.168</w:t>
            </w:r>
          </w:p>
        </w:tc>
        <w:tc>
          <w:tcPr>
            <w:tcW w:w="851" w:type="dxa"/>
            <w:tcBorders>
              <w:top w:val="single" w:sz="2" w:space="0" w:color="auto"/>
              <w:bottom w:val="single" w:sz="2" w:space="0" w:color="auto"/>
            </w:tcBorders>
            <w:shd w:val="clear" w:color="auto" w:fill="auto"/>
            <w:noWrap/>
            <w:vAlign w:val="center"/>
          </w:tcPr>
          <w:p w14:paraId="096054A8" w14:textId="10C76383" w:rsidR="007E2B6D"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
                <w:bCs/>
                <w:color w:val="000000"/>
                <w:sz w:val="18"/>
                <w:szCs w:val="18"/>
                <w:lang w:val="es-ES" w:eastAsia="es-ES"/>
              </w:rPr>
              <w:t>-6.585</w:t>
            </w:r>
          </w:p>
        </w:tc>
      </w:tr>
      <w:tr w:rsidR="007E2B6D" w:rsidRPr="009D2B8E" w14:paraId="371685C2"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3BA3999A" w14:textId="2D1F507D" w:rsidR="007E2B6D" w:rsidRPr="009D2B8E" w:rsidRDefault="007E2B6D" w:rsidP="007E2B6D">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0E486FD5" w14:textId="499D2849"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0BF6EB6A" w14:textId="15C88B85"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1AB1FB5B" w14:textId="140373D6" w:rsidR="007E2B6D" w:rsidRPr="009D2B8E" w:rsidRDefault="007E2B6D" w:rsidP="007E2B6D">
            <w:pPr>
              <w:spacing w:after="0"/>
              <w:ind w:firstLine="0"/>
              <w:jc w:val="left"/>
              <w:rPr>
                <w:rFonts w:ascii="Arial Narrow" w:hAnsi="Arial Narrow" w:cs="Arial"/>
                <w:b/>
                <w:sz w:val="18"/>
                <w:szCs w:val="18"/>
                <w:lang w:val="es-ES" w:eastAsia="es-ES"/>
              </w:rPr>
            </w:pPr>
            <w:r w:rsidRPr="009D2B8E">
              <w:rPr>
                <w:rFonts w:ascii="Arial Narrow" w:hAnsi="Arial Narrow" w:cs="Arial"/>
                <w:b/>
                <w:bCs/>
                <w:sz w:val="18"/>
                <w:szCs w:val="18"/>
                <w:lang w:val="es-ES" w:eastAsia="es-ES"/>
              </w:rPr>
              <w:t>I. Provisiones a corto plazo</w:t>
            </w:r>
          </w:p>
        </w:tc>
        <w:tc>
          <w:tcPr>
            <w:tcW w:w="851" w:type="dxa"/>
            <w:tcBorders>
              <w:top w:val="single" w:sz="2" w:space="0" w:color="auto"/>
              <w:bottom w:val="single" w:sz="2" w:space="0" w:color="auto"/>
            </w:tcBorders>
            <w:shd w:val="clear" w:color="auto" w:fill="auto"/>
            <w:noWrap/>
            <w:vAlign w:val="center"/>
          </w:tcPr>
          <w:p w14:paraId="39048E3A" w14:textId="0BF73F14" w:rsidR="007E2B6D" w:rsidRPr="009D2B8E" w:rsidRDefault="007E2B6D" w:rsidP="00F26066">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7ED11B70" w14:textId="4E6F529C" w:rsidR="007E2B6D" w:rsidRPr="009D2B8E" w:rsidRDefault="00BE5033" w:rsidP="00F26066">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
                <w:bCs/>
                <w:color w:val="000000"/>
                <w:sz w:val="18"/>
                <w:szCs w:val="18"/>
                <w:lang w:val="es-ES" w:eastAsia="es-ES"/>
              </w:rPr>
              <w:t>0</w:t>
            </w:r>
          </w:p>
        </w:tc>
      </w:tr>
      <w:tr w:rsidR="007E2B6D" w:rsidRPr="009D2B8E" w14:paraId="53ED47DF"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61636DE" w14:textId="0F81E255" w:rsidR="007E2B6D" w:rsidRPr="009D2B8E" w:rsidRDefault="007E2B6D" w:rsidP="007E2B6D">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4D43E938" w14:textId="5CFDCBD7"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4156EBE0" w14:textId="255F8854"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3EA3C4BF" w14:textId="42A89573" w:rsidR="007E2B6D" w:rsidRPr="009D2B8E" w:rsidRDefault="007E2B6D" w:rsidP="007E2B6D">
            <w:pPr>
              <w:spacing w:after="0"/>
              <w:ind w:firstLine="0"/>
              <w:jc w:val="left"/>
              <w:rPr>
                <w:rFonts w:ascii="Arial Narrow" w:hAnsi="Arial Narrow" w:cs="Arial"/>
                <w:b/>
                <w:sz w:val="18"/>
                <w:szCs w:val="18"/>
                <w:lang w:val="es-ES" w:eastAsia="es-ES"/>
              </w:rPr>
            </w:pPr>
            <w:r w:rsidRPr="009D2B8E">
              <w:rPr>
                <w:rFonts w:ascii="Arial Narrow" w:hAnsi="Arial Narrow" w:cs="Arial"/>
                <w:b/>
                <w:bCs/>
                <w:sz w:val="18"/>
                <w:szCs w:val="18"/>
                <w:lang w:val="es-ES" w:eastAsia="es-ES"/>
              </w:rPr>
              <w:t>II. Deudas a corto plazo</w:t>
            </w:r>
          </w:p>
        </w:tc>
        <w:tc>
          <w:tcPr>
            <w:tcW w:w="851" w:type="dxa"/>
            <w:tcBorders>
              <w:top w:val="single" w:sz="2" w:space="0" w:color="auto"/>
              <w:bottom w:val="single" w:sz="2" w:space="0" w:color="auto"/>
            </w:tcBorders>
            <w:shd w:val="clear" w:color="auto" w:fill="auto"/>
            <w:noWrap/>
            <w:vAlign w:val="center"/>
          </w:tcPr>
          <w:p w14:paraId="2BBF9B18" w14:textId="2960A887" w:rsidR="007E2B6D" w:rsidRPr="009D2B8E" w:rsidRDefault="007E2B6D" w:rsidP="00F26066">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70ADBB09" w14:textId="2211F95D" w:rsidR="007E2B6D" w:rsidRPr="009D2B8E" w:rsidRDefault="00BE5033" w:rsidP="00F26066">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
                <w:bCs/>
                <w:color w:val="000000"/>
                <w:sz w:val="18"/>
                <w:szCs w:val="18"/>
                <w:lang w:val="es-ES" w:eastAsia="es-ES"/>
              </w:rPr>
              <w:t>-10.113</w:t>
            </w:r>
          </w:p>
        </w:tc>
      </w:tr>
      <w:tr w:rsidR="00BE5033" w:rsidRPr="009D2B8E" w14:paraId="7BFB368C"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7F178C62" w14:textId="77777777" w:rsidR="00BE5033" w:rsidRPr="009D2B8E" w:rsidRDefault="00BE5033" w:rsidP="00BE5033">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45718D27" w14:textId="77777777" w:rsidR="00BE5033" w:rsidRPr="009D2B8E" w:rsidRDefault="00BE5033"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3040ED42" w14:textId="77777777" w:rsidR="00BE5033" w:rsidRPr="009D2B8E" w:rsidRDefault="00BE5033"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45DAB985" w14:textId="22CD5932" w:rsidR="00BE5033" w:rsidRPr="009D2B8E" w:rsidRDefault="00BE5033" w:rsidP="00BE5033">
            <w:pPr>
              <w:spacing w:after="0"/>
              <w:ind w:firstLine="0"/>
              <w:jc w:val="left"/>
              <w:rPr>
                <w:rFonts w:ascii="Arial Narrow" w:hAnsi="Arial Narrow" w:cs="Arial"/>
                <w:b/>
                <w:bCs/>
                <w:sz w:val="18"/>
                <w:szCs w:val="18"/>
                <w:lang w:val="es-ES" w:eastAsia="es-ES"/>
              </w:rPr>
            </w:pPr>
            <w:r w:rsidRPr="009D2B8E">
              <w:rPr>
                <w:rFonts w:ascii="Arial Narrow" w:hAnsi="Arial Narrow" w:cs="Arial"/>
                <w:sz w:val="18"/>
                <w:szCs w:val="18"/>
                <w:lang w:val="es-ES" w:eastAsia="es-ES"/>
              </w:rPr>
              <w:t xml:space="preserve">1. Deudas con entidades de crédito </w:t>
            </w:r>
          </w:p>
        </w:tc>
        <w:tc>
          <w:tcPr>
            <w:tcW w:w="851" w:type="dxa"/>
            <w:tcBorders>
              <w:top w:val="single" w:sz="2" w:space="0" w:color="auto"/>
              <w:bottom w:val="single" w:sz="2" w:space="0" w:color="auto"/>
            </w:tcBorders>
            <w:shd w:val="clear" w:color="auto" w:fill="auto"/>
            <w:noWrap/>
            <w:vAlign w:val="center"/>
          </w:tcPr>
          <w:p w14:paraId="730BF429" w14:textId="4CDED50F" w:rsidR="00BE5033"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2CA2C8B9" w14:textId="66FB19AA" w:rsidR="00BE5033"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Cs/>
                <w:color w:val="000000"/>
                <w:sz w:val="18"/>
                <w:szCs w:val="18"/>
                <w:lang w:val="es-ES" w:eastAsia="es-ES"/>
              </w:rPr>
              <w:t>-10.113</w:t>
            </w:r>
          </w:p>
        </w:tc>
      </w:tr>
      <w:tr w:rsidR="007E2B6D" w:rsidRPr="009D2B8E" w14:paraId="35DBCF1A"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50EB1CBD" w14:textId="1B920F5F" w:rsidR="007E2B6D" w:rsidRPr="009D2B8E" w:rsidRDefault="007E2B6D" w:rsidP="007E2B6D">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66BA599F" w14:textId="68623B83"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160D163C" w14:textId="04D48796"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0F1ABDBD" w14:textId="0110762D" w:rsidR="007E2B6D" w:rsidRPr="009D2B8E" w:rsidRDefault="007E2B6D" w:rsidP="007E2B6D">
            <w:pPr>
              <w:spacing w:after="0"/>
              <w:ind w:firstLine="0"/>
              <w:jc w:val="left"/>
              <w:rPr>
                <w:rFonts w:ascii="Arial Narrow" w:hAnsi="Arial Narrow" w:cs="Arial"/>
                <w:b/>
                <w:sz w:val="18"/>
                <w:szCs w:val="18"/>
                <w:lang w:val="es-ES" w:eastAsia="es-ES"/>
              </w:rPr>
            </w:pPr>
            <w:r w:rsidRPr="009D2B8E">
              <w:rPr>
                <w:rFonts w:ascii="Arial Narrow" w:hAnsi="Arial Narrow" w:cs="Arial"/>
                <w:b/>
                <w:bCs/>
                <w:sz w:val="18"/>
                <w:szCs w:val="18"/>
                <w:lang w:val="es-ES" w:eastAsia="es-ES"/>
              </w:rPr>
              <w:t>III. Deudas con</w:t>
            </w:r>
            <w:r w:rsidR="00BE5033" w:rsidRPr="009D2B8E">
              <w:rPr>
                <w:rFonts w:ascii="Arial Narrow" w:hAnsi="Arial Narrow" w:cs="Arial"/>
                <w:b/>
                <w:bCs/>
                <w:sz w:val="18"/>
                <w:szCs w:val="18"/>
                <w:lang w:val="es-ES" w:eastAsia="es-ES"/>
              </w:rPr>
              <w:t xml:space="preserve"> </w:t>
            </w:r>
            <w:proofErr w:type="spellStart"/>
            <w:r w:rsidR="00BE5033" w:rsidRPr="009D2B8E">
              <w:rPr>
                <w:rFonts w:ascii="Arial Narrow" w:hAnsi="Arial Narrow" w:cs="Arial"/>
                <w:b/>
                <w:bCs/>
                <w:sz w:val="18"/>
                <w:szCs w:val="18"/>
                <w:lang w:val="es-ES" w:eastAsia="es-ES"/>
              </w:rPr>
              <w:t>emp</w:t>
            </w:r>
            <w:proofErr w:type="spellEnd"/>
            <w:r w:rsidR="00BE5033" w:rsidRPr="009D2B8E">
              <w:rPr>
                <w:rFonts w:ascii="Arial Narrow" w:hAnsi="Arial Narrow" w:cs="Arial"/>
                <w:b/>
                <w:bCs/>
                <w:sz w:val="18"/>
                <w:szCs w:val="18"/>
                <w:lang w:val="es-ES" w:eastAsia="es-ES"/>
              </w:rPr>
              <w:t>.</w:t>
            </w:r>
            <w:r w:rsidRPr="009D2B8E">
              <w:rPr>
                <w:rFonts w:ascii="Arial Narrow" w:hAnsi="Arial Narrow" w:cs="Arial"/>
                <w:b/>
                <w:bCs/>
                <w:sz w:val="18"/>
                <w:szCs w:val="18"/>
                <w:lang w:val="es-ES" w:eastAsia="es-ES"/>
              </w:rPr>
              <w:t xml:space="preserve"> del grupo y</w:t>
            </w:r>
            <w:r w:rsidR="00BE5033" w:rsidRPr="009D2B8E">
              <w:rPr>
                <w:rFonts w:ascii="Arial Narrow" w:hAnsi="Arial Narrow" w:cs="Arial"/>
                <w:b/>
                <w:bCs/>
                <w:sz w:val="18"/>
                <w:szCs w:val="18"/>
                <w:lang w:val="es-ES" w:eastAsia="es-ES"/>
              </w:rPr>
              <w:t xml:space="preserve"> </w:t>
            </w:r>
            <w:proofErr w:type="spellStart"/>
            <w:r w:rsidR="00BE5033" w:rsidRPr="009D2B8E">
              <w:rPr>
                <w:rFonts w:ascii="Arial Narrow" w:hAnsi="Arial Narrow" w:cs="Arial"/>
                <w:b/>
                <w:bCs/>
                <w:sz w:val="18"/>
                <w:szCs w:val="18"/>
                <w:lang w:val="es-ES" w:eastAsia="es-ES"/>
              </w:rPr>
              <w:t>asoc</w:t>
            </w:r>
            <w:proofErr w:type="spellEnd"/>
            <w:r w:rsidR="00BE5033" w:rsidRPr="009D2B8E">
              <w:rPr>
                <w:rFonts w:ascii="Arial Narrow" w:hAnsi="Arial Narrow" w:cs="Arial"/>
                <w:b/>
                <w:bCs/>
                <w:sz w:val="18"/>
                <w:szCs w:val="18"/>
                <w:lang w:val="es-ES" w:eastAsia="es-ES"/>
              </w:rPr>
              <w:t>.</w:t>
            </w:r>
            <w:r w:rsidRPr="009D2B8E">
              <w:rPr>
                <w:rFonts w:ascii="Arial Narrow" w:hAnsi="Arial Narrow" w:cs="Arial"/>
                <w:b/>
                <w:bCs/>
                <w:sz w:val="18"/>
                <w:szCs w:val="18"/>
                <w:lang w:val="es-ES" w:eastAsia="es-ES"/>
              </w:rPr>
              <w:t xml:space="preserve"> a </w:t>
            </w:r>
            <w:r w:rsidR="00BE5033" w:rsidRPr="009D2B8E">
              <w:rPr>
                <w:rFonts w:ascii="Arial Narrow" w:hAnsi="Arial Narrow" w:cs="Arial"/>
                <w:b/>
                <w:bCs/>
                <w:sz w:val="18"/>
                <w:szCs w:val="18"/>
                <w:lang w:val="es-ES" w:eastAsia="es-ES"/>
              </w:rPr>
              <w:t>c/p</w:t>
            </w:r>
          </w:p>
        </w:tc>
        <w:tc>
          <w:tcPr>
            <w:tcW w:w="851" w:type="dxa"/>
            <w:tcBorders>
              <w:top w:val="single" w:sz="2" w:space="0" w:color="auto"/>
              <w:bottom w:val="single" w:sz="2" w:space="0" w:color="auto"/>
            </w:tcBorders>
            <w:shd w:val="clear" w:color="auto" w:fill="auto"/>
            <w:noWrap/>
            <w:vAlign w:val="center"/>
          </w:tcPr>
          <w:p w14:paraId="0FEDA925" w14:textId="05C980AF" w:rsidR="007E2B6D" w:rsidRPr="009D2B8E" w:rsidRDefault="007E2B6D" w:rsidP="00F26066">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2B7EADBC" w14:textId="1E5A73B9" w:rsidR="007E2B6D" w:rsidRPr="009D2B8E" w:rsidRDefault="007E2B6D" w:rsidP="00F26066">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
                <w:bCs/>
                <w:color w:val="000000"/>
                <w:sz w:val="18"/>
                <w:szCs w:val="18"/>
                <w:lang w:val="es-ES" w:eastAsia="es-ES"/>
              </w:rPr>
              <w:t>702.980</w:t>
            </w:r>
          </w:p>
        </w:tc>
      </w:tr>
      <w:tr w:rsidR="007E2B6D" w:rsidRPr="009D2B8E" w14:paraId="0119C508"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4CA4EF10" w14:textId="19CD33B7" w:rsidR="007E2B6D" w:rsidRPr="009D2B8E" w:rsidRDefault="007E2B6D" w:rsidP="007E2B6D">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6E7411C0" w14:textId="2124BF57"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75D9E3E4" w14:textId="4D646FE0"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43088675" w14:textId="1AF2D12A" w:rsidR="007E2B6D" w:rsidRPr="009D2B8E" w:rsidRDefault="007E2B6D" w:rsidP="007E2B6D">
            <w:pPr>
              <w:spacing w:after="0"/>
              <w:ind w:firstLine="0"/>
              <w:jc w:val="left"/>
              <w:rPr>
                <w:rFonts w:ascii="Arial Narrow" w:hAnsi="Arial Narrow" w:cs="Arial"/>
                <w:b/>
                <w:sz w:val="18"/>
                <w:szCs w:val="18"/>
                <w:lang w:val="es-ES" w:eastAsia="es-ES"/>
              </w:rPr>
            </w:pPr>
            <w:r w:rsidRPr="009D2B8E">
              <w:rPr>
                <w:rFonts w:ascii="Arial Narrow" w:hAnsi="Arial Narrow" w:cs="Arial"/>
                <w:b/>
                <w:bCs/>
                <w:sz w:val="18"/>
                <w:szCs w:val="18"/>
                <w:lang w:val="es-ES" w:eastAsia="es-ES"/>
              </w:rPr>
              <w:t xml:space="preserve">IV. Acreedores </w:t>
            </w:r>
            <w:proofErr w:type="spellStart"/>
            <w:r w:rsidRPr="009D2B8E">
              <w:rPr>
                <w:rFonts w:ascii="Arial Narrow" w:hAnsi="Arial Narrow" w:cs="Arial"/>
                <w:b/>
                <w:bCs/>
                <w:sz w:val="18"/>
                <w:szCs w:val="18"/>
                <w:lang w:val="es-ES" w:eastAsia="es-ES"/>
              </w:rPr>
              <w:t>comer</w:t>
            </w:r>
            <w:r w:rsidR="00BE5033" w:rsidRPr="009D2B8E">
              <w:rPr>
                <w:rFonts w:ascii="Arial Narrow" w:hAnsi="Arial Narrow" w:cs="Arial"/>
                <w:b/>
                <w:bCs/>
                <w:sz w:val="18"/>
                <w:szCs w:val="18"/>
                <w:lang w:val="es-ES" w:eastAsia="es-ES"/>
              </w:rPr>
              <w:t>c</w:t>
            </w:r>
            <w:proofErr w:type="spellEnd"/>
            <w:r w:rsidR="00BE5033" w:rsidRPr="009D2B8E">
              <w:rPr>
                <w:rFonts w:ascii="Arial Narrow" w:hAnsi="Arial Narrow" w:cs="Arial"/>
                <w:b/>
                <w:bCs/>
                <w:sz w:val="18"/>
                <w:szCs w:val="18"/>
                <w:lang w:val="es-ES" w:eastAsia="es-ES"/>
              </w:rPr>
              <w:t>.</w:t>
            </w:r>
            <w:r w:rsidRPr="009D2B8E">
              <w:rPr>
                <w:rFonts w:ascii="Arial Narrow" w:hAnsi="Arial Narrow" w:cs="Arial"/>
                <w:b/>
                <w:bCs/>
                <w:sz w:val="18"/>
                <w:szCs w:val="18"/>
                <w:lang w:val="es-ES" w:eastAsia="es-ES"/>
              </w:rPr>
              <w:t xml:space="preserve"> y otras cuentas a pagar </w:t>
            </w:r>
          </w:p>
        </w:tc>
        <w:tc>
          <w:tcPr>
            <w:tcW w:w="851" w:type="dxa"/>
            <w:tcBorders>
              <w:top w:val="single" w:sz="2" w:space="0" w:color="auto"/>
              <w:bottom w:val="single" w:sz="2" w:space="0" w:color="auto"/>
            </w:tcBorders>
            <w:shd w:val="clear" w:color="auto" w:fill="auto"/>
            <w:noWrap/>
            <w:vAlign w:val="center"/>
          </w:tcPr>
          <w:p w14:paraId="391B0E3F" w14:textId="44ED3F54" w:rsidR="007E2B6D" w:rsidRPr="009D2B8E" w:rsidRDefault="007E2B6D" w:rsidP="00F26066">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
                <w:color w:val="000000"/>
                <w:sz w:val="18"/>
                <w:szCs w:val="18"/>
                <w:lang w:val="es-ES" w:eastAsia="es-ES"/>
              </w:rPr>
              <w:t>4.168</w:t>
            </w:r>
          </w:p>
        </w:tc>
        <w:tc>
          <w:tcPr>
            <w:tcW w:w="851" w:type="dxa"/>
            <w:tcBorders>
              <w:top w:val="single" w:sz="2" w:space="0" w:color="auto"/>
              <w:bottom w:val="single" w:sz="2" w:space="0" w:color="auto"/>
            </w:tcBorders>
            <w:shd w:val="clear" w:color="auto" w:fill="auto"/>
            <w:noWrap/>
            <w:vAlign w:val="center"/>
          </w:tcPr>
          <w:p w14:paraId="5DFE5543" w14:textId="013CD412" w:rsidR="007E2B6D" w:rsidRPr="009D2B8E" w:rsidRDefault="00BE5033" w:rsidP="00F26066">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
                <w:color w:val="000000"/>
                <w:sz w:val="18"/>
                <w:szCs w:val="18"/>
                <w:lang w:val="es-ES" w:eastAsia="es-ES"/>
              </w:rPr>
              <w:t>3.259</w:t>
            </w:r>
          </w:p>
        </w:tc>
      </w:tr>
      <w:tr w:rsidR="007E2B6D" w:rsidRPr="009D2B8E" w14:paraId="21C336A0"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61EFA63E" w14:textId="77777777" w:rsidR="007E2B6D" w:rsidRPr="009D2B8E" w:rsidRDefault="007E2B6D" w:rsidP="007E2B6D">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41C99368" w14:textId="77777777"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6D28D26C" w14:textId="77777777"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521D6AAD" w14:textId="0EE4BC6B" w:rsidR="007E2B6D" w:rsidRPr="009D2B8E" w:rsidRDefault="007E2B6D" w:rsidP="007E2B6D">
            <w:pPr>
              <w:spacing w:after="0"/>
              <w:ind w:firstLine="0"/>
              <w:jc w:val="left"/>
              <w:rPr>
                <w:rFonts w:ascii="Arial Narrow" w:hAnsi="Arial Narrow" w:cs="Arial"/>
                <w:bCs/>
                <w:sz w:val="18"/>
                <w:szCs w:val="18"/>
                <w:lang w:val="es-ES" w:eastAsia="es-ES"/>
              </w:rPr>
            </w:pPr>
            <w:r w:rsidRPr="009D2B8E">
              <w:rPr>
                <w:rFonts w:ascii="Arial Narrow" w:hAnsi="Arial Narrow" w:cs="Arial"/>
                <w:sz w:val="18"/>
                <w:szCs w:val="18"/>
                <w:lang w:val="es-ES" w:eastAsia="es-ES"/>
              </w:rPr>
              <w:t>1. Proveedores</w:t>
            </w:r>
          </w:p>
        </w:tc>
        <w:tc>
          <w:tcPr>
            <w:tcW w:w="851" w:type="dxa"/>
            <w:tcBorders>
              <w:top w:val="single" w:sz="2" w:space="0" w:color="auto"/>
              <w:bottom w:val="single" w:sz="2" w:space="0" w:color="auto"/>
            </w:tcBorders>
            <w:shd w:val="clear" w:color="auto" w:fill="auto"/>
            <w:noWrap/>
            <w:vAlign w:val="center"/>
          </w:tcPr>
          <w:p w14:paraId="4D9248FC" w14:textId="529ED521" w:rsidR="007E2B6D" w:rsidRPr="009D2B8E" w:rsidRDefault="007E2B6D"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0006D919" w14:textId="64A42C67" w:rsidR="007E2B6D"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color w:val="000000"/>
                <w:sz w:val="18"/>
                <w:szCs w:val="18"/>
                <w:lang w:val="es-ES" w:eastAsia="es-ES"/>
              </w:rPr>
              <w:t>0</w:t>
            </w:r>
          </w:p>
        </w:tc>
      </w:tr>
      <w:tr w:rsidR="007E2B6D" w:rsidRPr="009D2B8E" w14:paraId="7A45F0B7"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631833DA" w14:textId="77777777" w:rsidR="007E2B6D" w:rsidRPr="009D2B8E" w:rsidRDefault="007E2B6D" w:rsidP="007E2B6D">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328A2849" w14:textId="77777777"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7938362F" w14:textId="77777777"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7C8395B8" w14:textId="215356C7" w:rsidR="007E2B6D" w:rsidRPr="009D2B8E" w:rsidRDefault="007E2B6D" w:rsidP="007E2B6D">
            <w:pPr>
              <w:spacing w:after="0"/>
              <w:ind w:firstLine="0"/>
              <w:jc w:val="left"/>
              <w:rPr>
                <w:rFonts w:ascii="Arial Narrow" w:hAnsi="Arial Narrow" w:cs="Arial"/>
                <w:bCs/>
                <w:sz w:val="18"/>
                <w:szCs w:val="18"/>
                <w:lang w:val="es-ES" w:eastAsia="es-ES"/>
              </w:rPr>
            </w:pPr>
            <w:r w:rsidRPr="009D2B8E">
              <w:rPr>
                <w:rFonts w:ascii="Arial Narrow" w:hAnsi="Arial Narrow" w:cs="Arial"/>
                <w:sz w:val="18"/>
                <w:szCs w:val="18"/>
                <w:lang w:val="es-ES" w:eastAsia="es-ES"/>
              </w:rPr>
              <w:t xml:space="preserve">2. Otros acreedores </w:t>
            </w:r>
          </w:p>
        </w:tc>
        <w:tc>
          <w:tcPr>
            <w:tcW w:w="851" w:type="dxa"/>
            <w:tcBorders>
              <w:top w:val="single" w:sz="2" w:space="0" w:color="auto"/>
              <w:bottom w:val="single" w:sz="2" w:space="0" w:color="auto"/>
            </w:tcBorders>
            <w:shd w:val="clear" w:color="auto" w:fill="auto"/>
            <w:noWrap/>
            <w:vAlign w:val="center"/>
          </w:tcPr>
          <w:p w14:paraId="5F139C5E" w14:textId="370B7170" w:rsidR="007E2B6D" w:rsidRPr="009D2B8E" w:rsidRDefault="007E2B6D"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color w:val="000000"/>
                <w:sz w:val="18"/>
                <w:szCs w:val="18"/>
                <w:lang w:val="es-ES" w:eastAsia="es-ES"/>
              </w:rPr>
              <w:t>4.168</w:t>
            </w:r>
          </w:p>
        </w:tc>
        <w:tc>
          <w:tcPr>
            <w:tcW w:w="851" w:type="dxa"/>
            <w:tcBorders>
              <w:top w:val="single" w:sz="2" w:space="0" w:color="auto"/>
              <w:bottom w:val="single" w:sz="2" w:space="0" w:color="auto"/>
            </w:tcBorders>
            <w:shd w:val="clear" w:color="auto" w:fill="auto"/>
            <w:noWrap/>
            <w:vAlign w:val="center"/>
          </w:tcPr>
          <w:p w14:paraId="0E62AAFA" w14:textId="3121DBD5" w:rsidR="007E2B6D" w:rsidRPr="009D2B8E" w:rsidRDefault="00BE5033" w:rsidP="00F26066">
            <w:pPr>
              <w:spacing w:after="0"/>
              <w:ind w:firstLine="0"/>
              <w:jc w:val="right"/>
              <w:rPr>
                <w:rFonts w:ascii="Arial Narrow" w:hAnsi="Arial Narrow" w:cs="Arial"/>
                <w:color w:val="000000"/>
                <w:sz w:val="18"/>
                <w:szCs w:val="18"/>
                <w:lang w:val="es-ES" w:eastAsia="es-ES"/>
              </w:rPr>
            </w:pPr>
            <w:r w:rsidRPr="009D2B8E">
              <w:rPr>
                <w:rFonts w:ascii="Arial Narrow" w:hAnsi="Arial Narrow" w:cs="Arial"/>
                <w:color w:val="000000"/>
                <w:sz w:val="18"/>
                <w:szCs w:val="18"/>
                <w:lang w:val="es-ES" w:eastAsia="es-ES"/>
              </w:rPr>
              <w:t>3.259</w:t>
            </w:r>
          </w:p>
        </w:tc>
      </w:tr>
      <w:tr w:rsidR="007E2B6D" w:rsidRPr="009D2B8E" w14:paraId="39E7E9CA" w14:textId="77777777" w:rsidTr="00C30A9B">
        <w:trPr>
          <w:trHeight w:val="198"/>
          <w:jc w:val="center"/>
        </w:trPr>
        <w:tc>
          <w:tcPr>
            <w:tcW w:w="2835" w:type="dxa"/>
            <w:tcBorders>
              <w:top w:val="single" w:sz="2" w:space="0" w:color="auto"/>
              <w:bottom w:val="single" w:sz="2" w:space="0" w:color="auto"/>
            </w:tcBorders>
            <w:shd w:val="clear" w:color="auto" w:fill="auto"/>
            <w:vAlign w:val="center"/>
          </w:tcPr>
          <w:p w14:paraId="54A887A4" w14:textId="65A85935" w:rsidR="007E2B6D" w:rsidRPr="009D2B8E" w:rsidRDefault="007E2B6D" w:rsidP="007E2B6D">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60688036" w14:textId="3D4D9DB7"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240B708F" w14:textId="7045B56A"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2" w:space="0" w:color="auto"/>
            </w:tcBorders>
            <w:shd w:val="clear" w:color="auto" w:fill="auto"/>
            <w:vAlign w:val="center"/>
          </w:tcPr>
          <w:p w14:paraId="65E9E8BA" w14:textId="2450FB96" w:rsidR="007E2B6D" w:rsidRPr="009D2B8E" w:rsidRDefault="007E2B6D" w:rsidP="007E2B6D">
            <w:pPr>
              <w:spacing w:after="0"/>
              <w:ind w:firstLine="0"/>
              <w:jc w:val="left"/>
              <w:rPr>
                <w:rFonts w:ascii="Arial Narrow" w:hAnsi="Arial Narrow" w:cs="Arial"/>
                <w:b/>
                <w:sz w:val="18"/>
                <w:szCs w:val="18"/>
                <w:lang w:val="es-ES" w:eastAsia="es-ES"/>
              </w:rPr>
            </w:pPr>
            <w:r w:rsidRPr="009D2B8E">
              <w:rPr>
                <w:rFonts w:ascii="Arial Narrow" w:hAnsi="Arial Narrow" w:cs="Arial"/>
                <w:b/>
                <w:bCs/>
                <w:sz w:val="18"/>
                <w:szCs w:val="18"/>
                <w:lang w:val="es-ES" w:eastAsia="es-ES"/>
              </w:rPr>
              <w:t>V. Periodificaciones a corto plazo</w:t>
            </w:r>
          </w:p>
        </w:tc>
        <w:tc>
          <w:tcPr>
            <w:tcW w:w="851" w:type="dxa"/>
            <w:tcBorders>
              <w:top w:val="single" w:sz="2" w:space="0" w:color="auto"/>
              <w:bottom w:val="single" w:sz="2" w:space="0" w:color="auto"/>
            </w:tcBorders>
            <w:shd w:val="clear" w:color="auto" w:fill="auto"/>
            <w:noWrap/>
            <w:vAlign w:val="center"/>
          </w:tcPr>
          <w:p w14:paraId="59920C0C" w14:textId="768BB8B6" w:rsidR="007E2B6D" w:rsidRPr="009D2B8E" w:rsidRDefault="007E2B6D" w:rsidP="00F26066">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52E51874" w14:textId="5A8CDC57" w:rsidR="007E2B6D" w:rsidRPr="009D2B8E" w:rsidRDefault="00BE5033" w:rsidP="00F26066">
            <w:pPr>
              <w:spacing w:after="0"/>
              <w:ind w:firstLine="0"/>
              <w:jc w:val="right"/>
              <w:rPr>
                <w:rFonts w:ascii="Arial Narrow" w:hAnsi="Arial Narrow" w:cs="Arial"/>
                <w:b/>
                <w:color w:val="000000"/>
                <w:sz w:val="18"/>
                <w:szCs w:val="18"/>
                <w:lang w:val="es-ES" w:eastAsia="es-ES"/>
              </w:rPr>
            </w:pPr>
            <w:r w:rsidRPr="009D2B8E">
              <w:rPr>
                <w:rFonts w:ascii="Arial Narrow" w:hAnsi="Arial Narrow" w:cs="Arial"/>
                <w:b/>
                <w:color w:val="000000"/>
                <w:sz w:val="18"/>
                <w:szCs w:val="18"/>
                <w:lang w:val="es-ES" w:eastAsia="es-ES"/>
              </w:rPr>
              <w:t>0</w:t>
            </w:r>
          </w:p>
        </w:tc>
      </w:tr>
      <w:tr w:rsidR="007E2B6D" w:rsidRPr="009D2B8E" w14:paraId="7E6DC873" w14:textId="77777777" w:rsidTr="00C30A9B">
        <w:trPr>
          <w:trHeight w:val="198"/>
          <w:jc w:val="center"/>
        </w:trPr>
        <w:tc>
          <w:tcPr>
            <w:tcW w:w="2835" w:type="dxa"/>
            <w:tcBorders>
              <w:top w:val="single" w:sz="2" w:space="0" w:color="auto"/>
              <w:bottom w:val="single" w:sz="4" w:space="0" w:color="auto"/>
            </w:tcBorders>
            <w:shd w:val="clear" w:color="auto" w:fill="auto"/>
            <w:vAlign w:val="center"/>
          </w:tcPr>
          <w:p w14:paraId="1100C772" w14:textId="3C5E32F8" w:rsidR="007E2B6D" w:rsidRPr="009D2B8E" w:rsidRDefault="007E2B6D" w:rsidP="007E2B6D">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4" w:space="0" w:color="auto"/>
            </w:tcBorders>
            <w:shd w:val="clear" w:color="auto" w:fill="auto"/>
            <w:noWrap/>
            <w:vAlign w:val="center"/>
          </w:tcPr>
          <w:p w14:paraId="65F02AD1" w14:textId="0E06F7D4" w:rsidR="007E2B6D" w:rsidRPr="009D2B8E" w:rsidRDefault="007E2B6D" w:rsidP="003860F8">
            <w:pPr>
              <w:spacing w:after="0"/>
              <w:ind w:left="-75" w:firstLine="0"/>
              <w:jc w:val="right"/>
              <w:rPr>
                <w:rFonts w:ascii="Arial Narrow" w:hAnsi="Arial Narrow" w:cs="Arial"/>
                <w:color w:val="000000"/>
                <w:sz w:val="18"/>
                <w:szCs w:val="18"/>
                <w:lang w:val="es-ES" w:eastAsia="es-ES"/>
              </w:rPr>
            </w:pPr>
          </w:p>
        </w:tc>
        <w:tc>
          <w:tcPr>
            <w:tcW w:w="851" w:type="dxa"/>
            <w:tcBorders>
              <w:top w:val="single" w:sz="2" w:space="0" w:color="auto"/>
              <w:bottom w:val="single" w:sz="4" w:space="0" w:color="auto"/>
              <w:right w:val="single" w:sz="2" w:space="0" w:color="auto"/>
            </w:tcBorders>
            <w:shd w:val="clear" w:color="auto" w:fill="auto"/>
            <w:noWrap/>
            <w:vAlign w:val="center"/>
          </w:tcPr>
          <w:p w14:paraId="49A77BED" w14:textId="06733D65" w:rsidR="007E2B6D" w:rsidRPr="009D2B8E" w:rsidRDefault="007E2B6D" w:rsidP="00A532EF">
            <w:pPr>
              <w:spacing w:after="0"/>
              <w:ind w:firstLine="0"/>
              <w:jc w:val="right"/>
              <w:rPr>
                <w:rFonts w:ascii="Arial Narrow" w:hAnsi="Arial Narrow" w:cs="Arial"/>
                <w:color w:val="000000"/>
                <w:sz w:val="18"/>
                <w:szCs w:val="18"/>
                <w:lang w:val="es-ES" w:eastAsia="es-ES"/>
              </w:rPr>
            </w:pPr>
          </w:p>
        </w:tc>
        <w:tc>
          <w:tcPr>
            <w:tcW w:w="2833" w:type="dxa"/>
            <w:tcBorders>
              <w:top w:val="single" w:sz="2" w:space="0" w:color="auto"/>
              <w:left w:val="single" w:sz="2" w:space="0" w:color="auto"/>
              <w:bottom w:val="single" w:sz="4" w:space="0" w:color="auto"/>
            </w:tcBorders>
            <w:shd w:val="clear" w:color="auto" w:fill="auto"/>
            <w:vAlign w:val="center"/>
          </w:tcPr>
          <w:p w14:paraId="394A116F" w14:textId="12F42760" w:rsidR="007E2B6D" w:rsidRPr="009D2B8E" w:rsidRDefault="007E2B6D" w:rsidP="007E2B6D">
            <w:pPr>
              <w:spacing w:after="0"/>
              <w:ind w:firstLine="0"/>
              <w:jc w:val="left"/>
              <w:rPr>
                <w:rFonts w:ascii="Arial Narrow" w:hAnsi="Arial Narrow" w:cs="Arial"/>
                <w:b/>
                <w:sz w:val="18"/>
                <w:szCs w:val="18"/>
                <w:lang w:val="es-ES" w:eastAsia="es-ES"/>
              </w:rPr>
            </w:pPr>
            <w:r w:rsidRPr="009D2B8E">
              <w:rPr>
                <w:rFonts w:ascii="Arial Narrow" w:hAnsi="Arial Narrow" w:cs="Arial"/>
                <w:b/>
                <w:bCs/>
                <w:sz w:val="18"/>
                <w:szCs w:val="18"/>
                <w:lang w:val="es-ES" w:eastAsia="es-ES"/>
              </w:rPr>
              <w:t>VI. Deuda especial a corto plazo</w:t>
            </w:r>
          </w:p>
        </w:tc>
        <w:tc>
          <w:tcPr>
            <w:tcW w:w="851" w:type="dxa"/>
            <w:tcBorders>
              <w:top w:val="single" w:sz="2" w:space="0" w:color="auto"/>
              <w:bottom w:val="single" w:sz="4" w:space="0" w:color="auto"/>
            </w:tcBorders>
            <w:shd w:val="clear" w:color="auto" w:fill="auto"/>
            <w:noWrap/>
            <w:vAlign w:val="center"/>
          </w:tcPr>
          <w:p w14:paraId="698B9D19" w14:textId="78511C93" w:rsidR="007E2B6D" w:rsidRPr="009D2B8E" w:rsidRDefault="007E2B6D"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
                <w:bCs/>
                <w:color w:val="000000"/>
                <w:sz w:val="18"/>
                <w:szCs w:val="18"/>
                <w:lang w:val="es-ES" w:eastAsia="es-ES"/>
              </w:rPr>
              <w:t>0</w:t>
            </w:r>
          </w:p>
        </w:tc>
        <w:tc>
          <w:tcPr>
            <w:tcW w:w="851" w:type="dxa"/>
            <w:tcBorders>
              <w:top w:val="single" w:sz="2" w:space="0" w:color="auto"/>
              <w:bottom w:val="single" w:sz="4" w:space="0" w:color="auto"/>
            </w:tcBorders>
            <w:shd w:val="clear" w:color="auto" w:fill="auto"/>
            <w:noWrap/>
            <w:vAlign w:val="center"/>
          </w:tcPr>
          <w:p w14:paraId="2C16B6C1" w14:textId="518858DB" w:rsidR="007E2B6D" w:rsidRPr="009D2B8E" w:rsidRDefault="00BE5033" w:rsidP="00F26066">
            <w:pPr>
              <w:spacing w:after="0"/>
              <w:ind w:firstLine="0"/>
              <w:jc w:val="right"/>
              <w:rPr>
                <w:rFonts w:ascii="Arial Narrow" w:hAnsi="Arial Narrow" w:cs="Arial"/>
                <w:b/>
                <w:bCs/>
                <w:color w:val="000000"/>
                <w:sz w:val="18"/>
                <w:szCs w:val="18"/>
                <w:lang w:val="es-ES" w:eastAsia="es-ES"/>
              </w:rPr>
            </w:pPr>
            <w:r w:rsidRPr="009D2B8E">
              <w:rPr>
                <w:rFonts w:ascii="Arial Narrow" w:hAnsi="Arial Narrow" w:cs="Arial"/>
                <w:b/>
                <w:bCs/>
                <w:color w:val="000000"/>
                <w:sz w:val="18"/>
                <w:szCs w:val="18"/>
                <w:lang w:val="es-ES" w:eastAsia="es-ES"/>
              </w:rPr>
              <w:t>0</w:t>
            </w:r>
          </w:p>
        </w:tc>
      </w:tr>
      <w:tr w:rsidR="007E2B6D" w:rsidRPr="00C30A9B" w14:paraId="653DC20F" w14:textId="77777777" w:rsidTr="00130467">
        <w:trPr>
          <w:trHeight w:val="255"/>
          <w:jc w:val="center"/>
        </w:trPr>
        <w:tc>
          <w:tcPr>
            <w:tcW w:w="2835" w:type="dxa"/>
            <w:shd w:val="clear" w:color="auto" w:fill="8DB3E2" w:themeFill="text2" w:themeFillTint="66"/>
            <w:vAlign w:val="center"/>
          </w:tcPr>
          <w:p w14:paraId="1079FFF8" w14:textId="0DA28DCC" w:rsidR="007E2B6D" w:rsidRPr="00C30A9B" w:rsidRDefault="007E2B6D" w:rsidP="00C30A9B">
            <w:pPr>
              <w:spacing w:after="0"/>
              <w:ind w:firstLine="0"/>
              <w:jc w:val="left"/>
              <w:rPr>
                <w:rFonts w:ascii="Arial" w:hAnsi="Arial" w:cs="Arial"/>
                <w:sz w:val="17"/>
                <w:szCs w:val="17"/>
                <w:lang w:val="es-ES" w:eastAsia="es-ES"/>
              </w:rPr>
            </w:pPr>
            <w:r w:rsidRPr="00C30A9B">
              <w:rPr>
                <w:rFonts w:ascii="Arial" w:hAnsi="Arial" w:cs="Arial"/>
                <w:sz w:val="17"/>
                <w:szCs w:val="17"/>
                <w:lang w:val="es-ES" w:eastAsia="es-ES"/>
              </w:rPr>
              <w:t xml:space="preserve">Total </w:t>
            </w:r>
            <w:proofErr w:type="gramStart"/>
            <w:r w:rsidRPr="00C30A9B">
              <w:rPr>
                <w:rFonts w:ascii="Arial" w:hAnsi="Arial" w:cs="Arial"/>
                <w:sz w:val="17"/>
                <w:szCs w:val="17"/>
                <w:lang w:val="es-ES" w:eastAsia="es-ES"/>
              </w:rPr>
              <w:t>Activo  (</w:t>
            </w:r>
            <w:proofErr w:type="gramEnd"/>
            <w:r w:rsidRPr="00C30A9B">
              <w:rPr>
                <w:rFonts w:ascii="Arial" w:hAnsi="Arial" w:cs="Arial"/>
                <w:sz w:val="17"/>
                <w:szCs w:val="17"/>
                <w:lang w:val="es-ES" w:eastAsia="es-ES"/>
              </w:rPr>
              <w:t>A+B)</w:t>
            </w:r>
          </w:p>
        </w:tc>
        <w:tc>
          <w:tcPr>
            <w:tcW w:w="851" w:type="dxa"/>
            <w:shd w:val="clear" w:color="auto" w:fill="8DB3E2" w:themeFill="text2" w:themeFillTint="66"/>
            <w:noWrap/>
            <w:vAlign w:val="center"/>
          </w:tcPr>
          <w:p w14:paraId="335D9314" w14:textId="63576E95" w:rsidR="007E2B6D" w:rsidRPr="00C30A9B" w:rsidRDefault="007E2B6D" w:rsidP="00C30A9B">
            <w:pPr>
              <w:spacing w:after="0"/>
              <w:ind w:firstLine="0"/>
              <w:jc w:val="left"/>
              <w:rPr>
                <w:rFonts w:ascii="Arial" w:hAnsi="Arial" w:cs="Arial"/>
                <w:sz w:val="17"/>
                <w:szCs w:val="17"/>
                <w:lang w:val="es-ES" w:eastAsia="es-ES"/>
              </w:rPr>
            </w:pPr>
            <w:r w:rsidRPr="00C30A9B">
              <w:rPr>
                <w:rFonts w:ascii="Arial" w:hAnsi="Arial" w:cs="Arial"/>
                <w:sz w:val="17"/>
                <w:szCs w:val="17"/>
                <w:lang w:val="es-ES" w:eastAsia="es-ES"/>
              </w:rPr>
              <w:t>-171.802</w:t>
            </w:r>
          </w:p>
        </w:tc>
        <w:tc>
          <w:tcPr>
            <w:tcW w:w="851" w:type="dxa"/>
            <w:tcBorders>
              <w:right w:val="single" w:sz="2" w:space="0" w:color="auto"/>
            </w:tcBorders>
            <w:shd w:val="clear" w:color="auto" w:fill="8DB3E2" w:themeFill="text2" w:themeFillTint="66"/>
            <w:noWrap/>
            <w:vAlign w:val="center"/>
          </w:tcPr>
          <w:p w14:paraId="27E032C5" w14:textId="674B471B" w:rsidR="007E2B6D" w:rsidRPr="00C30A9B" w:rsidRDefault="00BE5033" w:rsidP="00C30A9B">
            <w:pPr>
              <w:spacing w:after="0"/>
              <w:ind w:firstLine="0"/>
              <w:jc w:val="left"/>
              <w:rPr>
                <w:rFonts w:ascii="Arial" w:hAnsi="Arial" w:cs="Arial"/>
                <w:sz w:val="17"/>
                <w:szCs w:val="17"/>
                <w:lang w:val="es-ES" w:eastAsia="es-ES"/>
              </w:rPr>
            </w:pPr>
            <w:r w:rsidRPr="00C30A9B">
              <w:rPr>
                <w:rFonts w:ascii="Arial" w:hAnsi="Arial" w:cs="Arial"/>
                <w:sz w:val="17"/>
                <w:szCs w:val="17"/>
                <w:lang w:val="es-ES" w:eastAsia="es-ES"/>
              </w:rPr>
              <w:t>-344.186</w:t>
            </w:r>
          </w:p>
        </w:tc>
        <w:tc>
          <w:tcPr>
            <w:tcW w:w="2833" w:type="dxa"/>
            <w:tcBorders>
              <w:left w:val="single" w:sz="2" w:space="0" w:color="auto"/>
            </w:tcBorders>
            <w:shd w:val="clear" w:color="auto" w:fill="8DB3E2" w:themeFill="text2" w:themeFillTint="66"/>
            <w:vAlign w:val="center"/>
          </w:tcPr>
          <w:p w14:paraId="5F087480" w14:textId="3CC93BFC" w:rsidR="007E2B6D" w:rsidRPr="00C30A9B" w:rsidRDefault="007E2B6D" w:rsidP="00C30A9B">
            <w:pPr>
              <w:spacing w:after="0"/>
              <w:ind w:firstLine="0"/>
              <w:jc w:val="left"/>
              <w:rPr>
                <w:rFonts w:ascii="Arial" w:hAnsi="Arial" w:cs="Arial"/>
                <w:sz w:val="17"/>
                <w:szCs w:val="17"/>
                <w:lang w:val="es-ES" w:eastAsia="es-ES"/>
              </w:rPr>
            </w:pPr>
            <w:r w:rsidRPr="00C30A9B">
              <w:rPr>
                <w:rFonts w:ascii="Arial" w:hAnsi="Arial" w:cs="Arial"/>
                <w:sz w:val="17"/>
                <w:szCs w:val="17"/>
                <w:lang w:val="es-ES" w:eastAsia="es-ES"/>
              </w:rPr>
              <w:t xml:space="preserve">Total Patrimonio Neto y </w:t>
            </w:r>
            <w:proofErr w:type="gramStart"/>
            <w:r w:rsidRPr="00C30A9B">
              <w:rPr>
                <w:rFonts w:ascii="Arial" w:hAnsi="Arial" w:cs="Arial"/>
                <w:sz w:val="17"/>
                <w:szCs w:val="17"/>
                <w:lang w:val="es-ES" w:eastAsia="es-ES"/>
              </w:rPr>
              <w:t>Pasivo  (</w:t>
            </w:r>
            <w:proofErr w:type="gramEnd"/>
            <w:r w:rsidRPr="00C30A9B">
              <w:rPr>
                <w:rFonts w:ascii="Arial" w:hAnsi="Arial" w:cs="Arial"/>
                <w:sz w:val="17"/>
                <w:szCs w:val="17"/>
                <w:lang w:val="es-ES" w:eastAsia="es-ES"/>
              </w:rPr>
              <w:t>A+B+ C)</w:t>
            </w:r>
          </w:p>
        </w:tc>
        <w:tc>
          <w:tcPr>
            <w:tcW w:w="851" w:type="dxa"/>
            <w:shd w:val="clear" w:color="auto" w:fill="8DB3E2" w:themeFill="text2" w:themeFillTint="66"/>
            <w:noWrap/>
            <w:vAlign w:val="center"/>
          </w:tcPr>
          <w:p w14:paraId="626A3089" w14:textId="01666DDD" w:rsidR="007E2B6D" w:rsidRPr="00C30A9B" w:rsidRDefault="007E2B6D" w:rsidP="00C30A9B">
            <w:pPr>
              <w:spacing w:after="0"/>
              <w:ind w:firstLine="0"/>
              <w:jc w:val="left"/>
              <w:rPr>
                <w:rFonts w:ascii="Arial" w:hAnsi="Arial" w:cs="Arial"/>
                <w:sz w:val="17"/>
                <w:szCs w:val="17"/>
                <w:lang w:val="es-ES" w:eastAsia="es-ES"/>
              </w:rPr>
            </w:pPr>
            <w:r w:rsidRPr="00C30A9B">
              <w:rPr>
                <w:rFonts w:ascii="Arial" w:hAnsi="Arial" w:cs="Arial"/>
                <w:sz w:val="17"/>
                <w:szCs w:val="17"/>
                <w:lang w:val="es-ES" w:eastAsia="es-ES"/>
              </w:rPr>
              <w:t>-171.899</w:t>
            </w:r>
          </w:p>
        </w:tc>
        <w:tc>
          <w:tcPr>
            <w:tcW w:w="851" w:type="dxa"/>
            <w:shd w:val="clear" w:color="auto" w:fill="8DB3E2" w:themeFill="text2" w:themeFillTint="66"/>
            <w:noWrap/>
            <w:vAlign w:val="center"/>
          </w:tcPr>
          <w:p w14:paraId="1ED4D00A" w14:textId="7614FF6E" w:rsidR="007E2B6D" w:rsidRPr="00C30A9B" w:rsidRDefault="00BE5033" w:rsidP="00C30A9B">
            <w:pPr>
              <w:spacing w:after="0"/>
              <w:ind w:firstLine="0"/>
              <w:jc w:val="left"/>
              <w:rPr>
                <w:rFonts w:ascii="Arial" w:hAnsi="Arial" w:cs="Arial"/>
                <w:sz w:val="17"/>
                <w:szCs w:val="17"/>
                <w:lang w:val="es-ES" w:eastAsia="es-ES"/>
              </w:rPr>
            </w:pPr>
            <w:r w:rsidRPr="00C30A9B">
              <w:rPr>
                <w:rFonts w:ascii="Arial" w:hAnsi="Arial" w:cs="Arial"/>
                <w:sz w:val="17"/>
                <w:szCs w:val="17"/>
                <w:lang w:val="es-ES" w:eastAsia="es-ES"/>
              </w:rPr>
              <w:t>-346.244</w:t>
            </w:r>
          </w:p>
        </w:tc>
      </w:tr>
    </w:tbl>
    <w:p w14:paraId="74C72A4D" w14:textId="77777777" w:rsidR="007E2B6D" w:rsidRDefault="007E2B6D">
      <w:pPr>
        <w:spacing w:after="0"/>
        <w:ind w:firstLine="0"/>
        <w:jc w:val="left"/>
        <w:rPr>
          <w:rFonts w:ascii="Arial" w:hAnsi="Arial"/>
          <w:bCs/>
          <w:iCs/>
          <w:color w:val="000000"/>
          <w:spacing w:val="10"/>
          <w:kern w:val="28"/>
          <w:sz w:val="25"/>
          <w:szCs w:val="26"/>
        </w:rPr>
      </w:pPr>
      <w:r>
        <w:br w:type="page"/>
      </w:r>
    </w:p>
    <w:p w14:paraId="397A57C7" w14:textId="06F8DADE" w:rsidR="007E2B6D" w:rsidRPr="002674FF" w:rsidRDefault="007E2B6D" w:rsidP="002674FF">
      <w:pPr>
        <w:pStyle w:val="texto"/>
        <w:spacing w:after="240"/>
        <w:ind w:firstLine="0"/>
        <w:rPr>
          <w:rFonts w:ascii="Arial" w:hAnsi="Arial" w:cs="Arial"/>
          <w:sz w:val="25"/>
          <w:szCs w:val="25"/>
        </w:rPr>
      </w:pPr>
      <w:r w:rsidRPr="002674FF">
        <w:rPr>
          <w:rFonts w:ascii="Arial" w:hAnsi="Arial" w:cs="Arial"/>
          <w:sz w:val="25"/>
          <w:szCs w:val="25"/>
        </w:rPr>
        <w:lastRenderedPageBreak/>
        <w:t>Balance de situación a 31 de diciembre de 2021 y 2022</w:t>
      </w:r>
    </w:p>
    <w:tbl>
      <w:tblPr>
        <w:tblW w:w="9639" w:type="dxa"/>
        <w:jc w:val="center"/>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3011"/>
        <w:gridCol w:w="904"/>
        <w:gridCol w:w="904"/>
        <w:gridCol w:w="3012"/>
        <w:gridCol w:w="904"/>
        <w:gridCol w:w="904"/>
      </w:tblGrid>
      <w:tr w:rsidR="00BE5033" w:rsidRPr="00317F02" w14:paraId="3E5CCC05" w14:textId="77777777" w:rsidTr="006C437D">
        <w:trPr>
          <w:trHeight w:val="255"/>
          <w:jc w:val="center"/>
        </w:trPr>
        <w:tc>
          <w:tcPr>
            <w:tcW w:w="2835" w:type="dxa"/>
            <w:shd w:val="clear" w:color="auto" w:fill="95B3D7" w:themeFill="accent1" w:themeFillTint="99"/>
            <w:noWrap/>
            <w:vAlign w:val="center"/>
          </w:tcPr>
          <w:p w14:paraId="45BB947B" w14:textId="77777777" w:rsidR="00BE5033" w:rsidRPr="00317F02" w:rsidRDefault="00BE5033" w:rsidP="006E3597">
            <w:pPr>
              <w:spacing w:after="0"/>
              <w:ind w:firstLine="0"/>
              <w:jc w:val="left"/>
              <w:rPr>
                <w:rFonts w:ascii="Arial" w:hAnsi="Arial" w:cs="Arial"/>
                <w:bCs/>
                <w:color w:val="000000"/>
                <w:sz w:val="18"/>
                <w:szCs w:val="18"/>
                <w:lang w:val="es-ES" w:eastAsia="es-ES"/>
              </w:rPr>
            </w:pPr>
            <w:r w:rsidRPr="00317F02">
              <w:rPr>
                <w:rFonts w:ascii="Arial" w:hAnsi="Arial" w:cs="Arial"/>
                <w:bCs/>
                <w:color w:val="000000"/>
                <w:sz w:val="18"/>
                <w:szCs w:val="18"/>
                <w:lang w:val="es-ES" w:eastAsia="es-ES"/>
              </w:rPr>
              <w:t>ACTIVO</w:t>
            </w:r>
          </w:p>
        </w:tc>
        <w:tc>
          <w:tcPr>
            <w:tcW w:w="851" w:type="dxa"/>
            <w:shd w:val="clear" w:color="auto" w:fill="95B3D7" w:themeFill="accent1" w:themeFillTint="99"/>
            <w:noWrap/>
            <w:vAlign w:val="center"/>
          </w:tcPr>
          <w:p w14:paraId="483C155D" w14:textId="71BA06AE" w:rsidR="00BE5033" w:rsidRPr="00317F02" w:rsidRDefault="00BE5033" w:rsidP="00BE5033">
            <w:pPr>
              <w:spacing w:after="0"/>
              <w:ind w:firstLine="0"/>
              <w:jc w:val="right"/>
              <w:rPr>
                <w:rFonts w:ascii="Arial" w:hAnsi="Arial" w:cs="Arial"/>
                <w:color w:val="000000"/>
                <w:sz w:val="18"/>
                <w:szCs w:val="18"/>
                <w:lang w:val="es-ES" w:eastAsia="es-ES"/>
              </w:rPr>
            </w:pPr>
            <w:r w:rsidRPr="60353C01">
              <w:rPr>
                <w:rFonts w:ascii="Arial" w:hAnsi="Arial" w:cs="Arial"/>
                <w:color w:val="000000" w:themeColor="text1"/>
                <w:sz w:val="18"/>
                <w:szCs w:val="18"/>
                <w:lang w:val="es-ES" w:eastAsia="es-ES"/>
              </w:rPr>
              <w:t>20</w:t>
            </w:r>
            <w:r>
              <w:rPr>
                <w:rFonts w:ascii="Arial" w:hAnsi="Arial" w:cs="Arial"/>
                <w:color w:val="000000" w:themeColor="text1"/>
                <w:sz w:val="18"/>
                <w:szCs w:val="18"/>
                <w:lang w:val="es-ES" w:eastAsia="es-ES"/>
              </w:rPr>
              <w:t>21</w:t>
            </w:r>
          </w:p>
        </w:tc>
        <w:tc>
          <w:tcPr>
            <w:tcW w:w="851" w:type="dxa"/>
            <w:tcBorders>
              <w:right w:val="single" w:sz="2" w:space="0" w:color="auto"/>
            </w:tcBorders>
            <w:shd w:val="clear" w:color="auto" w:fill="95B3D7" w:themeFill="accent1" w:themeFillTint="99"/>
            <w:noWrap/>
            <w:vAlign w:val="center"/>
          </w:tcPr>
          <w:p w14:paraId="440C7317" w14:textId="793525D6" w:rsidR="00BE5033" w:rsidRPr="00317F02" w:rsidRDefault="00BE5033" w:rsidP="00BE5033">
            <w:pPr>
              <w:spacing w:after="0"/>
              <w:ind w:firstLine="0"/>
              <w:jc w:val="right"/>
              <w:rPr>
                <w:rFonts w:ascii="Arial" w:hAnsi="Arial" w:cs="Arial"/>
                <w:bCs/>
                <w:color w:val="000000"/>
                <w:sz w:val="18"/>
                <w:szCs w:val="18"/>
                <w:lang w:val="es-ES" w:eastAsia="es-ES"/>
              </w:rPr>
            </w:pPr>
            <w:r w:rsidRPr="00317F02">
              <w:rPr>
                <w:rFonts w:ascii="Arial" w:hAnsi="Arial" w:cs="Arial"/>
                <w:bCs/>
                <w:color w:val="000000"/>
                <w:sz w:val="18"/>
                <w:szCs w:val="18"/>
                <w:lang w:val="es-ES" w:eastAsia="es-ES"/>
              </w:rPr>
              <w:t>20</w:t>
            </w:r>
            <w:r>
              <w:rPr>
                <w:rFonts w:ascii="Arial" w:hAnsi="Arial" w:cs="Arial"/>
                <w:bCs/>
                <w:color w:val="000000"/>
                <w:sz w:val="18"/>
                <w:szCs w:val="18"/>
                <w:lang w:val="es-ES" w:eastAsia="es-ES"/>
              </w:rPr>
              <w:t>22</w:t>
            </w:r>
          </w:p>
        </w:tc>
        <w:tc>
          <w:tcPr>
            <w:tcW w:w="2835" w:type="dxa"/>
            <w:tcBorders>
              <w:left w:val="single" w:sz="2" w:space="0" w:color="auto"/>
            </w:tcBorders>
            <w:shd w:val="clear" w:color="auto" w:fill="95B3D7" w:themeFill="accent1" w:themeFillTint="99"/>
            <w:vAlign w:val="center"/>
          </w:tcPr>
          <w:p w14:paraId="2CA81F2F" w14:textId="77777777" w:rsidR="00BE5033" w:rsidRPr="00317F02" w:rsidRDefault="00BE5033" w:rsidP="006E3597">
            <w:pPr>
              <w:spacing w:after="0"/>
              <w:ind w:firstLine="0"/>
              <w:jc w:val="left"/>
              <w:rPr>
                <w:rFonts w:ascii="Arial" w:hAnsi="Arial" w:cs="Arial"/>
                <w:bCs/>
                <w:color w:val="000000"/>
                <w:sz w:val="18"/>
                <w:szCs w:val="18"/>
                <w:lang w:val="es-ES" w:eastAsia="es-ES"/>
              </w:rPr>
            </w:pPr>
            <w:r w:rsidRPr="00317F02">
              <w:rPr>
                <w:rFonts w:ascii="Arial" w:hAnsi="Arial" w:cs="Arial"/>
                <w:bCs/>
                <w:color w:val="000000"/>
                <w:sz w:val="18"/>
                <w:szCs w:val="18"/>
                <w:lang w:val="es-ES" w:eastAsia="es-ES"/>
              </w:rPr>
              <w:t>PASIVO</w:t>
            </w:r>
          </w:p>
        </w:tc>
        <w:tc>
          <w:tcPr>
            <w:tcW w:w="851" w:type="dxa"/>
            <w:shd w:val="clear" w:color="auto" w:fill="95B3D7" w:themeFill="accent1" w:themeFillTint="99"/>
            <w:noWrap/>
            <w:vAlign w:val="center"/>
          </w:tcPr>
          <w:p w14:paraId="48C12225" w14:textId="5DD80C33" w:rsidR="00BE5033" w:rsidRPr="00317F02" w:rsidRDefault="00BE5033" w:rsidP="00BE5033">
            <w:pPr>
              <w:spacing w:after="0"/>
              <w:ind w:firstLine="0"/>
              <w:jc w:val="right"/>
              <w:rPr>
                <w:rFonts w:ascii="Arial" w:hAnsi="Arial" w:cs="Arial"/>
                <w:color w:val="000000"/>
                <w:sz w:val="18"/>
                <w:szCs w:val="18"/>
                <w:lang w:val="es-ES" w:eastAsia="es-ES"/>
              </w:rPr>
            </w:pPr>
            <w:r w:rsidRPr="60353C01">
              <w:rPr>
                <w:rFonts w:ascii="Arial" w:hAnsi="Arial" w:cs="Arial"/>
                <w:color w:val="000000" w:themeColor="text1"/>
                <w:sz w:val="18"/>
                <w:szCs w:val="18"/>
                <w:lang w:val="es-ES" w:eastAsia="es-ES"/>
              </w:rPr>
              <w:t>20</w:t>
            </w:r>
            <w:r>
              <w:rPr>
                <w:rFonts w:ascii="Arial" w:hAnsi="Arial" w:cs="Arial"/>
                <w:color w:val="000000" w:themeColor="text1"/>
                <w:sz w:val="18"/>
                <w:szCs w:val="18"/>
                <w:lang w:val="es-ES" w:eastAsia="es-ES"/>
              </w:rPr>
              <w:t>21</w:t>
            </w:r>
          </w:p>
        </w:tc>
        <w:tc>
          <w:tcPr>
            <w:tcW w:w="851" w:type="dxa"/>
            <w:shd w:val="clear" w:color="auto" w:fill="95B3D7" w:themeFill="accent1" w:themeFillTint="99"/>
            <w:noWrap/>
            <w:vAlign w:val="center"/>
          </w:tcPr>
          <w:p w14:paraId="3447B7A4" w14:textId="1422A7FB" w:rsidR="00BE5033" w:rsidRPr="00317F02" w:rsidRDefault="00BE5033" w:rsidP="00BE5033">
            <w:pPr>
              <w:spacing w:after="0"/>
              <w:ind w:firstLine="0"/>
              <w:jc w:val="right"/>
              <w:rPr>
                <w:rFonts w:ascii="Arial" w:hAnsi="Arial" w:cs="Arial"/>
                <w:bCs/>
                <w:color w:val="000000"/>
                <w:sz w:val="18"/>
                <w:szCs w:val="18"/>
                <w:lang w:val="es-ES" w:eastAsia="es-ES"/>
              </w:rPr>
            </w:pPr>
            <w:r>
              <w:rPr>
                <w:rFonts w:ascii="Arial" w:hAnsi="Arial" w:cs="Arial"/>
                <w:bCs/>
                <w:color w:val="000000"/>
                <w:sz w:val="18"/>
                <w:szCs w:val="18"/>
                <w:lang w:val="es-ES" w:eastAsia="es-ES"/>
              </w:rPr>
              <w:t>2022</w:t>
            </w:r>
          </w:p>
        </w:tc>
      </w:tr>
      <w:tr w:rsidR="00BE5033" w:rsidRPr="00730AE6" w14:paraId="5B934153" w14:textId="77777777" w:rsidTr="006C437D">
        <w:trPr>
          <w:trHeight w:val="198"/>
          <w:jc w:val="center"/>
        </w:trPr>
        <w:tc>
          <w:tcPr>
            <w:tcW w:w="2835" w:type="dxa"/>
            <w:tcBorders>
              <w:bottom w:val="single" w:sz="2" w:space="0" w:color="auto"/>
            </w:tcBorders>
            <w:shd w:val="clear" w:color="auto" w:fill="auto"/>
            <w:vAlign w:val="center"/>
          </w:tcPr>
          <w:p w14:paraId="090BB390" w14:textId="77777777" w:rsidR="00BE5033" w:rsidRPr="001C6842" w:rsidRDefault="00BE5033" w:rsidP="006E3597">
            <w:pPr>
              <w:spacing w:after="0"/>
              <w:ind w:firstLine="0"/>
              <w:jc w:val="left"/>
              <w:rPr>
                <w:rFonts w:ascii="Arial Narrow" w:hAnsi="Arial Narrow" w:cs="Arial"/>
                <w:b/>
                <w:bCs/>
                <w:sz w:val="18"/>
                <w:szCs w:val="18"/>
                <w:lang w:val="es-ES" w:eastAsia="es-ES"/>
              </w:rPr>
            </w:pPr>
            <w:r w:rsidRPr="001C6842">
              <w:rPr>
                <w:rFonts w:ascii="Arial Narrow" w:hAnsi="Arial Narrow" w:cs="Arial"/>
                <w:b/>
                <w:bCs/>
                <w:sz w:val="18"/>
                <w:szCs w:val="18"/>
                <w:lang w:val="es-ES" w:eastAsia="es-ES"/>
              </w:rPr>
              <w:t>A) ACTIVO NO CORRIENTE</w:t>
            </w:r>
          </w:p>
        </w:tc>
        <w:tc>
          <w:tcPr>
            <w:tcW w:w="851" w:type="dxa"/>
            <w:tcBorders>
              <w:bottom w:val="single" w:sz="2" w:space="0" w:color="auto"/>
            </w:tcBorders>
            <w:shd w:val="clear" w:color="auto" w:fill="auto"/>
            <w:noWrap/>
            <w:vAlign w:val="center"/>
          </w:tcPr>
          <w:p w14:paraId="20F44354" w14:textId="4724A92E"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
                <w:bCs/>
                <w:color w:val="000000"/>
                <w:sz w:val="18"/>
                <w:szCs w:val="18"/>
                <w:lang w:val="es-ES" w:eastAsia="es-ES"/>
              </w:rPr>
              <w:t>2.617</w:t>
            </w:r>
          </w:p>
        </w:tc>
        <w:tc>
          <w:tcPr>
            <w:tcW w:w="851" w:type="dxa"/>
            <w:tcBorders>
              <w:bottom w:val="single" w:sz="2" w:space="0" w:color="auto"/>
              <w:right w:val="single" w:sz="2" w:space="0" w:color="auto"/>
            </w:tcBorders>
            <w:shd w:val="clear" w:color="auto" w:fill="auto"/>
            <w:noWrap/>
            <w:vAlign w:val="center"/>
          </w:tcPr>
          <w:p w14:paraId="55C7A0D7" w14:textId="336E51E9" w:rsidR="00BE5033" w:rsidRPr="001C6842" w:rsidRDefault="00A520BC"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
                <w:bCs/>
                <w:color w:val="000000"/>
                <w:sz w:val="18"/>
                <w:szCs w:val="18"/>
                <w:lang w:val="es-ES" w:eastAsia="es-ES"/>
              </w:rPr>
              <w:t>2.617</w:t>
            </w:r>
          </w:p>
        </w:tc>
        <w:tc>
          <w:tcPr>
            <w:tcW w:w="2835" w:type="dxa"/>
            <w:tcBorders>
              <w:left w:val="single" w:sz="2" w:space="0" w:color="auto"/>
              <w:bottom w:val="single" w:sz="2" w:space="0" w:color="auto"/>
            </w:tcBorders>
            <w:shd w:val="clear" w:color="auto" w:fill="auto"/>
            <w:vAlign w:val="center"/>
          </w:tcPr>
          <w:p w14:paraId="66724234" w14:textId="77777777" w:rsidR="00BE5033" w:rsidRPr="001C6842" w:rsidRDefault="00BE5033" w:rsidP="006E3597">
            <w:pPr>
              <w:spacing w:after="0"/>
              <w:ind w:firstLine="0"/>
              <w:jc w:val="left"/>
              <w:rPr>
                <w:rFonts w:ascii="Arial Narrow" w:hAnsi="Arial Narrow" w:cs="Arial"/>
                <w:b/>
                <w:bCs/>
                <w:sz w:val="18"/>
                <w:szCs w:val="18"/>
                <w:lang w:val="es-ES" w:eastAsia="es-ES"/>
              </w:rPr>
            </w:pPr>
            <w:r w:rsidRPr="001C6842">
              <w:rPr>
                <w:rFonts w:ascii="Arial Narrow" w:hAnsi="Arial Narrow" w:cs="Arial"/>
                <w:b/>
                <w:bCs/>
                <w:sz w:val="18"/>
                <w:szCs w:val="18"/>
                <w:lang w:val="es-ES" w:eastAsia="es-ES"/>
              </w:rPr>
              <w:t xml:space="preserve"> A) PATRIMONIO NETO</w:t>
            </w:r>
          </w:p>
        </w:tc>
        <w:tc>
          <w:tcPr>
            <w:tcW w:w="851" w:type="dxa"/>
            <w:tcBorders>
              <w:bottom w:val="single" w:sz="2" w:space="0" w:color="auto"/>
            </w:tcBorders>
            <w:shd w:val="clear" w:color="auto" w:fill="auto"/>
            <w:noWrap/>
            <w:vAlign w:val="center"/>
          </w:tcPr>
          <w:p w14:paraId="4862A686" w14:textId="0A7A8102"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
                <w:bCs/>
                <w:color w:val="000000"/>
                <w:sz w:val="18"/>
                <w:szCs w:val="18"/>
                <w:lang w:val="es-ES" w:eastAsia="es-ES"/>
              </w:rPr>
              <w:t>-140.782</w:t>
            </w:r>
          </w:p>
        </w:tc>
        <w:tc>
          <w:tcPr>
            <w:tcW w:w="851" w:type="dxa"/>
            <w:tcBorders>
              <w:bottom w:val="single" w:sz="2" w:space="0" w:color="auto"/>
            </w:tcBorders>
            <w:shd w:val="clear" w:color="auto" w:fill="auto"/>
            <w:noWrap/>
            <w:vAlign w:val="center"/>
          </w:tcPr>
          <w:p w14:paraId="0B9B3029" w14:textId="3BFF345A" w:rsidR="00BE5033" w:rsidRPr="001C6842" w:rsidRDefault="00BE5033" w:rsidP="00A520BC">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
                <w:bCs/>
                <w:color w:val="000000"/>
                <w:sz w:val="18"/>
                <w:szCs w:val="18"/>
                <w:lang w:val="es-ES" w:eastAsia="es-ES"/>
              </w:rPr>
              <w:t>-</w:t>
            </w:r>
            <w:r w:rsidR="00A520BC" w:rsidRPr="001C6842">
              <w:rPr>
                <w:rFonts w:ascii="Arial Narrow" w:hAnsi="Arial Narrow" w:cs="Arial"/>
                <w:b/>
                <w:bCs/>
                <w:color w:val="000000"/>
                <w:sz w:val="18"/>
                <w:szCs w:val="18"/>
                <w:lang w:val="es-ES" w:eastAsia="es-ES"/>
              </w:rPr>
              <w:t>140.109</w:t>
            </w:r>
          </w:p>
        </w:tc>
      </w:tr>
      <w:tr w:rsidR="00A520BC" w:rsidRPr="00730AE6" w14:paraId="2718EF6E"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3B3E0257" w14:textId="77777777" w:rsidR="00A520BC" w:rsidRPr="001C6842" w:rsidRDefault="00A520BC" w:rsidP="00A520BC">
            <w:pPr>
              <w:spacing w:after="0"/>
              <w:ind w:firstLine="0"/>
              <w:jc w:val="left"/>
              <w:rPr>
                <w:rFonts w:ascii="Arial Narrow" w:hAnsi="Arial Narrow" w:cs="Arial"/>
                <w:bCs/>
                <w:sz w:val="18"/>
                <w:szCs w:val="18"/>
                <w:lang w:val="es-ES" w:eastAsia="es-ES"/>
              </w:rPr>
            </w:pPr>
            <w:r w:rsidRPr="001C6842">
              <w:rPr>
                <w:rFonts w:ascii="Arial Narrow" w:hAnsi="Arial Narrow" w:cs="Arial"/>
                <w:bCs/>
                <w:sz w:val="18"/>
                <w:szCs w:val="18"/>
                <w:lang w:val="es-ES" w:eastAsia="es-ES"/>
              </w:rPr>
              <w:t xml:space="preserve">I. Inmovilizado intangible </w:t>
            </w:r>
          </w:p>
        </w:tc>
        <w:tc>
          <w:tcPr>
            <w:tcW w:w="851" w:type="dxa"/>
            <w:tcBorders>
              <w:top w:val="single" w:sz="2" w:space="0" w:color="auto"/>
              <w:bottom w:val="single" w:sz="2" w:space="0" w:color="auto"/>
            </w:tcBorders>
            <w:shd w:val="clear" w:color="auto" w:fill="auto"/>
            <w:noWrap/>
            <w:vAlign w:val="center"/>
          </w:tcPr>
          <w:p w14:paraId="54ECA0BE" w14:textId="77777777" w:rsidR="00A520BC" w:rsidRPr="001C6842" w:rsidRDefault="00A520BC" w:rsidP="00A520BC">
            <w:pPr>
              <w:spacing w:after="0"/>
              <w:ind w:firstLine="0"/>
              <w:jc w:val="right"/>
              <w:rPr>
                <w:rFonts w:ascii="Arial Narrow" w:hAnsi="Arial Narrow" w:cs="Arial"/>
                <w:bCs/>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14DF6A66" w14:textId="072FEB88" w:rsidR="00A520BC" w:rsidRPr="001C6842" w:rsidRDefault="00A520BC" w:rsidP="00A520BC">
            <w:pPr>
              <w:spacing w:after="0"/>
              <w:ind w:firstLine="0"/>
              <w:jc w:val="right"/>
              <w:rPr>
                <w:rFonts w:ascii="Arial Narrow" w:hAnsi="Arial Narrow" w:cs="Arial"/>
                <w:bCs/>
                <w:color w:val="000000"/>
                <w:sz w:val="18"/>
                <w:szCs w:val="18"/>
                <w:lang w:val="es-ES" w:eastAsia="es-ES"/>
              </w:rPr>
            </w:pPr>
            <w:r w:rsidRPr="001C6842">
              <w:rPr>
                <w:rFonts w:ascii="Arial Narrow" w:hAnsi="Arial Narrow" w:cs="Arial"/>
                <w:bCs/>
                <w:color w:val="000000"/>
                <w:sz w:val="18"/>
                <w:szCs w:val="18"/>
                <w:lang w:val="es-ES" w:eastAsia="es-ES"/>
              </w:rPr>
              <w:t>0</w:t>
            </w:r>
          </w:p>
        </w:tc>
        <w:tc>
          <w:tcPr>
            <w:tcW w:w="2835" w:type="dxa"/>
            <w:tcBorders>
              <w:top w:val="single" w:sz="2" w:space="0" w:color="auto"/>
              <w:left w:val="single" w:sz="2" w:space="0" w:color="auto"/>
              <w:bottom w:val="single" w:sz="2" w:space="0" w:color="auto"/>
            </w:tcBorders>
            <w:shd w:val="clear" w:color="auto" w:fill="auto"/>
            <w:vAlign w:val="center"/>
          </w:tcPr>
          <w:p w14:paraId="5A018892" w14:textId="77777777" w:rsidR="00A520BC" w:rsidRPr="001C6842" w:rsidRDefault="00A520BC" w:rsidP="00A520BC">
            <w:pPr>
              <w:spacing w:after="0"/>
              <w:ind w:firstLine="0"/>
              <w:jc w:val="left"/>
              <w:rPr>
                <w:rFonts w:ascii="Arial Narrow" w:hAnsi="Arial Narrow" w:cs="Arial"/>
                <w:b/>
                <w:bCs/>
                <w:sz w:val="18"/>
                <w:szCs w:val="18"/>
                <w:lang w:val="es-ES" w:eastAsia="es-ES"/>
              </w:rPr>
            </w:pPr>
            <w:r w:rsidRPr="001C6842">
              <w:rPr>
                <w:rFonts w:ascii="Arial Narrow" w:hAnsi="Arial Narrow" w:cs="Arial"/>
                <w:b/>
                <w:bCs/>
                <w:sz w:val="18"/>
                <w:szCs w:val="18"/>
                <w:lang w:val="es-ES" w:eastAsia="es-ES"/>
              </w:rPr>
              <w:t>A-1) Fondos propios</w:t>
            </w:r>
          </w:p>
        </w:tc>
        <w:tc>
          <w:tcPr>
            <w:tcW w:w="851" w:type="dxa"/>
            <w:tcBorders>
              <w:top w:val="single" w:sz="2" w:space="0" w:color="auto"/>
              <w:bottom w:val="single" w:sz="2" w:space="0" w:color="auto"/>
            </w:tcBorders>
            <w:shd w:val="clear" w:color="auto" w:fill="auto"/>
            <w:noWrap/>
            <w:vAlign w:val="center"/>
          </w:tcPr>
          <w:p w14:paraId="07E127C1" w14:textId="1BB3CDF0" w:rsidR="00A520BC" w:rsidRPr="001C6842" w:rsidRDefault="00A520BC" w:rsidP="00A520BC">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
                <w:bCs/>
                <w:color w:val="000000"/>
                <w:sz w:val="18"/>
                <w:szCs w:val="18"/>
                <w:lang w:val="es-ES" w:eastAsia="es-ES"/>
              </w:rPr>
              <w:t>-140.782</w:t>
            </w:r>
          </w:p>
        </w:tc>
        <w:tc>
          <w:tcPr>
            <w:tcW w:w="851" w:type="dxa"/>
            <w:tcBorders>
              <w:top w:val="single" w:sz="2" w:space="0" w:color="auto"/>
              <w:bottom w:val="single" w:sz="2" w:space="0" w:color="auto"/>
            </w:tcBorders>
            <w:shd w:val="clear" w:color="auto" w:fill="auto"/>
            <w:noWrap/>
            <w:vAlign w:val="center"/>
          </w:tcPr>
          <w:p w14:paraId="63BEBB01" w14:textId="1F3CD984" w:rsidR="00A520BC" w:rsidRPr="001C6842" w:rsidRDefault="00A520BC" w:rsidP="00A520BC">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
                <w:bCs/>
                <w:color w:val="000000"/>
                <w:sz w:val="18"/>
                <w:szCs w:val="18"/>
                <w:lang w:val="es-ES" w:eastAsia="es-ES"/>
              </w:rPr>
              <w:t>-140.109</w:t>
            </w:r>
          </w:p>
        </w:tc>
      </w:tr>
      <w:tr w:rsidR="00A520BC" w:rsidRPr="00730AE6" w14:paraId="04800DB2"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02A60F2E" w14:textId="77777777" w:rsidR="00A520BC" w:rsidRPr="001C6842" w:rsidRDefault="00A520BC" w:rsidP="00A520BC">
            <w:pPr>
              <w:spacing w:after="0"/>
              <w:ind w:firstLine="0"/>
              <w:jc w:val="left"/>
              <w:rPr>
                <w:rFonts w:ascii="Arial Narrow" w:hAnsi="Arial Narrow" w:cs="Arial"/>
                <w:sz w:val="18"/>
                <w:szCs w:val="18"/>
                <w:lang w:val="es-ES" w:eastAsia="es-ES"/>
              </w:rPr>
            </w:pPr>
            <w:r w:rsidRPr="001C6842">
              <w:rPr>
                <w:rFonts w:ascii="Arial Narrow" w:hAnsi="Arial Narrow" w:cs="Arial"/>
                <w:bCs/>
                <w:sz w:val="18"/>
                <w:szCs w:val="18"/>
                <w:lang w:val="es-ES" w:eastAsia="es-ES"/>
              </w:rPr>
              <w:t xml:space="preserve">II. Inmovilizado material </w:t>
            </w:r>
          </w:p>
        </w:tc>
        <w:tc>
          <w:tcPr>
            <w:tcW w:w="851" w:type="dxa"/>
            <w:tcBorders>
              <w:top w:val="single" w:sz="2" w:space="0" w:color="auto"/>
              <w:bottom w:val="single" w:sz="2" w:space="0" w:color="auto"/>
            </w:tcBorders>
            <w:shd w:val="clear" w:color="auto" w:fill="auto"/>
            <w:noWrap/>
            <w:vAlign w:val="center"/>
          </w:tcPr>
          <w:p w14:paraId="37A0FE60" w14:textId="51C07B0D"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bCs/>
                <w:color w:val="000000"/>
                <w:sz w:val="18"/>
                <w:szCs w:val="18"/>
                <w:lang w:val="es-ES" w:eastAsia="es-ES"/>
              </w:rPr>
              <w:t>2.617</w:t>
            </w:r>
          </w:p>
        </w:tc>
        <w:tc>
          <w:tcPr>
            <w:tcW w:w="851" w:type="dxa"/>
            <w:tcBorders>
              <w:top w:val="single" w:sz="2" w:space="0" w:color="auto"/>
              <w:bottom w:val="single" w:sz="2" w:space="0" w:color="auto"/>
              <w:right w:val="single" w:sz="2" w:space="0" w:color="auto"/>
            </w:tcBorders>
            <w:shd w:val="clear" w:color="auto" w:fill="auto"/>
            <w:noWrap/>
            <w:vAlign w:val="center"/>
          </w:tcPr>
          <w:p w14:paraId="364B783A" w14:textId="395AB600"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bCs/>
                <w:color w:val="000000"/>
                <w:sz w:val="18"/>
                <w:szCs w:val="18"/>
                <w:lang w:val="es-ES" w:eastAsia="es-ES"/>
              </w:rPr>
              <w:t>2.617</w:t>
            </w:r>
          </w:p>
        </w:tc>
        <w:tc>
          <w:tcPr>
            <w:tcW w:w="2835" w:type="dxa"/>
            <w:tcBorders>
              <w:top w:val="single" w:sz="2" w:space="0" w:color="auto"/>
              <w:left w:val="single" w:sz="2" w:space="0" w:color="auto"/>
              <w:bottom w:val="single" w:sz="2" w:space="0" w:color="auto"/>
            </w:tcBorders>
            <w:shd w:val="clear" w:color="auto" w:fill="auto"/>
            <w:vAlign w:val="center"/>
          </w:tcPr>
          <w:p w14:paraId="08502144" w14:textId="77777777" w:rsidR="00A520BC" w:rsidRPr="001C6842" w:rsidRDefault="00A520BC" w:rsidP="00A520BC">
            <w:pPr>
              <w:spacing w:after="0"/>
              <w:ind w:firstLine="0"/>
              <w:jc w:val="left"/>
              <w:rPr>
                <w:rFonts w:ascii="Arial Narrow" w:hAnsi="Arial Narrow" w:cs="Arial"/>
                <w:sz w:val="18"/>
                <w:szCs w:val="18"/>
                <w:lang w:val="es-ES" w:eastAsia="es-ES"/>
              </w:rPr>
            </w:pPr>
            <w:r w:rsidRPr="001C6842">
              <w:rPr>
                <w:rFonts w:ascii="Arial Narrow" w:hAnsi="Arial Narrow" w:cs="Arial"/>
                <w:bCs/>
                <w:sz w:val="18"/>
                <w:szCs w:val="18"/>
                <w:lang w:val="es-ES" w:eastAsia="es-ES"/>
              </w:rPr>
              <w:t xml:space="preserve">I. Capital social </w:t>
            </w:r>
          </w:p>
        </w:tc>
        <w:tc>
          <w:tcPr>
            <w:tcW w:w="851" w:type="dxa"/>
            <w:tcBorders>
              <w:top w:val="single" w:sz="2" w:space="0" w:color="auto"/>
              <w:bottom w:val="single" w:sz="2" w:space="0" w:color="auto"/>
            </w:tcBorders>
            <w:shd w:val="clear" w:color="auto" w:fill="auto"/>
            <w:noWrap/>
            <w:vAlign w:val="center"/>
          </w:tcPr>
          <w:p w14:paraId="0518D92A"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254FE139"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bCs/>
                <w:color w:val="000000"/>
                <w:sz w:val="18"/>
                <w:szCs w:val="18"/>
                <w:lang w:val="es-ES" w:eastAsia="es-ES"/>
              </w:rPr>
              <w:t>0</w:t>
            </w:r>
          </w:p>
        </w:tc>
      </w:tr>
      <w:tr w:rsidR="00A520BC" w:rsidRPr="00730AE6" w14:paraId="41932145"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3F9A0BCE" w14:textId="77777777" w:rsidR="00A520BC" w:rsidRPr="001C6842" w:rsidRDefault="00A520BC" w:rsidP="00A520BC">
            <w:pPr>
              <w:spacing w:after="0"/>
              <w:ind w:firstLine="0"/>
              <w:jc w:val="left"/>
              <w:rPr>
                <w:rFonts w:ascii="Arial Narrow" w:hAnsi="Arial Narrow" w:cs="Arial"/>
                <w:sz w:val="18"/>
                <w:szCs w:val="18"/>
                <w:lang w:val="es-ES" w:eastAsia="es-ES"/>
              </w:rPr>
            </w:pPr>
            <w:r w:rsidRPr="001C6842">
              <w:rPr>
                <w:rFonts w:ascii="Arial Narrow" w:hAnsi="Arial Narrow" w:cs="Arial"/>
                <w:bCs/>
                <w:sz w:val="18"/>
                <w:szCs w:val="18"/>
                <w:lang w:val="es-ES" w:eastAsia="es-ES"/>
              </w:rPr>
              <w:t xml:space="preserve">III. Inversiones inmobiliarias </w:t>
            </w:r>
          </w:p>
        </w:tc>
        <w:tc>
          <w:tcPr>
            <w:tcW w:w="851" w:type="dxa"/>
            <w:tcBorders>
              <w:top w:val="single" w:sz="2" w:space="0" w:color="auto"/>
              <w:bottom w:val="single" w:sz="2" w:space="0" w:color="auto"/>
            </w:tcBorders>
            <w:shd w:val="clear" w:color="auto" w:fill="auto"/>
            <w:noWrap/>
            <w:vAlign w:val="center"/>
          </w:tcPr>
          <w:p w14:paraId="13C3A2C6"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53483D9A" w14:textId="1DDEF03C"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bCs/>
                <w:color w:val="000000"/>
                <w:sz w:val="18"/>
                <w:szCs w:val="18"/>
                <w:lang w:val="es-ES" w:eastAsia="es-ES"/>
              </w:rPr>
              <w:t>0</w:t>
            </w:r>
          </w:p>
        </w:tc>
        <w:tc>
          <w:tcPr>
            <w:tcW w:w="2835" w:type="dxa"/>
            <w:tcBorders>
              <w:top w:val="single" w:sz="2" w:space="0" w:color="auto"/>
              <w:left w:val="single" w:sz="2" w:space="0" w:color="auto"/>
              <w:bottom w:val="single" w:sz="2" w:space="0" w:color="auto"/>
            </w:tcBorders>
            <w:shd w:val="clear" w:color="auto" w:fill="auto"/>
            <w:vAlign w:val="center"/>
          </w:tcPr>
          <w:p w14:paraId="15701537" w14:textId="77777777" w:rsidR="00A520BC" w:rsidRPr="001C6842" w:rsidRDefault="00A520BC" w:rsidP="00A520BC">
            <w:pPr>
              <w:spacing w:after="0"/>
              <w:ind w:firstLine="0"/>
              <w:jc w:val="left"/>
              <w:rPr>
                <w:rFonts w:ascii="Arial Narrow" w:hAnsi="Arial Narrow" w:cs="Arial"/>
                <w:sz w:val="18"/>
                <w:szCs w:val="18"/>
                <w:lang w:val="es-ES" w:eastAsia="es-ES"/>
              </w:rPr>
            </w:pPr>
            <w:r w:rsidRPr="001C6842">
              <w:rPr>
                <w:rFonts w:ascii="Arial Narrow" w:hAnsi="Arial Narrow" w:cs="Arial"/>
                <w:bCs/>
                <w:sz w:val="18"/>
                <w:szCs w:val="18"/>
                <w:lang w:val="es-ES" w:eastAsia="es-ES"/>
              </w:rPr>
              <w:t xml:space="preserve">II. Prima de emisión </w:t>
            </w:r>
          </w:p>
        </w:tc>
        <w:tc>
          <w:tcPr>
            <w:tcW w:w="851" w:type="dxa"/>
            <w:tcBorders>
              <w:top w:val="single" w:sz="2" w:space="0" w:color="auto"/>
              <w:bottom w:val="single" w:sz="2" w:space="0" w:color="auto"/>
            </w:tcBorders>
            <w:shd w:val="clear" w:color="auto" w:fill="auto"/>
            <w:noWrap/>
            <w:vAlign w:val="center"/>
          </w:tcPr>
          <w:p w14:paraId="07EA9169"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4CD925FC"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bCs/>
                <w:color w:val="000000"/>
                <w:sz w:val="18"/>
                <w:szCs w:val="18"/>
                <w:lang w:val="es-ES" w:eastAsia="es-ES"/>
              </w:rPr>
              <w:t>0</w:t>
            </w:r>
          </w:p>
        </w:tc>
      </w:tr>
      <w:tr w:rsidR="00A520BC" w:rsidRPr="00730AE6" w14:paraId="0C5F2127"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44701D0C" w14:textId="77777777" w:rsidR="00A520BC" w:rsidRPr="001C6842" w:rsidRDefault="00A520BC" w:rsidP="00A520BC">
            <w:pPr>
              <w:spacing w:after="0"/>
              <w:ind w:firstLine="0"/>
              <w:jc w:val="left"/>
              <w:rPr>
                <w:rFonts w:ascii="Arial Narrow" w:hAnsi="Arial Narrow" w:cs="Arial"/>
                <w:sz w:val="18"/>
                <w:szCs w:val="18"/>
                <w:lang w:val="es-ES" w:eastAsia="es-ES"/>
              </w:rPr>
            </w:pPr>
            <w:r w:rsidRPr="001C6842">
              <w:rPr>
                <w:rFonts w:ascii="Arial Narrow" w:hAnsi="Arial Narrow" w:cs="Arial"/>
                <w:bCs/>
                <w:sz w:val="18"/>
                <w:szCs w:val="18"/>
                <w:lang w:val="es-ES" w:eastAsia="es-ES"/>
              </w:rPr>
              <w:t xml:space="preserve">IV. Inversiones en empresas del grupo y asociadas a largo plazo </w:t>
            </w:r>
          </w:p>
        </w:tc>
        <w:tc>
          <w:tcPr>
            <w:tcW w:w="851" w:type="dxa"/>
            <w:tcBorders>
              <w:top w:val="single" w:sz="2" w:space="0" w:color="auto"/>
              <w:bottom w:val="single" w:sz="2" w:space="0" w:color="auto"/>
            </w:tcBorders>
            <w:shd w:val="clear" w:color="auto" w:fill="auto"/>
            <w:noWrap/>
            <w:vAlign w:val="center"/>
          </w:tcPr>
          <w:p w14:paraId="1C172C0E"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4001CEA2" w14:textId="45F1C6AB"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bCs/>
                <w:color w:val="000000"/>
                <w:sz w:val="18"/>
                <w:szCs w:val="18"/>
                <w:lang w:val="es-ES" w:eastAsia="es-ES"/>
              </w:rPr>
              <w:t>0</w:t>
            </w:r>
          </w:p>
        </w:tc>
        <w:tc>
          <w:tcPr>
            <w:tcW w:w="2835" w:type="dxa"/>
            <w:tcBorders>
              <w:top w:val="single" w:sz="2" w:space="0" w:color="auto"/>
              <w:left w:val="single" w:sz="2" w:space="0" w:color="auto"/>
              <w:bottom w:val="single" w:sz="2" w:space="0" w:color="auto"/>
            </w:tcBorders>
            <w:shd w:val="clear" w:color="auto" w:fill="auto"/>
            <w:vAlign w:val="center"/>
          </w:tcPr>
          <w:p w14:paraId="2060E383" w14:textId="77777777" w:rsidR="00A520BC" w:rsidRPr="001C6842" w:rsidRDefault="00A520BC" w:rsidP="00A520BC">
            <w:pPr>
              <w:spacing w:after="0"/>
              <w:ind w:firstLine="0"/>
              <w:jc w:val="left"/>
              <w:rPr>
                <w:rFonts w:ascii="Arial Narrow" w:hAnsi="Arial Narrow" w:cs="Arial"/>
                <w:sz w:val="18"/>
                <w:szCs w:val="18"/>
                <w:lang w:val="es-ES" w:eastAsia="es-ES"/>
              </w:rPr>
            </w:pPr>
            <w:r w:rsidRPr="001C6842">
              <w:rPr>
                <w:rFonts w:ascii="Arial Narrow" w:hAnsi="Arial Narrow" w:cs="Arial"/>
                <w:bCs/>
                <w:sz w:val="18"/>
                <w:szCs w:val="18"/>
                <w:lang w:val="es-ES" w:eastAsia="es-ES"/>
              </w:rPr>
              <w:t xml:space="preserve">III. Reservas </w:t>
            </w:r>
          </w:p>
        </w:tc>
        <w:tc>
          <w:tcPr>
            <w:tcW w:w="851" w:type="dxa"/>
            <w:tcBorders>
              <w:top w:val="single" w:sz="2" w:space="0" w:color="auto"/>
              <w:bottom w:val="single" w:sz="2" w:space="0" w:color="auto"/>
            </w:tcBorders>
            <w:shd w:val="clear" w:color="auto" w:fill="auto"/>
            <w:noWrap/>
            <w:vAlign w:val="center"/>
          </w:tcPr>
          <w:p w14:paraId="4004D715"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14BC06D7"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bCs/>
                <w:color w:val="000000"/>
                <w:sz w:val="18"/>
                <w:szCs w:val="18"/>
                <w:lang w:val="es-ES" w:eastAsia="es-ES"/>
              </w:rPr>
              <w:t>0</w:t>
            </w:r>
          </w:p>
        </w:tc>
      </w:tr>
      <w:tr w:rsidR="00A520BC" w:rsidRPr="00730AE6" w14:paraId="7B517B02"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38878DBD" w14:textId="77777777" w:rsidR="00A520BC" w:rsidRPr="001C6842" w:rsidRDefault="00A520BC" w:rsidP="00A520BC">
            <w:pPr>
              <w:spacing w:after="0"/>
              <w:ind w:firstLine="0"/>
              <w:jc w:val="left"/>
              <w:rPr>
                <w:rFonts w:ascii="Arial Narrow" w:hAnsi="Arial Narrow" w:cs="Arial"/>
                <w:sz w:val="18"/>
                <w:szCs w:val="18"/>
                <w:lang w:val="es-ES" w:eastAsia="es-ES"/>
              </w:rPr>
            </w:pPr>
            <w:r w:rsidRPr="001C6842">
              <w:rPr>
                <w:rFonts w:ascii="Arial Narrow" w:hAnsi="Arial Narrow" w:cs="Arial"/>
                <w:bCs/>
                <w:sz w:val="18"/>
                <w:szCs w:val="18"/>
                <w:lang w:val="es-ES" w:eastAsia="es-ES"/>
              </w:rPr>
              <w:t xml:space="preserve">V. Inversiones financieras a largo plazo </w:t>
            </w:r>
          </w:p>
        </w:tc>
        <w:tc>
          <w:tcPr>
            <w:tcW w:w="851" w:type="dxa"/>
            <w:tcBorders>
              <w:top w:val="single" w:sz="2" w:space="0" w:color="auto"/>
              <w:bottom w:val="single" w:sz="2" w:space="0" w:color="auto"/>
            </w:tcBorders>
            <w:shd w:val="clear" w:color="auto" w:fill="auto"/>
            <w:noWrap/>
            <w:vAlign w:val="center"/>
          </w:tcPr>
          <w:p w14:paraId="43556AD2"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3EEFC7FD" w14:textId="54E17A7C"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color w:val="000000"/>
                <w:sz w:val="18"/>
                <w:szCs w:val="18"/>
                <w:lang w:val="es-ES" w:eastAsia="es-ES"/>
              </w:rPr>
              <w:t>0</w:t>
            </w:r>
          </w:p>
        </w:tc>
        <w:tc>
          <w:tcPr>
            <w:tcW w:w="2835" w:type="dxa"/>
            <w:tcBorders>
              <w:top w:val="single" w:sz="2" w:space="0" w:color="auto"/>
              <w:left w:val="single" w:sz="2" w:space="0" w:color="auto"/>
              <w:bottom w:val="single" w:sz="2" w:space="0" w:color="auto"/>
            </w:tcBorders>
            <w:shd w:val="clear" w:color="auto" w:fill="auto"/>
            <w:vAlign w:val="center"/>
          </w:tcPr>
          <w:p w14:paraId="0FD81C9D" w14:textId="77777777" w:rsidR="00A520BC" w:rsidRPr="001C6842" w:rsidRDefault="00A520BC" w:rsidP="00A520BC">
            <w:pPr>
              <w:spacing w:after="0"/>
              <w:ind w:firstLine="0"/>
              <w:jc w:val="left"/>
              <w:rPr>
                <w:rFonts w:ascii="Arial Narrow" w:hAnsi="Arial Narrow" w:cs="Arial"/>
                <w:sz w:val="18"/>
                <w:szCs w:val="18"/>
                <w:lang w:val="es-ES" w:eastAsia="es-ES"/>
              </w:rPr>
            </w:pPr>
            <w:r w:rsidRPr="001C6842">
              <w:rPr>
                <w:rFonts w:ascii="Arial Narrow" w:hAnsi="Arial Narrow" w:cs="Arial"/>
                <w:bCs/>
                <w:sz w:val="18"/>
                <w:szCs w:val="18"/>
                <w:lang w:val="es-ES" w:eastAsia="es-ES"/>
              </w:rPr>
              <w:t xml:space="preserve">IV. (Acciones y participaciones en patrimonio propias) </w:t>
            </w:r>
          </w:p>
        </w:tc>
        <w:tc>
          <w:tcPr>
            <w:tcW w:w="851" w:type="dxa"/>
            <w:tcBorders>
              <w:top w:val="single" w:sz="2" w:space="0" w:color="auto"/>
              <w:bottom w:val="single" w:sz="2" w:space="0" w:color="auto"/>
            </w:tcBorders>
            <w:shd w:val="clear" w:color="auto" w:fill="auto"/>
            <w:noWrap/>
            <w:vAlign w:val="center"/>
          </w:tcPr>
          <w:p w14:paraId="70CE757E" w14:textId="77777777" w:rsidR="00A520BC" w:rsidRPr="001C6842" w:rsidRDefault="00A520BC" w:rsidP="00A520BC">
            <w:pPr>
              <w:spacing w:after="0"/>
              <w:ind w:firstLine="0"/>
              <w:jc w:val="right"/>
              <w:rPr>
                <w:rFonts w:ascii="Arial Narrow" w:hAnsi="Arial Narrow" w:cs="Arial"/>
                <w:bCs/>
                <w:color w:val="000000"/>
                <w:sz w:val="18"/>
                <w:szCs w:val="18"/>
                <w:lang w:val="es-ES" w:eastAsia="es-ES"/>
              </w:rPr>
            </w:pPr>
            <w:r w:rsidRPr="001C6842">
              <w:rPr>
                <w:rFonts w:ascii="Arial Narrow" w:hAnsi="Arial Narrow" w:cs="Arial"/>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3B7E6766" w14:textId="77777777" w:rsidR="00A520BC" w:rsidRPr="001C6842" w:rsidRDefault="00A520BC" w:rsidP="00A520BC">
            <w:pPr>
              <w:spacing w:after="0"/>
              <w:ind w:firstLine="0"/>
              <w:jc w:val="right"/>
              <w:rPr>
                <w:rFonts w:ascii="Arial Narrow" w:hAnsi="Arial Narrow" w:cs="Arial"/>
                <w:bCs/>
                <w:color w:val="000000"/>
                <w:sz w:val="18"/>
                <w:szCs w:val="18"/>
                <w:lang w:val="es-ES" w:eastAsia="es-ES"/>
              </w:rPr>
            </w:pPr>
            <w:r w:rsidRPr="001C6842">
              <w:rPr>
                <w:rFonts w:ascii="Arial Narrow" w:hAnsi="Arial Narrow" w:cs="Arial"/>
                <w:color w:val="000000"/>
                <w:sz w:val="18"/>
                <w:szCs w:val="18"/>
                <w:lang w:val="es-ES" w:eastAsia="es-ES"/>
              </w:rPr>
              <w:t>0</w:t>
            </w:r>
          </w:p>
        </w:tc>
      </w:tr>
      <w:tr w:rsidR="00A520BC" w:rsidRPr="00730AE6" w14:paraId="75E9A0BF"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7FE8FC73" w14:textId="77777777" w:rsidR="00A520BC" w:rsidRPr="001C6842" w:rsidRDefault="00A520BC" w:rsidP="00A520BC">
            <w:pPr>
              <w:spacing w:after="0"/>
              <w:ind w:firstLine="0"/>
              <w:jc w:val="left"/>
              <w:rPr>
                <w:rFonts w:ascii="Arial Narrow" w:hAnsi="Arial Narrow" w:cs="Arial"/>
                <w:bCs/>
                <w:sz w:val="18"/>
                <w:szCs w:val="18"/>
                <w:lang w:val="es-ES" w:eastAsia="es-ES"/>
              </w:rPr>
            </w:pPr>
            <w:r w:rsidRPr="001C6842">
              <w:rPr>
                <w:rFonts w:ascii="Arial Narrow" w:hAnsi="Arial Narrow" w:cs="Arial"/>
                <w:bCs/>
                <w:sz w:val="18"/>
                <w:szCs w:val="18"/>
                <w:lang w:val="es-ES" w:eastAsia="es-ES"/>
              </w:rPr>
              <w:t>VI. Activos por impuesto diferido</w:t>
            </w:r>
          </w:p>
        </w:tc>
        <w:tc>
          <w:tcPr>
            <w:tcW w:w="851" w:type="dxa"/>
            <w:tcBorders>
              <w:top w:val="single" w:sz="2" w:space="0" w:color="auto"/>
              <w:bottom w:val="single" w:sz="2" w:space="0" w:color="auto"/>
            </w:tcBorders>
            <w:shd w:val="clear" w:color="auto" w:fill="auto"/>
            <w:noWrap/>
            <w:vAlign w:val="center"/>
          </w:tcPr>
          <w:p w14:paraId="2829CA61" w14:textId="77777777" w:rsidR="00A520BC" w:rsidRPr="001C6842" w:rsidRDefault="00A520BC" w:rsidP="00A520BC">
            <w:pPr>
              <w:spacing w:after="0"/>
              <w:ind w:firstLine="0"/>
              <w:jc w:val="right"/>
              <w:rPr>
                <w:rFonts w:ascii="Arial Narrow" w:hAnsi="Arial Narrow" w:cs="Arial"/>
                <w:bCs/>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6645B5CA" w14:textId="40C0E4E1" w:rsidR="00A520BC" w:rsidRPr="001C6842" w:rsidRDefault="00A520BC" w:rsidP="00A520BC">
            <w:pPr>
              <w:spacing w:after="0"/>
              <w:ind w:firstLine="0"/>
              <w:jc w:val="right"/>
              <w:rPr>
                <w:rFonts w:ascii="Arial Narrow" w:hAnsi="Arial Narrow" w:cs="Arial"/>
                <w:bCs/>
                <w:color w:val="000000"/>
                <w:sz w:val="18"/>
                <w:szCs w:val="18"/>
                <w:lang w:val="es-ES" w:eastAsia="es-ES"/>
              </w:rPr>
            </w:pPr>
            <w:r w:rsidRPr="001C6842">
              <w:rPr>
                <w:rFonts w:ascii="Arial Narrow" w:hAnsi="Arial Narrow" w:cs="Arial"/>
                <w:bCs/>
                <w:color w:val="000000"/>
                <w:sz w:val="18"/>
                <w:szCs w:val="18"/>
                <w:lang w:val="es-ES" w:eastAsia="es-ES"/>
              </w:rPr>
              <w:t>0</w:t>
            </w:r>
          </w:p>
        </w:tc>
        <w:tc>
          <w:tcPr>
            <w:tcW w:w="2835" w:type="dxa"/>
            <w:tcBorders>
              <w:top w:val="single" w:sz="2" w:space="0" w:color="auto"/>
              <w:left w:val="single" w:sz="2" w:space="0" w:color="auto"/>
              <w:bottom w:val="single" w:sz="2" w:space="0" w:color="auto"/>
            </w:tcBorders>
            <w:shd w:val="clear" w:color="auto" w:fill="auto"/>
            <w:vAlign w:val="center"/>
          </w:tcPr>
          <w:p w14:paraId="1B5BFC53" w14:textId="77777777" w:rsidR="00A520BC" w:rsidRPr="001C6842" w:rsidRDefault="00A520BC" w:rsidP="00A520BC">
            <w:pPr>
              <w:spacing w:after="0"/>
              <w:ind w:firstLine="0"/>
              <w:jc w:val="left"/>
              <w:rPr>
                <w:rFonts w:ascii="Arial Narrow" w:hAnsi="Arial Narrow" w:cs="Arial"/>
                <w:b/>
                <w:sz w:val="18"/>
                <w:szCs w:val="18"/>
                <w:lang w:val="es-ES" w:eastAsia="es-ES"/>
              </w:rPr>
            </w:pPr>
            <w:r w:rsidRPr="001C6842">
              <w:rPr>
                <w:rFonts w:ascii="Arial Narrow" w:hAnsi="Arial Narrow" w:cs="Arial"/>
                <w:bCs/>
                <w:sz w:val="18"/>
                <w:szCs w:val="18"/>
                <w:lang w:val="es-ES" w:eastAsia="es-ES"/>
              </w:rPr>
              <w:t>V. Resultados de ejercicios anteriores</w:t>
            </w:r>
          </w:p>
        </w:tc>
        <w:tc>
          <w:tcPr>
            <w:tcW w:w="851" w:type="dxa"/>
            <w:tcBorders>
              <w:top w:val="single" w:sz="2" w:space="0" w:color="auto"/>
              <w:bottom w:val="single" w:sz="2" w:space="0" w:color="auto"/>
            </w:tcBorders>
            <w:shd w:val="clear" w:color="auto" w:fill="auto"/>
            <w:noWrap/>
            <w:vAlign w:val="center"/>
          </w:tcPr>
          <w:p w14:paraId="32EBABE2" w14:textId="77777777" w:rsidR="00A520BC" w:rsidRPr="001C6842" w:rsidRDefault="00A520BC" w:rsidP="00A520BC">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162DCBA1" w14:textId="77777777" w:rsidR="00A520BC" w:rsidRPr="001C6842" w:rsidRDefault="00A520BC" w:rsidP="00A520BC">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Cs/>
                <w:color w:val="000000"/>
                <w:sz w:val="18"/>
                <w:szCs w:val="18"/>
                <w:lang w:val="es-ES" w:eastAsia="es-ES"/>
              </w:rPr>
              <w:t>0</w:t>
            </w:r>
          </w:p>
        </w:tc>
      </w:tr>
      <w:tr w:rsidR="00BE5033" w:rsidRPr="00730AE6" w14:paraId="29044FCC"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1EC8C79C"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179E67D8"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3302777A"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00AE4B08" w14:textId="77777777" w:rsidR="00BE5033" w:rsidRPr="001C6842" w:rsidRDefault="00BE5033" w:rsidP="006E3597">
            <w:pPr>
              <w:spacing w:after="0"/>
              <w:ind w:firstLine="0"/>
              <w:jc w:val="left"/>
              <w:rPr>
                <w:rFonts w:ascii="Arial Narrow" w:hAnsi="Arial Narrow" w:cs="Arial"/>
                <w:b/>
                <w:bCs/>
                <w:sz w:val="18"/>
                <w:szCs w:val="18"/>
                <w:lang w:val="es-ES" w:eastAsia="es-ES"/>
              </w:rPr>
            </w:pPr>
            <w:r w:rsidRPr="001C6842">
              <w:rPr>
                <w:rFonts w:ascii="Arial Narrow" w:hAnsi="Arial Narrow" w:cs="Arial"/>
                <w:bCs/>
                <w:sz w:val="18"/>
                <w:szCs w:val="18"/>
                <w:lang w:val="es-ES" w:eastAsia="es-ES"/>
              </w:rPr>
              <w:t>VI. Otras aportaciones de socios</w:t>
            </w:r>
          </w:p>
        </w:tc>
        <w:tc>
          <w:tcPr>
            <w:tcW w:w="851" w:type="dxa"/>
            <w:tcBorders>
              <w:top w:val="single" w:sz="2" w:space="0" w:color="auto"/>
              <w:bottom w:val="single" w:sz="2" w:space="0" w:color="auto"/>
            </w:tcBorders>
            <w:shd w:val="clear" w:color="auto" w:fill="auto"/>
            <w:noWrap/>
            <w:vAlign w:val="center"/>
          </w:tcPr>
          <w:p w14:paraId="39811EDD"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2989DD87"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Cs/>
                <w:color w:val="000000"/>
                <w:sz w:val="18"/>
                <w:szCs w:val="18"/>
                <w:lang w:val="es-ES" w:eastAsia="es-ES"/>
              </w:rPr>
              <w:t>0</w:t>
            </w:r>
          </w:p>
        </w:tc>
      </w:tr>
      <w:tr w:rsidR="00BE5033" w:rsidRPr="00730AE6" w14:paraId="13C1A168"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25761117" w14:textId="77777777" w:rsidR="00BE5033" w:rsidRPr="001C6842" w:rsidRDefault="00BE5033" w:rsidP="006E3597">
            <w:pPr>
              <w:spacing w:after="0"/>
              <w:ind w:firstLine="0"/>
              <w:jc w:val="left"/>
              <w:rPr>
                <w:rFonts w:ascii="Arial Narrow" w:hAnsi="Arial Narrow" w:cs="Arial"/>
                <w:sz w:val="18"/>
                <w:szCs w:val="18"/>
                <w:lang w:val="es-ES" w:eastAsia="es-ES"/>
              </w:rPr>
            </w:pPr>
            <w:r w:rsidRPr="001C6842">
              <w:rPr>
                <w:rFonts w:ascii="Arial Narrow" w:hAnsi="Arial Narrow" w:cs="Arial"/>
                <w:b/>
                <w:bCs/>
                <w:sz w:val="18"/>
                <w:szCs w:val="18"/>
                <w:lang w:val="es-ES" w:eastAsia="es-ES"/>
              </w:rPr>
              <w:t>B) ACTIVO CORRIENTE</w:t>
            </w:r>
          </w:p>
        </w:tc>
        <w:tc>
          <w:tcPr>
            <w:tcW w:w="851" w:type="dxa"/>
            <w:tcBorders>
              <w:top w:val="single" w:sz="2" w:space="0" w:color="auto"/>
              <w:bottom w:val="single" w:sz="2" w:space="0" w:color="auto"/>
            </w:tcBorders>
            <w:shd w:val="clear" w:color="auto" w:fill="auto"/>
            <w:noWrap/>
            <w:vAlign w:val="center"/>
          </w:tcPr>
          <w:p w14:paraId="3D7A59E0" w14:textId="469DCF10" w:rsidR="00BE5033" w:rsidRPr="001C6842" w:rsidRDefault="00BE5033" w:rsidP="006E3597">
            <w:pPr>
              <w:spacing w:after="0"/>
              <w:ind w:firstLine="0"/>
              <w:jc w:val="right"/>
              <w:rPr>
                <w:rFonts w:ascii="Arial Narrow" w:hAnsi="Arial Narrow" w:cs="Arial"/>
                <w:color w:val="000000"/>
                <w:sz w:val="18"/>
                <w:szCs w:val="18"/>
                <w:lang w:val="es-ES" w:eastAsia="es-ES"/>
              </w:rPr>
            </w:pPr>
            <w:r w:rsidRPr="001C6842">
              <w:rPr>
                <w:rFonts w:ascii="Arial Narrow" w:hAnsi="Arial Narrow" w:cs="Arial"/>
                <w:b/>
                <w:bCs/>
                <w:color w:val="000000"/>
                <w:sz w:val="18"/>
                <w:szCs w:val="18"/>
                <w:lang w:val="es-ES" w:eastAsia="es-ES"/>
              </w:rPr>
              <w:t>-135.157</w:t>
            </w:r>
          </w:p>
        </w:tc>
        <w:tc>
          <w:tcPr>
            <w:tcW w:w="851" w:type="dxa"/>
            <w:tcBorders>
              <w:top w:val="single" w:sz="2" w:space="0" w:color="auto"/>
              <w:bottom w:val="single" w:sz="2" w:space="0" w:color="auto"/>
              <w:right w:val="single" w:sz="2" w:space="0" w:color="auto"/>
            </w:tcBorders>
            <w:shd w:val="clear" w:color="auto" w:fill="auto"/>
            <w:noWrap/>
            <w:vAlign w:val="center"/>
          </w:tcPr>
          <w:p w14:paraId="19D6BAE6" w14:textId="016D0B30" w:rsidR="00BE5033" w:rsidRPr="001C6842" w:rsidRDefault="00A520BC" w:rsidP="006E3597">
            <w:pPr>
              <w:spacing w:after="0"/>
              <w:ind w:firstLine="0"/>
              <w:jc w:val="right"/>
              <w:rPr>
                <w:rFonts w:ascii="Arial Narrow" w:hAnsi="Arial Narrow" w:cs="Arial"/>
                <w:color w:val="000000"/>
                <w:sz w:val="18"/>
                <w:szCs w:val="18"/>
                <w:lang w:val="es-ES" w:eastAsia="es-ES"/>
              </w:rPr>
            </w:pPr>
            <w:r w:rsidRPr="001C6842">
              <w:rPr>
                <w:rFonts w:ascii="Arial Narrow" w:hAnsi="Arial Narrow" w:cs="Arial"/>
                <w:b/>
                <w:bCs/>
                <w:color w:val="000000"/>
                <w:sz w:val="18"/>
                <w:szCs w:val="18"/>
                <w:lang w:val="es-ES" w:eastAsia="es-ES"/>
              </w:rPr>
              <w:t>-20.700</w:t>
            </w:r>
          </w:p>
        </w:tc>
        <w:tc>
          <w:tcPr>
            <w:tcW w:w="2835" w:type="dxa"/>
            <w:tcBorders>
              <w:top w:val="single" w:sz="2" w:space="0" w:color="auto"/>
              <w:left w:val="single" w:sz="2" w:space="0" w:color="auto"/>
              <w:bottom w:val="single" w:sz="2" w:space="0" w:color="auto"/>
            </w:tcBorders>
            <w:shd w:val="clear" w:color="auto" w:fill="auto"/>
            <w:vAlign w:val="center"/>
          </w:tcPr>
          <w:p w14:paraId="5DCCB8D5" w14:textId="77777777" w:rsidR="00BE5033" w:rsidRPr="001C6842" w:rsidRDefault="00BE5033" w:rsidP="006E3597">
            <w:pPr>
              <w:spacing w:after="0"/>
              <w:ind w:firstLine="0"/>
              <w:jc w:val="left"/>
              <w:rPr>
                <w:rFonts w:ascii="Arial Narrow" w:hAnsi="Arial Narrow" w:cs="Arial"/>
                <w:sz w:val="18"/>
                <w:szCs w:val="18"/>
                <w:lang w:val="es-ES" w:eastAsia="es-ES"/>
              </w:rPr>
            </w:pPr>
            <w:r w:rsidRPr="001C6842">
              <w:rPr>
                <w:rFonts w:ascii="Arial Narrow" w:hAnsi="Arial Narrow" w:cs="Arial"/>
                <w:bCs/>
                <w:sz w:val="18"/>
                <w:szCs w:val="18"/>
                <w:lang w:val="es-ES" w:eastAsia="es-ES"/>
              </w:rPr>
              <w:t xml:space="preserve">VII. Resultado del ejercicio </w:t>
            </w:r>
          </w:p>
        </w:tc>
        <w:tc>
          <w:tcPr>
            <w:tcW w:w="851" w:type="dxa"/>
            <w:tcBorders>
              <w:top w:val="single" w:sz="2" w:space="0" w:color="auto"/>
              <w:bottom w:val="single" w:sz="2" w:space="0" w:color="auto"/>
            </w:tcBorders>
            <w:shd w:val="clear" w:color="auto" w:fill="auto"/>
            <w:noWrap/>
            <w:vAlign w:val="center"/>
          </w:tcPr>
          <w:p w14:paraId="11DBB4D3" w14:textId="6C4C92A4" w:rsidR="00BE5033" w:rsidRPr="001C6842" w:rsidRDefault="00BE5033" w:rsidP="006E3597">
            <w:pPr>
              <w:spacing w:after="0"/>
              <w:ind w:firstLine="0"/>
              <w:jc w:val="right"/>
              <w:rPr>
                <w:rFonts w:ascii="Arial Narrow" w:hAnsi="Arial Narrow" w:cs="Arial"/>
                <w:color w:val="000000"/>
                <w:sz w:val="18"/>
                <w:szCs w:val="18"/>
                <w:lang w:val="es-ES" w:eastAsia="es-ES"/>
              </w:rPr>
            </w:pPr>
            <w:r w:rsidRPr="001C6842">
              <w:rPr>
                <w:rFonts w:ascii="Arial Narrow" w:hAnsi="Arial Narrow" w:cs="Arial"/>
                <w:color w:val="000000"/>
                <w:sz w:val="18"/>
                <w:szCs w:val="18"/>
                <w:lang w:val="es-ES" w:eastAsia="es-ES"/>
              </w:rPr>
              <w:t>-140.782</w:t>
            </w:r>
          </w:p>
        </w:tc>
        <w:tc>
          <w:tcPr>
            <w:tcW w:w="851" w:type="dxa"/>
            <w:tcBorders>
              <w:top w:val="single" w:sz="2" w:space="0" w:color="auto"/>
              <w:bottom w:val="single" w:sz="2" w:space="0" w:color="auto"/>
            </w:tcBorders>
            <w:shd w:val="clear" w:color="auto" w:fill="auto"/>
            <w:noWrap/>
            <w:vAlign w:val="center"/>
          </w:tcPr>
          <w:p w14:paraId="34B4B647" w14:textId="02807E0B" w:rsidR="00BE5033" w:rsidRPr="001C6842" w:rsidRDefault="00BE5033"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color w:val="000000"/>
                <w:sz w:val="18"/>
                <w:szCs w:val="18"/>
                <w:lang w:val="es-ES" w:eastAsia="es-ES"/>
              </w:rPr>
              <w:t>-</w:t>
            </w:r>
            <w:r w:rsidR="00A520BC" w:rsidRPr="001C6842">
              <w:rPr>
                <w:rFonts w:ascii="Arial Narrow" w:hAnsi="Arial Narrow" w:cs="Arial"/>
                <w:color w:val="000000"/>
                <w:sz w:val="18"/>
                <w:szCs w:val="18"/>
                <w:lang w:val="es-ES" w:eastAsia="es-ES"/>
              </w:rPr>
              <w:t>140.109</w:t>
            </w:r>
          </w:p>
        </w:tc>
      </w:tr>
      <w:tr w:rsidR="00BE5033" w:rsidRPr="00730AE6" w14:paraId="0E8FF2C7"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0659BD92" w14:textId="77777777" w:rsidR="00BE5033" w:rsidRPr="001C6842" w:rsidRDefault="00BE5033" w:rsidP="006E3597">
            <w:pPr>
              <w:spacing w:after="0"/>
              <w:ind w:firstLine="0"/>
              <w:jc w:val="left"/>
              <w:rPr>
                <w:rFonts w:ascii="Arial Narrow" w:hAnsi="Arial Narrow" w:cs="Arial"/>
                <w:b/>
                <w:sz w:val="18"/>
                <w:szCs w:val="18"/>
                <w:lang w:val="es-ES" w:eastAsia="es-ES"/>
              </w:rPr>
            </w:pPr>
            <w:r w:rsidRPr="001C6842">
              <w:rPr>
                <w:rFonts w:ascii="Arial Narrow" w:hAnsi="Arial Narrow" w:cs="Arial"/>
                <w:b/>
                <w:bCs/>
                <w:sz w:val="18"/>
                <w:szCs w:val="18"/>
                <w:lang w:val="es-ES" w:eastAsia="es-ES"/>
              </w:rPr>
              <w:t>I. Existencias</w:t>
            </w:r>
          </w:p>
        </w:tc>
        <w:tc>
          <w:tcPr>
            <w:tcW w:w="851" w:type="dxa"/>
            <w:tcBorders>
              <w:top w:val="single" w:sz="2" w:space="0" w:color="auto"/>
              <w:bottom w:val="single" w:sz="2" w:space="0" w:color="auto"/>
            </w:tcBorders>
            <w:shd w:val="clear" w:color="auto" w:fill="auto"/>
            <w:noWrap/>
            <w:vAlign w:val="center"/>
          </w:tcPr>
          <w:p w14:paraId="3BCA32A7" w14:textId="77777777" w:rsidR="00BE5033" w:rsidRPr="001C6842" w:rsidRDefault="00BE5033"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5705F560" w14:textId="77777777" w:rsidR="00BE5033" w:rsidRPr="001C6842" w:rsidRDefault="00BE5033"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bCs/>
                <w:color w:val="000000"/>
                <w:sz w:val="18"/>
                <w:szCs w:val="18"/>
                <w:lang w:val="es-ES" w:eastAsia="es-ES"/>
              </w:rPr>
              <w:t>0</w:t>
            </w:r>
          </w:p>
        </w:tc>
        <w:tc>
          <w:tcPr>
            <w:tcW w:w="2835" w:type="dxa"/>
            <w:tcBorders>
              <w:top w:val="single" w:sz="2" w:space="0" w:color="auto"/>
              <w:left w:val="single" w:sz="2" w:space="0" w:color="auto"/>
              <w:bottom w:val="single" w:sz="2" w:space="0" w:color="auto"/>
            </w:tcBorders>
            <w:shd w:val="clear" w:color="auto" w:fill="auto"/>
            <w:vAlign w:val="center"/>
          </w:tcPr>
          <w:p w14:paraId="1AA3535F" w14:textId="77777777" w:rsidR="00BE5033" w:rsidRPr="001C6842" w:rsidRDefault="00BE5033" w:rsidP="006E3597">
            <w:pPr>
              <w:spacing w:after="0"/>
              <w:ind w:firstLine="0"/>
              <w:jc w:val="left"/>
              <w:rPr>
                <w:rFonts w:ascii="Arial Narrow" w:hAnsi="Arial Narrow" w:cs="Arial"/>
                <w:sz w:val="18"/>
                <w:szCs w:val="18"/>
                <w:lang w:val="es-ES" w:eastAsia="es-ES"/>
              </w:rPr>
            </w:pPr>
            <w:r w:rsidRPr="001C6842">
              <w:rPr>
                <w:rFonts w:ascii="Arial Narrow" w:hAnsi="Arial Narrow" w:cs="Arial"/>
                <w:bCs/>
                <w:sz w:val="18"/>
                <w:szCs w:val="18"/>
                <w:lang w:val="es-ES" w:eastAsia="es-ES"/>
              </w:rPr>
              <w:t>VIII. Dividendo a cuenta</w:t>
            </w:r>
          </w:p>
        </w:tc>
        <w:tc>
          <w:tcPr>
            <w:tcW w:w="851" w:type="dxa"/>
            <w:tcBorders>
              <w:top w:val="single" w:sz="2" w:space="0" w:color="auto"/>
              <w:bottom w:val="single" w:sz="2" w:space="0" w:color="auto"/>
            </w:tcBorders>
            <w:shd w:val="clear" w:color="auto" w:fill="auto"/>
            <w:noWrap/>
            <w:vAlign w:val="center"/>
          </w:tcPr>
          <w:p w14:paraId="06C221C8"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6096A6F5"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r w:rsidRPr="001C6842">
              <w:rPr>
                <w:rFonts w:ascii="Arial Narrow" w:hAnsi="Arial Narrow" w:cs="Arial"/>
                <w:color w:val="000000"/>
                <w:sz w:val="18"/>
                <w:szCs w:val="18"/>
                <w:lang w:val="es-ES" w:eastAsia="es-ES"/>
              </w:rPr>
              <w:t>0</w:t>
            </w:r>
          </w:p>
        </w:tc>
      </w:tr>
      <w:tr w:rsidR="00BE5033" w:rsidRPr="00730AE6" w14:paraId="73CBCAAB"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436173BD" w14:textId="77777777" w:rsidR="00BE5033" w:rsidRPr="001C6842" w:rsidRDefault="00BE5033" w:rsidP="006E3597">
            <w:pPr>
              <w:spacing w:after="0"/>
              <w:ind w:firstLine="0"/>
              <w:jc w:val="left"/>
              <w:rPr>
                <w:rFonts w:ascii="Arial Narrow" w:hAnsi="Arial Narrow" w:cs="Arial"/>
                <w:b/>
                <w:sz w:val="18"/>
                <w:szCs w:val="18"/>
                <w:lang w:val="es-ES" w:eastAsia="es-ES"/>
              </w:rPr>
            </w:pPr>
            <w:r w:rsidRPr="001C6842">
              <w:rPr>
                <w:rFonts w:ascii="Arial Narrow" w:hAnsi="Arial Narrow" w:cs="Arial"/>
                <w:b/>
                <w:bCs/>
                <w:sz w:val="18"/>
                <w:szCs w:val="18"/>
                <w:lang w:val="es-ES" w:eastAsia="es-ES"/>
              </w:rPr>
              <w:t>II. Deudores comerciales y otras cuentas a cobrar</w:t>
            </w:r>
          </w:p>
        </w:tc>
        <w:tc>
          <w:tcPr>
            <w:tcW w:w="851" w:type="dxa"/>
            <w:tcBorders>
              <w:top w:val="single" w:sz="2" w:space="0" w:color="auto"/>
              <w:bottom w:val="single" w:sz="2" w:space="0" w:color="auto"/>
            </w:tcBorders>
            <w:shd w:val="clear" w:color="auto" w:fill="auto"/>
            <w:noWrap/>
            <w:vAlign w:val="center"/>
          </w:tcPr>
          <w:p w14:paraId="0CA20363" w14:textId="2946DA44" w:rsidR="00BE5033" w:rsidRPr="001C6842" w:rsidRDefault="00BE5033"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bCs/>
                <w:color w:val="000000"/>
                <w:sz w:val="18"/>
                <w:szCs w:val="18"/>
                <w:lang w:val="es-ES" w:eastAsia="es-ES"/>
              </w:rPr>
              <w:t>-6.792</w:t>
            </w:r>
          </w:p>
        </w:tc>
        <w:tc>
          <w:tcPr>
            <w:tcW w:w="851" w:type="dxa"/>
            <w:tcBorders>
              <w:top w:val="single" w:sz="2" w:space="0" w:color="auto"/>
              <w:bottom w:val="single" w:sz="2" w:space="0" w:color="auto"/>
              <w:right w:val="single" w:sz="2" w:space="0" w:color="auto"/>
            </w:tcBorders>
            <w:shd w:val="clear" w:color="auto" w:fill="auto"/>
            <w:noWrap/>
            <w:vAlign w:val="center"/>
          </w:tcPr>
          <w:p w14:paraId="3E68ABC1" w14:textId="19D30028" w:rsidR="00BE5033" w:rsidRPr="001C6842" w:rsidRDefault="00A520BC"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bCs/>
                <w:color w:val="000000"/>
                <w:sz w:val="18"/>
                <w:szCs w:val="18"/>
                <w:lang w:val="es-ES" w:eastAsia="es-ES"/>
              </w:rPr>
              <w:t>-6.792</w:t>
            </w:r>
          </w:p>
        </w:tc>
        <w:tc>
          <w:tcPr>
            <w:tcW w:w="2835" w:type="dxa"/>
            <w:tcBorders>
              <w:top w:val="single" w:sz="2" w:space="0" w:color="auto"/>
              <w:left w:val="single" w:sz="2" w:space="0" w:color="auto"/>
              <w:bottom w:val="single" w:sz="2" w:space="0" w:color="auto"/>
            </w:tcBorders>
            <w:shd w:val="clear" w:color="auto" w:fill="auto"/>
            <w:vAlign w:val="center"/>
          </w:tcPr>
          <w:p w14:paraId="5091ED32" w14:textId="77777777" w:rsidR="00BE5033" w:rsidRPr="001C6842" w:rsidRDefault="00BE5033" w:rsidP="006E3597">
            <w:pPr>
              <w:spacing w:after="0"/>
              <w:ind w:firstLine="0"/>
              <w:jc w:val="left"/>
              <w:rPr>
                <w:rFonts w:ascii="Arial Narrow" w:hAnsi="Arial Narrow" w:cs="Arial"/>
                <w:sz w:val="18"/>
                <w:szCs w:val="18"/>
                <w:lang w:val="es-ES" w:eastAsia="es-ES"/>
              </w:rPr>
            </w:pPr>
            <w:r w:rsidRPr="001C6842">
              <w:rPr>
                <w:rFonts w:ascii="Arial Narrow" w:hAnsi="Arial Narrow" w:cs="Arial"/>
                <w:b/>
                <w:bCs/>
                <w:sz w:val="18"/>
                <w:szCs w:val="18"/>
                <w:lang w:val="es-ES" w:eastAsia="es-ES"/>
              </w:rPr>
              <w:t>A-2) Ajustes en patrimonio neto</w:t>
            </w:r>
          </w:p>
        </w:tc>
        <w:tc>
          <w:tcPr>
            <w:tcW w:w="851" w:type="dxa"/>
            <w:tcBorders>
              <w:top w:val="single" w:sz="2" w:space="0" w:color="auto"/>
              <w:bottom w:val="single" w:sz="2" w:space="0" w:color="auto"/>
            </w:tcBorders>
            <w:shd w:val="clear" w:color="auto" w:fill="auto"/>
            <w:noWrap/>
            <w:vAlign w:val="center"/>
          </w:tcPr>
          <w:p w14:paraId="09456817"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r w:rsidRPr="001C6842">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46B6F46D"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r w:rsidRPr="001C6842">
              <w:rPr>
                <w:rFonts w:ascii="Arial Narrow" w:hAnsi="Arial Narrow" w:cs="Arial"/>
                <w:b/>
                <w:bCs/>
                <w:color w:val="000000"/>
                <w:sz w:val="18"/>
                <w:szCs w:val="18"/>
                <w:lang w:val="es-ES" w:eastAsia="es-ES"/>
              </w:rPr>
              <w:t>0</w:t>
            </w:r>
          </w:p>
        </w:tc>
      </w:tr>
      <w:tr w:rsidR="00A520BC" w:rsidRPr="00730AE6" w14:paraId="68C527DD"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6C2AF07D" w14:textId="77777777" w:rsidR="00A520BC" w:rsidRPr="001C6842" w:rsidRDefault="00A520BC" w:rsidP="00A520BC">
            <w:pPr>
              <w:spacing w:after="0"/>
              <w:ind w:firstLine="0"/>
              <w:jc w:val="left"/>
              <w:rPr>
                <w:rFonts w:ascii="Arial Narrow" w:hAnsi="Arial Narrow" w:cs="Arial"/>
                <w:bCs/>
                <w:sz w:val="18"/>
                <w:szCs w:val="18"/>
                <w:lang w:val="es-ES" w:eastAsia="es-ES"/>
              </w:rPr>
            </w:pPr>
            <w:r w:rsidRPr="001C6842">
              <w:rPr>
                <w:rFonts w:ascii="Arial Narrow" w:hAnsi="Arial Narrow" w:cs="Arial"/>
                <w:sz w:val="18"/>
                <w:szCs w:val="18"/>
                <w:lang w:val="es-ES" w:eastAsia="es-ES"/>
              </w:rPr>
              <w:t xml:space="preserve">1. Clientes por </w:t>
            </w:r>
            <w:proofErr w:type="spellStart"/>
            <w:r w:rsidRPr="001C6842">
              <w:rPr>
                <w:rFonts w:ascii="Arial Narrow" w:hAnsi="Arial Narrow" w:cs="Arial"/>
                <w:sz w:val="18"/>
                <w:szCs w:val="18"/>
                <w:lang w:val="es-ES" w:eastAsia="es-ES"/>
              </w:rPr>
              <w:t>vtas</w:t>
            </w:r>
            <w:proofErr w:type="spellEnd"/>
            <w:r w:rsidRPr="001C6842">
              <w:rPr>
                <w:rFonts w:ascii="Arial Narrow" w:hAnsi="Arial Narrow" w:cs="Arial"/>
                <w:sz w:val="18"/>
                <w:szCs w:val="18"/>
                <w:lang w:val="es-ES" w:eastAsia="es-ES"/>
              </w:rPr>
              <w:t xml:space="preserve"> y prestaciones de </w:t>
            </w:r>
            <w:proofErr w:type="spellStart"/>
            <w:r w:rsidRPr="001C6842">
              <w:rPr>
                <w:rFonts w:ascii="Arial Narrow" w:hAnsi="Arial Narrow" w:cs="Arial"/>
                <w:sz w:val="18"/>
                <w:szCs w:val="18"/>
                <w:lang w:val="es-ES" w:eastAsia="es-ES"/>
              </w:rPr>
              <w:t>serv</w:t>
            </w:r>
            <w:proofErr w:type="spellEnd"/>
            <w:r w:rsidRPr="001C6842">
              <w:rPr>
                <w:rFonts w:ascii="Arial Narrow" w:hAnsi="Arial Narrow" w:cs="Arial"/>
                <w:sz w:val="18"/>
                <w:szCs w:val="18"/>
                <w:lang w:val="es-ES" w:eastAsia="es-ES"/>
              </w:rPr>
              <w:t>.</w:t>
            </w:r>
          </w:p>
        </w:tc>
        <w:tc>
          <w:tcPr>
            <w:tcW w:w="851" w:type="dxa"/>
            <w:tcBorders>
              <w:top w:val="single" w:sz="2" w:space="0" w:color="auto"/>
              <w:bottom w:val="single" w:sz="2" w:space="0" w:color="auto"/>
            </w:tcBorders>
            <w:shd w:val="clear" w:color="auto" w:fill="auto"/>
            <w:noWrap/>
            <w:vAlign w:val="center"/>
          </w:tcPr>
          <w:p w14:paraId="4658DAAE" w14:textId="4318782B" w:rsidR="00A520BC" w:rsidRPr="001C6842" w:rsidRDefault="00A520BC" w:rsidP="00A520BC">
            <w:pPr>
              <w:spacing w:after="0"/>
              <w:ind w:firstLine="0"/>
              <w:jc w:val="right"/>
              <w:rPr>
                <w:rFonts w:ascii="Arial Narrow" w:hAnsi="Arial Narrow" w:cs="Arial"/>
                <w:bCs/>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59CA1502" w14:textId="40909E5F" w:rsidR="00A520BC" w:rsidRPr="001C6842" w:rsidRDefault="00A520BC" w:rsidP="00A520BC">
            <w:pPr>
              <w:spacing w:after="0"/>
              <w:ind w:firstLine="0"/>
              <w:jc w:val="right"/>
              <w:rPr>
                <w:rFonts w:ascii="Arial Narrow" w:hAnsi="Arial Narrow" w:cs="Arial"/>
                <w:bCs/>
                <w:color w:val="000000"/>
                <w:sz w:val="18"/>
                <w:szCs w:val="18"/>
                <w:lang w:val="es-ES" w:eastAsia="es-ES"/>
              </w:rPr>
            </w:pPr>
            <w:r w:rsidRPr="001C6842">
              <w:rPr>
                <w:rFonts w:ascii="Arial Narrow" w:hAnsi="Arial Narrow" w:cs="Arial"/>
                <w:bCs/>
                <w:color w:val="000000"/>
                <w:sz w:val="18"/>
                <w:szCs w:val="18"/>
                <w:lang w:val="es-ES" w:eastAsia="es-ES"/>
              </w:rPr>
              <w:t>0</w:t>
            </w:r>
          </w:p>
        </w:tc>
        <w:tc>
          <w:tcPr>
            <w:tcW w:w="2835" w:type="dxa"/>
            <w:tcBorders>
              <w:top w:val="single" w:sz="2" w:space="0" w:color="auto"/>
              <w:left w:val="single" w:sz="2" w:space="0" w:color="auto"/>
              <w:bottom w:val="single" w:sz="2" w:space="0" w:color="auto"/>
            </w:tcBorders>
            <w:shd w:val="clear" w:color="auto" w:fill="auto"/>
            <w:vAlign w:val="center"/>
          </w:tcPr>
          <w:p w14:paraId="3894D8BA" w14:textId="77777777" w:rsidR="00A520BC" w:rsidRPr="001C6842" w:rsidRDefault="00A520BC" w:rsidP="00A520BC">
            <w:pPr>
              <w:spacing w:after="0"/>
              <w:ind w:firstLine="0"/>
              <w:jc w:val="left"/>
              <w:rPr>
                <w:rFonts w:ascii="Arial Narrow" w:hAnsi="Arial Narrow" w:cs="Arial"/>
                <w:sz w:val="18"/>
                <w:szCs w:val="18"/>
                <w:lang w:val="es-ES" w:eastAsia="es-ES"/>
              </w:rPr>
            </w:pPr>
            <w:r w:rsidRPr="001C6842">
              <w:rPr>
                <w:rFonts w:ascii="Arial Narrow" w:hAnsi="Arial Narrow" w:cs="Arial"/>
                <w:b/>
                <w:bCs/>
                <w:sz w:val="18"/>
                <w:szCs w:val="18"/>
                <w:lang w:val="es-ES" w:eastAsia="es-ES"/>
              </w:rPr>
              <w:t xml:space="preserve">A-3) </w:t>
            </w:r>
            <w:proofErr w:type="spellStart"/>
            <w:r w:rsidRPr="001C6842">
              <w:rPr>
                <w:rFonts w:ascii="Arial Narrow" w:hAnsi="Arial Narrow" w:cs="Arial"/>
                <w:b/>
                <w:bCs/>
                <w:sz w:val="18"/>
                <w:szCs w:val="18"/>
                <w:lang w:val="es-ES" w:eastAsia="es-ES"/>
              </w:rPr>
              <w:t>Subv</w:t>
            </w:r>
            <w:proofErr w:type="spellEnd"/>
            <w:r w:rsidRPr="001C6842">
              <w:rPr>
                <w:rFonts w:ascii="Arial Narrow" w:hAnsi="Arial Narrow" w:cs="Arial"/>
                <w:b/>
                <w:bCs/>
                <w:sz w:val="18"/>
                <w:szCs w:val="18"/>
                <w:lang w:val="es-ES" w:eastAsia="es-ES"/>
              </w:rPr>
              <w:t xml:space="preserve">., </w:t>
            </w:r>
            <w:proofErr w:type="spellStart"/>
            <w:r w:rsidRPr="001C6842">
              <w:rPr>
                <w:rFonts w:ascii="Arial Narrow" w:hAnsi="Arial Narrow" w:cs="Arial"/>
                <w:b/>
                <w:bCs/>
                <w:sz w:val="18"/>
                <w:szCs w:val="18"/>
                <w:lang w:val="es-ES" w:eastAsia="es-ES"/>
              </w:rPr>
              <w:t>donac</w:t>
            </w:r>
            <w:proofErr w:type="spellEnd"/>
            <w:r w:rsidRPr="001C6842">
              <w:rPr>
                <w:rFonts w:ascii="Arial Narrow" w:hAnsi="Arial Narrow" w:cs="Arial"/>
                <w:b/>
                <w:bCs/>
                <w:sz w:val="18"/>
                <w:szCs w:val="18"/>
                <w:lang w:val="es-ES" w:eastAsia="es-ES"/>
              </w:rPr>
              <w:t>. y legados recibidos</w:t>
            </w:r>
          </w:p>
        </w:tc>
        <w:tc>
          <w:tcPr>
            <w:tcW w:w="851" w:type="dxa"/>
            <w:tcBorders>
              <w:top w:val="single" w:sz="2" w:space="0" w:color="auto"/>
              <w:bottom w:val="single" w:sz="2" w:space="0" w:color="auto"/>
            </w:tcBorders>
            <w:shd w:val="clear" w:color="auto" w:fill="auto"/>
            <w:noWrap/>
            <w:vAlign w:val="center"/>
          </w:tcPr>
          <w:p w14:paraId="414B19BB"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792703AE"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b/>
                <w:bCs/>
                <w:color w:val="000000"/>
                <w:sz w:val="18"/>
                <w:szCs w:val="18"/>
                <w:lang w:val="es-ES" w:eastAsia="es-ES"/>
              </w:rPr>
              <w:t>0</w:t>
            </w:r>
          </w:p>
        </w:tc>
      </w:tr>
      <w:tr w:rsidR="00A520BC" w:rsidRPr="00730AE6" w14:paraId="7C3326DE"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6E973AA6" w14:textId="77777777" w:rsidR="00A520BC" w:rsidRPr="001C6842" w:rsidRDefault="00A520BC" w:rsidP="00A520BC">
            <w:pPr>
              <w:spacing w:after="0"/>
              <w:ind w:firstLine="0"/>
              <w:jc w:val="left"/>
              <w:rPr>
                <w:rFonts w:ascii="Arial Narrow" w:hAnsi="Arial Narrow" w:cs="Arial"/>
                <w:sz w:val="18"/>
                <w:szCs w:val="18"/>
                <w:lang w:val="es-ES" w:eastAsia="es-ES"/>
              </w:rPr>
            </w:pPr>
            <w:r w:rsidRPr="001C6842">
              <w:rPr>
                <w:rFonts w:ascii="Arial Narrow" w:hAnsi="Arial Narrow" w:cs="Arial"/>
                <w:sz w:val="18"/>
                <w:szCs w:val="18"/>
                <w:lang w:val="es-ES" w:eastAsia="es-ES"/>
              </w:rPr>
              <w:t xml:space="preserve">2. Accionistas por desembolsos exigidos </w:t>
            </w:r>
          </w:p>
        </w:tc>
        <w:tc>
          <w:tcPr>
            <w:tcW w:w="851" w:type="dxa"/>
            <w:tcBorders>
              <w:top w:val="single" w:sz="2" w:space="0" w:color="auto"/>
              <w:bottom w:val="single" w:sz="2" w:space="0" w:color="auto"/>
            </w:tcBorders>
            <w:shd w:val="clear" w:color="auto" w:fill="auto"/>
            <w:noWrap/>
            <w:vAlign w:val="center"/>
          </w:tcPr>
          <w:p w14:paraId="3AB1EBB0" w14:textId="77777777" w:rsidR="00A520BC" w:rsidRPr="001C6842" w:rsidRDefault="00A520BC" w:rsidP="00A520BC">
            <w:pPr>
              <w:spacing w:after="0"/>
              <w:ind w:firstLine="0"/>
              <w:jc w:val="right"/>
              <w:rPr>
                <w:rFonts w:ascii="Arial Narrow" w:hAnsi="Arial Narrow" w:cs="Arial"/>
                <w:bCs/>
                <w:color w:val="000000"/>
                <w:sz w:val="18"/>
                <w:szCs w:val="18"/>
                <w:lang w:val="es-ES" w:eastAsia="es-ES"/>
              </w:rPr>
            </w:pPr>
            <w:r w:rsidRPr="001C6842">
              <w:rPr>
                <w:rFonts w:ascii="Arial Narrow" w:hAnsi="Arial Narrow" w:cs="Arial"/>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56ABA2AA" w14:textId="4FE62BB2" w:rsidR="00A520BC" w:rsidRPr="001C6842" w:rsidRDefault="00A520BC" w:rsidP="00A520BC">
            <w:pPr>
              <w:spacing w:after="0"/>
              <w:ind w:firstLine="0"/>
              <w:jc w:val="right"/>
              <w:rPr>
                <w:rFonts w:ascii="Arial Narrow" w:hAnsi="Arial Narrow" w:cs="Arial"/>
                <w:bCs/>
                <w:color w:val="000000"/>
                <w:sz w:val="18"/>
                <w:szCs w:val="18"/>
                <w:lang w:val="es-ES" w:eastAsia="es-ES"/>
              </w:rPr>
            </w:pPr>
            <w:r w:rsidRPr="001C6842">
              <w:rPr>
                <w:rFonts w:ascii="Arial Narrow" w:hAnsi="Arial Narrow" w:cs="Arial"/>
                <w:color w:val="000000"/>
                <w:sz w:val="18"/>
                <w:szCs w:val="18"/>
                <w:lang w:val="es-ES" w:eastAsia="es-ES"/>
              </w:rPr>
              <w:t>0</w:t>
            </w:r>
          </w:p>
        </w:tc>
        <w:tc>
          <w:tcPr>
            <w:tcW w:w="2835" w:type="dxa"/>
            <w:tcBorders>
              <w:top w:val="single" w:sz="2" w:space="0" w:color="auto"/>
              <w:left w:val="single" w:sz="2" w:space="0" w:color="auto"/>
              <w:bottom w:val="single" w:sz="2" w:space="0" w:color="auto"/>
            </w:tcBorders>
            <w:shd w:val="clear" w:color="auto" w:fill="auto"/>
            <w:vAlign w:val="center"/>
          </w:tcPr>
          <w:p w14:paraId="118C4AE6" w14:textId="77777777" w:rsidR="00A520BC" w:rsidRPr="001C6842" w:rsidRDefault="00A520BC" w:rsidP="00A520BC">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4E2205B0"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0A410A41"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p>
        </w:tc>
      </w:tr>
      <w:tr w:rsidR="00A520BC" w:rsidRPr="00730AE6" w14:paraId="07145137"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516708E2" w14:textId="77777777" w:rsidR="00A520BC" w:rsidRPr="001C6842" w:rsidRDefault="00A520BC" w:rsidP="00A520BC">
            <w:pPr>
              <w:spacing w:after="0"/>
              <w:ind w:firstLine="0"/>
              <w:jc w:val="left"/>
              <w:rPr>
                <w:rFonts w:ascii="Arial Narrow" w:hAnsi="Arial Narrow" w:cs="Arial"/>
                <w:sz w:val="18"/>
                <w:szCs w:val="18"/>
                <w:lang w:val="es-ES" w:eastAsia="es-ES"/>
              </w:rPr>
            </w:pPr>
            <w:r w:rsidRPr="001C6842">
              <w:rPr>
                <w:rFonts w:ascii="Arial Narrow" w:hAnsi="Arial Narrow" w:cs="Arial"/>
                <w:sz w:val="18"/>
                <w:szCs w:val="18"/>
                <w:lang w:val="es-ES" w:eastAsia="es-ES"/>
              </w:rPr>
              <w:t>3. Otros deudores</w:t>
            </w:r>
          </w:p>
        </w:tc>
        <w:tc>
          <w:tcPr>
            <w:tcW w:w="851" w:type="dxa"/>
            <w:tcBorders>
              <w:top w:val="single" w:sz="2" w:space="0" w:color="auto"/>
              <w:bottom w:val="single" w:sz="2" w:space="0" w:color="auto"/>
            </w:tcBorders>
            <w:shd w:val="clear" w:color="auto" w:fill="auto"/>
            <w:noWrap/>
            <w:vAlign w:val="center"/>
          </w:tcPr>
          <w:p w14:paraId="78CCB837" w14:textId="0BA1A5A1" w:rsidR="00A520BC" w:rsidRPr="001C6842" w:rsidRDefault="00A520BC" w:rsidP="00A520BC">
            <w:pPr>
              <w:spacing w:after="0"/>
              <w:ind w:firstLine="0"/>
              <w:jc w:val="right"/>
              <w:rPr>
                <w:rFonts w:ascii="Arial Narrow" w:hAnsi="Arial Narrow" w:cs="Arial"/>
                <w:bCs/>
                <w:color w:val="000000"/>
                <w:sz w:val="18"/>
                <w:szCs w:val="18"/>
                <w:lang w:val="es-ES" w:eastAsia="es-ES"/>
              </w:rPr>
            </w:pPr>
            <w:r w:rsidRPr="001C6842">
              <w:rPr>
                <w:rFonts w:ascii="Arial Narrow" w:hAnsi="Arial Narrow" w:cs="Arial"/>
                <w:color w:val="000000"/>
                <w:sz w:val="18"/>
                <w:szCs w:val="18"/>
                <w:lang w:val="es-ES" w:eastAsia="es-ES"/>
              </w:rPr>
              <w:t>-6.792</w:t>
            </w:r>
          </w:p>
        </w:tc>
        <w:tc>
          <w:tcPr>
            <w:tcW w:w="851" w:type="dxa"/>
            <w:tcBorders>
              <w:top w:val="single" w:sz="2" w:space="0" w:color="auto"/>
              <w:bottom w:val="single" w:sz="2" w:space="0" w:color="auto"/>
              <w:right w:val="single" w:sz="2" w:space="0" w:color="auto"/>
            </w:tcBorders>
            <w:shd w:val="clear" w:color="auto" w:fill="auto"/>
            <w:noWrap/>
            <w:vAlign w:val="center"/>
          </w:tcPr>
          <w:p w14:paraId="60C40852" w14:textId="1709FE31" w:rsidR="00A520BC" w:rsidRPr="001C6842" w:rsidRDefault="00A520BC" w:rsidP="00A520BC">
            <w:pPr>
              <w:spacing w:after="0"/>
              <w:ind w:firstLine="0"/>
              <w:jc w:val="right"/>
              <w:rPr>
                <w:rFonts w:ascii="Arial Narrow" w:hAnsi="Arial Narrow" w:cs="Arial"/>
                <w:bCs/>
                <w:color w:val="000000"/>
                <w:sz w:val="18"/>
                <w:szCs w:val="18"/>
                <w:lang w:val="es-ES" w:eastAsia="es-ES"/>
              </w:rPr>
            </w:pPr>
            <w:r w:rsidRPr="001C6842">
              <w:rPr>
                <w:rFonts w:ascii="Arial Narrow" w:hAnsi="Arial Narrow" w:cs="Arial"/>
                <w:color w:val="000000"/>
                <w:sz w:val="18"/>
                <w:szCs w:val="18"/>
                <w:lang w:val="es-ES" w:eastAsia="es-ES"/>
              </w:rPr>
              <w:t>-6.792</w:t>
            </w:r>
          </w:p>
        </w:tc>
        <w:tc>
          <w:tcPr>
            <w:tcW w:w="2835" w:type="dxa"/>
            <w:tcBorders>
              <w:top w:val="single" w:sz="2" w:space="0" w:color="auto"/>
              <w:left w:val="single" w:sz="2" w:space="0" w:color="auto"/>
              <w:bottom w:val="single" w:sz="2" w:space="0" w:color="auto"/>
            </w:tcBorders>
            <w:shd w:val="clear" w:color="auto" w:fill="auto"/>
            <w:vAlign w:val="center"/>
          </w:tcPr>
          <w:p w14:paraId="5B8012D2" w14:textId="77777777" w:rsidR="00A520BC" w:rsidRPr="001C6842" w:rsidRDefault="00A520BC" w:rsidP="00A520BC">
            <w:pPr>
              <w:spacing w:after="0"/>
              <w:ind w:firstLine="0"/>
              <w:jc w:val="left"/>
              <w:rPr>
                <w:rFonts w:ascii="Arial Narrow" w:hAnsi="Arial Narrow" w:cs="Arial"/>
                <w:sz w:val="18"/>
                <w:szCs w:val="18"/>
                <w:lang w:val="es-ES" w:eastAsia="es-ES"/>
              </w:rPr>
            </w:pPr>
            <w:r w:rsidRPr="001C6842">
              <w:rPr>
                <w:rFonts w:ascii="Arial Narrow" w:hAnsi="Arial Narrow" w:cs="Arial"/>
                <w:b/>
                <w:bCs/>
                <w:sz w:val="18"/>
                <w:szCs w:val="18"/>
                <w:lang w:val="es-ES" w:eastAsia="es-ES"/>
              </w:rPr>
              <w:t xml:space="preserve"> B) PASIVO NO CORRIENTE</w:t>
            </w:r>
          </w:p>
        </w:tc>
        <w:tc>
          <w:tcPr>
            <w:tcW w:w="851" w:type="dxa"/>
            <w:tcBorders>
              <w:top w:val="single" w:sz="2" w:space="0" w:color="auto"/>
              <w:bottom w:val="single" w:sz="2" w:space="0" w:color="auto"/>
            </w:tcBorders>
            <w:shd w:val="clear" w:color="auto" w:fill="auto"/>
            <w:noWrap/>
            <w:vAlign w:val="center"/>
          </w:tcPr>
          <w:p w14:paraId="5B5EE4BE"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627A40C9" w14:textId="77777777" w:rsidR="00A520BC" w:rsidRPr="001C6842" w:rsidRDefault="00A520BC" w:rsidP="00A520BC">
            <w:pPr>
              <w:spacing w:after="0"/>
              <w:ind w:firstLine="0"/>
              <w:jc w:val="right"/>
              <w:rPr>
                <w:rFonts w:ascii="Arial Narrow" w:hAnsi="Arial Narrow" w:cs="Arial"/>
                <w:color w:val="000000"/>
                <w:sz w:val="18"/>
                <w:szCs w:val="18"/>
                <w:lang w:val="es-ES" w:eastAsia="es-ES"/>
              </w:rPr>
            </w:pPr>
            <w:r w:rsidRPr="001C6842">
              <w:rPr>
                <w:rFonts w:ascii="Arial Narrow" w:hAnsi="Arial Narrow" w:cs="Arial"/>
                <w:b/>
                <w:bCs/>
                <w:color w:val="000000"/>
                <w:sz w:val="18"/>
                <w:szCs w:val="18"/>
                <w:lang w:val="es-ES" w:eastAsia="es-ES"/>
              </w:rPr>
              <w:t>0</w:t>
            </w:r>
          </w:p>
        </w:tc>
      </w:tr>
      <w:tr w:rsidR="00BE5033" w:rsidRPr="00730AE6" w14:paraId="210B4377"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317C5790" w14:textId="77777777" w:rsidR="00BE5033" w:rsidRPr="001C6842" w:rsidRDefault="00BE5033" w:rsidP="006E3597">
            <w:pPr>
              <w:spacing w:after="0"/>
              <w:ind w:firstLine="0"/>
              <w:jc w:val="left"/>
              <w:rPr>
                <w:rFonts w:ascii="Arial Narrow" w:hAnsi="Arial Narrow" w:cs="Arial"/>
                <w:b/>
                <w:sz w:val="18"/>
                <w:szCs w:val="18"/>
                <w:lang w:val="es-ES" w:eastAsia="es-ES"/>
              </w:rPr>
            </w:pPr>
            <w:r w:rsidRPr="001C6842">
              <w:rPr>
                <w:rFonts w:ascii="Arial Narrow" w:hAnsi="Arial Narrow" w:cs="Arial"/>
                <w:b/>
                <w:bCs/>
                <w:sz w:val="18"/>
                <w:szCs w:val="18"/>
                <w:lang w:val="es-ES" w:eastAsia="es-ES"/>
              </w:rPr>
              <w:t>III. Inversiones en empresas del grupo y asociadas a largo plazo</w:t>
            </w:r>
          </w:p>
        </w:tc>
        <w:tc>
          <w:tcPr>
            <w:tcW w:w="851" w:type="dxa"/>
            <w:tcBorders>
              <w:top w:val="single" w:sz="2" w:space="0" w:color="auto"/>
              <w:bottom w:val="single" w:sz="2" w:space="0" w:color="auto"/>
            </w:tcBorders>
            <w:shd w:val="clear" w:color="auto" w:fill="auto"/>
            <w:noWrap/>
            <w:vAlign w:val="center"/>
          </w:tcPr>
          <w:p w14:paraId="0A380C14" w14:textId="77777777" w:rsidR="00BE5033" w:rsidRPr="001C6842" w:rsidRDefault="00BE5033"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233409CC" w14:textId="77777777" w:rsidR="00BE5033" w:rsidRPr="001C6842" w:rsidRDefault="00BE5033"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bCs/>
                <w:color w:val="000000"/>
                <w:sz w:val="18"/>
                <w:szCs w:val="18"/>
                <w:lang w:val="es-ES" w:eastAsia="es-ES"/>
              </w:rPr>
              <w:t>0</w:t>
            </w:r>
          </w:p>
        </w:tc>
        <w:tc>
          <w:tcPr>
            <w:tcW w:w="2835" w:type="dxa"/>
            <w:tcBorders>
              <w:top w:val="single" w:sz="2" w:space="0" w:color="auto"/>
              <w:left w:val="single" w:sz="2" w:space="0" w:color="auto"/>
              <w:bottom w:val="single" w:sz="2" w:space="0" w:color="auto"/>
            </w:tcBorders>
            <w:shd w:val="clear" w:color="auto" w:fill="auto"/>
            <w:vAlign w:val="center"/>
          </w:tcPr>
          <w:p w14:paraId="1E68A93C" w14:textId="77777777" w:rsidR="00BE5033" w:rsidRPr="001C6842" w:rsidRDefault="00BE5033" w:rsidP="006E3597">
            <w:pPr>
              <w:spacing w:after="0"/>
              <w:ind w:firstLine="0"/>
              <w:jc w:val="left"/>
              <w:rPr>
                <w:rFonts w:ascii="Arial Narrow" w:hAnsi="Arial Narrow" w:cs="Arial"/>
                <w:b/>
                <w:bCs/>
                <w:sz w:val="18"/>
                <w:szCs w:val="18"/>
                <w:lang w:val="es-ES" w:eastAsia="es-ES"/>
              </w:rPr>
            </w:pPr>
            <w:r w:rsidRPr="001C6842">
              <w:rPr>
                <w:rFonts w:ascii="Arial Narrow" w:hAnsi="Arial Narrow" w:cs="Arial"/>
                <w:bCs/>
                <w:sz w:val="18"/>
                <w:szCs w:val="18"/>
                <w:lang w:val="es-ES" w:eastAsia="es-ES"/>
              </w:rPr>
              <w:t>I. Provisiones a largo plazo</w:t>
            </w:r>
          </w:p>
        </w:tc>
        <w:tc>
          <w:tcPr>
            <w:tcW w:w="851" w:type="dxa"/>
            <w:tcBorders>
              <w:top w:val="single" w:sz="2" w:space="0" w:color="auto"/>
              <w:bottom w:val="single" w:sz="2" w:space="0" w:color="auto"/>
            </w:tcBorders>
            <w:shd w:val="clear" w:color="auto" w:fill="auto"/>
            <w:noWrap/>
            <w:vAlign w:val="center"/>
          </w:tcPr>
          <w:p w14:paraId="30311945"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66A347ED"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Cs/>
                <w:color w:val="000000"/>
                <w:sz w:val="18"/>
                <w:szCs w:val="18"/>
                <w:lang w:val="es-ES" w:eastAsia="es-ES"/>
              </w:rPr>
              <w:t>0</w:t>
            </w:r>
          </w:p>
        </w:tc>
      </w:tr>
      <w:tr w:rsidR="00BE5033" w:rsidRPr="00730AE6" w14:paraId="3529B7DF"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4827E314" w14:textId="77777777" w:rsidR="00BE5033" w:rsidRPr="001C6842" w:rsidRDefault="00BE5033" w:rsidP="006E3597">
            <w:pPr>
              <w:spacing w:after="0"/>
              <w:ind w:firstLine="0"/>
              <w:jc w:val="left"/>
              <w:rPr>
                <w:rFonts w:ascii="Arial Narrow" w:hAnsi="Arial Narrow" w:cs="Arial"/>
                <w:b/>
                <w:bCs/>
                <w:sz w:val="18"/>
                <w:szCs w:val="18"/>
                <w:lang w:val="es-ES" w:eastAsia="es-ES"/>
              </w:rPr>
            </w:pPr>
            <w:r w:rsidRPr="001C6842">
              <w:rPr>
                <w:rFonts w:ascii="Arial Narrow" w:hAnsi="Arial Narrow" w:cs="Arial"/>
                <w:b/>
                <w:bCs/>
                <w:sz w:val="18"/>
                <w:szCs w:val="18"/>
                <w:lang w:val="es-ES" w:eastAsia="es-ES"/>
              </w:rPr>
              <w:t xml:space="preserve">IV. Inversiones financieras a corto plazo </w:t>
            </w:r>
          </w:p>
        </w:tc>
        <w:tc>
          <w:tcPr>
            <w:tcW w:w="851" w:type="dxa"/>
            <w:tcBorders>
              <w:top w:val="single" w:sz="2" w:space="0" w:color="auto"/>
              <w:bottom w:val="single" w:sz="2" w:space="0" w:color="auto"/>
            </w:tcBorders>
            <w:shd w:val="clear" w:color="auto" w:fill="auto"/>
            <w:noWrap/>
            <w:vAlign w:val="center"/>
          </w:tcPr>
          <w:p w14:paraId="3D3F4E9B"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40B77011"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
                <w:bCs/>
                <w:color w:val="000000"/>
                <w:sz w:val="18"/>
                <w:szCs w:val="18"/>
                <w:lang w:val="es-ES" w:eastAsia="es-ES"/>
              </w:rPr>
              <w:t>0</w:t>
            </w:r>
          </w:p>
        </w:tc>
        <w:tc>
          <w:tcPr>
            <w:tcW w:w="2835" w:type="dxa"/>
            <w:tcBorders>
              <w:top w:val="single" w:sz="2" w:space="0" w:color="auto"/>
              <w:left w:val="single" w:sz="2" w:space="0" w:color="auto"/>
              <w:bottom w:val="single" w:sz="2" w:space="0" w:color="auto"/>
            </w:tcBorders>
            <w:shd w:val="clear" w:color="auto" w:fill="auto"/>
            <w:vAlign w:val="center"/>
          </w:tcPr>
          <w:p w14:paraId="58531B42" w14:textId="77777777" w:rsidR="00BE5033" w:rsidRPr="001C6842" w:rsidRDefault="00BE5033" w:rsidP="006E3597">
            <w:pPr>
              <w:spacing w:after="0"/>
              <w:ind w:firstLine="0"/>
              <w:jc w:val="left"/>
              <w:rPr>
                <w:rFonts w:ascii="Arial Narrow" w:hAnsi="Arial Narrow" w:cs="Arial"/>
                <w:b/>
                <w:sz w:val="18"/>
                <w:szCs w:val="18"/>
                <w:lang w:val="es-ES" w:eastAsia="es-ES"/>
              </w:rPr>
            </w:pPr>
            <w:r w:rsidRPr="001C6842">
              <w:rPr>
                <w:rFonts w:ascii="Arial Narrow" w:hAnsi="Arial Narrow" w:cs="Arial"/>
                <w:bCs/>
                <w:sz w:val="18"/>
                <w:szCs w:val="18"/>
                <w:lang w:val="es-ES" w:eastAsia="es-ES"/>
              </w:rPr>
              <w:t>II. Deudas a largo plazo</w:t>
            </w:r>
          </w:p>
        </w:tc>
        <w:tc>
          <w:tcPr>
            <w:tcW w:w="851" w:type="dxa"/>
            <w:tcBorders>
              <w:top w:val="single" w:sz="2" w:space="0" w:color="auto"/>
              <w:bottom w:val="single" w:sz="2" w:space="0" w:color="auto"/>
            </w:tcBorders>
            <w:shd w:val="clear" w:color="auto" w:fill="auto"/>
            <w:noWrap/>
            <w:vAlign w:val="center"/>
          </w:tcPr>
          <w:p w14:paraId="0749A013"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2E8EBE5D"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Cs/>
                <w:color w:val="000000"/>
                <w:sz w:val="18"/>
                <w:szCs w:val="18"/>
                <w:lang w:val="es-ES" w:eastAsia="es-ES"/>
              </w:rPr>
              <w:t>0</w:t>
            </w:r>
          </w:p>
        </w:tc>
      </w:tr>
      <w:tr w:rsidR="00BE5033" w:rsidRPr="00730AE6" w14:paraId="1E53C51D"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1C7FC7CC" w14:textId="77777777" w:rsidR="00BE5033" w:rsidRPr="001C6842" w:rsidRDefault="00BE5033" w:rsidP="006E3597">
            <w:pPr>
              <w:spacing w:after="0"/>
              <w:ind w:firstLine="0"/>
              <w:jc w:val="left"/>
              <w:rPr>
                <w:rFonts w:ascii="Arial Narrow" w:hAnsi="Arial Narrow" w:cs="Arial"/>
                <w:b/>
                <w:sz w:val="18"/>
                <w:szCs w:val="18"/>
                <w:lang w:val="es-ES" w:eastAsia="es-ES"/>
              </w:rPr>
            </w:pPr>
            <w:r w:rsidRPr="001C6842">
              <w:rPr>
                <w:rFonts w:ascii="Arial Narrow" w:hAnsi="Arial Narrow" w:cs="Arial"/>
                <w:b/>
                <w:sz w:val="18"/>
                <w:szCs w:val="18"/>
                <w:lang w:val="es-ES" w:eastAsia="es-ES"/>
              </w:rPr>
              <w:t>V. Periodificaciones a corto plazo</w:t>
            </w:r>
          </w:p>
        </w:tc>
        <w:tc>
          <w:tcPr>
            <w:tcW w:w="851" w:type="dxa"/>
            <w:tcBorders>
              <w:top w:val="single" w:sz="2" w:space="0" w:color="auto"/>
              <w:bottom w:val="single" w:sz="2" w:space="0" w:color="auto"/>
            </w:tcBorders>
            <w:shd w:val="clear" w:color="auto" w:fill="auto"/>
            <w:noWrap/>
            <w:vAlign w:val="center"/>
          </w:tcPr>
          <w:p w14:paraId="6D209228" w14:textId="77777777" w:rsidR="00BE5033" w:rsidRPr="001C6842" w:rsidRDefault="00BE5033"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color w:val="000000"/>
                <w:sz w:val="18"/>
                <w:szCs w:val="18"/>
                <w:lang w:val="es-ES" w:eastAsia="es-ES"/>
              </w:rPr>
              <w:t>0</w:t>
            </w:r>
          </w:p>
        </w:tc>
        <w:tc>
          <w:tcPr>
            <w:tcW w:w="851" w:type="dxa"/>
            <w:tcBorders>
              <w:top w:val="single" w:sz="2" w:space="0" w:color="auto"/>
              <w:bottom w:val="single" w:sz="2" w:space="0" w:color="auto"/>
              <w:right w:val="single" w:sz="2" w:space="0" w:color="auto"/>
            </w:tcBorders>
            <w:shd w:val="clear" w:color="auto" w:fill="auto"/>
            <w:noWrap/>
            <w:vAlign w:val="center"/>
          </w:tcPr>
          <w:p w14:paraId="1593F973" w14:textId="77777777" w:rsidR="00BE5033" w:rsidRPr="001C6842" w:rsidRDefault="00BE5033"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color w:val="000000"/>
                <w:sz w:val="18"/>
                <w:szCs w:val="18"/>
                <w:lang w:val="es-ES" w:eastAsia="es-ES"/>
              </w:rPr>
              <w:t>0</w:t>
            </w:r>
          </w:p>
        </w:tc>
        <w:tc>
          <w:tcPr>
            <w:tcW w:w="2835" w:type="dxa"/>
            <w:tcBorders>
              <w:top w:val="single" w:sz="2" w:space="0" w:color="auto"/>
              <w:left w:val="single" w:sz="2" w:space="0" w:color="auto"/>
              <w:bottom w:val="single" w:sz="2" w:space="0" w:color="auto"/>
            </w:tcBorders>
            <w:shd w:val="clear" w:color="auto" w:fill="auto"/>
            <w:vAlign w:val="center"/>
          </w:tcPr>
          <w:p w14:paraId="68D5806D" w14:textId="77777777" w:rsidR="00BE5033" w:rsidRPr="001C6842" w:rsidRDefault="00BE5033" w:rsidP="006E3597">
            <w:pPr>
              <w:spacing w:after="0"/>
              <w:ind w:firstLine="0"/>
              <w:jc w:val="left"/>
              <w:rPr>
                <w:rFonts w:ascii="Arial Narrow" w:hAnsi="Arial Narrow" w:cs="Arial"/>
                <w:b/>
                <w:bCs/>
                <w:sz w:val="18"/>
                <w:szCs w:val="18"/>
                <w:lang w:val="es-ES" w:eastAsia="es-ES"/>
              </w:rPr>
            </w:pPr>
            <w:r w:rsidRPr="001C6842">
              <w:rPr>
                <w:rFonts w:ascii="Arial Narrow" w:hAnsi="Arial Narrow" w:cs="Arial"/>
                <w:bCs/>
                <w:sz w:val="18"/>
                <w:szCs w:val="18"/>
                <w:lang w:val="es-ES" w:eastAsia="es-ES"/>
              </w:rPr>
              <w:t xml:space="preserve">III. Deudas con </w:t>
            </w:r>
            <w:proofErr w:type="spellStart"/>
            <w:r w:rsidRPr="001C6842">
              <w:rPr>
                <w:rFonts w:ascii="Arial Narrow" w:hAnsi="Arial Narrow" w:cs="Arial"/>
                <w:bCs/>
                <w:sz w:val="18"/>
                <w:szCs w:val="18"/>
                <w:lang w:val="es-ES" w:eastAsia="es-ES"/>
              </w:rPr>
              <w:t>emp</w:t>
            </w:r>
            <w:proofErr w:type="spellEnd"/>
            <w:r w:rsidRPr="001C6842">
              <w:rPr>
                <w:rFonts w:ascii="Arial Narrow" w:hAnsi="Arial Narrow" w:cs="Arial"/>
                <w:bCs/>
                <w:sz w:val="18"/>
                <w:szCs w:val="18"/>
                <w:lang w:val="es-ES" w:eastAsia="es-ES"/>
              </w:rPr>
              <w:t>. del grupo y asociadas a l/p</w:t>
            </w:r>
          </w:p>
        </w:tc>
        <w:tc>
          <w:tcPr>
            <w:tcW w:w="851" w:type="dxa"/>
            <w:tcBorders>
              <w:top w:val="single" w:sz="2" w:space="0" w:color="auto"/>
              <w:bottom w:val="single" w:sz="2" w:space="0" w:color="auto"/>
            </w:tcBorders>
            <w:shd w:val="clear" w:color="auto" w:fill="auto"/>
            <w:noWrap/>
            <w:vAlign w:val="center"/>
          </w:tcPr>
          <w:p w14:paraId="61ACB2A8"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394EC7CD"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Cs/>
                <w:color w:val="000000"/>
                <w:sz w:val="18"/>
                <w:szCs w:val="18"/>
                <w:lang w:val="es-ES" w:eastAsia="es-ES"/>
              </w:rPr>
              <w:t>0</w:t>
            </w:r>
          </w:p>
        </w:tc>
      </w:tr>
      <w:tr w:rsidR="00BE5033" w:rsidRPr="00730AE6" w14:paraId="7B55D6F4"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0EBDA183" w14:textId="77777777" w:rsidR="00BE5033" w:rsidRPr="001C6842" w:rsidRDefault="00BE5033" w:rsidP="006E3597">
            <w:pPr>
              <w:spacing w:after="0"/>
              <w:ind w:firstLine="0"/>
              <w:jc w:val="left"/>
              <w:rPr>
                <w:rFonts w:ascii="Arial Narrow" w:hAnsi="Arial Narrow" w:cs="Arial"/>
                <w:b/>
                <w:sz w:val="18"/>
                <w:szCs w:val="18"/>
                <w:lang w:val="es-ES" w:eastAsia="es-ES"/>
              </w:rPr>
            </w:pPr>
            <w:r w:rsidRPr="001C6842">
              <w:rPr>
                <w:rFonts w:ascii="Arial Narrow" w:hAnsi="Arial Narrow" w:cs="Arial"/>
                <w:b/>
                <w:sz w:val="18"/>
                <w:szCs w:val="18"/>
                <w:lang w:val="es-ES" w:eastAsia="es-ES"/>
              </w:rPr>
              <w:t>VI. Efectivo y otros activos líquidos equivalentes</w:t>
            </w:r>
          </w:p>
        </w:tc>
        <w:tc>
          <w:tcPr>
            <w:tcW w:w="851" w:type="dxa"/>
            <w:tcBorders>
              <w:top w:val="single" w:sz="2" w:space="0" w:color="auto"/>
              <w:bottom w:val="single" w:sz="2" w:space="0" w:color="auto"/>
            </w:tcBorders>
            <w:shd w:val="clear" w:color="auto" w:fill="auto"/>
            <w:noWrap/>
            <w:vAlign w:val="center"/>
          </w:tcPr>
          <w:p w14:paraId="1BE9C601" w14:textId="5C332582" w:rsidR="00BE5033" w:rsidRPr="001C6842" w:rsidRDefault="00BE5033"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color w:val="000000"/>
                <w:sz w:val="18"/>
                <w:szCs w:val="18"/>
                <w:lang w:val="es-ES" w:eastAsia="es-ES"/>
              </w:rPr>
              <w:t>-128.365</w:t>
            </w:r>
          </w:p>
        </w:tc>
        <w:tc>
          <w:tcPr>
            <w:tcW w:w="851" w:type="dxa"/>
            <w:tcBorders>
              <w:top w:val="single" w:sz="2" w:space="0" w:color="auto"/>
              <w:bottom w:val="single" w:sz="2" w:space="0" w:color="auto"/>
              <w:right w:val="single" w:sz="2" w:space="0" w:color="auto"/>
            </w:tcBorders>
            <w:shd w:val="clear" w:color="auto" w:fill="auto"/>
            <w:noWrap/>
            <w:vAlign w:val="center"/>
          </w:tcPr>
          <w:p w14:paraId="725DDCAB" w14:textId="7EC9C5B2" w:rsidR="00BE5033" w:rsidRPr="001C6842" w:rsidRDefault="00A520BC"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color w:val="000000"/>
                <w:sz w:val="18"/>
                <w:szCs w:val="18"/>
                <w:lang w:val="es-ES" w:eastAsia="es-ES"/>
              </w:rPr>
              <w:t>-13.908</w:t>
            </w:r>
          </w:p>
        </w:tc>
        <w:tc>
          <w:tcPr>
            <w:tcW w:w="2835" w:type="dxa"/>
            <w:tcBorders>
              <w:top w:val="single" w:sz="2" w:space="0" w:color="auto"/>
              <w:left w:val="single" w:sz="2" w:space="0" w:color="auto"/>
              <w:bottom w:val="single" w:sz="2" w:space="0" w:color="auto"/>
            </w:tcBorders>
            <w:shd w:val="clear" w:color="auto" w:fill="auto"/>
            <w:vAlign w:val="center"/>
          </w:tcPr>
          <w:p w14:paraId="15E770D4" w14:textId="77777777" w:rsidR="00BE5033" w:rsidRPr="001C6842" w:rsidRDefault="00BE5033" w:rsidP="006E3597">
            <w:pPr>
              <w:spacing w:after="0"/>
              <w:ind w:firstLine="0"/>
              <w:jc w:val="left"/>
              <w:rPr>
                <w:rFonts w:ascii="Arial Narrow" w:hAnsi="Arial Narrow" w:cs="Arial"/>
                <w:b/>
                <w:bCs/>
                <w:sz w:val="18"/>
                <w:szCs w:val="18"/>
                <w:lang w:val="es-ES" w:eastAsia="es-ES"/>
              </w:rPr>
            </w:pPr>
            <w:r w:rsidRPr="001C6842">
              <w:rPr>
                <w:rFonts w:ascii="Arial Narrow" w:hAnsi="Arial Narrow" w:cs="Arial"/>
                <w:bCs/>
                <w:sz w:val="18"/>
                <w:szCs w:val="18"/>
                <w:lang w:val="es-ES" w:eastAsia="es-ES"/>
              </w:rPr>
              <w:t xml:space="preserve">IV. Pasivos por impuesto diferido </w:t>
            </w:r>
          </w:p>
        </w:tc>
        <w:tc>
          <w:tcPr>
            <w:tcW w:w="851" w:type="dxa"/>
            <w:tcBorders>
              <w:top w:val="single" w:sz="2" w:space="0" w:color="auto"/>
              <w:bottom w:val="single" w:sz="2" w:space="0" w:color="auto"/>
            </w:tcBorders>
            <w:shd w:val="clear" w:color="auto" w:fill="auto"/>
            <w:noWrap/>
            <w:vAlign w:val="center"/>
          </w:tcPr>
          <w:p w14:paraId="6AE02D49"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3536332B"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color w:val="000000"/>
                <w:sz w:val="18"/>
                <w:szCs w:val="18"/>
                <w:lang w:val="es-ES" w:eastAsia="es-ES"/>
              </w:rPr>
              <w:t>0</w:t>
            </w:r>
          </w:p>
        </w:tc>
      </w:tr>
      <w:tr w:rsidR="00BE5033" w:rsidRPr="00730AE6" w14:paraId="3D65E849"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272442C8"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3522BB1D"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107113D1"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5D11E8F4" w14:textId="77777777" w:rsidR="00BE5033" w:rsidRPr="001C6842" w:rsidRDefault="00BE5033" w:rsidP="006E3597">
            <w:pPr>
              <w:spacing w:after="0"/>
              <w:ind w:firstLine="0"/>
              <w:jc w:val="left"/>
              <w:rPr>
                <w:rFonts w:ascii="Arial Narrow" w:hAnsi="Arial Narrow" w:cs="Arial"/>
                <w:b/>
                <w:bCs/>
                <w:sz w:val="18"/>
                <w:szCs w:val="18"/>
                <w:lang w:val="es-ES" w:eastAsia="es-ES"/>
              </w:rPr>
            </w:pPr>
            <w:r w:rsidRPr="001C6842">
              <w:rPr>
                <w:rFonts w:ascii="Arial Narrow" w:hAnsi="Arial Narrow" w:cs="Arial"/>
                <w:bCs/>
                <w:sz w:val="18"/>
                <w:szCs w:val="18"/>
                <w:lang w:val="es-ES" w:eastAsia="es-ES"/>
              </w:rPr>
              <w:t>V. Periodificaciones a largo plazo</w:t>
            </w:r>
          </w:p>
        </w:tc>
        <w:tc>
          <w:tcPr>
            <w:tcW w:w="851" w:type="dxa"/>
            <w:tcBorders>
              <w:top w:val="single" w:sz="2" w:space="0" w:color="auto"/>
              <w:bottom w:val="single" w:sz="2" w:space="0" w:color="auto"/>
            </w:tcBorders>
            <w:shd w:val="clear" w:color="auto" w:fill="auto"/>
            <w:noWrap/>
            <w:vAlign w:val="center"/>
          </w:tcPr>
          <w:p w14:paraId="1322C30B"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37A12DC6"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Cs/>
                <w:color w:val="000000"/>
                <w:sz w:val="18"/>
                <w:szCs w:val="18"/>
                <w:lang w:val="es-ES" w:eastAsia="es-ES"/>
              </w:rPr>
              <w:t>0</w:t>
            </w:r>
          </w:p>
        </w:tc>
      </w:tr>
      <w:tr w:rsidR="00BE5033" w:rsidRPr="00730AE6" w14:paraId="3DC2043C"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098D0CD1" w14:textId="77777777" w:rsidR="00BE5033" w:rsidRPr="001C6842" w:rsidRDefault="00BE5033" w:rsidP="006E3597">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03316EAB"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1A6F4734"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3A0B4865" w14:textId="77777777" w:rsidR="00BE5033" w:rsidRPr="001C6842" w:rsidRDefault="00BE5033" w:rsidP="006E3597">
            <w:pPr>
              <w:spacing w:after="0"/>
              <w:ind w:firstLine="0"/>
              <w:jc w:val="left"/>
              <w:rPr>
                <w:rFonts w:ascii="Arial Narrow" w:hAnsi="Arial Narrow" w:cs="Arial"/>
                <w:sz w:val="18"/>
                <w:szCs w:val="18"/>
                <w:lang w:val="es-ES" w:eastAsia="es-ES"/>
              </w:rPr>
            </w:pPr>
            <w:r w:rsidRPr="001C6842">
              <w:rPr>
                <w:rFonts w:ascii="Arial Narrow" w:hAnsi="Arial Narrow" w:cs="Arial"/>
                <w:bCs/>
                <w:sz w:val="18"/>
                <w:szCs w:val="18"/>
                <w:lang w:val="es-ES" w:eastAsia="es-ES"/>
              </w:rPr>
              <w:t>VI. Acreedores comerciales no corrientes</w:t>
            </w:r>
          </w:p>
        </w:tc>
        <w:tc>
          <w:tcPr>
            <w:tcW w:w="851" w:type="dxa"/>
            <w:tcBorders>
              <w:top w:val="single" w:sz="2" w:space="0" w:color="auto"/>
              <w:bottom w:val="single" w:sz="2" w:space="0" w:color="auto"/>
            </w:tcBorders>
            <w:shd w:val="clear" w:color="auto" w:fill="auto"/>
            <w:noWrap/>
            <w:vAlign w:val="center"/>
          </w:tcPr>
          <w:p w14:paraId="5DE52581"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3ADCA566"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r w:rsidRPr="001C6842">
              <w:rPr>
                <w:rFonts w:ascii="Arial Narrow" w:hAnsi="Arial Narrow" w:cs="Arial"/>
                <w:bCs/>
                <w:color w:val="000000"/>
                <w:sz w:val="18"/>
                <w:szCs w:val="18"/>
                <w:lang w:val="es-ES" w:eastAsia="es-ES"/>
              </w:rPr>
              <w:t>0</w:t>
            </w:r>
          </w:p>
        </w:tc>
      </w:tr>
      <w:tr w:rsidR="00BE5033" w:rsidRPr="00730AE6" w14:paraId="26B34D44"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572944E4" w14:textId="77777777" w:rsidR="00BE5033" w:rsidRPr="001C6842" w:rsidRDefault="00BE5033" w:rsidP="006E3597">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6544C986"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1AF40CB2"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1F97DB89" w14:textId="77777777" w:rsidR="00BE5033" w:rsidRPr="001C6842" w:rsidRDefault="00BE5033" w:rsidP="006E3597">
            <w:pPr>
              <w:spacing w:after="0"/>
              <w:ind w:firstLine="0"/>
              <w:jc w:val="left"/>
              <w:rPr>
                <w:rFonts w:ascii="Arial Narrow" w:hAnsi="Arial Narrow" w:cs="Arial"/>
                <w:bCs/>
                <w:sz w:val="18"/>
                <w:szCs w:val="18"/>
                <w:lang w:val="es-ES" w:eastAsia="es-ES"/>
              </w:rPr>
            </w:pPr>
            <w:r w:rsidRPr="001C6842">
              <w:rPr>
                <w:rFonts w:ascii="Arial Narrow" w:hAnsi="Arial Narrow" w:cs="Arial"/>
                <w:bCs/>
                <w:sz w:val="18"/>
                <w:szCs w:val="18"/>
                <w:lang w:val="es-ES" w:eastAsia="es-ES"/>
              </w:rPr>
              <w:t xml:space="preserve">VII. Deuda especial a largo plazo </w:t>
            </w:r>
          </w:p>
        </w:tc>
        <w:tc>
          <w:tcPr>
            <w:tcW w:w="851" w:type="dxa"/>
            <w:tcBorders>
              <w:top w:val="single" w:sz="2" w:space="0" w:color="auto"/>
              <w:bottom w:val="single" w:sz="2" w:space="0" w:color="auto"/>
            </w:tcBorders>
            <w:shd w:val="clear" w:color="auto" w:fill="auto"/>
            <w:noWrap/>
            <w:vAlign w:val="center"/>
          </w:tcPr>
          <w:p w14:paraId="1FCDEC91"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r w:rsidRPr="001C6842">
              <w:rPr>
                <w:rFonts w:ascii="Arial Narrow" w:hAnsi="Arial Narrow" w:cs="Arial"/>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39F92954"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r w:rsidRPr="001C6842">
              <w:rPr>
                <w:rFonts w:ascii="Arial Narrow" w:hAnsi="Arial Narrow" w:cs="Arial"/>
                <w:color w:val="000000"/>
                <w:sz w:val="18"/>
                <w:szCs w:val="18"/>
                <w:lang w:val="es-ES" w:eastAsia="es-ES"/>
              </w:rPr>
              <w:t>0</w:t>
            </w:r>
          </w:p>
        </w:tc>
      </w:tr>
      <w:tr w:rsidR="00BE5033" w:rsidRPr="00730AE6" w14:paraId="62299903"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47A7E3B3" w14:textId="77777777" w:rsidR="00BE5033" w:rsidRPr="001C6842" w:rsidRDefault="00BE5033" w:rsidP="006E3597">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0ED71422"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6C2C287A"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7519BF23" w14:textId="77777777" w:rsidR="00BE5033" w:rsidRPr="001C6842" w:rsidRDefault="00BE5033" w:rsidP="006E3597">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77C6946D"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18391D66"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p>
        </w:tc>
      </w:tr>
      <w:tr w:rsidR="00BE5033" w:rsidRPr="00730AE6" w14:paraId="06199117"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70DFE273"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57FF583A"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79E88C0C"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6951A689" w14:textId="77777777" w:rsidR="00BE5033" w:rsidRPr="001C6842" w:rsidRDefault="00BE5033" w:rsidP="006E3597">
            <w:pPr>
              <w:spacing w:after="0"/>
              <w:ind w:firstLine="0"/>
              <w:jc w:val="left"/>
              <w:rPr>
                <w:rFonts w:ascii="Arial Narrow" w:hAnsi="Arial Narrow" w:cs="Arial"/>
                <w:b/>
                <w:bCs/>
                <w:sz w:val="18"/>
                <w:szCs w:val="18"/>
                <w:lang w:val="es-ES" w:eastAsia="es-ES"/>
              </w:rPr>
            </w:pPr>
            <w:r w:rsidRPr="001C6842">
              <w:rPr>
                <w:rFonts w:ascii="Arial Narrow" w:hAnsi="Arial Narrow" w:cs="Arial"/>
                <w:b/>
                <w:bCs/>
                <w:sz w:val="18"/>
                <w:szCs w:val="18"/>
                <w:lang w:val="es-ES" w:eastAsia="es-ES"/>
              </w:rPr>
              <w:t xml:space="preserve"> C) PASIVO CORRIENTE</w:t>
            </w:r>
          </w:p>
        </w:tc>
        <w:tc>
          <w:tcPr>
            <w:tcW w:w="851" w:type="dxa"/>
            <w:tcBorders>
              <w:top w:val="single" w:sz="2" w:space="0" w:color="auto"/>
              <w:bottom w:val="single" w:sz="2" w:space="0" w:color="auto"/>
            </w:tcBorders>
            <w:shd w:val="clear" w:color="auto" w:fill="auto"/>
            <w:noWrap/>
            <w:vAlign w:val="center"/>
          </w:tcPr>
          <w:p w14:paraId="7C6ED179" w14:textId="724343B0"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
                <w:bCs/>
                <w:color w:val="000000"/>
                <w:sz w:val="18"/>
                <w:szCs w:val="18"/>
                <w:lang w:val="es-ES" w:eastAsia="es-ES"/>
              </w:rPr>
              <w:t>5.217</w:t>
            </w:r>
          </w:p>
        </w:tc>
        <w:tc>
          <w:tcPr>
            <w:tcW w:w="851" w:type="dxa"/>
            <w:tcBorders>
              <w:top w:val="single" w:sz="2" w:space="0" w:color="auto"/>
              <w:bottom w:val="single" w:sz="2" w:space="0" w:color="auto"/>
            </w:tcBorders>
            <w:shd w:val="clear" w:color="auto" w:fill="auto"/>
            <w:noWrap/>
            <w:vAlign w:val="center"/>
          </w:tcPr>
          <w:p w14:paraId="42670AE3" w14:textId="4DD423F5"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
                <w:bCs/>
                <w:color w:val="000000"/>
                <w:sz w:val="18"/>
                <w:szCs w:val="18"/>
                <w:lang w:val="es-ES" w:eastAsia="es-ES"/>
              </w:rPr>
              <w:t>-</w:t>
            </w:r>
            <w:r w:rsidR="00A520BC" w:rsidRPr="001C6842">
              <w:rPr>
                <w:rFonts w:ascii="Arial Narrow" w:hAnsi="Arial Narrow" w:cs="Arial"/>
                <w:b/>
                <w:bCs/>
                <w:color w:val="000000"/>
                <w:sz w:val="18"/>
                <w:szCs w:val="18"/>
                <w:lang w:val="es-ES" w:eastAsia="es-ES"/>
              </w:rPr>
              <w:t>1.34</w:t>
            </w:r>
            <w:r w:rsidRPr="001C6842">
              <w:rPr>
                <w:rFonts w:ascii="Arial Narrow" w:hAnsi="Arial Narrow" w:cs="Arial"/>
                <w:b/>
                <w:bCs/>
                <w:color w:val="000000"/>
                <w:sz w:val="18"/>
                <w:szCs w:val="18"/>
                <w:lang w:val="es-ES" w:eastAsia="es-ES"/>
              </w:rPr>
              <w:t>5</w:t>
            </w:r>
          </w:p>
        </w:tc>
      </w:tr>
      <w:tr w:rsidR="00BE5033" w:rsidRPr="00730AE6" w14:paraId="0B571495"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1DDFE50B"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316287A0"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2BF9DA8B"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2B41E309" w14:textId="77777777" w:rsidR="00BE5033" w:rsidRPr="001C6842" w:rsidRDefault="00BE5033" w:rsidP="006E3597">
            <w:pPr>
              <w:spacing w:after="0"/>
              <w:ind w:firstLine="0"/>
              <w:jc w:val="left"/>
              <w:rPr>
                <w:rFonts w:ascii="Arial Narrow" w:hAnsi="Arial Narrow" w:cs="Arial"/>
                <w:b/>
                <w:sz w:val="18"/>
                <w:szCs w:val="18"/>
                <w:lang w:val="es-ES" w:eastAsia="es-ES"/>
              </w:rPr>
            </w:pPr>
            <w:r w:rsidRPr="001C6842">
              <w:rPr>
                <w:rFonts w:ascii="Arial Narrow" w:hAnsi="Arial Narrow" w:cs="Arial"/>
                <w:b/>
                <w:bCs/>
                <w:sz w:val="18"/>
                <w:szCs w:val="18"/>
                <w:lang w:val="es-ES" w:eastAsia="es-ES"/>
              </w:rPr>
              <w:t>I. Provisiones a corto plazo</w:t>
            </w:r>
          </w:p>
        </w:tc>
        <w:tc>
          <w:tcPr>
            <w:tcW w:w="851" w:type="dxa"/>
            <w:tcBorders>
              <w:top w:val="single" w:sz="2" w:space="0" w:color="auto"/>
              <w:bottom w:val="single" w:sz="2" w:space="0" w:color="auto"/>
            </w:tcBorders>
            <w:shd w:val="clear" w:color="auto" w:fill="auto"/>
            <w:noWrap/>
            <w:vAlign w:val="center"/>
          </w:tcPr>
          <w:p w14:paraId="19AF9043" w14:textId="77777777" w:rsidR="00BE5033" w:rsidRPr="001C6842" w:rsidRDefault="00BE5033"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7F3E1275" w14:textId="77777777" w:rsidR="00BE5033" w:rsidRPr="001C6842" w:rsidRDefault="00BE5033"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bCs/>
                <w:color w:val="000000"/>
                <w:sz w:val="18"/>
                <w:szCs w:val="18"/>
                <w:lang w:val="es-ES" w:eastAsia="es-ES"/>
              </w:rPr>
              <w:t>0</w:t>
            </w:r>
          </w:p>
        </w:tc>
      </w:tr>
      <w:tr w:rsidR="00BE5033" w:rsidRPr="00730AE6" w14:paraId="52E27455"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26BD5832"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48ED3541"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4F20D634"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39C66FB1" w14:textId="77777777" w:rsidR="00BE5033" w:rsidRPr="001C6842" w:rsidRDefault="00BE5033" w:rsidP="006E3597">
            <w:pPr>
              <w:spacing w:after="0"/>
              <w:ind w:firstLine="0"/>
              <w:jc w:val="left"/>
              <w:rPr>
                <w:rFonts w:ascii="Arial Narrow" w:hAnsi="Arial Narrow" w:cs="Arial"/>
                <w:b/>
                <w:sz w:val="18"/>
                <w:szCs w:val="18"/>
                <w:lang w:val="es-ES" w:eastAsia="es-ES"/>
              </w:rPr>
            </w:pPr>
            <w:r w:rsidRPr="001C6842">
              <w:rPr>
                <w:rFonts w:ascii="Arial Narrow" w:hAnsi="Arial Narrow" w:cs="Arial"/>
                <w:b/>
                <w:bCs/>
                <w:sz w:val="18"/>
                <w:szCs w:val="18"/>
                <w:lang w:val="es-ES" w:eastAsia="es-ES"/>
              </w:rPr>
              <w:t>II. Deudas a corto plazo</w:t>
            </w:r>
          </w:p>
        </w:tc>
        <w:tc>
          <w:tcPr>
            <w:tcW w:w="851" w:type="dxa"/>
            <w:tcBorders>
              <w:top w:val="single" w:sz="2" w:space="0" w:color="auto"/>
              <w:bottom w:val="single" w:sz="2" w:space="0" w:color="auto"/>
            </w:tcBorders>
            <w:shd w:val="clear" w:color="auto" w:fill="auto"/>
            <w:noWrap/>
            <w:vAlign w:val="center"/>
          </w:tcPr>
          <w:p w14:paraId="0CB7BB3C" w14:textId="77777777" w:rsidR="00BE5033" w:rsidRPr="001C6842" w:rsidRDefault="00BE5033"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7F96AFC7" w14:textId="3B2D7CBE" w:rsidR="00BE5033" w:rsidRPr="001C6842" w:rsidRDefault="00A520BC"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bCs/>
                <w:color w:val="000000"/>
                <w:sz w:val="18"/>
                <w:szCs w:val="18"/>
                <w:lang w:val="es-ES" w:eastAsia="es-ES"/>
              </w:rPr>
              <w:t>-8.000</w:t>
            </w:r>
          </w:p>
        </w:tc>
      </w:tr>
      <w:tr w:rsidR="00BE5033" w:rsidRPr="00730AE6" w14:paraId="0016048A"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5495B147"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0DBEC6D0"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6ADDE11E"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5D1227A5" w14:textId="77777777" w:rsidR="00BE5033" w:rsidRPr="001C6842" w:rsidRDefault="00BE5033" w:rsidP="006E3597">
            <w:pPr>
              <w:spacing w:after="0"/>
              <w:ind w:firstLine="0"/>
              <w:jc w:val="left"/>
              <w:rPr>
                <w:rFonts w:ascii="Arial Narrow" w:hAnsi="Arial Narrow" w:cs="Arial"/>
                <w:b/>
                <w:bCs/>
                <w:sz w:val="18"/>
                <w:szCs w:val="18"/>
                <w:lang w:val="es-ES" w:eastAsia="es-ES"/>
              </w:rPr>
            </w:pPr>
            <w:r w:rsidRPr="001C6842">
              <w:rPr>
                <w:rFonts w:ascii="Arial Narrow" w:hAnsi="Arial Narrow" w:cs="Arial"/>
                <w:sz w:val="18"/>
                <w:szCs w:val="18"/>
                <w:lang w:val="es-ES" w:eastAsia="es-ES"/>
              </w:rPr>
              <w:t xml:space="preserve">1. Deudas con entidades de crédito </w:t>
            </w:r>
          </w:p>
        </w:tc>
        <w:tc>
          <w:tcPr>
            <w:tcW w:w="851" w:type="dxa"/>
            <w:tcBorders>
              <w:top w:val="single" w:sz="2" w:space="0" w:color="auto"/>
              <w:bottom w:val="single" w:sz="2" w:space="0" w:color="auto"/>
            </w:tcBorders>
            <w:shd w:val="clear" w:color="auto" w:fill="auto"/>
            <w:noWrap/>
            <w:vAlign w:val="center"/>
          </w:tcPr>
          <w:p w14:paraId="1C87C693"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1FD9C2E1" w14:textId="556841DF" w:rsidR="00BE5033" w:rsidRPr="001C6842" w:rsidRDefault="00BE5033" w:rsidP="00A520BC">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Cs/>
                <w:color w:val="000000"/>
                <w:sz w:val="18"/>
                <w:szCs w:val="18"/>
                <w:lang w:val="es-ES" w:eastAsia="es-ES"/>
              </w:rPr>
              <w:t>-</w:t>
            </w:r>
            <w:r w:rsidR="00A520BC" w:rsidRPr="001C6842">
              <w:rPr>
                <w:rFonts w:ascii="Arial Narrow" w:hAnsi="Arial Narrow" w:cs="Arial"/>
                <w:bCs/>
                <w:color w:val="000000"/>
                <w:sz w:val="18"/>
                <w:szCs w:val="18"/>
                <w:lang w:val="es-ES" w:eastAsia="es-ES"/>
              </w:rPr>
              <w:t>8.000</w:t>
            </w:r>
          </w:p>
        </w:tc>
      </w:tr>
      <w:tr w:rsidR="00BE5033" w:rsidRPr="00730AE6" w14:paraId="4DE96AEE"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67B8CA98"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3741065B"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549DB011"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4078624E" w14:textId="77777777" w:rsidR="00BE5033" w:rsidRPr="001C6842" w:rsidRDefault="00BE5033" w:rsidP="006E3597">
            <w:pPr>
              <w:spacing w:after="0"/>
              <w:ind w:firstLine="0"/>
              <w:jc w:val="left"/>
              <w:rPr>
                <w:rFonts w:ascii="Arial Narrow" w:hAnsi="Arial Narrow" w:cs="Arial"/>
                <w:b/>
                <w:sz w:val="18"/>
                <w:szCs w:val="18"/>
                <w:lang w:val="es-ES" w:eastAsia="es-ES"/>
              </w:rPr>
            </w:pPr>
            <w:r w:rsidRPr="001C6842">
              <w:rPr>
                <w:rFonts w:ascii="Arial Narrow" w:hAnsi="Arial Narrow" w:cs="Arial"/>
                <w:b/>
                <w:bCs/>
                <w:sz w:val="18"/>
                <w:szCs w:val="18"/>
                <w:lang w:val="es-ES" w:eastAsia="es-ES"/>
              </w:rPr>
              <w:t xml:space="preserve">III. Deudas con </w:t>
            </w:r>
            <w:proofErr w:type="spellStart"/>
            <w:r w:rsidRPr="001C6842">
              <w:rPr>
                <w:rFonts w:ascii="Arial Narrow" w:hAnsi="Arial Narrow" w:cs="Arial"/>
                <w:b/>
                <w:bCs/>
                <w:sz w:val="18"/>
                <w:szCs w:val="18"/>
                <w:lang w:val="es-ES" w:eastAsia="es-ES"/>
              </w:rPr>
              <w:t>emp</w:t>
            </w:r>
            <w:proofErr w:type="spellEnd"/>
            <w:r w:rsidRPr="001C6842">
              <w:rPr>
                <w:rFonts w:ascii="Arial Narrow" w:hAnsi="Arial Narrow" w:cs="Arial"/>
                <w:b/>
                <w:bCs/>
                <w:sz w:val="18"/>
                <w:szCs w:val="18"/>
                <w:lang w:val="es-ES" w:eastAsia="es-ES"/>
              </w:rPr>
              <w:t xml:space="preserve">. del grupo y </w:t>
            </w:r>
            <w:proofErr w:type="spellStart"/>
            <w:r w:rsidRPr="001C6842">
              <w:rPr>
                <w:rFonts w:ascii="Arial Narrow" w:hAnsi="Arial Narrow" w:cs="Arial"/>
                <w:b/>
                <w:bCs/>
                <w:sz w:val="18"/>
                <w:szCs w:val="18"/>
                <w:lang w:val="es-ES" w:eastAsia="es-ES"/>
              </w:rPr>
              <w:t>asoc</w:t>
            </w:r>
            <w:proofErr w:type="spellEnd"/>
            <w:r w:rsidRPr="001C6842">
              <w:rPr>
                <w:rFonts w:ascii="Arial Narrow" w:hAnsi="Arial Narrow" w:cs="Arial"/>
                <w:b/>
                <w:bCs/>
                <w:sz w:val="18"/>
                <w:szCs w:val="18"/>
                <w:lang w:val="es-ES" w:eastAsia="es-ES"/>
              </w:rPr>
              <w:t>. a c/p</w:t>
            </w:r>
          </w:p>
        </w:tc>
        <w:tc>
          <w:tcPr>
            <w:tcW w:w="851" w:type="dxa"/>
            <w:tcBorders>
              <w:top w:val="single" w:sz="2" w:space="0" w:color="auto"/>
              <w:bottom w:val="single" w:sz="2" w:space="0" w:color="auto"/>
            </w:tcBorders>
            <w:shd w:val="clear" w:color="auto" w:fill="auto"/>
            <w:noWrap/>
            <w:vAlign w:val="center"/>
          </w:tcPr>
          <w:p w14:paraId="656013EA" w14:textId="77777777" w:rsidR="00BE5033" w:rsidRPr="001C6842" w:rsidRDefault="00BE5033"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31E8E016" w14:textId="11E205AA" w:rsidR="00BE5033" w:rsidRPr="001C6842" w:rsidRDefault="00A520BC"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bCs/>
                <w:color w:val="000000"/>
                <w:sz w:val="18"/>
                <w:szCs w:val="18"/>
                <w:lang w:val="es-ES" w:eastAsia="es-ES"/>
              </w:rPr>
              <w:t>0</w:t>
            </w:r>
          </w:p>
        </w:tc>
      </w:tr>
      <w:tr w:rsidR="00BE5033" w:rsidRPr="00730AE6" w14:paraId="12E97A7C"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0EB81C7B"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4829635D"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76D5C7F7"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02653F21" w14:textId="77777777" w:rsidR="00BE5033" w:rsidRPr="001C6842" w:rsidRDefault="00BE5033" w:rsidP="006E3597">
            <w:pPr>
              <w:spacing w:after="0"/>
              <w:ind w:firstLine="0"/>
              <w:jc w:val="left"/>
              <w:rPr>
                <w:rFonts w:ascii="Arial Narrow" w:hAnsi="Arial Narrow" w:cs="Arial"/>
                <w:b/>
                <w:sz w:val="18"/>
                <w:szCs w:val="18"/>
                <w:lang w:val="es-ES" w:eastAsia="es-ES"/>
              </w:rPr>
            </w:pPr>
            <w:r w:rsidRPr="001C6842">
              <w:rPr>
                <w:rFonts w:ascii="Arial Narrow" w:hAnsi="Arial Narrow" w:cs="Arial"/>
                <w:b/>
                <w:bCs/>
                <w:sz w:val="18"/>
                <w:szCs w:val="18"/>
                <w:lang w:val="es-ES" w:eastAsia="es-ES"/>
              </w:rPr>
              <w:t xml:space="preserve">IV. Acreedores </w:t>
            </w:r>
            <w:proofErr w:type="spellStart"/>
            <w:r w:rsidRPr="001C6842">
              <w:rPr>
                <w:rFonts w:ascii="Arial Narrow" w:hAnsi="Arial Narrow" w:cs="Arial"/>
                <w:b/>
                <w:bCs/>
                <w:sz w:val="18"/>
                <w:szCs w:val="18"/>
                <w:lang w:val="es-ES" w:eastAsia="es-ES"/>
              </w:rPr>
              <w:t>comerc</w:t>
            </w:r>
            <w:proofErr w:type="spellEnd"/>
            <w:r w:rsidRPr="001C6842">
              <w:rPr>
                <w:rFonts w:ascii="Arial Narrow" w:hAnsi="Arial Narrow" w:cs="Arial"/>
                <w:b/>
                <w:bCs/>
                <w:sz w:val="18"/>
                <w:szCs w:val="18"/>
                <w:lang w:val="es-ES" w:eastAsia="es-ES"/>
              </w:rPr>
              <w:t xml:space="preserve">. y otras cuentas a pagar </w:t>
            </w:r>
          </w:p>
        </w:tc>
        <w:tc>
          <w:tcPr>
            <w:tcW w:w="851" w:type="dxa"/>
            <w:tcBorders>
              <w:top w:val="single" w:sz="2" w:space="0" w:color="auto"/>
              <w:bottom w:val="single" w:sz="2" w:space="0" w:color="auto"/>
            </w:tcBorders>
            <w:shd w:val="clear" w:color="auto" w:fill="auto"/>
            <w:noWrap/>
            <w:vAlign w:val="center"/>
          </w:tcPr>
          <w:p w14:paraId="013373CA" w14:textId="0B5D8A1E" w:rsidR="00BE5033" w:rsidRPr="001C6842" w:rsidRDefault="00BE5033"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color w:val="000000"/>
                <w:sz w:val="18"/>
                <w:szCs w:val="18"/>
                <w:lang w:val="es-ES" w:eastAsia="es-ES"/>
              </w:rPr>
              <w:t>5.217</w:t>
            </w:r>
          </w:p>
        </w:tc>
        <w:tc>
          <w:tcPr>
            <w:tcW w:w="851" w:type="dxa"/>
            <w:tcBorders>
              <w:top w:val="single" w:sz="2" w:space="0" w:color="auto"/>
              <w:bottom w:val="single" w:sz="2" w:space="0" w:color="auto"/>
            </w:tcBorders>
            <w:shd w:val="clear" w:color="auto" w:fill="auto"/>
            <w:noWrap/>
            <w:vAlign w:val="center"/>
          </w:tcPr>
          <w:p w14:paraId="2DEDB29A" w14:textId="5FE5ACEE" w:rsidR="00BE5033" w:rsidRPr="001C6842" w:rsidRDefault="00A520BC"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color w:val="000000"/>
                <w:sz w:val="18"/>
                <w:szCs w:val="18"/>
                <w:lang w:val="es-ES" w:eastAsia="es-ES"/>
              </w:rPr>
              <w:t>6.655</w:t>
            </w:r>
          </w:p>
        </w:tc>
      </w:tr>
      <w:tr w:rsidR="00BE5033" w:rsidRPr="00730AE6" w14:paraId="2B262C30"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220CA4C1"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5A1936B3"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1454442A"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7FC7B3DB" w14:textId="77777777" w:rsidR="00BE5033" w:rsidRPr="001C6842" w:rsidRDefault="00BE5033" w:rsidP="006E3597">
            <w:pPr>
              <w:spacing w:after="0"/>
              <w:ind w:firstLine="0"/>
              <w:jc w:val="left"/>
              <w:rPr>
                <w:rFonts w:ascii="Arial Narrow" w:hAnsi="Arial Narrow" w:cs="Arial"/>
                <w:bCs/>
                <w:sz w:val="18"/>
                <w:szCs w:val="18"/>
                <w:lang w:val="es-ES" w:eastAsia="es-ES"/>
              </w:rPr>
            </w:pPr>
            <w:r w:rsidRPr="001C6842">
              <w:rPr>
                <w:rFonts w:ascii="Arial Narrow" w:hAnsi="Arial Narrow" w:cs="Arial"/>
                <w:sz w:val="18"/>
                <w:szCs w:val="18"/>
                <w:lang w:val="es-ES" w:eastAsia="es-ES"/>
              </w:rPr>
              <w:t>1. Proveedores</w:t>
            </w:r>
          </w:p>
        </w:tc>
        <w:tc>
          <w:tcPr>
            <w:tcW w:w="851" w:type="dxa"/>
            <w:tcBorders>
              <w:top w:val="single" w:sz="2" w:space="0" w:color="auto"/>
              <w:bottom w:val="single" w:sz="2" w:space="0" w:color="auto"/>
            </w:tcBorders>
            <w:shd w:val="clear" w:color="auto" w:fill="auto"/>
            <w:noWrap/>
            <w:vAlign w:val="center"/>
          </w:tcPr>
          <w:p w14:paraId="2B4BC608"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r w:rsidRPr="001C6842">
              <w:rPr>
                <w:rFonts w:ascii="Arial Narrow" w:hAnsi="Arial Narrow" w:cs="Arial"/>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14F8E2EC"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r w:rsidRPr="001C6842">
              <w:rPr>
                <w:rFonts w:ascii="Arial Narrow" w:hAnsi="Arial Narrow" w:cs="Arial"/>
                <w:color w:val="000000"/>
                <w:sz w:val="18"/>
                <w:szCs w:val="18"/>
                <w:lang w:val="es-ES" w:eastAsia="es-ES"/>
              </w:rPr>
              <w:t>0</w:t>
            </w:r>
          </w:p>
        </w:tc>
      </w:tr>
      <w:tr w:rsidR="00BE5033" w:rsidRPr="00730AE6" w14:paraId="4974D993"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7279E69B"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4990B8DA"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50105671"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1DD0FF53" w14:textId="77777777" w:rsidR="00BE5033" w:rsidRPr="001C6842" w:rsidRDefault="00BE5033" w:rsidP="006E3597">
            <w:pPr>
              <w:spacing w:after="0"/>
              <w:ind w:firstLine="0"/>
              <w:jc w:val="left"/>
              <w:rPr>
                <w:rFonts w:ascii="Arial Narrow" w:hAnsi="Arial Narrow" w:cs="Arial"/>
                <w:bCs/>
                <w:sz w:val="18"/>
                <w:szCs w:val="18"/>
                <w:lang w:val="es-ES" w:eastAsia="es-ES"/>
              </w:rPr>
            </w:pPr>
            <w:r w:rsidRPr="001C6842">
              <w:rPr>
                <w:rFonts w:ascii="Arial Narrow" w:hAnsi="Arial Narrow" w:cs="Arial"/>
                <w:sz w:val="18"/>
                <w:szCs w:val="18"/>
                <w:lang w:val="es-ES" w:eastAsia="es-ES"/>
              </w:rPr>
              <w:t xml:space="preserve">2. Otros acreedores </w:t>
            </w:r>
          </w:p>
        </w:tc>
        <w:tc>
          <w:tcPr>
            <w:tcW w:w="851" w:type="dxa"/>
            <w:tcBorders>
              <w:top w:val="single" w:sz="2" w:space="0" w:color="auto"/>
              <w:bottom w:val="single" w:sz="2" w:space="0" w:color="auto"/>
            </w:tcBorders>
            <w:shd w:val="clear" w:color="auto" w:fill="auto"/>
            <w:noWrap/>
            <w:vAlign w:val="center"/>
          </w:tcPr>
          <w:p w14:paraId="75DFD78F" w14:textId="5E268E8C" w:rsidR="00BE5033" w:rsidRPr="001C6842" w:rsidRDefault="00BE5033" w:rsidP="006E3597">
            <w:pPr>
              <w:spacing w:after="0"/>
              <w:ind w:firstLine="0"/>
              <w:jc w:val="right"/>
              <w:rPr>
                <w:rFonts w:ascii="Arial Narrow" w:hAnsi="Arial Narrow" w:cs="Arial"/>
                <w:color w:val="000000"/>
                <w:sz w:val="18"/>
                <w:szCs w:val="18"/>
                <w:lang w:val="es-ES" w:eastAsia="es-ES"/>
              </w:rPr>
            </w:pPr>
            <w:r w:rsidRPr="001C6842">
              <w:rPr>
                <w:rFonts w:ascii="Arial Narrow" w:hAnsi="Arial Narrow" w:cs="Arial"/>
                <w:color w:val="000000"/>
                <w:sz w:val="18"/>
                <w:szCs w:val="18"/>
                <w:lang w:val="es-ES" w:eastAsia="es-ES"/>
              </w:rPr>
              <w:t>5.217</w:t>
            </w:r>
          </w:p>
        </w:tc>
        <w:tc>
          <w:tcPr>
            <w:tcW w:w="851" w:type="dxa"/>
            <w:tcBorders>
              <w:top w:val="single" w:sz="2" w:space="0" w:color="auto"/>
              <w:bottom w:val="single" w:sz="2" w:space="0" w:color="auto"/>
            </w:tcBorders>
            <w:shd w:val="clear" w:color="auto" w:fill="auto"/>
            <w:noWrap/>
            <w:vAlign w:val="center"/>
          </w:tcPr>
          <w:p w14:paraId="275D82EF" w14:textId="05A74625" w:rsidR="00BE5033" w:rsidRPr="001C6842" w:rsidRDefault="00A520BC" w:rsidP="006E3597">
            <w:pPr>
              <w:spacing w:after="0"/>
              <w:ind w:firstLine="0"/>
              <w:jc w:val="right"/>
              <w:rPr>
                <w:rFonts w:ascii="Arial Narrow" w:hAnsi="Arial Narrow" w:cs="Arial"/>
                <w:color w:val="000000"/>
                <w:sz w:val="18"/>
                <w:szCs w:val="18"/>
                <w:lang w:val="es-ES" w:eastAsia="es-ES"/>
              </w:rPr>
            </w:pPr>
            <w:r w:rsidRPr="001C6842">
              <w:rPr>
                <w:rFonts w:ascii="Arial Narrow" w:hAnsi="Arial Narrow" w:cs="Arial"/>
                <w:color w:val="000000"/>
                <w:sz w:val="18"/>
                <w:szCs w:val="18"/>
                <w:lang w:val="es-ES" w:eastAsia="es-ES"/>
              </w:rPr>
              <w:t>6.655</w:t>
            </w:r>
          </w:p>
        </w:tc>
      </w:tr>
      <w:tr w:rsidR="00BE5033" w:rsidRPr="00730AE6" w14:paraId="1D076CCF" w14:textId="77777777" w:rsidTr="006C437D">
        <w:trPr>
          <w:trHeight w:val="198"/>
          <w:jc w:val="center"/>
        </w:trPr>
        <w:tc>
          <w:tcPr>
            <w:tcW w:w="2835" w:type="dxa"/>
            <w:tcBorders>
              <w:top w:val="single" w:sz="2" w:space="0" w:color="auto"/>
              <w:bottom w:val="single" w:sz="2" w:space="0" w:color="auto"/>
            </w:tcBorders>
            <w:shd w:val="clear" w:color="auto" w:fill="auto"/>
            <w:vAlign w:val="center"/>
          </w:tcPr>
          <w:p w14:paraId="22CBB292" w14:textId="77777777" w:rsidR="00BE5033" w:rsidRPr="001C6842" w:rsidRDefault="00BE5033" w:rsidP="006E3597">
            <w:pPr>
              <w:spacing w:after="0"/>
              <w:ind w:firstLine="0"/>
              <w:jc w:val="left"/>
              <w:rPr>
                <w:rFonts w:ascii="Arial Narrow" w:hAnsi="Arial Narrow" w:cs="Arial"/>
                <w:b/>
                <w:bCs/>
                <w:sz w:val="18"/>
                <w:szCs w:val="18"/>
                <w:lang w:val="es-ES" w:eastAsia="es-ES"/>
              </w:rPr>
            </w:pPr>
          </w:p>
        </w:tc>
        <w:tc>
          <w:tcPr>
            <w:tcW w:w="851" w:type="dxa"/>
            <w:tcBorders>
              <w:top w:val="single" w:sz="2" w:space="0" w:color="auto"/>
              <w:bottom w:val="single" w:sz="2" w:space="0" w:color="auto"/>
            </w:tcBorders>
            <w:shd w:val="clear" w:color="auto" w:fill="auto"/>
            <w:noWrap/>
            <w:vAlign w:val="center"/>
          </w:tcPr>
          <w:p w14:paraId="7B8E6087"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2" w:space="0" w:color="auto"/>
              <w:right w:val="single" w:sz="2" w:space="0" w:color="auto"/>
            </w:tcBorders>
            <w:shd w:val="clear" w:color="auto" w:fill="auto"/>
            <w:noWrap/>
            <w:vAlign w:val="center"/>
          </w:tcPr>
          <w:p w14:paraId="201A24EA"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2" w:space="0" w:color="auto"/>
            </w:tcBorders>
            <w:shd w:val="clear" w:color="auto" w:fill="auto"/>
            <w:vAlign w:val="center"/>
          </w:tcPr>
          <w:p w14:paraId="2606E0E1" w14:textId="77777777" w:rsidR="00BE5033" w:rsidRPr="001C6842" w:rsidRDefault="00BE5033" w:rsidP="006E3597">
            <w:pPr>
              <w:spacing w:after="0"/>
              <w:ind w:firstLine="0"/>
              <w:jc w:val="left"/>
              <w:rPr>
                <w:rFonts w:ascii="Arial Narrow" w:hAnsi="Arial Narrow" w:cs="Arial"/>
                <w:b/>
                <w:sz w:val="18"/>
                <w:szCs w:val="18"/>
                <w:lang w:val="es-ES" w:eastAsia="es-ES"/>
              </w:rPr>
            </w:pPr>
            <w:r w:rsidRPr="001C6842">
              <w:rPr>
                <w:rFonts w:ascii="Arial Narrow" w:hAnsi="Arial Narrow" w:cs="Arial"/>
                <w:b/>
                <w:bCs/>
                <w:sz w:val="18"/>
                <w:szCs w:val="18"/>
                <w:lang w:val="es-ES" w:eastAsia="es-ES"/>
              </w:rPr>
              <w:t>V. Periodificaciones a corto plazo</w:t>
            </w:r>
          </w:p>
        </w:tc>
        <w:tc>
          <w:tcPr>
            <w:tcW w:w="851" w:type="dxa"/>
            <w:tcBorders>
              <w:top w:val="single" w:sz="2" w:space="0" w:color="auto"/>
              <w:bottom w:val="single" w:sz="2" w:space="0" w:color="auto"/>
            </w:tcBorders>
            <w:shd w:val="clear" w:color="auto" w:fill="auto"/>
            <w:noWrap/>
            <w:vAlign w:val="center"/>
          </w:tcPr>
          <w:p w14:paraId="70EDD03B" w14:textId="77777777" w:rsidR="00BE5033" w:rsidRPr="001C6842" w:rsidRDefault="00BE5033"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bCs/>
                <w:color w:val="000000"/>
                <w:sz w:val="18"/>
                <w:szCs w:val="18"/>
                <w:lang w:val="es-ES" w:eastAsia="es-ES"/>
              </w:rPr>
              <w:t>0</w:t>
            </w:r>
          </w:p>
        </w:tc>
        <w:tc>
          <w:tcPr>
            <w:tcW w:w="851" w:type="dxa"/>
            <w:tcBorders>
              <w:top w:val="single" w:sz="2" w:space="0" w:color="auto"/>
              <w:bottom w:val="single" w:sz="2" w:space="0" w:color="auto"/>
            </w:tcBorders>
            <w:shd w:val="clear" w:color="auto" w:fill="auto"/>
            <w:noWrap/>
            <w:vAlign w:val="center"/>
          </w:tcPr>
          <w:p w14:paraId="6E5A65FC" w14:textId="77777777" w:rsidR="00BE5033" w:rsidRPr="001C6842" w:rsidRDefault="00BE5033" w:rsidP="006E3597">
            <w:pPr>
              <w:spacing w:after="0"/>
              <w:ind w:firstLine="0"/>
              <w:jc w:val="right"/>
              <w:rPr>
                <w:rFonts w:ascii="Arial Narrow" w:hAnsi="Arial Narrow" w:cs="Arial"/>
                <w:b/>
                <w:color w:val="000000"/>
                <w:sz w:val="18"/>
                <w:szCs w:val="18"/>
                <w:lang w:val="es-ES" w:eastAsia="es-ES"/>
              </w:rPr>
            </w:pPr>
            <w:r w:rsidRPr="001C6842">
              <w:rPr>
                <w:rFonts w:ascii="Arial Narrow" w:hAnsi="Arial Narrow" w:cs="Arial"/>
                <w:b/>
                <w:color w:val="000000"/>
                <w:sz w:val="18"/>
                <w:szCs w:val="18"/>
                <w:lang w:val="es-ES" w:eastAsia="es-ES"/>
              </w:rPr>
              <w:t>0</w:t>
            </w:r>
          </w:p>
        </w:tc>
      </w:tr>
      <w:tr w:rsidR="00BE5033" w:rsidRPr="00730AE6" w14:paraId="0F2B2777" w14:textId="77777777" w:rsidTr="006C437D">
        <w:trPr>
          <w:trHeight w:val="198"/>
          <w:jc w:val="center"/>
        </w:trPr>
        <w:tc>
          <w:tcPr>
            <w:tcW w:w="2835" w:type="dxa"/>
            <w:tcBorders>
              <w:top w:val="single" w:sz="2" w:space="0" w:color="auto"/>
              <w:bottom w:val="single" w:sz="4" w:space="0" w:color="auto"/>
            </w:tcBorders>
            <w:shd w:val="clear" w:color="auto" w:fill="auto"/>
            <w:vAlign w:val="center"/>
          </w:tcPr>
          <w:p w14:paraId="40E60935" w14:textId="77777777" w:rsidR="00BE5033" w:rsidRPr="001C6842" w:rsidRDefault="00BE5033" w:rsidP="006E3597">
            <w:pPr>
              <w:spacing w:after="0"/>
              <w:ind w:firstLine="0"/>
              <w:jc w:val="left"/>
              <w:rPr>
                <w:rFonts w:ascii="Arial Narrow" w:hAnsi="Arial Narrow" w:cs="Arial"/>
                <w:sz w:val="18"/>
                <w:szCs w:val="18"/>
                <w:lang w:val="es-ES" w:eastAsia="es-ES"/>
              </w:rPr>
            </w:pPr>
          </w:p>
        </w:tc>
        <w:tc>
          <w:tcPr>
            <w:tcW w:w="851" w:type="dxa"/>
            <w:tcBorders>
              <w:top w:val="single" w:sz="2" w:space="0" w:color="auto"/>
              <w:bottom w:val="single" w:sz="4" w:space="0" w:color="auto"/>
            </w:tcBorders>
            <w:shd w:val="clear" w:color="auto" w:fill="auto"/>
            <w:noWrap/>
            <w:vAlign w:val="center"/>
          </w:tcPr>
          <w:p w14:paraId="53FBFF15"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851" w:type="dxa"/>
            <w:tcBorders>
              <w:top w:val="single" w:sz="2" w:space="0" w:color="auto"/>
              <w:bottom w:val="single" w:sz="4" w:space="0" w:color="auto"/>
              <w:right w:val="single" w:sz="2" w:space="0" w:color="auto"/>
            </w:tcBorders>
            <w:shd w:val="clear" w:color="auto" w:fill="auto"/>
            <w:noWrap/>
            <w:vAlign w:val="center"/>
          </w:tcPr>
          <w:p w14:paraId="0575B7C0" w14:textId="77777777" w:rsidR="00BE5033" w:rsidRPr="001C6842" w:rsidRDefault="00BE5033" w:rsidP="006E3597">
            <w:pPr>
              <w:spacing w:after="0"/>
              <w:ind w:firstLine="0"/>
              <w:jc w:val="right"/>
              <w:rPr>
                <w:rFonts w:ascii="Arial Narrow" w:hAnsi="Arial Narrow" w:cs="Arial"/>
                <w:color w:val="000000"/>
                <w:sz w:val="18"/>
                <w:szCs w:val="18"/>
                <w:lang w:val="es-ES" w:eastAsia="es-ES"/>
              </w:rPr>
            </w:pPr>
          </w:p>
        </w:tc>
        <w:tc>
          <w:tcPr>
            <w:tcW w:w="2835" w:type="dxa"/>
            <w:tcBorders>
              <w:top w:val="single" w:sz="2" w:space="0" w:color="auto"/>
              <w:left w:val="single" w:sz="2" w:space="0" w:color="auto"/>
              <w:bottom w:val="single" w:sz="4" w:space="0" w:color="auto"/>
            </w:tcBorders>
            <w:shd w:val="clear" w:color="auto" w:fill="auto"/>
            <w:vAlign w:val="center"/>
          </w:tcPr>
          <w:p w14:paraId="1017028A" w14:textId="77777777" w:rsidR="00BE5033" w:rsidRPr="001C6842" w:rsidRDefault="00BE5033" w:rsidP="006E3597">
            <w:pPr>
              <w:spacing w:after="0"/>
              <w:ind w:firstLine="0"/>
              <w:jc w:val="left"/>
              <w:rPr>
                <w:rFonts w:ascii="Arial Narrow" w:hAnsi="Arial Narrow" w:cs="Arial"/>
                <w:b/>
                <w:sz w:val="18"/>
                <w:szCs w:val="18"/>
                <w:lang w:val="es-ES" w:eastAsia="es-ES"/>
              </w:rPr>
            </w:pPr>
            <w:r w:rsidRPr="001C6842">
              <w:rPr>
                <w:rFonts w:ascii="Arial Narrow" w:hAnsi="Arial Narrow" w:cs="Arial"/>
                <w:b/>
                <w:bCs/>
                <w:sz w:val="18"/>
                <w:szCs w:val="18"/>
                <w:lang w:val="es-ES" w:eastAsia="es-ES"/>
              </w:rPr>
              <w:t>VI. Deuda especial a corto plazo</w:t>
            </w:r>
          </w:p>
        </w:tc>
        <w:tc>
          <w:tcPr>
            <w:tcW w:w="851" w:type="dxa"/>
            <w:tcBorders>
              <w:top w:val="single" w:sz="2" w:space="0" w:color="auto"/>
              <w:bottom w:val="single" w:sz="4" w:space="0" w:color="auto"/>
            </w:tcBorders>
            <w:shd w:val="clear" w:color="auto" w:fill="auto"/>
            <w:noWrap/>
            <w:vAlign w:val="center"/>
          </w:tcPr>
          <w:p w14:paraId="5DC92E0A"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
                <w:bCs/>
                <w:color w:val="000000"/>
                <w:sz w:val="18"/>
                <w:szCs w:val="18"/>
                <w:lang w:val="es-ES" w:eastAsia="es-ES"/>
              </w:rPr>
              <w:t>0</w:t>
            </w:r>
          </w:p>
        </w:tc>
        <w:tc>
          <w:tcPr>
            <w:tcW w:w="851" w:type="dxa"/>
            <w:tcBorders>
              <w:top w:val="single" w:sz="2" w:space="0" w:color="auto"/>
              <w:bottom w:val="single" w:sz="4" w:space="0" w:color="auto"/>
            </w:tcBorders>
            <w:shd w:val="clear" w:color="auto" w:fill="auto"/>
            <w:noWrap/>
            <w:vAlign w:val="center"/>
          </w:tcPr>
          <w:p w14:paraId="09F82188" w14:textId="77777777" w:rsidR="00BE5033" w:rsidRPr="001C6842" w:rsidRDefault="00BE5033" w:rsidP="006E3597">
            <w:pPr>
              <w:spacing w:after="0"/>
              <w:ind w:firstLine="0"/>
              <w:jc w:val="right"/>
              <w:rPr>
                <w:rFonts w:ascii="Arial Narrow" w:hAnsi="Arial Narrow" w:cs="Arial"/>
                <w:b/>
                <w:bCs/>
                <w:color w:val="000000"/>
                <w:sz w:val="18"/>
                <w:szCs w:val="18"/>
                <w:lang w:val="es-ES" w:eastAsia="es-ES"/>
              </w:rPr>
            </w:pPr>
            <w:r w:rsidRPr="001C6842">
              <w:rPr>
                <w:rFonts w:ascii="Arial Narrow" w:hAnsi="Arial Narrow" w:cs="Arial"/>
                <w:b/>
                <w:bCs/>
                <w:color w:val="000000"/>
                <w:sz w:val="18"/>
                <w:szCs w:val="18"/>
                <w:lang w:val="es-ES" w:eastAsia="es-ES"/>
              </w:rPr>
              <w:t>0</w:t>
            </w:r>
          </w:p>
        </w:tc>
      </w:tr>
      <w:tr w:rsidR="00BE5033" w:rsidRPr="00124F37" w14:paraId="779FECCC" w14:textId="77777777" w:rsidTr="006C437D">
        <w:trPr>
          <w:trHeight w:val="255"/>
          <w:jc w:val="center"/>
        </w:trPr>
        <w:tc>
          <w:tcPr>
            <w:tcW w:w="2835" w:type="dxa"/>
            <w:shd w:val="clear" w:color="auto" w:fill="8DB3E2" w:themeFill="text2" w:themeFillTint="66"/>
            <w:vAlign w:val="center"/>
          </w:tcPr>
          <w:p w14:paraId="0595B788" w14:textId="77777777" w:rsidR="00BE5033" w:rsidRPr="00124F37" w:rsidRDefault="00BE5033" w:rsidP="006E3597">
            <w:pPr>
              <w:spacing w:after="0"/>
              <w:ind w:firstLine="0"/>
              <w:jc w:val="left"/>
              <w:rPr>
                <w:rFonts w:ascii="Arial" w:hAnsi="Arial" w:cs="Arial"/>
                <w:sz w:val="17"/>
                <w:szCs w:val="17"/>
                <w:lang w:val="es-ES" w:eastAsia="es-ES"/>
              </w:rPr>
            </w:pPr>
            <w:r w:rsidRPr="00124F37">
              <w:rPr>
                <w:rFonts w:ascii="Arial" w:hAnsi="Arial" w:cs="Arial"/>
                <w:sz w:val="17"/>
                <w:szCs w:val="17"/>
                <w:lang w:val="es-ES" w:eastAsia="es-ES"/>
              </w:rPr>
              <w:t xml:space="preserve">Total </w:t>
            </w:r>
            <w:proofErr w:type="gramStart"/>
            <w:r w:rsidRPr="00124F37">
              <w:rPr>
                <w:rFonts w:ascii="Arial" w:hAnsi="Arial" w:cs="Arial"/>
                <w:sz w:val="17"/>
                <w:szCs w:val="17"/>
                <w:lang w:val="es-ES" w:eastAsia="es-ES"/>
              </w:rPr>
              <w:t>Activo  (</w:t>
            </w:r>
            <w:proofErr w:type="gramEnd"/>
            <w:r w:rsidRPr="00124F37">
              <w:rPr>
                <w:rFonts w:ascii="Arial" w:hAnsi="Arial" w:cs="Arial"/>
                <w:sz w:val="17"/>
                <w:szCs w:val="17"/>
                <w:lang w:val="es-ES" w:eastAsia="es-ES"/>
              </w:rPr>
              <w:t>A+B)</w:t>
            </w:r>
          </w:p>
        </w:tc>
        <w:tc>
          <w:tcPr>
            <w:tcW w:w="851" w:type="dxa"/>
            <w:shd w:val="clear" w:color="auto" w:fill="8DB3E2" w:themeFill="text2" w:themeFillTint="66"/>
            <w:noWrap/>
            <w:vAlign w:val="center"/>
          </w:tcPr>
          <w:p w14:paraId="5BAE91D4" w14:textId="45391CAB" w:rsidR="00BE5033" w:rsidRPr="00124F37" w:rsidRDefault="00BE5033" w:rsidP="006E3597">
            <w:pPr>
              <w:spacing w:after="0"/>
              <w:ind w:firstLine="0"/>
              <w:jc w:val="right"/>
              <w:rPr>
                <w:rFonts w:ascii="Arial" w:hAnsi="Arial" w:cs="Arial"/>
                <w:bCs/>
                <w:color w:val="000000"/>
                <w:sz w:val="17"/>
                <w:szCs w:val="17"/>
                <w:lang w:val="es-ES" w:eastAsia="es-ES"/>
              </w:rPr>
            </w:pPr>
            <w:r w:rsidRPr="00124F37">
              <w:rPr>
                <w:rFonts w:ascii="Arial" w:hAnsi="Arial" w:cs="Arial"/>
                <w:bCs/>
                <w:color w:val="000000"/>
                <w:sz w:val="17"/>
                <w:szCs w:val="17"/>
                <w:lang w:val="es-ES" w:eastAsia="es-ES"/>
              </w:rPr>
              <w:t>-132.541</w:t>
            </w:r>
          </w:p>
        </w:tc>
        <w:tc>
          <w:tcPr>
            <w:tcW w:w="851" w:type="dxa"/>
            <w:tcBorders>
              <w:right w:val="single" w:sz="2" w:space="0" w:color="auto"/>
            </w:tcBorders>
            <w:shd w:val="clear" w:color="auto" w:fill="8DB3E2" w:themeFill="text2" w:themeFillTint="66"/>
            <w:noWrap/>
            <w:vAlign w:val="center"/>
          </w:tcPr>
          <w:p w14:paraId="531D5F69" w14:textId="67790EB6" w:rsidR="00BE5033" w:rsidRPr="00124F37" w:rsidRDefault="00A520BC" w:rsidP="006E3597">
            <w:pPr>
              <w:spacing w:after="0"/>
              <w:ind w:firstLine="0"/>
              <w:jc w:val="right"/>
              <w:rPr>
                <w:rFonts w:ascii="Arial" w:hAnsi="Arial" w:cs="Arial"/>
                <w:bCs/>
                <w:color w:val="000000"/>
                <w:sz w:val="17"/>
                <w:szCs w:val="17"/>
                <w:lang w:val="es-ES" w:eastAsia="es-ES"/>
              </w:rPr>
            </w:pPr>
            <w:r w:rsidRPr="00124F37">
              <w:rPr>
                <w:rFonts w:ascii="Arial" w:hAnsi="Arial" w:cs="Arial"/>
                <w:bCs/>
                <w:color w:val="000000"/>
                <w:sz w:val="17"/>
                <w:szCs w:val="17"/>
                <w:lang w:val="es-ES" w:eastAsia="es-ES"/>
              </w:rPr>
              <w:t>-18.084</w:t>
            </w:r>
          </w:p>
        </w:tc>
        <w:tc>
          <w:tcPr>
            <w:tcW w:w="2835" w:type="dxa"/>
            <w:tcBorders>
              <w:left w:val="single" w:sz="2" w:space="0" w:color="auto"/>
            </w:tcBorders>
            <w:shd w:val="clear" w:color="auto" w:fill="8DB3E2" w:themeFill="text2" w:themeFillTint="66"/>
            <w:vAlign w:val="center"/>
          </w:tcPr>
          <w:p w14:paraId="28E2207A" w14:textId="77777777" w:rsidR="00BE5033" w:rsidRPr="00124F37" w:rsidRDefault="00BE5033" w:rsidP="006E3597">
            <w:pPr>
              <w:spacing w:after="0"/>
              <w:ind w:firstLine="0"/>
              <w:jc w:val="left"/>
              <w:rPr>
                <w:rFonts w:ascii="Arial" w:hAnsi="Arial" w:cs="Arial"/>
                <w:sz w:val="17"/>
                <w:szCs w:val="17"/>
                <w:lang w:val="es-ES" w:eastAsia="es-ES"/>
              </w:rPr>
            </w:pPr>
            <w:r w:rsidRPr="00124F37">
              <w:rPr>
                <w:rFonts w:ascii="Arial" w:hAnsi="Arial" w:cs="Arial"/>
                <w:sz w:val="17"/>
                <w:szCs w:val="17"/>
                <w:lang w:val="es-ES" w:eastAsia="es-ES"/>
              </w:rPr>
              <w:t xml:space="preserve">Total Patrimonio Neto y </w:t>
            </w:r>
            <w:proofErr w:type="gramStart"/>
            <w:r w:rsidRPr="00124F37">
              <w:rPr>
                <w:rFonts w:ascii="Arial" w:hAnsi="Arial" w:cs="Arial"/>
                <w:sz w:val="17"/>
                <w:szCs w:val="17"/>
                <w:lang w:val="es-ES" w:eastAsia="es-ES"/>
              </w:rPr>
              <w:t>Pasivo  (</w:t>
            </w:r>
            <w:proofErr w:type="gramEnd"/>
            <w:r w:rsidRPr="00124F37">
              <w:rPr>
                <w:rFonts w:ascii="Arial" w:hAnsi="Arial" w:cs="Arial"/>
                <w:sz w:val="17"/>
                <w:szCs w:val="17"/>
                <w:lang w:val="es-ES" w:eastAsia="es-ES"/>
              </w:rPr>
              <w:t>A+B+ C)</w:t>
            </w:r>
          </w:p>
        </w:tc>
        <w:tc>
          <w:tcPr>
            <w:tcW w:w="851" w:type="dxa"/>
            <w:shd w:val="clear" w:color="auto" w:fill="8DB3E2" w:themeFill="text2" w:themeFillTint="66"/>
            <w:noWrap/>
            <w:vAlign w:val="center"/>
          </w:tcPr>
          <w:p w14:paraId="0604C04A" w14:textId="045EFB1D" w:rsidR="00BE5033" w:rsidRPr="00124F37" w:rsidRDefault="00BE5033" w:rsidP="00BE5033">
            <w:pPr>
              <w:spacing w:after="0"/>
              <w:ind w:firstLine="0"/>
              <w:jc w:val="right"/>
              <w:rPr>
                <w:rFonts w:ascii="Arial" w:hAnsi="Arial" w:cs="Arial"/>
                <w:bCs/>
                <w:color w:val="000000"/>
                <w:sz w:val="17"/>
                <w:szCs w:val="17"/>
                <w:lang w:val="es-ES" w:eastAsia="es-ES"/>
              </w:rPr>
            </w:pPr>
            <w:r w:rsidRPr="00124F37">
              <w:rPr>
                <w:rFonts w:ascii="Arial" w:hAnsi="Arial" w:cs="Arial"/>
                <w:bCs/>
                <w:color w:val="000000"/>
                <w:sz w:val="17"/>
                <w:szCs w:val="17"/>
                <w:lang w:val="es-ES" w:eastAsia="es-ES"/>
              </w:rPr>
              <w:t>-135.566</w:t>
            </w:r>
          </w:p>
        </w:tc>
        <w:tc>
          <w:tcPr>
            <w:tcW w:w="851" w:type="dxa"/>
            <w:shd w:val="clear" w:color="auto" w:fill="8DB3E2" w:themeFill="text2" w:themeFillTint="66"/>
            <w:noWrap/>
            <w:vAlign w:val="center"/>
          </w:tcPr>
          <w:p w14:paraId="7F5193CC" w14:textId="696BCCB6" w:rsidR="00BE5033" w:rsidRPr="00124F37" w:rsidRDefault="00BE5033" w:rsidP="006E3597">
            <w:pPr>
              <w:spacing w:after="0"/>
              <w:ind w:firstLine="0"/>
              <w:jc w:val="right"/>
              <w:rPr>
                <w:rFonts w:ascii="Arial" w:hAnsi="Arial" w:cs="Arial"/>
                <w:bCs/>
                <w:color w:val="000000"/>
                <w:sz w:val="17"/>
                <w:szCs w:val="17"/>
                <w:lang w:val="es-ES" w:eastAsia="es-ES"/>
              </w:rPr>
            </w:pPr>
            <w:r w:rsidRPr="00124F37">
              <w:rPr>
                <w:rFonts w:ascii="Arial" w:hAnsi="Arial" w:cs="Arial"/>
                <w:bCs/>
                <w:color w:val="000000"/>
                <w:sz w:val="17"/>
                <w:szCs w:val="17"/>
                <w:lang w:val="es-ES" w:eastAsia="es-ES"/>
              </w:rPr>
              <w:t>-</w:t>
            </w:r>
            <w:r w:rsidR="00A520BC" w:rsidRPr="00124F37">
              <w:rPr>
                <w:rFonts w:ascii="Arial" w:hAnsi="Arial" w:cs="Arial"/>
                <w:bCs/>
                <w:color w:val="000000"/>
                <w:sz w:val="17"/>
                <w:szCs w:val="17"/>
                <w:lang w:val="es-ES" w:eastAsia="es-ES"/>
              </w:rPr>
              <w:t>141.455</w:t>
            </w:r>
          </w:p>
        </w:tc>
      </w:tr>
    </w:tbl>
    <w:p w14:paraId="5F3BB0B1" w14:textId="77777777" w:rsidR="007E2B6D" w:rsidRDefault="007E2B6D" w:rsidP="007E2B6D">
      <w:pPr>
        <w:pStyle w:val="atitulo2"/>
        <w:spacing w:after="360"/>
      </w:pPr>
    </w:p>
    <w:p w14:paraId="6B46E486" w14:textId="77777777" w:rsidR="004605A2" w:rsidRDefault="004605A2">
      <w:pPr>
        <w:spacing w:after="0"/>
        <w:ind w:firstLine="0"/>
        <w:jc w:val="left"/>
        <w:sectPr w:rsidR="004605A2" w:rsidSect="0057014C">
          <w:headerReference w:type="even" r:id="rId23"/>
          <w:footerReference w:type="default" r:id="rId24"/>
          <w:type w:val="oddPage"/>
          <w:pgSz w:w="11907" w:h="16840" w:code="9"/>
          <w:pgMar w:top="2109" w:right="1559" w:bottom="1644" w:left="1559" w:header="369" w:footer="402" w:gutter="0"/>
          <w:pgNumType w:start="3"/>
          <w:cols w:space="720"/>
          <w:docGrid w:linePitch="360"/>
        </w:sectPr>
      </w:pPr>
    </w:p>
    <w:p w14:paraId="5186CEFB" w14:textId="77777777" w:rsidR="004605A2" w:rsidRPr="002674FF" w:rsidRDefault="004605A2" w:rsidP="00C52154">
      <w:pPr>
        <w:pStyle w:val="texto"/>
        <w:spacing w:before="120" w:after="240"/>
        <w:ind w:firstLine="0"/>
        <w:rPr>
          <w:rFonts w:ascii="Arial" w:hAnsi="Arial" w:cs="Arial"/>
          <w:sz w:val="25"/>
          <w:szCs w:val="25"/>
        </w:rPr>
      </w:pPr>
      <w:r w:rsidRPr="1E4C4DC6">
        <w:rPr>
          <w:rFonts w:ascii="Arial" w:hAnsi="Arial" w:cs="Arial"/>
          <w:sz w:val="25"/>
          <w:szCs w:val="25"/>
        </w:rPr>
        <w:lastRenderedPageBreak/>
        <w:t>Cuenta de pérdidas y ganancias a 31 de diciembre de 2019 y 2020</w:t>
      </w:r>
    </w:p>
    <w:tbl>
      <w:tblPr>
        <w:tblW w:w="13157"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6663"/>
        <w:gridCol w:w="1285"/>
        <w:gridCol w:w="1736"/>
        <w:gridCol w:w="1736"/>
        <w:gridCol w:w="1737"/>
      </w:tblGrid>
      <w:tr w:rsidR="004605A2" w:rsidRPr="00AC3E8F" w14:paraId="4F7E663A" w14:textId="2F9B9F9E" w:rsidTr="004605A2">
        <w:trPr>
          <w:trHeight w:val="255"/>
        </w:trPr>
        <w:tc>
          <w:tcPr>
            <w:tcW w:w="6663" w:type="dxa"/>
            <w:shd w:val="clear" w:color="auto" w:fill="8DB3E2" w:themeFill="text2" w:themeFillTint="66"/>
            <w:noWrap/>
            <w:vAlign w:val="bottom"/>
          </w:tcPr>
          <w:p w14:paraId="3BBF4AA0" w14:textId="77777777" w:rsidR="004605A2" w:rsidRPr="00AC3E8F" w:rsidRDefault="004605A2" w:rsidP="004605A2">
            <w:pPr>
              <w:pStyle w:val="cuadroCabe"/>
              <w:jc w:val="left"/>
              <w:rPr>
                <w:b/>
                <w:lang w:val="es-ES" w:eastAsia="es-ES"/>
              </w:rPr>
            </w:pPr>
          </w:p>
        </w:tc>
        <w:tc>
          <w:tcPr>
            <w:tcW w:w="1285" w:type="dxa"/>
            <w:shd w:val="clear" w:color="auto" w:fill="8DB3E2" w:themeFill="text2" w:themeFillTint="66"/>
            <w:vAlign w:val="center"/>
          </w:tcPr>
          <w:p w14:paraId="349EB4FE" w14:textId="77777777" w:rsidR="004605A2" w:rsidRPr="00AC3E8F" w:rsidRDefault="004605A2" w:rsidP="004605A2">
            <w:pPr>
              <w:pStyle w:val="cuadroCabe"/>
              <w:jc w:val="right"/>
              <w:rPr>
                <w:b/>
                <w:lang w:val="es-ES" w:eastAsia="es-ES"/>
              </w:rPr>
            </w:pPr>
            <w:r w:rsidRPr="00AC3E8F">
              <w:rPr>
                <w:b/>
                <w:lang w:val="es-ES" w:eastAsia="es-ES"/>
              </w:rPr>
              <w:t>2019</w:t>
            </w:r>
          </w:p>
        </w:tc>
        <w:tc>
          <w:tcPr>
            <w:tcW w:w="1736" w:type="dxa"/>
            <w:shd w:val="clear" w:color="auto" w:fill="8DB3E2" w:themeFill="text2" w:themeFillTint="66"/>
            <w:noWrap/>
            <w:vAlign w:val="center"/>
          </w:tcPr>
          <w:p w14:paraId="47923815" w14:textId="77777777" w:rsidR="004605A2" w:rsidRPr="00AC3E8F" w:rsidRDefault="004605A2" w:rsidP="004605A2">
            <w:pPr>
              <w:pStyle w:val="cuadroCabe"/>
              <w:jc w:val="right"/>
              <w:rPr>
                <w:b/>
                <w:lang w:val="es-ES" w:eastAsia="es-ES"/>
              </w:rPr>
            </w:pPr>
            <w:r w:rsidRPr="00AC3E8F">
              <w:rPr>
                <w:b/>
                <w:lang w:val="es-ES" w:eastAsia="es-ES"/>
              </w:rPr>
              <w:t>2020</w:t>
            </w:r>
          </w:p>
        </w:tc>
        <w:tc>
          <w:tcPr>
            <w:tcW w:w="1736" w:type="dxa"/>
            <w:shd w:val="clear" w:color="auto" w:fill="8DB3E2" w:themeFill="text2" w:themeFillTint="66"/>
            <w:vAlign w:val="center"/>
          </w:tcPr>
          <w:p w14:paraId="0047387C" w14:textId="5AF74237" w:rsidR="004605A2" w:rsidRPr="00AC3E8F" w:rsidRDefault="004605A2" w:rsidP="004605A2">
            <w:pPr>
              <w:pStyle w:val="cuadroCabe"/>
              <w:jc w:val="right"/>
              <w:rPr>
                <w:b/>
                <w:lang w:val="es-ES" w:eastAsia="es-ES"/>
              </w:rPr>
            </w:pPr>
            <w:r w:rsidRPr="00A520BC">
              <w:rPr>
                <w:rFonts w:cs="Arial"/>
                <w:b/>
                <w:color w:val="000000"/>
                <w:szCs w:val="18"/>
                <w:lang w:val="es-ES" w:eastAsia="es-ES"/>
              </w:rPr>
              <w:t>2</w:t>
            </w:r>
            <w:r>
              <w:rPr>
                <w:rFonts w:cs="Arial"/>
                <w:b/>
                <w:color w:val="000000"/>
                <w:szCs w:val="18"/>
                <w:lang w:val="es-ES" w:eastAsia="es-ES"/>
              </w:rPr>
              <w:t>021</w:t>
            </w:r>
          </w:p>
        </w:tc>
        <w:tc>
          <w:tcPr>
            <w:tcW w:w="1737" w:type="dxa"/>
            <w:shd w:val="clear" w:color="auto" w:fill="8DB3E2" w:themeFill="text2" w:themeFillTint="66"/>
            <w:vAlign w:val="center"/>
          </w:tcPr>
          <w:p w14:paraId="474E967B" w14:textId="5AB42CA4" w:rsidR="004605A2" w:rsidRPr="00AC3E8F" w:rsidRDefault="004605A2" w:rsidP="004605A2">
            <w:pPr>
              <w:pStyle w:val="cuadroCabe"/>
              <w:jc w:val="right"/>
              <w:rPr>
                <w:b/>
                <w:lang w:val="es-ES" w:eastAsia="es-ES"/>
              </w:rPr>
            </w:pPr>
            <w:r w:rsidRPr="00A520BC">
              <w:rPr>
                <w:rFonts w:cs="Arial"/>
                <w:b/>
                <w:color w:val="000000"/>
                <w:szCs w:val="18"/>
                <w:lang w:val="es-ES" w:eastAsia="es-ES"/>
              </w:rPr>
              <w:t>202</w:t>
            </w:r>
            <w:r>
              <w:rPr>
                <w:rFonts w:cs="Arial"/>
                <w:b/>
                <w:color w:val="000000"/>
                <w:szCs w:val="18"/>
                <w:lang w:val="es-ES" w:eastAsia="es-ES"/>
              </w:rPr>
              <w:t>2</w:t>
            </w:r>
          </w:p>
        </w:tc>
      </w:tr>
      <w:tr w:rsidR="004605A2" w:rsidRPr="00AC3E8F" w14:paraId="6070BB6F" w14:textId="2CEFD7AF" w:rsidTr="004605A2">
        <w:trPr>
          <w:trHeight w:val="255"/>
        </w:trPr>
        <w:tc>
          <w:tcPr>
            <w:tcW w:w="6663" w:type="dxa"/>
            <w:shd w:val="clear" w:color="auto" w:fill="8DB3E2" w:themeFill="text2" w:themeFillTint="66"/>
            <w:noWrap/>
            <w:vAlign w:val="center"/>
          </w:tcPr>
          <w:p w14:paraId="3F24AECA" w14:textId="77777777" w:rsidR="004605A2" w:rsidRPr="00AC3E8F" w:rsidRDefault="004605A2" w:rsidP="004605A2">
            <w:pPr>
              <w:pStyle w:val="cuadroCabe"/>
              <w:jc w:val="left"/>
              <w:rPr>
                <w:b/>
                <w:lang w:val="es-ES" w:eastAsia="es-ES"/>
              </w:rPr>
            </w:pPr>
            <w:r w:rsidRPr="00AC3E8F">
              <w:rPr>
                <w:b/>
                <w:lang w:val="es-ES" w:eastAsia="es-ES"/>
              </w:rPr>
              <w:t>Debe (Haber)</w:t>
            </w:r>
          </w:p>
        </w:tc>
        <w:tc>
          <w:tcPr>
            <w:tcW w:w="1285" w:type="dxa"/>
            <w:shd w:val="clear" w:color="auto" w:fill="8DB3E2" w:themeFill="text2" w:themeFillTint="66"/>
            <w:vAlign w:val="center"/>
          </w:tcPr>
          <w:p w14:paraId="7D524E8D" w14:textId="77777777" w:rsidR="004605A2" w:rsidRPr="00AC3E8F" w:rsidRDefault="004605A2" w:rsidP="004605A2">
            <w:pPr>
              <w:pStyle w:val="cuadroCabe"/>
              <w:jc w:val="right"/>
              <w:rPr>
                <w:b/>
                <w:lang w:val="es-ES" w:eastAsia="es-ES"/>
              </w:rPr>
            </w:pPr>
          </w:p>
        </w:tc>
        <w:tc>
          <w:tcPr>
            <w:tcW w:w="1736" w:type="dxa"/>
            <w:shd w:val="clear" w:color="auto" w:fill="8DB3E2" w:themeFill="text2" w:themeFillTint="66"/>
            <w:noWrap/>
            <w:vAlign w:val="center"/>
          </w:tcPr>
          <w:p w14:paraId="599C68E3" w14:textId="77777777" w:rsidR="004605A2" w:rsidRPr="00AC3E8F" w:rsidRDefault="004605A2" w:rsidP="004605A2">
            <w:pPr>
              <w:pStyle w:val="cuadroCabe"/>
              <w:jc w:val="right"/>
              <w:rPr>
                <w:b/>
                <w:lang w:val="es-ES" w:eastAsia="es-ES"/>
              </w:rPr>
            </w:pPr>
          </w:p>
        </w:tc>
        <w:tc>
          <w:tcPr>
            <w:tcW w:w="1736" w:type="dxa"/>
            <w:shd w:val="clear" w:color="auto" w:fill="8DB3E2" w:themeFill="text2" w:themeFillTint="66"/>
            <w:vAlign w:val="center"/>
          </w:tcPr>
          <w:p w14:paraId="08322520" w14:textId="77777777" w:rsidR="004605A2" w:rsidRPr="00AC3E8F" w:rsidRDefault="004605A2" w:rsidP="004605A2">
            <w:pPr>
              <w:pStyle w:val="cuadroCabe"/>
              <w:jc w:val="right"/>
              <w:rPr>
                <w:b/>
                <w:lang w:val="es-ES" w:eastAsia="es-ES"/>
              </w:rPr>
            </w:pPr>
          </w:p>
        </w:tc>
        <w:tc>
          <w:tcPr>
            <w:tcW w:w="1737" w:type="dxa"/>
            <w:shd w:val="clear" w:color="auto" w:fill="8DB3E2" w:themeFill="text2" w:themeFillTint="66"/>
            <w:vAlign w:val="center"/>
          </w:tcPr>
          <w:p w14:paraId="06C6FA38" w14:textId="77777777" w:rsidR="004605A2" w:rsidRPr="00AC3E8F" w:rsidRDefault="004605A2" w:rsidP="004605A2">
            <w:pPr>
              <w:pStyle w:val="cuadroCabe"/>
              <w:jc w:val="right"/>
              <w:rPr>
                <w:b/>
                <w:lang w:val="es-ES" w:eastAsia="es-ES"/>
              </w:rPr>
            </w:pPr>
          </w:p>
        </w:tc>
      </w:tr>
      <w:tr w:rsidR="004605A2" w:rsidRPr="007E2B6D" w14:paraId="3D22B46F" w14:textId="1A79F5A9" w:rsidTr="0032304B">
        <w:trPr>
          <w:trHeight w:val="198"/>
        </w:trPr>
        <w:tc>
          <w:tcPr>
            <w:tcW w:w="6663" w:type="dxa"/>
            <w:tcBorders>
              <w:bottom w:val="single" w:sz="2" w:space="0" w:color="auto"/>
            </w:tcBorders>
            <w:shd w:val="clear" w:color="auto" w:fill="auto"/>
            <w:noWrap/>
            <w:vAlign w:val="center"/>
            <w:hideMark/>
          </w:tcPr>
          <w:p w14:paraId="5FD36B89" w14:textId="77777777" w:rsidR="004605A2" w:rsidRPr="007E2B6D" w:rsidRDefault="004605A2" w:rsidP="004605A2">
            <w:pPr>
              <w:pStyle w:val="cuatexto"/>
              <w:rPr>
                <w:lang w:val="es-ES" w:eastAsia="es-ES"/>
              </w:rPr>
            </w:pPr>
            <w:r w:rsidRPr="007E2B6D">
              <w:rPr>
                <w:lang w:val="es-ES" w:eastAsia="es-ES"/>
              </w:rPr>
              <w:t>1. Importe neto de la cifra de negocios</w:t>
            </w:r>
          </w:p>
        </w:tc>
        <w:tc>
          <w:tcPr>
            <w:tcW w:w="1285" w:type="dxa"/>
            <w:tcBorders>
              <w:bottom w:val="single" w:sz="2" w:space="0" w:color="auto"/>
            </w:tcBorders>
            <w:shd w:val="clear" w:color="auto" w:fill="auto"/>
            <w:vAlign w:val="center"/>
            <w:hideMark/>
          </w:tcPr>
          <w:p w14:paraId="4CD15B48"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bottom w:val="single" w:sz="2" w:space="0" w:color="auto"/>
            </w:tcBorders>
            <w:shd w:val="clear" w:color="auto" w:fill="auto"/>
            <w:noWrap/>
            <w:vAlign w:val="center"/>
            <w:hideMark/>
          </w:tcPr>
          <w:p w14:paraId="16A7C44E"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bottom w:val="single" w:sz="2" w:space="0" w:color="auto"/>
            </w:tcBorders>
            <w:vAlign w:val="center"/>
          </w:tcPr>
          <w:p w14:paraId="53D21A87" w14:textId="4D2188A9"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bottom w:val="single" w:sz="2" w:space="0" w:color="auto"/>
            </w:tcBorders>
            <w:vAlign w:val="center"/>
          </w:tcPr>
          <w:p w14:paraId="3E50877B" w14:textId="1A84A99E"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3AAB2E57" w14:textId="326A5CBD" w:rsidTr="004605A2">
        <w:trPr>
          <w:trHeight w:val="198"/>
        </w:trPr>
        <w:tc>
          <w:tcPr>
            <w:tcW w:w="6663" w:type="dxa"/>
            <w:tcBorders>
              <w:top w:val="single" w:sz="2" w:space="0" w:color="auto"/>
              <w:bottom w:val="single" w:sz="2" w:space="0" w:color="auto"/>
            </w:tcBorders>
            <w:shd w:val="clear" w:color="auto" w:fill="auto"/>
            <w:noWrap/>
            <w:vAlign w:val="center"/>
            <w:hideMark/>
          </w:tcPr>
          <w:p w14:paraId="7770E6D4" w14:textId="77777777" w:rsidR="004605A2" w:rsidRPr="007E2B6D" w:rsidRDefault="004605A2" w:rsidP="004605A2">
            <w:pPr>
              <w:pStyle w:val="cuatexto"/>
              <w:rPr>
                <w:lang w:val="es-ES" w:eastAsia="es-ES"/>
              </w:rPr>
            </w:pPr>
            <w:r w:rsidRPr="007E2B6D">
              <w:rPr>
                <w:lang w:val="es-ES" w:eastAsia="es-ES"/>
              </w:rPr>
              <w:t>2. Variación de existencias de productos terminados y en curso de fabricación</w:t>
            </w:r>
          </w:p>
        </w:tc>
        <w:tc>
          <w:tcPr>
            <w:tcW w:w="1285" w:type="dxa"/>
            <w:tcBorders>
              <w:top w:val="single" w:sz="2" w:space="0" w:color="auto"/>
              <w:bottom w:val="single" w:sz="2" w:space="0" w:color="auto"/>
            </w:tcBorders>
            <w:shd w:val="clear" w:color="auto" w:fill="auto"/>
            <w:vAlign w:val="center"/>
            <w:hideMark/>
          </w:tcPr>
          <w:p w14:paraId="4154516B"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shd w:val="clear" w:color="auto" w:fill="auto"/>
            <w:noWrap/>
            <w:vAlign w:val="center"/>
            <w:hideMark/>
          </w:tcPr>
          <w:p w14:paraId="5AC46031"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vAlign w:val="center"/>
          </w:tcPr>
          <w:p w14:paraId="35749D72" w14:textId="6E6BCD4A"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2" w:space="0" w:color="auto"/>
            </w:tcBorders>
            <w:vAlign w:val="center"/>
          </w:tcPr>
          <w:p w14:paraId="55C8EFA3" w14:textId="38AF873F"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2B38E7EA" w14:textId="189E1629" w:rsidTr="004605A2">
        <w:trPr>
          <w:trHeight w:val="198"/>
        </w:trPr>
        <w:tc>
          <w:tcPr>
            <w:tcW w:w="6663" w:type="dxa"/>
            <w:tcBorders>
              <w:top w:val="single" w:sz="2" w:space="0" w:color="auto"/>
              <w:bottom w:val="single" w:sz="2" w:space="0" w:color="auto"/>
            </w:tcBorders>
            <w:shd w:val="clear" w:color="auto" w:fill="auto"/>
            <w:noWrap/>
            <w:vAlign w:val="center"/>
            <w:hideMark/>
          </w:tcPr>
          <w:p w14:paraId="541D80B8" w14:textId="77777777" w:rsidR="004605A2" w:rsidRPr="007E2B6D" w:rsidRDefault="004605A2" w:rsidP="004605A2">
            <w:pPr>
              <w:pStyle w:val="cuatexto"/>
              <w:rPr>
                <w:lang w:val="es-ES" w:eastAsia="es-ES"/>
              </w:rPr>
            </w:pPr>
            <w:r w:rsidRPr="007E2B6D">
              <w:rPr>
                <w:lang w:val="es-ES" w:eastAsia="es-ES"/>
              </w:rPr>
              <w:t>3. Trabajos realizados por la empresa para su activo</w:t>
            </w:r>
          </w:p>
        </w:tc>
        <w:tc>
          <w:tcPr>
            <w:tcW w:w="1285" w:type="dxa"/>
            <w:tcBorders>
              <w:top w:val="single" w:sz="2" w:space="0" w:color="auto"/>
              <w:bottom w:val="single" w:sz="2" w:space="0" w:color="auto"/>
            </w:tcBorders>
            <w:shd w:val="clear" w:color="auto" w:fill="auto"/>
            <w:vAlign w:val="center"/>
            <w:hideMark/>
          </w:tcPr>
          <w:p w14:paraId="0ADFE6C4"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shd w:val="clear" w:color="auto" w:fill="auto"/>
            <w:noWrap/>
            <w:vAlign w:val="center"/>
            <w:hideMark/>
          </w:tcPr>
          <w:p w14:paraId="4AA4B176"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vAlign w:val="center"/>
          </w:tcPr>
          <w:p w14:paraId="03C4E37D" w14:textId="40E43D00"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2" w:space="0" w:color="auto"/>
            </w:tcBorders>
            <w:vAlign w:val="center"/>
          </w:tcPr>
          <w:p w14:paraId="3357D58D" w14:textId="0F04FCEC"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1B830923" w14:textId="4BA86354" w:rsidTr="004605A2">
        <w:trPr>
          <w:trHeight w:val="198"/>
        </w:trPr>
        <w:tc>
          <w:tcPr>
            <w:tcW w:w="6663" w:type="dxa"/>
            <w:tcBorders>
              <w:top w:val="single" w:sz="2" w:space="0" w:color="auto"/>
              <w:bottom w:val="single" w:sz="2" w:space="0" w:color="auto"/>
            </w:tcBorders>
            <w:shd w:val="clear" w:color="auto" w:fill="auto"/>
            <w:noWrap/>
            <w:vAlign w:val="center"/>
            <w:hideMark/>
          </w:tcPr>
          <w:p w14:paraId="4125D300" w14:textId="77777777" w:rsidR="004605A2" w:rsidRPr="007E2B6D" w:rsidRDefault="004605A2" w:rsidP="004605A2">
            <w:pPr>
              <w:pStyle w:val="cuatexto"/>
              <w:rPr>
                <w:lang w:val="es-ES" w:eastAsia="es-ES"/>
              </w:rPr>
            </w:pPr>
            <w:r w:rsidRPr="007E2B6D">
              <w:rPr>
                <w:lang w:val="es-ES" w:eastAsia="es-ES"/>
              </w:rPr>
              <w:t>4. Aprovisionamientos</w:t>
            </w:r>
          </w:p>
        </w:tc>
        <w:tc>
          <w:tcPr>
            <w:tcW w:w="1285" w:type="dxa"/>
            <w:tcBorders>
              <w:top w:val="single" w:sz="2" w:space="0" w:color="auto"/>
              <w:bottom w:val="single" w:sz="2" w:space="0" w:color="auto"/>
            </w:tcBorders>
            <w:shd w:val="clear" w:color="auto" w:fill="auto"/>
            <w:vAlign w:val="center"/>
            <w:hideMark/>
          </w:tcPr>
          <w:p w14:paraId="631C7C6B"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shd w:val="clear" w:color="auto" w:fill="auto"/>
            <w:noWrap/>
            <w:vAlign w:val="center"/>
            <w:hideMark/>
          </w:tcPr>
          <w:p w14:paraId="56DDF168"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vAlign w:val="center"/>
          </w:tcPr>
          <w:p w14:paraId="15F776F1" w14:textId="4D67ADFE"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2" w:space="0" w:color="auto"/>
            </w:tcBorders>
            <w:vAlign w:val="center"/>
          </w:tcPr>
          <w:p w14:paraId="519AC4D4" w14:textId="1D8AD553"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68350420" w14:textId="397DEB95" w:rsidTr="004605A2">
        <w:trPr>
          <w:trHeight w:val="198"/>
        </w:trPr>
        <w:tc>
          <w:tcPr>
            <w:tcW w:w="6663" w:type="dxa"/>
            <w:tcBorders>
              <w:top w:val="single" w:sz="2" w:space="0" w:color="auto"/>
              <w:bottom w:val="single" w:sz="2" w:space="0" w:color="auto"/>
            </w:tcBorders>
            <w:shd w:val="clear" w:color="auto" w:fill="auto"/>
            <w:noWrap/>
            <w:vAlign w:val="center"/>
            <w:hideMark/>
          </w:tcPr>
          <w:p w14:paraId="0D023BD7" w14:textId="77777777" w:rsidR="004605A2" w:rsidRPr="007E2B6D" w:rsidRDefault="004605A2" w:rsidP="004605A2">
            <w:pPr>
              <w:pStyle w:val="cuatexto"/>
              <w:rPr>
                <w:lang w:val="es-ES" w:eastAsia="es-ES"/>
              </w:rPr>
            </w:pPr>
            <w:r w:rsidRPr="007E2B6D">
              <w:rPr>
                <w:lang w:val="es-ES" w:eastAsia="es-ES"/>
              </w:rPr>
              <w:t>5. Otros ingresos de explotación</w:t>
            </w:r>
          </w:p>
        </w:tc>
        <w:tc>
          <w:tcPr>
            <w:tcW w:w="1285" w:type="dxa"/>
            <w:tcBorders>
              <w:top w:val="single" w:sz="2" w:space="0" w:color="auto"/>
              <w:bottom w:val="single" w:sz="2" w:space="0" w:color="auto"/>
            </w:tcBorders>
            <w:shd w:val="clear" w:color="auto" w:fill="auto"/>
            <w:vAlign w:val="center"/>
            <w:hideMark/>
          </w:tcPr>
          <w:p w14:paraId="29BE5C75"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shd w:val="clear" w:color="auto" w:fill="auto"/>
            <w:noWrap/>
            <w:vAlign w:val="center"/>
            <w:hideMark/>
          </w:tcPr>
          <w:p w14:paraId="06EDB492"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vAlign w:val="center"/>
          </w:tcPr>
          <w:p w14:paraId="2EC3828E" w14:textId="722681C7"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2" w:space="0" w:color="auto"/>
            </w:tcBorders>
            <w:vAlign w:val="center"/>
          </w:tcPr>
          <w:p w14:paraId="1D7449BF" w14:textId="4A4DAB13"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3972B4A9" w14:textId="113DD4CB" w:rsidTr="004605A2">
        <w:trPr>
          <w:trHeight w:val="198"/>
        </w:trPr>
        <w:tc>
          <w:tcPr>
            <w:tcW w:w="6663" w:type="dxa"/>
            <w:tcBorders>
              <w:top w:val="single" w:sz="2" w:space="0" w:color="auto"/>
              <w:bottom w:val="single" w:sz="2" w:space="0" w:color="auto"/>
            </w:tcBorders>
            <w:shd w:val="clear" w:color="auto" w:fill="auto"/>
            <w:noWrap/>
            <w:vAlign w:val="center"/>
            <w:hideMark/>
          </w:tcPr>
          <w:p w14:paraId="54EC3D94" w14:textId="77777777" w:rsidR="004605A2" w:rsidRPr="007E2B6D" w:rsidRDefault="004605A2" w:rsidP="004605A2">
            <w:pPr>
              <w:pStyle w:val="cuatexto"/>
              <w:rPr>
                <w:lang w:val="es-ES" w:eastAsia="es-ES"/>
              </w:rPr>
            </w:pPr>
            <w:r w:rsidRPr="007E2B6D">
              <w:rPr>
                <w:lang w:val="es-ES" w:eastAsia="es-ES"/>
              </w:rPr>
              <w:t>6. Gastos de personal</w:t>
            </w:r>
          </w:p>
        </w:tc>
        <w:tc>
          <w:tcPr>
            <w:tcW w:w="1285" w:type="dxa"/>
            <w:tcBorders>
              <w:top w:val="single" w:sz="2" w:space="0" w:color="auto"/>
              <w:bottom w:val="single" w:sz="2" w:space="0" w:color="auto"/>
            </w:tcBorders>
            <w:shd w:val="clear" w:color="auto" w:fill="auto"/>
            <w:vAlign w:val="center"/>
            <w:hideMark/>
          </w:tcPr>
          <w:p w14:paraId="06033D92" w14:textId="77777777" w:rsidR="004605A2" w:rsidRPr="007E2B6D" w:rsidRDefault="004605A2" w:rsidP="004605A2">
            <w:pPr>
              <w:pStyle w:val="cuatexto"/>
              <w:jc w:val="right"/>
              <w:rPr>
                <w:lang w:val="es-ES" w:eastAsia="es-ES"/>
              </w:rPr>
            </w:pPr>
            <w:r w:rsidRPr="007E2B6D">
              <w:rPr>
                <w:lang w:val="es-ES" w:eastAsia="es-ES"/>
              </w:rPr>
              <w:t xml:space="preserve">132.720 </w:t>
            </w:r>
          </w:p>
        </w:tc>
        <w:tc>
          <w:tcPr>
            <w:tcW w:w="1736" w:type="dxa"/>
            <w:tcBorders>
              <w:top w:val="single" w:sz="2" w:space="0" w:color="auto"/>
              <w:bottom w:val="single" w:sz="2" w:space="0" w:color="auto"/>
            </w:tcBorders>
            <w:shd w:val="clear" w:color="auto" w:fill="auto"/>
            <w:noWrap/>
            <w:vAlign w:val="center"/>
            <w:hideMark/>
          </w:tcPr>
          <w:p w14:paraId="455DC59B" w14:textId="77777777" w:rsidR="004605A2" w:rsidRPr="007E2B6D" w:rsidRDefault="004605A2" w:rsidP="004605A2">
            <w:pPr>
              <w:pStyle w:val="cuatexto"/>
              <w:jc w:val="right"/>
              <w:rPr>
                <w:lang w:val="es-ES" w:eastAsia="es-ES"/>
              </w:rPr>
            </w:pPr>
            <w:r>
              <w:rPr>
                <w:lang w:val="es-ES" w:eastAsia="es-ES"/>
              </w:rPr>
              <w:t>126.614</w:t>
            </w:r>
          </w:p>
        </w:tc>
        <w:tc>
          <w:tcPr>
            <w:tcW w:w="1736" w:type="dxa"/>
            <w:tcBorders>
              <w:top w:val="single" w:sz="2" w:space="0" w:color="auto"/>
              <w:bottom w:val="single" w:sz="2" w:space="0" w:color="auto"/>
            </w:tcBorders>
            <w:vAlign w:val="center"/>
          </w:tcPr>
          <w:p w14:paraId="0C193043" w14:textId="20A8D471" w:rsidR="004605A2" w:rsidRDefault="004605A2" w:rsidP="004605A2">
            <w:pPr>
              <w:pStyle w:val="cuatexto"/>
              <w:jc w:val="right"/>
              <w:rPr>
                <w:lang w:val="es-ES" w:eastAsia="es-ES"/>
              </w:rPr>
            </w:pPr>
            <w:r>
              <w:rPr>
                <w:rFonts w:cs="Arial"/>
                <w:color w:val="000000"/>
                <w:lang w:val="es-ES" w:eastAsia="es-ES"/>
              </w:rPr>
              <w:t>101.322</w:t>
            </w:r>
            <w:r w:rsidRPr="007E2B6D">
              <w:rPr>
                <w:rFonts w:cs="Arial"/>
                <w:color w:val="000000"/>
                <w:lang w:val="es-ES" w:eastAsia="es-ES"/>
              </w:rPr>
              <w:t xml:space="preserve"> </w:t>
            </w:r>
          </w:p>
        </w:tc>
        <w:tc>
          <w:tcPr>
            <w:tcW w:w="1737" w:type="dxa"/>
            <w:tcBorders>
              <w:top w:val="single" w:sz="2" w:space="0" w:color="auto"/>
              <w:bottom w:val="single" w:sz="2" w:space="0" w:color="auto"/>
            </w:tcBorders>
            <w:vAlign w:val="center"/>
          </w:tcPr>
          <w:p w14:paraId="3D5D3CE0" w14:textId="07EAB30B" w:rsidR="004605A2" w:rsidRDefault="004605A2" w:rsidP="004605A2">
            <w:pPr>
              <w:pStyle w:val="cuatexto"/>
              <w:jc w:val="right"/>
              <w:rPr>
                <w:lang w:val="es-ES" w:eastAsia="es-ES"/>
              </w:rPr>
            </w:pPr>
            <w:r>
              <w:rPr>
                <w:rFonts w:cs="Arial"/>
                <w:color w:val="000000"/>
                <w:lang w:val="es-ES" w:eastAsia="es-ES"/>
              </w:rPr>
              <w:t>109.991</w:t>
            </w:r>
          </w:p>
        </w:tc>
      </w:tr>
      <w:tr w:rsidR="004605A2" w:rsidRPr="007E2B6D" w14:paraId="4B2D9D9B" w14:textId="3CF5429B" w:rsidTr="004605A2">
        <w:trPr>
          <w:trHeight w:val="198"/>
        </w:trPr>
        <w:tc>
          <w:tcPr>
            <w:tcW w:w="6663" w:type="dxa"/>
            <w:tcBorders>
              <w:top w:val="single" w:sz="2" w:space="0" w:color="auto"/>
              <w:bottom w:val="single" w:sz="2" w:space="0" w:color="auto"/>
            </w:tcBorders>
            <w:shd w:val="clear" w:color="auto" w:fill="auto"/>
            <w:noWrap/>
            <w:vAlign w:val="center"/>
            <w:hideMark/>
          </w:tcPr>
          <w:p w14:paraId="008979B6" w14:textId="77777777" w:rsidR="004605A2" w:rsidRPr="007E2B6D" w:rsidRDefault="004605A2" w:rsidP="004605A2">
            <w:pPr>
              <w:pStyle w:val="cuatexto"/>
              <w:rPr>
                <w:lang w:val="es-ES" w:eastAsia="es-ES"/>
              </w:rPr>
            </w:pPr>
            <w:r w:rsidRPr="007E2B6D">
              <w:rPr>
                <w:lang w:val="es-ES" w:eastAsia="es-ES"/>
              </w:rPr>
              <w:t>7. Otros gastos de explotación</w:t>
            </w:r>
          </w:p>
        </w:tc>
        <w:tc>
          <w:tcPr>
            <w:tcW w:w="1285" w:type="dxa"/>
            <w:tcBorders>
              <w:top w:val="single" w:sz="2" w:space="0" w:color="auto"/>
              <w:bottom w:val="single" w:sz="2" w:space="0" w:color="auto"/>
            </w:tcBorders>
            <w:shd w:val="clear" w:color="auto" w:fill="auto"/>
            <w:vAlign w:val="center"/>
            <w:hideMark/>
          </w:tcPr>
          <w:p w14:paraId="350EE514" w14:textId="77777777" w:rsidR="004605A2" w:rsidRPr="007E2B6D" w:rsidRDefault="004605A2" w:rsidP="004605A2">
            <w:pPr>
              <w:pStyle w:val="cuatexto"/>
              <w:jc w:val="right"/>
              <w:rPr>
                <w:lang w:val="es-ES" w:eastAsia="es-ES"/>
              </w:rPr>
            </w:pPr>
            <w:r w:rsidRPr="007E2B6D">
              <w:rPr>
                <w:lang w:val="es-ES" w:eastAsia="es-ES"/>
              </w:rPr>
              <w:t xml:space="preserve">43.792 </w:t>
            </w:r>
          </w:p>
        </w:tc>
        <w:tc>
          <w:tcPr>
            <w:tcW w:w="1736" w:type="dxa"/>
            <w:tcBorders>
              <w:top w:val="single" w:sz="2" w:space="0" w:color="auto"/>
              <w:bottom w:val="single" w:sz="2" w:space="0" w:color="auto"/>
            </w:tcBorders>
            <w:shd w:val="clear" w:color="auto" w:fill="auto"/>
            <w:noWrap/>
            <w:vAlign w:val="center"/>
            <w:hideMark/>
          </w:tcPr>
          <w:p w14:paraId="1776FF52" w14:textId="77777777" w:rsidR="004605A2" w:rsidRPr="007E2B6D" w:rsidRDefault="004605A2" w:rsidP="004605A2">
            <w:pPr>
              <w:pStyle w:val="cuatexto"/>
              <w:jc w:val="right"/>
              <w:rPr>
                <w:lang w:val="es-ES" w:eastAsia="es-ES"/>
              </w:rPr>
            </w:pPr>
            <w:r>
              <w:rPr>
                <w:lang w:val="es-ES" w:eastAsia="es-ES"/>
              </w:rPr>
              <w:t>30.450</w:t>
            </w:r>
          </w:p>
        </w:tc>
        <w:tc>
          <w:tcPr>
            <w:tcW w:w="1736" w:type="dxa"/>
            <w:tcBorders>
              <w:top w:val="single" w:sz="2" w:space="0" w:color="auto"/>
              <w:bottom w:val="single" w:sz="2" w:space="0" w:color="auto"/>
            </w:tcBorders>
            <w:vAlign w:val="center"/>
          </w:tcPr>
          <w:p w14:paraId="2808F6FF" w14:textId="51E3651E" w:rsidR="004605A2" w:rsidRDefault="004605A2" w:rsidP="004605A2">
            <w:pPr>
              <w:pStyle w:val="cuatexto"/>
              <w:jc w:val="right"/>
              <w:rPr>
                <w:lang w:val="es-ES" w:eastAsia="es-ES"/>
              </w:rPr>
            </w:pPr>
            <w:r>
              <w:rPr>
                <w:rFonts w:cs="Arial"/>
                <w:color w:val="000000"/>
                <w:lang w:val="es-ES" w:eastAsia="es-ES"/>
              </w:rPr>
              <w:t>39.460</w:t>
            </w:r>
            <w:r w:rsidRPr="007E2B6D">
              <w:rPr>
                <w:rFonts w:cs="Arial"/>
                <w:color w:val="000000"/>
                <w:lang w:val="es-ES" w:eastAsia="es-ES"/>
              </w:rPr>
              <w:t xml:space="preserve"> </w:t>
            </w:r>
          </w:p>
        </w:tc>
        <w:tc>
          <w:tcPr>
            <w:tcW w:w="1737" w:type="dxa"/>
            <w:tcBorders>
              <w:top w:val="single" w:sz="2" w:space="0" w:color="auto"/>
              <w:bottom w:val="single" w:sz="2" w:space="0" w:color="auto"/>
            </w:tcBorders>
            <w:vAlign w:val="center"/>
          </w:tcPr>
          <w:p w14:paraId="7AF8616F" w14:textId="1BAB0B9D" w:rsidR="004605A2" w:rsidRDefault="004605A2" w:rsidP="004605A2">
            <w:pPr>
              <w:pStyle w:val="cuatexto"/>
              <w:jc w:val="right"/>
              <w:rPr>
                <w:lang w:val="es-ES" w:eastAsia="es-ES"/>
              </w:rPr>
            </w:pPr>
            <w:r>
              <w:rPr>
                <w:rFonts w:cs="Arial"/>
                <w:color w:val="000000"/>
                <w:lang w:val="es-ES" w:eastAsia="es-ES"/>
              </w:rPr>
              <w:t>44.213</w:t>
            </w:r>
          </w:p>
        </w:tc>
      </w:tr>
      <w:tr w:rsidR="004605A2" w:rsidRPr="007E2B6D" w14:paraId="3264D990" w14:textId="25BEE67F" w:rsidTr="004605A2">
        <w:trPr>
          <w:trHeight w:val="198"/>
        </w:trPr>
        <w:tc>
          <w:tcPr>
            <w:tcW w:w="6663" w:type="dxa"/>
            <w:tcBorders>
              <w:top w:val="single" w:sz="2" w:space="0" w:color="auto"/>
              <w:bottom w:val="single" w:sz="2" w:space="0" w:color="auto"/>
            </w:tcBorders>
            <w:shd w:val="clear" w:color="auto" w:fill="auto"/>
            <w:noWrap/>
            <w:vAlign w:val="center"/>
            <w:hideMark/>
          </w:tcPr>
          <w:p w14:paraId="300416F8" w14:textId="77777777" w:rsidR="004605A2" w:rsidRPr="007E2B6D" w:rsidRDefault="004605A2" w:rsidP="004605A2">
            <w:pPr>
              <w:pStyle w:val="cuatexto"/>
              <w:rPr>
                <w:lang w:val="es-ES" w:eastAsia="es-ES"/>
              </w:rPr>
            </w:pPr>
            <w:r w:rsidRPr="007E2B6D">
              <w:rPr>
                <w:lang w:val="es-ES" w:eastAsia="es-ES"/>
              </w:rPr>
              <w:t>8. Amortización del inmovilizado</w:t>
            </w:r>
          </w:p>
        </w:tc>
        <w:tc>
          <w:tcPr>
            <w:tcW w:w="1285" w:type="dxa"/>
            <w:tcBorders>
              <w:top w:val="single" w:sz="2" w:space="0" w:color="auto"/>
              <w:bottom w:val="single" w:sz="2" w:space="0" w:color="auto"/>
            </w:tcBorders>
            <w:shd w:val="clear" w:color="auto" w:fill="auto"/>
            <w:vAlign w:val="center"/>
            <w:hideMark/>
          </w:tcPr>
          <w:p w14:paraId="27F1E72F"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shd w:val="clear" w:color="auto" w:fill="auto"/>
            <w:noWrap/>
            <w:vAlign w:val="center"/>
            <w:hideMark/>
          </w:tcPr>
          <w:p w14:paraId="063ECDAB"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vAlign w:val="center"/>
          </w:tcPr>
          <w:p w14:paraId="279D63B0" w14:textId="0BE9461A"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2" w:space="0" w:color="auto"/>
            </w:tcBorders>
            <w:vAlign w:val="center"/>
          </w:tcPr>
          <w:p w14:paraId="5C0630B3" w14:textId="0F33128A"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05427186" w14:textId="74873417" w:rsidTr="004605A2">
        <w:trPr>
          <w:trHeight w:val="198"/>
        </w:trPr>
        <w:tc>
          <w:tcPr>
            <w:tcW w:w="6663" w:type="dxa"/>
            <w:tcBorders>
              <w:top w:val="single" w:sz="2" w:space="0" w:color="auto"/>
              <w:bottom w:val="single" w:sz="2" w:space="0" w:color="auto"/>
            </w:tcBorders>
            <w:shd w:val="clear" w:color="auto" w:fill="auto"/>
            <w:noWrap/>
            <w:vAlign w:val="center"/>
            <w:hideMark/>
          </w:tcPr>
          <w:p w14:paraId="61FB24E1" w14:textId="77777777" w:rsidR="004605A2" w:rsidRPr="007E2B6D" w:rsidRDefault="004605A2" w:rsidP="004605A2">
            <w:pPr>
              <w:pStyle w:val="cuatexto"/>
              <w:rPr>
                <w:lang w:val="es-ES" w:eastAsia="es-ES"/>
              </w:rPr>
            </w:pPr>
            <w:r w:rsidRPr="007E2B6D">
              <w:rPr>
                <w:lang w:val="es-ES" w:eastAsia="es-ES"/>
              </w:rPr>
              <w:t>9. Imputación de subvenciones de inmovilizado no financiero y otras</w:t>
            </w:r>
          </w:p>
        </w:tc>
        <w:tc>
          <w:tcPr>
            <w:tcW w:w="1285" w:type="dxa"/>
            <w:tcBorders>
              <w:top w:val="single" w:sz="2" w:space="0" w:color="auto"/>
              <w:bottom w:val="single" w:sz="2" w:space="0" w:color="auto"/>
            </w:tcBorders>
            <w:shd w:val="clear" w:color="auto" w:fill="auto"/>
            <w:vAlign w:val="center"/>
            <w:hideMark/>
          </w:tcPr>
          <w:p w14:paraId="7AC2B516"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shd w:val="clear" w:color="auto" w:fill="auto"/>
            <w:noWrap/>
            <w:vAlign w:val="center"/>
            <w:hideMark/>
          </w:tcPr>
          <w:p w14:paraId="1AA9F5AB"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vAlign w:val="center"/>
          </w:tcPr>
          <w:p w14:paraId="01E65A3C" w14:textId="355AE95D"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2" w:space="0" w:color="auto"/>
            </w:tcBorders>
            <w:vAlign w:val="center"/>
          </w:tcPr>
          <w:p w14:paraId="7D205748" w14:textId="7BB75538"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51A9AB0A" w14:textId="5CC15ACB" w:rsidTr="004605A2">
        <w:trPr>
          <w:trHeight w:val="198"/>
        </w:trPr>
        <w:tc>
          <w:tcPr>
            <w:tcW w:w="6663" w:type="dxa"/>
            <w:tcBorders>
              <w:top w:val="single" w:sz="2" w:space="0" w:color="auto"/>
              <w:bottom w:val="single" w:sz="2" w:space="0" w:color="auto"/>
            </w:tcBorders>
            <w:shd w:val="clear" w:color="auto" w:fill="auto"/>
            <w:noWrap/>
            <w:vAlign w:val="center"/>
            <w:hideMark/>
          </w:tcPr>
          <w:p w14:paraId="6109D155" w14:textId="77777777" w:rsidR="004605A2" w:rsidRPr="007E2B6D" w:rsidRDefault="004605A2" w:rsidP="004605A2">
            <w:pPr>
              <w:pStyle w:val="cuatexto"/>
              <w:rPr>
                <w:lang w:val="es-ES" w:eastAsia="es-ES"/>
              </w:rPr>
            </w:pPr>
            <w:r w:rsidRPr="007E2B6D">
              <w:rPr>
                <w:lang w:val="es-ES" w:eastAsia="es-ES"/>
              </w:rPr>
              <w:t>10. Excesos de provisiones</w:t>
            </w:r>
          </w:p>
        </w:tc>
        <w:tc>
          <w:tcPr>
            <w:tcW w:w="1285" w:type="dxa"/>
            <w:tcBorders>
              <w:top w:val="single" w:sz="2" w:space="0" w:color="auto"/>
              <w:bottom w:val="single" w:sz="2" w:space="0" w:color="auto"/>
            </w:tcBorders>
            <w:shd w:val="clear" w:color="auto" w:fill="auto"/>
            <w:vAlign w:val="center"/>
            <w:hideMark/>
          </w:tcPr>
          <w:p w14:paraId="50B097CC"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shd w:val="clear" w:color="auto" w:fill="auto"/>
            <w:noWrap/>
            <w:vAlign w:val="center"/>
            <w:hideMark/>
          </w:tcPr>
          <w:p w14:paraId="21BC58DC"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vAlign w:val="center"/>
          </w:tcPr>
          <w:p w14:paraId="00C51569" w14:textId="434D4DA3"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2" w:space="0" w:color="auto"/>
            </w:tcBorders>
            <w:vAlign w:val="center"/>
          </w:tcPr>
          <w:p w14:paraId="23D313B2" w14:textId="07A84FA5"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60696E7A" w14:textId="73A75021" w:rsidTr="004605A2">
        <w:trPr>
          <w:trHeight w:val="198"/>
        </w:trPr>
        <w:tc>
          <w:tcPr>
            <w:tcW w:w="6663" w:type="dxa"/>
            <w:tcBorders>
              <w:top w:val="single" w:sz="2" w:space="0" w:color="auto"/>
              <w:bottom w:val="single" w:sz="2" w:space="0" w:color="auto"/>
            </w:tcBorders>
            <w:shd w:val="clear" w:color="auto" w:fill="auto"/>
            <w:noWrap/>
            <w:vAlign w:val="center"/>
            <w:hideMark/>
          </w:tcPr>
          <w:p w14:paraId="75138488" w14:textId="77777777" w:rsidR="004605A2" w:rsidRPr="007E2B6D" w:rsidRDefault="004605A2" w:rsidP="004605A2">
            <w:pPr>
              <w:pStyle w:val="cuatexto"/>
              <w:rPr>
                <w:lang w:val="es-ES" w:eastAsia="es-ES"/>
              </w:rPr>
            </w:pPr>
            <w:r w:rsidRPr="007E2B6D">
              <w:rPr>
                <w:lang w:val="es-ES" w:eastAsia="es-ES"/>
              </w:rPr>
              <w:t>11. Deterioro y resultado por enajenaciones del inmovilizado</w:t>
            </w:r>
          </w:p>
        </w:tc>
        <w:tc>
          <w:tcPr>
            <w:tcW w:w="1285" w:type="dxa"/>
            <w:tcBorders>
              <w:top w:val="single" w:sz="2" w:space="0" w:color="auto"/>
              <w:bottom w:val="single" w:sz="2" w:space="0" w:color="auto"/>
            </w:tcBorders>
            <w:shd w:val="clear" w:color="auto" w:fill="auto"/>
            <w:vAlign w:val="center"/>
            <w:hideMark/>
          </w:tcPr>
          <w:p w14:paraId="08D056D0"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shd w:val="clear" w:color="auto" w:fill="auto"/>
            <w:noWrap/>
            <w:vAlign w:val="center"/>
            <w:hideMark/>
          </w:tcPr>
          <w:p w14:paraId="3B9F115A"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vAlign w:val="center"/>
          </w:tcPr>
          <w:p w14:paraId="74B9FDBB" w14:textId="5F040FDB"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2" w:space="0" w:color="auto"/>
            </w:tcBorders>
            <w:vAlign w:val="center"/>
          </w:tcPr>
          <w:p w14:paraId="1E47DB35" w14:textId="39E13720"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117869DC" w14:textId="45B145DD" w:rsidTr="004605A2">
        <w:trPr>
          <w:trHeight w:val="198"/>
        </w:trPr>
        <w:tc>
          <w:tcPr>
            <w:tcW w:w="6663" w:type="dxa"/>
            <w:tcBorders>
              <w:top w:val="single" w:sz="2" w:space="0" w:color="auto"/>
              <w:bottom w:val="single" w:sz="4" w:space="0" w:color="auto"/>
            </w:tcBorders>
            <w:shd w:val="clear" w:color="auto" w:fill="auto"/>
            <w:noWrap/>
            <w:vAlign w:val="center"/>
            <w:hideMark/>
          </w:tcPr>
          <w:p w14:paraId="47C034C8" w14:textId="77777777" w:rsidR="004605A2" w:rsidRPr="007E2B6D" w:rsidRDefault="004605A2" w:rsidP="004605A2">
            <w:pPr>
              <w:pStyle w:val="cuatexto"/>
              <w:rPr>
                <w:lang w:val="es-ES" w:eastAsia="es-ES"/>
              </w:rPr>
            </w:pPr>
            <w:r w:rsidRPr="007E2B6D">
              <w:rPr>
                <w:lang w:val="es-ES" w:eastAsia="es-ES"/>
              </w:rPr>
              <w:t>12. Otros resultados</w:t>
            </w:r>
          </w:p>
        </w:tc>
        <w:tc>
          <w:tcPr>
            <w:tcW w:w="1285" w:type="dxa"/>
            <w:tcBorders>
              <w:top w:val="single" w:sz="2" w:space="0" w:color="auto"/>
              <w:bottom w:val="single" w:sz="4" w:space="0" w:color="auto"/>
            </w:tcBorders>
            <w:shd w:val="clear" w:color="auto" w:fill="auto"/>
            <w:vAlign w:val="center"/>
            <w:hideMark/>
          </w:tcPr>
          <w:p w14:paraId="33B5BD2A"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4" w:space="0" w:color="auto"/>
            </w:tcBorders>
            <w:shd w:val="clear" w:color="auto" w:fill="auto"/>
            <w:noWrap/>
            <w:vAlign w:val="center"/>
            <w:hideMark/>
          </w:tcPr>
          <w:p w14:paraId="5E26CC4C"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4" w:space="0" w:color="auto"/>
            </w:tcBorders>
            <w:vAlign w:val="center"/>
          </w:tcPr>
          <w:p w14:paraId="3CD1FF4F" w14:textId="100C960D"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4" w:space="0" w:color="auto"/>
            </w:tcBorders>
            <w:vAlign w:val="center"/>
          </w:tcPr>
          <w:p w14:paraId="5F3C533D" w14:textId="4DE538E1"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AC3E8F" w14:paraId="2B0AD865" w14:textId="28522753" w:rsidTr="004605A2">
        <w:trPr>
          <w:trHeight w:val="255"/>
        </w:trPr>
        <w:tc>
          <w:tcPr>
            <w:tcW w:w="6663" w:type="dxa"/>
            <w:shd w:val="clear" w:color="auto" w:fill="8DB3E2" w:themeFill="text2" w:themeFillTint="66"/>
            <w:noWrap/>
            <w:vAlign w:val="center"/>
          </w:tcPr>
          <w:p w14:paraId="5381E620" w14:textId="77777777" w:rsidR="004605A2" w:rsidRPr="00AC3E8F" w:rsidRDefault="004605A2" w:rsidP="004605A2">
            <w:pPr>
              <w:pStyle w:val="cuadroCabe"/>
              <w:jc w:val="left"/>
              <w:rPr>
                <w:b/>
                <w:lang w:val="es-ES" w:eastAsia="es-ES"/>
              </w:rPr>
            </w:pPr>
            <w:r w:rsidRPr="00AC3E8F">
              <w:rPr>
                <w:b/>
                <w:lang w:val="es-ES" w:eastAsia="es-ES"/>
              </w:rPr>
              <w:t>A) Resultado de explotación (1+2+3+4+5+6+7+8+9+10+11+12)</w:t>
            </w:r>
          </w:p>
        </w:tc>
        <w:tc>
          <w:tcPr>
            <w:tcW w:w="1285" w:type="dxa"/>
            <w:shd w:val="clear" w:color="auto" w:fill="8DB3E2" w:themeFill="text2" w:themeFillTint="66"/>
            <w:vAlign w:val="center"/>
          </w:tcPr>
          <w:p w14:paraId="39664539" w14:textId="1B63D10A" w:rsidR="004605A2" w:rsidRPr="00AC3E8F" w:rsidRDefault="00E137C0" w:rsidP="004605A2">
            <w:pPr>
              <w:pStyle w:val="cuadroCabe"/>
              <w:jc w:val="right"/>
              <w:rPr>
                <w:b/>
                <w:lang w:val="es-ES" w:eastAsia="es-ES"/>
              </w:rPr>
            </w:pPr>
            <w:r>
              <w:rPr>
                <w:b/>
                <w:lang w:val="es-ES" w:eastAsia="es-ES"/>
              </w:rPr>
              <w:t>-</w:t>
            </w:r>
            <w:r w:rsidR="004605A2" w:rsidRPr="00AC3E8F">
              <w:rPr>
                <w:b/>
                <w:lang w:val="es-ES" w:eastAsia="es-ES"/>
              </w:rPr>
              <w:t>176.512</w:t>
            </w:r>
          </w:p>
        </w:tc>
        <w:tc>
          <w:tcPr>
            <w:tcW w:w="1736" w:type="dxa"/>
            <w:shd w:val="clear" w:color="auto" w:fill="8DB3E2" w:themeFill="text2" w:themeFillTint="66"/>
            <w:noWrap/>
            <w:vAlign w:val="center"/>
          </w:tcPr>
          <w:p w14:paraId="237A6F41" w14:textId="474A38E9" w:rsidR="004605A2" w:rsidRPr="00AC3E8F" w:rsidRDefault="00E137C0" w:rsidP="004605A2">
            <w:pPr>
              <w:pStyle w:val="cuadroCabe"/>
              <w:jc w:val="right"/>
              <w:rPr>
                <w:b/>
                <w:lang w:val="es-ES" w:eastAsia="es-ES"/>
              </w:rPr>
            </w:pPr>
            <w:r>
              <w:rPr>
                <w:b/>
                <w:lang w:val="es-ES" w:eastAsia="es-ES"/>
              </w:rPr>
              <w:t>-</w:t>
            </w:r>
            <w:r w:rsidR="004605A2" w:rsidRPr="00AC3E8F">
              <w:rPr>
                <w:b/>
                <w:lang w:val="es-ES" w:eastAsia="es-ES"/>
              </w:rPr>
              <w:t>157.064</w:t>
            </w:r>
          </w:p>
        </w:tc>
        <w:tc>
          <w:tcPr>
            <w:tcW w:w="1736" w:type="dxa"/>
            <w:shd w:val="clear" w:color="auto" w:fill="8DB3E2" w:themeFill="text2" w:themeFillTint="66"/>
            <w:vAlign w:val="center"/>
          </w:tcPr>
          <w:p w14:paraId="72BB5EA9" w14:textId="7DD25ADB" w:rsidR="004605A2" w:rsidRPr="00AC3E8F" w:rsidRDefault="00E137C0" w:rsidP="004605A2">
            <w:pPr>
              <w:pStyle w:val="cuadroCabe"/>
              <w:jc w:val="right"/>
              <w:rPr>
                <w:b/>
                <w:lang w:val="es-ES" w:eastAsia="es-ES"/>
              </w:rPr>
            </w:pPr>
            <w:r>
              <w:rPr>
                <w:rFonts w:cs="Arial"/>
                <w:b/>
                <w:color w:val="000000"/>
                <w:szCs w:val="18"/>
                <w:lang w:val="es-ES" w:eastAsia="es-ES"/>
              </w:rPr>
              <w:t>-</w:t>
            </w:r>
            <w:r w:rsidR="004605A2" w:rsidRPr="00A520BC">
              <w:rPr>
                <w:rFonts w:cs="Arial"/>
                <w:b/>
                <w:color w:val="000000"/>
                <w:szCs w:val="18"/>
                <w:lang w:val="es-ES" w:eastAsia="es-ES"/>
              </w:rPr>
              <w:t>1</w:t>
            </w:r>
            <w:r w:rsidR="004605A2">
              <w:rPr>
                <w:rFonts w:cs="Arial"/>
                <w:b/>
                <w:color w:val="000000"/>
                <w:szCs w:val="18"/>
                <w:lang w:val="es-ES" w:eastAsia="es-ES"/>
              </w:rPr>
              <w:t>40.782</w:t>
            </w:r>
          </w:p>
        </w:tc>
        <w:tc>
          <w:tcPr>
            <w:tcW w:w="1737" w:type="dxa"/>
            <w:shd w:val="clear" w:color="auto" w:fill="8DB3E2" w:themeFill="text2" w:themeFillTint="66"/>
            <w:vAlign w:val="center"/>
          </w:tcPr>
          <w:p w14:paraId="192B6C7D" w14:textId="09C3963C" w:rsidR="004605A2" w:rsidRPr="00AC3E8F" w:rsidRDefault="00E137C0" w:rsidP="004605A2">
            <w:pPr>
              <w:pStyle w:val="cuadroCabe"/>
              <w:jc w:val="right"/>
              <w:rPr>
                <w:b/>
                <w:lang w:val="es-ES" w:eastAsia="es-ES"/>
              </w:rPr>
            </w:pPr>
            <w:r>
              <w:rPr>
                <w:rFonts w:cs="Arial"/>
                <w:b/>
                <w:color w:val="000000"/>
                <w:szCs w:val="18"/>
                <w:lang w:val="es-ES" w:eastAsia="es-ES"/>
              </w:rPr>
              <w:t>-</w:t>
            </w:r>
            <w:r w:rsidR="004605A2">
              <w:rPr>
                <w:rFonts w:cs="Arial"/>
                <w:b/>
                <w:color w:val="000000"/>
                <w:szCs w:val="18"/>
                <w:lang w:val="es-ES" w:eastAsia="es-ES"/>
              </w:rPr>
              <w:t>154.149</w:t>
            </w:r>
          </w:p>
        </w:tc>
      </w:tr>
      <w:tr w:rsidR="004605A2" w:rsidRPr="007E2B6D" w14:paraId="53A7A379" w14:textId="31EDAAE3" w:rsidTr="004605A2">
        <w:trPr>
          <w:trHeight w:val="198"/>
        </w:trPr>
        <w:tc>
          <w:tcPr>
            <w:tcW w:w="6663" w:type="dxa"/>
            <w:tcBorders>
              <w:bottom w:val="single" w:sz="2" w:space="0" w:color="auto"/>
            </w:tcBorders>
            <w:shd w:val="clear" w:color="auto" w:fill="auto"/>
            <w:noWrap/>
            <w:vAlign w:val="center"/>
            <w:hideMark/>
          </w:tcPr>
          <w:p w14:paraId="5A1C74FB" w14:textId="77777777" w:rsidR="004605A2" w:rsidRPr="007E2B6D" w:rsidRDefault="004605A2" w:rsidP="004605A2">
            <w:pPr>
              <w:pStyle w:val="cuatexto"/>
              <w:jc w:val="left"/>
              <w:rPr>
                <w:lang w:val="es-ES" w:eastAsia="es-ES"/>
              </w:rPr>
            </w:pPr>
            <w:r w:rsidRPr="007E2B6D">
              <w:rPr>
                <w:lang w:val="es-ES" w:eastAsia="es-ES"/>
              </w:rPr>
              <w:t>13. Ingresos financieros</w:t>
            </w:r>
          </w:p>
        </w:tc>
        <w:tc>
          <w:tcPr>
            <w:tcW w:w="1285" w:type="dxa"/>
            <w:tcBorders>
              <w:bottom w:val="single" w:sz="2" w:space="0" w:color="auto"/>
            </w:tcBorders>
            <w:shd w:val="clear" w:color="auto" w:fill="auto"/>
            <w:noWrap/>
            <w:vAlign w:val="center"/>
            <w:hideMark/>
          </w:tcPr>
          <w:p w14:paraId="10C0964E" w14:textId="77777777" w:rsidR="004605A2" w:rsidRPr="007E2B6D" w:rsidRDefault="004605A2" w:rsidP="004605A2">
            <w:pPr>
              <w:pStyle w:val="cuatexto"/>
              <w:jc w:val="right"/>
              <w:rPr>
                <w:lang w:val="es-ES" w:eastAsia="es-ES"/>
              </w:rPr>
            </w:pPr>
            <w:r w:rsidRPr="007E2B6D">
              <w:rPr>
                <w:lang w:val="es-ES" w:eastAsia="es-ES"/>
              </w:rPr>
              <w:t>0</w:t>
            </w:r>
          </w:p>
        </w:tc>
        <w:tc>
          <w:tcPr>
            <w:tcW w:w="1736" w:type="dxa"/>
            <w:tcBorders>
              <w:bottom w:val="single" w:sz="2" w:space="0" w:color="auto"/>
            </w:tcBorders>
            <w:shd w:val="clear" w:color="auto" w:fill="auto"/>
            <w:noWrap/>
            <w:vAlign w:val="center"/>
            <w:hideMark/>
          </w:tcPr>
          <w:p w14:paraId="4752EF00" w14:textId="77777777" w:rsidR="004605A2" w:rsidRPr="007E2B6D" w:rsidRDefault="004605A2" w:rsidP="004605A2">
            <w:pPr>
              <w:pStyle w:val="cuatexto"/>
              <w:jc w:val="right"/>
              <w:rPr>
                <w:lang w:val="es-ES" w:eastAsia="es-ES"/>
              </w:rPr>
            </w:pPr>
            <w:r w:rsidRPr="007E2B6D">
              <w:rPr>
                <w:lang w:val="es-ES" w:eastAsia="es-ES"/>
              </w:rPr>
              <w:t>0</w:t>
            </w:r>
          </w:p>
        </w:tc>
        <w:tc>
          <w:tcPr>
            <w:tcW w:w="1736" w:type="dxa"/>
            <w:tcBorders>
              <w:bottom w:val="single" w:sz="2" w:space="0" w:color="auto"/>
            </w:tcBorders>
            <w:vAlign w:val="center"/>
          </w:tcPr>
          <w:p w14:paraId="05C19824" w14:textId="283E40A3" w:rsidR="004605A2" w:rsidRPr="007E2B6D" w:rsidRDefault="004605A2" w:rsidP="004605A2">
            <w:pPr>
              <w:pStyle w:val="cuatexto"/>
              <w:jc w:val="right"/>
              <w:rPr>
                <w:lang w:val="es-ES" w:eastAsia="es-ES"/>
              </w:rPr>
            </w:pPr>
            <w:r w:rsidRPr="007E2B6D">
              <w:rPr>
                <w:rFonts w:cs="Arial"/>
                <w:color w:val="000000"/>
                <w:lang w:val="es-ES" w:eastAsia="es-ES"/>
              </w:rPr>
              <w:t>0</w:t>
            </w:r>
          </w:p>
        </w:tc>
        <w:tc>
          <w:tcPr>
            <w:tcW w:w="1737" w:type="dxa"/>
            <w:tcBorders>
              <w:bottom w:val="single" w:sz="2" w:space="0" w:color="auto"/>
            </w:tcBorders>
            <w:vAlign w:val="center"/>
          </w:tcPr>
          <w:p w14:paraId="6EF6501A" w14:textId="7742730C" w:rsidR="004605A2" w:rsidRPr="007E2B6D" w:rsidRDefault="004605A2" w:rsidP="004605A2">
            <w:pPr>
              <w:pStyle w:val="cuatexto"/>
              <w:jc w:val="right"/>
              <w:rPr>
                <w:lang w:val="es-ES" w:eastAsia="es-ES"/>
              </w:rPr>
            </w:pPr>
            <w:r w:rsidRPr="007E2B6D">
              <w:rPr>
                <w:rFonts w:cs="Arial"/>
                <w:color w:val="000000"/>
                <w:lang w:val="es-ES" w:eastAsia="es-ES"/>
              </w:rPr>
              <w:t>0</w:t>
            </w:r>
          </w:p>
        </w:tc>
      </w:tr>
      <w:tr w:rsidR="004605A2" w:rsidRPr="007E2B6D" w14:paraId="5499C21A" w14:textId="7A6BEA08" w:rsidTr="004605A2">
        <w:trPr>
          <w:trHeight w:val="198"/>
        </w:trPr>
        <w:tc>
          <w:tcPr>
            <w:tcW w:w="6663" w:type="dxa"/>
            <w:tcBorders>
              <w:top w:val="single" w:sz="2" w:space="0" w:color="auto"/>
              <w:bottom w:val="single" w:sz="2" w:space="0" w:color="auto"/>
            </w:tcBorders>
            <w:shd w:val="clear" w:color="auto" w:fill="auto"/>
            <w:noWrap/>
            <w:vAlign w:val="center"/>
            <w:hideMark/>
          </w:tcPr>
          <w:p w14:paraId="613735F1" w14:textId="77777777" w:rsidR="004605A2" w:rsidRPr="007E2B6D" w:rsidRDefault="004605A2" w:rsidP="004605A2">
            <w:pPr>
              <w:pStyle w:val="cuatexto"/>
              <w:ind w:left="209"/>
              <w:jc w:val="left"/>
              <w:rPr>
                <w:lang w:val="es-ES" w:eastAsia="es-ES"/>
              </w:rPr>
            </w:pPr>
            <w:r w:rsidRPr="007E2B6D">
              <w:rPr>
                <w:lang w:val="es-ES" w:eastAsia="es-ES"/>
              </w:rPr>
              <w:t>a) Imputación de subvenciones, donaciones y legados de carácter financiero</w:t>
            </w:r>
          </w:p>
        </w:tc>
        <w:tc>
          <w:tcPr>
            <w:tcW w:w="1285" w:type="dxa"/>
            <w:tcBorders>
              <w:top w:val="single" w:sz="2" w:space="0" w:color="auto"/>
              <w:bottom w:val="single" w:sz="2" w:space="0" w:color="auto"/>
            </w:tcBorders>
            <w:shd w:val="clear" w:color="auto" w:fill="auto"/>
            <w:vAlign w:val="center"/>
            <w:hideMark/>
          </w:tcPr>
          <w:p w14:paraId="1E1D485A"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shd w:val="clear" w:color="auto" w:fill="auto"/>
            <w:noWrap/>
            <w:vAlign w:val="center"/>
            <w:hideMark/>
          </w:tcPr>
          <w:p w14:paraId="646D6A74"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vAlign w:val="center"/>
          </w:tcPr>
          <w:p w14:paraId="18FE2706" w14:textId="4B44784A"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2" w:space="0" w:color="auto"/>
            </w:tcBorders>
            <w:vAlign w:val="center"/>
          </w:tcPr>
          <w:p w14:paraId="692BDD3B" w14:textId="1CC77C23"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3EB6AAE9" w14:textId="52D30849" w:rsidTr="004605A2">
        <w:trPr>
          <w:trHeight w:val="198"/>
        </w:trPr>
        <w:tc>
          <w:tcPr>
            <w:tcW w:w="6663" w:type="dxa"/>
            <w:tcBorders>
              <w:top w:val="single" w:sz="2" w:space="0" w:color="auto"/>
              <w:bottom w:val="single" w:sz="2" w:space="0" w:color="auto"/>
            </w:tcBorders>
            <w:shd w:val="clear" w:color="auto" w:fill="auto"/>
            <w:noWrap/>
            <w:vAlign w:val="center"/>
            <w:hideMark/>
          </w:tcPr>
          <w:p w14:paraId="29B830BF" w14:textId="77777777" w:rsidR="004605A2" w:rsidRPr="007E2B6D" w:rsidRDefault="004605A2" w:rsidP="004605A2">
            <w:pPr>
              <w:pStyle w:val="cuatexto"/>
              <w:ind w:left="209"/>
              <w:jc w:val="left"/>
              <w:rPr>
                <w:lang w:val="es-ES" w:eastAsia="es-ES"/>
              </w:rPr>
            </w:pPr>
            <w:r w:rsidRPr="007E2B6D">
              <w:rPr>
                <w:lang w:val="es-ES" w:eastAsia="es-ES"/>
              </w:rPr>
              <w:t>b) Otros ingresos financieros</w:t>
            </w:r>
          </w:p>
        </w:tc>
        <w:tc>
          <w:tcPr>
            <w:tcW w:w="1285" w:type="dxa"/>
            <w:tcBorders>
              <w:top w:val="single" w:sz="2" w:space="0" w:color="auto"/>
              <w:bottom w:val="single" w:sz="2" w:space="0" w:color="auto"/>
            </w:tcBorders>
            <w:shd w:val="clear" w:color="auto" w:fill="auto"/>
            <w:vAlign w:val="center"/>
            <w:hideMark/>
          </w:tcPr>
          <w:p w14:paraId="1A32C5F0"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shd w:val="clear" w:color="auto" w:fill="auto"/>
            <w:noWrap/>
            <w:vAlign w:val="center"/>
            <w:hideMark/>
          </w:tcPr>
          <w:p w14:paraId="28E044A8"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vAlign w:val="center"/>
          </w:tcPr>
          <w:p w14:paraId="04F1A8EC" w14:textId="2BF2089B"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2" w:space="0" w:color="auto"/>
            </w:tcBorders>
            <w:vAlign w:val="center"/>
          </w:tcPr>
          <w:p w14:paraId="45EA1564" w14:textId="7F40FD7E"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083F71AA" w14:textId="404364E3" w:rsidTr="004605A2">
        <w:trPr>
          <w:trHeight w:val="198"/>
        </w:trPr>
        <w:tc>
          <w:tcPr>
            <w:tcW w:w="6663" w:type="dxa"/>
            <w:tcBorders>
              <w:top w:val="single" w:sz="2" w:space="0" w:color="auto"/>
              <w:bottom w:val="single" w:sz="2" w:space="0" w:color="auto"/>
            </w:tcBorders>
            <w:shd w:val="clear" w:color="auto" w:fill="auto"/>
            <w:noWrap/>
            <w:vAlign w:val="center"/>
            <w:hideMark/>
          </w:tcPr>
          <w:p w14:paraId="00C78A3C" w14:textId="77777777" w:rsidR="004605A2" w:rsidRPr="007E2B6D" w:rsidRDefault="004605A2" w:rsidP="004605A2">
            <w:pPr>
              <w:pStyle w:val="cuatexto"/>
              <w:jc w:val="left"/>
              <w:rPr>
                <w:lang w:val="es-ES" w:eastAsia="es-ES"/>
              </w:rPr>
            </w:pPr>
            <w:r w:rsidRPr="007E2B6D">
              <w:rPr>
                <w:lang w:val="es-ES" w:eastAsia="es-ES"/>
              </w:rPr>
              <w:t>14. Gastos financieros</w:t>
            </w:r>
          </w:p>
        </w:tc>
        <w:tc>
          <w:tcPr>
            <w:tcW w:w="1285" w:type="dxa"/>
            <w:tcBorders>
              <w:top w:val="single" w:sz="2" w:space="0" w:color="auto"/>
              <w:bottom w:val="single" w:sz="2" w:space="0" w:color="auto"/>
            </w:tcBorders>
            <w:shd w:val="clear" w:color="auto" w:fill="auto"/>
            <w:vAlign w:val="center"/>
            <w:hideMark/>
          </w:tcPr>
          <w:p w14:paraId="020ECE42" w14:textId="77777777" w:rsidR="004605A2" w:rsidRPr="007E2B6D" w:rsidRDefault="004605A2" w:rsidP="004605A2">
            <w:pPr>
              <w:pStyle w:val="cuatexto"/>
              <w:jc w:val="right"/>
              <w:rPr>
                <w:lang w:val="es-ES" w:eastAsia="es-ES"/>
              </w:rPr>
            </w:pPr>
            <w:r w:rsidRPr="007E2B6D">
              <w:rPr>
                <w:lang w:val="es-ES" w:eastAsia="es-ES"/>
              </w:rPr>
              <w:t xml:space="preserve">135 </w:t>
            </w:r>
          </w:p>
        </w:tc>
        <w:tc>
          <w:tcPr>
            <w:tcW w:w="1736" w:type="dxa"/>
            <w:tcBorders>
              <w:top w:val="single" w:sz="2" w:space="0" w:color="auto"/>
              <w:bottom w:val="single" w:sz="2" w:space="0" w:color="auto"/>
            </w:tcBorders>
            <w:shd w:val="clear" w:color="auto" w:fill="auto"/>
            <w:noWrap/>
            <w:vAlign w:val="center"/>
            <w:hideMark/>
          </w:tcPr>
          <w:p w14:paraId="0D0B5EC5" w14:textId="77777777" w:rsidR="004605A2" w:rsidRPr="007E2B6D" w:rsidRDefault="004605A2" w:rsidP="004605A2">
            <w:pPr>
              <w:pStyle w:val="cuatexto"/>
              <w:jc w:val="right"/>
              <w:rPr>
                <w:lang w:val="es-ES" w:eastAsia="es-ES"/>
              </w:rPr>
            </w:pPr>
            <w:r>
              <w:rPr>
                <w:lang w:val="es-ES" w:eastAsia="es-ES"/>
              </w:rPr>
              <w:t>474</w:t>
            </w:r>
          </w:p>
        </w:tc>
        <w:tc>
          <w:tcPr>
            <w:tcW w:w="1736" w:type="dxa"/>
            <w:tcBorders>
              <w:top w:val="single" w:sz="2" w:space="0" w:color="auto"/>
              <w:bottom w:val="single" w:sz="2" w:space="0" w:color="auto"/>
            </w:tcBorders>
            <w:vAlign w:val="center"/>
          </w:tcPr>
          <w:p w14:paraId="74821DD8" w14:textId="7B49CD25" w:rsidR="004605A2" w:rsidRDefault="004605A2" w:rsidP="004605A2">
            <w:pPr>
              <w:pStyle w:val="cuatexto"/>
              <w:jc w:val="right"/>
              <w:rPr>
                <w:lang w:val="es-ES" w:eastAsia="es-ES"/>
              </w:rPr>
            </w:pPr>
            <w:r>
              <w:rPr>
                <w:rFonts w:cs="Arial"/>
                <w:color w:val="000000"/>
                <w:lang w:val="es-ES" w:eastAsia="es-ES"/>
              </w:rPr>
              <w:t>0</w:t>
            </w:r>
            <w:r w:rsidRPr="007E2B6D">
              <w:rPr>
                <w:rFonts w:cs="Arial"/>
                <w:color w:val="000000"/>
                <w:lang w:val="es-ES" w:eastAsia="es-ES"/>
              </w:rPr>
              <w:t xml:space="preserve"> </w:t>
            </w:r>
          </w:p>
        </w:tc>
        <w:tc>
          <w:tcPr>
            <w:tcW w:w="1737" w:type="dxa"/>
            <w:tcBorders>
              <w:top w:val="single" w:sz="2" w:space="0" w:color="auto"/>
              <w:bottom w:val="single" w:sz="2" w:space="0" w:color="auto"/>
            </w:tcBorders>
            <w:vAlign w:val="center"/>
          </w:tcPr>
          <w:p w14:paraId="3EBFEF50" w14:textId="595006BE" w:rsidR="004605A2" w:rsidRDefault="004605A2" w:rsidP="004605A2">
            <w:pPr>
              <w:pStyle w:val="cuatexto"/>
              <w:jc w:val="right"/>
              <w:rPr>
                <w:lang w:val="es-ES" w:eastAsia="es-ES"/>
              </w:rPr>
            </w:pPr>
            <w:r>
              <w:rPr>
                <w:rFonts w:cs="Arial"/>
                <w:color w:val="000000"/>
                <w:lang w:val="es-ES" w:eastAsia="es-ES"/>
              </w:rPr>
              <w:t>457</w:t>
            </w:r>
          </w:p>
        </w:tc>
      </w:tr>
      <w:tr w:rsidR="004605A2" w:rsidRPr="007E2B6D" w14:paraId="1534BEA5" w14:textId="644CB60A" w:rsidTr="004605A2">
        <w:trPr>
          <w:trHeight w:val="198"/>
        </w:trPr>
        <w:tc>
          <w:tcPr>
            <w:tcW w:w="6663" w:type="dxa"/>
            <w:tcBorders>
              <w:top w:val="single" w:sz="2" w:space="0" w:color="auto"/>
              <w:bottom w:val="single" w:sz="2" w:space="0" w:color="auto"/>
            </w:tcBorders>
            <w:shd w:val="clear" w:color="auto" w:fill="auto"/>
            <w:noWrap/>
            <w:vAlign w:val="center"/>
            <w:hideMark/>
          </w:tcPr>
          <w:p w14:paraId="04F8338A" w14:textId="77777777" w:rsidR="004605A2" w:rsidRPr="007E2B6D" w:rsidRDefault="004605A2" w:rsidP="004605A2">
            <w:pPr>
              <w:pStyle w:val="cuatexto"/>
              <w:jc w:val="left"/>
              <w:rPr>
                <w:lang w:val="es-ES" w:eastAsia="es-ES"/>
              </w:rPr>
            </w:pPr>
            <w:r w:rsidRPr="007E2B6D">
              <w:rPr>
                <w:lang w:val="es-ES" w:eastAsia="es-ES"/>
              </w:rPr>
              <w:t>15. Variación de valor razonable en instrumentos financieros</w:t>
            </w:r>
          </w:p>
        </w:tc>
        <w:tc>
          <w:tcPr>
            <w:tcW w:w="1285" w:type="dxa"/>
            <w:tcBorders>
              <w:top w:val="single" w:sz="2" w:space="0" w:color="auto"/>
              <w:bottom w:val="single" w:sz="2" w:space="0" w:color="auto"/>
            </w:tcBorders>
            <w:shd w:val="clear" w:color="auto" w:fill="auto"/>
            <w:vAlign w:val="center"/>
            <w:hideMark/>
          </w:tcPr>
          <w:p w14:paraId="40DDF907"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shd w:val="clear" w:color="auto" w:fill="auto"/>
            <w:noWrap/>
            <w:vAlign w:val="center"/>
            <w:hideMark/>
          </w:tcPr>
          <w:p w14:paraId="1EA75A02"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vAlign w:val="center"/>
          </w:tcPr>
          <w:p w14:paraId="6DF07FA3" w14:textId="6E1F7C11"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2" w:space="0" w:color="auto"/>
            </w:tcBorders>
            <w:vAlign w:val="center"/>
          </w:tcPr>
          <w:p w14:paraId="3E5D8088" w14:textId="48E7783C"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30D85E68" w14:textId="2418C609" w:rsidTr="004605A2">
        <w:trPr>
          <w:trHeight w:val="198"/>
        </w:trPr>
        <w:tc>
          <w:tcPr>
            <w:tcW w:w="6663" w:type="dxa"/>
            <w:tcBorders>
              <w:top w:val="single" w:sz="2" w:space="0" w:color="auto"/>
              <w:bottom w:val="single" w:sz="2" w:space="0" w:color="auto"/>
            </w:tcBorders>
            <w:shd w:val="clear" w:color="auto" w:fill="auto"/>
            <w:noWrap/>
            <w:vAlign w:val="center"/>
            <w:hideMark/>
          </w:tcPr>
          <w:p w14:paraId="23827119" w14:textId="77777777" w:rsidR="004605A2" w:rsidRPr="007E2B6D" w:rsidRDefault="004605A2" w:rsidP="004605A2">
            <w:pPr>
              <w:pStyle w:val="cuatexto"/>
              <w:jc w:val="left"/>
              <w:rPr>
                <w:lang w:val="es-ES" w:eastAsia="es-ES"/>
              </w:rPr>
            </w:pPr>
            <w:r w:rsidRPr="007E2B6D">
              <w:rPr>
                <w:lang w:val="es-ES" w:eastAsia="es-ES"/>
              </w:rPr>
              <w:t>16. Diferencias de cambio</w:t>
            </w:r>
          </w:p>
        </w:tc>
        <w:tc>
          <w:tcPr>
            <w:tcW w:w="1285" w:type="dxa"/>
            <w:tcBorders>
              <w:top w:val="single" w:sz="2" w:space="0" w:color="auto"/>
              <w:bottom w:val="single" w:sz="2" w:space="0" w:color="auto"/>
            </w:tcBorders>
            <w:shd w:val="clear" w:color="auto" w:fill="auto"/>
            <w:vAlign w:val="center"/>
            <w:hideMark/>
          </w:tcPr>
          <w:p w14:paraId="5E39858D"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shd w:val="clear" w:color="auto" w:fill="auto"/>
            <w:noWrap/>
            <w:vAlign w:val="center"/>
            <w:hideMark/>
          </w:tcPr>
          <w:p w14:paraId="5FC55846"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vAlign w:val="center"/>
          </w:tcPr>
          <w:p w14:paraId="65721EEF" w14:textId="72FC6A8A"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2" w:space="0" w:color="auto"/>
            </w:tcBorders>
            <w:vAlign w:val="center"/>
          </w:tcPr>
          <w:p w14:paraId="6619A498" w14:textId="58901AAE"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46DE9970" w14:textId="00CC3908" w:rsidTr="004605A2">
        <w:trPr>
          <w:trHeight w:val="198"/>
        </w:trPr>
        <w:tc>
          <w:tcPr>
            <w:tcW w:w="6663" w:type="dxa"/>
            <w:tcBorders>
              <w:top w:val="single" w:sz="2" w:space="0" w:color="auto"/>
              <w:bottom w:val="single" w:sz="2" w:space="0" w:color="auto"/>
            </w:tcBorders>
            <w:shd w:val="clear" w:color="auto" w:fill="auto"/>
            <w:noWrap/>
            <w:vAlign w:val="center"/>
            <w:hideMark/>
          </w:tcPr>
          <w:p w14:paraId="77AA819D" w14:textId="77777777" w:rsidR="004605A2" w:rsidRPr="007E2B6D" w:rsidRDefault="004605A2" w:rsidP="004605A2">
            <w:pPr>
              <w:pStyle w:val="cuatexto"/>
              <w:jc w:val="left"/>
              <w:rPr>
                <w:lang w:val="es-ES" w:eastAsia="es-ES"/>
              </w:rPr>
            </w:pPr>
            <w:r w:rsidRPr="007E2B6D">
              <w:rPr>
                <w:lang w:val="es-ES" w:eastAsia="es-ES"/>
              </w:rPr>
              <w:t>17. Deterioro y resultado por enajenaciones de instrumentos financieros</w:t>
            </w:r>
          </w:p>
        </w:tc>
        <w:tc>
          <w:tcPr>
            <w:tcW w:w="1285" w:type="dxa"/>
            <w:tcBorders>
              <w:top w:val="single" w:sz="2" w:space="0" w:color="auto"/>
              <w:bottom w:val="single" w:sz="2" w:space="0" w:color="auto"/>
            </w:tcBorders>
            <w:shd w:val="clear" w:color="auto" w:fill="auto"/>
            <w:vAlign w:val="center"/>
            <w:hideMark/>
          </w:tcPr>
          <w:p w14:paraId="633B48F6"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shd w:val="clear" w:color="auto" w:fill="auto"/>
            <w:noWrap/>
            <w:vAlign w:val="center"/>
            <w:hideMark/>
          </w:tcPr>
          <w:p w14:paraId="746AF8FB"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vAlign w:val="center"/>
          </w:tcPr>
          <w:p w14:paraId="35B4AB45" w14:textId="2B5C6A71"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2" w:space="0" w:color="auto"/>
            </w:tcBorders>
            <w:vAlign w:val="center"/>
          </w:tcPr>
          <w:p w14:paraId="6F1B34DB" w14:textId="136C33BD"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1B400D5F" w14:textId="01C7A31C" w:rsidTr="004605A2">
        <w:trPr>
          <w:trHeight w:val="198"/>
        </w:trPr>
        <w:tc>
          <w:tcPr>
            <w:tcW w:w="6663" w:type="dxa"/>
            <w:tcBorders>
              <w:top w:val="single" w:sz="2" w:space="0" w:color="auto"/>
              <w:bottom w:val="single" w:sz="2" w:space="0" w:color="auto"/>
            </w:tcBorders>
            <w:shd w:val="clear" w:color="auto" w:fill="auto"/>
            <w:noWrap/>
            <w:vAlign w:val="center"/>
            <w:hideMark/>
          </w:tcPr>
          <w:p w14:paraId="64B13906" w14:textId="77777777" w:rsidR="004605A2" w:rsidRPr="007E2B6D" w:rsidRDefault="004605A2" w:rsidP="004605A2">
            <w:pPr>
              <w:pStyle w:val="cuatexto"/>
              <w:jc w:val="left"/>
              <w:rPr>
                <w:lang w:val="es-ES" w:eastAsia="es-ES"/>
              </w:rPr>
            </w:pPr>
            <w:r w:rsidRPr="007E2B6D">
              <w:rPr>
                <w:lang w:val="es-ES" w:eastAsia="es-ES"/>
              </w:rPr>
              <w:t>18. Otros ingresos y gastos de carácter financiero</w:t>
            </w:r>
          </w:p>
        </w:tc>
        <w:tc>
          <w:tcPr>
            <w:tcW w:w="1285" w:type="dxa"/>
            <w:tcBorders>
              <w:top w:val="single" w:sz="2" w:space="0" w:color="auto"/>
              <w:bottom w:val="single" w:sz="2" w:space="0" w:color="auto"/>
            </w:tcBorders>
            <w:shd w:val="clear" w:color="auto" w:fill="auto"/>
            <w:vAlign w:val="center"/>
            <w:hideMark/>
          </w:tcPr>
          <w:p w14:paraId="7DE58520"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shd w:val="clear" w:color="auto" w:fill="auto"/>
            <w:noWrap/>
            <w:vAlign w:val="center"/>
            <w:hideMark/>
          </w:tcPr>
          <w:p w14:paraId="693116AE"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vAlign w:val="center"/>
          </w:tcPr>
          <w:p w14:paraId="62C90BDD" w14:textId="3909A676"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2" w:space="0" w:color="auto"/>
            </w:tcBorders>
            <w:vAlign w:val="center"/>
          </w:tcPr>
          <w:p w14:paraId="55D8FAF2" w14:textId="4243DDAD"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12F6D551" w14:textId="002008B5" w:rsidTr="004605A2">
        <w:trPr>
          <w:trHeight w:val="198"/>
        </w:trPr>
        <w:tc>
          <w:tcPr>
            <w:tcW w:w="6663" w:type="dxa"/>
            <w:tcBorders>
              <w:top w:val="single" w:sz="2" w:space="0" w:color="auto"/>
              <w:bottom w:val="single" w:sz="2" w:space="0" w:color="auto"/>
            </w:tcBorders>
            <w:shd w:val="clear" w:color="auto" w:fill="auto"/>
            <w:noWrap/>
            <w:vAlign w:val="center"/>
            <w:hideMark/>
          </w:tcPr>
          <w:p w14:paraId="034DA82B" w14:textId="77777777" w:rsidR="004605A2" w:rsidRPr="007E2B6D" w:rsidRDefault="004605A2" w:rsidP="004605A2">
            <w:pPr>
              <w:pStyle w:val="cuatexto"/>
              <w:jc w:val="left"/>
              <w:rPr>
                <w:lang w:val="es-ES" w:eastAsia="es-ES"/>
              </w:rPr>
            </w:pPr>
            <w:r w:rsidRPr="007E2B6D">
              <w:rPr>
                <w:lang w:val="es-ES" w:eastAsia="es-ES"/>
              </w:rPr>
              <w:t>a) Incorporación al activo de gastos financieros</w:t>
            </w:r>
          </w:p>
        </w:tc>
        <w:tc>
          <w:tcPr>
            <w:tcW w:w="1285" w:type="dxa"/>
            <w:tcBorders>
              <w:top w:val="single" w:sz="2" w:space="0" w:color="auto"/>
              <w:bottom w:val="single" w:sz="2" w:space="0" w:color="auto"/>
            </w:tcBorders>
            <w:shd w:val="clear" w:color="auto" w:fill="auto"/>
            <w:vAlign w:val="center"/>
            <w:hideMark/>
          </w:tcPr>
          <w:p w14:paraId="55392501"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shd w:val="clear" w:color="auto" w:fill="auto"/>
            <w:noWrap/>
            <w:vAlign w:val="center"/>
            <w:hideMark/>
          </w:tcPr>
          <w:p w14:paraId="0C4D77BA"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vAlign w:val="center"/>
          </w:tcPr>
          <w:p w14:paraId="67FAC5B8" w14:textId="409C0366"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2" w:space="0" w:color="auto"/>
            </w:tcBorders>
            <w:vAlign w:val="center"/>
          </w:tcPr>
          <w:p w14:paraId="1A800601" w14:textId="3C3B39D2"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532AF549" w14:textId="3C731447" w:rsidTr="004605A2">
        <w:trPr>
          <w:trHeight w:val="198"/>
        </w:trPr>
        <w:tc>
          <w:tcPr>
            <w:tcW w:w="6663" w:type="dxa"/>
            <w:tcBorders>
              <w:top w:val="single" w:sz="2" w:space="0" w:color="auto"/>
              <w:bottom w:val="single" w:sz="2" w:space="0" w:color="auto"/>
            </w:tcBorders>
            <w:shd w:val="clear" w:color="auto" w:fill="auto"/>
            <w:noWrap/>
            <w:vAlign w:val="center"/>
            <w:hideMark/>
          </w:tcPr>
          <w:p w14:paraId="2262477D" w14:textId="77777777" w:rsidR="004605A2" w:rsidRPr="007E2B6D" w:rsidRDefault="004605A2" w:rsidP="004605A2">
            <w:pPr>
              <w:pStyle w:val="cuatexto"/>
              <w:ind w:left="209"/>
              <w:jc w:val="left"/>
              <w:rPr>
                <w:lang w:val="es-ES" w:eastAsia="es-ES"/>
              </w:rPr>
            </w:pPr>
            <w:r w:rsidRPr="007E2B6D">
              <w:rPr>
                <w:lang w:val="es-ES" w:eastAsia="es-ES"/>
              </w:rPr>
              <w:t>b) Ingresos financieros derivados de convenios de acreedores</w:t>
            </w:r>
          </w:p>
        </w:tc>
        <w:tc>
          <w:tcPr>
            <w:tcW w:w="1285" w:type="dxa"/>
            <w:tcBorders>
              <w:top w:val="single" w:sz="2" w:space="0" w:color="auto"/>
              <w:bottom w:val="single" w:sz="2" w:space="0" w:color="auto"/>
            </w:tcBorders>
            <w:shd w:val="clear" w:color="auto" w:fill="auto"/>
            <w:vAlign w:val="center"/>
            <w:hideMark/>
          </w:tcPr>
          <w:p w14:paraId="2F5D4FB1"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shd w:val="clear" w:color="auto" w:fill="auto"/>
            <w:noWrap/>
            <w:vAlign w:val="center"/>
            <w:hideMark/>
          </w:tcPr>
          <w:p w14:paraId="29C70581" w14:textId="77777777" w:rsidR="004605A2" w:rsidRPr="007E2B6D" w:rsidRDefault="004605A2" w:rsidP="004605A2">
            <w:pPr>
              <w:pStyle w:val="cuatexto"/>
              <w:jc w:val="right"/>
              <w:rPr>
                <w:lang w:val="es-ES" w:eastAsia="es-ES"/>
              </w:rPr>
            </w:pPr>
            <w:r w:rsidRPr="007E2B6D">
              <w:rPr>
                <w:lang w:val="es-ES" w:eastAsia="es-ES"/>
              </w:rPr>
              <w:t xml:space="preserve">0 </w:t>
            </w:r>
          </w:p>
        </w:tc>
        <w:tc>
          <w:tcPr>
            <w:tcW w:w="1736" w:type="dxa"/>
            <w:tcBorders>
              <w:top w:val="single" w:sz="2" w:space="0" w:color="auto"/>
              <w:bottom w:val="single" w:sz="2" w:space="0" w:color="auto"/>
            </w:tcBorders>
            <w:vAlign w:val="center"/>
          </w:tcPr>
          <w:p w14:paraId="25DDBF50" w14:textId="4725F7FE"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c>
          <w:tcPr>
            <w:tcW w:w="1737" w:type="dxa"/>
            <w:tcBorders>
              <w:top w:val="single" w:sz="2" w:space="0" w:color="auto"/>
              <w:bottom w:val="single" w:sz="2" w:space="0" w:color="auto"/>
            </w:tcBorders>
            <w:vAlign w:val="center"/>
          </w:tcPr>
          <w:p w14:paraId="47011988" w14:textId="16A7A8C9" w:rsidR="004605A2" w:rsidRPr="007E2B6D" w:rsidRDefault="004605A2" w:rsidP="004605A2">
            <w:pPr>
              <w:pStyle w:val="cuatexto"/>
              <w:jc w:val="right"/>
              <w:rPr>
                <w:lang w:val="es-ES" w:eastAsia="es-ES"/>
              </w:rPr>
            </w:pPr>
            <w:r w:rsidRPr="007E2B6D">
              <w:rPr>
                <w:rFonts w:cs="Arial"/>
                <w:color w:val="000000"/>
                <w:lang w:val="es-ES" w:eastAsia="es-ES"/>
              </w:rPr>
              <w:t xml:space="preserve">0 </w:t>
            </w:r>
          </w:p>
        </w:tc>
      </w:tr>
      <w:tr w:rsidR="004605A2" w:rsidRPr="007E2B6D" w14:paraId="6A7B8C5C" w14:textId="103D5C76" w:rsidTr="0032304B">
        <w:trPr>
          <w:trHeight w:val="198"/>
        </w:trPr>
        <w:tc>
          <w:tcPr>
            <w:tcW w:w="6663" w:type="dxa"/>
            <w:tcBorders>
              <w:top w:val="single" w:sz="2" w:space="0" w:color="auto"/>
              <w:bottom w:val="single" w:sz="4" w:space="0" w:color="auto"/>
            </w:tcBorders>
            <w:shd w:val="clear" w:color="auto" w:fill="auto"/>
            <w:noWrap/>
            <w:vAlign w:val="center"/>
            <w:hideMark/>
          </w:tcPr>
          <w:p w14:paraId="3210E00A" w14:textId="77777777" w:rsidR="004605A2" w:rsidRPr="007E2B6D" w:rsidRDefault="004605A2" w:rsidP="004605A2">
            <w:pPr>
              <w:pStyle w:val="cuatexto"/>
              <w:ind w:left="209"/>
              <w:jc w:val="left"/>
              <w:rPr>
                <w:lang w:val="es-ES" w:eastAsia="es-ES"/>
              </w:rPr>
            </w:pPr>
            <w:r w:rsidRPr="007E2B6D">
              <w:rPr>
                <w:lang w:val="es-ES" w:eastAsia="es-ES"/>
              </w:rPr>
              <w:t>c) Resto de ingresos y gastos</w:t>
            </w:r>
          </w:p>
        </w:tc>
        <w:tc>
          <w:tcPr>
            <w:tcW w:w="1285" w:type="dxa"/>
            <w:tcBorders>
              <w:top w:val="single" w:sz="2" w:space="0" w:color="auto"/>
              <w:bottom w:val="single" w:sz="4" w:space="0" w:color="auto"/>
            </w:tcBorders>
            <w:shd w:val="clear" w:color="auto" w:fill="auto"/>
            <w:noWrap/>
            <w:vAlign w:val="center"/>
            <w:hideMark/>
          </w:tcPr>
          <w:p w14:paraId="4C6FB666" w14:textId="77777777" w:rsidR="004605A2" w:rsidRPr="007E2B6D" w:rsidRDefault="004605A2" w:rsidP="004605A2">
            <w:pPr>
              <w:pStyle w:val="cuatexto"/>
              <w:jc w:val="right"/>
              <w:rPr>
                <w:lang w:val="es-ES" w:eastAsia="es-ES"/>
              </w:rPr>
            </w:pPr>
            <w:r w:rsidRPr="007E2B6D">
              <w:rPr>
                <w:lang w:val="es-ES" w:eastAsia="es-ES"/>
              </w:rPr>
              <w:t>0</w:t>
            </w:r>
          </w:p>
        </w:tc>
        <w:tc>
          <w:tcPr>
            <w:tcW w:w="1736" w:type="dxa"/>
            <w:tcBorders>
              <w:top w:val="single" w:sz="2" w:space="0" w:color="auto"/>
              <w:bottom w:val="single" w:sz="4" w:space="0" w:color="auto"/>
            </w:tcBorders>
            <w:shd w:val="clear" w:color="auto" w:fill="auto"/>
            <w:noWrap/>
            <w:vAlign w:val="center"/>
            <w:hideMark/>
          </w:tcPr>
          <w:p w14:paraId="74B54DEE" w14:textId="77777777" w:rsidR="004605A2" w:rsidRPr="007E2B6D" w:rsidRDefault="004605A2" w:rsidP="004605A2">
            <w:pPr>
              <w:pStyle w:val="cuatexto"/>
              <w:jc w:val="right"/>
              <w:rPr>
                <w:lang w:val="es-ES" w:eastAsia="es-ES"/>
              </w:rPr>
            </w:pPr>
            <w:r w:rsidRPr="007E2B6D">
              <w:rPr>
                <w:lang w:val="es-ES" w:eastAsia="es-ES"/>
              </w:rPr>
              <w:t>0</w:t>
            </w:r>
          </w:p>
        </w:tc>
        <w:tc>
          <w:tcPr>
            <w:tcW w:w="1736" w:type="dxa"/>
            <w:tcBorders>
              <w:top w:val="single" w:sz="2" w:space="0" w:color="auto"/>
              <w:bottom w:val="single" w:sz="4" w:space="0" w:color="auto"/>
            </w:tcBorders>
            <w:vAlign w:val="center"/>
          </w:tcPr>
          <w:p w14:paraId="1D10DD7B" w14:textId="3902F4DF" w:rsidR="004605A2" w:rsidRPr="007E2B6D" w:rsidRDefault="004605A2" w:rsidP="004605A2">
            <w:pPr>
              <w:pStyle w:val="cuatexto"/>
              <w:jc w:val="right"/>
              <w:rPr>
                <w:lang w:val="es-ES" w:eastAsia="es-ES"/>
              </w:rPr>
            </w:pPr>
            <w:r w:rsidRPr="007E2B6D">
              <w:rPr>
                <w:rFonts w:cs="Arial"/>
                <w:color w:val="000000"/>
                <w:lang w:val="es-ES" w:eastAsia="es-ES"/>
              </w:rPr>
              <w:t>0</w:t>
            </w:r>
          </w:p>
        </w:tc>
        <w:tc>
          <w:tcPr>
            <w:tcW w:w="1737" w:type="dxa"/>
            <w:tcBorders>
              <w:top w:val="single" w:sz="2" w:space="0" w:color="auto"/>
              <w:bottom w:val="single" w:sz="4" w:space="0" w:color="auto"/>
            </w:tcBorders>
            <w:vAlign w:val="center"/>
          </w:tcPr>
          <w:p w14:paraId="2B0D7D85" w14:textId="4178DE49" w:rsidR="004605A2" w:rsidRPr="007E2B6D" w:rsidRDefault="004605A2" w:rsidP="004605A2">
            <w:pPr>
              <w:pStyle w:val="cuatexto"/>
              <w:jc w:val="right"/>
              <w:rPr>
                <w:lang w:val="es-ES" w:eastAsia="es-ES"/>
              </w:rPr>
            </w:pPr>
            <w:r w:rsidRPr="007E2B6D">
              <w:rPr>
                <w:rFonts w:cs="Arial"/>
                <w:color w:val="000000"/>
                <w:lang w:val="es-ES" w:eastAsia="es-ES"/>
              </w:rPr>
              <w:t>0</w:t>
            </w:r>
          </w:p>
        </w:tc>
      </w:tr>
      <w:tr w:rsidR="004605A2" w:rsidRPr="00AC3E8F" w14:paraId="7AF8AEBA" w14:textId="3F9515E2" w:rsidTr="004605A2">
        <w:trPr>
          <w:trHeight w:val="255"/>
        </w:trPr>
        <w:tc>
          <w:tcPr>
            <w:tcW w:w="6663" w:type="dxa"/>
            <w:shd w:val="clear" w:color="auto" w:fill="8DB3E2" w:themeFill="text2" w:themeFillTint="66"/>
            <w:noWrap/>
            <w:vAlign w:val="center"/>
          </w:tcPr>
          <w:p w14:paraId="20C48AA7" w14:textId="77777777" w:rsidR="004605A2" w:rsidRPr="00AC3E8F" w:rsidRDefault="004605A2" w:rsidP="004605A2">
            <w:pPr>
              <w:pStyle w:val="cuadroCabe"/>
              <w:jc w:val="left"/>
              <w:rPr>
                <w:rFonts w:ascii="Arial Narrow" w:hAnsi="Arial Narrow"/>
                <w:b/>
                <w:lang w:val="es-ES" w:eastAsia="es-ES"/>
              </w:rPr>
            </w:pPr>
            <w:r w:rsidRPr="00AC3E8F">
              <w:rPr>
                <w:b/>
                <w:lang w:val="es-ES" w:eastAsia="es-ES"/>
              </w:rPr>
              <w:t>B) Resultado financiero (13+14+15+16+17+18)</w:t>
            </w:r>
          </w:p>
        </w:tc>
        <w:tc>
          <w:tcPr>
            <w:tcW w:w="1285" w:type="dxa"/>
            <w:shd w:val="clear" w:color="auto" w:fill="8DB3E2" w:themeFill="text2" w:themeFillTint="66"/>
            <w:noWrap/>
            <w:vAlign w:val="center"/>
          </w:tcPr>
          <w:p w14:paraId="2F07EB5B" w14:textId="6BCECE42" w:rsidR="004605A2" w:rsidRPr="00AC3E8F" w:rsidRDefault="00E137C0" w:rsidP="004605A2">
            <w:pPr>
              <w:pStyle w:val="cuadroCabe"/>
              <w:jc w:val="right"/>
              <w:rPr>
                <w:b/>
                <w:lang w:val="es-ES" w:eastAsia="es-ES"/>
              </w:rPr>
            </w:pPr>
            <w:r>
              <w:rPr>
                <w:b/>
                <w:lang w:val="es-ES" w:eastAsia="es-ES"/>
              </w:rPr>
              <w:t>-</w:t>
            </w:r>
            <w:r w:rsidR="004605A2" w:rsidRPr="00AC3E8F">
              <w:rPr>
                <w:b/>
                <w:lang w:val="es-ES" w:eastAsia="es-ES"/>
              </w:rPr>
              <w:t>135</w:t>
            </w:r>
          </w:p>
        </w:tc>
        <w:tc>
          <w:tcPr>
            <w:tcW w:w="1736" w:type="dxa"/>
            <w:shd w:val="clear" w:color="auto" w:fill="8DB3E2" w:themeFill="text2" w:themeFillTint="66"/>
            <w:noWrap/>
            <w:vAlign w:val="center"/>
          </w:tcPr>
          <w:p w14:paraId="5DDCCEDC" w14:textId="15C90B51" w:rsidR="004605A2" w:rsidRPr="00AC3E8F" w:rsidRDefault="00E137C0" w:rsidP="004605A2">
            <w:pPr>
              <w:pStyle w:val="cuadroCabe"/>
              <w:jc w:val="right"/>
              <w:rPr>
                <w:b/>
                <w:lang w:val="es-ES" w:eastAsia="es-ES"/>
              </w:rPr>
            </w:pPr>
            <w:r>
              <w:rPr>
                <w:b/>
                <w:lang w:val="es-ES" w:eastAsia="es-ES"/>
              </w:rPr>
              <w:t>-</w:t>
            </w:r>
            <w:r w:rsidR="004605A2" w:rsidRPr="00AC3E8F">
              <w:rPr>
                <w:b/>
                <w:lang w:val="es-ES" w:eastAsia="es-ES"/>
              </w:rPr>
              <w:t>474</w:t>
            </w:r>
          </w:p>
        </w:tc>
        <w:tc>
          <w:tcPr>
            <w:tcW w:w="1736" w:type="dxa"/>
            <w:shd w:val="clear" w:color="auto" w:fill="8DB3E2" w:themeFill="text2" w:themeFillTint="66"/>
            <w:vAlign w:val="center"/>
          </w:tcPr>
          <w:p w14:paraId="55754C47" w14:textId="54F4771A" w:rsidR="004605A2" w:rsidRPr="00AC3E8F" w:rsidRDefault="004605A2" w:rsidP="004605A2">
            <w:pPr>
              <w:pStyle w:val="cuadroCabe"/>
              <w:jc w:val="right"/>
              <w:rPr>
                <w:b/>
                <w:lang w:val="es-ES" w:eastAsia="es-ES"/>
              </w:rPr>
            </w:pPr>
            <w:r>
              <w:rPr>
                <w:rFonts w:cs="Arial"/>
                <w:b/>
                <w:bCs/>
                <w:color w:val="000000"/>
                <w:szCs w:val="18"/>
                <w:lang w:val="es-ES" w:eastAsia="es-ES"/>
              </w:rPr>
              <w:t>0</w:t>
            </w:r>
          </w:p>
        </w:tc>
        <w:tc>
          <w:tcPr>
            <w:tcW w:w="1737" w:type="dxa"/>
            <w:shd w:val="clear" w:color="auto" w:fill="8DB3E2" w:themeFill="text2" w:themeFillTint="66"/>
            <w:vAlign w:val="center"/>
          </w:tcPr>
          <w:p w14:paraId="0FFC1D15" w14:textId="6760F53A" w:rsidR="004605A2" w:rsidRPr="00AC3E8F" w:rsidRDefault="00E137C0" w:rsidP="004605A2">
            <w:pPr>
              <w:pStyle w:val="cuadroCabe"/>
              <w:jc w:val="right"/>
              <w:rPr>
                <w:b/>
                <w:lang w:val="es-ES" w:eastAsia="es-ES"/>
              </w:rPr>
            </w:pPr>
            <w:r>
              <w:rPr>
                <w:rFonts w:cs="Arial"/>
                <w:b/>
                <w:bCs/>
                <w:color w:val="000000"/>
                <w:szCs w:val="18"/>
                <w:lang w:val="es-ES" w:eastAsia="es-ES"/>
              </w:rPr>
              <w:t>-</w:t>
            </w:r>
            <w:r w:rsidR="004605A2" w:rsidRPr="00A520BC">
              <w:rPr>
                <w:rFonts w:cs="Arial"/>
                <w:b/>
                <w:bCs/>
                <w:color w:val="000000"/>
                <w:szCs w:val="18"/>
                <w:lang w:val="es-ES" w:eastAsia="es-ES"/>
              </w:rPr>
              <w:t>4</w:t>
            </w:r>
            <w:r w:rsidR="004605A2">
              <w:rPr>
                <w:rFonts w:cs="Arial"/>
                <w:b/>
                <w:bCs/>
                <w:color w:val="000000"/>
                <w:szCs w:val="18"/>
                <w:lang w:val="es-ES" w:eastAsia="es-ES"/>
              </w:rPr>
              <w:t>57</w:t>
            </w:r>
          </w:p>
        </w:tc>
      </w:tr>
      <w:tr w:rsidR="004605A2" w:rsidRPr="00AC3E8F" w14:paraId="09696142" w14:textId="55F46793" w:rsidTr="004605A2">
        <w:trPr>
          <w:trHeight w:val="255"/>
        </w:trPr>
        <w:tc>
          <w:tcPr>
            <w:tcW w:w="6663" w:type="dxa"/>
            <w:shd w:val="clear" w:color="auto" w:fill="8DB3E2" w:themeFill="text2" w:themeFillTint="66"/>
            <w:noWrap/>
            <w:vAlign w:val="center"/>
          </w:tcPr>
          <w:p w14:paraId="3154097C" w14:textId="77777777" w:rsidR="004605A2" w:rsidRPr="00AC3E8F" w:rsidRDefault="004605A2" w:rsidP="004605A2">
            <w:pPr>
              <w:pStyle w:val="cuadroCabe"/>
              <w:jc w:val="left"/>
              <w:rPr>
                <w:b/>
                <w:lang w:val="es-ES" w:eastAsia="es-ES"/>
              </w:rPr>
            </w:pPr>
            <w:r w:rsidRPr="00AC3E8F">
              <w:rPr>
                <w:b/>
                <w:lang w:val="es-ES" w:eastAsia="es-ES"/>
              </w:rPr>
              <w:t>C) Resultado antes de impuestos (A+B)</w:t>
            </w:r>
          </w:p>
        </w:tc>
        <w:tc>
          <w:tcPr>
            <w:tcW w:w="1285" w:type="dxa"/>
            <w:shd w:val="clear" w:color="auto" w:fill="8DB3E2" w:themeFill="text2" w:themeFillTint="66"/>
            <w:noWrap/>
            <w:vAlign w:val="center"/>
          </w:tcPr>
          <w:p w14:paraId="7FFCB3E2" w14:textId="2A626111" w:rsidR="004605A2" w:rsidRPr="00AC3E8F" w:rsidRDefault="00E137C0" w:rsidP="004605A2">
            <w:pPr>
              <w:pStyle w:val="cuadroCabe"/>
              <w:jc w:val="right"/>
              <w:rPr>
                <w:b/>
                <w:lang w:val="es-ES" w:eastAsia="es-ES"/>
              </w:rPr>
            </w:pPr>
            <w:r>
              <w:rPr>
                <w:b/>
                <w:lang w:val="es-ES" w:eastAsia="es-ES"/>
              </w:rPr>
              <w:t>-</w:t>
            </w:r>
            <w:r w:rsidR="004605A2" w:rsidRPr="00AC3E8F">
              <w:rPr>
                <w:b/>
                <w:lang w:val="es-ES" w:eastAsia="es-ES"/>
              </w:rPr>
              <w:t>176.647</w:t>
            </w:r>
          </w:p>
        </w:tc>
        <w:tc>
          <w:tcPr>
            <w:tcW w:w="1736" w:type="dxa"/>
            <w:shd w:val="clear" w:color="auto" w:fill="8DB3E2" w:themeFill="text2" w:themeFillTint="66"/>
            <w:noWrap/>
            <w:vAlign w:val="center"/>
          </w:tcPr>
          <w:p w14:paraId="1C8DDD24" w14:textId="3638BBCC" w:rsidR="004605A2" w:rsidRPr="00AC3E8F" w:rsidRDefault="00E137C0" w:rsidP="004605A2">
            <w:pPr>
              <w:pStyle w:val="cuadroCabe"/>
              <w:jc w:val="right"/>
              <w:rPr>
                <w:b/>
                <w:lang w:val="es-ES" w:eastAsia="es-ES"/>
              </w:rPr>
            </w:pPr>
            <w:r>
              <w:rPr>
                <w:b/>
                <w:lang w:val="es-ES" w:eastAsia="es-ES"/>
              </w:rPr>
              <w:t>-</w:t>
            </w:r>
            <w:r w:rsidR="004605A2" w:rsidRPr="00AC3E8F">
              <w:rPr>
                <w:b/>
                <w:lang w:val="es-ES" w:eastAsia="es-ES"/>
              </w:rPr>
              <w:t>157.538</w:t>
            </w:r>
          </w:p>
        </w:tc>
        <w:tc>
          <w:tcPr>
            <w:tcW w:w="1736" w:type="dxa"/>
            <w:shd w:val="clear" w:color="auto" w:fill="8DB3E2" w:themeFill="text2" w:themeFillTint="66"/>
            <w:vAlign w:val="center"/>
          </w:tcPr>
          <w:p w14:paraId="1C364E0B" w14:textId="70BBC26B" w:rsidR="004605A2" w:rsidRPr="00AC3E8F" w:rsidRDefault="00E137C0" w:rsidP="004605A2">
            <w:pPr>
              <w:pStyle w:val="cuadroCabe"/>
              <w:jc w:val="right"/>
              <w:rPr>
                <w:b/>
                <w:lang w:val="es-ES" w:eastAsia="es-ES"/>
              </w:rPr>
            </w:pPr>
            <w:r>
              <w:rPr>
                <w:rFonts w:cs="Arial"/>
                <w:b/>
                <w:bCs/>
                <w:color w:val="000000"/>
                <w:szCs w:val="18"/>
                <w:lang w:val="es-ES" w:eastAsia="es-ES"/>
              </w:rPr>
              <w:t>-</w:t>
            </w:r>
            <w:r w:rsidR="004605A2">
              <w:rPr>
                <w:rFonts w:cs="Arial"/>
                <w:b/>
                <w:bCs/>
                <w:color w:val="000000"/>
                <w:szCs w:val="18"/>
                <w:lang w:val="es-ES" w:eastAsia="es-ES"/>
              </w:rPr>
              <w:t>140.782</w:t>
            </w:r>
          </w:p>
        </w:tc>
        <w:tc>
          <w:tcPr>
            <w:tcW w:w="1737" w:type="dxa"/>
            <w:shd w:val="clear" w:color="auto" w:fill="8DB3E2" w:themeFill="text2" w:themeFillTint="66"/>
            <w:vAlign w:val="center"/>
          </w:tcPr>
          <w:p w14:paraId="6A5CB517" w14:textId="59315280" w:rsidR="004605A2" w:rsidRPr="00AC3E8F" w:rsidRDefault="00E137C0" w:rsidP="004605A2">
            <w:pPr>
              <w:pStyle w:val="cuadroCabe"/>
              <w:jc w:val="right"/>
              <w:rPr>
                <w:b/>
                <w:lang w:val="es-ES" w:eastAsia="es-ES"/>
              </w:rPr>
            </w:pPr>
            <w:r>
              <w:rPr>
                <w:rFonts w:cs="Arial"/>
                <w:b/>
                <w:bCs/>
                <w:color w:val="000000"/>
                <w:szCs w:val="18"/>
                <w:lang w:val="es-ES" w:eastAsia="es-ES"/>
              </w:rPr>
              <w:t>-</w:t>
            </w:r>
            <w:r w:rsidR="004605A2">
              <w:rPr>
                <w:rFonts w:cs="Arial"/>
                <w:b/>
                <w:bCs/>
                <w:color w:val="000000"/>
                <w:szCs w:val="18"/>
                <w:lang w:val="es-ES" w:eastAsia="es-ES"/>
              </w:rPr>
              <w:t>154.606</w:t>
            </w:r>
          </w:p>
        </w:tc>
      </w:tr>
      <w:tr w:rsidR="004605A2" w:rsidRPr="00A520BC" w14:paraId="63D9B826" w14:textId="019C1CEF" w:rsidTr="004605A2">
        <w:trPr>
          <w:trHeight w:val="198"/>
        </w:trPr>
        <w:tc>
          <w:tcPr>
            <w:tcW w:w="6663" w:type="dxa"/>
            <w:tcBorders>
              <w:bottom w:val="single" w:sz="4" w:space="0" w:color="auto"/>
            </w:tcBorders>
            <w:shd w:val="clear" w:color="auto" w:fill="auto"/>
            <w:noWrap/>
            <w:vAlign w:val="center"/>
          </w:tcPr>
          <w:p w14:paraId="2AC4D6C7" w14:textId="77777777" w:rsidR="004605A2" w:rsidRPr="00A520BC" w:rsidRDefault="004605A2" w:rsidP="004605A2">
            <w:pPr>
              <w:pStyle w:val="cuatexto"/>
              <w:jc w:val="left"/>
              <w:rPr>
                <w:b/>
                <w:bCs/>
                <w:lang w:val="es-ES" w:eastAsia="es-ES"/>
              </w:rPr>
            </w:pPr>
            <w:r>
              <w:rPr>
                <w:lang w:val="es-ES" w:eastAsia="es-ES"/>
              </w:rPr>
              <w:t>19. Impuesto</w:t>
            </w:r>
            <w:r w:rsidRPr="007E2B6D">
              <w:rPr>
                <w:lang w:val="es-ES" w:eastAsia="es-ES"/>
              </w:rPr>
              <w:t xml:space="preserve"> sobre beneficios</w:t>
            </w:r>
          </w:p>
        </w:tc>
        <w:tc>
          <w:tcPr>
            <w:tcW w:w="1285" w:type="dxa"/>
            <w:tcBorders>
              <w:bottom w:val="single" w:sz="4" w:space="0" w:color="auto"/>
            </w:tcBorders>
            <w:shd w:val="clear" w:color="auto" w:fill="auto"/>
            <w:noWrap/>
            <w:vAlign w:val="center"/>
          </w:tcPr>
          <w:p w14:paraId="5C7053CD" w14:textId="77777777" w:rsidR="004605A2" w:rsidRPr="00A520BC" w:rsidRDefault="004605A2" w:rsidP="004605A2">
            <w:pPr>
              <w:pStyle w:val="cuatexto"/>
              <w:jc w:val="right"/>
              <w:rPr>
                <w:bCs/>
                <w:lang w:val="es-ES" w:eastAsia="es-ES"/>
              </w:rPr>
            </w:pPr>
            <w:r w:rsidRPr="00A520BC">
              <w:rPr>
                <w:bCs/>
                <w:lang w:val="es-ES" w:eastAsia="es-ES"/>
              </w:rPr>
              <w:t>0</w:t>
            </w:r>
          </w:p>
        </w:tc>
        <w:tc>
          <w:tcPr>
            <w:tcW w:w="1736" w:type="dxa"/>
            <w:tcBorders>
              <w:bottom w:val="single" w:sz="4" w:space="0" w:color="auto"/>
            </w:tcBorders>
            <w:shd w:val="clear" w:color="auto" w:fill="auto"/>
            <w:noWrap/>
            <w:vAlign w:val="center"/>
          </w:tcPr>
          <w:p w14:paraId="5C4BD290" w14:textId="77777777" w:rsidR="004605A2" w:rsidRPr="00A520BC" w:rsidRDefault="004605A2" w:rsidP="004605A2">
            <w:pPr>
              <w:pStyle w:val="cuatexto"/>
              <w:jc w:val="right"/>
              <w:rPr>
                <w:lang w:val="es-ES" w:eastAsia="es-ES"/>
              </w:rPr>
            </w:pPr>
            <w:r>
              <w:rPr>
                <w:lang w:val="es-ES" w:eastAsia="es-ES"/>
              </w:rPr>
              <w:t>0</w:t>
            </w:r>
          </w:p>
        </w:tc>
        <w:tc>
          <w:tcPr>
            <w:tcW w:w="1736" w:type="dxa"/>
            <w:tcBorders>
              <w:bottom w:val="single" w:sz="4" w:space="0" w:color="auto"/>
            </w:tcBorders>
            <w:vAlign w:val="center"/>
          </w:tcPr>
          <w:p w14:paraId="5D0EADAD" w14:textId="0324C505" w:rsidR="004605A2" w:rsidRDefault="004605A2" w:rsidP="004605A2">
            <w:pPr>
              <w:pStyle w:val="cuatexto"/>
              <w:jc w:val="right"/>
              <w:rPr>
                <w:lang w:val="es-ES" w:eastAsia="es-ES"/>
              </w:rPr>
            </w:pPr>
            <w:r w:rsidRPr="00A520BC">
              <w:rPr>
                <w:rFonts w:cs="Arial"/>
                <w:bCs/>
                <w:color w:val="000000"/>
                <w:lang w:val="es-ES" w:eastAsia="es-ES"/>
              </w:rPr>
              <w:t>0</w:t>
            </w:r>
          </w:p>
        </w:tc>
        <w:tc>
          <w:tcPr>
            <w:tcW w:w="1737" w:type="dxa"/>
            <w:tcBorders>
              <w:bottom w:val="single" w:sz="4" w:space="0" w:color="auto"/>
            </w:tcBorders>
            <w:vAlign w:val="center"/>
          </w:tcPr>
          <w:p w14:paraId="1729B02D" w14:textId="34A70FC2" w:rsidR="004605A2" w:rsidRDefault="004605A2" w:rsidP="004605A2">
            <w:pPr>
              <w:pStyle w:val="cuatexto"/>
              <w:jc w:val="right"/>
              <w:rPr>
                <w:lang w:val="es-ES" w:eastAsia="es-ES"/>
              </w:rPr>
            </w:pPr>
            <w:r>
              <w:rPr>
                <w:rFonts w:cs="Arial"/>
                <w:color w:val="000000"/>
                <w:lang w:val="es-ES" w:eastAsia="es-ES"/>
              </w:rPr>
              <w:t>0</w:t>
            </w:r>
          </w:p>
        </w:tc>
      </w:tr>
      <w:tr w:rsidR="004605A2" w:rsidRPr="00AC3E8F" w14:paraId="7E8B5789" w14:textId="3558639F" w:rsidTr="004605A2">
        <w:trPr>
          <w:trHeight w:val="255"/>
        </w:trPr>
        <w:tc>
          <w:tcPr>
            <w:tcW w:w="6663" w:type="dxa"/>
            <w:shd w:val="clear" w:color="auto" w:fill="8DB3E2" w:themeFill="text2" w:themeFillTint="66"/>
            <w:noWrap/>
            <w:vAlign w:val="center"/>
          </w:tcPr>
          <w:p w14:paraId="327A81D7" w14:textId="77777777" w:rsidR="004605A2" w:rsidRPr="00AC3E8F" w:rsidRDefault="004605A2" w:rsidP="004605A2">
            <w:pPr>
              <w:pStyle w:val="cuadroCabe"/>
              <w:jc w:val="left"/>
              <w:rPr>
                <w:rFonts w:ascii="Arial Narrow" w:hAnsi="Arial Narrow"/>
                <w:b/>
                <w:lang w:val="es-ES" w:eastAsia="es-ES"/>
              </w:rPr>
            </w:pPr>
            <w:r w:rsidRPr="00AC3E8F">
              <w:rPr>
                <w:b/>
                <w:lang w:val="es-ES" w:eastAsia="es-ES"/>
              </w:rPr>
              <w:t>D. Resultado del ejercicio (C + 19)</w:t>
            </w:r>
          </w:p>
        </w:tc>
        <w:tc>
          <w:tcPr>
            <w:tcW w:w="1285" w:type="dxa"/>
            <w:shd w:val="clear" w:color="auto" w:fill="8DB3E2" w:themeFill="text2" w:themeFillTint="66"/>
            <w:noWrap/>
            <w:vAlign w:val="center"/>
          </w:tcPr>
          <w:p w14:paraId="20D3EE7F" w14:textId="31FB5BC1" w:rsidR="004605A2" w:rsidRPr="00AC3E8F" w:rsidRDefault="00E137C0" w:rsidP="004605A2">
            <w:pPr>
              <w:pStyle w:val="cuadroCabe"/>
              <w:jc w:val="right"/>
              <w:rPr>
                <w:b/>
                <w:lang w:val="es-ES" w:eastAsia="es-ES"/>
              </w:rPr>
            </w:pPr>
            <w:r>
              <w:rPr>
                <w:b/>
                <w:lang w:val="es-ES" w:eastAsia="es-ES"/>
              </w:rPr>
              <w:t>-</w:t>
            </w:r>
            <w:r w:rsidR="004605A2" w:rsidRPr="00AC3E8F">
              <w:rPr>
                <w:b/>
                <w:lang w:val="es-ES" w:eastAsia="es-ES"/>
              </w:rPr>
              <w:t>176.647</w:t>
            </w:r>
          </w:p>
        </w:tc>
        <w:tc>
          <w:tcPr>
            <w:tcW w:w="1736" w:type="dxa"/>
            <w:shd w:val="clear" w:color="auto" w:fill="8DB3E2" w:themeFill="text2" w:themeFillTint="66"/>
            <w:noWrap/>
            <w:vAlign w:val="center"/>
          </w:tcPr>
          <w:p w14:paraId="7D714C5C" w14:textId="0BB962ED" w:rsidR="004605A2" w:rsidRPr="00AC3E8F" w:rsidRDefault="00E137C0" w:rsidP="004605A2">
            <w:pPr>
              <w:pStyle w:val="cuadroCabe"/>
              <w:jc w:val="right"/>
              <w:rPr>
                <w:b/>
                <w:lang w:val="es-ES" w:eastAsia="es-ES"/>
              </w:rPr>
            </w:pPr>
            <w:r>
              <w:rPr>
                <w:b/>
                <w:lang w:val="es-ES" w:eastAsia="es-ES"/>
              </w:rPr>
              <w:t>-</w:t>
            </w:r>
            <w:r w:rsidR="004605A2" w:rsidRPr="00AC3E8F">
              <w:rPr>
                <w:b/>
                <w:lang w:val="es-ES" w:eastAsia="es-ES"/>
              </w:rPr>
              <w:t>157.538</w:t>
            </w:r>
          </w:p>
        </w:tc>
        <w:tc>
          <w:tcPr>
            <w:tcW w:w="1736" w:type="dxa"/>
            <w:shd w:val="clear" w:color="auto" w:fill="8DB3E2" w:themeFill="text2" w:themeFillTint="66"/>
            <w:vAlign w:val="center"/>
          </w:tcPr>
          <w:p w14:paraId="1AF2AA39" w14:textId="52BFA7D1" w:rsidR="004605A2" w:rsidRPr="00AC3E8F" w:rsidRDefault="00E137C0" w:rsidP="004605A2">
            <w:pPr>
              <w:pStyle w:val="cuadroCabe"/>
              <w:jc w:val="right"/>
              <w:rPr>
                <w:b/>
                <w:lang w:val="es-ES" w:eastAsia="es-ES"/>
              </w:rPr>
            </w:pPr>
            <w:r>
              <w:rPr>
                <w:rFonts w:cs="Arial"/>
                <w:b/>
                <w:bCs/>
                <w:color w:val="000000"/>
                <w:szCs w:val="18"/>
                <w:lang w:val="es-ES" w:eastAsia="es-ES"/>
              </w:rPr>
              <w:t>-</w:t>
            </w:r>
            <w:r w:rsidR="004605A2" w:rsidRPr="00A520BC">
              <w:rPr>
                <w:rFonts w:cs="Arial"/>
                <w:b/>
                <w:bCs/>
                <w:color w:val="000000"/>
                <w:szCs w:val="18"/>
                <w:lang w:val="es-ES" w:eastAsia="es-ES"/>
              </w:rPr>
              <w:t>1</w:t>
            </w:r>
            <w:r w:rsidR="004605A2">
              <w:rPr>
                <w:rFonts w:cs="Arial"/>
                <w:b/>
                <w:bCs/>
                <w:color w:val="000000"/>
                <w:szCs w:val="18"/>
                <w:lang w:val="es-ES" w:eastAsia="es-ES"/>
              </w:rPr>
              <w:t>40.782</w:t>
            </w:r>
          </w:p>
        </w:tc>
        <w:tc>
          <w:tcPr>
            <w:tcW w:w="1737" w:type="dxa"/>
            <w:shd w:val="clear" w:color="auto" w:fill="8DB3E2" w:themeFill="text2" w:themeFillTint="66"/>
            <w:vAlign w:val="center"/>
          </w:tcPr>
          <w:p w14:paraId="6A790FEA" w14:textId="1D7EF5FB" w:rsidR="004605A2" w:rsidRPr="00AC3E8F" w:rsidRDefault="00E137C0" w:rsidP="004605A2">
            <w:pPr>
              <w:pStyle w:val="cuadroCabe"/>
              <w:jc w:val="right"/>
              <w:rPr>
                <w:b/>
                <w:lang w:val="es-ES" w:eastAsia="es-ES"/>
              </w:rPr>
            </w:pPr>
            <w:r>
              <w:rPr>
                <w:rFonts w:cs="Arial"/>
                <w:b/>
                <w:bCs/>
                <w:color w:val="000000"/>
                <w:szCs w:val="18"/>
                <w:lang w:val="es-ES" w:eastAsia="es-ES"/>
              </w:rPr>
              <w:t>-</w:t>
            </w:r>
            <w:r w:rsidR="004605A2">
              <w:rPr>
                <w:rFonts w:cs="Arial"/>
                <w:b/>
                <w:bCs/>
                <w:color w:val="000000"/>
                <w:szCs w:val="18"/>
                <w:lang w:val="es-ES" w:eastAsia="es-ES"/>
              </w:rPr>
              <w:t>154.606</w:t>
            </w:r>
          </w:p>
        </w:tc>
      </w:tr>
    </w:tbl>
    <w:p w14:paraId="5BABF779" w14:textId="77777777" w:rsidR="00A520BC" w:rsidRDefault="00A520BC" w:rsidP="004605A2">
      <w:pPr>
        <w:pStyle w:val="texto"/>
        <w:jc w:val="left"/>
      </w:pPr>
    </w:p>
    <w:sectPr w:rsidR="00A520BC" w:rsidSect="00352FFC">
      <w:headerReference w:type="default" r:id="rId25"/>
      <w:pgSz w:w="16840" w:h="11907" w:orient="landscape" w:code="9"/>
      <w:pgMar w:top="1559" w:right="2109" w:bottom="1701" w:left="1644" w:header="369"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62921" w14:textId="77777777" w:rsidR="00E50594" w:rsidRDefault="00E50594">
      <w:r>
        <w:separator/>
      </w:r>
    </w:p>
    <w:p w14:paraId="3E54BA6B" w14:textId="77777777" w:rsidR="00E50594" w:rsidRDefault="00E50594"/>
    <w:p w14:paraId="53807622" w14:textId="77777777" w:rsidR="00E50594" w:rsidRDefault="00E50594"/>
    <w:p w14:paraId="0240D956" w14:textId="77777777" w:rsidR="00E50594" w:rsidRDefault="00E50594"/>
  </w:endnote>
  <w:endnote w:type="continuationSeparator" w:id="0">
    <w:p w14:paraId="4B89A702" w14:textId="77777777" w:rsidR="00E50594" w:rsidRDefault="00E50594">
      <w:r>
        <w:continuationSeparator/>
      </w:r>
    </w:p>
    <w:p w14:paraId="7AD8E449" w14:textId="77777777" w:rsidR="00E50594" w:rsidRDefault="00E50594"/>
    <w:p w14:paraId="6DBABD00" w14:textId="77777777" w:rsidR="00E50594" w:rsidRDefault="00E50594"/>
    <w:p w14:paraId="2FF1AC33" w14:textId="77777777" w:rsidR="00E50594" w:rsidRDefault="00E50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ajan">
    <w:altName w:val="Cambria"/>
    <w:panose1 w:val="00000000000000000000"/>
    <w:charset w:val="00"/>
    <w:family w:val="roman"/>
    <w:notTrueType/>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15C6" w14:textId="77777777" w:rsidR="00E50594" w:rsidRDefault="00E50594"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F8F1769" w14:textId="77777777" w:rsidR="00E50594" w:rsidRDefault="00E50594"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1A2F7" w14:textId="77777777" w:rsidR="00E50594" w:rsidRPr="00F03814" w:rsidRDefault="00E50594"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08F6FE47" wp14:editId="06859F12">
          <wp:extent cx="219075" cy="371475"/>
          <wp:effectExtent l="0" t="0" r="9525" b="9525"/>
          <wp:docPr id="7" name="Imagen 7"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0685ABE2" w14:textId="77777777" w:rsidR="00E50594" w:rsidRPr="00F74E38" w:rsidRDefault="00E50594" w:rsidP="00F03814">
    <w:pPr>
      <w:pStyle w:val="Piedepgina"/>
      <w:tabs>
        <w:tab w:val="clear" w:pos="4252"/>
        <w:tab w:val="clear" w:pos="8504"/>
        <w:tab w:val="center" w:pos="4560"/>
      </w:tabs>
      <w:ind w:right="360"/>
      <w:jc w:val="left"/>
      <w:rPr>
        <w:rStyle w:val="Nmerodepgina"/>
      </w:rPr>
    </w:pPr>
  </w:p>
  <w:p w14:paraId="511FC1E3" w14:textId="77777777" w:rsidR="00E50594" w:rsidRPr="00C13453" w:rsidRDefault="00E50594" w:rsidP="00D2472C">
    <w:pPr>
      <w:pStyle w:val="BorradorProvisional"/>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59C3" w14:textId="77777777" w:rsidR="00E50594" w:rsidRDefault="00E50594"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EEC3" w14:textId="77777777" w:rsidR="00E50594" w:rsidRPr="00F03814" w:rsidRDefault="00E50594" w:rsidP="00277F50">
    <w:pPr>
      <w:pStyle w:val="Piedepgina"/>
      <w:tabs>
        <w:tab w:val="clear" w:pos="4252"/>
        <w:tab w:val="clear" w:pos="8504"/>
        <w:tab w:val="right" w:pos="8760"/>
      </w:tabs>
      <w:spacing w:after="0"/>
      <w:ind w:right="360"/>
      <w:jc w:val="left"/>
      <w:rPr>
        <w:rFonts w:ascii="Trajan" w:hAnsi="Trajan"/>
        <w:sz w:val="24"/>
        <w:szCs w:val="24"/>
      </w:rPr>
    </w:pPr>
    <w:r>
      <w:rPr>
        <w:rFonts w:ascii="GillSans" w:hAnsi="GillSans"/>
      </w:rPr>
      <w:tab/>
    </w:r>
  </w:p>
  <w:p w14:paraId="3A749AF6" w14:textId="77777777" w:rsidR="00E50594" w:rsidRDefault="00E50594">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262D" w14:textId="77777777" w:rsidR="00E50594" w:rsidRDefault="00E50594"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GillSans" w:hAnsi="GillSans"/>
      </w:rPr>
    </w:pPr>
    <w:r>
      <w:rPr>
        <w:rFonts w:ascii="GillSans" w:hAnsi="GillSans"/>
        <w:noProof/>
        <w:lang w:val="es-ES" w:eastAsia="es-ES"/>
      </w:rPr>
      <w:drawing>
        <wp:inline distT="0" distB="0" distL="0" distR="0" wp14:anchorId="57669538" wp14:editId="15776FF8">
          <wp:extent cx="213100" cy="371475"/>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3100" cy="371475"/>
                  </a:xfrm>
                  <a:prstGeom prst="rect">
                    <a:avLst/>
                  </a:prstGeom>
                  <a:noFill/>
                  <a:ln>
                    <a:noFill/>
                  </a:ln>
                </pic:spPr>
              </pic:pic>
            </a:graphicData>
          </a:graphic>
        </wp:inline>
      </w:drawing>
    </w:r>
    <w:r>
      <w:rPr>
        <w:rFonts w:ascii="GillSans" w:hAnsi="GillSans"/>
      </w:rPr>
      <w:tab/>
    </w:r>
  </w:p>
  <w:p w14:paraId="2B468119" w14:textId="2BB0FA24" w:rsidR="00E50594" w:rsidRPr="00F03814" w:rsidRDefault="009A06EE" w:rsidP="0052551E">
    <w:pPr>
      <w:pStyle w:val="Piedepgina"/>
      <w:tabs>
        <w:tab w:val="clear" w:pos="2835"/>
        <w:tab w:val="clear" w:pos="3969"/>
        <w:tab w:val="clear" w:pos="4252"/>
        <w:tab w:val="clear" w:pos="5103"/>
        <w:tab w:val="clear" w:pos="6237"/>
        <w:tab w:val="clear" w:pos="7371"/>
        <w:tab w:val="clear" w:pos="8504"/>
        <w:tab w:val="center" w:pos="4440"/>
      </w:tabs>
      <w:spacing w:after="0"/>
      <w:ind w:right="29"/>
      <w:jc w:val="center"/>
      <w:rPr>
        <w:rFonts w:ascii="Trajan" w:hAnsi="Trajan"/>
        <w:sz w:val="24"/>
        <w:szCs w:val="24"/>
      </w:rPr>
    </w:pPr>
    <w:r>
      <w:rPr>
        <w:rStyle w:val="Nmerodepgina"/>
        <w:szCs w:val="24"/>
      </w:rPr>
      <w:t xml:space="preserve">     </w:t>
    </w:r>
    <w:r w:rsidR="00E50594" w:rsidRPr="001D4F09">
      <w:rPr>
        <w:rStyle w:val="Nmerodepgina"/>
        <w:szCs w:val="24"/>
      </w:rPr>
      <w:t xml:space="preserve">- </w:t>
    </w:r>
    <w:r w:rsidR="00E50594" w:rsidRPr="001D4F09">
      <w:rPr>
        <w:rStyle w:val="Nmerodepgina"/>
        <w:szCs w:val="24"/>
      </w:rPr>
      <w:fldChar w:fldCharType="begin"/>
    </w:r>
    <w:r w:rsidR="00E50594" w:rsidRPr="001D4F09">
      <w:rPr>
        <w:rStyle w:val="Nmerodepgina"/>
        <w:szCs w:val="24"/>
      </w:rPr>
      <w:instrText xml:space="preserve"> PAGE </w:instrText>
    </w:r>
    <w:r w:rsidR="00E50594" w:rsidRPr="001D4F09">
      <w:rPr>
        <w:rStyle w:val="Nmerodepgina"/>
        <w:szCs w:val="24"/>
      </w:rPr>
      <w:fldChar w:fldCharType="separate"/>
    </w:r>
    <w:r w:rsidR="005F34B1">
      <w:rPr>
        <w:rStyle w:val="Nmerodepgina"/>
        <w:noProof/>
        <w:szCs w:val="24"/>
      </w:rPr>
      <w:t>34</w:t>
    </w:r>
    <w:r w:rsidR="00E50594" w:rsidRPr="001D4F09">
      <w:rPr>
        <w:rStyle w:val="Nmerodepgina"/>
        <w:szCs w:val="24"/>
      </w:rPr>
      <w:fldChar w:fldCharType="end"/>
    </w:r>
    <w:r w:rsidR="00E50594" w:rsidRPr="001D4F09">
      <w:rPr>
        <w:rStyle w:val="Nmerodepgina"/>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37DB1" w14:textId="77777777" w:rsidR="00E50594" w:rsidRDefault="00E50594" w:rsidP="0055448D">
      <w:pPr>
        <w:ind w:firstLine="0"/>
      </w:pPr>
      <w:r>
        <w:separator/>
      </w:r>
    </w:p>
  </w:footnote>
  <w:footnote w:type="continuationSeparator" w:id="0">
    <w:p w14:paraId="7C8054BF" w14:textId="77777777" w:rsidR="00E50594" w:rsidRDefault="00E50594">
      <w:r>
        <w:continuationSeparator/>
      </w:r>
    </w:p>
    <w:p w14:paraId="62402430" w14:textId="77777777" w:rsidR="00E50594" w:rsidRDefault="00E50594"/>
    <w:p w14:paraId="51B92891" w14:textId="77777777" w:rsidR="00E50594" w:rsidRDefault="00E50594"/>
    <w:p w14:paraId="4756286E" w14:textId="77777777" w:rsidR="00E50594" w:rsidRDefault="00E50594"/>
  </w:footnote>
  <w:footnote w:id="1">
    <w:p w14:paraId="0C734291" w14:textId="6A62C424" w:rsidR="00E50594" w:rsidRDefault="00E50594" w:rsidP="00067256">
      <w:pPr>
        <w:pStyle w:val="Textonotapie"/>
        <w:ind w:firstLine="0"/>
      </w:pPr>
      <w:r>
        <w:rPr>
          <w:rStyle w:val="Refdenotaalpie"/>
        </w:rPr>
        <w:footnoteRef/>
      </w:r>
      <w:r>
        <w:t xml:space="preserve"> En el gasto de actividades de 2022 hemos incluido también 3.612 euros facturados por actividades al Ayuntamiento de Tudela y al Instituto Navarro de Salud Pública.</w:t>
      </w:r>
    </w:p>
  </w:footnote>
  <w:footnote w:id="2">
    <w:p w14:paraId="01C89630" w14:textId="56287399" w:rsidR="00E50594" w:rsidRDefault="00E50594" w:rsidP="00F86604">
      <w:pPr>
        <w:pStyle w:val="Textonotapie"/>
        <w:ind w:firstLine="0"/>
      </w:pPr>
      <w:r>
        <w:rPr>
          <w:rStyle w:val="Refdenotaalpie"/>
        </w:rPr>
        <w:footnoteRef/>
      </w:r>
      <w:r>
        <w:t xml:space="preserve"> Las cifras presentadas aquí se corresponden con las cantidades convenidas y finalmente cobradas por el CJN. Por el desfase que se produce en ocasiones de los ingresos recibidos del último trimestre, puede ser que las cantidades aquí señaladas no coincidan </w:t>
      </w:r>
      <w:proofErr w:type="gramStart"/>
      <w:r>
        <w:t>exactamente</w:t>
      </w:r>
      <w:proofErr w:type="gramEnd"/>
      <w:r>
        <w:t xml:space="preserve"> con las efectivamente cobradas por el CJN y mostradas en el cuadro de la página 10.</w:t>
      </w:r>
    </w:p>
  </w:footnote>
  <w:footnote w:id="3">
    <w:p w14:paraId="34796D4E" w14:textId="6BB94014" w:rsidR="00E50594" w:rsidRDefault="00E50594" w:rsidP="00380814">
      <w:pPr>
        <w:pStyle w:val="Textonotapie"/>
        <w:ind w:firstLine="0"/>
      </w:pPr>
      <w:r>
        <w:rPr>
          <w:rStyle w:val="Refdenotaalpie"/>
        </w:rPr>
        <w:footnoteRef/>
      </w:r>
      <w:r>
        <w:t xml:space="preserve"> Señalamos las salvedades aplicables a todos los años señalados si bien cuantificamos expresamente en algún caso solamente las correspondientes al ejercicio 2022.</w:t>
      </w:r>
    </w:p>
  </w:footnote>
  <w:footnote w:id="4">
    <w:p w14:paraId="7DCAF2E8" w14:textId="38FC96C5" w:rsidR="00E50594" w:rsidRDefault="00E50594" w:rsidP="004605A2">
      <w:pPr>
        <w:pStyle w:val="Textonotapie"/>
        <w:ind w:firstLine="0"/>
      </w:pPr>
      <w:r>
        <w:rPr>
          <w:rStyle w:val="Refdenotaalpie"/>
        </w:rPr>
        <w:footnoteRef/>
      </w:r>
      <w:r>
        <w:t xml:space="preserve"> Estados contables obtenidos de la aplicación informática del CJN sin que hayan sido obtenidos previamente por esta entidad ni aprobados por órgano competente.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00F63" w14:textId="77777777" w:rsidR="00245329" w:rsidRDefault="0024532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D3633" w14:textId="77777777" w:rsidR="00E50594" w:rsidRDefault="00E50594" w:rsidP="007C36BE">
    <w:pPr>
      <w:pStyle w:val="Encabezado"/>
      <w:pBdr>
        <w:bottom w:val="single" w:sz="4" w:space="1" w:color="auto"/>
      </w:pBdr>
      <w:spacing w:after="40"/>
      <w:ind w:firstLine="0"/>
      <w:jc w:val="left"/>
      <w:rPr>
        <w:lang w:val="es-ES"/>
      </w:rPr>
    </w:pPr>
    <w:r>
      <w:rPr>
        <w:b/>
        <w:noProof/>
        <w:lang w:val="es-ES" w:eastAsia="es-ES"/>
      </w:rPr>
      <w:drawing>
        <wp:inline distT="0" distB="0" distL="0" distR="0" wp14:anchorId="2F65FD6C" wp14:editId="76B7EC73">
          <wp:extent cx="771525" cy="762000"/>
          <wp:effectExtent l="0" t="0" r="9525"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p w14:paraId="6A251B9D" w14:textId="77777777" w:rsidR="00E50594" w:rsidRPr="0059650E" w:rsidRDefault="00E50594" w:rsidP="00891D73">
    <w:pPr>
      <w:pStyle w:val="Encabezado"/>
      <w:pBdr>
        <w:bottom w:val="single" w:sz="4" w:space="1" w:color="auto"/>
      </w:pBdr>
      <w:ind w:firstLine="0"/>
      <w:rPr>
        <w:lang w:val="es-ES"/>
      </w:rPr>
    </w:pPr>
    <w:r>
      <w:rPr>
        <w:lang w:val="es-ES"/>
      </w:rPr>
      <w:t>BORRADOR INICIAL DEL informe de fiscalización SOBRE el defensor del pueblo de navarra, ejercicio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01D3" w14:textId="77777777" w:rsidR="00E50594" w:rsidRDefault="00E50594" w:rsidP="006A2D41">
    <w:pPr>
      <w:pStyle w:val="Encabezado"/>
      <w:ind w:firstLine="0"/>
      <w:jc w:val="left"/>
    </w:pPr>
    <w:r>
      <w:rPr>
        <w:noProof/>
        <w:lang w:val="es-ES" w:eastAsia="es-ES"/>
      </w:rPr>
      <w:drawing>
        <wp:inline distT="0" distB="0" distL="0" distR="0" wp14:anchorId="4F342EA2" wp14:editId="1FEDE66E">
          <wp:extent cx="771525" cy="762000"/>
          <wp:effectExtent l="0" t="0" r="9525" b="0"/>
          <wp:docPr id="8" name="Imagen 8"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A2EF" w14:textId="7BC77980" w:rsidR="00E50594" w:rsidRPr="0059650E" w:rsidRDefault="00E50594" w:rsidP="0032304B">
    <w:pPr>
      <w:pStyle w:val="Encabezado"/>
      <w:pBdr>
        <w:bottom w:val="single" w:sz="4" w:space="1" w:color="auto"/>
      </w:pBdr>
      <w:spacing w:after="40"/>
      <w:ind w:firstLine="0"/>
      <w:jc w:val="left"/>
      <w:rPr>
        <w:lang w:val="es-ES"/>
      </w:rPr>
    </w:pPr>
    <w:r>
      <w:rPr>
        <w:b/>
        <w:noProof/>
        <w:lang w:val="es-ES" w:eastAsia="es-ES"/>
      </w:rPr>
      <w:drawing>
        <wp:inline distT="0" distB="0" distL="0" distR="0" wp14:anchorId="58A946E6" wp14:editId="7111C78F">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  INFORME DE FISCALIZACIÓN SOBRE EL CONSEJO DE LA JUVENTUD DE NAVARRA (2019-2022)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20AF" w14:textId="77777777" w:rsidR="00E50594" w:rsidRDefault="00E50594">
    <w:pPr>
      <w:pStyle w:val="Encabezado"/>
    </w:pPr>
  </w:p>
  <w:p w14:paraId="4DCF7CFD" w14:textId="56054AA3" w:rsidR="00E50594" w:rsidRPr="0032304B" w:rsidRDefault="00E50594" w:rsidP="0032304B">
    <w:pPr>
      <w:pStyle w:val="Encabezado"/>
      <w:pBdr>
        <w:bottom w:val="single" w:sz="4" w:space="1" w:color="auto"/>
      </w:pBdr>
      <w:spacing w:after="40"/>
      <w:ind w:firstLine="0"/>
      <w:rPr>
        <w:sz w:val="13"/>
        <w:szCs w:val="13"/>
        <w:lang w:val="es-ES"/>
      </w:rPr>
    </w:pPr>
    <w:r>
      <w:rPr>
        <w:b/>
        <w:noProof/>
        <w:lang w:val="es-ES" w:eastAsia="es-ES"/>
      </w:rPr>
      <w:drawing>
        <wp:inline distT="0" distB="0" distL="0" distR="0" wp14:anchorId="5221A944" wp14:editId="70677A54">
          <wp:extent cx="771525" cy="762000"/>
          <wp:effectExtent l="0" t="0" r="9525" b="0"/>
          <wp:docPr id="3" name="Imagen 3"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roofErr w:type="gramStart"/>
    <w:r>
      <w:rPr>
        <w:lang w:val="es-ES"/>
      </w:rPr>
      <w:t>INFORME</w:t>
    </w:r>
    <w:r w:rsidR="00245329">
      <w:rPr>
        <w:lang w:val="es-ES"/>
      </w:rPr>
      <w:t xml:space="preserve"> </w:t>
    </w:r>
    <w:r>
      <w:rPr>
        <w:lang w:val="es-ES"/>
      </w:rPr>
      <w:t xml:space="preserve"> DE</w:t>
    </w:r>
    <w:proofErr w:type="gramEnd"/>
    <w:r>
      <w:rPr>
        <w:lang w:val="es-ES"/>
      </w:rPr>
      <w:t xml:space="preserve"> FISCALIZACIÓN SOBRE EL CONSEJO DE LA JUVENTUD DE NAVARRA (2019-2022)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529D5" w14:textId="77777777" w:rsidR="00E50594" w:rsidRDefault="00E50594"/>
  <w:p w14:paraId="56B2A712" w14:textId="77777777" w:rsidR="00E50594" w:rsidRDefault="00E50594"/>
  <w:p w14:paraId="1EC03D73" w14:textId="77777777" w:rsidR="00E50594" w:rsidRDefault="00E5059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7675" w14:textId="6670468A" w:rsidR="00E50594" w:rsidRPr="0059650E" w:rsidRDefault="00E50594" w:rsidP="0032304B">
    <w:pPr>
      <w:pStyle w:val="Encabezado"/>
      <w:pBdr>
        <w:bottom w:val="single" w:sz="4" w:space="1" w:color="auto"/>
      </w:pBdr>
      <w:spacing w:after="40"/>
      <w:ind w:firstLine="0"/>
      <w:jc w:val="left"/>
      <w:rPr>
        <w:lang w:val="es-ES"/>
      </w:rPr>
    </w:pPr>
    <w:r>
      <w:rPr>
        <w:b/>
        <w:noProof/>
        <w:lang w:val="es-ES" w:eastAsia="es-ES"/>
      </w:rPr>
      <w:drawing>
        <wp:inline distT="0" distB="0" distL="0" distR="0" wp14:anchorId="5F974FC7" wp14:editId="4ADC6713">
          <wp:extent cx="771525" cy="762000"/>
          <wp:effectExtent l="0" t="0" r="9525" b="0"/>
          <wp:docPr id="4" name="Imagen 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                                               </w:t>
    </w:r>
    <w:r w:rsidR="00910FA6">
      <w:rPr>
        <w:lang w:val="es-ES"/>
      </w:rPr>
      <w:t xml:space="preserve">          </w:t>
    </w:r>
    <w:r>
      <w:rPr>
        <w:lang w:val="es-ES"/>
      </w:rPr>
      <w:t xml:space="preserve">           INFORME DE FISCALIZACIÓN SOBRE EL CONSEJO DE LA JUVENTUD DE NAVARRA (2019-2022)</w:t>
    </w:r>
  </w:p>
</w:hdr>
</file>

<file path=word/intelligence2.xml><?xml version="1.0" encoding="utf-8"?>
<int2:intelligence xmlns:int2="http://schemas.microsoft.com/office/intelligence/2020/intelligence" xmlns:oel="http://schemas.microsoft.com/office/2019/extlst">
  <int2:observations>
    <int2:textHash int2:hashCode="ZjL2WKcAZ5djfR" int2:id="tOkchvCa">
      <int2:state int2:value="Rejected" int2:type="AugLoop_Text_Critique"/>
    </int2:textHash>
    <int2:textHash int2:hashCode="MdvwubJkTUDhYv" int2:id="gy3x6FK2">
      <int2:state int2:value="Rejected" int2:type="AugLoop_Text_Critique"/>
    </int2:textHash>
    <int2:textHash int2:hashCode="IjVn5XibKhCIBl" int2:id="ViGcWduS">
      <int2:state int2:value="Rejected" int2:type="AugLoop_Text_Critique"/>
    </int2:textHash>
    <int2:textHash int2:hashCode="kIHMBD4RMUe/Zc" int2:id="f0SfuAcj">
      <int2:state int2:value="Rejected" int2:type="AugLoop_Text_Critique"/>
    </int2:textHash>
    <int2:textHash int2:hashCode="qToj6yv94yKmne" int2:id="M7YOrUIg">
      <int2:state int2:value="Rejected" int2:type="AugLoop_Text_Critique"/>
    </int2:textHash>
    <int2:textHash int2:hashCode="Xd2lxM4Xb4WUt3" int2:id="f4LH81ry">
      <int2:state int2:value="Rejected" int2:type="AugLoop_Text_Critique"/>
    </int2:textHash>
    <int2:textHash int2:hashCode="ndaBqLnvqc/pAL" int2:id="osuAer9Z">
      <int2:state int2:value="Rejected" int2:type="AugLoop_Text_Critique"/>
    </int2:textHash>
    <int2:bookmark int2:bookmarkName="_Int_QYalb5OW" int2:invalidationBookmarkName="" int2:hashCode="wR64ZGaJYofIZI" int2:id="zQFrgCsn">
      <int2:state int2:value="Rejected" int2:type="AugLoop_Text_Critique"/>
    </int2:bookmark>
    <int2:bookmark int2:bookmarkName="_Int_DIhtPrcH" int2:invalidationBookmarkName="" int2:hashCode="wR64ZGaJYofIZI" int2:id="KZV5mpdu">
      <int2:state int2:value="Rejected" int2:type="AugLoop_Text_Critique"/>
    </int2:bookmark>
    <int2:bookmark int2:bookmarkName="_Int_3u3bpdtq" int2:invalidationBookmarkName="" int2:hashCode="wR64ZGaJYofIZI" int2:id="tx8ZXvTf">
      <int2:state int2:value="Rejected" int2:type="AugLoop_Text_Critique"/>
    </int2:bookmark>
    <int2:bookmark int2:bookmarkName="_Int_4Ity744I" int2:invalidationBookmarkName="" int2:hashCode="gNyhLuF16c/7eO" int2:id="SulvVk9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E0A187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F573E01"/>
    <w:multiLevelType w:val="hybridMultilevel"/>
    <w:tmpl w:val="BB3A2454"/>
    <w:lvl w:ilvl="0" w:tplc="FFFFFFFF">
      <w:start w:val="1"/>
      <w:numFmt w:val="bullet"/>
      <w:lvlText w:val=""/>
      <w:lvlJc w:val="left"/>
      <w:pPr>
        <w:ind w:left="720" w:hanging="360"/>
      </w:pPr>
      <w:rPr>
        <w:rFonts w:ascii="Symbol" w:hAnsi="Symbol" w:hint="default"/>
        <w:color w:val="auto"/>
      </w:rPr>
    </w:lvl>
    <w:lvl w:ilvl="1" w:tplc="0C0A0017">
      <w:start w:val="1"/>
      <w:numFmt w:val="lowerLetter"/>
      <w:lvlText w:val="%2)"/>
      <w:lvlJc w:val="left"/>
      <w:pPr>
        <w:ind w:left="1440" w:hanging="360"/>
      </w:pPr>
      <w:rPr>
        <w:rFonts w:hint="default"/>
        <w:b w:val="0"/>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3" w15:restartNumberingAfterBreak="0">
    <w:nsid w:val="15744AA2"/>
    <w:multiLevelType w:val="hybridMultilevel"/>
    <w:tmpl w:val="F4063F38"/>
    <w:lvl w:ilvl="0" w:tplc="0C0A0017">
      <w:start w:val="1"/>
      <w:numFmt w:val="lowerLetter"/>
      <w:lvlText w:val="%1)"/>
      <w:lvlJc w:val="left"/>
      <w:pPr>
        <w:ind w:left="8015" w:hanging="360"/>
      </w:pPr>
    </w:lvl>
    <w:lvl w:ilvl="1" w:tplc="0C0A0019" w:tentative="1">
      <w:start w:val="1"/>
      <w:numFmt w:val="lowerLetter"/>
      <w:lvlText w:val="%2."/>
      <w:lvlJc w:val="left"/>
      <w:pPr>
        <w:ind w:left="1712" w:hanging="360"/>
      </w:pPr>
    </w:lvl>
    <w:lvl w:ilvl="2" w:tplc="0C0A001B" w:tentative="1">
      <w:start w:val="1"/>
      <w:numFmt w:val="lowerRoman"/>
      <w:lvlText w:val="%3."/>
      <w:lvlJc w:val="right"/>
      <w:pPr>
        <w:ind w:left="2432" w:hanging="180"/>
      </w:pPr>
    </w:lvl>
    <w:lvl w:ilvl="3" w:tplc="0C0A000F" w:tentative="1">
      <w:start w:val="1"/>
      <w:numFmt w:val="decimal"/>
      <w:lvlText w:val="%4."/>
      <w:lvlJc w:val="left"/>
      <w:pPr>
        <w:ind w:left="3152" w:hanging="360"/>
      </w:pPr>
    </w:lvl>
    <w:lvl w:ilvl="4" w:tplc="0C0A0019" w:tentative="1">
      <w:start w:val="1"/>
      <w:numFmt w:val="lowerLetter"/>
      <w:lvlText w:val="%5."/>
      <w:lvlJc w:val="left"/>
      <w:pPr>
        <w:ind w:left="3872" w:hanging="360"/>
      </w:pPr>
    </w:lvl>
    <w:lvl w:ilvl="5" w:tplc="0C0A001B" w:tentative="1">
      <w:start w:val="1"/>
      <w:numFmt w:val="lowerRoman"/>
      <w:lvlText w:val="%6."/>
      <w:lvlJc w:val="right"/>
      <w:pPr>
        <w:ind w:left="4592" w:hanging="180"/>
      </w:pPr>
    </w:lvl>
    <w:lvl w:ilvl="6" w:tplc="0C0A000F" w:tentative="1">
      <w:start w:val="1"/>
      <w:numFmt w:val="decimal"/>
      <w:lvlText w:val="%7."/>
      <w:lvlJc w:val="left"/>
      <w:pPr>
        <w:ind w:left="5312" w:hanging="360"/>
      </w:pPr>
    </w:lvl>
    <w:lvl w:ilvl="7" w:tplc="0C0A0019" w:tentative="1">
      <w:start w:val="1"/>
      <w:numFmt w:val="lowerLetter"/>
      <w:lvlText w:val="%8."/>
      <w:lvlJc w:val="left"/>
      <w:pPr>
        <w:ind w:left="6032" w:hanging="360"/>
      </w:pPr>
    </w:lvl>
    <w:lvl w:ilvl="8" w:tplc="0C0A001B" w:tentative="1">
      <w:start w:val="1"/>
      <w:numFmt w:val="lowerRoman"/>
      <w:lvlText w:val="%9."/>
      <w:lvlJc w:val="right"/>
      <w:pPr>
        <w:ind w:left="6752" w:hanging="180"/>
      </w:pPr>
    </w:lvl>
  </w:abstractNum>
  <w:abstractNum w:abstractNumId="4" w15:restartNumberingAfterBreak="0">
    <w:nsid w:val="176B1DE8"/>
    <w:multiLevelType w:val="hybridMultilevel"/>
    <w:tmpl w:val="0E4027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AD15D4"/>
    <w:multiLevelType w:val="hybridMultilevel"/>
    <w:tmpl w:val="70B07A0E"/>
    <w:lvl w:ilvl="0" w:tplc="0C0A0013">
      <w:start w:val="1"/>
      <w:numFmt w:val="upperRoman"/>
      <w:lvlText w:val="%1."/>
      <w:lvlJc w:val="right"/>
      <w:pPr>
        <w:ind w:left="720" w:hanging="360"/>
      </w:pPr>
      <w:rPr>
        <w:rFonts w:hint="default"/>
      </w:rPr>
    </w:lvl>
    <w:lvl w:ilvl="1" w:tplc="0C0A000F">
      <w:start w:val="1"/>
      <w:numFmt w:val="decimal"/>
      <w:lvlText w:val="%2."/>
      <w:lvlJc w:val="left"/>
      <w:pPr>
        <w:ind w:left="1440" w:hanging="360"/>
      </w:pPr>
      <w:rPr>
        <w:b w:val="0"/>
      </w:r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5D76EE"/>
    <w:multiLevelType w:val="hybridMultilevel"/>
    <w:tmpl w:val="A7D8A28A"/>
    <w:lvl w:ilvl="0" w:tplc="0C0A0001">
      <w:start w:val="1"/>
      <w:numFmt w:val="bullet"/>
      <w:lvlText w:val=""/>
      <w:lvlJc w:val="left"/>
      <w:pPr>
        <w:ind w:left="3600" w:hanging="360"/>
      </w:pPr>
      <w:rPr>
        <w:rFonts w:ascii="Symbol" w:hAnsi="Symbol" w:hint="default"/>
      </w:rPr>
    </w:lvl>
    <w:lvl w:ilvl="1" w:tplc="0C0A0003" w:tentative="1">
      <w:start w:val="1"/>
      <w:numFmt w:val="bullet"/>
      <w:lvlText w:val="o"/>
      <w:lvlJc w:val="left"/>
      <w:pPr>
        <w:ind w:left="4320" w:hanging="360"/>
      </w:pPr>
      <w:rPr>
        <w:rFonts w:ascii="Courier New" w:hAnsi="Courier New" w:cs="Courier New" w:hint="default"/>
      </w:rPr>
    </w:lvl>
    <w:lvl w:ilvl="2" w:tplc="0C0A0005" w:tentative="1">
      <w:start w:val="1"/>
      <w:numFmt w:val="bullet"/>
      <w:lvlText w:val=""/>
      <w:lvlJc w:val="left"/>
      <w:pPr>
        <w:ind w:left="5040" w:hanging="360"/>
      </w:pPr>
      <w:rPr>
        <w:rFonts w:ascii="Wingdings" w:hAnsi="Wingdings" w:hint="default"/>
      </w:rPr>
    </w:lvl>
    <w:lvl w:ilvl="3" w:tplc="0C0A0001" w:tentative="1">
      <w:start w:val="1"/>
      <w:numFmt w:val="bullet"/>
      <w:lvlText w:val=""/>
      <w:lvlJc w:val="left"/>
      <w:pPr>
        <w:ind w:left="5760" w:hanging="360"/>
      </w:pPr>
      <w:rPr>
        <w:rFonts w:ascii="Symbol" w:hAnsi="Symbol" w:hint="default"/>
      </w:rPr>
    </w:lvl>
    <w:lvl w:ilvl="4" w:tplc="0C0A0003" w:tentative="1">
      <w:start w:val="1"/>
      <w:numFmt w:val="bullet"/>
      <w:lvlText w:val="o"/>
      <w:lvlJc w:val="left"/>
      <w:pPr>
        <w:ind w:left="6480" w:hanging="360"/>
      </w:pPr>
      <w:rPr>
        <w:rFonts w:ascii="Courier New" w:hAnsi="Courier New" w:cs="Courier New" w:hint="default"/>
      </w:rPr>
    </w:lvl>
    <w:lvl w:ilvl="5" w:tplc="0C0A0005" w:tentative="1">
      <w:start w:val="1"/>
      <w:numFmt w:val="bullet"/>
      <w:lvlText w:val=""/>
      <w:lvlJc w:val="left"/>
      <w:pPr>
        <w:ind w:left="7200" w:hanging="360"/>
      </w:pPr>
      <w:rPr>
        <w:rFonts w:ascii="Wingdings" w:hAnsi="Wingdings" w:hint="default"/>
      </w:rPr>
    </w:lvl>
    <w:lvl w:ilvl="6" w:tplc="0C0A0001" w:tentative="1">
      <w:start w:val="1"/>
      <w:numFmt w:val="bullet"/>
      <w:lvlText w:val=""/>
      <w:lvlJc w:val="left"/>
      <w:pPr>
        <w:ind w:left="7920" w:hanging="360"/>
      </w:pPr>
      <w:rPr>
        <w:rFonts w:ascii="Symbol" w:hAnsi="Symbol" w:hint="default"/>
      </w:rPr>
    </w:lvl>
    <w:lvl w:ilvl="7" w:tplc="0C0A0003" w:tentative="1">
      <w:start w:val="1"/>
      <w:numFmt w:val="bullet"/>
      <w:lvlText w:val="o"/>
      <w:lvlJc w:val="left"/>
      <w:pPr>
        <w:ind w:left="8640" w:hanging="360"/>
      </w:pPr>
      <w:rPr>
        <w:rFonts w:ascii="Courier New" w:hAnsi="Courier New" w:cs="Courier New" w:hint="default"/>
      </w:rPr>
    </w:lvl>
    <w:lvl w:ilvl="8" w:tplc="0C0A0005" w:tentative="1">
      <w:start w:val="1"/>
      <w:numFmt w:val="bullet"/>
      <w:lvlText w:val=""/>
      <w:lvlJc w:val="left"/>
      <w:pPr>
        <w:ind w:left="9360" w:hanging="360"/>
      </w:pPr>
      <w:rPr>
        <w:rFonts w:ascii="Wingdings" w:hAnsi="Wingdings" w:hint="default"/>
      </w:rPr>
    </w:lvl>
  </w:abstractNum>
  <w:abstractNum w:abstractNumId="7" w15:restartNumberingAfterBreak="0">
    <w:nsid w:val="44EF3617"/>
    <w:multiLevelType w:val="hybridMultilevel"/>
    <w:tmpl w:val="7FD80A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48253C7"/>
    <w:multiLevelType w:val="hybridMultilevel"/>
    <w:tmpl w:val="D142920E"/>
    <w:lvl w:ilvl="0" w:tplc="13F2B1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8184001"/>
    <w:multiLevelType w:val="hybridMultilevel"/>
    <w:tmpl w:val="6E2E7B3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6F41B2F3"/>
    <w:multiLevelType w:val="hybridMultilevel"/>
    <w:tmpl w:val="79D43EB4"/>
    <w:lvl w:ilvl="0" w:tplc="FFFFFFFF">
      <w:start w:val="1"/>
      <w:numFmt w:val="bullet"/>
      <w:lvlText w:val=""/>
      <w:lvlJc w:val="left"/>
      <w:pPr>
        <w:ind w:left="720" w:hanging="360"/>
      </w:pPr>
      <w:rPr>
        <w:rFonts w:ascii="Wingdings" w:hAnsi="Wingdings" w:hint="default"/>
      </w:rPr>
    </w:lvl>
    <w:lvl w:ilvl="1" w:tplc="77267ED8">
      <w:start w:val="1"/>
      <w:numFmt w:val="bullet"/>
      <w:lvlText w:val="o"/>
      <w:lvlJc w:val="left"/>
      <w:pPr>
        <w:ind w:left="1440" w:hanging="360"/>
      </w:pPr>
      <w:rPr>
        <w:rFonts w:ascii="Courier New" w:hAnsi="Courier New" w:hint="default"/>
      </w:rPr>
    </w:lvl>
    <w:lvl w:ilvl="2" w:tplc="8260129C">
      <w:start w:val="1"/>
      <w:numFmt w:val="bullet"/>
      <w:lvlText w:val=""/>
      <w:lvlJc w:val="left"/>
      <w:pPr>
        <w:ind w:left="2160" w:hanging="360"/>
      </w:pPr>
      <w:rPr>
        <w:rFonts w:ascii="Wingdings" w:hAnsi="Wingdings" w:hint="default"/>
      </w:rPr>
    </w:lvl>
    <w:lvl w:ilvl="3" w:tplc="6C5A3FCA">
      <w:start w:val="1"/>
      <w:numFmt w:val="bullet"/>
      <w:lvlText w:val=""/>
      <w:lvlJc w:val="left"/>
      <w:pPr>
        <w:ind w:left="2880" w:hanging="360"/>
      </w:pPr>
      <w:rPr>
        <w:rFonts w:ascii="Symbol" w:hAnsi="Symbol" w:hint="default"/>
      </w:rPr>
    </w:lvl>
    <w:lvl w:ilvl="4" w:tplc="AC20F84C">
      <w:start w:val="1"/>
      <w:numFmt w:val="bullet"/>
      <w:lvlText w:val="o"/>
      <w:lvlJc w:val="left"/>
      <w:pPr>
        <w:ind w:left="3600" w:hanging="360"/>
      </w:pPr>
      <w:rPr>
        <w:rFonts w:ascii="Courier New" w:hAnsi="Courier New" w:hint="default"/>
      </w:rPr>
    </w:lvl>
    <w:lvl w:ilvl="5" w:tplc="0B04E882">
      <w:start w:val="1"/>
      <w:numFmt w:val="bullet"/>
      <w:lvlText w:val=""/>
      <w:lvlJc w:val="left"/>
      <w:pPr>
        <w:ind w:left="4320" w:hanging="360"/>
      </w:pPr>
      <w:rPr>
        <w:rFonts w:ascii="Wingdings" w:hAnsi="Wingdings" w:hint="default"/>
      </w:rPr>
    </w:lvl>
    <w:lvl w:ilvl="6" w:tplc="539AD6BC">
      <w:start w:val="1"/>
      <w:numFmt w:val="bullet"/>
      <w:lvlText w:val=""/>
      <w:lvlJc w:val="left"/>
      <w:pPr>
        <w:ind w:left="5040" w:hanging="360"/>
      </w:pPr>
      <w:rPr>
        <w:rFonts w:ascii="Symbol" w:hAnsi="Symbol" w:hint="default"/>
      </w:rPr>
    </w:lvl>
    <w:lvl w:ilvl="7" w:tplc="9938963A">
      <w:start w:val="1"/>
      <w:numFmt w:val="bullet"/>
      <w:lvlText w:val="o"/>
      <w:lvlJc w:val="left"/>
      <w:pPr>
        <w:ind w:left="5760" w:hanging="360"/>
      </w:pPr>
      <w:rPr>
        <w:rFonts w:ascii="Courier New" w:hAnsi="Courier New" w:hint="default"/>
      </w:rPr>
    </w:lvl>
    <w:lvl w:ilvl="8" w:tplc="D13C9302">
      <w:start w:val="1"/>
      <w:numFmt w:val="bullet"/>
      <w:lvlText w:val=""/>
      <w:lvlJc w:val="left"/>
      <w:pPr>
        <w:ind w:left="6480" w:hanging="360"/>
      </w:pPr>
      <w:rPr>
        <w:rFonts w:ascii="Wingdings" w:hAnsi="Wingdings" w:hint="default"/>
      </w:rPr>
    </w:lvl>
  </w:abstractNum>
  <w:abstractNum w:abstractNumId="11" w15:restartNumberingAfterBreak="0">
    <w:nsid w:val="759D5ED5"/>
    <w:multiLevelType w:val="hybridMultilevel"/>
    <w:tmpl w:val="DBCEFF8E"/>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15:restartNumberingAfterBreak="0">
    <w:nsid w:val="7FE37B60"/>
    <w:multiLevelType w:val="hybridMultilevel"/>
    <w:tmpl w:val="DAA20F20"/>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36242505">
    <w:abstractNumId w:val="2"/>
  </w:num>
  <w:num w:numId="2" w16cid:durableId="1127894386">
    <w:abstractNumId w:val="0"/>
  </w:num>
  <w:num w:numId="3" w16cid:durableId="1454905235">
    <w:abstractNumId w:val="1"/>
  </w:num>
  <w:num w:numId="4" w16cid:durableId="773283124">
    <w:abstractNumId w:val="3"/>
  </w:num>
  <w:num w:numId="5" w16cid:durableId="1996914615">
    <w:abstractNumId w:val="10"/>
  </w:num>
  <w:num w:numId="6" w16cid:durableId="1661690029">
    <w:abstractNumId w:val="6"/>
  </w:num>
  <w:num w:numId="7" w16cid:durableId="399015392">
    <w:abstractNumId w:val="4"/>
  </w:num>
  <w:num w:numId="8" w16cid:durableId="989599955">
    <w:abstractNumId w:val="11"/>
  </w:num>
  <w:num w:numId="9" w16cid:durableId="1220048791">
    <w:abstractNumId w:val="12"/>
  </w:num>
  <w:num w:numId="10" w16cid:durableId="2071616404">
    <w:abstractNumId w:val="7"/>
  </w:num>
  <w:num w:numId="11" w16cid:durableId="2121291800">
    <w:abstractNumId w:val="5"/>
  </w:num>
  <w:num w:numId="12" w16cid:durableId="1057434066">
    <w:abstractNumId w:val="8"/>
  </w:num>
  <w:num w:numId="13" w16cid:durableId="154082224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125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F49"/>
    <w:rsid w:val="00000345"/>
    <w:rsid w:val="000019D8"/>
    <w:rsid w:val="0000667D"/>
    <w:rsid w:val="00006736"/>
    <w:rsid w:val="00006A97"/>
    <w:rsid w:val="0001123B"/>
    <w:rsid w:val="00011E8E"/>
    <w:rsid w:val="00012A7F"/>
    <w:rsid w:val="00015799"/>
    <w:rsid w:val="00015E8F"/>
    <w:rsid w:val="00016016"/>
    <w:rsid w:val="00016220"/>
    <w:rsid w:val="00017A3A"/>
    <w:rsid w:val="00022CDA"/>
    <w:rsid w:val="00026439"/>
    <w:rsid w:val="00026DE0"/>
    <w:rsid w:val="00030281"/>
    <w:rsid w:val="000323D7"/>
    <w:rsid w:val="0003523D"/>
    <w:rsid w:val="000352E2"/>
    <w:rsid w:val="00035641"/>
    <w:rsid w:val="00036BE2"/>
    <w:rsid w:val="00036E42"/>
    <w:rsid w:val="00040578"/>
    <w:rsid w:val="00040825"/>
    <w:rsid w:val="0004373B"/>
    <w:rsid w:val="00043A0E"/>
    <w:rsid w:val="000448FA"/>
    <w:rsid w:val="0005188D"/>
    <w:rsid w:val="00053A42"/>
    <w:rsid w:val="00053B2C"/>
    <w:rsid w:val="0005412E"/>
    <w:rsid w:val="0005517D"/>
    <w:rsid w:val="0005640F"/>
    <w:rsid w:val="00056594"/>
    <w:rsid w:val="00057F8D"/>
    <w:rsid w:val="0006133D"/>
    <w:rsid w:val="00063585"/>
    <w:rsid w:val="00064F2D"/>
    <w:rsid w:val="00067256"/>
    <w:rsid w:val="00070540"/>
    <w:rsid w:val="00071CD0"/>
    <w:rsid w:val="00075677"/>
    <w:rsid w:val="00075692"/>
    <w:rsid w:val="000829B9"/>
    <w:rsid w:val="00083AD2"/>
    <w:rsid w:val="00086754"/>
    <w:rsid w:val="00086C95"/>
    <w:rsid w:val="00086F2C"/>
    <w:rsid w:val="00087B6F"/>
    <w:rsid w:val="00087B8D"/>
    <w:rsid w:val="00087D38"/>
    <w:rsid w:val="00091AE8"/>
    <w:rsid w:val="00092474"/>
    <w:rsid w:val="000927BF"/>
    <w:rsid w:val="000932D9"/>
    <w:rsid w:val="00093D67"/>
    <w:rsid w:val="00093E60"/>
    <w:rsid w:val="00095136"/>
    <w:rsid w:val="00095605"/>
    <w:rsid w:val="000962AD"/>
    <w:rsid w:val="000A01B0"/>
    <w:rsid w:val="000A18B7"/>
    <w:rsid w:val="000A2564"/>
    <w:rsid w:val="000A2C1E"/>
    <w:rsid w:val="000A3E69"/>
    <w:rsid w:val="000A4697"/>
    <w:rsid w:val="000A4FC0"/>
    <w:rsid w:val="000A5AFF"/>
    <w:rsid w:val="000A7C72"/>
    <w:rsid w:val="000B2567"/>
    <w:rsid w:val="000B2728"/>
    <w:rsid w:val="000B2E66"/>
    <w:rsid w:val="000B3943"/>
    <w:rsid w:val="000B4477"/>
    <w:rsid w:val="000B7C62"/>
    <w:rsid w:val="000C0704"/>
    <w:rsid w:val="000C2B07"/>
    <w:rsid w:val="000C39CC"/>
    <w:rsid w:val="000C3D65"/>
    <w:rsid w:val="000C5897"/>
    <w:rsid w:val="000C601A"/>
    <w:rsid w:val="000C7566"/>
    <w:rsid w:val="000C79B7"/>
    <w:rsid w:val="000C7C99"/>
    <w:rsid w:val="000D07C2"/>
    <w:rsid w:val="000D0947"/>
    <w:rsid w:val="000D0C1E"/>
    <w:rsid w:val="000D123C"/>
    <w:rsid w:val="000D188E"/>
    <w:rsid w:val="000D4AA2"/>
    <w:rsid w:val="000D5111"/>
    <w:rsid w:val="000D5335"/>
    <w:rsid w:val="000D67B3"/>
    <w:rsid w:val="000E24B9"/>
    <w:rsid w:val="000E6AD5"/>
    <w:rsid w:val="000E7290"/>
    <w:rsid w:val="000E7B86"/>
    <w:rsid w:val="000E7DC1"/>
    <w:rsid w:val="000F0EFC"/>
    <w:rsid w:val="000F2B66"/>
    <w:rsid w:val="000F3D83"/>
    <w:rsid w:val="000F41DE"/>
    <w:rsid w:val="000F4EDB"/>
    <w:rsid w:val="00100F12"/>
    <w:rsid w:val="001020B1"/>
    <w:rsid w:val="00102EC8"/>
    <w:rsid w:val="00103589"/>
    <w:rsid w:val="00103B15"/>
    <w:rsid w:val="001045C9"/>
    <w:rsid w:val="00107CC1"/>
    <w:rsid w:val="001111F3"/>
    <w:rsid w:val="00111A92"/>
    <w:rsid w:val="00112BAC"/>
    <w:rsid w:val="001145C3"/>
    <w:rsid w:val="00115FB7"/>
    <w:rsid w:val="001161D2"/>
    <w:rsid w:val="00116628"/>
    <w:rsid w:val="00117EC1"/>
    <w:rsid w:val="00117EEA"/>
    <w:rsid w:val="0012073E"/>
    <w:rsid w:val="0012110D"/>
    <w:rsid w:val="001223D9"/>
    <w:rsid w:val="00122C79"/>
    <w:rsid w:val="00122EB6"/>
    <w:rsid w:val="00123680"/>
    <w:rsid w:val="00124275"/>
    <w:rsid w:val="00124F37"/>
    <w:rsid w:val="00130352"/>
    <w:rsid w:val="00130467"/>
    <w:rsid w:val="00131DF1"/>
    <w:rsid w:val="00132C38"/>
    <w:rsid w:val="00133984"/>
    <w:rsid w:val="00133E96"/>
    <w:rsid w:val="001365C4"/>
    <w:rsid w:val="0014147D"/>
    <w:rsid w:val="00141D29"/>
    <w:rsid w:val="00142104"/>
    <w:rsid w:val="00142123"/>
    <w:rsid w:val="001426E1"/>
    <w:rsid w:val="00144225"/>
    <w:rsid w:val="0014506A"/>
    <w:rsid w:val="00146DF3"/>
    <w:rsid w:val="0014728F"/>
    <w:rsid w:val="00147FC9"/>
    <w:rsid w:val="00150D66"/>
    <w:rsid w:val="00151577"/>
    <w:rsid w:val="001521A2"/>
    <w:rsid w:val="00152358"/>
    <w:rsid w:val="00155BFF"/>
    <w:rsid w:val="00155E55"/>
    <w:rsid w:val="001564A2"/>
    <w:rsid w:val="00156997"/>
    <w:rsid w:val="0015713D"/>
    <w:rsid w:val="001572A9"/>
    <w:rsid w:val="00160468"/>
    <w:rsid w:val="00160F66"/>
    <w:rsid w:val="001633AF"/>
    <w:rsid w:val="00163402"/>
    <w:rsid w:val="001636BC"/>
    <w:rsid w:val="00164976"/>
    <w:rsid w:val="00164C02"/>
    <w:rsid w:val="0016655A"/>
    <w:rsid w:val="00166A6C"/>
    <w:rsid w:val="001703AF"/>
    <w:rsid w:val="001728D0"/>
    <w:rsid w:val="00173EDD"/>
    <w:rsid w:val="0017402B"/>
    <w:rsid w:val="00175E99"/>
    <w:rsid w:val="00176503"/>
    <w:rsid w:val="00180C5C"/>
    <w:rsid w:val="00181151"/>
    <w:rsid w:val="00181D37"/>
    <w:rsid w:val="001829DB"/>
    <w:rsid w:val="00182A33"/>
    <w:rsid w:val="001835B7"/>
    <w:rsid w:val="0018426B"/>
    <w:rsid w:val="00185A37"/>
    <w:rsid w:val="0018614D"/>
    <w:rsid w:val="00191817"/>
    <w:rsid w:val="00191A8B"/>
    <w:rsid w:val="00192ECB"/>
    <w:rsid w:val="00194309"/>
    <w:rsid w:val="0019660E"/>
    <w:rsid w:val="00196D16"/>
    <w:rsid w:val="001A0C22"/>
    <w:rsid w:val="001A2450"/>
    <w:rsid w:val="001A28C8"/>
    <w:rsid w:val="001A545A"/>
    <w:rsid w:val="001A6A11"/>
    <w:rsid w:val="001B16A3"/>
    <w:rsid w:val="001B205C"/>
    <w:rsid w:val="001B39E2"/>
    <w:rsid w:val="001B63E8"/>
    <w:rsid w:val="001C287F"/>
    <w:rsid w:val="001C2B26"/>
    <w:rsid w:val="001C3A32"/>
    <w:rsid w:val="001C6702"/>
    <w:rsid w:val="001C6842"/>
    <w:rsid w:val="001C7824"/>
    <w:rsid w:val="001D1F0D"/>
    <w:rsid w:val="001D26EB"/>
    <w:rsid w:val="001D29DB"/>
    <w:rsid w:val="001D4F09"/>
    <w:rsid w:val="001E2419"/>
    <w:rsid w:val="001E42F0"/>
    <w:rsid w:val="001E4BEF"/>
    <w:rsid w:val="001E4FD8"/>
    <w:rsid w:val="001E5111"/>
    <w:rsid w:val="001E6DF1"/>
    <w:rsid w:val="001F1481"/>
    <w:rsid w:val="001F1482"/>
    <w:rsid w:val="001F20D7"/>
    <w:rsid w:val="001F3537"/>
    <w:rsid w:val="001F401F"/>
    <w:rsid w:val="001F4707"/>
    <w:rsid w:val="001F53B9"/>
    <w:rsid w:val="001F6074"/>
    <w:rsid w:val="001F7744"/>
    <w:rsid w:val="00200E86"/>
    <w:rsid w:val="002014EB"/>
    <w:rsid w:val="002028C5"/>
    <w:rsid w:val="002029E2"/>
    <w:rsid w:val="00202B1A"/>
    <w:rsid w:val="002047D0"/>
    <w:rsid w:val="00204979"/>
    <w:rsid w:val="002075F7"/>
    <w:rsid w:val="0020778E"/>
    <w:rsid w:val="002114A7"/>
    <w:rsid w:val="00211D69"/>
    <w:rsid w:val="002139C0"/>
    <w:rsid w:val="00213E7D"/>
    <w:rsid w:val="00215C5B"/>
    <w:rsid w:val="002179DB"/>
    <w:rsid w:val="00221C75"/>
    <w:rsid w:val="00222F5C"/>
    <w:rsid w:val="002245F6"/>
    <w:rsid w:val="00227B5B"/>
    <w:rsid w:val="00227E48"/>
    <w:rsid w:val="00227F7A"/>
    <w:rsid w:val="00230577"/>
    <w:rsid w:val="0023159D"/>
    <w:rsid w:val="0023209D"/>
    <w:rsid w:val="002324FE"/>
    <w:rsid w:val="002333F8"/>
    <w:rsid w:val="00233D79"/>
    <w:rsid w:val="00234A7A"/>
    <w:rsid w:val="00237657"/>
    <w:rsid w:val="002400BB"/>
    <w:rsid w:val="0024099A"/>
    <w:rsid w:val="00242BA7"/>
    <w:rsid w:val="00243460"/>
    <w:rsid w:val="002437B5"/>
    <w:rsid w:val="00243EDD"/>
    <w:rsid w:val="00244EF1"/>
    <w:rsid w:val="00245329"/>
    <w:rsid w:val="00246F21"/>
    <w:rsid w:val="00250F29"/>
    <w:rsid w:val="00253E78"/>
    <w:rsid w:val="002565F5"/>
    <w:rsid w:val="00256774"/>
    <w:rsid w:val="00256B5E"/>
    <w:rsid w:val="00256C39"/>
    <w:rsid w:val="00256E7C"/>
    <w:rsid w:val="0026107F"/>
    <w:rsid w:val="00262C3C"/>
    <w:rsid w:val="00263AA4"/>
    <w:rsid w:val="00264C88"/>
    <w:rsid w:val="0026532C"/>
    <w:rsid w:val="0026575D"/>
    <w:rsid w:val="002674FF"/>
    <w:rsid w:val="002705B0"/>
    <w:rsid w:val="002717A6"/>
    <w:rsid w:val="00272015"/>
    <w:rsid w:val="00273C10"/>
    <w:rsid w:val="00274010"/>
    <w:rsid w:val="00274B4C"/>
    <w:rsid w:val="00276264"/>
    <w:rsid w:val="00276E03"/>
    <w:rsid w:val="00277F50"/>
    <w:rsid w:val="002816BA"/>
    <w:rsid w:val="00281DCA"/>
    <w:rsid w:val="00291330"/>
    <w:rsid w:val="00291C62"/>
    <w:rsid w:val="002953A5"/>
    <w:rsid w:val="00295A2D"/>
    <w:rsid w:val="00295C32"/>
    <w:rsid w:val="00297177"/>
    <w:rsid w:val="00297B04"/>
    <w:rsid w:val="002A0385"/>
    <w:rsid w:val="002A056C"/>
    <w:rsid w:val="002A1436"/>
    <w:rsid w:val="002A22EE"/>
    <w:rsid w:val="002A326F"/>
    <w:rsid w:val="002A4390"/>
    <w:rsid w:val="002A66A5"/>
    <w:rsid w:val="002A6EBB"/>
    <w:rsid w:val="002A7949"/>
    <w:rsid w:val="002B1102"/>
    <w:rsid w:val="002B14BA"/>
    <w:rsid w:val="002B183D"/>
    <w:rsid w:val="002B21E9"/>
    <w:rsid w:val="002B2B87"/>
    <w:rsid w:val="002B444C"/>
    <w:rsid w:val="002B4E0F"/>
    <w:rsid w:val="002B5754"/>
    <w:rsid w:val="002B5B32"/>
    <w:rsid w:val="002B6412"/>
    <w:rsid w:val="002C1316"/>
    <w:rsid w:val="002C26DE"/>
    <w:rsid w:val="002C5A07"/>
    <w:rsid w:val="002C7026"/>
    <w:rsid w:val="002C7B94"/>
    <w:rsid w:val="002C7C89"/>
    <w:rsid w:val="002C7E08"/>
    <w:rsid w:val="002C7FFA"/>
    <w:rsid w:val="002D0003"/>
    <w:rsid w:val="002D089F"/>
    <w:rsid w:val="002D22B4"/>
    <w:rsid w:val="002D2B57"/>
    <w:rsid w:val="002D5635"/>
    <w:rsid w:val="002D65E8"/>
    <w:rsid w:val="002D6603"/>
    <w:rsid w:val="002D7D32"/>
    <w:rsid w:val="002E02E5"/>
    <w:rsid w:val="002E0478"/>
    <w:rsid w:val="002E0791"/>
    <w:rsid w:val="002E176A"/>
    <w:rsid w:val="002E17A9"/>
    <w:rsid w:val="002E1B92"/>
    <w:rsid w:val="002E3FF3"/>
    <w:rsid w:val="002E56BF"/>
    <w:rsid w:val="002E5AB3"/>
    <w:rsid w:val="002E6336"/>
    <w:rsid w:val="002E7B81"/>
    <w:rsid w:val="002E7CD5"/>
    <w:rsid w:val="002F09FB"/>
    <w:rsid w:val="002F0FE3"/>
    <w:rsid w:val="002F1AF0"/>
    <w:rsid w:val="002F2530"/>
    <w:rsid w:val="002F272A"/>
    <w:rsid w:val="002F3225"/>
    <w:rsid w:val="002F53B4"/>
    <w:rsid w:val="002F612F"/>
    <w:rsid w:val="002F76D6"/>
    <w:rsid w:val="00302B25"/>
    <w:rsid w:val="00303506"/>
    <w:rsid w:val="00305484"/>
    <w:rsid w:val="00306C47"/>
    <w:rsid w:val="00307057"/>
    <w:rsid w:val="0031019E"/>
    <w:rsid w:val="00312819"/>
    <w:rsid w:val="00312E9C"/>
    <w:rsid w:val="00313875"/>
    <w:rsid w:val="00313DF7"/>
    <w:rsid w:val="0031569A"/>
    <w:rsid w:val="003158F4"/>
    <w:rsid w:val="003161BB"/>
    <w:rsid w:val="003162D0"/>
    <w:rsid w:val="003203BF"/>
    <w:rsid w:val="00321369"/>
    <w:rsid w:val="0032304B"/>
    <w:rsid w:val="0032542C"/>
    <w:rsid w:val="00330787"/>
    <w:rsid w:val="00331689"/>
    <w:rsid w:val="00335285"/>
    <w:rsid w:val="00337493"/>
    <w:rsid w:val="00340079"/>
    <w:rsid w:val="003401BD"/>
    <w:rsid w:val="0034285F"/>
    <w:rsid w:val="00342988"/>
    <w:rsid w:val="003429AC"/>
    <w:rsid w:val="003464A4"/>
    <w:rsid w:val="00347AEF"/>
    <w:rsid w:val="00350875"/>
    <w:rsid w:val="0035097E"/>
    <w:rsid w:val="00351684"/>
    <w:rsid w:val="003524F5"/>
    <w:rsid w:val="00352FFC"/>
    <w:rsid w:val="00354458"/>
    <w:rsid w:val="00363653"/>
    <w:rsid w:val="0036509D"/>
    <w:rsid w:val="00366CF2"/>
    <w:rsid w:val="00370BA6"/>
    <w:rsid w:val="0037228C"/>
    <w:rsid w:val="003738FD"/>
    <w:rsid w:val="0037787C"/>
    <w:rsid w:val="00380814"/>
    <w:rsid w:val="003810BE"/>
    <w:rsid w:val="00382D59"/>
    <w:rsid w:val="00383015"/>
    <w:rsid w:val="003858C4"/>
    <w:rsid w:val="003860F8"/>
    <w:rsid w:val="00386F6C"/>
    <w:rsid w:val="00387709"/>
    <w:rsid w:val="00387794"/>
    <w:rsid w:val="003935EE"/>
    <w:rsid w:val="0039691D"/>
    <w:rsid w:val="00397162"/>
    <w:rsid w:val="003A0207"/>
    <w:rsid w:val="003A2E45"/>
    <w:rsid w:val="003A335E"/>
    <w:rsid w:val="003A3DD2"/>
    <w:rsid w:val="003A4283"/>
    <w:rsid w:val="003A758C"/>
    <w:rsid w:val="003B1C99"/>
    <w:rsid w:val="003B3573"/>
    <w:rsid w:val="003B4472"/>
    <w:rsid w:val="003B5813"/>
    <w:rsid w:val="003B6359"/>
    <w:rsid w:val="003B7E78"/>
    <w:rsid w:val="003C017D"/>
    <w:rsid w:val="003C03EA"/>
    <w:rsid w:val="003C0628"/>
    <w:rsid w:val="003C0747"/>
    <w:rsid w:val="003C196B"/>
    <w:rsid w:val="003C51F4"/>
    <w:rsid w:val="003C6BFA"/>
    <w:rsid w:val="003C6E1D"/>
    <w:rsid w:val="003D058C"/>
    <w:rsid w:val="003D097C"/>
    <w:rsid w:val="003D1883"/>
    <w:rsid w:val="003D4C73"/>
    <w:rsid w:val="003D76B1"/>
    <w:rsid w:val="003D798F"/>
    <w:rsid w:val="003E0532"/>
    <w:rsid w:val="003E17A6"/>
    <w:rsid w:val="003E4AA5"/>
    <w:rsid w:val="003E4E96"/>
    <w:rsid w:val="003F0B3C"/>
    <w:rsid w:val="003F1CEC"/>
    <w:rsid w:val="003F3D0C"/>
    <w:rsid w:val="003F43BF"/>
    <w:rsid w:val="003F4C64"/>
    <w:rsid w:val="003F6BE4"/>
    <w:rsid w:val="00402DA0"/>
    <w:rsid w:val="00403CF8"/>
    <w:rsid w:val="004051FC"/>
    <w:rsid w:val="004065D4"/>
    <w:rsid w:val="00407459"/>
    <w:rsid w:val="004109B0"/>
    <w:rsid w:val="00410E9F"/>
    <w:rsid w:val="00411E21"/>
    <w:rsid w:val="00414D01"/>
    <w:rsid w:val="004170FE"/>
    <w:rsid w:val="00417E69"/>
    <w:rsid w:val="004209E6"/>
    <w:rsid w:val="0042324B"/>
    <w:rsid w:val="004234E8"/>
    <w:rsid w:val="0042491E"/>
    <w:rsid w:val="00426805"/>
    <w:rsid w:val="00426E24"/>
    <w:rsid w:val="00430150"/>
    <w:rsid w:val="004302F9"/>
    <w:rsid w:val="0043133D"/>
    <w:rsid w:val="0043229B"/>
    <w:rsid w:val="00432C6E"/>
    <w:rsid w:val="00434FE0"/>
    <w:rsid w:val="00435287"/>
    <w:rsid w:val="004352E3"/>
    <w:rsid w:val="00435F89"/>
    <w:rsid w:val="00436E53"/>
    <w:rsid w:val="004378BF"/>
    <w:rsid w:val="00440A22"/>
    <w:rsid w:val="00443828"/>
    <w:rsid w:val="00443CDF"/>
    <w:rsid w:val="004466F8"/>
    <w:rsid w:val="00452172"/>
    <w:rsid w:val="00453FE4"/>
    <w:rsid w:val="004542E9"/>
    <w:rsid w:val="0045550E"/>
    <w:rsid w:val="00455581"/>
    <w:rsid w:val="00456456"/>
    <w:rsid w:val="004605A2"/>
    <w:rsid w:val="00462367"/>
    <w:rsid w:val="0046490C"/>
    <w:rsid w:val="00465B8C"/>
    <w:rsid w:val="0046675A"/>
    <w:rsid w:val="00470287"/>
    <w:rsid w:val="00470733"/>
    <w:rsid w:val="00470FBD"/>
    <w:rsid w:val="004712A4"/>
    <w:rsid w:val="00474FED"/>
    <w:rsid w:val="00476443"/>
    <w:rsid w:val="00477C53"/>
    <w:rsid w:val="004826B3"/>
    <w:rsid w:val="00483FCA"/>
    <w:rsid w:val="00484365"/>
    <w:rsid w:val="004850F6"/>
    <w:rsid w:val="00485380"/>
    <w:rsid w:val="00490B45"/>
    <w:rsid w:val="00493D87"/>
    <w:rsid w:val="00494ACB"/>
    <w:rsid w:val="004950D4"/>
    <w:rsid w:val="00495A12"/>
    <w:rsid w:val="004A023D"/>
    <w:rsid w:val="004A0506"/>
    <w:rsid w:val="004A08EC"/>
    <w:rsid w:val="004A0CD4"/>
    <w:rsid w:val="004A15D4"/>
    <w:rsid w:val="004A2342"/>
    <w:rsid w:val="004A2F62"/>
    <w:rsid w:val="004A4EBB"/>
    <w:rsid w:val="004B171A"/>
    <w:rsid w:val="004B1DB8"/>
    <w:rsid w:val="004B2F01"/>
    <w:rsid w:val="004B4182"/>
    <w:rsid w:val="004B4538"/>
    <w:rsid w:val="004B4F81"/>
    <w:rsid w:val="004B513D"/>
    <w:rsid w:val="004B5A90"/>
    <w:rsid w:val="004B5F97"/>
    <w:rsid w:val="004B6FB6"/>
    <w:rsid w:val="004C2246"/>
    <w:rsid w:val="004C3092"/>
    <w:rsid w:val="004C3423"/>
    <w:rsid w:val="004C3C59"/>
    <w:rsid w:val="004C571D"/>
    <w:rsid w:val="004C66A9"/>
    <w:rsid w:val="004C7572"/>
    <w:rsid w:val="004D1EED"/>
    <w:rsid w:val="004D35A2"/>
    <w:rsid w:val="004D43DE"/>
    <w:rsid w:val="004D5C38"/>
    <w:rsid w:val="004D5FD1"/>
    <w:rsid w:val="004E42EF"/>
    <w:rsid w:val="004F1358"/>
    <w:rsid w:val="004F66CB"/>
    <w:rsid w:val="004F6965"/>
    <w:rsid w:val="004F7C93"/>
    <w:rsid w:val="0050005F"/>
    <w:rsid w:val="0050169C"/>
    <w:rsid w:val="00506105"/>
    <w:rsid w:val="00507E2A"/>
    <w:rsid w:val="00507ED6"/>
    <w:rsid w:val="005115EA"/>
    <w:rsid w:val="00513162"/>
    <w:rsid w:val="0051428E"/>
    <w:rsid w:val="00514BDB"/>
    <w:rsid w:val="00514BE5"/>
    <w:rsid w:val="00520408"/>
    <w:rsid w:val="005213DE"/>
    <w:rsid w:val="00522CD4"/>
    <w:rsid w:val="00522F3E"/>
    <w:rsid w:val="0052551E"/>
    <w:rsid w:val="00525809"/>
    <w:rsid w:val="00530B44"/>
    <w:rsid w:val="00532525"/>
    <w:rsid w:val="00535130"/>
    <w:rsid w:val="005354DF"/>
    <w:rsid w:val="00537302"/>
    <w:rsid w:val="005406CF"/>
    <w:rsid w:val="00541418"/>
    <w:rsid w:val="00543627"/>
    <w:rsid w:val="00547ED1"/>
    <w:rsid w:val="00552517"/>
    <w:rsid w:val="00552712"/>
    <w:rsid w:val="0055396E"/>
    <w:rsid w:val="0055448D"/>
    <w:rsid w:val="00555509"/>
    <w:rsid w:val="005559DE"/>
    <w:rsid w:val="00555F50"/>
    <w:rsid w:val="00556922"/>
    <w:rsid w:val="005579A4"/>
    <w:rsid w:val="005610DD"/>
    <w:rsid w:val="005619EF"/>
    <w:rsid w:val="00561C5B"/>
    <w:rsid w:val="00564D57"/>
    <w:rsid w:val="00564F2D"/>
    <w:rsid w:val="00566087"/>
    <w:rsid w:val="00566CDA"/>
    <w:rsid w:val="0056727E"/>
    <w:rsid w:val="00567946"/>
    <w:rsid w:val="00567BA6"/>
    <w:rsid w:val="00570033"/>
    <w:rsid w:val="00570147"/>
    <w:rsid w:val="0057014C"/>
    <w:rsid w:val="005705BE"/>
    <w:rsid w:val="0057307E"/>
    <w:rsid w:val="005731ED"/>
    <w:rsid w:val="00573A4C"/>
    <w:rsid w:val="00573D4E"/>
    <w:rsid w:val="00574B79"/>
    <w:rsid w:val="00574D12"/>
    <w:rsid w:val="005757C6"/>
    <w:rsid w:val="005778C3"/>
    <w:rsid w:val="005800B4"/>
    <w:rsid w:val="0058070B"/>
    <w:rsid w:val="0058296F"/>
    <w:rsid w:val="00582AED"/>
    <w:rsid w:val="00585285"/>
    <w:rsid w:val="00585D74"/>
    <w:rsid w:val="00592401"/>
    <w:rsid w:val="0059327F"/>
    <w:rsid w:val="00593DF7"/>
    <w:rsid w:val="005946EE"/>
    <w:rsid w:val="00594B91"/>
    <w:rsid w:val="00595E80"/>
    <w:rsid w:val="0059650E"/>
    <w:rsid w:val="00596953"/>
    <w:rsid w:val="00596DA7"/>
    <w:rsid w:val="0059750C"/>
    <w:rsid w:val="005A1AA0"/>
    <w:rsid w:val="005A53E3"/>
    <w:rsid w:val="005A6030"/>
    <w:rsid w:val="005B029C"/>
    <w:rsid w:val="005B1A7F"/>
    <w:rsid w:val="005B57AD"/>
    <w:rsid w:val="005B600D"/>
    <w:rsid w:val="005B722E"/>
    <w:rsid w:val="005B7C05"/>
    <w:rsid w:val="005C02FE"/>
    <w:rsid w:val="005C1FC8"/>
    <w:rsid w:val="005C2E48"/>
    <w:rsid w:val="005C50AC"/>
    <w:rsid w:val="005C5FBF"/>
    <w:rsid w:val="005C6406"/>
    <w:rsid w:val="005C6B5B"/>
    <w:rsid w:val="005D372D"/>
    <w:rsid w:val="005D6790"/>
    <w:rsid w:val="005D69D1"/>
    <w:rsid w:val="005E210D"/>
    <w:rsid w:val="005E3B7B"/>
    <w:rsid w:val="005E58B8"/>
    <w:rsid w:val="005E5E2D"/>
    <w:rsid w:val="005E6ADC"/>
    <w:rsid w:val="005E8AFA"/>
    <w:rsid w:val="005F01C7"/>
    <w:rsid w:val="005F2027"/>
    <w:rsid w:val="005F2425"/>
    <w:rsid w:val="005F34B1"/>
    <w:rsid w:val="005F5EC7"/>
    <w:rsid w:val="005F7207"/>
    <w:rsid w:val="005F7F45"/>
    <w:rsid w:val="005F7FCF"/>
    <w:rsid w:val="00602412"/>
    <w:rsid w:val="00607691"/>
    <w:rsid w:val="006102E7"/>
    <w:rsid w:val="0061062C"/>
    <w:rsid w:val="00610754"/>
    <w:rsid w:val="00613183"/>
    <w:rsid w:val="006133F0"/>
    <w:rsid w:val="00614351"/>
    <w:rsid w:val="00615481"/>
    <w:rsid w:val="00616888"/>
    <w:rsid w:val="006176BE"/>
    <w:rsid w:val="00620A04"/>
    <w:rsid w:val="006212CB"/>
    <w:rsid w:val="00627002"/>
    <w:rsid w:val="006279F9"/>
    <w:rsid w:val="00630C4A"/>
    <w:rsid w:val="00630E52"/>
    <w:rsid w:val="00632B59"/>
    <w:rsid w:val="006369EE"/>
    <w:rsid w:val="00641B4C"/>
    <w:rsid w:val="0064700E"/>
    <w:rsid w:val="00650183"/>
    <w:rsid w:val="00650677"/>
    <w:rsid w:val="00656515"/>
    <w:rsid w:val="00656FA2"/>
    <w:rsid w:val="00660851"/>
    <w:rsid w:val="00665163"/>
    <w:rsid w:val="00666B4E"/>
    <w:rsid w:val="0067366C"/>
    <w:rsid w:val="006736A9"/>
    <w:rsid w:val="00673BC7"/>
    <w:rsid w:val="00674975"/>
    <w:rsid w:val="00675D39"/>
    <w:rsid w:val="006761ED"/>
    <w:rsid w:val="0068144A"/>
    <w:rsid w:val="006820FB"/>
    <w:rsid w:val="00683567"/>
    <w:rsid w:val="00684285"/>
    <w:rsid w:val="0068560B"/>
    <w:rsid w:val="00686F97"/>
    <w:rsid w:val="00687E14"/>
    <w:rsid w:val="0069229C"/>
    <w:rsid w:val="00695521"/>
    <w:rsid w:val="00695BC9"/>
    <w:rsid w:val="006A1277"/>
    <w:rsid w:val="006A2602"/>
    <w:rsid w:val="006A2D41"/>
    <w:rsid w:val="006A34FD"/>
    <w:rsid w:val="006A3934"/>
    <w:rsid w:val="006A5A1D"/>
    <w:rsid w:val="006A67E1"/>
    <w:rsid w:val="006A7C49"/>
    <w:rsid w:val="006B1439"/>
    <w:rsid w:val="006B31C1"/>
    <w:rsid w:val="006B3BA4"/>
    <w:rsid w:val="006C2064"/>
    <w:rsid w:val="006C36FB"/>
    <w:rsid w:val="006C38BB"/>
    <w:rsid w:val="006C437D"/>
    <w:rsid w:val="006C51C7"/>
    <w:rsid w:val="006C6B7C"/>
    <w:rsid w:val="006C724C"/>
    <w:rsid w:val="006C7561"/>
    <w:rsid w:val="006C78C1"/>
    <w:rsid w:val="006C7AF9"/>
    <w:rsid w:val="006C7D62"/>
    <w:rsid w:val="006C7F4D"/>
    <w:rsid w:val="006D0B23"/>
    <w:rsid w:val="006D2ED6"/>
    <w:rsid w:val="006D5685"/>
    <w:rsid w:val="006D5D6C"/>
    <w:rsid w:val="006E1987"/>
    <w:rsid w:val="006E23B2"/>
    <w:rsid w:val="006E3597"/>
    <w:rsid w:val="006E5207"/>
    <w:rsid w:val="006F5C70"/>
    <w:rsid w:val="006F6430"/>
    <w:rsid w:val="006F6A20"/>
    <w:rsid w:val="00702FE8"/>
    <w:rsid w:val="00703035"/>
    <w:rsid w:val="007037BD"/>
    <w:rsid w:val="007047B2"/>
    <w:rsid w:val="00704DE7"/>
    <w:rsid w:val="00705663"/>
    <w:rsid w:val="00706868"/>
    <w:rsid w:val="00706CF8"/>
    <w:rsid w:val="007078B8"/>
    <w:rsid w:val="0071005E"/>
    <w:rsid w:val="0071438F"/>
    <w:rsid w:val="00715E32"/>
    <w:rsid w:val="007162D1"/>
    <w:rsid w:val="00716463"/>
    <w:rsid w:val="0071706E"/>
    <w:rsid w:val="00723F04"/>
    <w:rsid w:val="00727292"/>
    <w:rsid w:val="00727F1E"/>
    <w:rsid w:val="007302CF"/>
    <w:rsid w:val="00731388"/>
    <w:rsid w:val="00734C9C"/>
    <w:rsid w:val="00735125"/>
    <w:rsid w:val="007420CC"/>
    <w:rsid w:val="00742F6A"/>
    <w:rsid w:val="007446E8"/>
    <w:rsid w:val="00744767"/>
    <w:rsid w:val="00744D06"/>
    <w:rsid w:val="007468A1"/>
    <w:rsid w:val="00747D9D"/>
    <w:rsid w:val="00751553"/>
    <w:rsid w:val="0075165E"/>
    <w:rsid w:val="00753395"/>
    <w:rsid w:val="00754E10"/>
    <w:rsid w:val="007554BE"/>
    <w:rsid w:val="00755FC4"/>
    <w:rsid w:val="00760C4D"/>
    <w:rsid w:val="00761E1F"/>
    <w:rsid w:val="007621AD"/>
    <w:rsid w:val="00762A29"/>
    <w:rsid w:val="0076327D"/>
    <w:rsid w:val="00767745"/>
    <w:rsid w:val="00770465"/>
    <w:rsid w:val="007707FC"/>
    <w:rsid w:val="00770A10"/>
    <w:rsid w:val="00770BE3"/>
    <w:rsid w:val="0077177A"/>
    <w:rsid w:val="00772525"/>
    <w:rsid w:val="007728A8"/>
    <w:rsid w:val="007810C3"/>
    <w:rsid w:val="00781E57"/>
    <w:rsid w:val="00781FB5"/>
    <w:rsid w:val="007846E1"/>
    <w:rsid w:val="00785A76"/>
    <w:rsid w:val="00787852"/>
    <w:rsid w:val="007915BC"/>
    <w:rsid w:val="0079184E"/>
    <w:rsid w:val="007923CB"/>
    <w:rsid w:val="00792A8C"/>
    <w:rsid w:val="007936D5"/>
    <w:rsid w:val="00793938"/>
    <w:rsid w:val="00794C6A"/>
    <w:rsid w:val="007967FA"/>
    <w:rsid w:val="00797E7A"/>
    <w:rsid w:val="007A0EA6"/>
    <w:rsid w:val="007A2D9E"/>
    <w:rsid w:val="007A4598"/>
    <w:rsid w:val="007A5F32"/>
    <w:rsid w:val="007A6A07"/>
    <w:rsid w:val="007B0381"/>
    <w:rsid w:val="007B0F3D"/>
    <w:rsid w:val="007B148D"/>
    <w:rsid w:val="007B18C8"/>
    <w:rsid w:val="007B28DE"/>
    <w:rsid w:val="007B6536"/>
    <w:rsid w:val="007B7A5F"/>
    <w:rsid w:val="007B7E53"/>
    <w:rsid w:val="007C36BE"/>
    <w:rsid w:val="007C71BF"/>
    <w:rsid w:val="007D4351"/>
    <w:rsid w:val="007D53ED"/>
    <w:rsid w:val="007D545D"/>
    <w:rsid w:val="007D6001"/>
    <w:rsid w:val="007D6C69"/>
    <w:rsid w:val="007D7F94"/>
    <w:rsid w:val="007E1406"/>
    <w:rsid w:val="007E1B76"/>
    <w:rsid w:val="007E219A"/>
    <w:rsid w:val="007E272E"/>
    <w:rsid w:val="007E27A7"/>
    <w:rsid w:val="007E2B6D"/>
    <w:rsid w:val="007E31EA"/>
    <w:rsid w:val="007E37BF"/>
    <w:rsid w:val="007E47A8"/>
    <w:rsid w:val="007E6593"/>
    <w:rsid w:val="007F0881"/>
    <w:rsid w:val="007F1101"/>
    <w:rsid w:val="007F2CB1"/>
    <w:rsid w:val="00802D5E"/>
    <w:rsid w:val="00803D20"/>
    <w:rsid w:val="008041D9"/>
    <w:rsid w:val="00804CBA"/>
    <w:rsid w:val="008109AE"/>
    <w:rsid w:val="008112A0"/>
    <w:rsid w:val="0081696D"/>
    <w:rsid w:val="00816E01"/>
    <w:rsid w:val="008173D0"/>
    <w:rsid w:val="00817E1D"/>
    <w:rsid w:val="008203F2"/>
    <w:rsid w:val="008229A4"/>
    <w:rsid w:val="00823235"/>
    <w:rsid w:val="008249F1"/>
    <w:rsid w:val="00824AF2"/>
    <w:rsid w:val="00826686"/>
    <w:rsid w:val="00835563"/>
    <w:rsid w:val="00836511"/>
    <w:rsid w:val="00836B02"/>
    <w:rsid w:val="00836EC6"/>
    <w:rsid w:val="0083741E"/>
    <w:rsid w:val="00837985"/>
    <w:rsid w:val="0083893C"/>
    <w:rsid w:val="008405D9"/>
    <w:rsid w:val="00840921"/>
    <w:rsid w:val="00840E3D"/>
    <w:rsid w:val="008413A1"/>
    <w:rsid w:val="00841D8C"/>
    <w:rsid w:val="00842220"/>
    <w:rsid w:val="00842311"/>
    <w:rsid w:val="00844111"/>
    <w:rsid w:val="00844F74"/>
    <w:rsid w:val="00846382"/>
    <w:rsid w:val="00850F57"/>
    <w:rsid w:val="00851DBC"/>
    <w:rsid w:val="008536C2"/>
    <w:rsid w:val="00854BA2"/>
    <w:rsid w:val="008600C7"/>
    <w:rsid w:val="008617D0"/>
    <w:rsid w:val="00861A60"/>
    <w:rsid w:val="0086227E"/>
    <w:rsid w:val="00862357"/>
    <w:rsid w:val="00862D02"/>
    <w:rsid w:val="008637B9"/>
    <w:rsid w:val="00864194"/>
    <w:rsid w:val="0086570C"/>
    <w:rsid w:val="00870399"/>
    <w:rsid w:val="0087068E"/>
    <w:rsid w:val="008711EC"/>
    <w:rsid w:val="008718FE"/>
    <w:rsid w:val="00871DD9"/>
    <w:rsid w:val="00872946"/>
    <w:rsid w:val="00874606"/>
    <w:rsid w:val="008757F2"/>
    <w:rsid w:val="008767AE"/>
    <w:rsid w:val="00877234"/>
    <w:rsid w:val="0087762A"/>
    <w:rsid w:val="00881E26"/>
    <w:rsid w:val="00882736"/>
    <w:rsid w:val="00883694"/>
    <w:rsid w:val="00883928"/>
    <w:rsid w:val="00883DDE"/>
    <w:rsid w:val="00884113"/>
    <w:rsid w:val="00887997"/>
    <w:rsid w:val="00890043"/>
    <w:rsid w:val="00890E85"/>
    <w:rsid w:val="00891152"/>
    <w:rsid w:val="00891D73"/>
    <w:rsid w:val="00892864"/>
    <w:rsid w:val="00892A44"/>
    <w:rsid w:val="00895BA4"/>
    <w:rsid w:val="008A2DE8"/>
    <w:rsid w:val="008A312D"/>
    <w:rsid w:val="008A3E09"/>
    <w:rsid w:val="008A3E57"/>
    <w:rsid w:val="008A6A0E"/>
    <w:rsid w:val="008A6A75"/>
    <w:rsid w:val="008A733B"/>
    <w:rsid w:val="008A77A7"/>
    <w:rsid w:val="008B3A77"/>
    <w:rsid w:val="008B3F34"/>
    <w:rsid w:val="008B41DB"/>
    <w:rsid w:val="008C0200"/>
    <w:rsid w:val="008C0342"/>
    <w:rsid w:val="008C56B9"/>
    <w:rsid w:val="008C7A0C"/>
    <w:rsid w:val="008D05E0"/>
    <w:rsid w:val="008D2600"/>
    <w:rsid w:val="008E0810"/>
    <w:rsid w:val="008E0AC0"/>
    <w:rsid w:val="008E221A"/>
    <w:rsid w:val="008E3FFE"/>
    <w:rsid w:val="008E60BE"/>
    <w:rsid w:val="008E6B74"/>
    <w:rsid w:val="008F073F"/>
    <w:rsid w:val="008F0FAF"/>
    <w:rsid w:val="008F1662"/>
    <w:rsid w:val="008F2B00"/>
    <w:rsid w:val="008F2B11"/>
    <w:rsid w:val="008F46CD"/>
    <w:rsid w:val="008F58B7"/>
    <w:rsid w:val="008F5FD3"/>
    <w:rsid w:val="008F6480"/>
    <w:rsid w:val="008F7740"/>
    <w:rsid w:val="00900CA2"/>
    <w:rsid w:val="00901C89"/>
    <w:rsid w:val="009029B8"/>
    <w:rsid w:val="00903653"/>
    <w:rsid w:val="009049DD"/>
    <w:rsid w:val="00910A52"/>
    <w:rsid w:val="00910FA6"/>
    <w:rsid w:val="00911479"/>
    <w:rsid w:val="00911D11"/>
    <w:rsid w:val="00913005"/>
    <w:rsid w:val="0091484D"/>
    <w:rsid w:val="009159A6"/>
    <w:rsid w:val="00915F8B"/>
    <w:rsid w:val="00922F1C"/>
    <w:rsid w:val="00925E71"/>
    <w:rsid w:val="0092695C"/>
    <w:rsid w:val="009279FD"/>
    <w:rsid w:val="0093329F"/>
    <w:rsid w:val="009351CE"/>
    <w:rsid w:val="00937043"/>
    <w:rsid w:val="00940158"/>
    <w:rsid w:val="00941134"/>
    <w:rsid w:val="00941A10"/>
    <w:rsid w:val="00942202"/>
    <w:rsid w:val="009445D3"/>
    <w:rsid w:val="00944C18"/>
    <w:rsid w:val="00955A8A"/>
    <w:rsid w:val="0096400D"/>
    <w:rsid w:val="009651DF"/>
    <w:rsid w:val="00966600"/>
    <w:rsid w:val="00966E10"/>
    <w:rsid w:val="009671D9"/>
    <w:rsid w:val="009700BE"/>
    <w:rsid w:val="00971352"/>
    <w:rsid w:val="009735CF"/>
    <w:rsid w:val="00975E5B"/>
    <w:rsid w:val="0097689B"/>
    <w:rsid w:val="00977592"/>
    <w:rsid w:val="00977C8F"/>
    <w:rsid w:val="00977F94"/>
    <w:rsid w:val="0097DDEF"/>
    <w:rsid w:val="00980B0E"/>
    <w:rsid w:val="00984063"/>
    <w:rsid w:val="009863E9"/>
    <w:rsid w:val="00986DD8"/>
    <w:rsid w:val="00987236"/>
    <w:rsid w:val="00987F49"/>
    <w:rsid w:val="00992E20"/>
    <w:rsid w:val="009936FC"/>
    <w:rsid w:val="00993925"/>
    <w:rsid w:val="00993977"/>
    <w:rsid w:val="00993F07"/>
    <w:rsid w:val="00995A0E"/>
    <w:rsid w:val="009A05D1"/>
    <w:rsid w:val="009A06EE"/>
    <w:rsid w:val="009A0B8F"/>
    <w:rsid w:val="009A28AC"/>
    <w:rsid w:val="009A29BA"/>
    <w:rsid w:val="009A2D47"/>
    <w:rsid w:val="009A30B9"/>
    <w:rsid w:val="009A3A5B"/>
    <w:rsid w:val="009A3F2A"/>
    <w:rsid w:val="009A553F"/>
    <w:rsid w:val="009AB388"/>
    <w:rsid w:val="009B12C3"/>
    <w:rsid w:val="009B2AAC"/>
    <w:rsid w:val="009B3521"/>
    <w:rsid w:val="009B3883"/>
    <w:rsid w:val="009B541C"/>
    <w:rsid w:val="009B6570"/>
    <w:rsid w:val="009B66BB"/>
    <w:rsid w:val="009C4460"/>
    <w:rsid w:val="009C44FB"/>
    <w:rsid w:val="009C4FCB"/>
    <w:rsid w:val="009C5985"/>
    <w:rsid w:val="009D1872"/>
    <w:rsid w:val="009D2B8E"/>
    <w:rsid w:val="009D7192"/>
    <w:rsid w:val="009E0E38"/>
    <w:rsid w:val="009E1620"/>
    <w:rsid w:val="009E1A35"/>
    <w:rsid w:val="009E546C"/>
    <w:rsid w:val="009F09AA"/>
    <w:rsid w:val="009F1E56"/>
    <w:rsid w:val="009F2315"/>
    <w:rsid w:val="009F2822"/>
    <w:rsid w:val="009F2C16"/>
    <w:rsid w:val="009F2C1B"/>
    <w:rsid w:val="009F335C"/>
    <w:rsid w:val="009F6543"/>
    <w:rsid w:val="009F7EAA"/>
    <w:rsid w:val="00A002B5"/>
    <w:rsid w:val="00A0260C"/>
    <w:rsid w:val="00A0333D"/>
    <w:rsid w:val="00A03E53"/>
    <w:rsid w:val="00A04027"/>
    <w:rsid w:val="00A041B5"/>
    <w:rsid w:val="00A04F8C"/>
    <w:rsid w:val="00A05158"/>
    <w:rsid w:val="00A072FE"/>
    <w:rsid w:val="00A0757C"/>
    <w:rsid w:val="00A12468"/>
    <w:rsid w:val="00A12A29"/>
    <w:rsid w:val="00A13BF5"/>
    <w:rsid w:val="00A14837"/>
    <w:rsid w:val="00A21DD3"/>
    <w:rsid w:val="00A225E3"/>
    <w:rsid w:val="00A23A26"/>
    <w:rsid w:val="00A24A8F"/>
    <w:rsid w:val="00A25564"/>
    <w:rsid w:val="00A25708"/>
    <w:rsid w:val="00A25BF0"/>
    <w:rsid w:val="00A26E5C"/>
    <w:rsid w:val="00A3026E"/>
    <w:rsid w:val="00A302EC"/>
    <w:rsid w:val="00A3192C"/>
    <w:rsid w:val="00A40C60"/>
    <w:rsid w:val="00A4193C"/>
    <w:rsid w:val="00A4395C"/>
    <w:rsid w:val="00A4576A"/>
    <w:rsid w:val="00A45AD0"/>
    <w:rsid w:val="00A45EE9"/>
    <w:rsid w:val="00A469E6"/>
    <w:rsid w:val="00A47E52"/>
    <w:rsid w:val="00A50758"/>
    <w:rsid w:val="00A520BC"/>
    <w:rsid w:val="00A52E0B"/>
    <w:rsid w:val="00A532EF"/>
    <w:rsid w:val="00A53C14"/>
    <w:rsid w:val="00A57F7A"/>
    <w:rsid w:val="00A61410"/>
    <w:rsid w:val="00A6198A"/>
    <w:rsid w:val="00A63B97"/>
    <w:rsid w:val="00A6413D"/>
    <w:rsid w:val="00A65108"/>
    <w:rsid w:val="00A65E29"/>
    <w:rsid w:val="00A66BFC"/>
    <w:rsid w:val="00A67239"/>
    <w:rsid w:val="00A700AC"/>
    <w:rsid w:val="00A7067F"/>
    <w:rsid w:val="00A707A7"/>
    <w:rsid w:val="00A718FD"/>
    <w:rsid w:val="00A72341"/>
    <w:rsid w:val="00A75149"/>
    <w:rsid w:val="00A77199"/>
    <w:rsid w:val="00A776ED"/>
    <w:rsid w:val="00A80E50"/>
    <w:rsid w:val="00A8137F"/>
    <w:rsid w:val="00A83663"/>
    <w:rsid w:val="00A83B0F"/>
    <w:rsid w:val="00A84216"/>
    <w:rsid w:val="00A85013"/>
    <w:rsid w:val="00A90BFA"/>
    <w:rsid w:val="00A92BF3"/>
    <w:rsid w:val="00A92CA2"/>
    <w:rsid w:val="00A937C7"/>
    <w:rsid w:val="00A943C8"/>
    <w:rsid w:val="00A94EA9"/>
    <w:rsid w:val="00A950A4"/>
    <w:rsid w:val="00A9520D"/>
    <w:rsid w:val="00A95A60"/>
    <w:rsid w:val="00A9747D"/>
    <w:rsid w:val="00A974D9"/>
    <w:rsid w:val="00A97DC7"/>
    <w:rsid w:val="00AA00A6"/>
    <w:rsid w:val="00AA118C"/>
    <w:rsid w:val="00AA673B"/>
    <w:rsid w:val="00AA6BA8"/>
    <w:rsid w:val="00AA6DD5"/>
    <w:rsid w:val="00AA7F5A"/>
    <w:rsid w:val="00AB1B8A"/>
    <w:rsid w:val="00AB2340"/>
    <w:rsid w:val="00AB5FE4"/>
    <w:rsid w:val="00AB659D"/>
    <w:rsid w:val="00AB7B1A"/>
    <w:rsid w:val="00AC052F"/>
    <w:rsid w:val="00AC229F"/>
    <w:rsid w:val="00AC25B0"/>
    <w:rsid w:val="00AC3E8F"/>
    <w:rsid w:val="00AC53B7"/>
    <w:rsid w:val="00AC7057"/>
    <w:rsid w:val="00AC7E4B"/>
    <w:rsid w:val="00AD7671"/>
    <w:rsid w:val="00AE1748"/>
    <w:rsid w:val="00AE53E8"/>
    <w:rsid w:val="00AE6FE4"/>
    <w:rsid w:val="00AE7019"/>
    <w:rsid w:val="00AF2059"/>
    <w:rsid w:val="00AF2454"/>
    <w:rsid w:val="00AF3D84"/>
    <w:rsid w:val="00AF4161"/>
    <w:rsid w:val="00AF580B"/>
    <w:rsid w:val="00B007C8"/>
    <w:rsid w:val="00B00B08"/>
    <w:rsid w:val="00B02976"/>
    <w:rsid w:val="00B03872"/>
    <w:rsid w:val="00B03A46"/>
    <w:rsid w:val="00B04183"/>
    <w:rsid w:val="00B07D8B"/>
    <w:rsid w:val="00B12FA5"/>
    <w:rsid w:val="00B138C6"/>
    <w:rsid w:val="00B139E0"/>
    <w:rsid w:val="00B14410"/>
    <w:rsid w:val="00B14984"/>
    <w:rsid w:val="00B15E61"/>
    <w:rsid w:val="00B174D7"/>
    <w:rsid w:val="00B20129"/>
    <w:rsid w:val="00B20DEB"/>
    <w:rsid w:val="00B22FD5"/>
    <w:rsid w:val="00B24F35"/>
    <w:rsid w:val="00B26F55"/>
    <w:rsid w:val="00B27C87"/>
    <w:rsid w:val="00B30CE6"/>
    <w:rsid w:val="00B3111E"/>
    <w:rsid w:val="00B32C88"/>
    <w:rsid w:val="00B34747"/>
    <w:rsid w:val="00B35BF0"/>
    <w:rsid w:val="00B361D8"/>
    <w:rsid w:val="00B36CB3"/>
    <w:rsid w:val="00B37262"/>
    <w:rsid w:val="00B42E49"/>
    <w:rsid w:val="00B44298"/>
    <w:rsid w:val="00B44CB0"/>
    <w:rsid w:val="00B44FC6"/>
    <w:rsid w:val="00B46AA3"/>
    <w:rsid w:val="00B50903"/>
    <w:rsid w:val="00B50A36"/>
    <w:rsid w:val="00B52A73"/>
    <w:rsid w:val="00B56ECE"/>
    <w:rsid w:val="00B57ADA"/>
    <w:rsid w:val="00B60CBA"/>
    <w:rsid w:val="00B62FFE"/>
    <w:rsid w:val="00B6437A"/>
    <w:rsid w:val="00B64821"/>
    <w:rsid w:val="00B64E57"/>
    <w:rsid w:val="00B65013"/>
    <w:rsid w:val="00B66315"/>
    <w:rsid w:val="00B6794D"/>
    <w:rsid w:val="00B67DB3"/>
    <w:rsid w:val="00B7123A"/>
    <w:rsid w:val="00B71542"/>
    <w:rsid w:val="00B71F39"/>
    <w:rsid w:val="00B7435C"/>
    <w:rsid w:val="00B745CA"/>
    <w:rsid w:val="00B75582"/>
    <w:rsid w:val="00B75B8D"/>
    <w:rsid w:val="00B76F38"/>
    <w:rsid w:val="00B80751"/>
    <w:rsid w:val="00B8085D"/>
    <w:rsid w:val="00B81A0B"/>
    <w:rsid w:val="00B81EFF"/>
    <w:rsid w:val="00B836BB"/>
    <w:rsid w:val="00B84122"/>
    <w:rsid w:val="00B84E1D"/>
    <w:rsid w:val="00B85089"/>
    <w:rsid w:val="00B85AD6"/>
    <w:rsid w:val="00B862B0"/>
    <w:rsid w:val="00B86A66"/>
    <w:rsid w:val="00B86CEF"/>
    <w:rsid w:val="00B92075"/>
    <w:rsid w:val="00B97DFC"/>
    <w:rsid w:val="00BA2B7C"/>
    <w:rsid w:val="00BA6348"/>
    <w:rsid w:val="00BA6C13"/>
    <w:rsid w:val="00BA77C7"/>
    <w:rsid w:val="00BA7B35"/>
    <w:rsid w:val="00BA7EF9"/>
    <w:rsid w:val="00BB0C0B"/>
    <w:rsid w:val="00BB142A"/>
    <w:rsid w:val="00BB1B6F"/>
    <w:rsid w:val="00BB2FB9"/>
    <w:rsid w:val="00BB307C"/>
    <w:rsid w:val="00BB34B9"/>
    <w:rsid w:val="00BB35C2"/>
    <w:rsid w:val="00BB3A13"/>
    <w:rsid w:val="00BB40C1"/>
    <w:rsid w:val="00BB553B"/>
    <w:rsid w:val="00BC2620"/>
    <w:rsid w:val="00BC28D7"/>
    <w:rsid w:val="00BC322E"/>
    <w:rsid w:val="00BC376C"/>
    <w:rsid w:val="00BC4E0B"/>
    <w:rsid w:val="00BC6321"/>
    <w:rsid w:val="00BC7817"/>
    <w:rsid w:val="00BC799C"/>
    <w:rsid w:val="00BD3819"/>
    <w:rsid w:val="00BD642D"/>
    <w:rsid w:val="00BD64A1"/>
    <w:rsid w:val="00BD6988"/>
    <w:rsid w:val="00BD7A55"/>
    <w:rsid w:val="00BE16E5"/>
    <w:rsid w:val="00BE1834"/>
    <w:rsid w:val="00BE1A77"/>
    <w:rsid w:val="00BE1E9D"/>
    <w:rsid w:val="00BE4742"/>
    <w:rsid w:val="00BE5033"/>
    <w:rsid w:val="00BE5359"/>
    <w:rsid w:val="00BE6985"/>
    <w:rsid w:val="00BE7383"/>
    <w:rsid w:val="00BE754D"/>
    <w:rsid w:val="00BE7DC3"/>
    <w:rsid w:val="00BF0F56"/>
    <w:rsid w:val="00BF1DB9"/>
    <w:rsid w:val="00BF4641"/>
    <w:rsid w:val="00BF6D10"/>
    <w:rsid w:val="00BF6E79"/>
    <w:rsid w:val="00C00818"/>
    <w:rsid w:val="00C00D65"/>
    <w:rsid w:val="00C012FE"/>
    <w:rsid w:val="00C02C6F"/>
    <w:rsid w:val="00C03F6C"/>
    <w:rsid w:val="00C06767"/>
    <w:rsid w:val="00C07638"/>
    <w:rsid w:val="00C12108"/>
    <w:rsid w:val="00C121D9"/>
    <w:rsid w:val="00C13453"/>
    <w:rsid w:val="00C15339"/>
    <w:rsid w:val="00C17702"/>
    <w:rsid w:val="00C17E15"/>
    <w:rsid w:val="00C21FC0"/>
    <w:rsid w:val="00C220F9"/>
    <w:rsid w:val="00C23A8E"/>
    <w:rsid w:val="00C2541C"/>
    <w:rsid w:val="00C26862"/>
    <w:rsid w:val="00C27F21"/>
    <w:rsid w:val="00C30458"/>
    <w:rsid w:val="00C309C5"/>
    <w:rsid w:val="00C30A9B"/>
    <w:rsid w:val="00C31DA6"/>
    <w:rsid w:val="00C33260"/>
    <w:rsid w:val="00C335C7"/>
    <w:rsid w:val="00C37B31"/>
    <w:rsid w:val="00C42589"/>
    <w:rsid w:val="00C44417"/>
    <w:rsid w:val="00C4598F"/>
    <w:rsid w:val="00C50360"/>
    <w:rsid w:val="00C52154"/>
    <w:rsid w:val="00C54E12"/>
    <w:rsid w:val="00C55468"/>
    <w:rsid w:val="00C5772F"/>
    <w:rsid w:val="00C622C3"/>
    <w:rsid w:val="00C625AE"/>
    <w:rsid w:val="00C628E2"/>
    <w:rsid w:val="00C63BD5"/>
    <w:rsid w:val="00C63C59"/>
    <w:rsid w:val="00C6408B"/>
    <w:rsid w:val="00C657F1"/>
    <w:rsid w:val="00C71632"/>
    <w:rsid w:val="00C74906"/>
    <w:rsid w:val="00C75B0B"/>
    <w:rsid w:val="00C77768"/>
    <w:rsid w:val="00C81B40"/>
    <w:rsid w:val="00C81FEA"/>
    <w:rsid w:val="00C83969"/>
    <w:rsid w:val="00C86C95"/>
    <w:rsid w:val="00C9106F"/>
    <w:rsid w:val="00C915F8"/>
    <w:rsid w:val="00C92766"/>
    <w:rsid w:val="00C935EE"/>
    <w:rsid w:val="00C946F9"/>
    <w:rsid w:val="00C946FC"/>
    <w:rsid w:val="00CA05EB"/>
    <w:rsid w:val="00CA06A6"/>
    <w:rsid w:val="00CA110D"/>
    <w:rsid w:val="00CA1717"/>
    <w:rsid w:val="00CA22F5"/>
    <w:rsid w:val="00CA335A"/>
    <w:rsid w:val="00CA3515"/>
    <w:rsid w:val="00CA3A05"/>
    <w:rsid w:val="00CA56F1"/>
    <w:rsid w:val="00CB14E9"/>
    <w:rsid w:val="00CB6D90"/>
    <w:rsid w:val="00CB72C3"/>
    <w:rsid w:val="00CB7356"/>
    <w:rsid w:val="00CC1866"/>
    <w:rsid w:val="00CC45E4"/>
    <w:rsid w:val="00CD019F"/>
    <w:rsid w:val="00CD1F48"/>
    <w:rsid w:val="00CD27C5"/>
    <w:rsid w:val="00CD3B0B"/>
    <w:rsid w:val="00CD55E0"/>
    <w:rsid w:val="00CE1BAE"/>
    <w:rsid w:val="00CE1EEB"/>
    <w:rsid w:val="00CE4169"/>
    <w:rsid w:val="00CE5147"/>
    <w:rsid w:val="00CE60D0"/>
    <w:rsid w:val="00CE7894"/>
    <w:rsid w:val="00CF06A1"/>
    <w:rsid w:val="00CF1467"/>
    <w:rsid w:val="00CF1A44"/>
    <w:rsid w:val="00CF48D6"/>
    <w:rsid w:val="00CF57D6"/>
    <w:rsid w:val="00CF6C1B"/>
    <w:rsid w:val="00D0134B"/>
    <w:rsid w:val="00D01484"/>
    <w:rsid w:val="00D019D5"/>
    <w:rsid w:val="00D040FE"/>
    <w:rsid w:val="00D1032B"/>
    <w:rsid w:val="00D1145A"/>
    <w:rsid w:val="00D12D2C"/>
    <w:rsid w:val="00D13D9A"/>
    <w:rsid w:val="00D14D6B"/>
    <w:rsid w:val="00D151A9"/>
    <w:rsid w:val="00D157A2"/>
    <w:rsid w:val="00D15DF0"/>
    <w:rsid w:val="00D168FD"/>
    <w:rsid w:val="00D16F64"/>
    <w:rsid w:val="00D17FD1"/>
    <w:rsid w:val="00D2472C"/>
    <w:rsid w:val="00D279BA"/>
    <w:rsid w:val="00D312AC"/>
    <w:rsid w:val="00D3379E"/>
    <w:rsid w:val="00D33C2B"/>
    <w:rsid w:val="00D3713D"/>
    <w:rsid w:val="00D404B5"/>
    <w:rsid w:val="00D447CB"/>
    <w:rsid w:val="00D46BE8"/>
    <w:rsid w:val="00D46D5A"/>
    <w:rsid w:val="00D46FCB"/>
    <w:rsid w:val="00D47386"/>
    <w:rsid w:val="00D47CC2"/>
    <w:rsid w:val="00D47D16"/>
    <w:rsid w:val="00D505F4"/>
    <w:rsid w:val="00D50734"/>
    <w:rsid w:val="00D5166A"/>
    <w:rsid w:val="00D51CE1"/>
    <w:rsid w:val="00D51F30"/>
    <w:rsid w:val="00D5442A"/>
    <w:rsid w:val="00D562F2"/>
    <w:rsid w:val="00D6064E"/>
    <w:rsid w:val="00D60CED"/>
    <w:rsid w:val="00D61B93"/>
    <w:rsid w:val="00D64341"/>
    <w:rsid w:val="00D6634A"/>
    <w:rsid w:val="00D67E4A"/>
    <w:rsid w:val="00D67FDB"/>
    <w:rsid w:val="00D73091"/>
    <w:rsid w:val="00D75FA6"/>
    <w:rsid w:val="00D763FD"/>
    <w:rsid w:val="00D76DD4"/>
    <w:rsid w:val="00D77FAD"/>
    <w:rsid w:val="00D8029D"/>
    <w:rsid w:val="00D813E6"/>
    <w:rsid w:val="00D82D3D"/>
    <w:rsid w:val="00D85664"/>
    <w:rsid w:val="00D87C68"/>
    <w:rsid w:val="00D90101"/>
    <w:rsid w:val="00D90AD1"/>
    <w:rsid w:val="00D92B69"/>
    <w:rsid w:val="00D941F7"/>
    <w:rsid w:val="00DA035A"/>
    <w:rsid w:val="00DA1646"/>
    <w:rsid w:val="00DA2BE3"/>
    <w:rsid w:val="00DA4DDF"/>
    <w:rsid w:val="00DA5C23"/>
    <w:rsid w:val="00DA61D0"/>
    <w:rsid w:val="00DB0804"/>
    <w:rsid w:val="00DB2437"/>
    <w:rsid w:val="00DB2FC4"/>
    <w:rsid w:val="00DB3E88"/>
    <w:rsid w:val="00DB4599"/>
    <w:rsid w:val="00DB61C3"/>
    <w:rsid w:val="00DB7631"/>
    <w:rsid w:val="00DC382A"/>
    <w:rsid w:val="00DC4902"/>
    <w:rsid w:val="00DC5893"/>
    <w:rsid w:val="00DC79A3"/>
    <w:rsid w:val="00DC7F7F"/>
    <w:rsid w:val="00DD2F20"/>
    <w:rsid w:val="00DD4C84"/>
    <w:rsid w:val="00DD5489"/>
    <w:rsid w:val="00DD583C"/>
    <w:rsid w:val="00DD5D24"/>
    <w:rsid w:val="00DD6DAC"/>
    <w:rsid w:val="00DE10D2"/>
    <w:rsid w:val="00DE1923"/>
    <w:rsid w:val="00DE2B33"/>
    <w:rsid w:val="00DE6371"/>
    <w:rsid w:val="00DE638B"/>
    <w:rsid w:val="00DE72EE"/>
    <w:rsid w:val="00DF2362"/>
    <w:rsid w:val="00DF37E5"/>
    <w:rsid w:val="00E00AE0"/>
    <w:rsid w:val="00E016F7"/>
    <w:rsid w:val="00E02124"/>
    <w:rsid w:val="00E034FE"/>
    <w:rsid w:val="00E041E5"/>
    <w:rsid w:val="00E0480C"/>
    <w:rsid w:val="00E04888"/>
    <w:rsid w:val="00E04D6A"/>
    <w:rsid w:val="00E070B9"/>
    <w:rsid w:val="00E0763B"/>
    <w:rsid w:val="00E076C2"/>
    <w:rsid w:val="00E10302"/>
    <w:rsid w:val="00E112FE"/>
    <w:rsid w:val="00E12255"/>
    <w:rsid w:val="00E137C0"/>
    <w:rsid w:val="00E15426"/>
    <w:rsid w:val="00E16661"/>
    <w:rsid w:val="00E17EC5"/>
    <w:rsid w:val="00E239B4"/>
    <w:rsid w:val="00E259D9"/>
    <w:rsid w:val="00E25EE0"/>
    <w:rsid w:val="00E26BFD"/>
    <w:rsid w:val="00E27E90"/>
    <w:rsid w:val="00E33D02"/>
    <w:rsid w:val="00E34F2C"/>
    <w:rsid w:val="00E35D79"/>
    <w:rsid w:val="00E36872"/>
    <w:rsid w:val="00E400FA"/>
    <w:rsid w:val="00E405AB"/>
    <w:rsid w:val="00E40CB8"/>
    <w:rsid w:val="00E41839"/>
    <w:rsid w:val="00E41E7F"/>
    <w:rsid w:val="00E42EE8"/>
    <w:rsid w:val="00E434EB"/>
    <w:rsid w:val="00E43E79"/>
    <w:rsid w:val="00E4641E"/>
    <w:rsid w:val="00E4763C"/>
    <w:rsid w:val="00E47E55"/>
    <w:rsid w:val="00E50594"/>
    <w:rsid w:val="00E519AE"/>
    <w:rsid w:val="00E524E7"/>
    <w:rsid w:val="00E54FC6"/>
    <w:rsid w:val="00E57067"/>
    <w:rsid w:val="00E57AF7"/>
    <w:rsid w:val="00E60826"/>
    <w:rsid w:val="00E610EF"/>
    <w:rsid w:val="00E6241B"/>
    <w:rsid w:val="00E64FCC"/>
    <w:rsid w:val="00E65A97"/>
    <w:rsid w:val="00E703B6"/>
    <w:rsid w:val="00E72200"/>
    <w:rsid w:val="00E72B1B"/>
    <w:rsid w:val="00E73580"/>
    <w:rsid w:val="00E751B4"/>
    <w:rsid w:val="00E75D47"/>
    <w:rsid w:val="00E766F5"/>
    <w:rsid w:val="00E772C6"/>
    <w:rsid w:val="00E82948"/>
    <w:rsid w:val="00E83920"/>
    <w:rsid w:val="00E84D86"/>
    <w:rsid w:val="00E8540E"/>
    <w:rsid w:val="00E86A44"/>
    <w:rsid w:val="00E870DB"/>
    <w:rsid w:val="00E874F3"/>
    <w:rsid w:val="00E90218"/>
    <w:rsid w:val="00E913BB"/>
    <w:rsid w:val="00E92B02"/>
    <w:rsid w:val="00E95F2E"/>
    <w:rsid w:val="00E97357"/>
    <w:rsid w:val="00E97B0D"/>
    <w:rsid w:val="00EA1508"/>
    <w:rsid w:val="00EA1541"/>
    <w:rsid w:val="00EA202F"/>
    <w:rsid w:val="00EA32E4"/>
    <w:rsid w:val="00EA7234"/>
    <w:rsid w:val="00EA7E36"/>
    <w:rsid w:val="00EB0278"/>
    <w:rsid w:val="00EB075D"/>
    <w:rsid w:val="00EB0898"/>
    <w:rsid w:val="00EB3E67"/>
    <w:rsid w:val="00EB5E16"/>
    <w:rsid w:val="00EB627B"/>
    <w:rsid w:val="00EB6D94"/>
    <w:rsid w:val="00EC0DFC"/>
    <w:rsid w:val="00EC1BB2"/>
    <w:rsid w:val="00EC4183"/>
    <w:rsid w:val="00EC4867"/>
    <w:rsid w:val="00EC4DEC"/>
    <w:rsid w:val="00EC6468"/>
    <w:rsid w:val="00EC6708"/>
    <w:rsid w:val="00EC76D8"/>
    <w:rsid w:val="00ED207C"/>
    <w:rsid w:val="00ED325A"/>
    <w:rsid w:val="00ED3F41"/>
    <w:rsid w:val="00ED48C9"/>
    <w:rsid w:val="00ED5615"/>
    <w:rsid w:val="00ED692E"/>
    <w:rsid w:val="00ED69AF"/>
    <w:rsid w:val="00ED6C64"/>
    <w:rsid w:val="00ED74B7"/>
    <w:rsid w:val="00EE037C"/>
    <w:rsid w:val="00EE1847"/>
    <w:rsid w:val="00EE1BC5"/>
    <w:rsid w:val="00EE240E"/>
    <w:rsid w:val="00EE688E"/>
    <w:rsid w:val="00EE6A6D"/>
    <w:rsid w:val="00EE6EAD"/>
    <w:rsid w:val="00EF03E2"/>
    <w:rsid w:val="00EF0504"/>
    <w:rsid w:val="00EF2478"/>
    <w:rsid w:val="00EF4600"/>
    <w:rsid w:val="00EF4CA6"/>
    <w:rsid w:val="00EF65A7"/>
    <w:rsid w:val="00EF75F9"/>
    <w:rsid w:val="00EF7F8B"/>
    <w:rsid w:val="00F0040D"/>
    <w:rsid w:val="00F03814"/>
    <w:rsid w:val="00F05985"/>
    <w:rsid w:val="00F0670E"/>
    <w:rsid w:val="00F07A09"/>
    <w:rsid w:val="00F11A42"/>
    <w:rsid w:val="00F11F6C"/>
    <w:rsid w:val="00F1390C"/>
    <w:rsid w:val="00F14D98"/>
    <w:rsid w:val="00F15AFB"/>
    <w:rsid w:val="00F163AD"/>
    <w:rsid w:val="00F17124"/>
    <w:rsid w:val="00F20C5E"/>
    <w:rsid w:val="00F2285A"/>
    <w:rsid w:val="00F26066"/>
    <w:rsid w:val="00F2759E"/>
    <w:rsid w:val="00F36A1D"/>
    <w:rsid w:val="00F36FC1"/>
    <w:rsid w:val="00F40827"/>
    <w:rsid w:val="00F44278"/>
    <w:rsid w:val="00F51A54"/>
    <w:rsid w:val="00F51B65"/>
    <w:rsid w:val="00F52AAB"/>
    <w:rsid w:val="00F52EB6"/>
    <w:rsid w:val="00F54F42"/>
    <w:rsid w:val="00F55260"/>
    <w:rsid w:val="00F553D7"/>
    <w:rsid w:val="00F558B7"/>
    <w:rsid w:val="00F564C4"/>
    <w:rsid w:val="00F56595"/>
    <w:rsid w:val="00F56F73"/>
    <w:rsid w:val="00F600A1"/>
    <w:rsid w:val="00F6316B"/>
    <w:rsid w:val="00F644F0"/>
    <w:rsid w:val="00F6501A"/>
    <w:rsid w:val="00F65AE0"/>
    <w:rsid w:val="00F65CB2"/>
    <w:rsid w:val="00F66985"/>
    <w:rsid w:val="00F677B2"/>
    <w:rsid w:val="00F728B3"/>
    <w:rsid w:val="00F74E38"/>
    <w:rsid w:val="00F76D6F"/>
    <w:rsid w:val="00F771AA"/>
    <w:rsid w:val="00F778B0"/>
    <w:rsid w:val="00F77AE6"/>
    <w:rsid w:val="00F80ADC"/>
    <w:rsid w:val="00F83BC2"/>
    <w:rsid w:val="00F83C0E"/>
    <w:rsid w:val="00F86604"/>
    <w:rsid w:val="00F87701"/>
    <w:rsid w:val="00F90CAC"/>
    <w:rsid w:val="00F91DC9"/>
    <w:rsid w:val="00F91F70"/>
    <w:rsid w:val="00F92EC1"/>
    <w:rsid w:val="00F9387D"/>
    <w:rsid w:val="00F94C47"/>
    <w:rsid w:val="00F94D52"/>
    <w:rsid w:val="00F956F2"/>
    <w:rsid w:val="00F95D88"/>
    <w:rsid w:val="00F968FA"/>
    <w:rsid w:val="00FA0421"/>
    <w:rsid w:val="00FA3389"/>
    <w:rsid w:val="00FA3476"/>
    <w:rsid w:val="00FA495F"/>
    <w:rsid w:val="00FA5604"/>
    <w:rsid w:val="00FA7A8C"/>
    <w:rsid w:val="00FB0C10"/>
    <w:rsid w:val="00FB2F42"/>
    <w:rsid w:val="00FB3C36"/>
    <w:rsid w:val="00FB4280"/>
    <w:rsid w:val="00FB7CCE"/>
    <w:rsid w:val="00FC01C8"/>
    <w:rsid w:val="00FC20CE"/>
    <w:rsid w:val="00FC288F"/>
    <w:rsid w:val="00FC5027"/>
    <w:rsid w:val="00FC50C7"/>
    <w:rsid w:val="00FC511D"/>
    <w:rsid w:val="00FC6256"/>
    <w:rsid w:val="00FC68BC"/>
    <w:rsid w:val="00FC7CC3"/>
    <w:rsid w:val="00FD053F"/>
    <w:rsid w:val="00FD0DE6"/>
    <w:rsid w:val="00FD11D4"/>
    <w:rsid w:val="00FD2219"/>
    <w:rsid w:val="00FD225D"/>
    <w:rsid w:val="00FD2384"/>
    <w:rsid w:val="00FD2512"/>
    <w:rsid w:val="00FE01FC"/>
    <w:rsid w:val="00FE1055"/>
    <w:rsid w:val="00FE1E9F"/>
    <w:rsid w:val="00FE1F40"/>
    <w:rsid w:val="00FE452E"/>
    <w:rsid w:val="00FE5134"/>
    <w:rsid w:val="00FE61CA"/>
    <w:rsid w:val="00FF03CB"/>
    <w:rsid w:val="00FF1619"/>
    <w:rsid w:val="00FF1D57"/>
    <w:rsid w:val="00FF2C11"/>
    <w:rsid w:val="00FF4275"/>
    <w:rsid w:val="00FF457A"/>
    <w:rsid w:val="00FF4A4C"/>
    <w:rsid w:val="00FF4C15"/>
    <w:rsid w:val="00FF55D5"/>
    <w:rsid w:val="010D563B"/>
    <w:rsid w:val="011DBCAB"/>
    <w:rsid w:val="0145B425"/>
    <w:rsid w:val="01A4DB42"/>
    <w:rsid w:val="01F751E2"/>
    <w:rsid w:val="0233AE50"/>
    <w:rsid w:val="025403DA"/>
    <w:rsid w:val="02567BC8"/>
    <w:rsid w:val="02F76D5A"/>
    <w:rsid w:val="03087B6A"/>
    <w:rsid w:val="045FAEAB"/>
    <w:rsid w:val="046D2FEE"/>
    <w:rsid w:val="047D54E7"/>
    <w:rsid w:val="04C42F51"/>
    <w:rsid w:val="05131924"/>
    <w:rsid w:val="0519B1CA"/>
    <w:rsid w:val="0581A1E4"/>
    <w:rsid w:val="05A88E30"/>
    <w:rsid w:val="05B3EBD8"/>
    <w:rsid w:val="05BBB818"/>
    <w:rsid w:val="05CE8B59"/>
    <w:rsid w:val="05D2B12C"/>
    <w:rsid w:val="05DD6B8E"/>
    <w:rsid w:val="064FBCDA"/>
    <w:rsid w:val="065BBE57"/>
    <w:rsid w:val="069FD467"/>
    <w:rsid w:val="06DA0F5F"/>
    <w:rsid w:val="070C9FC5"/>
    <w:rsid w:val="070F4F61"/>
    <w:rsid w:val="07CFD528"/>
    <w:rsid w:val="08308ABC"/>
    <w:rsid w:val="08891638"/>
    <w:rsid w:val="08A87026"/>
    <w:rsid w:val="08B7E8E4"/>
    <w:rsid w:val="0908C076"/>
    <w:rsid w:val="093C4045"/>
    <w:rsid w:val="09615747"/>
    <w:rsid w:val="0A013F21"/>
    <w:rsid w:val="0A36E74B"/>
    <w:rsid w:val="0A50571F"/>
    <w:rsid w:val="0A551307"/>
    <w:rsid w:val="0A59D9A2"/>
    <w:rsid w:val="0AACFC51"/>
    <w:rsid w:val="0AE619B7"/>
    <w:rsid w:val="0BAC2B0A"/>
    <w:rsid w:val="0BE27A48"/>
    <w:rsid w:val="0BEC2780"/>
    <w:rsid w:val="0BF482EB"/>
    <w:rsid w:val="0BF5AA03"/>
    <w:rsid w:val="0C2C0A9C"/>
    <w:rsid w:val="0C516B59"/>
    <w:rsid w:val="0C73E107"/>
    <w:rsid w:val="0C7BD469"/>
    <w:rsid w:val="0C90D275"/>
    <w:rsid w:val="0C98F809"/>
    <w:rsid w:val="0C9AFFF7"/>
    <w:rsid w:val="0CBE8A61"/>
    <w:rsid w:val="0CD7FCED"/>
    <w:rsid w:val="0DB38929"/>
    <w:rsid w:val="0DB92593"/>
    <w:rsid w:val="0DED3BBA"/>
    <w:rsid w:val="0E19645B"/>
    <w:rsid w:val="0E51E51A"/>
    <w:rsid w:val="0E692E0F"/>
    <w:rsid w:val="0E7D160B"/>
    <w:rsid w:val="0E97BF35"/>
    <w:rsid w:val="0F15D94B"/>
    <w:rsid w:val="0F28B73C"/>
    <w:rsid w:val="0F60C95E"/>
    <w:rsid w:val="0F83D20B"/>
    <w:rsid w:val="1009AAF7"/>
    <w:rsid w:val="106985CE"/>
    <w:rsid w:val="1114CFC9"/>
    <w:rsid w:val="114F458C"/>
    <w:rsid w:val="1178933F"/>
    <w:rsid w:val="11D7663F"/>
    <w:rsid w:val="1224DA08"/>
    <w:rsid w:val="126E39BD"/>
    <w:rsid w:val="128112C3"/>
    <w:rsid w:val="129B857F"/>
    <w:rsid w:val="12A29329"/>
    <w:rsid w:val="12B0A02A"/>
    <w:rsid w:val="130013F9"/>
    <w:rsid w:val="132AE443"/>
    <w:rsid w:val="13C00032"/>
    <w:rsid w:val="14957B30"/>
    <w:rsid w:val="14B3A08B"/>
    <w:rsid w:val="154AB260"/>
    <w:rsid w:val="1564DED3"/>
    <w:rsid w:val="15736217"/>
    <w:rsid w:val="15AF1B4C"/>
    <w:rsid w:val="166FD1B6"/>
    <w:rsid w:val="167EA578"/>
    <w:rsid w:val="17DBD3BA"/>
    <w:rsid w:val="18187E9C"/>
    <w:rsid w:val="18737E82"/>
    <w:rsid w:val="18851A1F"/>
    <w:rsid w:val="189BF095"/>
    <w:rsid w:val="189C7F95"/>
    <w:rsid w:val="18B24A03"/>
    <w:rsid w:val="18D15915"/>
    <w:rsid w:val="18DF8C55"/>
    <w:rsid w:val="19864295"/>
    <w:rsid w:val="1995CE3E"/>
    <w:rsid w:val="199ADDB1"/>
    <w:rsid w:val="199E4935"/>
    <w:rsid w:val="19BFAA78"/>
    <w:rsid w:val="1A07FDCE"/>
    <w:rsid w:val="1A6251D7"/>
    <w:rsid w:val="1A772346"/>
    <w:rsid w:val="1AE4D0B2"/>
    <w:rsid w:val="1AE84AEA"/>
    <w:rsid w:val="1AEB9457"/>
    <w:rsid w:val="1AFFACC6"/>
    <w:rsid w:val="1B0B25DE"/>
    <w:rsid w:val="1B0C60E2"/>
    <w:rsid w:val="1B59A8DB"/>
    <w:rsid w:val="1BE4AE26"/>
    <w:rsid w:val="1C0EF4B8"/>
    <w:rsid w:val="1C0FF70E"/>
    <w:rsid w:val="1C35E104"/>
    <w:rsid w:val="1C9B7D27"/>
    <w:rsid w:val="1CA3DA8A"/>
    <w:rsid w:val="1CE9112B"/>
    <w:rsid w:val="1D5B5216"/>
    <w:rsid w:val="1D7ADBE0"/>
    <w:rsid w:val="1D9DB827"/>
    <w:rsid w:val="1DB45D65"/>
    <w:rsid w:val="1E35B61A"/>
    <w:rsid w:val="1E42C6A0"/>
    <w:rsid w:val="1E4B0666"/>
    <w:rsid w:val="1E4C4DC6"/>
    <w:rsid w:val="1E693F61"/>
    <w:rsid w:val="1EAD040C"/>
    <w:rsid w:val="1EBDDD90"/>
    <w:rsid w:val="1EDECE8B"/>
    <w:rsid w:val="1F08632A"/>
    <w:rsid w:val="1F0F0A86"/>
    <w:rsid w:val="1F171A4B"/>
    <w:rsid w:val="1F542D75"/>
    <w:rsid w:val="1F604B81"/>
    <w:rsid w:val="1F6E4102"/>
    <w:rsid w:val="1F741255"/>
    <w:rsid w:val="1F81E385"/>
    <w:rsid w:val="1F8F9353"/>
    <w:rsid w:val="1F987FB5"/>
    <w:rsid w:val="1FC4F081"/>
    <w:rsid w:val="205915AC"/>
    <w:rsid w:val="206863AD"/>
    <w:rsid w:val="20809B5B"/>
    <w:rsid w:val="2094539E"/>
    <w:rsid w:val="20977E9D"/>
    <w:rsid w:val="211DB4B2"/>
    <w:rsid w:val="21617A1D"/>
    <w:rsid w:val="21AEB8E0"/>
    <w:rsid w:val="221A9A5C"/>
    <w:rsid w:val="222A397E"/>
    <w:rsid w:val="225AEBDA"/>
    <w:rsid w:val="22847C02"/>
    <w:rsid w:val="22EA65C8"/>
    <w:rsid w:val="22F6A63C"/>
    <w:rsid w:val="23B1DCBF"/>
    <w:rsid w:val="23D8A9CB"/>
    <w:rsid w:val="247B9FF2"/>
    <w:rsid w:val="24B19CCA"/>
    <w:rsid w:val="24F6C6D6"/>
    <w:rsid w:val="250BA946"/>
    <w:rsid w:val="251DBA90"/>
    <w:rsid w:val="25C6E1E5"/>
    <w:rsid w:val="2647FCE7"/>
    <w:rsid w:val="26615822"/>
    <w:rsid w:val="266A9FC9"/>
    <w:rsid w:val="26C0C942"/>
    <w:rsid w:val="26D12966"/>
    <w:rsid w:val="27239C75"/>
    <w:rsid w:val="272D43C8"/>
    <w:rsid w:val="273098AF"/>
    <w:rsid w:val="277B65E3"/>
    <w:rsid w:val="277D476F"/>
    <w:rsid w:val="27C0D546"/>
    <w:rsid w:val="28AF4570"/>
    <w:rsid w:val="28DB8208"/>
    <w:rsid w:val="28DC62B6"/>
    <w:rsid w:val="2901A81C"/>
    <w:rsid w:val="290EAF9A"/>
    <w:rsid w:val="29547113"/>
    <w:rsid w:val="29E1CA48"/>
    <w:rsid w:val="2A02930D"/>
    <w:rsid w:val="2A236266"/>
    <w:rsid w:val="2A3113E0"/>
    <w:rsid w:val="2A4CD562"/>
    <w:rsid w:val="2AA79488"/>
    <w:rsid w:val="2ACEADC6"/>
    <w:rsid w:val="2B573949"/>
    <w:rsid w:val="2B7B6691"/>
    <w:rsid w:val="2B7CE711"/>
    <w:rsid w:val="2B83282A"/>
    <w:rsid w:val="2C00B4EB"/>
    <w:rsid w:val="2C7D8D5D"/>
    <w:rsid w:val="2CB428A2"/>
    <w:rsid w:val="2CD958A6"/>
    <w:rsid w:val="2CF49B2C"/>
    <w:rsid w:val="2D0C1653"/>
    <w:rsid w:val="2D1E543B"/>
    <w:rsid w:val="2D4CDBB0"/>
    <w:rsid w:val="2DA92418"/>
    <w:rsid w:val="2DBE2D60"/>
    <w:rsid w:val="2DD5C877"/>
    <w:rsid w:val="2DF10DC0"/>
    <w:rsid w:val="2DF618C5"/>
    <w:rsid w:val="2E611690"/>
    <w:rsid w:val="2E9EB53F"/>
    <w:rsid w:val="2ED5D61B"/>
    <w:rsid w:val="2F228237"/>
    <w:rsid w:val="2FA39ABA"/>
    <w:rsid w:val="3019D1DA"/>
    <w:rsid w:val="30A48DEC"/>
    <w:rsid w:val="30A56CBC"/>
    <w:rsid w:val="30C8887E"/>
    <w:rsid w:val="31145715"/>
    <w:rsid w:val="315636B8"/>
    <w:rsid w:val="31573F9B"/>
    <w:rsid w:val="31955EA5"/>
    <w:rsid w:val="31A2374E"/>
    <w:rsid w:val="3222CABD"/>
    <w:rsid w:val="325441C9"/>
    <w:rsid w:val="3254F2EA"/>
    <w:rsid w:val="326B25C2"/>
    <w:rsid w:val="326F5DC6"/>
    <w:rsid w:val="32A34CF5"/>
    <w:rsid w:val="32BBBCE8"/>
    <w:rsid w:val="32BEF9A8"/>
    <w:rsid w:val="3336D7FB"/>
    <w:rsid w:val="33872AD3"/>
    <w:rsid w:val="33F0122A"/>
    <w:rsid w:val="33F58DD3"/>
    <w:rsid w:val="34A3C7E2"/>
    <w:rsid w:val="34DCB2A3"/>
    <w:rsid w:val="34FCB504"/>
    <w:rsid w:val="350DF6C3"/>
    <w:rsid w:val="353BCBE0"/>
    <w:rsid w:val="35657A6B"/>
    <w:rsid w:val="358334FD"/>
    <w:rsid w:val="358B360D"/>
    <w:rsid w:val="35A687AD"/>
    <w:rsid w:val="35CAAEEF"/>
    <w:rsid w:val="35FF4883"/>
    <w:rsid w:val="361FC9C6"/>
    <w:rsid w:val="363C76B8"/>
    <w:rsid w:val="3700A64A"/>
    <w:rsid w:val="375E47C2"/>
    <w:rsid w:val="376FA977"/>
    <w:rsid w:val="383A7F6C"/>
    <w:rsid w:val="384E2296"/>
    <w:rsid w:val="38D5559C"/>
    <w:rsid w:val="38E2710F"/>
    <w:rsid w:val="3900E007"/>
    <w:rsid w:val="394383B8"/>
    <w:rsid w:val="394A4AD5"/>
    <w:rsid w:val="3951862D"/>
    <w:rsid w:val="39610400"/>
    <w:rsid w:val="396BE09F"/>
    <w:rsid w:val="3A19842B"/>
    <w:rsid w:val="3A507A7A"/>
    <w:rsid w:val="3A6F3CD0"/>
    <w:rsid w:val="3A77DE42"/>
    <w:rsid w:val="3B2FD024"/>
    <w:rsid w:val="3B62BDE1"/>
    <w:rsid w:val="3BC0039E"/>
    <w:rsid w:val="3BD5A0DC"/>
    <w:rsid w:val="3BDFF8A4"/>
    <w:rsid w:val="3BF1E4D4"/>
    <w:rsid w:val="3BF86188"/>
    <w:rsid w:val="3C04F782"/>
    <w:rsid w:val="3C0978F0"/>
    <w:rsid w:val="3C425E30"/>
    <w:rsid w:val="3C654F80"/>
    <w:rsid w:val="3CA84A2B"/>
    <w:rsid w:val="3CF7F29D"/>
    <w:rsid w:val="3D5125B9"/>
    <w:rsid w:val="3D537C55"/>
    <w:rsid w:val="3D644833"/>
    <w:rsid w:val="3D8DB535"/>
    <w:rsid w:val="3D8E46E2"/>
    <w:rsid w:val="3D929B30"/>
    <w:rsid w:val="3DDA19C6"/>
    <w:rsid w:val="3DDEC78F"/>
    <w:rsid w:val="3E0F1F10"/>
    <w:rsid w:val="3E2B6E81"/>
    <w:rsid w:val="3E441A8C"/>
    <w:rsid w:val="3E5FF313"/>
    <w:rsid w:val="3EDE2334"/>
    <w:rsid w:val="3EEF4CB6"/>
    <w:rsid w:val="3F1B7C85"/>
    <w:rsid w:val="3F467731"/>
    <w:rsid w:val="402F4930"/>
    <w:rsid w:val="40598662"/>
    <w:rsid w:val="40B74CE6"/>
    <w:rsid w:val="41072225"/>
    <w:rsid w:val="41470F43"/>
    <w:rsid w:val="4164F0D1"/>
    <w:rsid w:val="4175E298"/>
    <w:rsid w:val="41B9A5C8"/>
    <w:rsid w:val="41C4E46E"/>
    <w:rsid w:val="41F46751"/>
    <w:rsid w:val="41F72DE4"/>
    <w:rsid w:val="4224C272"/>
    <w:rsid w:val="42413A6D"/>
    <w:rsid w:val="425090B8"/>
    <w:rsid w:val="42C827C3"/>
    <w:rsid w:val="42D71E5E"/>
    <w:rsid w:val="4374FF72"/>
    <w:rsid w:val="438A9F9D"/>
    <w:rsid w:val="4416018B"/>
    <w:rsid w:val="443784C0"/>
    <w:rsid w:val="44421FB9"/>
    <w:rsid w:val="44BB6BFC"/>
    <w:rsid w:val="44C9C1E7"/>
    <w:rsid w:val="44DF0FE3"/>
    <w:rsid w:val="45048735"/>
    <w:rsid w:val="4526AB6B"/>
    <w:rsid w:val="452C1765"/>
    <w:rsid w:val="453452A1"/>
    <w:rsid w:val="453D7870"/>
    <w:rsid w:val="454582F4"/>
    <w:rsid w:val="4582F459"/>
    <w:rsid w:val="4599F9F4"/>
    <w:rsid w:val="45A97894"/>
    <w:rsid w:val="460D6217"/>
    <w:rsid w:val="468445E2"/>
    <w:rsid w:val="46985591"/>
    <w:rsid w:val="46A15C4C"/>
    <w:rsid w:val="46B63285"/>
    <w:rsid w:val="46BA5C5E"/>
    <w:rsid w:val="478FA4DF"/>
    <w:rsid w:val="47AA9CBB"/>
    <w:rsid w:val="483EFDAD"/>
    <w:rsid w:val="4855CE06"/>
    <w:rsid w:val="4863591B"/>
    <w:rsid w:val="4863A8D5"/>
    <w:rsid w:val="48A0E50F"/>
    <w:rsid w:val="48E6D021"/>
    <w:rsid w:val="491D60D3"/>
    <w:rsid w:val="499FE6A9"/>
    <w:rsid w:val="49B4F2CE"/>
    <w:rsid w:val="49BBE40A"/>
    <w:rsid w:val="49C5E19C"/>
    <w:rsid w:val="49D675A5"/>
    <w:rsid w:val="49E6B6A8"/>
    <w:rsid w:val="4A917247"/>
    <w:rsid w:val="4AA3B514"/>
    <w:rsid w:val="4AB27362"/>
    <w:rsid w:val="4ACB8943"/>
    <w:rsid w:val="4B1A6772"/>
    <w:rsid w:val="4B441B13"/>
    <w:rsid w:val="4B4A0594"/>
    <w:rsid w:val="4B4C6AD1"/>
    <w:rsid w:val="4B74CD6F"/>
    <w:rsid w:val="4BD365DC"/>
    <w:rsid w:val="4C13BFE4"/>
    <w:rsid w:val="4D2AAED3"/>
    <w:rsid w:val="4D3719F8"/>
    <w:rsid w:val="4D60AD77"/>
    <w:rsid w:val="4D612294"/>
    <w:rsid w:val="4E9AE08A"/>
    <w:rsid w:val="4EAAAEA0"/>
    <w:rsid w:val="4EAEA9E3"/>
    <w:rsid w:val="4EC2D30C"/>
    <w:rsid w:val="4EE90401"/>
    <w:rsid w:val="4F2956E9"/>
    <w:rsid w:val="4F29CBF1"/>
    <w:rsid w:val="4F472018"/>
    <w:rsid w:val="4F91D1F2"/>
    <w:rsid w:val="4FD1CB69"/>
    <w:rsid w:val="4FDC7BD7"/>
    <w:rsid w:val="501A2287"/>
    <w:rsid w:val="501D76B7"/>
    <w:rsid w:val="50240D14"/>
    <w:rsid w:val="5039E907"/>
    <w:rsid w:val="50A6D7CB"/>
    <w:rsid w:val="51159D48"/>
    <w:rsid w:val="512051BF"/>
    <w:rsid w:val="51C85F2D"/>
    <w:rsid w:val="51FD55B5"/>
    <w:rsid w:val="5224C2DF"/>
    <w:rsid w:val="52426A80"/>
    <w:rsid w:val="524B6CAE"/>
    <w:rsid w:val="526D0A22"/>
    <w:rsid w:val="52712E97"/>
    <w:rsid w:val="52F2A0DB"/>
    <w:rsid w:val="53799E89"/>
    <w:rsid w:val="53C48210"/>
    <w:rsid w:val="53DE788D"/>
    <w:rsid w:val="54726BA9"/>
    <w:rsid w:val="5494CC5F"/>
    <w:rsid w:val="54D3BB5E"/>
    <w:rsid w:val="5508B0BD"/>
    <w:rsid w:val="55437DBF"/>
    <w:rsid w:val="5582EBAA"/>
    <w:rsid w:val="562D81B6"/>
    <w:rsid w:val="56419BC8"/>
    <w:rsid w:val="567D8DDD"/>
    <w:rsid w:val="56C1A21B"/>
    <w:rsid w:val="56EFEA91"/>
    <w:rsid w:val="57141BA0"/>
    <w:rsid w:val="5719AB16"/>
    <w:rsid w:val="574F3C4E"/>
    <w:rsid w:val="57D8A0E2"/>
    <w:rsid w:val="5818F338"/>
    <w:rsid w:val="581C9116"/>
    <w:rsid w:val="583C63CC"/>
    <w:rsid w:val="58821E77"/>
    <w:rsid w:val="588EF2E0"/>
    <w:rsid w:val="589306CD"/>
    <w:rsid w:val="58E0701B"/>
    <w:rsid w:val="5910BE56"/>
    <w:rsid w:val="592B63A4"/>
    <w:rsid w:val="59D3E665"/>
    <w:rsid w:val="59D5F87B"/>
    <w:rsid w:val="5A143098"/>
    <w:rsid w:val="5A1C7083"/>
    <w:rsid w:val="5A267D3F"/>
    <w:rsid w:val="5A3C76B8"/>
    <w:rsid w:val="5A429017"/>
    <w:rsid w:val="5A5412D5"/>
    <w:rsid w:val="5AD0B688"/>
    <w:rsid w:val="5AD4ADF4"/>
    <w:rsid w:val="5AEC9575"/>
    <w:rsid w:val="5B201F0A"/>
    <w:rsid w:val="5B278687"/>
    <w:rsid w:val="5B715C25"/>
    <w:rsid w:val="5B8CEAA4"/>
    <w:rsid w:val="5BB840E4"/>
    <w:rsid w:val="5BD0F8C1"/>
    <w:rsid w:val="5BEFEF2D"/>
    <w:rsid w:val="5CD4D266"/>
    <w:rsid w:val="5CFF43B2"/>
    <w:rsid w:val="5D0E98E1"/>
    <w:rsid w:val="5D609266"/>
    <w:rsid w:val="5D79ECED"/>
    <w:rsid w:val="5D80417A"/>
    <w:rsid w:val="5E27889E"/>
    <w:rsid w:val="5E27D858"/>
    <w:rsid w:val="5F3FE15A"/>
    <w:rsid w:val="5F70245C"/>
    <w:rsid w:val="5F9D84EC"/>
    <w:rsid w:val="5FAA2421"/>
    <w:rsid w:val="5FD3BFF0"/>
    <w:rsid w:val="5FED2620"/>
    <w:rsid w:val="601F2F9A"/>
    <w:rsid w:val="60283DFD"/>
    <w:rsid w:val="6073A3AD"/>
    <w:rsid w:val="60A4C82C"/>
    <w:rsid w:val="60E75D8B"/>
    <w:rsid w:val="60F54A39"/>
    <w:rsid w:val="60FFE68D"/>
    <w:rsid w:val="61367589"/>
    <w:rsid w:val="616F9051"/>
    <w:rsid w:val="61CD393F"/>
    <w:rsid w:val="62E2211E"/>
    <w:rsid w:val="63A6CD92"/>
    <w:rsid w:val="63B691FD"/>
    <w:rsid w:val="63D04A00"/>
    <w:rsid w:val="6426ED64"/>
    <w:rsid w:val="645E98F4"/>
    <w:rsid w:val="64ACE6BF"/>
    <w:rsid w:val="64BF174D"/>
    <w:rsid w:val="650BC669"/>
    <w:rsid w:val="6553D208"/>
    <w:rsid w:val="655F98B9"/>
    <w:rsid w:val="6573DF42"/>
    <w:rsid w:val="657E6782"/>
    <w:rsid w:val="6592C95A"/>
    <w:rsid w:val="660DB235"/>
    <w:rsid w:val="661AF679"/>
    <w:rsid w:val="663081C0"/>
    <w:rsid w:val="6638A020"/>
    <w:rsid w:val="6642DEB7"/>
    <w:rsid w:val="66EFA269"/>
    <w:rsid w:val="672E99BB"/>
    <w:rsid w:val="67BBC4AF"/>
    <w:rsid w:val="683B6727"/>
    <w:rsid w:val="684A6202"/>
    <w:rsid w:val="688051A3"/>
    <w:rsid w:val="68977799"/>
    <w:rsid w:val="68CA6A1C"/>
    <w:rsid w:val="68D6EA5D"/>
    <w:rsid w:val="694681FD"/>
    <w:rsid w:val="698283D1"/>
    <w:rsid w:val="69FFDA17"/>
    <w:rsid w:val="6A22FF8B"/>
    <w:rsid w:val="6A4DA660"/>
    <w:rsid w:val="6A9246BB"/>
    <w:rsid w:val="6A9FC9AF"/>
    <w:rsid w:val="6AB4ED8C"/>
    <w:rsid w:val="6AED3303"/>
    <w:rsid w:val="6B05E3EE"/>
    <w:rsid w:val="6B7C1E09"/>
    <w:rsid w:val="6B7E3DD7"/>
    <w:rsid w:val="6C0FECDE"/>
    <w:rsid w:val="6C2B948E"/>
    <w:rsid w:val="6C2C2094"/>
    <w:rsid w:val="6D1A4CAB"/>
    <w:rsid w:val="6D1D5502"/>
    <w:rsid w:val="6D383481"/>
    <w:rsid w:val="6D444BE6"/>
    <w:rsid w:val="6D741EA3"/>
    <w:rsid w:val="6D7A2426"/>
    <w:rsid w:val="6D98EA15"/>
    <w:rsid w:val="6E332C11"/>
    <w:rsid w:val="6EB2A8AF"/>
    <w:rsid w:val="6EC1C972"/>
    <w:rsid w:val="6EFC2AB3"/>
    <w:rsid w:val="6F2EDDFB"/>
    <w:rsid w:val="6F345FF7"/>
    <w:rsid w:val="6F40A411"/>
    <w:rsid w:val="6F45C44F"/>
    <w:rsid w:val="6F78298C"/>
    <w:rsid w:val="6F90750B"/>
    <w:rsid w:val="6FC0A426"/>
    <w:rsid w:val="6FE51DE8"/>
    <w:rsid w:val="6FEE7943"/>
    <w:rsid w:val="703071BE"/>
    <w:rsid w:val="705C4D20"/>
    <w:rsid w:val="708B6388"/>
    <w:rsid w:val="70F850BD"/>
    <w:rsid w:val="7108ADF3"/>
    <w:rsid w:val="710B3084"/>
    <w:rsid w:val="7129D8D7"/>
    <w:rsid w:val="715405FB"/>
    <w:rsid w:val="718A49A4"/>
    <w:rsid w:val="719B8344"/>
    <w:rsid w:val="71D12114"/>
    <w:rsid w:val="7230B66C"/>
    <w:rsid w:val="7259488A"/>
    <w:rsid w:val="72613FF2"/>
    <w:rsid w:val="72672812"/>
    <w:rsid w:val="7281ADB5"/>
    <w:rsid w:val="731272CA"/>
    <w:rsid w:val="7381C3B4"/>
    <w:rsid w:val="73CACEDF"/>
    <w:rsid w:val="73E6AB33"/>
    <w:rsid w:val="7413D064"/>
    <w:rsid w:val="7475F530"/>
    <w:rsid w:val="74B4DB72"/>
    <w:rsid w:val="74DE84E5"/>
    <w:rsid w:val="74FCF5D8"/>
    <w:rsid w:val="75646EA2"/>
    <w:rsid w:val="75827B94"/>
    <w:rsid w:val="759DA6C7"/>
    <w:rsid w:val="75E995E4"/>
    <w:rsid w:val="75F80C93"/>
    <w:rsid w:val="763EA16F"/>
    <w:rsid w:val="766D76F4"/>
    <w:rsid w:val="76E4F381"/>
    <w:rsid w:val="7733BFD4"/>
    <w:rsid w:val="776AF134"/>
    <w:rsid w:val="776B474B"/>
    <w:rsid w:val="781391FE"/>
    <w:rsid w:val="78EE1FFF"/>
    <w:rsid w:val="7910559B"/>
    <w:rsid w:val="79209C79"/>
    <w:rsid w:val="7932F0E1"/>
    <w:rsid w:val="79473839"/>
    <w:rsid w:val="79D1A7BE"/>
    <w:rsid w:val="79E2AFAD"/>
    <w:rsid w:val="7A093304"/>
    <w:rsid w:val="7A1A9560"/>
    <w:rsid w:val="7A3895BF"/>
    <w:rsid w:val="7A3B967B"/>
    <w:rsid w:val="7A5C21A9"/>
    <w:rsid w:val="7A715F7B"/>
    <w:rsid w:val="7AAC5121"/>
    <w:rsid w:val="7AD6F0C3"/>
    <w:rsid w:val="7ADF1657"/>
    <w:rsid w:val="7AE240C2"/>
    <w:rsid w:val="7B6C94DC"/>
    <w:rsid w:val="7BA05BD2"/>
    <w:rsid w:val="7BC6EAA5"/>
    <w:rsid w:val="7C61AF63"/>
    <w:rsid w:val="7C712085"/>
    <w:rsid w:val="7C72C124"/>
    <w:rsid w:val="7C7ED8FB"/>
    <w:rsid w:val="7CDEC555"/>
    <w:rsid w:val="7CF552A7"/>
    <w:rsid w:val="7D3A2687"/>
    <w:rsid w:val="7DEEB668"/>
    <w:rsid w:val="7DFE0E60"/>
    <w:rsid w:val="7E2C877E"/>
    <w:rsid w:val="7E5A398A"/>
    <w:rsid w:val="7E789CA1"/>
    <w:rsid w:val="7F0AB180"/>
    <w:rsid w:val="7F0D8C1E"/>
    <w:rsid w:val="7FAA61E6"/>
    <w:rsid w:val="7FAC44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5953"/>
    <o:shapelayout v:ext="edit">
      <o:idmap v:ext="edit" data="1"/>
    </o:shapelayout>
  </w:shapeDefaults>
  <w:decimalSymbol w:val=","/>
  <w:listSeparator w:val=";"/>
  <w14:docId w14:val="67D947D5"/>
  <w15:docId w15:val="{DA6D1A74-FA4F-4043-BD46-B97CDB77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FD0DE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qFormat/>
    <w:rsid w:val="00075677"/>
    <w:pPr>
      <w:keepLines/>
      <w:tabs>
        <w:tab w:val="right" w:pos="2835"/>
        <w:tab w:val="right" w:pos="3969"/>
        <w:tab w:val="right" w:pos="5103"/>
        <w:tab w:val="right" w:pos="6237"/>
        <w:tab w:val="right" w:pos="7371"/>
      </w:tabs>
      <w:spacing w:after="0" w:line="240" w:lineRule="atLeast"/>
      <w:ind w:firstLine="0"/>
    </w:pPr>
    <w:rPr>
      <w:rFonts w:ascii="Arial Narrow" w:hAnsi="Arial Narrow"/>
      <w:sz w:val="20"/>
    </w:rPr>
  </w:style>
  <w:style w:type="paragraph" w:customStyle="1" w:styleId="recomen">
    <w:name w:val="recomen"/>
    <w:basedOn w:val="texto"/>
    <w:rsid w:val="001D4F09"/>
    <w:pPr>
      <w:numPr>
        <w:numId w:val="1"/>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uiPriority w:val="99"/>
    <w:qFormat/>
    <w:rsid w:val="004B2F01"/>
    <w:rPr>
      <w:bCs w:val="0"/>
      <w:i/>
    </w:rPr>
  </w:style>
  <w:style w:type="paragraph" w:styleId="TDC1">
    <w:name w:val="toc 1"/>
    <w:basedOn w:val="Normal"/>
    <w:next w:val="Normal"/>
    <w:autoRedefine/>
    <w:uiPriority w:val="39"/>
    <w:rsid w:val="00BD64A1"/>
    <w:pPr>
      <w:tabs>
        <w:tab w:val="right" w:leader="dot" w:pos="8930"/>
      </w:tabs>
      <w:spacing w:before="60" w:after="80"/>
      <w:ind w:right="426"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Descripcin"/>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qFormat/>
    <w:rsid w:val="00075677"/>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uiPriority w:val="39"/>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paragraph" w:styleId="Listaconvietas">
    <w:name w:val="List Bullet"/>
    <w:basedOn w:val="Normal"/>
    <w:unhideWhenUsed/>
    <w:rsid w:val="003C51F4"/>
    <w:pPr>
      <w:numPr>
        <w:numId w:val="2"/>
      </w:numPr>
      <w:contextualSpacing/>
    </w:pPr>
  </w:style>
  <w:style w:type="character" w:customStyle="1" w:styleId="atitulo1Car">
    <w:name w:val="atitulo1 Car"/>
    <w:basedOn w:val="Fuentedeprrafopredeter"/>
    <w:link w:val="atitulo1"/>
    <w:qFormat/>
    <w:locked/>
    <w:rsid w:val="003C51F4"/>
    <w:rPr>
      <w:rFonts w:ascii="Arial" w:hAnsi="Arial"/>
      <w:b/>
      <w:color w:val="000000"/>
      <w:kern w:val="28"/>
      <w:sz w:val="25"/>
      <w:szCs w:val="26"/>
      <w:lang w:val="es-ES_tradnl" w:eastAsia="en-US"/>
    </w:rPr>
  </w:style>
  <w:style w:type="character" w:customStyle="1" w:styleId="atitulo2Car">
    <w:name w:val="atitulo2 Car"/>
    <w:link w:val="atitulo2"/>
    <w:locked/>
    <w:rsid w:val="003C51F4"/>
    <w:rPr>
      <w:rFonts w:ascii="Arial" w:hAnsi="Arial"/>
      <w:bCs/>
      <w:iCs/>
      <w:color w:val="000000"/>
      <w:spacing w:val="10"/>
      <w:kern w:val="28"/>
      <w:sz w:val="25"/>
      <w:szCs w:val="26"/>
      <w:lang w:val="es-ES_tradnl" w:eastAsia="en-US"/>
    </w:rPr>
  </w:style>
  <w:style w:type="table" w:styleId="Tablaconcuadrcula1">
    <w:name w:val="Table Grid 1"/>
    <w:basedOn w:val="Tablanormal"/>
    <w:rsid w:val="003C51F4"/>
    <w:pPr>
      <w:spacing w:after="140"/>
      <w:ind w:firstLine="567"/>
      <w:jc w:val="both"/>
    </w:pPr>
    <w:rPr>
      <w:lang w:val="es-ES_tradnl" w:eastAsia="es-ES_trad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Default">
    <w:name w:val="Default"/>
    <w:rsid w:val="003C51F4"/>
    <w:pPr>
      <w:autoSpaceDE w:val="0"/>
      <w:autoSpaceDN w:val="0"/>
      <w:adjustRightInd w:val="0"/>
    </w:pPr>
    <w:rPr>
      <w:color w:val="000000"/>
      <w:sz w:val="24"/>
      <w:szCs w:val="24"/>
    </w:rPr>
  </w:style>
  <w:style w:type="paragraph" w:styleId="Prrafodelista">
    <w:name w:val="List Paragraph"/>
    <w:basedOn w:val="Normal"/>
    <w:uiPriority w:val="34"/>
    <w:qFormat/>
    <w:rsid w:val="00AA118C"/>
    <w:pPr>
      <w:ind w:left="720"/>
      <w:contextualSpacing/>
    </w:pPr>
  </w:style>
  <w:style w:type="character" w:styleId="Textoennegrita">
    <w:name w:val="Strong"/>
    <w:basedOn w:val="Fuentedeprrafopredeter"/>
    <w:qFormat/>
    <w:rsid w:val="00F87701"/>
    <w:rPr>
      <w:b/>
      <w:bCs/>
    </w:rPr>
  </w:style>
  <w:style w:type="character" w:customStyle="1" w:styleId="EncabezadoCar">
    <w:name w:val="Encabezado Car"/>
    <w:link w:val="Encabezado"/>
    <w:uiPriority w:val="99"/>
    <w:locked/>
    <w:rsid w:val="008B3A77"/>
    <w:rPr>
      <w:bCs/>
      <w:caps/>
      <w:sz w:val="14"/>
      <w:szCs w:val="12"/>
      <w:lang w:val="es-ES_tradnl" w:eastAsia="en-US"/>
    </w:rPr>
  </w:style>
  <w:style w:type="character" w:customStyle="1" w:styleId="PiedepginaCar">
    <w:name w:val="Pie de página Car"/>
    <w:link w:val="Piedepgina"/>
    <w:uiPriority w:val="99"/>
    <w:locked/>
    <w:rsid w:val="008B3A77"/>
    <w:rPr>
      <w:spacing w:val="6"/>
      <w:lang w:val="es-ES_tradnl" w:eastAsia="en-US"/>
    </w:rPr>
  </w:style>
  <w:style w:type="paragraph" w:styleId="Textonotapie">
    <w:name w:val="footnote text"/>
    <w:basedOn w:val="Normal"/>
    <w:link w:val="TextonotapieCar"/>
    <w:uiPriority w:val="99"/>
    <w:rsid w:val="008B3A77"/>
    <w:rPr>
      <w:rFonts w:eastAsia="Calibri"/>
    </w:rPr>
  </w:style>
  <w:style w:type="character" w:customStyle="1" w:styleId="TextonotapieCar">
    <w:name w:val="Texto nota pie Car"/>
    <w:basedOn w:val="Fuentedeprrafopredeter"/>
    <w:link w:val="Textonotapie"/>
    <w:uiPriority w:val="99"/>
    <w:rsid w:val="008B3A77"/>
    <w:rPr>
      <w:rFonts w:eastAsia="Calibri"/>
      <w:lang w:val="es-ES_tradnl" w:eastAsia="en-US"/>
    </w:rPr>
  </w:style>
  <w:style w:type="character" w:styleId="Refdenotaalpie">
    <w:name w:val="footnote reference"/>
    <w:uiPriority w:val="99"/>
    <w:rsid w:val="008B3A77"/>
    <w:rPr>
      <w:vertAlign w:val="superscript"/>
    </w:rPr>
  </w:style>
  <w:style w:type="character" w:styleId="Textodelmarcadordeposicin">
    <w:name w:val="Placeholder Text"/>
    <w:basedOn w:val="Fuentedeprrafopredeter"/>
    <w:uiPriority w:val="99"/>
    <w:semiHidden/>
    <w:rsid w:val="00115FB7"/>
    <w:rPr>
      <w:color w:val="808080"/>
    </w:rPr>
  </w:style>
  <w:style w:type="character" w:styleId="Hipervnculovisitado">
    <w:name w:val="FollowedHyperlink"/>
    <w:basedOn w:val="Fuentedeprrafopredeter"/>
    <w:semiHidden/>
    <w:unhideWhenUsed/>
    <w:rsid w:val="002047D0"/>
    <w:rPr>
      <w:color w:val="800080" w:themeColor="followedHyperlink"/>
      <w:u w:val="single"/>
    </w:rPr>
  </w:style>
  <w:style w:type="character" w:styleId="Refdecomentario">
    <w:name w:val="annotation reference"/>
    <w:basedOn w:val="Fuentedeprrafopredeter"/>
    <w:uiPriority w:val="99"/>
    <w:semiHidden/>
    <w:unhideWhenUsed/>
    <w:rsid w:val="00B80751"/>
    <w:rPr>
      <w:sz w:val="16"/>
      <w:szCs w:val="16"/>
    </w:rPr>
  </w:style>
  <w:style w:type="paragraph" w:styleId="Textocomentario">
    <w:name w:val="annotation text"/>
    <w:basedOn w:val="Normal"/>
    <w:link w:val="TextocomentarioCar"/>
    <w:uiPriority w:val="99"/>
    <w:unhideWhenUsed/>
    <w:rsid w:val="00B80751"/>
    <w:rPr>
      <w:rFonts w:eastAsia="Calibri"/>
    </w:rPr>
  </w:style>
  <w:style w:type="character" w:customStyle="1" w:styleId="TextocomentarioCar">
    <w:name w:val="Texto comentario Car"/>
    <w:basedOn w:val="Fuentedeprrafopredeter"/>
    <w:link w:val="Textocomentario"/>
    <w:uiPriority w:val="99"/>
    <w:rsid w:val="00B80751"/>
    <w:rPr>
      <w:rFonts w:eastAsia="Calibri"/>
      <w:lang w:val="es-ES_tradnl" w:eastAsia="en-US"/>
    </w:rPr>
  </w:style>
  <w:style w:type="paragraph" w:styleId="Asuntodelcomentario">
    <w:name w:val="annotation subject"/>
    <w:basedOn w:val="Textocomentario"/>
    <w:next w:val="Textocomentario"/>
    <w:link w:val="AsuntodelcomentarioCar"/>
    <w:semiHidden/>
    <w:unhideWhenUsed/>
    <w:rsid w:val="00092474"/>
    <w:rPr>
      <w:rFonts w:eastAsia="Times New Roman"/>
      <w:b/>
      <w:bCs/>
    </w:rPr>
  </w:style>
  <w:style w:type="character" w:customStyle="1" w:styleId="AsuntodelcomentarioCar">
    <w:name w:val="Asunto del comentario Car"/>
    <w:basedOn w:val="TextocomentarioCar"/>
    <w:link w:val="Asuntodelcomentario"/>
    <w:semiHidden/>
    <w:rsid w:val="00092474"/>
    <w:rPr>
      <w:rFonts w:eastAsia="Calibri"/>
      <w:b/>
      <w:bCs/>
      <w:lang w:val="es-ES_tradnl" w:eastAsia="en-US"/>
    </w:rPr>
  </w:style>
  <w:style w:type="paragraph" w:styleId="Sinespaciado">
    <w:name w:val="No Spacing"/>
    <w:uiPriority w:val="1"/>
    <w:qFormat/>
    <w:rsid w:val="00D6634A"/>
    <w:rPr>
      <w:rFonts w:asciiTheme="minorHAnsi" w:eastAsiaTheme="minorHAnsi" w:hAnsiTheme="minorHAnsi" w:cstheme="minorBidi"/>
      <w:sz w:val="22"/>
      <w:szCs w:val="22"/>
      <w:lang w:eastAsia="en-US"/>
    </w:rPr>
  </w:style>
  <w:style w:type="character" w:customStyle="1" w:styleId="normaltextrun">
    <w:name w:val="normaltextrun"/>
    <w:basedOn w:val="Fuentedeprrafopredeter"/>
    <w:rsid w:val="00B3111E"/>
  </w:style>
  <w:style w:type="character" w:customStyle="1" w:styleId="eop">
    <w:name w:val="eop"/>
    <w:basedOn w:val="Fuentedeprrafopredeter"/>
    <w:rsid w:val="00B3111E"/>
  </w:style>
  <w:style w:type="character" w:customStyle="1" w:styleId="Cuerpodeltexto">
    <w:name w:val="Cuerpo del texto_"/>
    <w:basedOn w:val="Fuentedeprrafopredeter"/>
    <w:link w:val="Cuerpodeltexto1"/>
    <w:locked/>
    <w:rsid w:val="00592401"/>
    <w:rPr>
      <w:rFonts w:ascii="Trebuchet MS" w:hAnsi="Trebuchet MS"/>
      <w:shd w:val="clear" w:color="auto" w:fill="FFFFFF"/>
    </w:rPr>
  </w:style>
  <w:style w:type="paragraph" w:customStyle="1" w:styleId="Cuerpodeltexto1">
    <w:name w:val="Cuerpo del texto1"/>
    <w:basedOn w:val="Normal"/>
    <w:link w:val="Cuerpodeltexto"/>
    <w:rsid w:val="00592401"/>
    <w:pPr>
      <w:shd w:val="clear" w:color="auto" w:fill="FFFFFF"/>
      <w:spacing w:after="0" w:line="557" w:lineRule="exact"/>
      <w:ind w:hanging="360"/>
      <w:jc w:val="left"/>
    </w:pPr>
    <w:rPr>
      <w:rFonts w:ascii="Trebuchet MS" w:hAnsi="Trebuchet MS"/>
      <w:lang w:val="es-ES" w:eastAsia="es-ES"/>
    </w:rPr>
  </w:style>
  <w:style w:type="paragraph" w:customStyle="1" w:styleId="paragraph">
    <w:name w:val="paragraph"/>
    <w:basedOn w:val="Normal"/>
    <w:rsid w:val="005E5E2D"/>
    <w:pPr>
      <w:spacing w:before="100" w:beforeAutospacing="1" w:after="100" w:afterAutospacing="1"/>
      <w:ind w:firstLine="0"/>
      <w:jc w:val="left"/>
    </w:pPr>
    <w:rPr>
      <w:sz w:val="24"/>
      <w:szCs w:val="24"/>
      <w:lang w:val="es-ES" w:eastAsia="es-ES"/>
    </w:rPr>
  </w:style>
  <w:style w:type="paragraph" w:styleId="Revisin">
    <w:name w:val="Revision"/>
    <w:hidden/>
    <w:uiPriority w:val="99"/>
    <w:semiHidden/>
    <w:rsid w:val="0032304B"/>
    <w:rPr>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5338">
      <w:bodyDiv w:val="1"/>
      <w:marLeft w:val="0"/>
      <w:marRight w:val="0"/>
      <w:marTop w:val="0"/>
      <w:marBottom w:val="0"/>
      <w:divBdr>
        <w:top w:val="none" w:sz="0" w:space="0" w:color="auto"/>
        <w:left w:val="none" w:sz="0" w:space="0" w:color="auto"/>
        <w:bottom w:val="none" w:sz="0" w:space="0" w:color="auto"/>
        <w:right w:val="none" w:sz="0" w:space="0" w:color="auto"/>
      </w:divBdr>
    </w:div>
    <w:div w:id="57097055">
      <w:bodyDiv w:val="1"/>
      <w:marLeft w:val="0"/>
      <w:marRight w:val="0"/>
      <w:marTop w:val="0"/>
      <w:marBottom w:val="0"/>
      <w:divBdr>
        <w:top w:val="none" w:sz="0" w:space="0" w:color="auto"/>
        <w:left w:val="none" w:sz="0" w:space="0" w:color="auto"/>
        <w:bottom w:val="none" w:sz="0" w:space="0" w:color="auto"/>
        <w:right w:val="none" w:sz="0" w:space="0" w:color="auto"/>
      </w:divBdr>
    </w:div>
    <w:div w:id="248004649">
      <w:bodyDiv w:val="1"/>
      <w:marLeft w:val="0"/>
      <w:marRight w:val="0"/>
      <w:marTop w:val="0"/>
      <w:marBottom w:val="0"/>
      <w:divBdr>
        <w:top w:val="none" w:sz="0" w:space="0" w:color="auto"/>
        <w:left w:val="none" w:sz="0" w:space="0" w:color="auto"/>
        <w:bottom w:val="none" w:sz="0" w:space="0" w:color="auto"/>
        <w:right w:val="none" w:sz="0" w:space="0" w:color="auto"/>
      </w:divBdr>
    </w:div>
    <w:div w:id="396242596">
      <w:bodyDiv w:val="1"/>
      <w:marLeft w:val="0"/>
      <w:marRight w:val="0"/>
      <w:marTop w:val="0"/>
      <w:marBottom w:val="0"/>
      <w:divBdr>
        <w:top w:val="none" w:sz="0" w:space="0" w:color="auto"/>
        <w:left w:val="none" w:sz="0" w:space="0" w:color="auto"/>
        <w:bottom w:val="none" w:sz="0" w:space="0" w:color="auto"/>
        <w:right w:val="none" w:sz="0" w:space="0" w:color="auto"/>
      </w:divBdr>
    </w:div>
    <w:div w:id="444691684">
      <w:bodyDiv w:val="1"/>
      <w:marLeft w:val="0"/>
      <w:marRight w:val="0"/>
      <w:marTop w:val="0"/>
      <w:marBottom w:val="0"/>
      <w:divBdr>
        <w:top w:val="none" w:sz="0" w:space="0" w:color="auto"/>
        <w:left w:val="none" w:sz="0" w:space="0" w:color="auto"/>
        <w:bottom w:val="none" w:sz="0" w:space="0" w:color="auto"/>
        <w:right w:val="none" w:sz="0" w:space="0" w:color="auto"/>
      </w:divBdr>
    </w:div>
    <w:div w:id="662198326">
      <w:bodyDiv w:val="1"/>
      <w:marLeft w:val="0"/>
      <w:marRight w:val="0"/>
      <w:marTop w:val="0"/>
      <w:marBottom w:val="0"/>
      <w:divBdr>
        <w:top w:val="none" w:sz="0" w:space="0" w:color="auto"/>
        <w:left w:val="none" w:sz="0" w:space="0" w:color="auto"/>
        <w:bottom w:val="none" w:sz="0" w:space="0" w:color="auto"/>
        <w:right w:val="none" w:sz="0" w:space="0" w:color="auto"/>
      </w:divBdr>
    </w:div>
    <w:div w:id="1031151025">
      <w:bodyDiv w:val="1"/>
      <w:marLeft w:val="0"/>
      <w:marRight w:val="0"/>
      <w:marTop w:val="0"/>
      <w:marBottom w:val="0"/>
      <w:divBdr>
        <w:top w:val="none" w:sz="0" w:space="0" w:color="auto"/>
        <w:left w:val="none" w:sz="0" w:space="0" w:color="auto"/>
        <w:bottom w:val="none" w:sz="0" w:space="0" w:color="auto"/>
        <w:right w:val="none" w:sz="0" w:space="0" w:color="auto"/>
      </w:divBdr>
    </w:div>
    <w:div w:id="1644113488">
      <w:bodyDiv w:val="1"/>
      <w:marLeft w:val="0"/>
      <w:marRight w:val="0"/>
      <w:marTop w:val="0"/>
      <w:marBottom w:val="0"/>
      <w:divBdr>
        <w:top w:val="none" w:sz="0" w:space="0" w:color="auto"/>
        <w:left w:val="none" w:sz="0" w:space="0" w:color="auto"/>
        <w:bottom w:val="none" w:sz="0" w:space="0" w:color="auto"/>
        <w:right w:val="none" w:sz="0" w:space="0" w:color="auto"/>
      </w:divBdr>
    </w:div>
    <w:div w:id="1932659469">
      <w:bodyDiv w:val="1"/>
      <w:marLeft w:val="0"/>
      <w:marRight w:val="0"/>
      <w:marTop w:val="0"/>
      <w:marBottom w:val="0"/>
      <w:divBdr>
        <w:top w:val="none" w:sz="0" w:space="0" w:color="auto"/>
        <w:left w:val="none" w:sz="0" w:space="0" w:color="auto"/>
        <w:bottom w:val="none" w:sz="0" w:space="0" w:color="auto"/>
        <w:right w:val="none" w:sz="0" w:space="0" w:color="auto"/>
      </w:divBdr>
    </w:div>
    <w:div w:id="19683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hart" Target="charts/chart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Corporativas\Borrador%20Final.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D633935\appdata\local\temp\tm_temp\TM_2\A.4.3%20-%20CONSEJO%20JUVENTUD%20NAVARRA%20%20-%2028-09-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633935\appdata\local\temp\tm_temp\TM_2\A.4.2%20-%20CONSEJO%20JUVENTUD%20NAVARRA%20%20-%2028-09-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633935\appdata\local\temp\tm_temp\TM_2\A.4.3%20-%20CONSEJO%20JUVENTUD%20NAVARRA%20%20-%2028-09-202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453324698642435"/>
          <c:y val="8.8795800524934382E-2"/>
          <c:w val="0.37185621869067931"/>
          <c:h val="0.65106711661042371"/>
        </c:manualLayout>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9AE-4FE9-B31C-52B5A5CA0BED}"/>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9AE-4FE9-B31C-52B5A5CA0BED}"/>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F9AE-4FE9-B31C-52B5A5CA0BED}"/>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F9AE-4FE9-B31C-52B5A5CA0BED}"/>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F9AE-4FE9-B31C-52B5A5CA0BED}"/>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F9AE-4FE9-B31C-52B5A5CA0BED}"/>
              </c:ext>
            </c:extLst>
          </c:dPt>
          <c:dLbls>
            <c:dLbl>
              <c:idx val="0"/>
              <c:tx>
                <c:rich>
                  <a:bodyPr/>
                  <a:lstStyle/>
                  <a:p>
                    <a:fld id="{770A6931-0489-4A9D-BF5B-2A3DCBEF77EC}" type="PERCENTAGE">
                      <a:rPr lang="en-US" baseline="0"/>
                      <a:pPr/>
                      <a:t>[PORCENTAJE]</a:t>
                    </a:fld>
                    <a:endParaRPr lang="es-E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9AE-4FE9-B31C-52B5A5CA0BED}"/>
                </c:ext>
              </c:extLst>
            </c:dLbl>
            <c:dLbl>
              <c:idx val="1"/>
              <c:tx>
                <c:rich>
                  <a:bodyPr/>
                  <a:lstStyle/>
                  <a:p>
                    <a:fld id="{6A6EBE95-CC78-4084-A2DE-2E912A58FC64}" type="PERCENTAGE">
                      <a:rPr lang="en-US" baseline="0"/>
                      <a:pPr/>
                      <a:t>[PORCENTAJE]</a:t>
                    </a:fld>
                    <a:endParaRPr lang="es-E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9AE-4FE9-B31C-52B5A5CA0BED}"/>
                </c:ext>
              </c:extLst>
            </c:dLbl>
            <c:dLbl>
              <c:idx val="2"/>
              <c:tx>
                <c:rich>
                  <a:bodyPr/>
                  <a:lstStyle/>
                  <a:p>
                    <a:fld id="{A8504031-1241-4868-9850-FFCDF3BFA27F}" type="PERCENTAGE">
                      <a:rPr lang="en-US" baseline="0"/>
                      <a:pPr/>
                      <a:t>[PORCENTAJE]</a:t>
                    </a:fld>
                    <a:endParaRPr lang="es-E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9AE-4FE9-B31C-52B5A5CA0BED}"/>
                </c:ext>
              </c:extLst>
            </c:dLbl>
            <c:dLbl>
              <c:idx val="3"/>
              <c:tx>
                <c:rich>
                  <a:bodyPr/>
                  <a:lstStyle/>
                  <a:p>
                    <a:r>
                      <a:rPr lang="en-US" baseline="0"/>
                      <a:t>
</a:t>
                    </a:r>
                    <a:fld id="{8B937377-D8F0-4F9B-AD5A-165CF7806CB6}" type="PERCENTAGE">
                      <a:rPr lang="en-US" baseline="0"/>
                      <a:pPr/>
                      <a:t>[PORCENTAJE]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9AE-4FE9-B31C-52B5A5CA0BED}"/>
                </c:ext>
              </c:extLst>
            </c:dLbl>
            <c:dLbl>
              <c:idx val="4"/>
              <c:tx>
                <c:rich>
                  <a:bodyPr/>
                  <a:lstStyle/>
                  <a:p>
                    <a:fld id="{6B96A093-F9E2-4824-81A7-4DEA398E50E6}" type="PERCENTAGE">
                      <a:rPr lang="en-US" baseline="0"/>
                      <a:pPr/>
                      <a:t>[PORCENTAJE]</a:t>
                    </a:fld>
                    <a:endParaRPr lang="es-ES"/>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9AE-4FE9-B31C-52B5A5CA0BED}"/>
                </c:ext>
              </c:extLst>
            </c:dLbl>
            <c:dLbl>
              <c:idx val="5"/>
              <c:layout>
                <c:manualLayout>
                  <c:x val="2.8285465622280244E-2"/>
                  <c:y val="-1.7460115759570277E-17"/>
                </c:manualLayout>
              </c:layout>
              <c:tx>
                <c:rich>
                  <a:bodyPr/>
                  <a:lstStyle/>
                  <a:p>
                    <a:fld id="{9C838BB6-4429-4D26-BDC6-3BAC2C6C30E5}" type="PERCENTAGE">
                      <a:rPr lang="en-US" baseline="0"/>
                      <a:pPr/>
                      <a:t>[PORCENTAJE]</a:t>
                    </a:fld>
                    <a:endParaRPr lang="es-ES"/>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F9AE-4FE9-B31C-52B5A5CA0BED}"/>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E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'INJ+PN (2)'!$L$153:$L$158</c:f>
              <c:strCache>
                <c:ptCount val="6"/>
                <c:pt idx="0">
                  <c:v>PERSONAL</c:v>
                </c:pt>
                <c:pt idx="1">
                  <c:v>ACTIVIDADES</c:v>
                </c:pt>
                <c:pt idx="2">
                  <c:v>FUNCIONAMIENTO</c:v>
                </c:pt>
                <c:pt idx="3">
                  <c:v>EQUIPAMIENTO</c:v>
                </c:pt>
                <c:pt idx="4">
                  <c:v>OTROS GASTOS</c:v>
                </c:pt>
                <c:pt idx="5">
                  <c:v>GASTOS FINANCIEROS</c:v>
                </c:pt>
              </c:strCache>
            </c:strRef>
          </c:cat>
          <c:val>
            <c:numRef>
              <c:f>'INJ+PN (2)'!$M$153:$M$158</c:f>
              <c:numCache>
                <c:formatCode>#,##0</c:formatCode>
                <c:ptCount val="6"/>
                <c:pt idx="0">
                  <c:v>494076.55000000005</c:v>
                </c:pt>
                <c:pt idx="1">
                  <c:v>99248</c:v>
                </c:pt>
                <c:pt idx="2">
                  <c:v>35517.33</c:v>
                </c:pt>
                <c:pt idx="3">
                  <c:v>14641</c:v>
                </c:pt>
                <c:pt idx="4">
                  <c:v>11608</c:v>
                </c:pt>
                <c:pt idx="5">
                  <c:v>3356</c:v>
                </c:pt>
              </c:numCache>
            </c:numRef>
          </c:val>
          <c:extLst>
            <c:ext xmlns:c16="http://schemas.microsoft.com/office/drawing/2014/chart" uri="{C3380CC4-5D6E-409C-BE32-E72D297353CC}">
              <c16:uniqueId val="{0000000C-F9AE-4FE9-B31C-52B5A5CA0BED}"/>
            </c:ext>
          </c:extLst>
        </c:ser>
        <c:dLbls>
          <c:dLblPos val="out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6.0023094371689172E-2"/>
          <c:y val="0.78089992000879527"/>
          <c:w val="0.83643771029926739"/>
          <c:h val="0.1516951690619798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ES" sz="1400">
                <a:solidFill>
                  <a:sysClr val="windowText" lastClr="000000"/>
                </a:solidFill>
              </a:rPr>
              <a:t>Ingresos</a:t>
            </a:r>
            <a:r>
              <a:rPr lang="es-ES" sz="1400" baseline="0">
                <a:solidFill>
                  <a:sysClr val="windowText" lastClr="000000"/>
                </a:solidFill>
              </a:rPr>
              <a:t> obtenidos del Instituto Navarro de Juventud </a:t>
            </a:r>
          </a:p>
          <a:p>
            <a:pPr>
              <a:defRPr/>
            </a:pPr>
            <a:r>
              <a:rPr lang="es-ES" sz="1400" baseline="0">
                <a:solidFill>
                  <a:sysClr val="windowText" lastClr="000000"/>
                </a:solidFill>
              </a:rPr>
              <a:t>2012-2022</a:t>
            </a:r>
            <a:endParaRPr lang="es-ES" sz="1400">
              <a:solidFill>
                <a:sysClr val="windowText" lastClr="000000"/>
              </a:solidFill>
            </a:endParaRPr>
          </a:p>
        </c:rich>
      </c:tx>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s-ES"/>
        </a:p>
      </c:txPr>
    </c:title>
    <c:autoTitleDeleted val="0"/>
    <c:plotArea>
      <c:layout/>
      <c:barChart>
        <c:barDir val="col"/>
        <c:grouping val="clustered"/>
        <c:varyColors val="0"/>
        <c:ser>
          <c:idx val="0"/>
          <c:order val="0"/>
          <c:tx>
            <c:strRef>
              <c:f>Sheet1!$B$25</c:f>
              <c:strCache>
                <c:ptCount val="1"/>
                <c:pt idx="0">
                  <c:v>PERSONAL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Sheet1!$A$26:$A$36</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Sheet1!$B$26:$B$36</c:f>
              <c:numCache>
                <c:formatCode>#,##0</c:formatCode>
                <c:ptCount val="11"/>
                <c:pt idx="0">
                  <c:v>124192.94</c:v>
                </c:pt>
                <c:pt idx="1">
                  <c:v>41347.18</c:v>
                </c:pt>
                <c:pt idx="2">
                  <c:v>24356.14</c:v>
                </c:pt>
                <c:pt idx="3">
                  <c:v>43727.55</c:v>
                </c:pt>
                <c:pt idx="4">
                  <c:v>69522.27</c:v>
                </c:pt>
                <c:pt idx="5">
                  <c:v>85283.14</c:v>
                </c:pt>
                <c:pt idx="6">
                  <c:v>89901.63</c:v>
                </c:pt>
                <c:pt idx="7">
                  <c:v>129304.42</c:v>
                </c:pt>
                <c:pt idx="8">
                  <c:v>118050.36</c:v>
                </c:pt>
                <c:pt idx="9">
                  <c:v>85293.99</c:v>
                </c:pt>
                <c:pt idx="10">
                  <c:v>90207.35</c:v>
                </c:pt>
              </c:numCache>
            </c:numRef>
          </c:val>
          <c:extLst>
            <c:ext xmlns:c16="http://schemas.microsoft.com/office/drawing/2014/chart" uri="{C3380CC4-5D6E-409C-BE32-E72D297353CC}">
              <c16:uniqueId val="{00000000-90BF-49A3-95F5-BFD8A7A031B9}"/>
            </c:ext>
          </c:extLst>
        </c:ser>
        <c:ser>
          <c:idx val="1"/>
          <c:order val="1"/>
          <c:tx>
            <c:strRef>
              <c:f>Sheet1!$C$25</c:f>
              <c:strCache>
                <c:ptCount val="1"/>
                <c:pt idx="0">
                  <c:v>ACTIVIDADES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Sheet1!$A$26:$A$36</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Sheet1!$C$26:$C$36</c:f>
              <c:numCache>
                <c:formatCode>#,##0</c:formatCode>
                <c:ptCount val="11"/>
                <c:pt idx="0">
                  <c:v>25739.94</c:v>
                </c:pt>
                <c:pt idx="1">
                  <c:v>359.63</c:v>
                </c:pt>
                <c:pt idx="2">
                  <c:v>24496.79</c:v>
                </c:pt>
                <c:pt idx="3">
                  <c:v>5248.24</c:v>
                </c:pt>
                <c:pt idx="4">
                  <c:v>9655.59</c:v>
                </c:pt>
                <c:pt idx="5">
                  <c:v>8925.4599999999991</c:v>
                </c:pt>
                <c:pt idx="6">
                  <c:v>13250.78</c:v>
                </c:pt>
                <c:pt idx="7">
                  <c:v>22886.799999999999</c:v>
                </c:pt>
                <c:pt idx="8">
                  <c:v>17162.87</c:v>
                </c:pt>
                <c:pt idx="9">
                  <c:v>20813.16</c:v>
                </c:pt>
                <c:pt idx="10">
                  <c:v>18820.009999999998</c:v>
                </c:pt>
              </c:numCache>
            </c:numRef>
          </c:val>
          <c:extLst>
            <c:ext xmlns:c16="http://schemas.microsoft.com/office/drawing/2014/chart" uri="{C3380CC4-5D6E-409C-BE32-E72D297353CC}">
              <c16:uniqueId val="{00000001-90BF-49A3-95F5-BFD8A7A031B9}"/>
            </c:ext>
          </c:extLst>
        </c:ser>
        <c:ser>
          <c:idx val="2"/>
          <c:order val="2"/>
          <c:tx>
            <c:strRef>
              <c:f>Sheet1!$D$25</c:f>
              <c:strCache>
                <c:ptCount val="1"/>
                <c:pt idx="0">
                  <c:v>SERVICIOS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Sheet1!$A$26:$A$36</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Sheet1!$D$26:$D$36</c:f>
              <c:numCache>
                <c:formatCode>#,##0</c:formatCode>
                <c:ptCount val="11"/>
                <c:pt idx="0">
                  <c:v>16108.63</c:v>
                </c:pt>
                <c:pt idx="1">
                  <c:v>3533.63</c:v>
                </c:pt>
                <c:pt idx="2">
                  <c:v>4530.59</c:v>
                </c:pt>
                <c:pt idx="3">
                  <c:v>5803.7</c:v>
                </c:pt>
                <c:pt idx="4">
                  <c:v>4000</c:v>
                </c:pt>
                <c:pt idx="5">
                  <c:v>5655.46</c:v>
                </c:pt>
                <c:pt idx="6">
                  <c:v>5359.71</c:v>
                </c:pt>
                <c:pt idx="7">
                  <c:v>6437.94</c:v>
                </c:pt>
                <c:pt idx="8">
                  <c:v>6421.47</c:v>
                </c:pt>
                <c:pt idx="9">
                  <c:v>8682.15</c:v>
                </c:pt>
                <c:pt idx="10">
                  <c:v>11276.64</c:v>
                </c:pt>
              </c:numCache>
            </c:numRef>
          </c:val>
          <c:extLst>
            <c:ext xmlns:c16="http://schemas.microsoft.com/office/drawing/2014/chart" uri="{C3380CC4-5D6E-409C-BE32-E72D297353CC}">
              <c16:uniqueId val="{00000002-90BF-49A3-95F5-BFD8A7A031B9}"/>
            </c:ext>
          </c:extLst>
        </c:ser>
        <c:ser>
          <c:idx val="3"/>
          <c:order val="3"/>
          <c:tx>
            <c:strRef>
              <c:f>Sheet1!$E$25</c:f>
              <c:strCache>
                <c:ptCount val="1"/>
                <c:pt idx="0">
                  <c:v>EQUIPAMIENTO</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Sheet1!$A$26:$A$36</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Sheet1!$E$26:$E$36</c:f>
              <c:numCache>
                <c:formatCode>General</c:formatCode>
                <c:ptCount val="11"/>
                <c:pt idx="7" formatCode="#,##0">
                  <c:v>2700.04</c:v>
                </c:pt>
                <c:pt idx="8" formatCode="#,##0">
                  <c:v>2905.65</c:v>
                </c:pt>
                <c:pt idx="9" formatCode="#,##0">
                  <c:v>6165.59</c:v>
                </c:pt>
                <c:pt idx="10" formatCode="#,##0">
                  <c:v>2868.94</c:v>
                </c:pt>
              </c:numCache>
            </c:numRef>
          </c:val>
          <c:extLst>
            <c:ext xmlns:c16="http://schemas.microsoft.com/office/drawing/2014/chart" uri="{C3380CC4-5D6E-409C-BE32-E72D297353CC}">
              <c16:uniqueId val="{00000003-90BF-49A3-95F5-BFD8A7A031B9}"/>
            </c:ext>
          </c:extLst>
        </c:ser>
        <c:dLbls>
          <c:showLegendKey val="0"/>
          <c:showVal val="0"/>
          <c:showCatName val="0"/>
          <c:showSerName val="0"/>
          <c:showPercent val="0"/>
          <c:showBubbleSize val="0"/>
        </c:dLbls>
        <c:gapWidth val="269"/>
        <c:axId val="889839008"/>
        <c:axId val="889840648"/>
      </c:barChart>
      <c:lineChart>
        <c:grouping val="standard"/>
        <c:varyColors val="0"/>
        <c:ser>
          <c:idx val="4"/>
          <c:order val="4"/>
          <c:tx>
            <c:strRef>
              <c:f>Sheet1!$F$25</c:f>
              <c:strCache>
                <c:ptCount val="1"/>
                <c:pt idx="0">
                  <c:v>TOTAL</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cat>
            <c:numRef>
              <c:f>Sheet1!$A$26:$A$36</c:f>
              <c:numCache>
                <c:formatCode>General</c:formatCode>
                <c:ptCount val="11"/>
                <c:pt idx="0">
                  <c:v>2012</c:v>
                </c:pt>
                <c:pt idx="1">
                  <c:v>2013</c:v>
                </c:pt>
                <c:pt idx="2">
                  <c:v>2014</c:v>
                </c:pt>
                <c:pt idx="3">
                  <c:v>2015</c:v>
                </c:pt>
                <c:pt idx="4">
                  <c:v>2016</c:v>
                </c:pt>
                <c:pt idx="5">
                  <c:v>2017</c:v>
                </c:pt>
                <c:pt idx="6">
                  <c:v>2018</c:v>
                </c:pt>
                <c:pt idx="7">
                  <c:v>2019</c:v>
                </c:pt>
                <c:pt idx="8">
                  <c:v>2020</c:v>
                </c:pt>
                <c:pt idx="9">
                  <c:v>2021</c:v>
                </c:pt>
                <c:pt idx="10">
                  <c:v>2022</c:v>
                </c:pt>
              </c:numCache>
            </c:numRef>
          </c:cat>
          <c:val>
            <c:numRef>
              <c:f>Sheet1!$F$26:$F$36</c:f>
              <c:numCache>
                <c:formatCode>#,##0</c:formatCode>
                <c:ptCount val="11"/>
                <c:pt idx="0">
                  <c:v>166041.51</c:v>
                </c:pt>
                <c:pt idx="1">
                  <c:v>45240.439999999995</c:v>
                </c:pt>
                <c:pt idx="2">
                  <c:v>53383.520000000004</c:v>
                </c:pt>
                <c:pt idx="3">
                  <c:v>54779.49</c:v>
                </c:pt>
                <c:pt idx="4">
                  <c:v>83177.86</c:v>
                </c:pt>
                <c:pt idx="5">
                  <c:v>99864.060000000012</c:v>
                </c:pt>
                <c:pt idx="6">
                  <c:v>108512.12000000001</c:v>
                </c:pt>
                <c:pt idx="7">
                  <c:v>161329.20000000001</c:v>
                </c:pt>
                <c:pt idx="8">
                  <c:v>144540.35</c:v>
                </c:pt>
                <c:pt idx="9">
                  <c:v>120954.89</c:v>
                </c:pt>
                <c:pt idx="10">
                  <c:v>123172.94</c:v>
                </c:pt>
              </c:numCache>
            </c:numRef>
          </c:val>
          <c:smooth val="0"/>
          <c:extLst>
            <c:ext xmlns:c16="http://schemas.microsoft.com/office/drawing/2014/chart" uri="{C3380CC4-5D6E-409C-BE32-E72D297353CC}">
              <c16:uniqueId val="{00000004-90BF-49A3-95F5-BFD8A7A031B9}"/>
            </c:ext>
          </c:extLst>
        </c:ser>
        <c:dLbls>
          <c:showLegendKey val="0"/>
          <c:showVal val="0"/>
          <c:showCatName val="0"/>
          <c:showSerName val="0"/>
          <c:showPercent val="0"/>
          <c:showBubbleSize val="0"/>
        </c:dLbls>
        <c:marker val="1"/>
        <c:smooth val="0"/>
        <c:axId val="889839008"/>
        <c:axId val="889840648"/>
      </c:lineChart>
      <c:catAx>
        <c:axId val="889839008"/>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crossAx val="889840648"/>
        <c:crosses val="autoZero"/>
        <c:auto val="1"/>
        <c:lblAlgn val="ctr"/>
        <c:lblOffset val="100"/>
        <c:noMultiLvlLbl val="0"/>
      </c:catAx>
      <c:valAx>
        <c:axId val="889840648"/>
        <c:scaling>
          <c:orientation val="minMax"/>
        </c:scaling>
        <c:delete val="0"/>
        <c:axPos val="l"/>
        <c:majorGridlines>
          <c:spPr>
            <a:ln w="9525" cap="flat" cmpd="sng" algn="ctr">
              <a:solidFill>
                <a:schemeClr val="lt1">
                  <a:lumMod val="95000"/>
                  <a:alpha val="10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ES"/>
          </a:p>
        </c:txPr>
        <c:crossAx val="889839008"/>
        <c:crosses val="autoZero"/>
        <c:crossBetween val="between"/>
      </c:valAx>
      <c:dTable>
        <c:showHorzBorder val="1"/>
        <c:showVertBorder val="1"/>
        <c:showOutline val="1"/>
        <c:showKeys val="1"/>
        <c:spPr>
          <a:noFill/>
          <a:ln w="9525">
            <a:solidFill>
              <a:schemeClr val="lt1">
                <a:lumMod val="95000"/>
                <a:alpha val="54000"/>
              </a:schemeClr>
            </a:solidFill>
          </a:ln>
          <a:effectLst/>
        </c:spPr>
        <c:txPr>
          <a:bodyPr rot="0" spcFirstLastPara="1" vertOverflow="ellipsis" vert="horz" wrap="square" anchor="ctr" anchorCtr="1"/>
          <a:lstStyle/>
          <a:p>
            <a:pPr rtl="0">
              <a:defRPr sz="900" b="0" i="0" u="none" strike="noStrike" kern="1200" baseline="0">
                <a:solidFill>
                  <a:sysClr val="windowText" lastClr="000000"/>
                </a:solidFill>
                <a:latin typeface="+mn-lt"/>
                <a:ea typeface="+mn-ea"/>
                <a:cs typeface="+mn-cs"/>
              </a:defRPr>
            </a:pPr>
            <a:endParaRPr lang="es-ES"/>
          </a:p>
        </c:txPr>
      </c:dTable>
      <c:spPr>
        <a:noFill/>
        <a:ln>
          <a:noFill/>
        </a:ln>
        <a:effectLst/>
      </c:spPr>
    </c:plotArea>
    <c:plotVisOnly val="1"/>
    <c:dispBlanksAs val="gap"/>
    <c:showDLblsOverMax val="0"/>
  </c:chart>
  <c:spPr>
    <a:solidFill>
      <a:schemeClr val="bg1"/>
    </a:solidFill>
    <a:ln>
      <a:noFill/>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ES" sz="1500"/>
              <a:t>Ingresos</a:t>
            </a:r>
            <a:r>
              <a:rPr lang="es-ES" sz="1500" baseline="0"/>
              <a:t> obtenidos del Parlamento de Navarra 2017-2022</a:t>
            </a:r>
            <a:endParaRPr lang="es-ES" sz="1500"/>
          </a:p>
        </c:rich>
      </c:tx>
      <c:layout>
        <c:manualLayout>
          <c:xMode val="edge"/>
          <c:yMode val="edge"/>
          <c:x val="0.13770738520070314"/>
          <c:y val="1.458789204959883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ES"/>
        </a:p>
      </c:txPr>
    </c:title>
    <c:autoTitleDeleted val="0"/>
    <c:plotArea>
      <c:layout/>
      <c:barChart>
        <c:barDir val="col"/>
        <c:grouping val="clustered"/>
        <c:varyColors val="0"/>
        <c:ser>
          <c:idx val="0"/>
          <c:order val="0"/>
          <c:tx>
            <c:strRef>
              <c:f>TODO!$B$28</c:f>
              <c:strCache>
                <c:ptCount val="1"/>
                <c:pt idx="0">
                  <c:v>PERSONAL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TODO!$A$29:$A$34</c:f>
              <c:numCache>
                <c:formatCode>General</c:formatCode>
                <c:ptCount val="6"/>
                <c:pt idx="0">
                  <c:v>2017</c:v>
                </c:pt>
                <c:pt idx="1">
                  <c:v>2018</c:v>
                </c:pt>
                <c:pt idx="2">
                  <c:v>2019</c:v>
                </c:pt>
                <c:pt idx="3">
                  <c:v>2020</c:v>
                </c:pt>
                <c:pt idx="4">
                  <c:v>2021</c:v>
                </c:pt>
                <c:pt idx="5">
                  <c:v>2022</c:v>
                </c:pt>
              </c:numCache>
            </c:numRef>
          </c:cat>
          <c:val>
            <c:numRef>
              <c:f>TODO!$B$29:$B$34</c:f>
              <c:numCache>
                <c:formatCode>#,##0</c:formatCode>
                <c:ptCount val="6"/>
                <c:pt idx="0">
                  <c:v>9877.56</c:v>
                </c:pt>
                <c:pt idx="1">
                  <c:v>16263.86</c:v>
                </c:pt>
                <c:pt idx="2">
                  <c:v>16727.54</c:v>
                </c:pt>
                <c:pt idx="3">
                  <c:v>16522.2</c:v>
                </c:pt>
                <c:pt idx="4">
                  <c:v>18205.75</c:v>
                </c:pt>
                <c:pt idx="5">
                  <c:v>19764.939999999999</c:v>
                </c:pt>
              </c:numCache>
            </c:numRef>
          </c:val>
          <c:extLst>
            <c:ext xmlns:c16="http://schemas.microsoft.com/office/drawing/2014/chart" uri="{C3380CC4-5D6E-409C-BE32-E72D297353CC}">
              <c16:uniqueId val="{00000000-6D1E-4757-A3A5-653AD412D919}"/>
            </c:ext>
          </c:extLst>
        </c:ser>
        <c:ser>
          <c:idx val="1"/>
          <c:order val="1"/>
          <c:tx>
            <c:strRef>
              <c:f>TODO!$C$28</c:f>
              <c:strCache>
                <c:ptCount val="1"/>
                <c:pt idx="0">
                  <c:v>INFORMATICA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TODO!$A$29:$A$34</c:f>
              <c:numCache>
                <c:formatCode>General</c:formatCode>
                <c:ptCount val="6"/>
                <c:pt idx="0">
                  <c:v>2017</c:v>
                </c:pt>
                <c:pt idx="1">
                  <c:v>2018</c:v>
                </c:pt>
                <c:pt idx="2">
                  <c:v>2019</c:v>
                </c:pt>
                <c:pt idx="3">
                  <c:v>2020</c:v>
                </c:pt>
                <c:pt idx="4">
                  <c:v>2021</c:v>
                </c:pt>
                <c:pt idx="5">
                  <c:v>2022</c:v>
                </c:pt>
              </c:numCache>
            </c:numRef>
          </c:cat>
          <c:val>
            <c:numRef>
              <c:f>TODO!$C$29:$C$34</c:f>
              <c:numCache>
                <c:formatCode>#,##0</c:formatCode>
                <c:ptCount val="6"/>
                <c:pt idx="0">
                  <c:v>1789.42</c:v>
                </c:pt>
                <c:pt idx="1">
                  <c:v>430.22</c:v>
                </c:pt>
                <c:pt idx="2">
                  <c:v>499.49</c:v>
                </c:pt>
                <c:pt idx="3">
                  <c:v>499.49</c:v>
                </c:pt>
                <c:pt idx="4">
                  <c:v>431.62</c:v>
                </c:pt>
                <c:pt idx="5">
                  <c:v>592.59</c:v>
                </c:pt>
              </c:numCache>
            </c:numRef>
          </c:val>
          <c:extLst>
            <c:ext xmlns:c16="http://schemas.microsoft.com/office/drawing/2014/chart" uri="{C3380CC4-5D6E-409C-BE32-E72D297353CC}">
              <c16:uniqueId val="{00000001-6D1E-4757-A3A5-653AD412D919}"/>
            </c:ext>
          </c:extLst>
        </c:ser>
        <c:ser>
          <c:idx val="2"/>
          <c:order val="2"/>
          <c:tx>
            <c:strRef>
              <c:f>TODO!$D$28</c:f>
              <c:strCache>
                <c:ptCount val="1"/>
                <c:pt idx="0">
                  <c:v>TTE Y OTROS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TODO!$A$29:$A$34</c:f>
              <c:numCache>
                <c:formatCode>General</c:formatCode>
                <c:ptCount val="6"/>
                <c:pt idx="0">
                  <c:v>2017</c:v>
                </c:pt>
                <c:pt idx="1">
                  <c:v>2018</c:v>
                </c:pt>
                <c:pt idx="2">
                  <c:v>2019</c:v>
                </c:pt>
                <c:pt idx="3">
                  <c:v>2020</c:v>
                </c:pt>
                <c:pt idx="4">
                  <c:v>2021</c:v>
                </c:pt>
                <c:pt idx="5">
                  <c:v>2022</c:v>
                </c:pt>
              </c:numCache>
            </c:numRef>
          </c:cat>
          <c:val>
            <c:numRef>
              <c:f>TODO!$D$29:$D$34</c:f>
              <c:numCache>
                <c:formatCode>#,##0</c:formatCode>
                <c:ptCount val="6"/>
                <c:pt idx="0">
                  <c:v>711.18</c:v>
                </c:pt>
                <c:pt idx="1">
                  <c:v>1514.52</c:v>
                </c:pt>
                <c:pt idx="2">
                  <c:v>1176.98</c:v>
                </c:pt>
                <c:pt idx="3">
                  <c:v>551.65</c:v>
                </c:pt>
                <c:pt idx="4">
                  <c:v>1319.58</c:v>
                </c:pt>
                <c:pt idx="5">
                  <c:v>1153.53</c:v>
                </c:pt>
              </c:numCache>
            </c:numRef>
          </c:val>
          <c:extLst>
            <c:ext xmlns:c16="http://schemas.microsoft.com/office/drawing/2014/chart" uri="{C3380CC4-5D6E-409C-BE32-E72D297353CC}">
              <c16:uniqueId val="{00000002-6D1E-4757-A3A5-653AD412D919}"/>
            </c:ext>
          </c:extLst>
        </c:ser>
        <c:ser>
          <c:idx val="3"/>
          <c:order val="3"/>
          <c:tx>
            <c:strRef>
              <c:f>TODO!$E$28</c:f>
              <c:strCache>
                <c:ptCount val="1"/>
                <c:pt idx="0">
                  <c:v>PROMOCION</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TODO!$A$29:$A$34</c:f>
              <c:numCache>
                <c:formatCode>General</c:formatCode>
                <c:ptCount val="6"/>
                <c:pt idx="0">
                  <c:v>2017</c:v>
                </c:pt>
                <c:pt idx="1">
                  <c:v>2018</c:v>
                </c:pt>
                <c:pt idx="2">
                  <c:v>2019</c:v>
                </c:pt>
                <c:pt idx="3">
                  <c:v>2020</c:v>
                </c:pt>
                <c:pt idx="4">
                  <c:v>2021</c:v>
                </c:pt>
                <c:pt idx="5">
                  <c:v>2022</c:v>
                </c:pt>
              </c:numCache>
            </c:numRef>
          </c:cat>
          <c:val>
            <c:numRef>
              <c:f>TODO!$E$29:$E$34</c:f>
              <c:numCache>
                <c:formatCode>#,##0</c:formatCode>
                <c:ptCount val="6"/>
                <c:pt idx="0">
                  <c:v>1803.11</c:v>
                </c:pt>
                <c:pt idx="1">
                  <c:v>1619.63</c:v>
                </c:pt>
                <c:pt idx="2">
                  <c:v>1432.01</c:v>
                </c:pt>
                <c:pt idx="3">
                  <c:v>510.98</c:v>
                </c:pt>
                <c:pt idx="4">
                  <c:v>1794.39</c:v>
                </c:pt>
                <c:pt idx="5">
                  <c:v>1087.4000000000001</c:v>
                </c:pt>
              </c:numCache>
            </c:numRef>
          </c:val>
          <c:extLst>
            <c:ext xmlns:c16="http://schemas.microsoft.com/office/drawing/2014/chart" uri="{C3380CC4-5D6E-409C-BE32-E72D297353CC}">
              <c16:uniqueId val="{00000003-6D1E-4757-A3A5-653AD412D919}"/>
            </c:ext>
          </c:extLst>
        </c:ser>
        <c:ser>
          <c:idx val="4"/>
          <c:order val="4"/>
          <c:tx>
            <c:strRef>
              <c:f>TODO!$F$28</c:f>
              <c:strCache>
                <c:ptCount val="1"/>
                <c:pt idx="0">
                  <c:v>TELEFONIA</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TODO!$A$29:$A$34</c:f>
              <c:numCache>
                <c:formatCode>General</c:formatCode>
                <c:ptCount val="6"/>
                <c:pt idx="0">
                  <c:v>2017</c:v>
                </c:pt>
                <c:pt idx="1">
                  <c:v>2018</c:v>
                </c:pt>
                <c:pt idx="2">
                  <c:v>2019</c:v>
                </c:pt>
                <c:pt idx="3">
                  <c:v>2020</c:v>
                </c:pt>
                <c:pt idx="4">
                  <c:v>2021</c:v>
                </c:pt>
                <c:pt idx="5">
                  <c:v>2022</c:v>
                </c:pt>
              </c:numCache>
            </c:numRef>
          </c:cat>
          <c:val>
            <c:numRef>
              <c:f>TODO!$F$29:$F$34</c:f>
              <c:numCache>
                <c:formatCode>#,##0</c:formatCode>
                <c:ptCount val="6"/>
                <c:pt idx="0">
                  <c:v>443</c:v>
                </c:pt>
                <c:pt idx="1">
                  <c:v>170.68</c:v>
                </c:pt>
                <c:pt idx="2">
                  <c:v>163.98</c:v>
                </c:pt>
                <c:pt idx="3">
                  <c:v>144</c:v>
                </c:pt>
                <c:pt idx="4">
                  <c:v>144.21</c:v>
                </c:pt>
                <c:pt idx="5">
                  <c:v>223.75</c:v>
                </c:pt>
              </c:numCache>
            </c:numRef>
          </c:val>
          <c:extLst>
            <c:ext xmlns:c16="http://schemas.microsoft.com/office/drawing/2014/chart" uri="{C3380CC4-5D6E-409C-BE32-E72D297353CC}">
              <c16:uniqueId val="{00000004-6D1E-4757-A3A5-653AD412D919}"/>
            </c:ext>
          </c:extLst>
        </c:ser>
        <c:ser>
          <c:idx val="5"/>
          <c:order val="5"/>
          <c:tx>
            <c:strRef>
              <c:f>TODO!$G$28</c:f>
              <c:strCache>
                <c:ptCount val="1"/>
                <c:pt idx="0">
                  <c:v>CAMP PROM</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numRef>
              <c:f>TODO!$A$29:$A$34</c:f>
              <c:numCache>
                <c:formatCode>General</c:formatCode>
                <c:ptCount val="6"/>
                <c:pt idx="0">
                  <c:v>2017</c:v>
                </c:pt>
                <c:pt idx="1">
                  <c:v>2018</c:v>
                </c:pt>
                <c:pt idx="2">
                  <c:v>2019</c:v>
                </c:pt>
                <c:pt idx="3">
                  <c:v>2020</c:v>
                </c:pt>
                <c:pt idx="4">
                  <c:v>2021</c:v>
                </c:pt>
                <c:pt idx="5">
                  <c:v>2022</c:v>
                </c:pt>
              </c:numCache>
            </c:numRef>
          </c:cat>
          <c:val>
            <c:numRef>
              <c:f>TODO!$G$29:$G$34</c:f>
              <c:numCache>
                <c:formatCode>#,##0</c:formatCode>
                <c:ptCount val="6"/>
                <c:pt idx="0">
                  <c:v>0</c:v>
                </c:pt>
                <c:pt idx="1">
                  <c:v>0</c:v>
                </c:pt>
                <c:pt idx="2">
                  <c:v>0</c:v>
                </c:pt>
                <c:pt idx="3">
                  <c:v>1925.11</c:v>
                </c:pt>
                <c:pt idx="4">
                  <c:v>2000</c:v>
                </c:pt>
                <c:pt idx="5">
                  <c:v>3000.8</c:v>
                </c:pt>
              </c:numCache>
            </c:numRef>
          </c:val>
          <c:extLst>
            <c:ext xmlns:c16="http://schemas.microsoft.com/office/drawing/2014/chart" uri="{C3380CC4-5D6E-409C-BE32-E72D297353CC}">
              <c16:uniqueId val="{00000005-6D1E-4757-A3A5-653AD412D919}"/>
            </c:ext>
          </c:extLst>
        </c:ser>
        <c:dLbls>
          <c:showLegendKey val="0"/>
          <c:showVal val="0"/>
          <c:showCatName val="0"/>
          <c:showSerName val="0"/>
          <c:showPercent val="0"/>
          <c:showBubbleSize val="0"/>
        </c:dLbls>
        <c:gapWidth val="247"/>
        <c:axId val="848851088"/>
        <c:axId val="848852072"/>
      </c:barChart>
      <c:lineChart>
        <c:grouping val="standard"/>
        <c:varyColors val="0"/>
        <c:ser>
          <c:idx val="6"/>
          <c:order val="6"/>
          <c:tx>
            <c:strRef>
              <c:f>TODO!$H$28</c:f>
              <c:strCache>
                <c:ptCount val="1"/>
                <c:pt idx="0">
                  <c:v>TOTAL</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cat>
            <c:numRef>
              <c:f>TODO!$A$29:$A$34</c:f>
              <c:numCache>
                <c:formatCode>General</c:formatCode>
                <c:ptCount val="6"/>
                <c:pt idx="0">
                  <c:v>2017</c:v>
                </c:pt>
                <c:pt idx="1">
                  <c:v>2018</c:v>
                </c:pt>
                <c:pt idx="2">
                  <c:v>2019</c:v>
                </c:pt>
                <c:pt idx="3">
                  <c:v>2020</c:v>
                </c:pt>
                <c:pt idx="4">
                  <c:v>2021</c:v>
                </c:pt>
                <c:pt idx="5">
                  <c:v>2022</c:v>
                </c:pt>
              </c:numCache>
            </c:numRef>
          </c:cat>
          <c:val>
            <c:numRef>
              <c:f>TODO!$H$29:$H$34</c:f>
              <c:numCache>
                <c:formatCode>#,##0</c:formatCode>
                <c:ptCount val="6"/>
                <c:pt idx="0">
                  <c:v>14624.27</c:v>
                </c:pt>
                <c:pt idx="1">
                  <c:v>19998.910000000003</c:v>
                </c:pt>
                <c:pt idx="2">
                  <c:v>20000</c:v>
                </c:pt>
                <c:pt idx="3">
                  <c:v>20153.430000000004</c:v>
                </c:pt>
                <c:pt idx="4">
                  <c:v>23895.549999999996</c:v>
                </c:pt>
                <c:pt idx="5">
                  <c:v>25823.01</c:v>
                </c:pt>
              </c:numCache>
            </c:numRef>
          </c:val>
          <c:smooth val="0"/>
          <c:extLst>
            <c:ext xmlns:c16="http://schemas.microsoft.com/office/drawing/2014/chart" uri="{C3380CC4-5D6E-409C-BE32-E72D297353CC}">
              <c16:uniqueId val="{00000006-6D1E-4757-A3A5-653AD412D919}"/>
            </c:ext>
          </c:extLst>
        </c:ser>
        <c:dLbls>
          <c:showLegendKey val="0"/>
          <c:showVal val="0"/>
          <c:showCatName val="0"/>
          <c:showSerName val="0"/>
          <c:showPercent val="0"/>
          <c:showBubbleSize val="0"/>
        </c:dLbls>
        <c:marker val="1"/>
        <c:smooth val="0"/>
        <c:axId val="848851088"/>
        <c:axId val="848852072"/>
      </c:lineChart>
      <c:catAx>
        <c:axId val="84885108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48852072"/>
        <c:crosses val="autoZero"/>
        <c:auto val="1"/>
        <c:lblAlgn val="ctr"/>
        <c:lblOffset val="100"/>
        <c:noMultiLvlLbl val="0"/>
      </c:catAx>
      <c:valAx>
        <c:axId val="848852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84885108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ES"/>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28">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gradFill>
        <a:gsLst>
          <a:gs pos="100000">
            <a:schemeClr val="dk1">
              <a:lumMod val="95000"/>
              <a:lumOff val="5000"/>
            </a:schemeClr>
          </a:gs>
          <a:gs pos="0">
            <a:schemeClr val="dk1">
              <a:lumMod val="75000"/>
              <a:lumOff val="25000"/>
            </a:schemeClr>
          </a:gs>
        </a:gsLst>
        <a:path path="circle">
          <a:fillToRect l="50000" t="50000" r="50000" b="50000"/>
        </a:path>
      </a:gradFill>
      <a:ln w="9525">
        <a:solidFill>
          <a:schemeClr val="dk1">
            <a:lumMod val="75000"/>
            <a:lumOff val="25000"/>
          </a:schemeClr>
        </a:solidFill>
      </a:ln>
    </cs:spPr>
  </cs:downBar>
  <cs:dropLine>
    <cs:lnRef idx="0"/>
    <cs:fillRef idx="0"/>
    <cs:effectRef idx="0"/>
    <cs:fontRef idx="minor">
      <a:schemeClr val="tx1"/>
    </cs:fontRef>
    <cs:spPr>
      <a:ln w="9525" cap="flat" cmpd="sng" algn="ctr">
        <a:solidFill>
          <a:schemeClr val="lt1"/>
        </a:solidFill>
        <a:round/>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cap="flat" cmpd="sng" algn="ctr">
        <a:solidFill>
          <a:schemeClr val="lt1"/>
        </a:solidFill>
        <a:round/>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gradFill>
        <a:gsLst>
          <a:gs pos="100000">
            <a:schemeClr val="lt1">
              <a:lumMod val="85000"/>
            </a:schemeClr>
          </a:gs>
          <a:gs pos="0">
            <a:schemeClr val="lt1"/>
          </a:gs>
        </a:gsLst>
        <a:path path="circle">
          <a:fillToRect l="50000" t="50000" r="50000" b="50000"/>
        </a:path>
      </a:gradFill>
      <a:ln w="9525" cap="flat" cmpd="sng" algn="ctr">
        <a:solidFill>
          <a:schemeClr val="lt1"/>
        </a:solidFill>
        <a:round/>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5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A9AAEA0B8776E4782DC4A9FF61CBE75" ma:contentTypeVersion="7" ma:contentTypeDescription="Crear nuevo documento." ma:contentTypeScope="" ma:versionID="f1f86c64efbbed3c5d41b1b6218314a5">
  <xsd:schema xmlns:xsd="http://www.w3.org/2001/XMLSchema" xmlns:xs="http://www.w3.org/2001/XMLSchema" xmlns:p="http://schemas.microsoft.com/office/2006/metadata/properties" xmlns:ns2="a4be77a6-8358-4ebf-83e0-79ec36758bb5" xmlns:ns3="62ef06c8-8995-4227-80f5-35e373c2d721" targetNamespace="http://schemas.microsoft.com/office/2006/metadata/properties" ma:root="true" ma:fieldsID="219843c4fb2a9ec677107f9cded5ffc1" ns2:_="" ns3:_="">
    <xsd:import namespace="a4be77a6-8358-4ebf-83e0-79ec36758bb5"/>
    <xsd:import namespace="62ef06c8-8995-4227-80f5-35e373c2d7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e77a6-8358-4ebf-83e0-79ec36758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ef06c8-8995-4227-80f5-35e373c2d721"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5638A7-DAC5-4273-9D24-989ED5DE28FE}">
  <ds:schemaRefs>
    <ds:schemaRef ds:uri="http://purl.org/dc/elements/1.1/"/>
    <ds:schemaRef ds:uri="http://schemas.microsoft.com/office/2006/metadata/properties"/>
    <ds:schemaRef ds:uri="http://purl.org/dc/terms/"/>
    <ds:schemaRef ds:uri="a4be77a6-8358-4ebf-83e0-79ec36758bb5"/>
    <ds:schemaRef ds:uri="http://schemas.microsoft.com/office/2006/documentManagement/types"/>
    <ds:schemaRef ds:uri="http://schemas.microsoft.com/office/infopath/2007/PartnerControls"/>
    <ds:schemaRef ds:uri="http://schemas.openxmlformats.org/package/2006/metadata/core-properties"/>
    <ds:schemaRef ds:uri="62ef06c8-8995-4227-80f5-35e373c2d721"/>
    <ds:schemaRef ds:uri="http://www.w3.org/XML/1998/namespace"/>
    <ds:schemaRef ds:uri="http://purl.org/dc/dcmitype/"/>
  </ds:schemaRefs>
</ds:datastoreItem>
</file>

<file path=customXml/itemProps2.xml><?xml version="1.0" encoding="utf-8"?>
<ds:datastoreItem xmlns:ds="http://schemas.openxmlformats.org/officeDocument/2006/customXml" ds:itemID="{DE5C1E66-2E22-417C-9D28-CBBF9B1B1460}">
  <ds:schemaRefs>
    <ds:schemaRef ds:uri="http://schemas.microsoft.com/sharepoint/v3/contenttype/forms"/>
  </ds:schemaRefs>
</ds:datastoreItem>
</file>

<file path=customXml/itemProps3.xml><?xml version="1.0" encoding="utf-8"?>
<ds:datastoreItem xmlns:ds="http://schemas.openxmlformats.org/officeDocument/2006/customXml" ds:itemID="{73DE8A8E-E03F-4F00-8969-1203472E9CFD}">
  <ds:schemaRefs>
    <ds:schemaRef ds:uri="http://schemas.openxmlformats.org/officeDocument/2006/bibliography"/>
  </ds:schemaRefs>
</ds:datastoreItem>
</file>

<file path=customXml/itemProps4.xml><?xml version="1.0" encoding="utf-8"?>
<ds:datastoreItem xmlns:ds="http://schemas.openxmlformats.org/officeDocument/2006/customXml" ds:itemID="{11DFD1BD-F64B-4B8A-8DCD-2ACEC48BC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e77a6-8358-4ebf-83e0-79ec36758bb5"/>
    <ds:schemaRef ds:uri="62ef06c8-8995-4227-80f5-35e373c2d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Borrador Final</Template>
  <TotalTime>385</TotalTime>
  <Pages>36</Pages>
  <Words>8860</Words>
  <Characters>46905</Characters>
  <Application>Microsoft Office Word</Application>
  <DocSecurity>0</DocSecurity>
  <Lines>1543</Lines>
  <Paragraphs>894</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55211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D863793</dc:creator>
  <cp:keywords/>
  <dc:description/>
  <cp:lastModifiedBy>Aranaz, Carlota</cp:lastModifiedBy>
  <cp:revision>21</cp:revision>
  <cp:lastPrinted>2023-11-30T10:57:00Z</cp:lastPrinted>
  <dcterms:created xsi:type="dcterms:W3CDTF">2023-12-05T11:35:00Z</dcterms:created>
  <dcterms:modified xsi:type="dcterms:W3CDTF">2023-12-20T13:00:00Z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0x010100CA9AAEA0B8776E4782DC4A9FF61CBE75</vt:lpwstr>
  </property>
</Properties>
</file>