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83D01" w14:textId="77777777" w:rsidR="00386283" w:rsidRPr="00215723" w:rsidRDefault="00386283">
      <w:pPr>
        <w:pStyle w:val="Textoindependiente"/>
        <w:spacing w:before="5"/>
        <w:rPr>
          <w:b/>
          <w:sz w:val="17"/>
          <w:lang w:val="es-ES"/>
        </w:rPr>
      </w:pPr>
    </w:p>
    <w:p w14:paraId="6BD90F5A" w14:textId="266AB429" w:rsidR="00386283" w:rsidRPr="00215723" w:rsidRDefault="00215723">
      <w:pPr>
        <w:pStyle w:val="Textoindependiente"/>
        <w:spacing w:before="56"/>
        <w:ind w:left="1062" w:right="476" w:firstLine="707"/>
        <w:jc w:val="both"/>
      </w:pPr>
      <w:r>
        <w:t xml:space="preserve">EH Bildu Nafarroa talde parlamentarioari atxikitako foru parlamentari Laura Aznal Sagasti andreak, Legebiltzarreko Erregelamenduan ezarritakoaren babesean, honako mozio hau aurkezten du, datorren otsailaren 1eko Osoko Bilkuran eztabaidatu eta bozkatzeko:</w:t>
      </w:r>
    </w:p>
    <w:p w14:paraId="012ECE2F" w14:textId="77777777" w:rsidR="00386283" w:rsidRPr="00215723" w:rsidRDefault="00386283">
      <w:pPr>
        <w:pStyle w:val="Textoindependiente"/>
        <w:spacing w:before="9"/>
        <w:rPr>
          <w:sz w:val="21"/>
          <w:lang w:val="es-ES"/>
        </w:rPr>
      </w:pPr>
    </w:p>
    <w:p w14:paraId="7BA8967F" w14:textId="77777777" w:rsidR="00386283" w:rsidRPr="00215723" w:rsidRDefault="00215723">
      <w:pPr>
        <w:pStyle w:val="Ttulo1"/>
        <w:spacing w:before="1"/>
        <w:ind w:left="4114" w:right="3532"/>
        <w:jc w:val="center"/>
      </w:pPr>
      <w:r>
        <w:rPr>
          <w:u w:val="single"/>
        </w:rPr>
        <w:t xml:space="preserve">ZIOEN AZALPENA</w:t>
      </w:r>
    </w:p>
    <w:p w14:paraId="0DA27389" w14:textId="77777777" w:rsidR="00386283" w:rsidRPr="00215723" w:rsidRDefault="00386283">
      <w:pPr>
        <w:pStyle w:val="Textoindependiente"/>
        <w:spacing w:before="6"/>
        <w:rPr>
          <w:b/>
          <w:sz w:val="17"/>
          <w:lang w:val="es-ES"/>
        </w:rPr>
      </w:pPr>
    </w:p>
    <w:p w14:paraId="2C371547" w14:textId="77777777" w:rsidR="00386283" w:rsidRPr="00215723" w:rsidRDefault="00215723">
      <w:pPr>
        <w:pStyle w:val="Textoindependiente"/>
        <w:spacing w:before="56"/>
        <w:ind w:left="1062" w:right="477"/>
        <w:jc w:val="both"/>
      </w:pPr>
      <w:r>
        <w:t xml:space="preserve">Klima-aldaketa errealitatea da, eta haren ondorioak jadanik nabarmenak dira gaur egun.</w:t>
      </w:r>
      <w:r>
        <w:t xml:space="preserve"> </w:t>
      </w:r>
      <w:r>
        <w:t xml:space="preserve">Guztiz beharrezkoa da ekonomia deskarbonizatzea, berotegi-efektuko gasen emisioak zorrotz murriztea eta Nafarroako Foru Komunitatean, Europan eta munduan ezarri diren ingurumen-helburuak lortzea:</w:t>
      </w:r>
    </w:p>
    <w:p w14:paraId="58381BB5" w14:textId="77777777" w:rsidR="00386283" w:rsidRPr="00215723" w:rsidRDefault="00386283">
      <w:pPr>
        <w:pStyle w:val="Textoindependiente"/>
        <w:rPr>
          <w:lang w:val="es-ES"/>
        </w:rPr>
      </w:pPr>
    </w:p>
    <w:p w14:paraId="7B8BE390" w14:textId="77777777" w:rsidR="00386283" w:rsidRPr="00215723" w:rsidRDefault="00215723">
      <w:pPr>
        <w:pStyle w:val="Prrafodelista"/>
        <w:numPr>
          <w:ilvl w:val="0"/>
          <w:numId w:val="3"/>
        </w:numPr>
        <w:tabs>
          <w:tab w:val="left" w:pos="1180"/>
        </w:tabs>
        <w:ind w:hanging="117"/>
      </w:pPr>
      <w:r>
        <w:t xml:space="preserve">Parisko Akordioaren arabera, berotze globala 1,5 ºC-tik behera geratu behar da.</w:t>
      </w:r>
    </w:p>
    <w:p w14:paraId="40A61255" w14:textId="668E43F0" w:rsidR="00386283" w:rsidRPr="00215723" w:rsidRDefault="00215723">
      <w:pPr>
        <w:pStyle w:val="Prrafodelista"/>
        <w:numPr>
          <w:ilvl w:val="0"/>
          <w:numId w:val="3"/>
        </w:numPr>
        <w:tabs>
          <w:tab w:val="left" w:pos="1180"/>
        </w:tabs>
        <w:ind w:hanging="117"/>
      </w:pPr>
      <w:r>
        <w:t xml:space="preserve">2030erako, kontsumitutako energia guztiaren % 50 jatorri berriztagarrikoa izanen da.</w:t>
      </w:r>
    </w:p>
    <w:p w14:paraId="3E1A2D02" w14:textId="77777777" w:rsidR="00386283" w:rsidRPr="00215723" w:rsidRDefault="00215723">
      <w:pPr>
        <w:pStyle w:val="Prrafodelista"/>
        <w:numPr>
          <w:ilvl w:val="0"/>
          <w:numId w:val="3"/>
        </w:numPr>
        <w:tabs>
          <w:tab w:val="left" w:pos="1180"/>
        </w:tabs>
        <w:ind w:hanging="117"/>
      </w:pPr>
      <w:r>
        <w:t xml:space="preserve">2050erako, erabateko deskarbonizazioa lortu nahi da.</w:t>
      </w:r>
    </w:p>
    <w:p w14:paraId="0D3D6F4F" w14:textId="77777777" w:rsidR="00386283" w:rsidRPr="00215723" w:rsidRDefault="00386283">
      <w:pPr>
        <w:pStyle w:val="Textoindependiente"/>
        <w:spacing w:before="10"/>
        <w:rPr>
          <w:sz w:val="21"/>
          <w:lang w:val="es-ES"/>
        </w:rPr>
      </w:pPr>
    </w:p>
    <w:p w14:paraId="08E3EB6A" w14:textId="77777777" w:rsidR="00386283" w:rsidRPr="00215723" w:rsidRDefault="00215723">
      <w:pPr>
        <w:pStyle w:val="Textoindependiente"/>
        <w:ind w:left="1062" w:right="477"/>
        <w:jc w:val="both"/>
      </w:pPr>
      <w:r>
        <w:t xml:space="preserve">Horretarako, orain arte ez bezalako eta irismen handiko trantsizioa behar da energia-sisteman, garraioan, industrian, nekazaritzan, gure eguneroko bizitzan.</w:t>
      </w:r>
      <w:r>
        <w:t xml:space="preserve"> </w:t>
      </w:r>
      <w:r>
        <w:t xml:space="preserve">Ezinbestekoa eta premiazkoa da energia-kontsumoaren mailak murriztea, autokontsumoa sustatzea eta energia berriztagarrien garapena bultzatzea, zeinek jatorri fosileko energiak ordeztu beharko dituzten pixkanaka.</w:t>
      </w:r>
    </w:p>
    <w:p w14:paraId="2ACB0073" w14:textId="77777777" w:rsidR="00386283" w:rsidRPr="00215723" w:rsidRDefault="00386283">
      <w:pPr>
        <w:pStyle w:val="Textoindependiente"/>
        <w:rPr>
          <w:lang w:val="es-ES"/>
        </w:rPr>
      </w:pPr>
    </w:p>
    <w:p w14:paraId="48DD056F" w14:textId="77777777" w:rsidR="00386283" w:rsidRPr="00215723" w:rsidRDefault="00215723">
      <w:pPr>
        <w:pStyle w:val="Textoindependiente"/>
        <w:ind w:left="1062" w:right="474"/>
        <w:jc w:val="both"/>
      </w:pPr>
      <w:r>
        <w:t xml:space="preserve">Azken urteotan, energia berriztagarria sortzeko instalazio handien ugaritze aurrekarigabea ikusten ari gara, eta horien titulartasuna subjektu pribatuei eman zaie.</w:t>
      </w:r>
      <w:r>
        <w:t xml:space="preserve"> </w:t>
      </w:r>
      <w:r>
        <w:t xml:space="preserve">Nafarroan, 2019ko apiriletik 2023ko urrira arte, energia eoliko berriztagarria ekoizteko instalazioetarako 78 proiektu aurkeztu dira, guztira 1.440 MW-eko potentziakoak, eta energia fotovoltaiko berriztagarria ekoizteko 89 proiektu, guztira 1.280 MW-eko potentziakoak.</w:t>
      </w:r>
    </w:p>
    <w:p w14:paraId="62263C01" w14:textId="77777777" w:rsidR="00386283" w:rsidRPr="00215723" w:rsidRDefault="00386283">
      <w:pPr>
        <w:pStyle w:val="Textoindependiente"/>
        <w:spacing w:before="12"/>
        <w:rPr>
          <w:sz w:val="21"/>
          <w:lang w:val="es-ES"/>
        </w:rPr>
      </w:pPr>
    </w:p>
    <w:p w14:paraId="6FD8D38B" w14:textId="77777777" w:rsidR="00386283" w:rsidRPr="00215723" w:rsidRDefault="00215723">
      <w:pPr>
        <w:pStyle w:val="Textoindependiente"/>
        <w:ind w:left="1062" w:right="474"/>
        <w:jc w:val="both"/>
      </w:pPr>
      <w:r>
        <w:t xml:space="preserve">Aldez aurreko planifikaziorik egin gabe elementu horiek ugaritzeak aldrebestu egiten ditu bertako baso, mendi, zelai eta haranak Nafarroako Foru Komunitatean, non nekazaritza- eta abeltzaintza-ustiategiak paraje naturalekin eta inguratzen gaituen lurraldeko beste elementu berezi batzuekin batera aurki baitaitezke.</w:t>
      </w:r>
    </w:p>
    <w:p w14:paraId="6C386BE3" w14:textId="77777777" w:rsidR="00386283" w:rsidRPr="00215723" w:rsidRDefault="00386283">
      <w:pPr>
        <w:pStyle w:val="Textoindependiente"/>
        <w:spacing w:before="10"/>
        <w:rPr>
          <w:sz w:val="21"/>
          <w:lang w:val="es-ES"/>
        </w:rPr>
      </w:pPr>
    </w:p>
    <w:p w14:paraId="4B8FCEFD" w14:textId="77777777" w:rsidR="00386283" w:rsidRPr="00215723" w:rsidRDefault="00215723">
      <w:pPr>
        <w:pStyle w:val="Textoindependiente"/>
        <w:ind w:left="1062" w:right="476"/>
        <w:jc w:val="both"/>
      </w:pPr>
      <w:r>
        <w:t xml:space="preserve">Energia sortzeko instalazio handi horien proiektuak interes orokorreko ustezko jarduera batean oinarritzen dira, independentzia energetikoaren eta klima-aldaketaren aurkako borrokaren ildoekin bat.</w:t>
      </w:r>
      <w:r>
        <w:t xml:space="preserve"> </w:t>
      </w:r>
      <w:r>
        <w:t xml:space="preserve">Hala ere, proiektu horien titulartasuna subjektu pribatuei ematen zaie eta, horrenbestez, interes hori, neurri handi batean, sustatzaile jakin batzuen mesedetan doa.</w:t>
      </w:r>
    </w:p>
    <w:p w14:paraId="67048C8F" w14:textId="77777777" w:rsidR="00386283" w:rsidRPr="00215723" w:rsidRDefault="00386283">
      <w:pPr>
        <w:pStyle w:val="Textoindependiente"/>
        <w:spacing w:before="12"/>
        <w:rPr>
          <w:sz w:val="21"/>
          <w:lang w:val="es-ES"/>
        </w:rPr>
      </w:pPr>
    </w:p>
    <w:p w14:paraId="3491432F" w14:textId="77777777" w:rsidR="00386283" w:rsidRPr="00215723" w:rsidRDefault="00215723">
      <w:pPr>
        <w:pStyle w:val="Textoindependiente"/>
        <w:ind w:left="1062" w:right="479"/>
        <w:jc w:val="both"/>
      </w:pPr>
      <w:r>
        <w:t xml:space="preserve">Gainera, proiektu handi horietako asko nekazaritza-lursailetan kokatzen dira, eta horietan aurrez lursail-berrantolamendua egin edo ureztalurrak modernizatu dira, nekazaritza-produktibitatea hobetzeko asmoz.</w:t>
      </w:r>
    </w:p>
    <w:p w14:paraId="43CB37DE" w14:textId="77777777" w:rsidR="00386283" w:rsidRPr="00215723" w:rsidRDefault="00386283">
      <w:pPr>
        <w:jc w:val="both"/>
        <w:rPr>
          <w:lang w:val="es-ES"/>
        </w:rPr>
        <w:sectPr w:rsidR="00386283" w:rsidRPr="00215723" w:rsidSect="00215723">
          <w:type w:val="continuous"/>
          <w:pgSz w:w="11910" w:h="16840"/>
          <w:pgMar w:top="993" w:right="1220" w:bottom="280" w:left="640" w:header="720" w:footer="720" w:gutter="0"/>
          <w:cols w:space="720"/>
        </w:sectPr>
      </w:pPr>
    </w:p>
    <w:p w14:paraId="662B18A9" w14:textId="77777777" w:rsidR="00386283" w:rsidRPr="00215723" w:rsidRDefault="00215723">
      <w:pPr>
        <w:pStyle w:val="Textoindependiente"/>
        <w:spacing w:before="86"/>
        <w:ind w:left="102" w:right="112"/>
        <w:jc w:val="both"/>
      </w:pPr>
      <w:r>
        <w:t xml:space="preserve">Era berean, ekimen pribatuko makroazpiegitura-proiektuak izapidetzen ari dira, beste autonomia-erkidego batzuetan sortutako elektrizitatea garraiatzekoak, ingurumen-, paisaia- eta arkeologia-eragin ezin larriagoak dituztenak, baita gure biodibertsitate eta lehen sektorearentzako arrisku handiak ere.</w:t>
      </w:r>
      <w:r>
        <w:t xml:space="preserve"> </w:t>
      </w:r>
      <w:r>
        <w:t xml:space="preserve">Nafarroako dozenaka toki-erakundek alegazioak aurkeztu dituzte proiektu horietako batzuen aurka.</w:t>
      </w:r>
      <w:r>
        <w:t xml:space="preserve"> </w:t>
      </w:r>
      <w:r>
        <w:t xml:space="preserve">Kasuren batean, Nafarroako Gobernuko Landa Garapeneko eta Ingurumeneko Departamentuak ere aurkako txostenak jaulki ditu.</w:t>
      </w:r>
    </w:p>
    <w:p w14:paraId="1E5E0382" w14:textId="77777777" w:rsidR="00386283" w:rsidRPr="00215723" w:rsidRDefault="00386283">
      <w:pPr>
        <w:pStyle w:val="Textoindependiente"/>
        <w:spacing w:before="10"/>
        <w:rPr>
          <w:sz w:val="21"/>
          <w:lang w:val="es-ES"/>
        </w:rPr>
      </w:pPr>
    </w:p>
    <w:p w14:paraId="17B94C39" w14:textId="77777777" w:rsidR="00386283" w:rsidRPr="00215723" w:rsidRDefault="00215723">
      <w:pPr>
        <w:pStyle w:val="Textoindependiente"/>
        <w:ind w:left="102" w:right="115"/>
        <w:jc w:val="both"/>
      </w:pPr>
      <w:r>
        <w:t xml:space="preserve">Energia berriztagarriak sortzeko azpiegituren hedapena, beharrezkoa bada ere, egokiro planifikatu eta antolatu behar da, eta biodibertsitatea, ingurumena eta gure lurraren erabilera tradizionalak errespetatu behar ditu.</w:t>
      </w:r>
    </w:p>
    <w:p w14:paraId="3AADF0D0" w14:textId="77777777" w:rsidR="00386283" w:rsidRPr="00215723" w:rsidRDefault="00386283">
      <w:pPr>
        <w:pStyle w:val="Textoindependiente"/>
        <w:rPr>
          <w:lang w:val="es-ES"/>
        </w:rPr>
      </w:pPr>
    </w:p>
    <w:p w14:paraId="3DFC27B1" w14:textId="45BCDD6C" w:rsidR="00386283" w:rsidRPr="00215723" w:rsidRDefault="00215723">
      <w:pPr>
        <w:pStyle w:val="Textoindependiente"/>
        <w:ind w:left="102" w:right="115"/>
        <w:jc w:val="both"/>
      </w:pPr>
      <w:r>
        <w:t xml:space="preserve">Klima-aldaketari eta Energia Trantsizioari buruzko martxoaren 22ko 4/2022 Foru Legeak (2022ko apirilaren 1eko Nafarroako Aldizkari Ofizialean eta 2022ko apirilaren 19ko Estatuko Aldizkari Ofizialean argitaratua) hauxe ezartzen du:</w:t>
      </w:r>
    </w:p>
    <w:p w14:paraId="0D8B79C3" w14:textId="77777777" w:rsidR="00386283" w:rsidRPr="00215723" w:rsidRDefault="00386283">
      <w:pPr>
        <w:pStyle w:val="Textoindependiente"/>
        <w:rPr>
          <w:lang w:val="es-ES"/>
        </w:rPr>
      </w:pPr>
    </w:p>
    <w:p w14:paraId="3ACAD3C1" w14:textId="77777777" w:rsidR="00386283" w:rsidRPr="00215723" w:rsidRDefault="00215723">
      <w:pPr>
        <w:ind w:left="102"/>
        <w:jc w:val="both"/>
        <w:rPr>
          <w:i/>
        </w:rPr>
      </w:pPr>
      <w:r>
        <w:rPr>
          <w:i/>
          <w:u w:val="single"/>
        </w:rPr>
        <w:t xml:space="preserve">31. artikulua.</w:t>
      </w:r>
      <w:r>
        <w:rPr>
          <w:i/>
          <w:u w:val="single"/>
        </w:rPr>
        <w:t xml:space="preserve"> </w:t>
      </w:r>
      <w:r>
        <w:rPr>
          <w:i/>
          <w:u w:val="single"/>
        </w:rPr>
        <w:t xml:space="preserve">Energia eolikoa</w:t>
      </w:r>
    </w:p>
    <w:p w14:paraId="122A6982" w14:textId="77777777" w:rsidR="00386283" w:rsidRPr="00215723" w:rsidRDefault="00386283">
      <w:pPr>
        <w:pStyle w:val="Textoindependiente"/>
        <w:spacing w:before="2"/>
        <w:rPr>
          <w:i/>
          <w:sz w:val="17"/>
          <w:lang w:val="es-ES"/>
        </w:rPr>
      </w:pPr>
    </w:p>
    <w:p w14:paraId="001E6444" w14:textId="77777777" w:rsidR="00386283" w:rsidRPr="00215723" w:rsidRDefault="00215723">
      <w:pPr>
        <w:pStyle w:val="Prrafodelista"/>
        <w:numPr>
          <w:ilvl w:val="0"/>
          <w:numId w:val="2"/>
        </w:numPr>
        <w:tabs>
          <w:tab w:val="left" w:pos="272"/>
        </w:tabs>
        <w:spacing w:before="57"/>
        <w:ind w:right="114" w:firstLine="0"/>
        <w:jc w:val="both"/>
      </w:pPr>
      <w:r>
        <w:rPr>
          <w:i/>
        </w:rPr>
        <w:t xml:space="preserve">Lurraldean modu antolatuan ezartzen direla ziurtatzeko eta balio natural nabarmenen kontserbazioa bermatzeko, Nafarroako Gobernuak erregelamenduz zehaztuko ditu, gehienez ere urtebeteko epean, energia eolikoko instalazio bat paratzeko modukoak diren edo ez diren lurzoru baimengarriak nahiz debekatuak.</w:t>
      </w:r>
      <w:r>
        <w:rPr>
          <w:i/>
        </w:rPr>
        <w:t xml:space="preserve"> </w:t>
      </w:r>
      <w:r>
        <w:rPr>
          <w:i/>
        </w:rPr>
        <w:t xml:space="preserve">Instalazioa ezin baimenduzkoa den lurzoruetan, bakarrik baimenduko dira, salbuespen gisa eta behar bezala justifikaturik, ez Ingurumen Ebaluazioari buruzko abenduaren 9ko 21/2013 Legeko I. Eranskinean ez eta II. Eranskinean ere jasorik ez daudenak.</w:t>
      </w:r>
      <w:r>
        <w:rPr>
          <w:i/>
        </w:rPr>
        <w:t xml:space="preserve"> </w:t>
      </w:r>
      <w:r>
        <w:t xml:space="preserve">Ezarritako lurzoru-kategoria desberdinak azalduko dituen mapa bat erantsiko da.</w:t>
      </w:r>
    </w:p>
    <w:p w14:paraId="28F9357C" w14:textId="77777777" w:rsidR="00386283" w:rsidRPr="00215723" w:rsidRDefault="00386283">
      <w:pPr>
        <w:pStyle w:val="Textoindependiente"/>
        <w:rPr>
          <w:lang w:val="es-ES"/>
        </w:rPr>
      </w:pPr>
    </w:p>
    <w:p w14:paraId="7B859309" w14:textId="77777777" w:rsidR="00386283" w:rsidRPr="00215723" w:rsidRDefault="00215723">
      <w:pPr>
        <w:pStyle w:val="Prrafodelista"/>
        <w:numPr>
          <w:ilvl w:val="0"/>
          <w:numId w:val="2"/>
        </w:numPr>
        <w:tabs>
          <w:tab w:val="left" w:pos="359"/>
        </w:tabs>
        <w:ind w:right="117" w:firstLine="0"/>
        <w:jc w:val="both"/>
        <w:rPr>
          <w:i/>
        </w:rPr>
      </w:pPr>
      <w:r>
        <w:rPr>
          <w:i/>
        </w:rPr>
        <w:t xml:space="preserve">Energia eolikoko instalazioetarako baimengarriak diren lurzoruak zehazterakoan, zenbait mugatze-faktore hartuko dira kontuan; besteak beste, ingurumenari eta paisaiari dagozkionak, nekazaritza-ekoizpenekoak, kultur ondarearen kontserbaziokoak, lurralde-antolamendu eta hirigintza-plangintzakoak, natur arriskuak eta lehendik dauden nahiz egitasmoetan jasota dauden azpiegituren zortasunak.</w:t>
      </w:r>
    </w:p>
    <w:p w14:paraId="4E66C950" w14:textId="77777777" w:rsidR="00386283" w:rsidRPr="00215723" w:rsidRDefault="00386283">
      <w:pPr>
        <w:pStyle w:val="Textoindependiente"/>
        <w:spacing w:before="12"/>
        <w:rPr>
          <w:i/>
          <w:sz w:val="21"/>
          <w:lang w:val="es-ES"/>
        </w:rPr>
      </w:pPr>
    </w:p>
    <w:p w14:paraId="5845E471" w14:textId="77777777" w:rsidR="00386283" w:rsidRPr="00215723" w:rsidRDefault="00215723">
      <w:pPr>
        <w:pStyle w:val="Prrafodelista"/>
        <w:numPr>
          <w:ilvl w:val="0"/>
          <w:numId w:val="2"/>
        </w:numPr>
        <w:tabs>
          <w:tab w:val="left" w:pos="412"/>
        </w:tabs>
        <w:ind w:right="116" w:firstLine="0"/>
        <w:jc w:val="both"/>
        <w:rPr>
          <w:i/>
        </w:rPr>
      </w:pPr>
      <w:r>
        <w:rPr>
          <w:i/>
        </w:rPr>
        <w:t xml:space="preserve">Haize-parkeen jabe diren enpresek lagundu beharko dute haien instalazioen gainean faunaren hilkortasunari buruz eta ingurumen arloko arrisku-egoerei buruz ingurumen eskumena duen departamentuak eginen duen jarraipenean.</w:t>
      </w:r>
      <w:r>
        <w:rPr>
          <w:i/>
        </w:rPr>
        <w:t xml:space="preserve"> </w:t>
      </w:r>
      <w:r>
        <w:rPr>
          <w:i/>
        </w:rPr>
        <w:t xml:space="preserve">Nafarroako Gobernuak erregelamenduz garatuko ditu lankidetza-formula horiek.</w:t>
      </w:r>
    </w:p>
    <w:p w14:paraId="0C59AFDA" w14:textId="77777777" w:rsidR="00386283" w:rsidRPr="00215723" w:rsidRDefault="00386283">
      <w:pPr>
        <w:pStyle w:val="Textoindependiente"/>
        <w:spacing w:before="10"/>
        <w:rPr>
          <w:i/>
          <w:sz w:val="21"/>
          <w:lang w:val="es-ES"/>
        </w:rPr>
      </w:pPr>
    </w:p>
    <w:p w14:paraId="67BBE7C7" w14:textId="77777777" w:rsidR="00386283" w:rsidRPr="00215723" w:rsidRDefault="00215723">
      <w:pPr>
        <w:ind w:left="102"/>
        <w:jc w:val="both"/>
        <w:rPr>
          <w:i/>
        </w:rPr>
      </w:pPr>
      <w:r>
        <w:rPr>
          <w:i/>
          <w:u w:val="single"/>
        </w:rPr>
        <w:t xml:space="preserve">33. artikulua.</w:t>
      </w:r>
      <w:r>
        <w:rPr>
          <w:i/>
          <w:u w:val="single"/>
        </w:rPr>
        <w:t xml:space="preserve"> </w:t>
      </w:r>
      <w:r>
        <w:rPr>
          <w:i/>
          <w:u w:val="single"/>
        </w:rPr>
        <w:t xml:space="preserve">Energia fotovoltaikoa.</w:t>
      </w:r>
    </w:p>
    <w:p w14:paraId="2EB7B63B" w14:textId="77777777" w:rsidR="00386283" w:rsidRPr="00215723" w:rsidRDefault="00386283">
      <w:pPr>
        <w:pStyle w:val="Textoindependiente"/>
        <w:spacing w:before="5"/>
        <w:rPr>
          <w:i/>
          <w:sz w:val="17"/>
          <w:lang w:val="es-ES"/>
        </w:rPr>
      </w:pPr>
    </w:p>
    <w:p w14:paraId="58D6AF5A" w14:textId="77777777" w:rsidR="00386283" w:rsidRPr="00215723" w:rsidRDefault="00215723">
      <w:pPr>
        <w:pStyle w:val="Prrafodelista"/>
        <w:numPr>
          <w:ilvl w:val="0"/>
          <w:numId w:val="1"/>
        </w:numPr>
        <w:tabs>
          <w:tab w:val="left" w:pos="318"/>
        </w:tabs>
        <w:spacing w:before="56"/>
        <w:ind w:right="115" w:firstLine="0"/>
        <w:jc w:val="both"/>
        <w:rPr>
          <w:i/>
        </w:rPr>
      </w:pPr>
      <w:r>
        <w:rPr>
          <w:i/>
        </w:rPr>
        <w:t xml:space="preserve">Eguzki-energiako instalazioak lurraldean modu antolatuan ezartzen direla ziurtatzeko eta balio natural garrantzitsuenen kontserbazioa bermatzeko, Nafarroako Gobernuak, gehienez ere urtebeteko epean eta erregelamendu bidez, ingurumenaren, hirigintzaren eta nekazaritza-ekoizpenaren alorreko eta beste edozeinetako irizpide objektiboak ezarriko ditu, non zehaztuko baitira energia fotovoltaikoko instalazioak ezartzeko baimengarriak diren nahiz debekua duten lurzoruak.</w:t>
      </w:r>
      <w:r>
        <w:rPr>
          <w:i/>
        </w:rPr>
        <w:t xml:space="preserve"> </w:t>
      </w:r>
      <w:r>
        <w:rPr>
          <w:i/>
        </w:rPr>
        <w:t xml:space="preserve">Instalazioa ezin baimenduzkoa den lurzoruetan, bakarrik baimenduko dira ez Ingurumen Ebaluazioari buruzko abenduaren 9ko 21/2013 Legeko I. Eranskinean ez eta II. Eranskinean ere jasorik ez daudenak.</w:t>
      </w:r>
      <w:r>
        <w:rPr>
          <w:i/>
        </w:rPr>
        <w:t xml:space="preserve"> </w:t>
      </w:r>
      <w:r>
        <w:rPr>
          <w:i/>
        </w:rPr>
        <w:t xml:space="preserve">Ezarritako lurzoru kategoriak azalduko dituen mapa bat erantsiko da.</w:t>
      </w:r>
    </w:p>
    <w:p w14:paraId="3F11F932" w14:textId="77777777" w:rsidR="00386283" w:rsidRPr="00215723" w:rsidRDefault="00386283">
      <w:pPr>
        <w:jc w:val="both"/>
        <w:rPr>
          <w:lang w:val="es-ES"/>
        </w:rPr>
        <w:sectPr w:rsidR="00386283" w:rsidRPr="00215723">
          <w:pgSz w:w="11910" w:h="16840"/>
          <w:pgMar w:top="1580" w:right="1580" w:bottom="280" w:left="1600" w:header="720" w:footer="720" w:gutter="0"/>
          <w:cols w:space="720"/>
        </w:sectPr>
      </w:pPr>
    </w:p>
    <w:p w14:paraId="2F91C36A" w14:textId="77777777" w:rsidR="00386283" w:rsidRPr="00215723" w:rsidRDefault="00215723">
      <w:pPr>
        <w:pStyle w:val="Prrafodelista"/>
        <w:numPr>
          <w:ilvl w:val="0"/>
          <w:numId w:val="1"/>
        </w:numPr>
        <w:tabs>
          <w:tab w:val="left" w:pos="321"/>
        </w:tabs>
        <w:spacing w:before="37"/>
        <w:ind w:right="114" w:firstLine="0"/>
        <w:jc w:val="both"/>
        <w:rPr>
          <w:i/>
        </w:rPr>
      </w:pPr>
      <w:r>
        <w:rPr>
          <w:i/>
        </w:rPr>
        <w:t xml:space="preserve">Eraikitzen diren etxebizitza babestu berrietan iturri berriztagarriko energia-instalazioak ipini beharko dira nahitaez. Baldintzak eta ehunekoak erregelamendu bidez zehaztuko dira, eta honen salbuespenak ere bai.</w:t>
      </w:r>
    </w:p>
    <w:p w14:paraId="06028198" w14:textId="77777777" w:rsidR="00386283" w:rsidRPr="00215723" w:rsidRDefault="00386283">
      <w:pPr>
        <w:pStyle w:val="Textoindependiente"/>
        <w:rPr>
          <w:i/>
          <w:lang w:val="es-ES"/>
        </w:rPr>
      </w:pPr>
    </w:p>
    <w:p w14:paraId="29324DA8" w14:textId="77777777" w:rsidR="00386283" w:rsidRPr="00215723" w:rsidRDefault="00215723">
      <w:pPr>
        <w:pStyle w:val="Prrafodelista"/>
        <w:numPr>
          <w:ilvl w:val="0"/>
          <w:numId w:val="1"/>
        </w:numPr>
        <w:tabs>
          <w:tab w:val="left" w:pos="371"/>
        </w:tabs>
        <w:ind w:right="117" w:firstLine="0"/>
        <w:jc w:val="both"/>
        <w:rPr>
          <w:i/>
        </w:rPr>
      </w:pPr>
      <w:r>
        <w:rPr>
          <w:i/>
        </w:rPr>
        <w:t xml:space="preserve">Lehendik dauden azpiegituretan kokatzen ahalko dira energia fotovoltaikoa ekoizteko instalazioak, interes orokorrekoak izan ala ez, baldin eta azpiegitura horiekin bateragarriak edo osagarriak badira”.</w:t>
      </w:r>
    </w:p>
    <w:p w14:paraId="09D9EAAB" w14:textId="77777777" w:rsidR="00386283" w:rsidRPr="00215723" w:rsidRDefault="00386283">
      <w:pPr>
        <w:pStyle w:val="Textoindependiente"/>
        <w:spacing w:before="8"/>
        <w:rPr>
          <w:i/>
          <w:sz w:val="21"/>
          <w:lang w:val="es-ES"/>
        </w:rPr>
      </w:pPr>
    </w:p>
    <w:p w14:paraId="080C6449" w14:textId="77777777" w:rsidR="00386283" w:rsidRPr="00215723" w:rsidRDefault="00215723">
      <w:pPr>
        <w:pStyle w:val="Textoindependiente"/>
        <w:spacing w:before="1" w:line="266" w:lineRule="exact"/>
        <w:ind w:left="102" w:right="117"/>
        <w:jc w:val="both"/>
      </w:pPr>
      <w:r>
        <w:t xml:space="preserve">Legean ezarritako epeak modu nabarmenean gainditu direnez aipatua bete gabe, eta aurretik azaldutakoa aintzat hartuta, honako </w:t>
      </w:r>
      <w:r>
        <w:rPr>
          <w:u w:val="single"/>
        </w:rPr>
        <w:t xml:space="preserve">ERABAKI-PROPOSAMEN</w:t>
      </w:r>
      <w:r>
        <w:t xml:space="preserve"> hau aurkezten dugu:</w:t>
      </w:r>
    </w:p>
    <w:p w14:paraId="5E7006E8" w14:textId="77777777" w:rsidR="00386283" w:rsidRPr="00215723" w:rsidRDefault="00386283">
      <w:pPr>
        <w:pStyle w:val="Textoindependiente"/>
        <w:spacing w:before="6"/>
        <w:rPr>
          <w:lang w:val="es-ES"/>
        </w:rPr>
      </w:pPr>
    </w:p>
    <w:p w14:paraId="0AC5C994" w14:textId="77777777" w:rsidR="00386283" w:rsidRPr="00215723" w:rsidRDefault="00215723">
      <w:pPr>
        <w:pStyle w:val="Ttulo1"/>
        <w:ind w:left="2986" w:right="3003"/>
        <w:jc w:val="center"/>
      </w:pPr>
    </w:p>
    <w:p w14:paraId="60D2D754" w14:textId="77777777" w:rsidR="00386283" w:rsidRPr="00215723" w:rsidRDefault="00386283">
      <w:pPr>
        <w:pStyle w:val="Textoindependiente"/>
        <w:spacing w:before="4"/>
        <w:rPr>
          <w:b/>
          <w:sz w:val="17"/>
          <w:lang w:val="es-ES"/>
        </w:rPr>
      </w:pPr>
    </w:p>
    <w:p w14:paraId="139BA3EF" w14:textId="77777777" w:rsidR="00386283" w:rsidRPr="00215723" w:rsidRDefault="00215723">
      <w:pPr>
        <w:pStyle w:val="Prrafodelista"/>
        <w:numPr>
          <w:ilvl w:val="1"/>
          <w:numId w:val="1"/>
        </w:numPr>
        <w:tabs>
          <w:tab w:val="left" w:pos="822"/>
        </w:tabs>
        <w:spacing w:before="57"/>
        <w:ind w:right="115"/>
        <w:jc w:val="both"/>
        <w:rPr>
          <w:b/>
        </w:rPr>
      </w:pPr>
      <w:r>
        <w:rPr>
          <w:b/>
        </w:rPr>
        <w:t xml:space="preserve">Nafarroako Parlamentuak Nafarroako Gobernua premiatzen du foru-lege proiektu bat aurkez dezan, Klima-aldaketari eta energia-trantsizioari buruzko Foru Legearen 31. eta 33. artikuluak betetzen ez diren bitartean deklaratze aldera eten egiten direla onura publikoa aitortzeko administrazio-prozedurak, gauzatuak Elektrizitate-sektoreari buruzko abenduaren 26ko 24/2013 Legearen 54. artikuluaren babesean eta abenduaren 1eko 1955/2000 Errege Dekretuaren babesean –zeinak arautzen baititu energia elektrikoa sortzeko instalazio elektrikoei eta horiek husteko azpiegiturei dagozkien energia elektrikoaren garraio, banaketa, merkaturatze eta hornidurarako jarduerak eta energia elektrikoko instalazioak baimentzeko prozedurak–, zeinak ebaztea Nafarroako Foru Komunitateari baitagokio.</w:t>
      </w:r>
    </w:p>
    <w:p w14:paraId="54ECC950" w14:textId="77777777" w:rsidR="00386283" w:rsidRPr="00215723" w:rsidRDefault="00386283">
      <w:pPr>
        <w:pStyle w:val="Textoindependiente"/>
        <w:rPr>
          <w:b/>
          <w:lang w:val="es-ES"/>
        </w:rPr>
      </w:pPr>
    </w:p>
    <w:p w14:paraId="1AF3D277" w14:textId="77777777" w:rsidR="00386283" w:rsidRPr="00215723" w:rsidRDefault="00215723">
      <w:pPr>
        <w:pStyle w:val="Prrafodelista"/>
        <w:numPr>
          <w:ilvl w:val="1"/>
          <w:numId w:val="1"/>
        </w:numPr>
        <w:tabs>
          <w:tab w:val="left" w:pos="822"/>
        </w:tabs>
        <w:ind w:right="117"/>
        <w:jc w:val="both"/>
        <w:rPr>
          <w:b/>
        </w:rPr>
      </w:pPr>
      <w:r>
        <w:rPr>
          <w:b/>
        </w:rPr>
        <w:t xml:space="preserve">Nafarroako Parlamentuak Nafarroako Gobernua premiatzen du, Klima-aldaketari eta energia-trantsizioari buruzko Foru Legearen 31. eta 33. artikuluak betetzen ez diren bitartean, eten ditzan lurzoru urbanizaezinetan erabilera- eta jarduera-baimenak emateko administrazio-prozedura guztiak, energia elektrikoa sortzeko instalazio elektrikoei eta horiek husteko azpiegiturei buruzkoak, kanpoan utzita energia elektrikoaren autokontsumorako instalazioak, Sektore Elektrikoari buruzko abenduaren 26ko 24/2013 Legearen 9.1.a) artikuluaren arabera.</w:t>
      </w:r>
    </w:p>
    <w:p w14:paraId="16DDCEE3" w14:textId="77777777" w:rsidR="00386283" w:rsidRPr="00215723" w:rsidRDefault="00386283">
      <w:pPr>
        <w:pStyle w:val="Textoindependiente"/>
        <w:spacing w:before="12"/>
        <w:rPr>
          <w:b/>
          <w:sz w:val="21"/>
          <w:lang w:val="es-ES"/>
        </w:rPr>
      </w:pPr>
    </w:p>
    <w:p w14:paraId="5656A205" w14:textId="77777777" w:rsidR="00386283" w:rsidRPr="00215723" w:rsidRDefault="00215723">
      <w:pPr>
        <w:pStyle w:val="Prrafodelista"/>
        <w:numPr>
          <w:ilvl w:val="1"/>
          <w:numId w:val="1"/>
        </w:numPr>
        <w:tabs>
          <w:tab w:val="left" w:pos="822"/>
        </w:tabs>
        <w:ind w:right="116"/>
        <w:jc w:val="both"/>
        <w:rPr>
          <w:b/>
        </w:rPr>
      </w:pPr>
      <w:r>
        <w:rPr>
          <w:b/>
        </w:rPr>
        <w:t xml:space="preserve">Nafarroako Parlamentuak Nafarroako Gobernua premiatzen du eskura dituen urrats politiko eta juridiko guztiak egin ditzan, Estatuaren aurrean baliarazte aldera, ministerioek (Trantsizio Ekologikorako eta Erronka Demografikorako Ministerioak) izapidetzekoak diren proiektuetan, toki-erakunde ukituen eta gai horretan eskumena duten Nafarroako Gobernuaren Departamentuen jarrera.</w:t>
      </w:r>
    </w:p>
    <w:p w14:paraId="54928590" w14:textId="77777777" w:rsidR="00386283" w:rsidRPr="00215723" w:rsidRDefault="00386283">
      <w:pPr>
        <w:pStyle w:val="Textoindependiente"/>
        <w:rPr>
          <w:b/>
          <w:lang w:val="es-ES"/>
        </w:rPr>
      </w:pPr>
    </w:p>
    <w:p w14:paraId="141AC6CC" w14:textId="77777777" w:rsidR="00386283" w:rsidRPr="00215723" w:rsidRDefault="00215723" w:rsidP="00215723">
      <w:pPr>
        <w:pStyle w:val="Textoindependiente"/>
        <w:spacing w:before="180"/>
        <w:ind w:left="851"/>
      </w:pPr>
      <w:r>
        <w:t xml:space="preserve">Iruñean, 2024ko urtarrilaren 25ean</w:t>
      </w:r>
    </w:p>
    <w:p w14:paraId="62493FA6" w14:textId="77777777" w:rsidR="00386283" w:rsidRPr="00215723" w:rsidRDefault="00386283">
      <w:pPr>
        <w:pStyle w:val="Textoindependiente"/>
        <w:rPr>
          <w:sz w:val="20"/>
          <w:lang w:val="es-ES"/>
        </w:rPr>
      </w:pPr>
    </w:p>
    <w:p w14:paraId="5196640B" w14:textId="3CA8B92A" w:rsidR="00386283" w:rsidRPr="00215723" w:rsidRDefault="00215723" w:rsidP="00215723">
      <w:pPr>
        <w:pStyle w:val="Textoindependiente"/>
        <w:spacing w:before="159" w:line="403" w:lineRule="auto"/>
        <w:ind w:left="284" w:right="3410"/>
        <w:jc w:val="center"/>
      </w:pPr>
      <w:r>
        <w:t xml:space="preserve">Foru parlamentaria:</w:t>
      </w:r>
      <w:r>
        <w:t xml:space="preserve"> </w:t>
      </w:r>
      <w:r>
        <w:t xml:space="preserve">Laura Aznal Sagasti</w:t>
      </w:r>
    </w:p>
    <w:sectPr w:rsidR="00386283" w:rsidRPr="00215723">
      <w:pgSz w:w="11910" w:h="16840"/>
      <w:pgMar w:top="136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5F93"/>
    <w:multiLevelType w:val="hybridMultilevel"/>
    <w:tmpl w:val="B5701452"/>
    <w:lvl w:ilvl="0" w:tplc="ED3E0FA2">
      <w:start w:val="1"/>
      <w:numFmt w:val="decimal"/>
      <w:lvlText w:val="%1."/>
      <w:lvlJc w:val="left"/>
      <w:pPr>
        <w:ind w:left="102" w:hanging="170"/>
        <w:jc w:val="left"/>
      </w:pPr>
      <w:rPr>
        <w:rFonts w:ascii="Calibri" w:eastAsia="Calibri" w:hAnsi="Calibri" w:cs="Calibri" w:hint="default"/>
        <w:i/>
        <w:w w:val="100"/>
        <w:sz w:val="22"/>
        <w:szCs w:val="22"/>
      </w:rPr>
    </w:lvl>
    <w:lvl w:ilvl="1" w:tplc="177661B6">
      <w:numFmt w:val="bullet"/>
      <w:lvlText w:val="•"/>
      <w:lvlJc w:val="left"/>
      <w:pPr>
        <w:ind w:left="962" w:hanging="170"/>
      </w:pPr>
      <w:rPr>
        <w:rFonts w:hint="default"/>
      </w:rPr>
    </w:lvl>
    <w:lvl w:ilvl="2" w:tplc="DF38283C">
      <w:numFmt w:val="bullet"/>
      <w:lvlText w:val="•"/>
      <w:lvlJc w:val="left"/>
      <w:pPr>
        <w:ind w:left="1825" w:hanging="170"/>
      </w:pPr>
      <w:rPr>
        <w:rFonts w:hint="default"/>
      </w:rPr>
    </w:lvl>
    <w:lvl w:ilvl="3" w:tplc="08924880">
      <w:numFmt w:val="bullet"/>
      <w:lvlText w:val="•"/>
      <w:lvlJc w:val="left"/>
      <w:pPr>
        <w:ind w:left="2687" w:hanging="170"/>
      </w:pPr>
      <w:rPr>
        <w:rFonts w:hint="default"/>
      </w:rPr>
    </w:lvl>
    <w:lvl w:ilvl="4" w:tplc="B65EECD4">
      <w:numFmt w:val="bullet"/>
      <w:lvlText w:val="•"/>
      <w:lvlJc w:val="left"/>
      <w:pPr>
        <w:ind w:left="3550" w:hanging="170"/>
      </w:pPr>
      <w:rPr>
        <w:rFonts w:hint="default"/>
      </w:rPr>
    </w:lvl>
    <w:lvl w:ilvl="5" w:tplc="3DB4B298">
      <w:numFmt w:val="bullet"/>
      <w:lvlText w:val="•"/>
      <w:lvlJc w:val="left"/>
      <w:pPr>
        <w:ind w:left="4413" w:hanging="170"/>
      </w:pPr>
      <w:rPr>
        <w:rFonts w:hint="default"/>
      </w:rPr>
    </w:lvl>
    <w:lvl w:ilvl="6" w:tplc="E9AAD886">
      <w:numFmt w:val="bullet"/>
      <w:lvlText w:val="•"/>
      <w:lvlJc w:val="left"/>
      <w:pPr>
        <w:ind w:left="5275" w:hanging="170"/>
      </w:pPr>
      <w:rPr>
        <w:rFonts w:hint="default"/>
      </w:rPr>
    </w:lvl>
    <w:lvl w:ilvl="7" w:tplc="3F588B32">
      <w:numFmt w:val="bullet"/>
      <w:lvlText w:val="•"/>
      <w:lvlJc w:val="left"/>
      <w:pPr>
        <w:ind w:left="6138" w:hanging="170"/>
      </w:pPr>
      <w:rPr>
        <w:rFonts w:hint="default"/>
      </w:rPr>
    </w:lvl>
    <w:lvl w:ilvl="8" w:tplc="61C66B26">
      <w:numFmt w:val="bullet"/>
      <w:lvlText w:val="•"/>
      <w:lvlJc w:val="left"/>
      <w:pPr>
        <w:ind w:left="7001" w:hanging="170"/>
      </w:pPr>
      <w:rPr>
        <w:rFonts w:hint="default"/>
      </w:rPr>
    </w:lvl>
  </w:abstractNum>
  <w:abstractNum w:abstractNumId="1" w15:restartNumberingAfterBreak="0">
    <w:nsid w:val="2A716A34"/>
    <w:multiLevelType w:val="hybridMultilevel"/>
    <w:tmpl w:val="54BE617A"/>
    <w:lvl w:ilvl="0" w:tplc="DB8AFE16">
      <w:numFmt w:val="bullet"/>
      <w:lvlText w:val="-"/>
      <w:lvlJc w:val="left"/>
      <w:pPr>
        <w:ind w:left="1179" w:hanging="118"/>
      </w:pPr>
      <w:rPr>
        <w:rFonts w:ascii="Calibri" w:eastAsia="Calibri" w:hAnsi="Calibri" w:cs="Calibri" w:hint="default"/>
        <w:w w:val="100"/>
        <w:sz w:val="22"/>
        <w:szCs w:val="22"/>
      </w:rPr>
    </w:lvl>
    <w:lvl w:ilvl="1" w:tplc="51FED1C6">
      <w:numFmt w:val="bullet"/>
      <w:lvlText w:val="•"/>
      <w:lvlJc w:val="left"/>
      <w:pPr>
        <w:ind w:left="2066" w:hanging="118"/>
      </w:pPr>
      <w:rPr>
        <w:rFonts w:hint="default"/>
      </w:rPr>
    </w:lvl>
    <w:lvl w:ilvl="2" w:tplc="13002F36">
      <w:numFmt w:val="bullet"/>
      <w:lvlText w:val="•"/>
      <w:lvlJc w:val="left"/>
      <w:pPr>
        <w:ind w:left="2953" w:hanging="118"/>
      </w:pPr>
      <w:rPr>
        <w:rFonts w:hint="default"/>
      </w:rPr>
    </w:lvl>
    <w:lvl w:ilvl="3" w:tplc="94342C5E">
      <w:numFmt w:val="bullet"/>
      <w:lvlText w:val="•"/>
      <w:lvlJc w:val="left"/>
      <w:pPr>
        <w:ind w:left="3839" w:hanging="118"/>
      </w:pPr>
      <w:rPr>
        <w:rFonts w:hint="default"/>
      </w:rPr>
    </w:lvl>
    <w:lvl w:ilvl="4" w:tplc="6358B402">
      <w:numFmt w:val="bullet"/>
      <w:lvlText w:val="•"/>
      <w:lvlJc w:val="left"/>
      <w:pPr>
        <w:ind w:left="4726" w:hanging="118"/>
      </w:pPr>
      <w:rPr>
        <w:rFonts w:hint="default"/>
      </w:rPr>
    </w:lvl>
    <w:lvl w:ilvl="5" w:tplc="35DE187E">
      <w:numFmt w:val="bullet"/>
      <w:lvlText w:val="•"/>
      <w:lvlJc w:val="left"/>
      <w:pPr>
        <w:ind w:left="5613" w:hanging="118"/>
      </w:pPr>
      <w:rPr>
        <w:rFonts w:hint="default"/>
      </w:rPr>
    </w:lvl>
    <w:lvl w:ilvl="6" w:tplc="F6C215A4">
      <w:numFmt w:val="bullet"/>
      <w:lvlText w:val="•"/>
      <w:lvlJc w:val="left"/>
      <w:pPr>
        <w:ind w:left="6499" w:hanging="118"/>
      </w:pPr>
      <w:rPr>
        <w:rFonts w:hint="default"/>
      </w:rPr>
    </w:lvl>
    <w:lvl w:ilvl="7" w:tplc="8E06F114">
      <w:numFmt w:val="bullet"/>
      <w:lvlText w:val="•"/>
      <w:lvlJc w:val="left"/>
      <w:pPr>
        <w:ind w:left="7386" w:hanging="118"/>
      </w:pPr>
      <w:rPr>
        <w:rFonts w:hint="default"/>
      </w:rPr>
    </w:lvl>
    <w:lvl w:ilvl="8" w:tplc="12B85CEA">
      <w:numFmt w:val="bullet"/>
      <w:lvlText w:val="•"/>
      <w:lvlJc w:val="left"/>
      <w:pPr>
        <w:ind w:left="8273" w:hanging="118"/>
      </w:pPr>
      <w:rPr>
        <w:rFonts w:hint="default"/>
      </w:rPr>
    </w:lvl>
  </w:abstractNum>
  <w:abstractNum w:abstractNumId="2" w15:restartNumberingAfterBreak="0">
    <w:nsid w:val="332A0C31"/>
    <w:multiLevelType w:val="hybridMultilevel"/>
    <w:tmpl w:val="DF52DC78"/>
    <w:lvl w:ilvl="0" w:tplc="845883A0">
      <w:start w:val="1"/>
      <w:numFmt w:val="decimal"/>
      <w:lvlText w:val="%1."/>
      <w:lvlJc w:val="left"/>
      <w:pPr>
        <w:ind w:left="102" w:hanging="216"/>
        <w:jc w:val="left"/>
      </w:pPr>
      <w:rPr>
        <w:rFonts w:ascii="Calibri" w:eastAsia="Calibri" w:hAnsi="Calibri" w:cs="Calibri" w:hint="default"/>
        <w:i/>
        <w:w w:val="100"/>
        <w:sz w:val="22"/>
        <w:szCs w:val="22"/>
      </w:rPr>
    </w:lvl>
    <w:lvl w:ilvl="1" w:tplc="0696E7AC">
      <w:start w:val="1"/>
      <w:numFmt w:val="decimal"/>
      <w:lvlText w:val="%2."/>
      <w:lvlJc w:val="left"/>
      <w:pPr>
        <w:ind w:left="822" w:hanging="360"/>
        <w:jc w:val="left"/>
      </w:pPr>
      <w:rPr>
        <w:rFonts w:ascii="Calibri" w:eastAsia="Calibri" w:hAnsi="Calibri" w:cs="Calibri" w:hint="default"/>
        <w:b/>
        <w:bCs/>
        <w:w w:val="100"/>
        <w:sz w:val="22"/>
        <w:szCs w:val="22"/>
      </w:rPr>
    </w:lvl>
    <w:lvl w:ilvl="2" w:tplc="6AE2FA22">
      <w:numFmt w:val="bullet"/>
      <w:lvlText w:val="•"/>
      <w:lvlJc w:val="left"/>
      <w:pPr>
        <w:ind w:left="1698" w:hanging="360"/>
      </w:pPr>
      <w:rPr>
        <w:rFonts w:hint="default"/>
      </w:rPr>
    </w:lvl>
    <w:lvl w:ilvl="3" w:tplc="808E36D4">
      <w:numFmt w:val="bullet"/>
      <w:lvlText w:val="•"/>
      <w:lvlJc w:val="left"/>
      <w:pPr>
        <w:ind w:left="2576" w:hanging="360"/>
      </w:pPr>
      <w:rPr>
        <w:rFonts w:hint="default"/>
      </w:rPr>
    </w:lvl>
    <w:lvl w:ilvl="4" w:tplc="E4A635E4">
      <w:numFmt w:val="bullet"/>
      <w:lvlText w:val="•"/>
      <w:lvlJc w:val="left"/>
      <w:pPr>
        <w:ind w:left="3455" w:hanging="360"/>
      </w:pPr>
      <w:rPr>
        <w:rFonts w:hint="default"/>
      </w:rPr>
    </w:lvl>
    <w:lvl w:ilvl="5" w:tplc="D1428BEC">
      <w:numFmt w:val="bullet"/>
      <w:lvlText w:val="•"/>
      <w:lvlJc w:val="left"/>
      <w:pPr>
        <w:ind w:left="4333" w:hanging="360"/>
      </w:pPr>
      <w:rPr>
        <w:rFonts w:hint="default"/>
      </w:rPr>
    </w:lvl>
    <w:lvl w:ilvl="6" w:tplc="4FCE2B0C">
      <w:numFmt w:val="bullet"/>
      <w:lvlText w:val="•"/>
      <w:lvlJc w:val="left"/>
      <w:pPr>
        <w:ind w:left="5212" w:hanging="360"/>
      </w:pPr>
      <w:rPr>
        <w:rFonts w:hint="default"/>
      </w:rPr>
    </w:lvl>
    <w:lvl w:ilvl="7" w:tplc="D8605FAE">
      <w:numFmt w:val="bullet"/>
      <w:lvlText w:val="•"/>
      <w:lvlJc w:val="left"/>
      <w:pPr>
        <w:ind w:left="6090" w:hanging="360"/>
      </w:pPr>
      <w:rPr>
        <w:rFonts w:hint="default"/>
      </w:rPr>
    </w:lvl>
    <w:lvl w:ilvl="8" w:tplc="F822CC1C">
      <w:numFmt w:val="bullet"/>
      <w:lvlText w:val="•"/>
      <w:lvlJc w:val="left"/>
      <w:pPr>
        <w:ind w:left="6969" w:hanging="360"/>
      </w:pPr>
      <w:rPr>
        <w:rFonts w:hint="default"/>
      </w:rPr>
    </w:lvl>
  </w:abstractNum>
  <w:num w:numId="1" w16cid:durableId="1320117984">
    <w:abstractNumId w:val="2"/>
  </w:num>
  <w:num w:numId="2" w16cid:durableId="1242982821">
    <w:abstractNumId w:val="0"/>
  </w:num>
  <w:num w:numId="3" w16cid:durableId="186211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386283"/>
    <w:rsid w:val="00215723"/>
    <w:rsid w:val="003862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0D54"/>
  <w15:docId w15:val="{CFB9283E-C304-4747-9B9F-638C78E7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822"/>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1307</Words>
  <Characters>7193</Characters>
  <Application>Microsoft Office Word</Application>
  <DocSecurity>0</DocSecurity>
  <Lines>59</Lines>
  <Paragraphs>16</Paragraphs>
  <ScaleCrop>false</ScaleCrop>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Aznal Sagasti, Laura</dc:creator>
  <cp:lastModifiedBy>Martin Cestao, Nerea</cp:lastModifiedBy>
  <cp:revision>2</cp:revision>
  <dcterms:created xsi:type="dcterms:W3CDTF">2024-01-26T09:06:00Z</dcterms:created>
  <dcterms:modified xsi:type="dcterms:W3CDTF">2024-01-26T08:09:00Z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Microsoft® Word para Microsoft 365</vt:lpwstr>
  </property>
  <property fmtid="{D5CDD505-2E9C-101B-9397-08002B2CF9AE}" pid="4" name="LastSaved">
    <vt:filetime>2024-01-26T00:00:00Z</vt:filetime>
  </property>
</Properties>
</file>