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A2D2" w14:textId="77777777" w:rsidR="00866BE9" w:rsidRDefault="00866BE9">
      <w:pPr>
        <w:pStyle w:val="Textoindependiente"/>
        <w:spacing w:before="10"/>
        <w:rPr>
          <w:rFonts w:ascii="Times New Roman"/>
          <w:sz w:val="26"/>
        </w:rPr>
      </w:pPr>
    </w:p>
    <w:p w14:paraId="53C43771" w14:textId="3FE5467C" w:rsidR="00866BE9" w:rsidRPr="00062027" w:rsidRDefault="00062027">
      <w:pPr>
        <w:pStyle w:val="Textoindependiente"/>
        <w:spacing w:line="367" w:lineRule="auto"/>
        <w:ind w:left="1061" w:right="398" w:firstLine="852"/>
        <w:jc w:val="both"/>
        <w:rPr>
          <w:rFonts w:asciiTheme="minorHAnsi" w:hAnsiTheme="minorHAnsi" w:cstheme="minorHAnsi"/>
          <w:lang w:val="es-ES"/>
        </w:rPr>
      </w:pPr>
      <w:r w:rsidRPr="00062027">
        <w:rPr>
          <w:rFonts w:asciiTheme="minorHAnsi" w:hAnsiTheme="minorHAnsi" w:cstheme="minorHAnsi"/>
          <w:w w:val="105"/>
          <w:lang w:val="es-ES"/>
        </w:rPr>
        <w:t>Adolfo</w:t>
      </w:r>
      <w:r w:rsidRPr="00062027">
        <w:rPr>
          <w:rFonts w:asciiTheme="minorHAnsi" w:hAnsiTheme="minorHAnsi" w:cstheme="minorHAnsi"/>
          <w:spacing w:val="-13"/>
          <w:w w:val="105"/>
          <w:lang w:val="es-ES"/>
        </w:rPr>
        <w:t xml:space="preserve"> </w:t>
      </w:r>
      <w:proofErr w:type="spellStart"/>
      <w:r w:rsidRPr="00062027">
        <w:rPr>
          <w:rFonts w:asciiTheme="minorHAnsi" w:hAnsiTheme="minorHAnsi" w:cstheme="minorHAnsi"/>
          <w:w w:val="105"/>
          <w:lang w:val="es-ES"/>
        </w:rPr>
        <w:t>Araiz</w:t>
      </w:r>
      <w:proofErr w:type="spellEnd"/>
      <w:r w:rsidRPr="00062027">
        <w:rPr>
          <w:rFonts w:asciiTheme="minorHAnsi" w:hAnsiTheme="minorHAnsi" w:cstheme="minorHAnsi"/>
          <w:spacing w:val="-13"/>
          <w:w w:val="105"/>
          <w:lang w:val="es-ES"/>
        </w:rPr>
        <w:t xml:space="preserve"> </w:t>
      </w:r>
      <w:proofErr w:type="spellStart"/>
      <w:r w:rsidRPr="00062027">
        <w:rPr>
          <w:rFonts w:asciiTheme="minorHAnsi" w:hAnsiTheme="minorHAnsi" w:cstheme="minorHAnsi"/>
          <w:w w:val="105"/>
          <w:lang w:val="es-ES"/>
        </w:rPr>
        <w:t>Flamarique</w:t>
      </w:r>
      <w:proofErr w:type="spellEnd"/>
      <w:r w:rsidRPr="00062027">
        <w:rPr>
          <w:rFonts w:asciiTheme="minorHAnsi" w:hAnsiTheme="minorHAnsi" w:cstheme="minorHAnsi"/>
          <w:w w:val="105"/>
          <w:lang w:val="es-ES"/>
        </w:rPr>
        <w:t>,</w:t>
      </w:r>
      <w:r w:rsidRPr="00062027">
        <w:rPr>
          <w:rFonts w:asciiTheme="minorHAnsi" w:hAnsiTheme="minorHAnsi" w:cstheme="minorHAnsi"/>
          <w:spacing w:val="-14"/>
          <w:w w:val="105"/>
          <w:lang w:val="es-ES"/>
        </w:rPr>
        <w:t xml:space="preserve"> </w:t>
      </w:r>
      <w:r w:rsidRPr="00062027">
        <w:rPr>
          <w:rFonts w:asciiTheme="minorHAnsi" w:hAnsiTheme="minorHAnsi" w:cstheme="minorHAnsi"/>
          <w:w w:val="105"/>
          <w:lang w:val="es-ES"/>
        </w:rPr>
        <w:t>miembro</w:t>
      </w:r>
      <w:r w:rsidRPr="00062027">
        <w:rPr>
          <w:rFonts w:asciiTheme="minorHAnsi" w:hAnsiTheme="minorHAnsi" w:cstheme="minorHAnsi"/>
          <w:spacing w:val="-17"/>
          <w:w w:val="105"/>
          <w:lang w:val="es-ES"/>
        </w:rPr>
        <w:t xml:space="preserve"> </w:t>
      </w:r>
      <w:r w:rsidRPr="00062027">
        <w:rPr>
          <w:rFonts w:asciiTheme="minorHAnsi" w:hAnsiTheme="minorHAnsi" w:cstheme="minorHAnsi"/>
          <w:w w:val="105"/>
          <w:lang w:val="es-ES"/>
        </w:rPr>
        <w:t>del</w:t>
      </w:r>
      <w:r w:rsidRPr="00062027">
        <w:rPr>
          <w:rFonts w:asciiTheme="minorHAnsi" w:hAnsiTheme="minorHAnsi" w:cstheme="minorHAnsi"/>
          <w:spacing w:val="-14"/>
          <w:w w:val="105"/>
          <w:lang w:val="es-ES"/>
        </w:rPr>
        <w:t xml:space="preserve"> </w:t>
      </w:r>
      <w:r w:rsidRPr="00062027">
        <w:rPr>
          <w:rFonts w:asciiTheme="minorHAnsi" w:hAnsiTheme="minorHAnsi" w:cstheme="minorHAnsi"/>
          <w:w w:val="105"/>
          <w:lang w:val="es-ES"/>
        </w:rPr>
        <w:t>Grupo</w:t>
      </w:r>
      <w:r w:rsidRPr="00062027">
        <w:rPr>
          <w:rFonts w:asciiTheme="minorHAnsi" w:hAnsiTheme="minorHAnsi" w:cstheme="minorHAnsi"/>
          <w:spacing w:val="-14"/>
          <w:w w:val="105"/>
          <w:lang w:val="es-ES"/>
        </w:rPr>
        <w:t xml:space="preserve"> </w:t>
      </w:r>
      <w:r w:rsidRPr="00062027">
        <w:rPr>
          <w:rFonts w:asciiTheme="minorHAnsi" w:hAnsiTheme="minorHAnsi" w:cstheme="minorHAnsi"/>
          <w:w w:val="105"/>
          <w:lang w:val="es-ES"/>
        </w:rPr>
        <w:t>Parlamentario</w:t>
      </w:r>
      <w:r w:rsidRPr="00062027">
        <w:rPr>
          <w:rFonts w:asciiTheme="minorHAnsi" w:hAnsiTheme="minorHAnsi" w:cstheme="minorHAnsi"/>
          <w:spacing w:val="-14"/>
          <w:w w:val="105"/>
          <w:lang w:val="es-ES"/>
        </w:rPr>
        <w:t xml:space="preserve"> </w:t>
      </w:r>
      <w:r w:rsidRPr="00062027">
        <w:rPr>
          <w:rFonts w:asciiTheme="minorHAnsi" w:hAnsiTheme="minorHAnsi" w:cstheme="minorHAnsi"/>
          <w:w w:val="105"/>
          <w:lang w:val="es-ES"/>
        </w:rPr>
        <w:t>EH</w:t>
      </w:r>
      <w:r w:rsidRPr="00062027">
        <w:rPr>
          <w:rFonts w:asciiTheme="minorHAnsi" w:hAnsiTheme="minorHAnsi" w:cstheme="minorHAnsi"/>
          <w:spacing w:val="-15"/>
          <w:w w:val="105"/>
          <w:lang w:val="es-ES"/>
        </w:rPr>
        <w:t xml:space="preserve"> </w:t>
      </w:r>
      <w:r w:rsidRPr="00062027">
        <w:rPr>
          <w:rFonts w:asciiTheme="minorHAnsi" w:hAnsiTheme="minorHAnsi" w:cstheme="minorHAnsi"/>
          <w:w w:val="105"/>
          <w:lang w:val="es-ES"/>
        </w:rPr>
        <w:t>Bildu Nafarroa,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ante</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la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Mesa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de</w:t>
      </w:r>
      <w:r w:rsidRPr="00062027">
        <w:rPr>
          <w:rFonts w:asciiTheme="minorHAnsi" w:hAnsiTheme="minorHAnsi" w:cstheme="minorHAnsi"/>
          <w:spacing w:val="-36"/>
          <w:w w:val="105"/>
          <w:lang w:val="es-ES"/>
        </w:rPr>
        <w:t xml:space="preserve"> </w:t>
      </w:r>
      <w:r w:rsidRPr="00062027">
        <w:rPr>
          <w:rFonts w:asciiTheme="minorHAnsi" w:hAnsiTheme="minorHAnsi" w:cstheme="minorHAnsi"/>
          <w:w w:val="105"/>
          <w:lang w:val="es-ES"/>
        </w:rPr>
        <w:t>la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Cámara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presenta</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para</w:t>
      </w:r>
      <w:r w:rsidRPr="00062027">
        <w:rPr>
          <w:rFonts w:asciiTheme="minorHAnsi" w:hAnsiTheme="minorHAnsi" w:cstheme="minorHAnsi"/>
          <w:spacing w:val="-36"/>
          <w:w w:val="105"/>
          <w:lang w:val="es-ES"/>
        </w:rPr>
        <w:t xml:space="preserve"> </w:t>
      </w:r>
      <w:r w:rsidRPr="00062027">
        <w:rPr>
          <w:rFonts w:asciiTheme="minorHAnsi" w:hAnsiTheme="minorHAnsi" w:cstheme="minorHAnsi"/>
          <w:w w:val="105"/>
          <w:lang w:val="es-ES"/>
        </w:rPr>
        <w:t>su</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tramitación</w:t>
      </w:r>
      <w:r w:rsidRPr="00062027">
        <w:rPr>
          <w:rFonts w:asciiTheme="minorHAnsi" w:hAnsiTheme="minorHAnsi" w:cstheme="minorHAnsi"/>
          <w:spacing w:val="-34"/>
          <w:w w:val="105"/>
          <w:lang w:val="es-ES"/>
        </w:rPr>
        <w:t xml:space="preserve"> </w:t>
      </w:r>
      <w:r w:rsidRPr="00062027">
        <w:rPr>
          <w:rFonts w:asciiTheme="minorHAnsi" w:hAnsiTheme="minorHAnsi" w:cstheme="minorHAnsi"/>
          <w:w w:val="105"/>
          <w:lang w:val="es-ES"/>
        </w:rPr>
        <w:t>las</w:t>
      </w:r>
      <w:r w:rsidRPr="00062027">
        <w:rPr>
          <w:rFonts w:asciiTheme="minorHAnsi" w:hAnsiTheme="minorHAnsi" w:cstheme="minorHAnsi"/>
          <w:spacing w:val="-35"/>
          <w:w w:val="105"/>
          <w:lang w:val="es-ES"/>
        </w:rPr>
        <w:t xml:space="preserve"> </w:t>
      </w:r>
      <w:r w:rsidRPr="00062027">
        <w:rPr>
          <w:rFonts w:asciiTheme="minorHAnsi" w:hAnsiTheme="minorHAnsi" w:cstheme="minorHAnsi"/>
          <w:w w:val="105"/>
          <w:lang w:val="es-ES"/>
        </w:rPr>
        <w:t xml:space="preserve">siguientes preguntas para su respuesta </w:t>
      </w:r>
      <w:r w:rsidRPr="00062027">
        <w:rPr>
          <w:rFonts w:asciiTheme="minorHAnsi" w:hAnsiTheme="minorHAnsi" w:cstheme="minorHAnsi"/>
          <w:spacing w:val="38"/>
          <w:w w:val="105"/>
          <w:lang w:val="es-ES"/>
        </w:rPr>
        <w:t>escrita</w:t>
      </w:r>
      <w:r w:rsidRPr="00062027">
        <w:rPr>
          <w:rFonts w:asciiTheme="minorHAnsi" w:hAnsiTheme="minorHAnsi" w:cstheme="minorHAnsi"/>
          <w:w w:val="105"/>
          <w:lang w:val="es-ES"/>
        </w:rPr>
        <w:t>:</w:t>
      </w:r>
    </w:p>
    <w:p w14:paraId="18B22EDD" w14:textId="77777777" w:rsidR="00866BE9" w:rsidRPr="00062027" w:rsidRDefault="00062027">
      <w:pPr>
        <w:pStyle w:val="Textoindependiente"/>
        <w:spacing w:line="360" w:lineRule="auto"/>
        <w:ind w:left="1061" w:right="395" w:firstLine="708"/>
        <w:jc w:val="both"/>
        <w:rPr>
          <w:rFonts w:asciiTheme="minorHAnsi" w:hAnsiTheme="minorHAnsi" w:cstheme="minorHAnsi"/>
          <w:lang w:val="es-ES"/>
        </w:rPr>
      </w:pPr>
      <w:r w:rsidRPr="00062027">
        <w:rPr>
          <w:rFonts w:asciiTheme="minorHAnsi" w:hAnsiTheme="minorHAnsi" w:cstheme="minorHAnsi"/>
          <w:lang w:val="es-ES"/>
        </w:rPr>
        <w:t>El Real Decreto 553/2020, de 2 de junio, por el que se regula el traslado de residuos en el interior del territorio del Estado, establece las obligaciones de notificación de los traslados de residuos entre comunidades autónomas. Además de requerirse la notificación previa entre comunidades autónomas de los traslados de residuos señalados en el artículo 5.2 de ese Real Decreto, deben de notificarse los traslados de residuos no peligrosos que se realizan en cantidades superiores a 10 toneladas mensuales.</w:t>
      </w:r>
    </w:p>
    <w:p w14:paraId="06BCA55D" w14:textId="77777777" w:rsidR="00866BE9" w:rsidRPr="00062027" w:rsidRDefault="00062027">
      <w:pPr>
        <w:pStyle w:val="Textoindependiente"/>
        <w:spacing w:before="157" w:line="360" w:lineRule="auto"/>
        <w:ind w:left="1061" w:right="397" w:firstLine="708"/>
        <w:jc w:val="both"/>
        <w:rPr>
          <w:rFonts w:asciiTheme="minorHAnsi" w:hAnsiTheme="minorHAnsi" w:cstheme="minorHAnsi"/>
          <w:lang w:val="es-ES"/>
        </w:rPr>
      </w:pPr>
      <w:r w:rsidRPr="00062027">
        <w:rPr>
          <w:rFonts w:asciiTheme="minorHAnsi" w:hAnsiTheme="minorHAnsi" w:cstheme="minorHAnsi"/>
          <w:lang w:val="es-ES"/>
        </w:rPr>
        <w:t>El Ministerio para la Transición Ecológica y Reto Demográfico ha desarrollado un procedimiento para la remisión de la Notificación Previa y de los Documentos de Identificación por parte del operador del traslado, así como para la aceptación o rechazo de los residuos por parte del gestor de destino, conforme a los artículos 6, 7 y 8 del Real Decreto 553/2020, de 2 de junio.</w:t>
      </w:r>
    </w:p>
    <w:p w14:paraId="0E20826E" w14:textId="77777777" w:rsidR="00866BE9" w:rsidRPr="00062027" w:rsidRDefault="00062027">
      <w:pPr>
        <w:pStyle w:val="Textoindependiente"/>
        <w:spacing w:before="159"/>
        <w:ind w:left="1769"/>
        <w:rPr>
          <w:rFonts w:asciiTheme="minorHAnsi" w:hAnsiTheme="minorHAnsi" w:cstheme="minorHAnsi"/>
          <w:lang w:val="es-ES"/>
        </w:rPr>
      </w:pPr>
      <w:r w:rsidRPr="00062027">
        <w:rPr>
          <w:rFonts w:asciiTheme="minorHAnsi" w:hAnsiTheme="minorHAnsi" w:cstheme="minorHAnsi"/>
          <w:lang w:val="es-ES"/>
        </w:rPr>
        <w:t>Se formulan para su respuesta por escrito las siguientes preguntas:</w:t>
      </w:r>
    </w:p>
    <w:p w14:paraId="10387ECB" w14:textId="77777777" w:rsidR="00866BE9" w:rsidRPr="00062027" w:rsidRDefault="00866BE9">
      <w:pPr>
        <w:pStyle w:val="Textoindependiente"/>
        <w:spacing w:before="4"/>
        <w:rPr>
          <w:rFonts w:asciiTheme="minorHAnsi" w:hAnsiTheme="minorHAnsi" w:cstheme="minorHAnsi"/>
          <w:lang w:val="es-ES"/>
        </w:rPr>
      </w:pPr>
    </w:p>
    <w:p w14:paraId="6264FA80" w14:textId="367F2538" w:rsidR="00866BE9" w:rsidRPr="00062027" w:rsidRDefault="00062027">
      <w:pPr>
        <w:pStyle w:val="Textoindependiente"/>
        <w:spacing w:before="1" w:line="360" w:lineRule="auto"/>
        <w:ind w:left="1061" w:right="395" w:firstLine="708"/>
        <w:jc w:val="both"/>
        <w:rPr>
          <w:rFonts w:asciiTheme="minorHAnsi" w:hAnsiTheme="minorHAnsi" w:cstheme="minorHAnsi"/>
          <w:lang w:val="es-ES"/>
        </w:rPr>
      </w:pPr>
      <w:r w:rsidRPr="00062027">
        <w:rPr>
          <w:rFonts w:asciiTheme="minorHAnsi" w:hAnsiTheme="minorHAnsi" w:cstheme="minorHAnsi"/>
          <w:lang w:val="es-ES"/>
        </w:rPr>
        <w:t>1.-</w:t>
      </w:r>
      <w:r w:rsidR="0044695D">
        <w:rPr>
          <w:rFonts w:asciiTheme="minorHAnsi" w:hAnsiTheme="minorHAnsi" w:cstheme="minorHAnsi"/>
          <w:lang w:val="es-ES"/>
        </w:rPr>
        <w:t xml:space="preserve"> </w:t>
      </w:r>
      <w:r w:rsidRPr="00062027">
        <w:rPr>
          <w:rFonts w:asciiTheme="minorHAnsi" w:hAnsiTheme="minorHAnsi" w:cstheme="minorHAnsi"/>
          <w:lang w:val="es-ES"/>
        </w:rPr>
        <w:t>¿Se dio traslado a la Comunidad Foral de Navarra en alguna ocasión, mediante el sistema “</w:t>
      </w:r>
      <w:proofErr w:type="spellStart"/>
      <w:r w:rsidRPr="00062027">
        <w:rPr>
          <w:rFonts w:asciiTheme="minorHAnsi" w:hAnsiTheme="minorHAnsi" w:cstheme="minorHAnsi"/>
          <w:lang w:val="es-ES"/>
        </w:rPr>
        <w:t>Esir</w:t>
      </w:r>
      <w:proofErr w:type="spellEnd"/>
      <w:r w:rsidRPr="00062027">
        <w:rPr>
          <w:rFonts w:asciiTheme="minorHAnsi" w:hAnsiTheme="minorHAnsi" w:cstheme="minorHAnsi"/>
          <w:lang w:val="es-ES"/>
        </w:rPr>
        <w:t>”, por parte del órgano competente de la Comunidad Autónoma del País Vasco del traslado que se iba a producir desde el Complejo Medioambiental de Gipuzkoa-fase 1 a las instalaciones de la empresa Ecofert Sansoain SL sitas en la localidad de Artajona?</w:t>
      </w:r>
    </w:p>
    <w:p w14:paraId="42841E5B" w14:textId="46C3AD62" w:rsidR="00062027" w:rsidRDefault="00062027" w:rsidP="00062027">
      <w:pPr>
        <w:pStyle w:val="Textoindependiente"/>
        <w:spacing w:before="158" w:line="360" w:lineRule="auto"/>
        <w:ind w:left="1061" w:right="397" w:firstLine="708"/>
        <w:jc w:val="both"/>
        <w:rPr>
          <w:rFonts w:asciiTheme="minorHAnsi" w:hAnsiTheme="minorHAnsi" w:cstheme="minorHAnsi"/>
          <w:lang w:val="es-ES"/>
        </w:rPr>
      </w:pPr>
      <w:r w:rsidRPr="00062027">
        <w:rPr>
          <w:rFonts w:asciiTheme="minorHAnsi" w:hAnsiTheme="minorHAnsi" w:cstheme="minorHAnsi"/>
          <w:lang w:val="es-ES"/>
        </w:rPr>
        <w:t>2.-</w:t>
      </w:r>
      <w:r w:rsidR="0044695D">
        <w:rPr>
          <w:rFonts w:asciiTheme="minorHAnsi" w:hAnsiTheme="minorHAnsi" w:cstheme="minorHAnsi"/>
          <w:lang w:val="es-ES"/>
        </w:rPr>
        <w:t xml:space="preserve"> </w:t>
      </w:r>
      <w:r w:rsidRPr="00062027">
        <w:rPr>
          <w:rFonts w:asciiTheme="minorHAnsi" w:hAnsiTheme="minorHAnsi" w:cstheme="minorHAnsi"/>
          <w:lang w:val="es-ES"/>
        </w:rPr>
        <w:t>Si se hubiera producido alguna comunicación de traslado de residuos de los señalados en la pregunta anterior ¿En cuántas ocasiones se produjeron esas notificaciones?</w:t>
      </w:r>
    </w:p>
    <w:p w14:paraId="57DE374C" w14:textId="5BDF72D9" w:rsidR="00866BE9" w:rsidRPr="00062027" w:rsidRDefault="00062027" w:rsidP="00062027">
      <w:pPr>
        <w:pStyle w:val="Textoindependiente"/>
        <w:spacing w:before="158" w:line="360" w:lineRule="auto"/>
        <w:ind w:left="1061" w:right="397" w:firstLine="708"/>
        <w:jc w:val="both"/>
        <w:rPr>
          <w:rFonts w:asciiTheme="minorHAnsi" w:hAnsiTheme="minorHAnsi" w:cstheme="minorHAnsi"/>
          <w:lang w:val="es-ES"/>
        </w:rPr>
      </w:pPr>
      <w:r w:rsidRPr="00062027">
        <w:rPr>
          <w:rFonts w:asciiTheme="minorHAnsi" w:hAnsiTheme="minorHAnsi" w:cstheme="minorHAnsi"/>
          <w:lang w:val="es-ES"/>
        </w:rPr>
        <w:t>3.-</w:t>
      </w:r>
      <w:r w:rsidR="0044695D">
        <w:rPr>
          <w:rFonts w:asciiTheme="minorHAnsi" w:hAnsiTheme="minorHAnsi" w:cstheme="minorHAnsi"/>
          <w:lang w:val="es-ES"/>
        </w:rPr>
        <w:t xml:space="preserve"> </w:t>
      </w:r>
      <w:r w:rsidRPr="00062027">
        <w:rPr>
          <w:rFonts w:asciiTheme="minorHAnsi" w:hAnsiTheme="minorHAnsi" w:cstheme="minorHAnsi"/>
          <w:lang w:val="es-ES"/>
        </w:rPr>
        <w:t>¿</w:t>
      </w:r>
      <w:r>
        <w:rPr>
          <w:rFonts w:asciiTheme="minorHAnsi" w:hAnsiTheme="minorHAnsi" w:cstheme="minorHAnsi"/>
          <w:lang w:val="es-ES"/>
        </w:rPr>
        <w:t>Q</w:t>
      </w:r>
      <w:r w:rsidRPr="00062027">
        <w:rPr>
          <w:rFonts w:asciiTheme="minorHAnsi" w:hAnsiTheme="minorHAnsi" w:cstheme="minorHAnsi"/>
          <w:lang w:val="es-ES"/>
        </w:rPr>
        <w:t>ué código LER tenían las notificaciones que se cargaban en el sistema “</w:t>
      </w:r>
      <w:proofErr w:type="spellStart"/>
      <w:r w:rsidRPr="00062027">
        <w:rPr>
          <w:rFonts w:asciiTheme="minorHAnsi" w:hAnsiTheme="minorHAnsi" w:cstheme="minorHAnsi"/>
          <w:lang w:val="es-ES"/>
        </w:rPr>
        <w:t>eSIR</w:t>
      </w:r>
      <w:proofErr w:type="spellEnd"/>
      <w:r w:rsidRPr="00062027">
        <w:rPr>
          <w:rFonts w:asciiTheme="minorHAnsi" w:hAnsiTheme="minorHAnsi" w:cstheme="minorHAnsi"/>
          <w:lang w:val="es-ES"/>
        </w:rPr>
        <w:t>” en esas notificaciones?</w:t>
      </w:r>
    </w:p>
    <w:p w14:paraId="02FC4E08" w14:textId="2645DE67" w:rsidR="00866BE9" w:rsidRPr="00062027" w:rsidRDefault="00062027">
      <w:pPr>
        <w:pStyle w:val="Textoindependiente"/>
        <w:spacing w:before="149" w:line="360" w:lineRule="auto"/>
        <w:ind w:left="101" w:right="115" w:firstLine="708"/>
        <w:jc w:val="both"/>
        <w:rPr>
          <w:rFonts w:asciiTheme="minorHAnsi" w:hAnsiTheme="minorHAnsi" w:cstheme="minorHAnsi"/>
          <w:lang w:val="es-ES"/>
        </w:rPr>
      </w:pPr>
      <w:r w:rsidRPr="00062027">
        <w:rPr>
          <w:rFonts w:asciiTheme="minorHAnsi" w:hAnsiTheme="minorHAnsi" w:cstheme="minorHAnsi"/>
          <w:lang w:val="es-ES"/>
        </w:rPr>
        <w:lastRenderedPageBreak/>
        <w:t>4.-</w:t>
      </w:r>
      <w:r w:rsidR="0044695D">
        <w:rPr>
          <w:rFonts w:asciiTheme="minorHAnsi" w:hAnsiTheme="minorHAnsi" w:cstheme="minorHAnsi"/>
          <w:lang w:val="es-ES"/>
        </w:rPr>
        <w:t xml:space="preserve"> </w:t>
      </w:r>
      <w:r w:rsidRPr="00062027">
        <w:rPr>
          <w:rFonts w:asciiTheme="minorHAnsi" w:hAnsiTheme="minorHAnsi" w:cstheme="minorHAnsi"/>
          <w:lang w:val="es-ES"/>
        </w:rPr>
        <w:t>Si se trataba de residuos con código LER 19 08 12, tratándose de uno de los denominados “código espejo” con uno peligroso, el 19 08 11* ¿por qué no se exigió, tal como como dejó claro la sentencia del Tribunal de Justicia de la Unión Europea de 28 de marzo de 2019 para los casos de códigos espejo cuya</w:t>
      </w:r>
      <w:r w:rsidRPr="00062027">
        <w:rPr>
          <w:rFonts w:asciiTheme="minorHAnsi" w:hAnsiTheme="minorHAnsi" w:cstheme="minorHAnsi"/>
          <w:spacing w:val="-35"/>
          <w:lang w:val="es-ES"/>
        </w:rPr>
        <w:t xml:space="preserve"> </w:t>
      </w:r>
      <w:r w:rsidRPr="00062027">
        <w:rPr>
          <w:rFonts w:asciiTheme="minorHAnsi" w:hAnsiTheme="minorHAnsi" w:cstheme="minorHAnsi"/>
          <w:lang w:val="es-ES"/>
        </w:rPr>
        <w:t>composición no se conoce de antemano, que se hiciera una caracterización para acreditar si contenía o ese residuo sustancias</w:t>
      </w:r>
      <w:r w:rsidRPr="00062027">
        <w:rPr>
          <w:rFonts w:asciiTheme="minorHAnsi" w:hAnsiTheme="minorHAnsi" w:cstheme="minorHAnsi"/>
          <w:spacing w:val="-4"/>
          <w:lang w:val="es-ES"/>
        </w:rPr>
        <w:t xml:space="preserve"> </w:t>
      </w:r>
      <w:r w:rsidRPr="00062027">
        <w:rPr>
          <w:rFonts w:asciiTheme="minorHAnsi" w:hAnsiTheme="minorHAnsi" w:cstheme="minorHAnsi"/>
          <w:lang w:val="es-ES"/>
        </w:rPr>
        <w:t>peligrosas?</w:t>
      </w:r>
    </w:p>
    <w:p w14:paraId="11D77F40" w14:textId="6171DAA6" w:rsidR="00866BE9" w:rsidRPr="00062027" w:rsidRDefault="00062027" w:rsidP="0044695D">
      <w:pPr>
        <w:pStyle w:val="Textoindependiente"/>
        <w:spacing w:before="157" w:line="360" w:lineRule="auto"/>
        <w:ind w:left="101" w:right="115" w:firstLine="708"/>
        <w:jc w:val="both"/>
        <w:rPr>
          <w:rFonts w:asciiTheme="minorHAnsi" w:hAnsiTheme="minorHAnsi" w:cstheme="minorHAnsi"/>
          <w:lang w:val="es-ES"/>
        </w:rPr>
      </w:pPr>
      <w:r w:rsidRPr="00062027">
        <w:rPr>
          <w:rFonts w:asciiTheme="minorHAnsi" w:hAnsiTheme="minorHAnsi" w:cstheme="minorHAnsi"/>
          <w:lang w:val="es-ES"/>
        </w:rPr>
        <w:t>5.-</w:t>
      </w:r>
      <w:r w:rsidR="0044695D">
        <w:rPr>
          <w:rFonts w:asciiTheme="minorHAnsi" w:hAnsiTheme="minorHAnsi" w:cstheme="minorHAnsi"/>
          <w:lang w:val="es-ES"/>
        </w:rPr>
        <w:t xml:space="preserve"> </w:t>
      </w:r>
      <w:r w:rsidRPr="00062027">
        <w:rPr>
          <w:rFonts w:asciiTheme="minorHAnsi" w:hAnsiTheme="minorHAnsi" w:cstheme="minorHAnsi"/>
          <w:lang w:val="es-ES"/>
        </w:rPr>
        <w:t>En alguna ocasión la Comunidad Foral de Navarra se opuso a esos traslados de residuos desde Complejo Medioambiental de Gipuzkoa-fase 1 a las instalaciones de la empresa Ecofert Sansoain SL sitas en la localidad de Artajona? ¿Por qué razones?</w:t>
      </w:r>
    </w:p>
    <w:p w14:paraId="13396C28" w14:textId="1021B8F6" w:rsidR="00866BE9" w:rsidRDefault="00062027">
      <w:pPr>
        <w:pStyle w:val="Textoindependiente"/>
        <w:spacing w:before="1"/>
        <w:ind w:left="2657"/>
        <w:rPr>
          <w:rFonts w:asciiTheme="minorHAnsi" w:hAnsiTheme="minorHAnsi" w:cstheme="minorHAnsi"/>
          <w:lang w:val="es-ES"/>
        </w:rPr>
      </w:pPr>
      <w:r w:rsidRPr="00062027">
        <w:rPr>
          <w:rFonts w:asciiTheme="minorHAnsi" w:hAnsiTheme="minorHAnsi" w:cstheme="minorHAnsi"/>
          <w:lang w:val="es-ES"/>
        </w:rPr>
        <w:t>Pamplona a 25 de enero de 2024</w:t>
      </w:r>
    </w:p>
    <w:p w14:paraId="6D0CF8E2" w14:textId="47363574" w:rsidR="0052468F" w:rsidRPr="00062027" w:rsidRDefault="0052468F">
      <w:pPr>
        <w:pStyle w:val="Textoindependiente"/>
        <w:spacing w:before="1"/>
        <w:ind w:left="2657"/>
        <w:rPr>
          <w:rFonts w:asciiTheme="minorHAnsi" w:hAnsiTheme="minorHAnsi" w:cstheme="minorHAnsi"/>
          <w:lang w:val="es-ES"/>
        </w:rPr>
      </w:pPr>
      <w:r>
        <w:rPr>
          <w:rFonts w:asciiTheme="minorHAnsi" w:hAnsiTheme="minorHAnsi" w:cstheme="minorHAnsi"/>
          <w:lang w:val="es-ES"/>
        </w:rPr>
        <w:t xml:space="preserve">El Parlamentario Foral: Adolfo </w:t>
      </w:r>
      <w:proofErr w:type="spellStart"/>
      <w:r>
        <w:rPr>
          <w:rFonts w:asciiTheme="minorHAnsi" w:hAnsiTheme="minorHAnsi" w:cstheme="minorHAnsi"/>
          <w:lang w:val="es-ES"/>
        </w:rPr>
        <w:t>Araiz</w:t>
      </w:r>
      <w:proofErr w:type="spellEnd"/>
      <w:r>
        <w:rPr>
          <w:rFonts w:asciiTheme="minorHAnsi" w:hAnsiTheme="minorHAnsi" w:cstheme="minorHAnsi"/>
          <w:lang w:val="es-ES"/>
        </w:rPr>
        <w:t xml:space="preserve"> </w:t>
      </w:r>
      <w:proofErr w:type="spellStart"/>
      <w:r>
        <w:rPr>
          <w:rFonts w:asciiTheme="minorHAnsi" w:hAnsiTheme="minorHAnsi" w:cstheme="minorHAnsi"/>
          <w:lang w:val="es-ES"/>
        </w:rPr>
        <w:t>Flamarique</w:t>
      </w:r>
      <w:proofErr w:type="spellEnd"/>
    </w:p>
    <w:sectPr w:rsidR="0052468F" w:rsidRPr="00062027" w:rsidSect="0044695D">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66BE9"/>
    <w:rsid w:val="00062027"/>
    <w:rsid w:val="0044695D"/>
    <w:rsid w:val="0052468F"/>
    <w:rsid w:val="00866B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DBE8"/>
  <w15:docId w15:val="{CFB9283E-C304-4747-9B9F-638C78E7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2024-01-26T09:00:00Z</dcterms:created>
  <dcterms:modified xsi:type="dcterms:W3CDTF">2024-01-30T10:53:00Z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LastSaved">
    <vt:filetime>2024-01-26T00:00:00Z</vt:filetime>
  </property>
</Properties>
</file>