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303D" w14:textId="77777777" w:rsidR="00951719" w:rsidRPr="00951719" w:rsidRDefault="00951719" w:rsidP="00CA3BF9">
      <w:pPr>
        <w:pStyle w:val="Style"/>
        <w:spacing w:before="100" w:beforeAutospacing="1" w:after="200" w:line="276" w:lineRule="auto"/>
        <w:ind w:right="370"/>
        <w:jc w:val="both"/>
        <w:textAlignment w:val="baseline"/>
        <w:rPr>
          <w:bCs/>
          <w:sz w:val="22"/>
          <w:szCs w:val="22"/>
          <w:rFonts w:ascii="Calibri" w:hAnsi="Calibri" w:cs="Calibri"/>
        </w:rPr>
      </w:pPr>
      <w:r>
        <w:rPr>
          <w:sz w:val="22"/>
          <w:rFonts w:ascii="Calibri" w:hAnsi="Calibri"/>
        </w:rPr>
        <w:t xml:space="preserve">24MOC-20</w:t>
      </w:r>
    </w:p>
    <w:p w14:paraId="209DAC19" w14:textId="5902A507" w:rsidR="00951719" w:rsidRDefault="00951719" w:rsidP="00CA3BF9">
      <w:pPr>
        <w:pStyle w:val="Style"/>
        <w:spacing w:before="100" w:beforeAutospacing="1" w:after="200" w:line="276" w:lineRule="auto"/>
        <w:ind w:right="379"/>
        <w:jc w:val="both"/>
        <w:textAlignment w:val="baseline"/>
        <w:rPr>
          <w:sz w:val="22"/>
          <w:szCs w:val="22"/>
          <w:rFonts w:ascii="Calibri" w:hAnsi="Calibri" w:cs="Calibri"/>
        </w:rPr>
      </w:pPr>
      <w:r>
        <w:rPr>
          <w:sz w:val="22"/>
          <w:rFonts w:ascii="Calibri" w:hAnsi="Calibri"/>
        </w:rPr>
        <w:t xml:space="preserve">EH Bildu Nafarroa talde parlamentarioko foru parlamentari Txomin González Martínezek, Legebiltzarreko Erregelamenduan ezarritakoaren babesean, honako mozio hau aurkezten du, Nafarroako Parlamentuaren Osoko Bilkuran eztabaidatu eta bozkatzeko.</w:t>
      </w:r>
      <w:r>
        <w:rPr>
          <w:sz w:val="22"/>
          <w:rFonts w:ascii="Calibri" w:hAnsi="Calibri"/>
        </w:rPr>
        <w:t xml:space="preserve"> </w:t>
      </w:r>
    </w:p>
    <w:p w14:paraId="3A28A61A" w14:textId="6F1C279C" w:rsidR="00951719" w:rsidRPr="00951719" w:rsidRDefault="00951719" w:rsidP="00CA3BF9">
      <w:pPr>
        <w:pStyle w:val="Style"/>
        <w:spacing w:before="100" w:beforeAutospacing="1" w:after="200" w:line="276" w:lineRule="auto"/>
        <w:ind w:right="370"/>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12D07ACA" w14:textId="022F8D74" w:rsidR="007E7304" w:rsidRPr="00951719" w:rsidRDefault="003E156D" w:rsidP="00CA3BF9">
      <w:pPr>
        <w:pStyle w:val="Style"/>
        <w:spacing w:before="100" w:beforeAutospacing="1" w:after="200" w:line="276" w:lineRule="auto"/>
        <w:ind w:right="374"/>
        <w:jc w:val="both"/>
        <w:textAlignment w:val="baseline"/>
        <w:rPr>
          <w:sz w:val="22"/>
          <w:szCs w:val="22"/>
          <w:rFonts w:ascii="Calibri" w:hAnsi="Calibri" w:cs="Calibri"/>
        </w:rPr>
      </w:pPr>
      <w:r>
        <w:rPr>
          <w:sz w:val="22"/>
          <w:rFonts w:ascii="Calibri" w:hAnsi="Calibri"/>
        </w:rPr>
        <w:t xml:space="preserve">Drogei eta adikzioei aurrea hartzeko III. Plana (2018-2023) 2019ko martxoaren 6an onetsi zen Nafarroako Gobernuaren erabaki baten bidez.</w:t>
      </w:r>
      <w:r>
        <w:rPr>
          <w:sz w:val="22"/>
          <w:rFonts w:ascii="Calibri" w:hAnsi="Calibri"/>
        </w:rPr>
        <w:t xml:space="preserve"> </w:t>
      </w:r>
      <w:r>
        <w:rPr>
          <w:sz w:val="22"/>
          <w:rFonts w:ascii="Calibri" w:hAnsi="Calibri"/>
        </w:rPr>
        <w:t xml:space="preserve">Plan hori, zeinak aurreko planak biltzen baitzituen, honako hauen esparruan kokatzen da: Drogen eta Toxikomanien Europako Behatokiaren 2013tik 2020ra bitarteko Plana, Adikzioei buruzko 2017tik 2024ra bitarteko Estatu-estrategia, Drogei buruzko Plan Nazionaleko Adikzioei buruzko 2018tik 2020ra bitarteko Ekintza Plana eta Nafarroako Osasun Plana nahiz gure erkidegoko bestelako plan estrategiko batzuk.</w:t>
      </w:r>
      <w:r>
        <w:rPr>
          <w:sz w:val="22"/>
          <w:rFonts w:ascii="Calibri" w:hAnsi="Calibri"/>
        </w:rPr>
        <w:t xml:space="preserve"> </w:t>
      </w:r>
    </w:p>
    <w:p w14:paraId="6303490F" w14:textId="07F844B9" w:rsidR="007E7304" w:rsidRPr="00951719" w:rsidRDefault="003E156D" w:rsidP="00CA3BF9">
      <w:pPr>
        <w:pStyle w:val="Style"/>
        <w:spacing w:before="100" w:beforeAutospacing="1" w:after="200" w:line="276" w:lineRule="auto"/>
        <w:ind w:right="370"/>
        <w:jc w:val="both"/>
        <w:textAlignment w:val="baseline"/>
        <w:rPr>
          <w:sz w:val="22"/>
          <w:szCs w:val="22"/>
          <w:rFonts w:ascii="Calibri" w:hAnsi="Calibri" w:cs="Calibri"/>
        </w:rPr>
      </w:pPr>
      <w:r>
        <w:rPr>
          <w:sz w:val="22"/>
          <w:rFonts w:ascii="Calibri" w:hAnsi="Calibri"/>
        </w:rPr>
        <w:t xml:space="preserve">Planean 3 jarduketa-arloetako bakoitzerako ebaluazio-adierazleak ezarri ziren: gobernantza, lidergoa eta koordinazioa; osasunaren sustapena eta prebentzioa; ezagutzaren sozializazioa, prestakuntza eta ikerkuntza. Planak ebaluazio jarraitua eta azken ebaluazioa planteatzen zituen, hobekuntza etengabea ahalbidetzeko eta informazio garrantzitsua eduki ahal izateko Drogei eta adikzioei aurrea hartzeko Nafarroako IV. Plana taxutzeari begira.</w:t>
      </w:r>
      <w:r>
        <w:rPr>
          <w:sz w:val="22"/>
          <w:rFonts w:ascii="Calibri" w:hAnsi="Calibri"/>
        </w:rPr>
        <w:t xml:space="preserve"> </w:t>
      </w:r>
    </w:p>
    <w:p w14:paraId="1016AEB3" w14:textId="77777777" w:rsidR="007E7304" w:rsidRPr="00951719" w:rsidRDefault="003E156D" w:rsidP="00CA3BF9">
      <w:pPr>
        <w:pStyle w:val="Style"/>
        <w:spacing w:before="100" w:beforeAutospacing="1" w:after="200" w:line="276" w:lineRule="auto"/>
        <w:ind w:right="370"/>
        <w:jc w:val="both"/>
        <w:textAlignment w:val="baseline"/>
        <w:rPr>
          <w:sz w:val="22"/>
          <w:szCs w:val="22"/>
          <w:rFonts w:ascii="Calibri" w:hAnsi="Calibri" w:cs="Calibri"/>
        </w:rPr>
      </w:pPr>
      <w:r>
        <w:rPr>
          <w:sz w:val="22"/>
          <w:rFonts w:ascii="Calibri" w:hAnsi="Calibri"/>
        </w:rPr>
        <w:t xml:space="preserve">2023ko otsailaren 16an, Nafarroako Parlamentuak aho batez onetsi zuen besteak beste honako hau jasotzen zuen mozio bat:</w:t>
      </w:r>
      <w:r>
        <w:rPr>
          <w:sz w:val="22"/>
          <w:rFonts w:ascii="Calibri" w:hAnsi="Calibri"/>
        </w:rPr>
        <w:t xml:space="preserve"> </w:t>
      </w:r>
    </w:p>
    <w:p w14:paraId="5138D23B" w14:textId="1D58D22D" w:rsidR="007E7304" w:rsidRPr="00951719" w:rsidRDefault="003E156D" w:rsidP="00CA3BF9">
      <w:pPr>
        <w:pStyle w:val="Style"/>
        <w:spacing w:before="100" w:beforeAutospacing="1" w:after="200" w:line="276" w:lineRule="auto"/>
        <w:ind w:right="379"/>
        <w:jc w:val="both"/>
        <w:textAlignment w:val="baseline"/>
        <w:rPr>
          <w:sz w:val="22"/>
          <w:szCs w:val="22"/>
          <w:rFonts w:ascii="Calibri" w:hAnsi="Calibri" w:cs="Calibri"/>
        </w:rPr>
      </w:pPr>
      <w:r>
        <w:rPr>
          <w:i/>
          <w:sz w:val="22"/>
          <w:rFonts w:ascii="Calibri" w:hAnsi="Calibri"/>
        </w:rPr>
        <w:t xml:space="preserve">1.</w:t>
      </w:r>
      <w:r>
        <w:rPr>
          <w:i/>
          <w:sz w:val="22"/>
          <w:rFonts w:ascii="Calibri" w:hAnsi="Calibri"/>
        </w:rPr>
        <w:t xml:space="preserve"> </w:t>
      </w:r>
      <w:r>
        <w:rPr>
          <w:i/>
          <w:sz w:val="22"/>
          <w:rFonts w:ascii="Calibri" w:hAnsi="Calibri"/>
        </w:rPr>
        <w:t xml:space="preserve">Droga-mendekotasunari eta adikzioei buruzko III. Plana eguneratu dezan, Nafarroako gazteriaren errealitatera egokitzeko.</w:t>
      </w:r>
      <w:r>
        <w:rPr>
          <w:i/>
          <w:sz w:val="22"/>
          <w:rFonts w:ascii="Calibri" w:hAnsi="Calibri"/>
        </w:rPr>
        <w:t xml:space="preserve"> </w:t>
      </w:r>
    </w:p>
    <w:p w14:paraId="0BE60D09" w14:textId="1425E9D4" w:rsidR="007E7304" w:rsidRPr="00951719" w:rsidRDefault="003E156D" w:rsidP="00CA3BF9">
      <w:pPr>
        <w:pStyle w:val="Style"/>
        <w:spacing w:before="100" w:beforeAutospacing="1" w:after="200" w:line="276" w:lineRule="auto"/>
        <w:ind w:right="370"/>
        <w:jc w:val="both"/>
        <w:textAlignment w:val="baseline"/>
        <w:rPr>
          <w:sz w:val="22"/>
          <w:szCs w:val="22"/>
          <w:rFonts w:ascii="Calibri" w:hAnsi="Calibri" w:cs="Calibri"/>
        </w:rPr>
      </w:pPr>
      <w:r>
        <w:rPr>
          <w:sz w:val="22"/>
          <w:rFonts w:ascii="Calibri" w:hAnsi="Calibri"/>
        </w:rPr>
        <w:t xml:space="preserve">Planaren indarraldia agortu da, eta oraindik ere ez da Drogei eta adikzioei aurrea hartzeko III. Planaren azken ebaluazioa egin, eta Drogei eta adikzioei aurrea hartzeko Nafarroako IV. Plana ez da ez gaurkotu ez onetsi ere.</w:t>
      </w:r>
      <w:r>
        <w:rPr>
          <w:sz w:val="22"/>
          <w:rFonts w:ascii="Calibri" w:hAnsi="Calibri"/>
        </w:rPr>
        <w:t xml:space="preserve"> </w:t>
      </w:r>
    </w:p>
    <w:p w14:paraId="138EBF74" w14:textId="394DA30B" w:rsidR="007E7304" w:rsidRPr="00951719" w:rsidRDefault="003E156D" w:rsidP="00CA3BF9">
      <w:pPr>
        <w:pStyle w:val="Style"/>
        <w:spacing w:before="100" w:beforeAutospacing="1" w:after="200" w:line="276" w:lineRule="auto"/>
        <w:ind w:right="365"/>
        <w:jc w:val="both"/>
        <w:textAlignment w:val="baseline"/>
        <w:rPr>
          <w:sz w:val="22"/>
          <w:szCs w:val="22"/>
          <w:rFonts w:ascii="Calibri" w:hAnsi="Calibri" w:cs="Calibri"/>
        </w:rPr>
      </w:pPr>
      <w:r>
        <w:rPr>
          <w:sz w:val="22"/>
          <w:rFonts w:ascii="Calibri" w:hAnsi="Calibri"/>
        </w:rPr>
        <w:t xml:space="preserve">Hori guztia dela-eta, honako erabaki-proposamen hau aurkezten dugu:</w:t>
      </w:r>
      <w:r>
        <w:rPr>
          <w:sz w:val="22"/>
          <w:rFonts w:ascii="Calibri" w:hAnsi="Calibri"/>
        </w:rPr>
        <w:t xml:space="preserve"> </w:t>
      </w:r>
    </w:p>
    <w:p w14:paraId="259AD4C3" w14:textId="77777777" w:rsidR="00CA3BF9" w:rsidRDefault="003E156D" w:rsidP="00CA3BF9">
      <w:pPr>
        <w:pStyle w:val="Style"/>
        <w:spacing w:before="100" w:beforeAutospacing="1" w:after="200" w:line="276" w:lineRule="auto"/>
        <w:ind w:right="365"/>
        <w:jc w:val="both"/>
        <w:textAlignment w:val="baseline"/>
        <w:rPr>
          <w:bCs/>
          <w:sz w:val="22"/>
          <w:szCs w:val="22"/>
          <w:rFonts w:ascii="Calibri" w:hAnsi="Calibri" w:cs="Calibri"/>
        </w:rPr>
      </w:pPr>
      <w:r>
        <w:rPr>
          <w:sz w:val="22"/>
          <w:rFonts w:ascii="Calibri" w:hAnsi="Calibri"/>
        </w:rPr>
        <w:t xml:space="preserve">Nafarroako Parlamentuak Nafarroako Gobernua premiatzen du:</w:t>
      </w:r>
      <w:r>
        <w:rPr>
          <w:sz w:val="22"/>
          <w:rFonts w:ascii="Calibri" w:hAnsi="Calibri"/>
        </w:rPr>
        <w:t xml:space="preserve"> </w:t>
      </w:r>
    </w:p>
    <w:p w14:paraId="2E521406" w14:textId="59323855" w:rsidR="007E7304" w:rsidRPr="00CA3BF9" w:rsidRDefault="00CA3BF9" w:rsidP="00CA3BF9">
      <w:pPr>
        <w:pStyle w:val="Style"/>
        <w:spacing w:before="100" w:beforeAutospacing="1" w:after="200" w:line="276" w:lineRule="auto"/>
        <w:ind w:right="365"/>
        <w:jc w:val="both"/>
        <w:textAlignment w:val="baseline"/>
        <w:rPr>
          <w:bCs/>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Droga-mendekotasunari buruzko III. Foru Planaren ebaluazioa gehienez ere sei hilabeteko epean egin dezan.</w:t>
      </w:r>
    </w:p>
    <w:p w14:paraId="07830A77" w14:textId="77777777" w:rsidR="00CA3BF9" w:rsidRDefault="00CA3BF9" w:rsidP="00CA3BF9">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Droga-mendekotasunari buruzko foru plan berri bat presta dezan, arlo horretako adituekin eta elkarteekin lankidetzan, osasun arlokoak nahiz hezkuntza edo gizarte zerbitzuetakoak izan.</w:t>
      </w:r>
    </w:p>
    <w:p w14:paraId="041D9721" w14:textId="0B55D2A6" w:rsidR="00CA3BF9" w:rsidRDefault="00CA3BF9" w:rsidP="00CA3BF9">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Foru plan berrian portaera-adikzioen gaineko ikuspuntua jaso dezan.</w:t>
      </w:r>
    </w:p>
    <w:p w14:paraId="1CA6CFB6" w14:textId="28033C90" w:rsidR="00CA3BF9" w:rsidRDefault="00CA3BF9" w:rsidP="00CA3BF9">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Foru plan berrian berriz ere jaso dezan laguntzaren eta gizarteratzearen esparrua, aurreko planetik kendu zena.</w:t>
      </w:r>
    </w:p>
    <w:p w14:paraId="4A6812E1" w14:textId="247C9ED1" w:rsidR="00CA3BF9" w:rsidRDefault="00CA3BF9" w:rsidP="00CA3BF9">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Planaren koordinatzailearen figura berreskura dezan, figura hori funtsezkoa baita planaren garapenean lidergoa eta zeharkakotasuna bermatzeko.</w:t>
      </w:r>
    </w:p>
    <w:p w14:paraId="50739EBE" w14:textId="0DF9A1B4" w:rsidR="00CA3BF9" w:rsidRDefault="00CA3BF9" w:rsidP="00CA3BF9">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6.</w:t>
      </w:r>
      <w:r>
        <w:rPr>
          <w:sz w:val="22"/>
          <w:rFonts w:ascii="Calibri" w:hAnsi="Calibri"/>
        </w:rPr>
        <w:t xml:space="preserve"> </w:t>
      </w:r>
      <w:r>
        <w:rPr>
          <w:sz w:val="22"/>
          <w:rFonts w:ascii="Calibri" w:hAnsi="Calibri"/>
        </w:rPr>
        <w:t xml:space="preserve">Planaren koordinazio eta jarraipen egiturak indartu ditzan.</w:t>
      </w:r>
    </w:p>
    <w:p w14:paraId="3F75E39B" w14:textId="6ABE9EFC" w:rsidR="00CA3BF9" w:rsidRDefault="00CA3BF9" w:rsidP="00CA3BF9">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7.</w:t>
      </w:r>
      <w:r>
        <w:rPr>
          <w:sz w:val="22"/>
          <w:rFonts w:ascii="Calibri" w:hAnsi="Calibri"/>
        </w:rPr>
        <w:t xml:space="preserve"> </w:t>
      </w:r>
      <w:r>
        <w:rPr>
          <w:sz w:val="22"/>
          <w:rFonts w:ascii="Calibri" w:hAnsi="Calibri"/>
        </w:rPr>
        <w:t xml:space="preserve">Droga-mendekotasunari buruzko IV. Foru Plana gehienez ere urtebeteko epean aurkez dezan Nafarroako Parlamentuan.</w:t>
      </w:r>
      <w:r>
        <w:rPr>
          <w:sz w:val="22"/>
          <w:rFonts w:ascii="Calibri" w:hAnsi="Calibri"/>
        </w:rPr>
        <w:t xml:space="preserve"> </w:t>
      </w:r>
    </w:p>
    <w:p w14:paraId="4EEF6E15" w14:textId="056DC1B8" w:rsidR="00CA3BF9" w:rsidRDefault="00CA3BF9" w:rsidP="00CA3BF9">
      <w:pPr>
        <w:pStyle w:val="Style"/>
        <w:spacing w:before="100" w:beforeAutospacing="1" w:after="200" w:line="276" w:lineRule="auto"/>
        <w:ind w:right="4344"/>
        <w:jc w:val="both"/>
        <w:textAlignment w:val="baseline"/>
        <w:rPr>
          <w:sz w:val="22"/>
          <w:szCs w:val="22"/>
          <w:rFonts w:ascii="Calibri" w:eastAsia="Arial" w:hAnsi="Calibri" w:cs="Calibri"/>
        </w:rPr>
      </w:pPr>
      <w:r>
        <w:rPr>
          <w:sz w:val="22"/>
          <w:rFonts w:ascii="Calibri" w:hAnsi="Calibri"/>
        </w:rPr>
        <w:t xml:space="preserve">Iruñean, 2024ko otsailaren 1ean</w:t>
      </w:r>
    </w:p>
    <w:p w14:paraId="49CD92B9" w14:textId="08817261" w:rsidR="00CA3BF9" w:rsidRDefault="00CA3BF9" w:rsidP="00CA3BF9">
      <w:pPr>
        <w:pStyle w:val="Style"/>
        <w:spacing w:before="100" w:beforeAutospacing="1" w:after="200" w:line="276" w:lineRule="auto"/>
        <w:ind w:right="4344"/>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Domingo González Martínez</w:t>
      </w:r>
    </w:p>
    <w:sectPr w:rsidR="00CA3BF9" w:rsidSect="00CA3BF9">
      <w:type w:val="continuous"/>
      <w:pgSz w:w="11900" w:h="16840"/>
      <w:pgMar w:top="1051" w:right="1692"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15511"/>
    <w:multiLevelType w:val="singleLevel"/>
    <w:tmpl w:val="51662DE2"/>
    <w:lvl w:ilvl="0">
      <w:start w:val="4"/>
      <w:numFmt w:val="decimal"/>
      <w:lvlText w:val="%1."/>
      <w:legacy w:legacy="1" w:legacySpace="0" w:legacyIndent="0"/>
      <w:lvlJc w:val="left"/>
      <w:rPr>
        <w:rFonts w:ascii="Arial" w:hAnsi="Arial" w:cs="Arial" w:hint="default"/>
        <w:sz w:val="21"/>
        <w:szCs w:val="21"/>
      </w:rPr>
    </w:lvl>
  </w:abstractNum>
  <w:abstractNum w:abstractNumId="1" w15:restartNumberingAfterBreak="0">
    <w:nsid w:val="2E610716"/>
    <w:multiLevelType w:val="hybridMultilevel"/>
    <w:tmpl w:val="4E5A3858"/>
    <w:lvl w:ilvl="0" w:tplc="11F2E678">
      <w:start w:val="1"/>
      <w:numFmt w:val="decimal"/>
      <w:lvlText w:val="%1."/>
      <w:lvlJc w:val="left"/>
      <w:pPr>
        <w:ind w:left="1306" w:hanging="360"/>
      </w:pPr>
      <w:rPr>
        <w:rFonts w:eastAsiaTheme="minorEastAsia" w:hint="default"/>
        <w:w w:val="141"/>
      </w:rPr>
    </w:lvl>
    <w:lvl w:ilvl="1" w:tplc="0C0A0019" w:tentative="1">
      <w:start w:val="1"/>
      <w:numFmt w:val="lowerLetter"/>
      <w:lvlText w:val="%2."/>
      <w:lvlJc w:val="left"/>
      <w:pPr>
        <w:ind w:left="2026" w:hanging="360"/>
      </w:pPr>
    </w:lvl>
    <w:lvl w:ilvl="2" w:tplc="0C0A001B" w:tentative="1">
      <w:start w:val="1"/>
      <w:numFmt w:val="lowerRoman"/>
      <w:lvlText w:val="%3."/>
      <w:lvlJc w:val="right"/>
      <w:pPr>
        <w:ind w:left="2746" w:hanging="180"/>
      </w:pPr>
    </w:lvl>
    <w:lvl w:ilvl="3" w:tplc="0C0A000F" w:tentative="1">
      <w:start w:val="1"/>
      <w:numFmt w:val="decimal"/>
      <w:lvlText w:val="%4."/>
      <w:lvlJc w:val="left"/>
      <w:pPr>
        <w:ind w:left="3466" w:hanging="360"/>
      </w:pPr>
    </w:lvl>
    <w:lvl w:ilvl="4" w:tplc="0C0A0019" w:tentative="1">
      <w:start w:val="1"/>
      <w:numFmt w:val="lowerLetter"/>
      <w:lvlText w:val="%5."/>
      <w:lvlJc w:val="left"/>
      <w:pPr>
        <w:ind w:left="4186" w:hanging="360"/>
      </w:pPr>
    </w:lvl>
    <w:lvl w:ilvl="5" w:tplc="0C0A001B" w:tentative="1">
      <w:start w:val="1"/>
      <w:numFmt w:val="lowerRoman"/>
      <w:lvlText w:val="%6."/>
      <w:lvlJc w:val="right"/>
      <w:pPr>
        <w:ind w:left="4906" w:hanging="180"/>
      </w:pPr>
    </w:lvl>
    <w:lvl w:ilvl="6" w:tplc="0C0A000F" w:tentative="1">
      <w:start w:val="1"/>
      <w:numFmt w:val="decimal"/>
      <w:lvlText w:val="%7."/>
      <w:lvlJc w:val="left"/>
      <w:pPr>
        <w:ind w:left="5626" w:hanging="360"/>
      </w:pPr>
    </w:lvl>
    <w:lvl w:ilvl="7" w:tplc="0C0A0019" w:tentative="1">
      <w:start w:val="1"/>
      <w:numFmt w:val="lowerLetter"/>
      <w:lvlText w:val="%8."/>
      <w:lvlJc w:val="left"/>
      <w:pPr>
        <w:ind w:left="6346" w:hanging="360"/>
      </w:pPr>
    </w:lvl>
    <w:lvl w:ilvl="8" w:tplc="0C0A001B" w:tentative="1">
      <w:start w:val="1"/>
      <w:numFmt w:val="lowerRoman"/>
      <w:lvlText w:val="%9."/>
      <w:lvlJc w:val="right"/>
      <w:pPr>
        <w:ind w:left="7066" w:hanging="180"/>
      </w:pPr>
    </w:lvl>
  </w:abstractNum>
  <w:abstractNum w:abstractNumId="2" w15:restartNumberingAfterBreak="0">
    <w:nsid w:val="410E04D7"/>
    <w:multiLevelType w:val="singleLevel"/>
    <w:tmpl w:val="CDC0FDEA"/>
    <w:lvl w:ilvl="0">
      <w:start w:val="3"/>
      <w:numFmt w:val="decimal"/>
      <w:lvlText w:val="%1."/>
      <w:legacy w:legacy="1" w:legacySpace="0" w:legacyIndent="0"/>
      <w:lvlJc w:val="left"/>
      <w:rPr>
        <w:rFonts w:ascii="Arial" w:hAnsi="Arial" w:cs="Arial" w:hint="default"/>
        <w:sz w:val="21"/>
        <w:szCs w:val="21"/>
      </w:rPr>
    </w:lvl>
  </w:abstractNum>
  <w:abstractNum w:abstractNumId="3" w15:restartNumberingAfterBreak="0">
    <w:nsid w:val="550A2BDA"/>
    <w:multiLevelType w:val="singleLevel"/>
    <w:tmpl w:val="F1F4D836"/>
    <w:lvl w:ilvl="0">
      <w:start w:val="6"/>
      <w:numFmt w:val="decimal"/>
      <w:lvlText w:val="%1."/>
      <w:legacy w:legacy="1" w:legacySpace="0" w:legacyIndent="0"/>
      <w:lvlJc w:val="left"/>
      <w:rPr>
        <w:rFonts w:ascii="Arial" w:hAnsi="Arial" w:cs="Arial" w:hint="default"/>
        <w:sz w:val="21"/>
        <w:szCs w:val="21"/>
      </w:rPr>
    </w:lvl>
  </w:abstractNum>
  <w:abstractNum w:abstractNumId="4" w15:restartNumberingAfterBreak="0">
    <w:nsid w:val="7B9C5239"/>
    <w:multiLevelType w:val="singleLevel"/>
    <w:tmpl w:val="152E0030"/>
    <w:lvl w:ilvl="0">
      <w:start w:val="7"/>
      <w:numFmt w:val="decimal"/>
      <w:lvlText w:val="%1."/>
      <w:legacy w:legacy="1" w:legacySpace="0" w:legacyIndent="0"/>
      <w:lvlJc w:val="left"/>
      <w:rPr>
        <w:rFonts w:ascii="Arial" w:hAnsi="Arial" w:cs="Arial" w:hint="default"/>
        <w:sz w:val="21"/>
        <w:szCs w:val="21"/>
      </w:rPr>
    </w:lvl>
  </w:abstractNum>
  <w:num w:numId="1" w16cid:durableId="1615407489">
    <w:abstractNumId w:val="2"/>
  </w:num>
  <w:num w:numId="2" w16cid:durableId="1157187791">
    <w:abstractNumId w:val="0"/>
  </w:num>
  <w:num w:numId="3" w16cid:durableId="14616930">
    <w:abstractNumId w:val="3"/>
  </w:num>
  <w:num w:numId="4" w16cid:durableId="1303072249">
    <w:abstractNumId w:val="4"/>
  </w:num>
  <w:num w:numId="5" w16cid:durableId="40942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E7304"/>
    <w:rsid w:val="003E156D"/>
    <w:rsid w:val="005A34F9"/>
    <w:rsid w:val="007E7304"/>
    <w:rsid w:val="00951719"/>
    <w:rsid w:val="00CA3B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605"/>
  <w15:docId w15:val="{DED44DA4-DB6E-4C00-9FB7-C6371054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24MOC-20</vt:lpstr>
    </vt:vector>
  </TitlesOfParts>
  <Company>HP Inc.</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24MOC-20</dc:title>
  <dc:creator>informatica</dc:creator>
  <cp:keywords>CreatedByIRIS_Readiris_17.0</cp:keywords>
  <cp:lastModifiedBy>Mauleón, Fernando</cp:lastModifiedBy>
  <cp:revision>4</cp:revision>
  <dcterms:created xsi:type="dcterms:W3CDTF">2024-02-02T08:04:00Z</dcterms:created>
  <dcterms:modified xsi:type="dcterms:W3CDTF">2024-02-02T08:16:00Z</dcterms:modified>
</cp:coreProperties>
</file>