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2768" w14:textId="7879B06F" w:rsidR="003D2416" w:rsidRPr="00CB04C5" w:rsidRDefault="003D2416" w:rsidP="00CB04C5">
      <w:pPr>
        <w:spacing w:before="100" w:beforeAutospacing="1" w:after="200" w:line="276" w:lineRule="auto"/>
        <w:ind w:left="813" w:right="0" w:firstLine="0"/>
        <w:jc w:val="left"/>
        <w:rPr>
          <w:rFonts w:ascii="Calibri" w:hAnsi="Calibri" w:cs="Calibri"/>
          <w:b/>
          <w:sz w:val="22"/>
          <w:szCs w:val="22"/>
        </w:rPr>
      </w:pPr>
    </w:p>
    <w:p w14:paraId="3EA5312E" w14:textId="77777777" w:rsidR="00492223" w:rsidRPr="00CB04C5" w:rsidRDefault="00492223" w:rsidP="00FC395B">
      <w:pPr>
        <w:spacing w:before="100" w:beforeAutospacing="1" w:after="200" w:line="276" w:lineRule="auto"/>
        <w:ind w:left="0" w:right="0" w:firstLine="0"/>
        <w:jc w:val="left"/>
        <w:rPr>
          <w:rFonts w:ascii="Calibri" w:hAnsi="Calibri" w:cs="Calibri"/>
          <w:b/>
          <w:sz w:val="22"/>
          <w:szCs w:val="22"/>
        </w:rPr>
      </w:pPr>
    </w:p>
    <w:p w14:paraId="11ECC2B6" w14:textId="4321077B" w:rsidR="00492223" w:rsidRPr="00CB04C5" w:rsidRDefault="00492223" w:rsidP="00CB04C5">
      <w:pPr>
        <w:spacing w:before="100" w:beforeAutospacing="1" w:after="200" w:line="276" w:lineRule="auto"/>
        <w:ind w:left="813" w:right="0" w:firstLine="0"/>
        <w:jc w:val="left"/>
        <w:rPr>
          <w:sz w:val="22"/>
          <w:szCs w:val="22"/>
          <w:rFonts w:ascii="Calibri" w:hAnsi="Calibri" w:cs="Calibri"/>
        </w:rPr>
      </w:pPr>
      <w:r>
        <w:rPr>
          <w:b/>
          <w:sz w:val="22"/>
          <w:rFonts w:ascii="Calibri" w:hAnsi="Calibri"/>
        </w:rPr>
        <w:t xml:space="preserve">24MOC-32</w:t>
      </w:r>
    </w:p>
    <w:p w14:paraId="5556DF80" w14:textId="4551A4F7" w:rsidR="00EB6C87"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Behean sinatzen duten talde parlamentarioek, Legebiltzarreko Erregelamenduan ezarritakoaren babesean, honako mozio hau aurkezten dute, Foru Araubideko Batzordean presaz eztabaidatu eta bozkatzeko, martxoaren 6an, asteazkenarekin:</w:t>
      </w:r>
    </w:p>
    <w:p w14:paraId="3647840B" w14:textId="68326E92" w:rsidR="00884056" w:rsidRPr="00CB04C5" w:rsidRDefault="00EB6C87" w:rsidP="00333A7F">
      <w:pPr>
        <w:spacing w:before="100" w:beforeAutospacing="1" w:after="200" w:line="276" w:lineRule="auto"/>
        <w:ind w:left="808" w:right="198"/>
        <w:rPr>
          <w:bCs/>
          <w:sz w:val="22"/>
          <w:szCs w:val="22"/>
          <w:rFonts w:ascii="Calibri" w:hAnsi="Calibri" w:cs="Calibri"/>
        </w:rPr>
      </w:pPr>
      <w:r>
        <w:rPr>
          <w:sz w:val="22"/>
          <w:rFonts w:ascii="Calibri" w:hAnsi="Calibri"/>
        </w:rPr>
        <w:t xml:space="preserve">Zioen azalpena</w:t>
      </w:r>
    </w:p>
    <w:p w14:paraId="53625A54" w14:textId="3E35F6E1" w:rsidR="003D2416"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Nafarroako Foru Komunitateari Estatuko Administrazioak trafikoaren eta ibilgailu motordunen zirkulazioaren arloan dituen zenbait eginkizun eta zerbitzu eskualdatzeari buruzko apirilaren 4ko 252/2023 Errege-dekretua deuseztatzen duen Auzitegi Goreneko Administrazioarekiko Auzien Laugarren Salaren 258/2024 zenbakiko epaia ikusita, Nafarroako Parlamentuak honako erabaki-proposamen hauek onestea proposatzen du:</w:t>
      </w:r>
    </w:p>
    <w:p w14:paraId="73F3769E" w14:textId="1F55FE02" w:rsidR="003D2416"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Parlamentua, Legebiltzarreko zerbitzu juridikoek aldeztutako interpretazioarekiko koherentziari heldurik, ez dago ados Auzitegi Gorenaren 2024ko otsailaren 15eko epaiarekin, aurka egiten dielako Foru Komunitatearen eskubide historikoei, zeinek Konstituzioaren eta LORAFNAren babesa baitute, bai eta Auzitegi Gorenaren beraren jurisprudentziak emandako babesa ere.</w:t>
      </w:r>
      <w:r>
        <w:rPr>
          <w:sz w:val="22"/>
          <w:rFonts w:ascii="Calibri" w:hAnsi="Calibri"/>
        </w:rPr>
        <w:t xml:space="preserve"> </w:t>
      </w:r>
      <w:r>
        <w:rPr>
          <w:sz w:val="22"/>
          <w:rFonts w:ascii="Calibri" w:hAnsi="Calibri"/>
        </w:rPr>
        <w:t xml:space="preserve">Ondorioz, trafikoko eta ibilgailu motordunen zirkulazioko eginkizunak eta zerbitzuak Nafarroari eskualdatzeko, egoki deritzo Errege Dekretuaren bideari.</w:t>
      </w:r>
      <w:r>
        <w:rPr>
          <w:sz w:val="22"/>
          <w:rFonts w:ascii="Calibri" w:hAnsi="Calibri"/>
        </w:rPr>
        <w:t xml:space="preserve"> </w:t>
      </w:r>
    </w:p>
    <w:p w14:paraId="38C9C2F5" w14:textId="75EF0986" w:rsidR="003D2416"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Parlamentuak beharrezkotzat jotzen du ezen, Transferentzien Batzordearen aho bateko erabakia beterik, 2023ko martxoaren 22koa, Nafarroako Foru Komunitateko Gobernuak posible diren modu guztiak azter ditzan ebazpen judizial horrek eragindako egoera leheneratzeko, eta trafikoaren nahiz ibilgailu motordunen arloan Estatuko Administrazioaren eginkizun eta zerbitzuak Nafarroako Foru Komunitateari eskualdatzea gauzatzeko, hain zuzen erabaki horretan zehaztutako moduaren arabera.</w:t>
      </w:r>
    </w:p>
    <w:p w14:paraId="5BD0B457" w14:textId="6E4D5ED3" w:rsidR="00A06441"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Nafarroako Parlamentuak berretsi egiten du Nafarroaren autogobernuarekiko konpromisoa, eta trafiko nahiz bide-segurtasunaren gaineko eskumena Nafarroari LORAFNAn aitortzen zaion eskumena dela eta Konstituzioak eskubide historiko bezala babestua dela jotzen du.</w:t>
      </w:r>
    </w:p>
    <w:p w14:paraId="4503DA8C" w14:textId="293BBC51" w:rsidR="00A06441" w:rsidRPr="00CB04C5" w:rsidRDefault="00316E58"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Iruñean, 2024ko otsailaren 29an</w:t>
      </w:r>
    </w:p>
    <w:p w14:paraId="549763F5" w14:textId="26A9EACF" w:rsidR="00333A7F" w:rsidRPr="00CB04C5" w:rsidRDefault="00EB6C87" w:rsidP="00333A7F">
      <w:pPr>
        <w:spacing w:before="100" w:beforeAutospacing="1" w:after="200" w:line="276" w:lineRule="auto"/>
        <w:ind w:left="808" w:right="198"/>
        <w:rPr>
          <w:sz w:val="22"/>
          <w:szCs w:val="22"/>
          <w:rFonts w:ascii="Calibri" w:hAnsi="Calibri" w:cs="Calibri"/>
        </w:rPr>
      </w:pPr>
      <w:r>
        <w:rPr>
          <w:sz w:val="22"/>
          <w:rFonts w:ascii="Calibri" w:hAnsi="Calibri"/>
        </w:rPr>
        <w:t xml:space="preserve">Eledunak:</w:t>
      </w:r>
      <w:r>
        <w:rPr>
          <w:sz w:val="22"/>
          <w:rFonts w:ascii="Calibri" w:hAnsi="Calibri"/>
        </w:rPr>
        <w:t xml:space="preserve"> </w:t>
      </w:r>
      <w:r>
        <w:rPr>
          <w:sz w:val="22"/>
          <w:rFonts w:ascii="Calibri" w:hAnsi="Calibri"/>
        </w:rPr>
        <w:t xml:space="preserve">Pablo Azcona Molinet, Laura Aznal Sagasti, Ramón Alzórriz Goñi, Carlos Guzmán Pérez</w:t>
      </w:r>
    </w:p>
    <w:sectPr w:rsidR="00333A7F" w:rsidRPr="00CB04C5">
      <w:pgSz w:w="11906" w:h="16838"/>
      <w:pgMar w:top="142" w:right="1207" w:bottom="2636"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2416"/>
    <w:rsid w:val="00316E58"/>
    <w:rsid w:val="0032058A"/>
    <w:rsid w:val="00333A7F"/>
    <w:rsid w:val="003D2416"/>
    <w:rsid w:val="00492223"/>
    <w:rsid w:val="00557629"/>
    <w:rsid w:val="006B216A"/>
    <w:rsid w:val="007F7503"/>
    <w:rsid w:val="0086577A"/>
    <w:rsid w:val="00884056"/>
    <w:rsid w:val="00A06441"/>
    <w:rsid w:val="00CB04C5"/>
    <w:rsid w:val="00CB5285"/>
    <w:rsid w:val="00EB6C87"/>
    <w:rsid w:val="00FC3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9358"/>
  <w15:docId w15:val="{7B72B4EA-082B-44EE-A8F6-ECE3AD8A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ind w:left="823" w:right="208"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1" w:line="259" w:lineRule="auto"/>
      <w:ind w:left="1020"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 Gárate, Ainhoa</dc:creator>
  <cp:keywords/>
  <dc:description/>
  <cp:lastModifiedBy>Mauleón, Fernando</cp:lastModifiedBy>
  <cp:revision>12</cp:revision>
  <dcterms:created xsi:type="dcterms:W3CDTF">2024-03-01T06:50:00Z</dcterms:created>
  <dcterms:modified xsi:type="dcterms:W3CDTF">2024-03-01T07:32:00Z</dcterms:modified>
</cp:coreProperties>
</file>