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C40C" w14:textId="19694A2B" w:rsidR="00B37543" w:rsidRDefault="00D77EAF" w:rsidP="00B375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Unión del </w:t>
      </w:r>
      <w:proofErr w:type="spellStart"/>
      <w:r>
        <w:rPr>
          <w:rFonts w:ascii="Arial" w:hAnsi="Arial"/>
          <w:sz w:val="24"/>
        </w:rPr>
        <w:t>Pueblo</w:t>
      </w:r>
      <w:proofErr w:type="spellEnd"/>
      <w:r>
        <w:rPr>
          <w:rFonts w:ascii="Arial" w:hAnsi="Arial"/>
          <w:sz w:val="24"/>
        </w:rPr>
        <w:t xml:space="preserve"> Navarro talde parlamentarioari atxikitako foru parlamentari Ana Elizalde Urmeneta andreak galdera egin du, idatziz erantzu</w:t>
      </w:r>
      <w:r w:rsidR="005D5F48">
        <w:rPr>
          <w:rFonts w:ascii="Arial" w:hAnsi="Arial"/>
          <w:sz w:val="24"/>
        </w:rPr>
        <w:t>tekoa</w:t>
      </w:r>
      <w:r>
        <w:rPr>
          <w:rFonts w:ascii="Arial" w:hAnsi="Arial"/>
          <w:sz w:val="24"/>
        </w:rPr>
        <w:t xml:space="preserve"> (11-23/PES-00187)</w:t>
      </w:r>
      <w:r w:rsidR="005D5F48">
        <w:rPr>
          <w:rFonts w:ascii="Arial" w:hAnsi="Arial"/>
          <w:sz w:val="24"/>
        </w:rPr>
        <w:t>, honakoei buruz</w:t>
      </w:r>
      <w:r>
        <w:rPr>
          <w:rFonts w:ascii="Arial" w:hAnsi="Arial"/>
          <w:sz w:val="24"/>
        </w:rPr>
        <w:t xml:space="preserve">: </w:t>
      </w:r>
    </w:p>
    <w:p w14:paraId="4136E630" w14:textId="5D61ADBA" w:rsidR="00B37543" w:rsidRPr="000D574A" w:rsidRDefault="000D574A" w:rsidP="000D574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</w:t>
      </w:r>
      <w:r w:rsidRPr="000D574A">
        <w:rPr>
          <w:rFonts w:ascii="Arial" w:hAnsi="Arial"/>
          <w:sz w:val="24"/>
        </w:rPr>
        <w:t>eialdi honetan oinarriturik eskatutako eta emandako laguntzen kopurua.</w:t>
      </w:r>
    </w:p>
    <w:p w14:paraId="72299394" w14:textId="77777777" w:rsidR="00B37543" w:rsidRDefault="00B37543" w:rsidP="00B3754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Langile autonomo laguntzailearen figurari buruzko eskabide aurkeztu eta onartuen kopurua.</w:t>
      </w:r>
    </w:p>
    <w:p w14:paraId="400F944B" w14:textId="77777777" w:rsidR="00B37543" w:rsidRDefault="00B37543" w:rsidP="00B3754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Itzulketa-eskabideen kopurua, langile autonomo laguntzaileen kasuan, bai eta itzultzeko eskariaren arrazoiak ere.</w:t>
      </w:r>
    </w:p>
    <w:p w14:paraId="30B8E115" w14:textId="77777777" w:rsidR="00B37543" w:rsidRDefault="00B37543" w:rsidP="00B3754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9FA251" w14:textId="77777777" w:rsidR="00B37543" w:rsidRDefault="00D77EAF" w:rsidP="00B375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Honako honen berri ematen dut:</w:t>
      </w:r>
    </w:p>
    <w:p w14:paraId="6A22E666" w14:textId="77777777" w:rsidR="00711A5A" w:rsidRPr="00B37543" w:rsidRDefault="00711A5A" w:rsidP="00B375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EDC340" w14:textId="77777777" w:rsidR="00711A5A" w:rsidRPr="00711A5A" w:rsidRDefault="00FB159B" w:rsidP="00D77EAF">
      <w:pPr>
        <w:keepLines/>
        <w:widowControl w:val="0"/>
        <w:spacing w:line="360" w:lineRule="auto"/>
        <w:ind w:left="11"/>
        <w:jc w:val="both"/>
        <w:rPr>
          <w:rFonts w:ascii="Arial" w:hAnsi="Arial" w:cs="Arial"/>
          <w:sz w:val="24"/>
          <w:szCs w:val="24"/>
        </w:rPr>
      </w:pPr>
      <w:hyperlink r:id="rId7" w:history="1">
        <w:r w:rsidR="00711A5A">
          <w:rPr>
            <w:rStyle w:val="Hipervnculo"/>
            <w:rFonts w:ascii="Arial" w:hAnsi="Arial"/>
            <w:sz w:val="24"/>
          </w:rPr>
          <w:t xml:space="preserve">Garapen Ekonomiko eta </w:t>
        </w:r>
        <w:proofErr w:type="spellStart"/>
        <w:r w:rsidR="00711A5A">
          <w:rPr>
            <w:rStyle w:val="Hipervnculo"/>
            <w:rFonts w:ascii="Arial" w:hAnsi="Arial"/>
            <w:sz w:val="24"/>
          </w:rPr>
          <w:t>Enpresarialeko</w:t>
        </w:r>
        <w:proofErr w:type="spellEnd"/>
        <w:r w:rsidR="00711A5A">
          <w:rPr>
            <w:rStyle w:val="Hipervnculo"/>
            <w:rFonts w:ascii="Arial" w:hAnsi="Arial"/>
            <w:sz w:val="24"/>
          </w:rPr>
          <w:t xml:space="preserve"> kontseilariaren maiatzaren 13ko 17/2020</w:t>
        </w:r>
      </w:hyperlink>
      <w:r w:rsidR="00711A5A">
        <w:t xml:space="preserve"> Foru Aginduaren bitartez prozedura bat ezarri zen, apirilaren 15eko 3/2020 Foru Lege-dekretuan langile autonomoentzat ezartzen diren laguntzak ematekoa. Foru Lege-dekretu hori aho batez </w:t>
      </w:r>
      <w:proofErr w:type="spellStart"/>
      <w:r w:rsidR="00711A5A">
        <w:t>onetsia</w:t>
      </w:r>
      <w:proofErr w:type="spellEnd"/>
      <w:r w:rsidR="00711A5A">
        <w:t xml:space="preserve"> izan zen Nafarroako Parlamentuan, eta horren bidez premiazko neurriak onetsi ziren, COVID-19 </w:t>
      </w:r>
      <w:proofErr w:type="spellStart"/>
      <w:r w:rsidR="00711A5A">
        <w:t>koronabirusaren</w:t>
      </w:r>
      <w:proofErr w:type="spellEnd"/>
      <w:r w:rsidR="00711A5A">
        <w:t xml:space="preserve"> osasun-krisiak eragindako inpaktuari erantzutekoak (108. NAO, 2020ko maiatzaren 21ekoa),</w:t>
      </w:r>
    </w:p>
    <w:p w14:paraId="5768532D" w14:textId="77777777" w:rsidR="00711A5A" w:rsidRPr="00711A5A" w:rsidRDefault="00711A5A" w:rsidP="00D77EAF">
      <w:pPr>
        <w:keepLines/>
        <w:widowControl w:val="0"/>
        <w:spacing w:line="360" w:lineRule="auto"/>
        <w:ind w:left="11"/>
        <w:jc w:val="both"/>
        <w:rPr>
          <w:rFonts w:ascii="Arial" w:hAnsi="Arial" w:cs="Arial"/>
          <w:sz w:val="24"/>
          <w:szCs w:val="24"/>
        </w:rPr>
      </w:pPr>
    </w:p>
    <w:p w14:paraId="584BD8E3" w14:textId="77777777" w:rsidR="00711A5A" w:rsidRPr="00711A5A" w:rsidRDefault="00711A5A" w:rsidP="00D77EAF">
      <w:pPr>
        <w:keepLines/>
        <w:widowControl w:val="0"/>
        <w:spacing w:line="360" w:lineRule="auto"/>
        <w:ind w:lef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Aipatu laguntzak bi motakoak ziren, eta 3 zenbateko posiblekoak:</w:t>
      </w:r>
    </w:p>
    <w:p w14:paraId="70CC59BF" w14:textId="77777777" w:rsidR="00711A5A" w:rsidRPr="00711A5A" w:rsidRDefault="00711A5A" w:rsidP="00D77EAF">
      <w:pPr>
        <w:keepLines/>
        <w:widowControl w:val="0"/>
        <w:spacing w:line="360" w:lineRule="auto"/>
        <w:ind w:left="11"/>
        <w:jc w:val="both"/>
        <w:rPr>
          <w:rFonts w:ascii="Arial" w:hAnsi="Arial" w:cs="Arial"/>
          <w:sz w:val="24"/>
          <w:szCs w:val="24"/>
        </w:rPr>
      </w:pPr>
    </w:p>
    <w:p w14:paraId="6A9BFA0E" w14:textId="77777777" w:rsidR="00711A5A" w:rsidRPr="00711A5A" w:rsidRDefault="00711A5A" w:rsidP="00D77EAF">
      <w:pPr>
        <w:pStyle w:val="Prrafodelista"/>
        <w:keepLines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2.200 euroko laguntza, martxoaren 17ko 8/2020 Errege Lege-dekretuak, COVID-19aren inpaktu ekonomiko eta sozialari aurre egiteko neurri urgente eta bereziei buruzkoak, 17. artikuluan arauturiko prestazio berezia aitortua izan </w:t>
      </w:r>
      <w:proofErr w:type="spellStart"/>
      <w:r>
        <w:rPr>
          <w:rFonts w:ascii="Arial" w:hAnsi="Arial"/>
          <w:sz w:val="24"/>
        </w:rPr>
        <w:t>zaienentzakoa</w:t>
      </w:r>
      <w:proofErr w:type="spellEnd"/>
      <w:r>
        <w:rPr>
          <w:rFonts w:ascii="Arial" w:hAnsi="Arial"/>
          <w:sz w:val="24"/>
        </w:rPr>
        <w:t>.</w:t>
      </w:r>
    </w:p>
    <w:p w14:paraId="7CD4ED15" w14:textId="77777777" w:rsidR="00711A5A" w:rsidRPr="00711A5A" w:rsidRDefault="00711A5A" w:rsidP="00D77EAF">
      <w:pPr>
        <w:pStyle w:val="Prrafodelista"/>
        <w:keepLines/>
        <w:widowControl w:val="0"/>
        <w:spacing w:line="360" w:lineRule="auto"/>
        <w:ind w:left="371"/>
        <w:jc w:val="both"/>
        <w:rPr>
          <w:rFonts w:ascii="Arial" w:hAnsi="Arial" w:cs="Arial"/>
          <w:sz w:val="24"/>
          <w:szCs w:val="24"/>
        </w:rPr>
      </w:pPr>
    </w:p>
    <w:p w14:paraId="0F984474" w14:textId="77777777" w:rsidR="00711A5A" w:rsidRPr="00711A5A" w:rsidRDefault="00711A5A" w:rsidP="00D77EAF">
      <w:pPr>
        <w:pStyle w:val="Prrafodelista"/>
        <w:keepLines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700 euroko laguntza, aipatu prestazio berezia lortu ez, eta foru agindu horretako 2. artikuluko 2.1.2. apartatuko b) letran zehazturiko epeetan osasun-krisia dela-eta gutxienez ehuneko 30eko fakturazio-murrizketa pairatu </w:t>
      </w:r>
      <w:proofErr w:type="spellStart"/>
      <w:r>
        <w:rPr>
          <w:rFonts w:ascii="Arial" w:hAnsi="Arial"/>
          <w:sz w:val="24"/>
        </w:rPr>
        <w:t>dutenentzakoa</w:t>
      </w:r>
      <w:proofErr w:type="spellEnd"/>
      <w:r>
        <w:rPr>
          <w:rFonts w:ascii="Arial" w:hAnsi="Arial"/>
          <w:sz w:val="24"/>
        </w:rPr>
        <w:t>.</w:t>
      </w:r>
    </w:p>
    <w:p w14:paraId="5F86D980" w14:textId="77777777" w:rsidR="00711A5A" w:rsidRPr="00711A5A" w:rsidRDefault="00711A5A" w:rsidP="00D77EAF">
      <w:pPr>
        <w:keepLines/>
        <w:widowControl w:val="0"/>
        <w:spacing w:line="360" w:lineRule="auto"/>
        <w:ind w:left="371" w:firstLine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Nolanahi ere, laguntza hori 800 eurorainokoa izan zitekeen, eskatzailea zein familia-unitatetakoa den, unitate horren kide guztien errendimendu garbien baturaren arabera, foru-aginduaren 3.2 artikuluan adierazten zen bezala.</w:t>
      </w:r>
    </w:p>
    <w:p w14:paraId="5352E8A7" w14:textId="77777777" w:rsidR="00711A5A" w:rsidRPr="00711A5A" w:rsidRDefault="00711A5A" w:rsidP="00D77EAF">
      <w:pPr>
        <w:keepLines/>
        <w:widowControl w:val="0"/>
        <w:spacing w:line="360" w:lineRule="auto"/>
        <w:ind w:left="11"/>
        <w:jc w:val="both"/>
        <w:rPr>
          <w:rFonts w:ascii="Arial" w:hAnsi="Arial" w:cs="Arial"/>
          <w:sz w:val="24"/>
          <w:szCs w:val="24"/>
        </w:rPr>
      </w:pPr>
    </w:p>
    <w:p w14:paraId="2EB430C0" w14:textId="77777777" w:rsidR="00711A5A" w:rsidRPr="00711A5A" w:rsidRDefault="00711A5A" w:rsidP="00D77EAF">
      <w:pPr>
        <w:keepLines/>
        <w:widowControl w:val="0"/>
        <w:spacing w:line="360" w:lineRule="auto"/>
        <w:ind w:lef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Egoera presakoa izateagatik, laguntza horiek aurretiazko kontu-hartzetik salbuetsita zeudela deklaratu zen, eta horrenbestez, Ekonomia eta Ogasun Departamentuko Finantza Kontrol Iraunkorrerako eta Auditoretzako Zerbitzuak a posteriori eginiko kontrolari lotuta geratu ziren.</w:t>
      </w:r>
    </w:p>
    <w:p w14:paraId="51BF06AC" w14:textId="77777777" w:rsidR="00711A5A" w:rsidRPr="00711A5A" w:rsidRDefault="00711A5A" w:rsidP="00271902">
      <w:pPr>
        <w:keepLines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6FD4EB" w14:textId="77777777" w:rsidR="00711A5A" w:rsidRPr="00711A5A" w:rsidRDefault="00711A5A" w:rsidP="00D77EAF">
      <w:pPr>
        <w:keepLines/>
        <w:widowControl w:val="0"/>
        <w:spacing w:line="360" w:lineRule="auto"/>
        <w:ind w:left="1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sz w:val="24"/>
        </w:rPr>
        <w:t>Enpresa Politikaren, Nazioarteko Proiekzioaren eta Lanaren zuzendari nagusiaren 16 ebazpenen bitartez, zeinak 2020ko ekainetik irailera bitartean sinatu baitziren, onartu eta ordaindu ziren laguntzak.</w:t>
      </w:r>
    </w:p>
    <w:tbl>
      <w:tblPr>
        <w:tblStyle w:val="Tablaconcuadrcula"/>
        <w:tblpPr w:leftFromText="141" w:rightFromText="141" w:vertAnchor="text" w:horzAnchor="margin" w:tblpY="182"/>
        <w:tblW w:w="8426" w:type="dxa"/>
        <w:tblLook w:val="04A0" w:firstRow="1" w:lastRow="0" w:firstColumn="1" w:lastColumn="0" w:noHBand="0" w:noVBand="1"/>
      </w:tblPr>
      <w:tblGrid>
        <w:gridCol w:w="3125"/>
        <w:gridCol w:w="1281"/>
        <w:gridCol w:w="1281"/>
        <w:gridCol w:w="1418"/>
        <w:gridCol w:w="1418"/>
      </w:tblGrid>
      <w:tr w:rsidR="00711A5A" w:rsidRPr="00711A5A" w14:paraId="1AA2ABF2" w14:textId="77777777" w:rsidTr="00B847E1">
        <w:trPr>
          <w:trHeight w:val="322"/>
        </w:trPr>
        <w:tc>
          <w:tcPr>
            <w:tcW w:w="3125" w:type="dxa"/>
            <w:noWrap/>
            <w:vAlign w:val="center"/>
            <w:hideMark/>
          </w:tcPr>
          <w:p w14:paraId="65480C71" w14:textId="77777777" w:rsidR="00711A5A" w:rsidRPr="00711A5A" w:rsidRDefault="00711A5A" w:rsidP="00711A5A">
            <w:pPr>
              <w:keepNext/>
              <w:keepLines/>
              <w:widowControl w:val="0"/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Onartutako laguntzaren zenbatekoa</w:t>
            </w:r>
          </w:p>
        </w:tc>
        <w:tc>
          <w:tcPr>
            <w:tcW w:w="1281" w:type="dxa"/>
            <w:noWrap/>
            <w:vAlign w:val="center"/>
            <w:hideMark/>
          </w:tcPr>
          <w:p w14:paraId="1812396C" w14:textId="77777777" w:rsidR="00711A5A" w:rsidRPr="00711A5A" w:rsidRDefault="00711A5A" w:rsidP="00711A5A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700</w:t>
            </w:r>
          </w:p>
        </w:tc>
        <w:tc>
          <w:tcPr>
            <w:tcW w:w="1281" w:type="dxa"/>
            <w:noWrap/>
            <w:vAlign w:val="center"/>
            <w:hideMark/>
          </w:tcPr>
          <w:p w14:paraId="0E31AD11" w14:textId="77777777" w:rsidR="00711A5A" w:rsidRPr="00711A5A" w:rsidRDefault="00711A5A" w:rsidP="00711A5A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800</w:t>
            </w:r>
          </w:p>
        </w:tc>
        <w:tc>
          <w:tcPr>
            <w:tcW w:w="1368" w:type="dxa"/>
            <w:noWrap/>
            <w:vAlign w:val="center"/>
            <w:hideMark/>
          </w:tcPr>
          <w:p w14:paraId="22C92DEF" w14:textId="77777777" w:rsidR="00711A5A" w:rsidRPr="00711A5A" w:rsidRDefault="00711A5A" w:rsidP="00711A5A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2.200</w:t>
            </w:r>
          </w:p>
        </w:tc>
        <w:tc>
          <w:tcPr>
            <w:tcW w:w="1371" w:type="dxa"/>
            <w:noWrap/>
            <w:vAlign w:val="center"/>
            <w:hideMark/>
          </w:tcPr>
          <w:p w14:paraId="1AF3EB9D" w14:textId="77777777" w:rsidR="00711A5A" w:rsidRPr="00711A5A" w:rsidRDefault="00711A5A" w:rsidP="00711A5A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GUZTIRA</w:t>
            </w:r>
          </w:p>
        </w:tc>
      </w:tr>
      <w:tr w:rsidR="00711A5A" w:rsidRPr="00711A5A" w14:paraId="50BA6C3D" w14:textId="77777777" w:rsidTr="00B847E1">
        <w:trPr>
          <w:trHeight w:val="322"/>
        </w:trPr>
        <w:tc>
          <w:tcPr>
            <w:tcW w:w="3125" w:type="dxa"/>
            <w:noWrap/>
            <w:vAlign w:val="center"/>
            <w:hideMark/>
          </w:tcPr>
          <w:p w14:paraId="6DAB2872" w14:textId="77777777" w:rsidR="00711A5A" w:rsidRPr="00711A5A" w:rsidRDefault="00711A5A" w:rsidP="00711A5A">
            <w:pPr>
              <w:keepNext/>
              <w:keepLines/>
              <w:widowControl w:val="0"/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Onuradunak</w:t>
            </w:r>
          </w:p>
        </w:tc>
        <w:tc>
          <w:tcPr>
            <w:tcW w:w="1281" w:type="dxa"/>
            <w:noWrap/>
            <w:vAlign w:val="center"/>
            <w:hideMark/>
          </w:tcPr>
          <w:p w14:paraId="5A3B8CD5" w14:textId="77777777" w:rsidR="00711A5A" w:rsidRPr="00711A5A" w:rsidRDefault="00711A5A" w:rsidP="00711A5A">
            <w:pPr>
              <w:keepNext/>
              <w:keepLines/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403</w:t>
            </w:r>
          </w:p>
        </w:tc>
        <w:tc>
          <w:tcPr>
            <w:tcW w:w="1281" w:type="dxa"/>
            <w:noWrap/>
            <w:vAlign w:val="center"/>
            <w:hideMark/>
          </w:tcPr>
          <w:p w14:paraId="3996A51D" w14:textId="77777777" w:rsidR="00711A5A" w:rsidRPr="00711A5A" w:rsidRDefault="00711A5A" w:rsidP="00711A5A">
            <w:pPr>
              <w:keepNext/>
              <w:keepLines/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314</w:t>
            </w:r>
          </w:p>
        </w:tc>
        <w:tc>
          <w:tcPr>
            <w:tcW w:w="1368" w:type="dxa"/>
            <w:noWrap/>
            <w:vAlign w:val="center"/>
            <w:hideMark/>
          </w:tcPr>
          <w:p w14:paraId="63492C4A" w14:textId="77777777" w:rsidR="00711A5A" w:rsidRPr="00711A5A" w:rsidRDefault="00711A5A" w:rsidP="00711A5A">
            <w:pPr>
              <w:keepNext/>
              <w:keepLines/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10.640</w:t>
            </w:r>
          </w:p>
        </w:tc>
        <w:tc>
          <w:tcPr>
            <w:tcW w:w="1371" w:type="dxa"/>
            <w:noWrap/>
            <w:vAlign w:val="center"/>
            <w:hideMark/>
          </w:tcPr>
          <w:p w14:paraId="0934FC29" w14:textId="77777777" w:rsidR="00711A5A" w:rsidRPr="00711A5A" w:rsidRDefault="00711A5A" w:rsidP="00711A5A">
            <w:pPr>
              <w:keepNext/>
              <w:keepLines/>
              <w:widowControl w:val="0"/>
              <w:spacing w:line="36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11.357</w:t>
            </w:r>
          </w:p>
        </w:tc>
      </w:tr>
      <w:tr w:rsidR="00711A5A" w:rsidRPr="00711A5A" w14:paraId="5471D5BD" w14:textId="77777777" w:rsidTr="00B847E1">
        <w:trPr>
          <w:trHeight w:val="322"/>
        </w:trPr>
        <w:tc>
          <w:tcPr>
            <w:tcW w:w="3125" w:type="dxa"/>
            <w:noWrap/>
            <w:vAlign w:val="center"/>
            <w:hideMark/>
          </w:tcPr>
          <w:p w14:paraId="1AD7349B" w14:textId="77777777" w:rsidR="00711A5A" w:rsidRPr="00711A5A" w:rsidRDefault="00711A5A" w:rsidP="00711A5A">
            <w:pPr>
              <w:keepNext/>
              <w:keepLines/>
              <w:widowControl w:val="0"/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Guztizko zenbatekoa, eurotan</w:t>
            </w:r>
          </w:p>
        </w:tc>
        <w:tc>
          <w:tcPr>
            <w:tcW w:w="1281" w:type="dxa"/>
            <w:noWrap/>
            <w:vAlign w:val="center"/>
            <w:hideMark/>
          </w:tcPr>
          <w:p w14:paraId="4D09ECFC" w14:textId="77777777" w:rsidR="00711A5A" w:rsidRPr="00711A5A" w:rsidRDefault="00711A5A" w:rsidP="00711A5A">
            <w:pPr>
              <w:keepNext/>
              <w:keepLines/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282.100</w:t>
            </w:r>
          </w:p>
        </w:tc>
        <w:tc>
          <w:tcPr>
            <w:tcW w:w="1281" w:type="dxa"/>
            <w:noWrap/>
            <w:vAlign w:val="center"/>
            <w:hideMark/>
          </w:tcPr>
          <w:p w14:paraId="10D54EC0" w14:textId="77777777" w:rsidR="00711A5A" w:rsidRPr="00711A5A" w:rsidRDefault="00711A5A" w:rsidP="00711A5A">
            <w:pPr>
              <w:keepNext/>
              <w:keepLines/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251.200</w:t>
            </w:r>
          </w:p>
        </w:tc>
        <w:tc>
          <w:tcPr>
            <w:tcW w:w="1368" w:type="dxa"/>
            <w:noWrap/>
            <w:vAlign w:val="center"/>
            <w:hideMark/>
          </w:tcPr>
          <w:p w14:paraId="623ACF00" w14:textId="77777777" w:rsidR="00711A5A" w:rsidRPr="00711A5A" w:rsidRDefault="00711A5A" w:rsidP="00711A5A">
            <w:pPr>
              <w:keepNext/>
              <w:keepLines/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23.408.000</w:t>
            </w:r>
          </w:p>
        </w:tc>
        <w:tc>
          <w:tcPr>
            <w:tcW w:w="1371" w:type="dxa"/>
            <w:noWrap/>
            <w:vAlign w:val="center"/>
            <w:hideMark/>
          </w:tcPr>
          <w:p w14:paraId="05241622" w14:textId="77777777" w:rsidR="00711A5A" w:rsidRPr="00711A5A" w:rsidRDefault="00711A5A" w:rsidP="00711A5A">
            <w:pPr>
              <w:keepNext/>
              <w:keepLines/>
              <w:widowControl w:val="0"/>
              <w:spacing w:line="36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23.941.300</w:t>
            </w:r>
          </w:p>
        </w:tc>
      </w:tr>
    </w:tbl>
    <w:p w14:paraId="2E21A720" w14:textId="77777777" w:rsidR="00711A5A" w:rsidRPr="00711A5A" w:rsidRDefault="00711A5A" w:rsidP="00711A5A">
      <w:pPr>
        <w:keepLines/>
        <w:widowControl w:val="0"/>
        <w:spacing w:line="360" w:lineRule="auto"/>
        <w:ind w:left="11"/>
        <w:rPr>
          <w:rFonts w:ascii="Arial" w:hAnsi="Arial" w:cs="Arial"/>
          <w:sz w:val="24"/>
          <w:szCs w:val="24"/>
        </w:rPr>
      </w:pPr>
    </w:p>
    <w:p w14:paraId="5C154CF1" w14:textId="77777777" w:rsidR="00D77EAF" w:rsidRDefault="00D77EAF" w:rsidP="00711A5A">
      <w:pPr>
        <w:keepLines/>
        <w:widowControl w:val="0"/>
        <w:spacing w:line="360" w:lineRule="auto"/>
        <w:ind w:left="11"/>
        <w:rPr>
          <w:rFonts w:ascii="Arial" w:hAnsi="Arial" w:cs="Arial"/>
          <w:sz w:val="24"/>
          <w:szCs w:val="24"/>
        </w:rPr>
      </w:pPr>
    </w:p>
    <w:p w14:paraId="38359CFB" w14:textId="77777777" w:rsidR="00D77EAF" w:rsidRDefault="00D77EAF" w:rsidP="00711A5A">
      <w:pPr>
        <w:keepLines/>
        <w:widowControl w:val="0"/>
        <w:spacing w:line="360" w:lineRule="auto"/>
        <w:ind w:left="11"/>
        <w:rPr>
          <w:rFonts w:ascii="Arial" w:hAnsi="Arial" w:cs="Arial"/>
          <w:sz w:val="24"/>
          <w:szCs w:val="24"/>
        </w:rPr>
      </w:pPr>
    </w:p>
    <w:p w14:paraId="7BD42471" w14:textId="77777777" w:rsidR="00D77EAF" w:rsidRDefault="00D77EAF" w:rsidP="00711A5A">
      <w:pPr>
        <w:keepLines/>
        <w:widowControl w:val="0"/>
        <w:spacing w:line="360" w:lineRule="auto"/>
        <w:ind w:left="11"/>
        <w:rPr>
          <w:rFonts w:ascii="Arial" w:hAnsi="Arial" w:cs="Arial"/>
          <w:sz w:val="24"/>
          <w:szCs w:val="24"/>
        </w:rPr>
      </w:pPr>
    </w:p>
    <w:p w14:paraId="14870C66" w14:textId="77777777" w:rsidR="00D77EAF" w:rsidRDefault="00D77EAF" w:rsidP="00711A5A">
      <w:pPr>
        <w:keepLines/>
        <w:widowControl w:val="0"/>
        <w:spacing w:line="360" w:lineRule="auto"/>
        <w:ind w:left="11"/>
        <w:rPr>
          <w:rFonts w:ascii="Arial" w:hAnsi="Arial" w:cs="Arial"/>
          <w:sz w:val="24"/>
          <w:szCs w:val="24"/>
        </w:rPr>
      </w:pPr>
    </w:p>
    <w:p w14:paraId="1BF35696" w14:textId="77777777" w:rsidR="00D77EAF" w:rsidRDefault="00D77EAF" w:rsidP="00711A5A">
      <w:pPr>
        <w:keepLines/>
        <w:widowControl w:val="0"/>
        <w:spacing w:line="360" w:lineRule="auto"/>
        <w:ind w:left="11"/>
        <w:rPr>
          <w:rFonts w:ascii="Arial" w:hAnsi="Arial" w:cs="Arial"/>
          <w:sz w:val="24"/>
          <w:szCs w:val="24"/>
        </w:rPr>
      </w:pPr>
    </w:p>
    <w:p w14:paraId="614D6E70" w14:textId="77777777" w:rsidR="00711A5A" w:rsidRPr="00711A5A" w:rsidRDefault="00711A5A" w:rsidP="00D77EAF">
      <w:pPr>
        <w:keepLines/>
        <w:widowControl w:val="0"/>
        <w:spacing w:line="360" w:lineRule="auto"/>
        <w:ind w:lef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Deialdiaren foru aginduko 7.1.b) artikuluan xedatzen zenez, 2.200 euroko laguntza lortzen zuten pertsonek Gizarte Segurantzaren kasuan kasuko araubidean alta emanda egon behar zuten, baita Nafarroako ekonomia-jardueren gaineko zergan ere, 12 hilabetez, 8/2020 Errege Lege-dekretuko 17. artikuluko prestazio bereziaren amaieraren biharamunetik aurrera.</w:t>
      </w:r>
    </w:p>
    <w:p w14:paraId="7292B67F" w14:textId="77777777" w:rsidR="00711A5A" w:rsidRPr="00711A5A" w:rsidRDefault="00711A5A" w:rsidP="00D77EAF">
      <w:pPr>
        <w:keepLines/>
        <w:widowControl w:val="0"/>
        <w:spacing w:line="360" w:lineRule="auto"/>
        <w:ind w:left="11"/>
        <w:jc w:val="both"/>
        <w:rPr>
          <w:rFonts w:ascii="Arial" w:hAnsi="Arial" w:cs="Arial"/>
          <w:sz w:val="24"/>
          <w:szCs w:val="24"/>
        </w:rPr>
      </w:pPr>
    </w:p>
    <w:p w14:paraId="017010FD" w14:textId="77777777" w:rsidR="00711A5A" w:rsidRPr="00711A5A" w:rsidRDefault="00711A5A" w:rsidP="00D77EAF">
      <w:pPr>
        <w:keepLines/>
        <w:widowControl w:val="0"/>
        <w:spacing w:line="360" w:lineRule="auto"/>
        <w:ind w:lef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Horrek esan nahi zuen 2.200 euroko laguntzaren onuradunek 2021eko ekainaren 30era arte iraun behar zutela altan Gizarte Segurantzaren kasuan kasuko araubidean eta Nafarroako ekonomia-jardueren gaineko zergan. Iraute-betebehar hori urratuz gero, onuraduna behartuta zegoen bete gabeko epeari zegokion laguntza-parte proportzionala itzultzera.</w:t>
      </w:r>
    </w:p>
    <w:p w14:paraId="43486E49" w14:textId="77777777" w:rsidR="00711A5A" w:rsidRPr="00711A5A" w:rsidRDefault="00711A5A" w:rsidP="00711A5A">
      <w:pPr>
        <w:keepLines/>
        <w:widowControl w:val="0"/>
        <w:spacing w:line="360" w:lineRule="auto"/>
        <w:ind w:left="11"/>
        <w:rPr>
          <w:rFonts w:ascii="Arial" w:hAnsi="Arial" w:cs="Arial"/>
          <w:sz w:val="24"/>
          <w:szCs w:val="24"/>
        </w:rPr>
      </w:pPr>
    </w:p>
    <w:p w14:paraId="4CBBBF16" w14:textId="77777777" w:rsidR="00711A5A" w:rsidRPr="00711A5A" w:rsidRDefault="00711A5A" w:rsidP="00D77EAF">
      <w:pPr>
        <w:keepLines/>
        <w:widowControl w:val="0"/>
        <w:spacing w:line="360" w:lineRule="auto"/>
        <w:ind w:lef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Lan Zerbitzuak kasuko urratsak egin zituen, eta horien emaitza izan zen ezin egiaztatzea, 704 onuradunen kasuan, ea langile autonomoen araubide berezian eta ekonomia-jardueren gaineko zergan irautearen betebeharra bete ote zen.</w:t>
      </w:r>
    </w:p>
    <w:p w14:paraId="599E88C1" w14:textId="77777777" w:rsidR="00711A5A" w:rsidRPr="00711A5A" w:rsidRDefault="00711A5A" w:rsidP="00D77EAF">
      <w:pPr>
        <w:keepLines/>
        <w:widowControl w:val="0"/>
        <w:spacing w:line="360" w:lineRule="auto"/>
        <w:ind w:left="11"/>
        <w:jc w:val="both"/>
        <w:rPr>
          <w:rFonts w:ascii="Arial" w:hAnsi="Arial" w:cs="Arial"/>
          <w:sz w:val="24"/>
          <w:szCs w:val="24"/>
        </w:rPr>
      </w:pPr>
    </w:p>
    <w:p w14:paraId="31F1452E" w14:textId="77777777" w:rsidR="00711A5A" w:rsidRDefault="00711A5A" w:rsidP="00D77EAF">
      <w:pPr>
        <w:keepLines/>
        <w:widowControl w:val="0"/>
        <w:spacing w:line="360" w:lineRule="auto"/>
        <w:ind w:lef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Ondorioz, Enpresa Politikaren, Nazioarteko Proiekzioaren eta Lanaren zuzendari nagusiaren abuztuaren 1eko 381/2023 eta abuztuaren 21eko 430/2023 ebazpenen bitartez, hasiera eman zitzaion laguntza-onuradunetako 704ren itzulketa-prozedurari. Onuradun bakoitzari helarazi zitzaion ebazpena, bai eta hark eginiko eskaerari buruzko informazioa ere.</w:t>
      </w:r>
    </w:p>
    <w:p w14:paraId="0FF7D33A" w14:textId="77777777" w:rsidR="00992D73" w:rsidRDefault="00992D73" w:rsidP="00992D73">
      <w:pPr>
        <w:keepLines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6EFF8F" w14:textId="77777777" w:rsidR="00992D73" w:rsidRPr="00711A5A" w:rsidRDefault="00992D73" w:rsidP="00D77EAF">
      <w:pPr>
        <w:keepLines/>
        <w:widowControl w:val="0"/>
        <w:spacing w:line="360" w:lineRule="auto"/>
        <w:ind w:lef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704 pertsona dira, 11.357 onuradunen artetik, itzuli beharreko guztizko zenbatekoa 986.136,44 eurokoa dutenak; hots, emandako laguntzaren 23.941.300 euroen % 4,12.</w:t>
      </w:r>
    </w:p>
    <w:p w14:paraId="0A4EE03A" w14:textId="77777777" w:rsidR="00711A5A" w:rsidRPr="00711A5A" w:rsidRDefault="00711A5A" w:rsidP="00D77EAF">
      <w:pPr>
        <w:keepLines/>
        <w:widowControl w:val="0"/>
        <w:spacing w:line="360" w:lineRule="auto"/>
        <w:ind w:left="11"/>
        <w:jc w:val="both"/>
        <w:rPr>
          <w:rFonts w:ascii="Arial" w:hAnsi="Arial" w:cs="Arial"/>
          <w:sz w:val="24"/>
          <w:szCs w:val="24"/>
        </w:rPr>
      </w:pPr>
    </w:p>
    <w:p w14:paraId="0EFCCB4B" w14:textId="77777777" w:rsidR="00711A5A" w:rsidRPr="00711A5A" w:rsidRDefault="00711A5A" w:rsidP="00D77EAF">
      <w:pPr>
        <w:keepLines/>
        <w:widowControl w:val="0"/>
        <w:spacing w:line="360" w:lineRule="auto"/>
        <w:ind w:lef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Itzulketa-prozedura hasi zitzaien eskatzaileetatik, 29k adierazi dute lankide autonomoak direla. Horiei oker baten ondorioz onartu eta ordaindu zitzaien laguntza, ez baitzuten betetzen ekonomia-jardueren gaineko zergan alta hartuta izatearen betekizuna. Ondorioz, itzulketa-prozedura amaitu eta laguntza itzultzearen bidetik joan beharra gertatzen da.</w:t>
      </w:r>
    </w:p>
    <w:p w14:paraId="130FB4E5" w14:textId="77777777" w:rsidR="00B37543" w:rsidRPr="00711A5A" w:rsidRDefault="00B37543" w:rsidP="00D77E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9B74F4" w14:textId="77777777" w:rsidR="00992D73" w:rsidRDefault="00992D73" w:rsidP="00D77E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E2A495" w14:textId="77777777" w:rsidR="00992D73" w:rsidRDefault="00992D73" w:rsidP="00D77E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D0D034" w14:textId="77777777" w:rsidR="00992D73" w:rsidRDefault="00992D73" w:rsidP="00D77E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D04031" w14:textId="77777777" w:rsidR="00992D73" w:rsidRDefault="00992D73" w:rsidP="00D77E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3B87D1" w14:textId="77777777" w:rsidR="00B37543" w:rsidRPr="00764E30" w:rsidRDefault="00B37543" w:rsidP="00D77E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Hori guztia jakinarazten dizut, Nafarroako Parlamentuko Erregelamenduaren 215. artikulua betez.</w:t>
      </w:r>
    </w:p>
    <w:p w14:paraId="2AD64C0C" w14:textId="77777777" w:rsidR="00B37543" w:rsidRPr="00764E30" w:rsidRDefault="00B37543" w:rsidP="00B375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302A38" w14:textId="77777777" w:rsidR="00B37543" w:rsidRPr="00764E30" w:rsidRDefault="00B37543" w:rsidP="00B3754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Iruñean, 2023ko abenduaren 13an</w:t>
      </w:r>
    </w:p>
    <w:p w14:paraId="24D09996" w14:textId="77777777" w:rsidR="00B37543" w:rsidRPr="00764E30" w:rsidRDefault="00B37543" w:rsidP="00B3754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A0D10D" w14:textId="77777777" w:rsidR="00B37543" w:rsidRPr="00764E30" w:rsidRDefault="00B37543" w:rsidP="00B3754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Eskubide Sozialetako, Ekonomia Sozialeko eta Enpleguko kontseilaria</w:t>
      </w:r>
    </w:p>
    <w:p w14:paraId="4180DD74" w14:textId="77777777" w:rsidR="00B37543" w:rsidRPr="00764E30" w:rsidRDefault="00B37543" w:rsidP="00B3754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</w:p>
    <w:p w14:paraId="07BC7D31" w14:textId="77777777" w:rsidR="00B37543" w:rsidRPr="00764E30" w:rsidRDefault="00B37543" w:rsidP="00B3754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</w:p>
    <w:p w14:paraId="651B704E" w14:textId="77777777" w:rsidR="00B37543" w:rsidRPr="00764E30" w:rsidRDefault="00B37543" w:rsidP="00B3754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8B04051" w14:textId="77777777" w:rsidR="00B37543" w:rsidRPr="00764E30" w:rsidRDefault="00B37543" w:rsidP="00B3754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CA0576A" w14:textId="77777777" w:rsidR="00B37543" w:rsidRPr="00764E30" w:rsidRDefault="00B37543" w:rsidP="00B3754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E465E3E" w14:textId="77777777" w:rsidR="00B37543" w:rsidRPr="00764E30" w:rsidRDefault="00B3754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2C9A371B" w14:textId="77777777" w:rsidR="00B37543" w:rsidRPr="00764E30" w:rsidRDefault="00B37543" w:rsidP="00B3754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María Carmen Maeztu </w:t>
      </w:r>
      <w:proofErr w:type="spellStart"/>
      <w:r>
        <w:rPr>
          <w:rFonts w:ascii="Arial" w:hAnsi="Arial"/>
          <w:sz w:val="24"/>
        </w:rPr>
        <w:t>Villafranca</w:t>
      </w:r>
      <w:proofErr w:type="spellEnd"/>
    </w:p>
    <w:p w14:paraId="3340E4B2" w14:textId="77777777" w:rsidR="00B37543" w:rsidRPr="00764E30" w:rsidRDefault="00B3754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5B924AFE" w14:textId="77777777" w:rsidR="00B37543" w:rsidRPr="00764E30" w:rsidRDefault="00B3754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1653D34F" w14:textId="77777777" w:rsidR="00B37543" w:rsidRPr="00764E30" w:rsidRDefault="00B3754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28DE39CB" w14:textId="77777777" w:rsidR="00B37543" w:rsidRPr="00764E30" w:rsidRDefault="00B3754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705BEE25" w14:textId="77777777" w:rsidR="00B37543" w:rsidRPr="00764E30" w:rsidRDefault="00B3754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11CBF3A3" w14:textId="77777777" w:rsidR="00B37543" w:rsidRDefault="00B3754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584E60CC" w14:textId="77777777" w:rsidR="00992D73" w:rsidRDefault="00992D7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51E44EDF" w14:textId="77777777" w:rsidR="00992D73" w:rsidRDefault="00992D7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3EB295E8" w14:textId="77777777" w:rsidR="00992D73" w:rsidRDefault="00992D7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642DB767" w14:textId="77777777" w:rsidR="00992D73" w:rsidRDefault="00992D7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48E1C741" w14:textId="77777777" w:rsidR="00992D73" w:rsidRDefault="00992D7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18A5E47A" w14:textId="77777777" w:rsidR="00992D73" w:rsidRDefault="00992D7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2F3AEA52" w14:textId="77777777" w:rsidR="00992D73" w:rsidRDefault="00992D7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023C2901" w14:textId="77777777" w:rsidR="00992D73" w:rsidRDefault="00992D7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58FDBD57" w14:textId="77777777" w:rsidR="00992D73" w:rsidRDefault="00992D7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1955925E" w14:textId="77777777" w:rsidR="00992D73" w:rsidRDefault="00992D7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02DCEFE0" w14:textId="77777777" w:rsidR="00992D73" w:rsidRDefault="00992D7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70EB220A" w14:textId="77777777" w:rsidR="00992D73" w:rsidRDefault="00992D7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0785C649" w14:textId="77777777" w:rsidR="00992D73" w:rsidRDefault="00992D7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3214913F" w14:textId="77777777" w:rsidR="00992D73" w:rsidRPr="00764E30" w:rsidRDefault="00992D7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5A14F69A" w14:textId="77777777" w:rsidR="00B37543" w:rsidRPr="00764E30" w:rsidRDefault="00B3754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71454E2E" w14:textId="77777777" w:rsidR="00B37543" w:rsidRPr="00764E30" w:rsidRDefault="00B3754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0AD52B8E" w14:textId="77777777" w:rsidR="00B37543" w:rsidRPr="00764E30" w:rsidRDefault="00B37543" w:rsidP="00B37543">
      <w:pPr>
        <w:rPr>
          <w:rFonts w:ascii="Arial" w:hAnsi="Arial" w:cs="Arial"/>
          <w:color w:val="FF0000"/>
          <w:sz w:val="24"/>
          <w:szCs w:val="24"/>
        </w:rPr>
      </w:pPr>
    </w:p>
    <w:p w14:paraId="2EF4AF58" w14:textId="77777777" w:rsidR="00B37543" w:rsidRPr="00764E30" w:rsidRDefault="00B37543" w:rsidP="00B37543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Unai </w:t>
      </w:r>
      <w:proofErr w:type="spellStart"/>
      <w:r>
        <w:rPr>
          <w:rFonts w:ascii="Arial" w:hAnsi="Arial"/>
          <w:sz w:val="24"/>
        </w:rPr>
        <w:t>Hualde</w:t>
      </w:r>
      <w:proofErr w:type="spellEnd"/>
      <w:r>
        <w:rPr>
          <w:rFonts w:ascii="Arial" w:hAnsi="Arial"/>
          <w:sz w:val="24"/>
        </w:rPr>
        <w:t xml:space="preserve"> Iglesias</w:t>
      </w:r>
    </w:p>
    <w:p w14:paraId="7BF784C1" w14:textId="77777777" w:rsidR="00F45FFA" w:rsidRPr="00992D73" w:rsidRDefault="00B37543" w:rsidP="00992D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Nafarroako Parlamentuko Lehendakaria</w:t>
      </w:r>
    </w:p>
    <w:sectPr w:rsidR="00F45FFA" w:rsidRPr="00992D73" w:rsidSect="00D77EAF">
      <w:headerReference w:type="default" r:id="rId8"/>
      <w:footerReference w:type="default" r:id="rId9"/>
      <w:pgSz w:w="11906" w:h="16838"/>
      <w:pgMar w:top="2552" w:right="1418" w:bottom="1985" w:left="1418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6E67" w14:textId="77777777" w:rsidR="00B37543" w:rsidRDefault="00B37543" w:rsidP="00B37543">
      <w:r>
        <w:separator/>
      </w:r>
    </w:p>
  </w:endnote>
  <w:endnote w:type="continuationSeparator" w:id="0">
    <w:p w14:paraId="312F7971" w14:textId="77777777" w:rsidR="00B37543" w:rsidRDefault="00B37543" w:rsidP="00B3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Math TeX Gyre">
    <w:altName w:val="Calibri"/>
    <w:charset w:val="00"/>
    <w:family w:val="auto"/>
    <w:pitch w:val="variable"/>
    <w:sig w:usb0="A10000EF" w:usb1="4201F9EE" w:usb2="02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0CFC" w14:textId="77777777" w:rsidR="00FB159B" w:rsidRPr="00764E30" w:rsidRDefault="00B37543" w:rsidP="00015348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center"/>
      <w:rPr>
        <w:rFonts w:ascii="Arial" w:hAnsi="Arial" w:cs="Arial"/>
        <w:sz w:val="24"/>
        <w:szCs w:val="20"/>
      </w:rPr>
    </w:pPr>
    <w:r>
      <w:rPr>
        <w:rStyle w:val="Nmerodepgina"/>
        <w:rFonts w:ascii="DejaVu Math TeX Gyre" w:hAnsi="DejaVu Math TeX Gyre"/>
        <w:sz w:val="24"/>
      </w:rPr>
      <w:tab/>
    </w:r>
    <w:r w:rsidRPr="00764E30">
      <w:rPr>
        <w:rStyle w:val="Nmerodepgina"/>
        <w:rFonts w:ascii="Arial" w:hAnsi="Arial" w:cs="Arial"/>
        <w:sz w:val="24"/>
      </w:rPr>
      <w:fldChar w:fldCharType="begin"/>
    </w:r>
    <w:r w:rsidRPr="00764E30">
      <w:rPr>
        <w:rStyle w:val="Nmerodepgina"/>
        <w:rFonts w:ascii="Arial" w:hAnsi="Arial" w:cs="Arial"/>
        <w:sz w:val="24"/>
      </w:rPr>
      <w:instrText xml:space="preserve"> PAGE </w:instrText>
    </w:r>
    <w:r w:rsidRPr="00764E30">
      <w:rPr>
        <w:rStyle w:val="Nmerodepgina"/>
        <w:rFonts w:ascii="Arial" w:hAnsi="Arial" w:cs="Arial"/>
        <w:sz w:val="24"/>
      </w:rPr>
      <w:fldChar w:fldCharType="separate"/>
    </w:r>
    <w:r w:rsidR="00E64392">
      <w:rPr>
        <w:rStyle w:val="Nmerodepgina"/>
        <w:rFonts w:ascii="Arial" w:hAnsi="Arial" w:cs="Arial"/>
        <w:sz w:val="24"/>
      </w:rPr>
      <w:t>4</w:t>
    </w:r>
    <w:r w:rsidRPr="00764E30">
      <w:rPr>
        <w:rStyle w:val="Nmerodepgina"/>
        <w:rFonts w:ascii="Arial" w:hAnsi="Arial" w:cs="Arial"/>
        <w:sz w:val="24"/>
      </w:rPr>
      <w:fldChar w:fldCharType="end"/>
    </w:r>
    <w:r>
      <w:rPr>
        <w:rStyle w:val="Nmerodepgina"/>
        <w:rFonts w:ascii="Arial" w:hAnsi="Arial"/>
        <w:sz w:val="24"/>
      </w:rPr>
      <w:t>/</w:t>
    </w:r>
    <w:r w:rsidRPr="00764E30">
      <w:rPr>
        <w:rStyle w:val="Nmerodepgina"/>
        <w:rFonts w:ascii="Arial" w:hAnsi="Arial" w:cs="Arial"/>
        <w:sz w:val="24"/>
      </w:rPr>
      <w:fldChar w:fldCharType="begin"/>
    </w:r>
    <w:r w:rsidRPr="00764E30">
      <w:rPr>
        <w:rStyle w:val="Nmerodepgina"/>
        <w:rFonts w:ascii="Arial" w:hAnsi="Arial" w:cs="Arial"/>
        <w:sz w:val="24"/>
      </w:rPr>
      <w:instrText xml:space="preserve"> NUMPAGES </w:instrText>
    </w:r>
    <w:r w:rsidRPr="00764E30">
      <w:rPr>
        <w:rStyle w:val="Nmerodepgina"/>
        <w:rFonts w:ascii="Arial" w:hAnsi="Arial" w:cs="Arial"/>
        <w:sz w:val="24"/>
      </w:rPr>
      <w:fldChar w:fldCharType="separate"/>
    </w:r>
    <w:r w:rsidR="00E64392">
      <w:rPr>
        <w:rStyle w:val="Nmerodepgina"/>
        <w:rFonts w:ascii="Arial" w:hAnsi="Arial" w:cs="Arial"/>
        <w:sz w:val="24"/>
      </w:rPr>
      <w:t>4</w:t>
    </w:r>
    <w:r w:rsidRPr="00764E30">
      <w:rPr>
        <w:rStyle w:val="Nmerodepgina"/>
        <w:rFonts w:ascii="Arial" w:hAnsi="Arial" w:cs="Arial"/>
        <w:sz w:val="24"/>
      </w:rPr>
      <w:fldChar w:fldCharType="end"/>
    </w:r>
    <w:r>
      <w:rPr>
        <w:rFonts w:ascii="Arial" w:hAnsi="Arial"/>
        <w:sz w:val="24"/>
      </w:rPr>
      <w:tab/>
      <w:t>11-23/PES-00187</w:t>
    </w:r>
  </w:p>
  <w:p w14:paraId="4194C84F" w14:textId="77777777" w:rsidR="00FB159B" w:rsidRDefault="00FB159B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B793" w14:textId="77777777" w:rsidR="00B37543" w:rsidRDefault="00B37543" w:rsidP="00B37543">
      <w:r>
        <w:separator/>
      </w:r>
    </w:p>
  </w:footnote>
  <w:footnote w:type="continuationSeparator" w:id="0">
    <w:p w14:paraId="7D8AF922" w14:textId="77777777" w:rsidR="00B37543" w:rsidRDefault="00B37543" w:rsidP="00B3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124D" w14:textId="77777777" w:rsidR="00FB159B" w:rsidRPr="00015348" w:rsidRDefault="00B37543">
    <w:pPr>
      <w:pStyle w:val="Encabezado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0288" behindDoc="0" locked="0" layoutInCell="1" allowOverlap="1" wp14:anchorId="42FB09EF" wp14:editId="33B8FC1A">
          <wp:simplePos x="0" y="0"/>
          <wp:positionH relativeFrom="margin">
            <wp:posOffset>3335020</wp:posOffset>
          </wp:positionH>
          <wp:positionV relativeFrom="paragraph">
            <wp:posOffset>-879061</wp:posOffset>
          </wp:positionV>
          <wp:extent cx="598170" cy="718185"/>
          <wp:effectExtent l="0" t="0" r="0" b="5715"/>
          <wp:wrapNone/>
          <wp:docPr id="3" name="Imagen 3" descr="Agenda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nda20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</w:rPr>
      <w:drawing>
        <wp:anchor distT="0" distB="0" distL="114300" distR="114300" simplePos="0" relativeHeight="251659264" behindDoc="1" locked="1" layoutInCell="1" allowOverlap="1" wp14:anchorId="5AAC48F6" wp14:editId="1E77E534">
          <wp:simplePos x="0" y="0"/>
          <wp:positionH relativeFrom="page">
            <wp:posOffset>4577715</wp:posOffset>
          </wp:positionH>
          <wp:positionV relativeFrom="page">
            <wp:posOffset>-147320</wp:posOffset>
          </wp:positionV>
          <wp:extent cx="2882900" cy="165989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37"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7611"/>
    <w:multiLevelType w:val="hybridMultilevel"/>
    <w:tmpl w:val="4AFC3304"/>
    <w:lvl w:ilvl="0" w:tplc="B5F647A8">
      <w:start w:val="1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20510C11"/>
    <w:multiLevelType w:val="hybridMultilevel"/>
    <w:tmpl w:val="27AAF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67A46"/>
    <w:multiLevelType w:val="hybridMultilevel"/>
    <w:tmpl w:val="4646473C"/>
    <w:lvl w:ilvl="0" w:tplc="874043BC">
      <w:start w:val="8"/>
      <w:numFmt w:val="decimal"/>
      <w:lvlText w:val="%1."/>
      <w:lvlJc w:val="left"/>
      <w:pPr>
        <w:ind w:left="831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00" w:hanging="360"/>
      </w:pPr>
    </w:lvl>
    <w:lvl w:ilvl="2" w:tplc="0C0A001B" w:tentative="1">
      <w:start w:val="1"/>
      <w:numFmt w:val="lowerRoman"/>
      <w:lvlText w:val="%3."/>
      <w:lvlJc w:val="right"/>
      <w:pPr>
        <w:ind w:left="2620" w:hanging="180"/>
      </w:pPr>
    </w:lvl>
    <w:lvl w:ilvl="3" w:tplc="0C0A000F" w:tentative="1">
      <w:start w:val="1"/>
      <w:numFmt w:val="decimal"/>
      <w:lvlText w:val="%4."/>
      <w:lvlJc w:val="left"/>
      <w:pPr>
        <w:ind w:left="3340" w:hanging="360"/>
      </w:pPr>
    </w:lvl>
    <w:lvl w:ilvl="4" w:tplc="0C0A0019" w:tentative="1">
      <w:start w:val="1"/>
      <w:numFmt w:val="lowerLetter"/>
      <w:lvlText w:val="%5."/>
      <w:lvlJc w:val="left"/>
      <w:pPr>
        <w:ind w:left="4060" w:hanging="360"/>
      </w:pPr>
    </w:lvl>
    <w:lvl w:ilvl="5" w:tplc="0C0A001B" w:tentative="1">
      <w:start w:val="1"/>
      <w:numFmt w:val="lowerRoman"/>
      <w:lvlText w:val="%6."/>
      <w:lvlJc w:val="right"/>
      <w:pPr>
        <w:ind w:left="4780" w:hanging="180"/>
      </w:pPr>
    </w:lvl>
    <w:lvl w:ilvl="6" w:tplc="0C0A000F" w:tentative="1">
      <w:start w:val="1"/>
      <w:numFmt w:val="decimal"/>
      <w:lvlText w:val="%7."/>
      <w:lvlJc w:val="left"/>
      <w:pPr>
        <w:ind w:left="5500" w:hanging="360"/>
      </w:pPr>
    </w:lvl>
    <w:lvl w:ilvl="7" w:tplc="0C0A0019" w:tentative="1">
      <w:start w:val="1"/>
      <w:numFmt w:val="lowerLetter"/>
      <w:lvlText w:val="%8."/>
      <w:lvlJc w:val="left"/>
      <w:pPr>
        <w:ind w:left="6220" w:hanging="360"/>
      </w:pPr>
    </w:lvl>
    <w:lvl w:ilvl="8" w:tplc="0C0A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2128040548">
    <w:abstractNumId w:val="1"/>
  </w:num>
  <w:num w:numId="2" w16cid:durableId="1616253980">
    <w:abstractNumId w:val="0"/>
  </w:num>
  <w:num w:numId="3" w16cid:durableId="775060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21"/>
    <w:rsid w:val="000D574A"/>
    <w:rsid w:val="001A0F31"/>
    <w:rsid w:val="00271902"/>
    <w:rsid w:val="00474F03"/>
    <w:rsid w:val="005D5F48"/>
    <w:rsid w:val="00711A5A"/>
    <w:rsid w:val="00992D73"/>
    <w:rsid w:val="00A05121"/>
    <w:rsid w:val="00B37543"/>
    <w:rsid w:val="00D77EAF"/>
    <w:rsid w:val="00E64392"/>
    <w:rsid w:val="00F45FFA"/>
    <w:rsid w:val="00FB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05BD"/>
  <w15:chartTrackingRefBased/>
  <w15:docId w15:val="{758887C3-93EE-4D0E-AAAF-6F773969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754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37543"/>
  </w:style>
  <w:style w:type="paragraph" w:styleId="Piedepgina">
    <w:name w:val="footer"/>
    <w:basedOn w:val="Normal"/>
    <w:link w:val="PiedepginaCar"/>
    <w:unhideWhenUsed/>
    <w:rsid w:val="00B3754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B37543"/>
  </w:style>
  <w:style w:type="paragraph" w:styleId="Textoindependiente">
    <w:name w:val="Body Text"/>
    <w:basedOn w:val="Normal"/>
    <w:link w:val="TextoindependienteCar"/>
    <w:rsid w:val="00B37543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B37543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B37543"/>
  </w:style>
  <w:style w:type="paragraph" w:styleId="Prrafodelista">
    <w:name w:val="List Paragraph"/>
    <w:basedOn w:val="Normal"/>
    <w:uiPriority w:val="99"/>
    <w:qFormat/>
    <w:rsid w:val="00B375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11A5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11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xnavarra.navarra.es/detalle.asp?r=527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700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Martin Cestao, Nerea</cp:lastModifiedBy>
  <cp:revision>11</cp:revision>
  <dcterms:created xsi:type="dcterms:W3CDTF">2023-11-13T13:23:00Z</dcterms:created>
  <dcterms:modified xsi:type="dcterms:W3CDTF">2024-03-19T11:56:00Z</dcterms:modified>
</cp:coreProperties>
</file>