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22AD" w14:textId="6E045C1E" w:rsidR="00E114C3" w:rsidRPr="006056FE" w:rsidRDefault="006056FE" w:rsidP="00EC0BEF">
      <w:pPr>
        <w:pStyle w:val="Style"/>
        <w:spacing w:before="100" w:beforeAutospacing="1" w:after="200" w:line="276" w:lineRule="auto"/>
        <w:ind w:right="1469" w:firstLine="708"/>
        <w:jc w:val="both"/>
        <w:textAlignment w:val="baseline"/>
        <w:rPr>
          <w:rFonts w:ascii="Calibri" w:hAnsi="Calibri" w:cs="Calibri"/>
          <w:sz w:val="22"/>
          <w:szCs w:val="22"/>
        </w:rPr>
      </w:pPr>
      <w:r w:rsidRPr="006056FE">
        <w:rPr>
          <w:rFonts w:ascii="Calibri" w:eastAsia="Arial" w:hAnsi="Calibri" w:cs="Calibri"/>
          <w:sz w:val="22"/>
          <w:szCs w:val="22"/>
        </w:rPr>
        <w:t>24MOC-5</w:t>
      </w:r>
      <w:r w:rsidR="005332B5">
        <w:rPr>
          <w:rFonts w:ascii="Calibri" w:eastAsia="Arial" w:hAnsi="Calibri" w:cs="Calibri"/>
          <w:sz w:val="22"/>
          <w:szCs w:val="22"/>
        </w:rPr>
        <w:t>7</w:t>
      </w:r>
    </w:p>
    <w:p w14:paraId="27428D4D" w14:textId="063F1654" w:rsidR="006056FE" w:rsidRPr="006056FE" w:rsidRDefault="006056FE" w:rsidP="00EC0BEF">
      <w:pPr>
        <w:pStyle w:val="Style"/>
        <w:spacing w:before="100" w:beforeAutospacing="1" w:after="200" w:line="276" w:lineRule="auto"/>
        <w:ind w:left="708" w:right="1469"/>
        <w:jc w:val="both"/>
        <w:textAlignment w:val="baseline"/>
        <w:rPr>
          <w:rFonts w:ascii="Calibri" w:hAnsi="Calibri" w:cs="Calibri"/>
          <w:sz w:val="22"/>
          <w:szCs w:val="22"/>
        </w:rPr>
      </w:pPr>
      <w:r w:rsidRPr="006056FE">
        <w:rPr>
          <w:rFonts w:ascii="Calibri" w:eastAsia="Arial" w:hAnsi="Calibri" w:cs="Calibri"/>
          <w:sz w:val="22"/>
          <w:szCs w:val="22"/>
        </w:rPr>
        <w:t xml:space="preserve">Txomin González Martínez, </w:t>
      </w:r>
      <w:r w:rsidR="00EC0BEF" w:rsidRPr="006056FE">
        <w:rPr>
          <w:rFonts w:ascii="Calibri" w:eastAsia="Arial" w:hAnsi="Calibri" w:cs="Calibri"/>
          <w:sz w:val="22"/>
          <w:szCs w:val="22"/>
        </w:rPr>
        <w:t xml:space="preserve">parlamentario adscrito al G.P. EH </w:t>
      </w:r>
      <w:r w:rsidRPr="006056FE">
        <w:rPr>
          <w:rFonts w:ascii="Calibri" w:eastAsia="Arial" w:hAnsi="Calibri" w:cs="Calibri"/>
          <w:sz w:val="22"/>
          <w:szCs w:val="22"/>
        </w:rPr>
        <w:t xml:space="preserve">Bildu-Nafarroa, </w:t>
      </w:r>
      <w:r w:rsidR="00EC0BEF" w:rsidRPr="006056FE">
        <w:rPr>
          <w:rFonts w:ascii="Calibri" w:eastAsia="Arial" w:hAnsi="Calibri" w:cs="Calibri"/>
          <w:sz w:val="22"/>
          <w:szCs w:val="22"/>
        </w:rPr>
        <w:t xml:space="preserve">al amparo de lo establecido en el Reglamento de la Cámara, presenta la siguiente </w:t>
      </w:r>
      <w:r w:rsidRPr="006056FE">
        <w:rPr>
          <w:rFonts w:ascii="Calibri" w:eastAsia="Arial" w:hAnsi="Calibri" w:cs="Calibri"/>
          <w:bCs/>
          <w:sz w:val="22"/>
          <w:szCs w:val="22"/>
        </w:rPr>
        <w:t>moción</w:t>
      </w:r>
      <w:r w:rsidR="00EC0BEF" w:rsidRPr="006056FE">
        <w:rPr>
          <w:rFonts w:ascii="Calibri" w:eastAsia="Arial" w:hAnsi="Calibri" w:cs="Calibri"/>
          <w:b/>
          <w:sz w:val="22"/>
          <w:szCs w:val="22"/>
        </w:rPr>
        <w:t xml:space="preserve"> </w:t>
      </w:r>
      <w:r w:rsidR="00EC0BEF" w:rsidRPr="006056FE">
        <w:rPr>
          <w:rFonts w:ascii="Calibri" w:eastAsia="Arial" w:hAnsi="Calibri" w:cs="Calibri"/>
          <w:sz w:val="22"/>
          <w:szCs w:val="22"/>
        </w:rPr>
        <w:t xml:space="preserve">para su debate y votación en el Pleno del Parlamento de Navarra. </w:t>
      </w:r>
    </w:p>
    <w:p w14:paraId="38E01713" w14:textId="3CA9F11A" w:rsidR="006056FE" w:rsidRPr="006056FE" w:rsidRDefault="006056FE" w:rsidP="00EC0BEF">
      <w:pPr>
        <w:pStyle w:val="Style"/>
        <w:spacing w:before="100" w:beforeAutospacing="1" w:after="200" w:line="276" w:lineRule="auto"/>
        <w:ind w:right="1560" w:firstLine="708"/>
        <w:jc w:val="both"/>
        <w:textAlignment w:val="baseline"/>
        <w:rPr>
          <w:rFonts w:ascii="Calibri" w:hAnsi="Calibri" w:cs="Calibri"/>
          <w:bCs/>
          <w:sz w:val="22"/>
          <w:szCs w:val="22"/>
        </w:rPr>
      </w:pPr>
      <w:r w:rsidRPr="006056FE">
        <w:rPr>
          <w:rFonts w:ascii="Calibri" w:eastAsia="Arial" w:hAnsi="Calibri" w:cs="Calibri"/>
          <w:bCs/>
          <w:sz w:val="22"/>
          <w:szCs w:val="22"/>
        </w:rPr>
        <w:t xml:space="preserve">Exposición de motivos </w:t>
      </w:r>
    </w:p>
    <w:p w14:paraId="00784B86" w14:textId="77777777" w:rsidR="006056FE" w:rsidRDefault="00EC0BEF" w:rsidP="00EC0BEF">
      <w:pPr>
        <w:pStyle w:val="Style"/>
        <w:spacing w:before="100" w:beforeAutospacing="1" w:after="200" w:line="276" w:lineRule="auto"/>
        <w:ind w:left="708" w:right="1560"/>
        <w:jc w:val="both"/>
        <w:textAlignment w:val="baseline"/>
        <w:rPr>
          <w:rFonts w:ascii="Calibri" w:hAnsi="Calibri" w:cs="Calibri"/>
          <w:sz w:val="22"/>
          <w:szCs w:val="22"/>
        </w:rPr>
      </w:pPr>
      <w:r w:rsidRPr="006056FE">
        <w:rPr>
          <w:rFonts w:ascii="Calibri" w:eastAsia="Arial" w:hAnsi="Calibri" w:cs="Calibri"/>
          <w:sz w:val="22"/>
          <w:szCs w:val="22"/>
        </w:rPr>
        <w:t xml:space="preserve">El sistema retributivo actual del Departamento de Salud y sus organismos autónomos, el Servicio Navarro de Salud y el INSPL, tiene como característica común que derivan de un sistema retributivo obsoleto del año 1992 (Ley Foral 11/1992) que contemplan tres tipos de retribución: </w:t>
      </w:r>
    </w:p>
    <w:p w14:paraId="38370338" w14:textId="54E4A890" w:rsidR="00E114C3" w:rsidRPr="006056FE" w:rsidRDefault="00EC0BEF" w:rsidP="00EC0BEF">
      <w:pPr>
        <w:pStyle w:val="Style"/>
        <w:numPr>
          <w:ilvl w:val="0"/>
          <w:numId w:val="2"/>
        </w:numPr>
        <w:spacing w:before="100" w:beforeAutospacing="1" w:after="200" w:line="276" w:lineRule="auto"/>
        <w:ind w:left="1704" w:right="1560" w:hanging="240"/>
        <w:jc w:val="both"/>
        <w:textAlignment w:val="baseline"/>
        <w:rPr>
          <w:rFonts w:ascii="Calibri" w:hAnsi="Calibri" w:cs="Calibri"/>
          <w:sz w:val="22"/>
          <w:szCs w:val="22"/>
        </w:rPr>
      </w:pPr>
      <w:r w:rsidRPr="006056FE">
        <w:rPr>
          <w:rFonts w:ascii="Calibri" w:eastAsia="Arial" w:hAnsi="Calibri" w:cs="Calibri"/>
          <w:sz w:val="22"/>
          <w:szCs w:val="22"/>
        </w:rPr>
        <w:t xml:space="preserve">Retribuciones </w:t>
      </w:r>
      <w:r w:rsidR="006056FE">
        <w:rPr>
          <w:rFonts w:ascii="Calibri" w:eastAsia="Arial" w:hAnsi="Calibri" w:cs="Calibri"/>
          <w:sz w:val="22"/>
          <w:szCs w:val="22"/>
        </w:rPr>
        <w:t>p</w:t>
      </w:r>
      <w:r w:rsidRPr="006056FE">
        <w:rPr>
          <w:rFonts w:ascii="Calibri" w:eastAsia="Arial" w:hAnsi="Calibri" w:cs="Calibri"/>
          <w:sz w:val="22"/>
          <w:szCs w:val="22"/>
        </w:rPr>
        <w:t xml:space="preserve">ersonales </w:t>
      </w:r>
      <w:r w:rsidR="006056FE">
        <w:rPr>
          <w:rFonts w:ascii="Calibri" w:eastAsia="Arial" w:hAnsi="Calibri" w:cs="Calibri"/>
          <w:sz w:val="22"/>
          <w:szCs w:val="22"/>
        </w:rPr>
        <w:t>b</w:t>
      </w:r>
      <w:r w:rsidRPr="006056FE">
        <w:rPr>
          <w:rFonts w:ascii="Calibri" w:eastAsia="Arial" w:hAnsi="Calibri" w:cs="Calibri"/>
          <w:sz w:val="22"/>
          <w:szCs w:val="22"/>
        </w:rPr>
        <w:t>ásicas (</w:t>
      </w:r>
      <w:r w:rsidR="006056FE">
        <w:rPr>
          <w:rFonts w:ascii="Calibri" w:eastAsia="Arial" w:hAnsi="Calibri" w:cs="Calibri"/>
          <w:sz w:val="22"/>
          <w:szCs w:val="22"/>
        </w:rPr>
        <w:t>s</w:t>
      </w:r>
      <w:r w:rsidRPr="006056FE">
        <w:rPr>
          <w:rFonts w:ascii="Calibri" w:eastAsia="Arial" w:hAnsi="Calibri" w:cs="Calibri"/>
          <w:sz w:val="22"/>
          <w:szCs w:val="22"/>
        </w:rPr>
        <w:t xml:space="preserve">ueldo inicial de nivel y antigüedad). </w:t>
      </w:r>
    </w:p>
    <w:p w14:paraId="695D1725" w14:textId="77777777" w:rsidR="006056FE" w:rsidRPr="006056FE" w:rsidRDefault="00EC0BEF" w:rsidP="00EC0BEF">
      <w:pPr>
        <w:pStyle w:val="Style"/>
        <w:numPr>
          <w:ilvl w:val="0"/>
          <w:numId w:val="2"/>
        </w:numPr>
        <w:spacing w:before="100" w:beforeAutospacing="1" w:after="200" w:line="276" w:lineRule="auto"/>
        <w:ind w:left="1637" w:right="1627" w:hanging="221"/>
        <w:jc w:val="both"/>
        <w:textAlignment w:val="baseline"/>
        <w:rPr>
          <w:rFonts w:ascii="Calibri" w:hAnsi="Calibri" w:cs="Calibri"/>
          <w:sz w:val="22"/>
          <w:szCs w:val="22"/>
        </w:rPr>
      </w:pPr>
      <w:r w:rsidRPr="006056FE">
        <w:rPr>
          <w:rFonts w:ascii="Calibri" w:eastAsia="Arial" w:hAnsi="Calibri" w:cs="Calibri"/>
          <w:sz w:val="22"/>
          <w:szCs w:val="22"/>
        </w:rPr>
        <w:t xml:space="preserve">Retribuciones </w:t>
      </w:r>
      <w:r w:rsidR="006056FE">
        <w:rPr>
          <w:rFonts w:ascii="Calibri" w:eastAsia="Arial" w:hAnsi="Calibri" w:cs="Calibri"/>
          <w:sz w:val="22"/>
          <w:szCs w:val="22"/>
        </w:rPr>
        <w:t>c</w:t>
      </w:r>
      <w:r w:rsidRPr="006056FE">
        <w:rPr>
          <w:rFonts w:ascii="Calibri" w:eastAsia="Arial" w:hAnsi="Calibri" w:cs="Calibri"/>
          <w:sz w:val="22"/>
          <w:szCs w:val="22"/>
        </w:rPr>
        <w:t>omplementarias de puesto de trabajo (</w:t>
      </w:r>
      <w:r w:rsidR="006056FE">
        <w:rPr>
          <w:rFonts w:ascii="Calibri" w:eastAsia="Arial" w:hAnsi="Calibri" w:cs="Calibri"/>
          <w:sz w:val="22"/>
          <w:szCs w:val="22"/>
        </w:rPr>
        <w:t>c</w:t>
      </w:r>
      <w:r w:rsidRPr="006056FE">
        <w:rPr>
          <w:rFonts w:ascii="Calibri" w:eastAsia="Arial" w:hAnsi="Calibri" w:cs="Calibri"/>
          <w:sz w:val="22"/>
          <w:szCs w:val="22"/>
        </w:rPr>
        <w:t xml:space="preserve">omplemento de </w:t>
      </w:r>
      <w:r w:rsidR="006056FE">
        <w:rPr>
          <w:rFonts w:ascii="Calibri" w:eastAsia="Arial" w:hAnsi="Calibri" w:cs="Calibri"/>
          <w:sz w:val="22"/>
          <w:szCs w:val="22"/>
        </w:rPr>
        <w:t>d</w:t>
      </w:r>
      <w:r w:rsidRPr="006056FE">
        <w:rPr>
          <w:rFonts w:ascii="Calibri" w:eastAsia="Arial" w:hAnsi="Calibri" w:cs="Calibri"/>
          <w:sz w:val="22"/>
          <w:szCs w:val="22"/>
        </w:rPr>
        <w:t xml:space="preserve">estino, </w:t>
      </w:r>
      <w:r w:rsidR="006056FE">
        <w:rPr>
          <w:rFonts w:ascii="Calibri" w:eastAsia="Arial" w:hAnsi="Calibri" w:cs="Calibri"/>
          <w:sz w:val="22"/>
          <w:szCs w:val="22"/>
        </w:rPr>
        <w:t>c</w:t>
      </w:r>
      <w:r w:rsidRPr="006056FE">
        <w:rPr>
          <w:rFonts w:ascii="Calibri" w:eastAsia="Arial" w:hAnsi="Calibri" w:cs="Calibri"/>
          <w:sz w:val="22"/>
          <w:szCs w:val="22"/>
        </w:rPr>
        <w:t xml:space="preserve">omplemento </w:t>
      </w:r>
      <w:r w:rsidR="006056FE">
        <w:rPr>
          <w:rFonts w:ascii="Calibri" w:eastAsia="Arial" w:hAnsi="Calibri" w:cs="Calibri"/>
          <w:sz w:val="22"/>
          <w:szCs w:val="22"/>
        </w:rPr>
        <w:t>e</w:t>
      </w:r>
      <w:r w:rsidRPr="006056FE">
        <w:rPr>
          <w:rFonts w:ascii="Calibri" w:eastAsia="Arial" w:hAnsi="Calibri" w:cs="Calibri"/>
          <w:sz w:val="22"/>
          <w:szCs w:val="22"/>
        </w:rPr>
        <w:t xml:space="preserve">specífico, </w:t>
      </w:r>
      <w:r w:rsidR="006056FE">
        <w:rPr>
          <w:rFonts w:ascii="Calibri" w:eastAsia="Arial" w:hAnsi="Calibri" w:cs="Calibri"/>
          <w:sz w:val="22"/>
          <w:szCs w:val="22"/>
        </w:rPr>
        <w:t>c</w:t>
      </w:r>
      <w:r w:rsidRPr="006056FE">
        <w:rPr>
          <w:rFonts w:ascii="Calibri" w:eastAsia="Arial" w:hAnsi="Calibri" w:cs="Calibri"/>
          <w:sz w:val="22"/>
          <w:szCs w:val="22"/>
        </w:rPr>
        <w:t xml:space="preserve">omplemento de </w:t>
      </w:r>
      <w:r w:rsidR="006056FE">
        <w:rPr>
          <w:rFonts w:ascii="Calibri" w:eastAsia="Arial" w:hAnsi="Calibri" w:cs="Calibri"/>
          <w:sz w:val="22"/>
          <w:szCs w:val="22"/>
        </w:rPr>
        <w:t>p</w:t>
      </w:r>
      <w:r w:rsidRPr="006056FE">
        <w:rPr>
          <w:rFonts w:ascii="Calibri" w:eastAsia="Arial" w:hAnsi="Calibri" w:cs="Calibri"/>
          <w:sz w:val="22"/>
          <w:szCs w:val="22"/>
        </w:rPr>
        <w:t>roductividad, prolongación de jornada o especial riesgo...).</w:t>
      </w:r>
    </w:p>
    <w:p w14:paraId="15650963" w14:textId="0B1869BC" w:rsidR="00E114C3" w:rsidRPr="006056FE" w:rsidRDefault="00EC0BEF" w:rsidP="00EC0BEF">
      <w:pPr>
        <w:pStyle w:val="Style"/>
        <w:numPr>
          <w:ilvl w:val="0"/>
          <w:numId w:val="2"/>
        </w:numPr>
        <w:spacing w:before="100" w:beforeAutospacing="1" w:after="200" w:line="276" w:lineRule="auto"/>
        <w:ind w:left="1637" w:right="1627" w:hanging="221"/>
        <w:jc w:val="both"/>
        <w:textAlignment w:val="baseline"/>
        <w:rPr>
          <w:rFonts w:ascii="Calibri" w:hAnsi="Calibri" w:cs="Calibri"/>
          <w:sz w:val="22"/>
          <w:szCs w:val="22"/>
        </w:rPr>
      </w:pPr>
      <w:r w:rsidRPr="006056FE">
        <w:rPr>
          <w:rFonts w:ascii="Calibri" w:eastAsia="Arial" w:hAnsi="Calibri" w:cs="Calibri"/>
          <w:sz w:val="22"/>
          <w:szCs w:val="22"/>
        </w:rPr>
        <w:t xml:space="preserve">Indemnizaciones y otras </w:t>
      </w:r>
      <w:r w:rsidR="006056FE">
        <w:rPr>
          <w:rFonts w:ascii="Calibri" w:eastAsia="Arial" w:hAnsi="Calibri" w:cs="Calibri"/>
          <w:sz w:val="22"/>
          <w:szCs w:val="22"/>
        </w:rPr>
        <w:t>r</w:t>
      </w:r>
      <w:r w:rsidRPr="006056FE">
        <w:rPr>
          <w:rFonts w:ascii="Calibri" w:eastAsia="Arial" w:hAnsi="Calibri" w:cs="Calibri"/>
          <w:sz w:val="22"/>
          <w:szCs w:val="22"/>
        </w:rPr>
        <w:t xml:space="preserve">etribuciones </w:t>
      </w:r>
      <w:r w:rsidR="006056FE">
        <w:rPr>
          <w:rFonts w:ascii="Calibri" w:eastAsia="Arial" w:hAnsi="Calibri" w:cs="Calibri"/>
          <w:sz w:val="22"/>
          <w:szCs w:val="22"/>
        </w:rPr>
        <w:t>e</w:t>
      </w:r>
      <w:r w:rsidRPr="006056FE">
        <w:rPr>
          <w:rFonts w:ascii="Calibri" w:eastAsia="Arial" w:hAnsi="Calibri" w:cs="Calibri"/>
          <w:sz w:val="22"/>
          <w:szCs w:val="22"/>
        </w:rPr>
        <w:t>speciales (</w:t>
      </w:r>
      <w:r w:rsidR="006056FE">
        <w:rPr>
          <w:rFonts w:ascii="Calibri" w:eastAsia="Arial" w:hAnsi="Calibri" w:cs="Calibri"/>
          <w:sz w:val="22"/>
          <w:szCs w:val="22"/>
        </w:rPr>
        <w:t>p</w:t>
      </w:r>
      <w:r w:rsidRPr="006056FE">
        <w:rPr>
          <w:rFonts w:ascii="Calibri" w:eastAsia="Arial" w:hAnsi="Calibri" w:cs="Calibri"/>
          <w:sz w:val="22"/>
          <w:szCs w:val="22"/>
        </w:rPr>
        <w:t xml:space="preserve">lus de </w:t>
      </w:r>
      <w:r w:rsidR="006056FE">
        <w:rPr>
          <w:rFonts w:ascii="Calibri" w:eastAsia="Arial" w:hAnsi="Calibri" w:cs="Calibri"/>
          <w:sz w:val="22"/>
          <w:szCs w:val="22"/>
        </w:rPr>
        <w:t>d</w:t>
      </w:r>
      <w:r w:rsidRPr="006056FE">
        <w:rPr>
          <w:rFonts w:ascii="Calibri" w:eastAsia="Arial" w:hAnsi="Calibri" w:cs="Calibri"/>
          <w:sz w:val="22"/>
          <w:szCs w:val="22"/>
        </w:rPr>
        <w:t xml:space="preserve">ispersión </w:t>
      </w:r>
      <w:r w:rsidR="006056FE">
        <w:rPr>
          <w:rFonts w:ascii="Calibri" w:eastAsia="Arial" w:hAnsi="Calibri" w:cs="Calibri"/>
          <w:sz w:val="22"/>
          <w:szCs w:val="22"/>
        </w:rPr>
        <w:t>g</w:t>
      </w:r>
      <w:r w:rsidRPr="006056FE">
        <w:rPr>
          <w:rFonts w:ascii="Calibri" w:eastAsia="Arial" w:hAnsi="Calibri" w:cs="Calibri"/>
          <w:sz w:val="22"/>
          <w:szCs w:val="22"/>
        </w:rPr>
        <w:t xml:space="preserve">eográfica, </w:t>
      </w:r>
      <w:r w:rsidR="006056FE">
        <w:rPr>
          <w:rFonts w:ascii="Calibri" w:eastAsia="Arial" w:hAnsi="Calibri" w:cs="Calibri"/>
          <w:sz w:val="22"/>
          <w:szCs w:val="22"/>
        </w:rPr>
        <w:t>a</w:t>
      </w:r>
      <w:r w:rsidRPr="006056FE">
        <w:rPr>
          <w:rFonts w:ascii="Calibri" w:eastAsia="Arial" w:hAnsi="Calibri" w:cs="Calibri"/>
          <w:sz w:val="22"/>
          <w:szCs w:val="22"/>
        </w:rPr>
        <w:t xml:space="preserve">yuda </w:t>
      </w:r>
      <w:r w:rsidR="006056FE">
        <w:rPr>
          <w:rFonts w:ascii="Calibri" w:eastAsia="Arial" w:hAnsi="Calibri" w:cs="Calibri"/>
          <w:sz w:val="22"/>
          <w:szCs w:val="22"/>
        </w:rPr>
        <w:t>f</w:t>
      </w:r>
      <w:r w:rsidRPr="006056FE">
        <w:rPr>
          <w:rFonts w:ascii="Calibri" w:eastAsia="Arial" w:hAnsi="Calibri" w:cs="Calibri"/>
          <w:sz w:val="22"/>
          <w:szCs w:val="22"/>
        </w:rPr>
        <w:t xml:space="preserve">amiliar, gastos realizados por razón del servicio, viajes o traslado forzoso con cambio de residencia, horas extraordinarias...). </w:t>
      </w:r>
    </w:p>
    <w:p w14:paraId="6025E79D" w14:textId="77777777" w:rsidR="00E114C3" w:rsidRPr="006056FE" w:rsidRDefault="00EC0BEF" w:rsidP="00EC0BEF">
      <w:pPr>
        <w:pStyle w:val="Style"/>
        <w:spacing w:before="100" w:beforeAutospacing="1" w:after="200" w:line="276" w:lineRule="auto"/>
        <w:ind w:left="708" w:right="1565"/>
        <w:jc w:val="both"/>
        <w:textAlignment w:val="baseline"/>
        <w:rPr>
          <w:rFonts w:ascii="Calibri" w:hAnsi="Calibri" w:cs="Calibri"/>
          <w:sz w:val="22"/>
          <w:szCs w:val="22"/>
        </w:rPr>
      </w:pPr>
      <w:r w:rsidRPr="006056FE">
        <w:rPr>
          <w:rFonts w:ascii="Calibri" w:eastAsia="Arial" w:hAnsi="Calibri" w:cs="Calibri"/>
          <w:sz w:val="22"/>
          <w:szCs w:val="22"/>
        </w:rPr>
        <w:t xml:space="preserve">La Ley de Carrera Profesional desarrollada posteriormente ha incorporado nuevos parámetros que, al no estar dotada en la práctica de un mecanismo realmente discriminador de los méritos profesionales logrados, se ha convertido en un mecanismo adicional de retribución de la antigüedad. </w:t>
      </w:r>
    </w:p>
    <w:p w14:paraId="29336B45" w14:textId="77777777" w:rsidR="00E114C3" w:rsidRPr="006056FE" w:rsidRDefault="00EC0BEF" w:rsidP="00EC0BEF">
      <w:pPr>
        <w:pStyle w:val="Style"/>
        <w:spacing w:before="100" w:beforeAutospacing="1" w:after="200" w:line="276" w:lineRule="auto"/>
        <w:ind w:left="708" w:right="1565"/>
        <w:jc w:val="both"/>
        <w:textAlignment w:val="baseline"/>
        <w:rPr>
          <w:rFonts w:ascii="Calibri" w:hAnsi="Calibri" w:cs="Calibri"/>
          <w:sz w:val="22"/>
          <w:szCs w:val="22"/>
        </w:rPr>
      </w:pPr>
      <w:r w:rsidRPr="006056FE">
        <w:rPr>
          <w:rFonts w:ascii="Calibri" w:eastAsia="Arial" w:hAnsi="Calibri" w:cs="Calibri"/>
          <w:sz w:val="22"/>
          <w:szCs w:val="22"/>
        </w:rPr>
        <w:t xml:space="preserve">Actualmente las retribuciones personales básicas se basan en una definición de nivel no acorde con las titulaciones oficiales vigentes para profesionales del sistema sanitario ni acordes al espacio académico europeo. </w:t>
      </w:r>
    </w:p>
    <w:p w14:paraId="34A70BDC" w14:textId="2166C61B" w:rsidR="00E114C3" w:rsidRPr="006056FE" w:rsidRDefault="00EC0BEF" w:rsidP="00EC0BEF">
      <w:pPr>
        <w:pStyle w:val="Style"/>
        <w:spacing w:before="100" w:beforeAutospacing="1" w:after="200" w:line="276" w:lineRule="auto"/>
        <w:ind w:left="708" w:right="1622"/>
        <w:jc w:val="both"/>
        <w:textAlignment w:val="baseline"/>
        <w:rPr>
          <w:rFonts w:ascii="Calibri" w:hAnsi="Calibri" w:cs="Calibri"/>
          <w:sz w:val="22"/>
          <w:szCs w:val="22"/>
        </w:rPr>
      </w:pPr>
      <w:r w:rsidRPr="006056FE">
        <w:rPr>
          <w:rFonts w:ascii="Calibri" w:eastAsia="Arial" w:hAnsi="Calibri" w:cs="Calibri"/>
          <w:sz w:val="22"/>
          <w:szCs w:val="22"/>
        </w:rPr>
        <w:t>Las retribuciones complementarias no reflejan la diversidad de situaciones profesionales que afectan a quienes trabajan en el sistema sanitario público y la indefinición en algunas ocasiones lleva a estudiar formas atípicas de retribuir situaciones que no son acordes a la situación administrativa real o a las características de cada puesto de trabajo (</w:t>
      </w:r>
      <w:r w:rsidR="00BF2D49">
        <w:rPr>
          <w:rFonts w:ascii="Calibri" w:eastAsia="Arial" w:hAnsi="Calibri" w:cs="Calibri"/>
          <w:sz w:val="22"/>
          <w:szCs w:val="22"/>
        </w:rPr>
        <w:t>j</w:t>
      </w:r>
      <w:r w:rsidRPr="006056FE">
        <w:rPr>
          <w:rFonts w:ascii="Calibri" w:eastAsia="Arial" w:hAnsi="Calibri" w:cs="Calibri"/>
          <w:sz w:val="22"/>
          <w:szCs w:val="22"/>
        </w:rPr>
        <w:t xml:space="preserve">efaturas de </w:t>
      </w:r>
      <w:r w:rsidR="00BF2D49">
        <w:rPr>
          <w:rFonts w:ascii="Calibri" w:eastAsia="Arial" w:hAnsi="Calibri" w:cs="Calibri"/>
          <w:sz w:val="22"/>
          <w:szCs w:val="22"/>
        </w:rPr>
        <w:t>s</w:t>
      </w:r>
      <w:r w:rsidRPr="006056FE">
        <w:rPr>
          <w:rFonts w:ascii="Calibri" w:eastAsia="Arial" w:hAnsi="Calibri" w:cs="Calibri"/>
          <w:sz w:val="22"/>
          <w:szCs w:val="22"/>
        </w:rPr>
        <w:t xml:space="preserve">ecciones o de </w:t>
      </w:r>
      <w:r w:rsidR="00BF2D49">
        <w:rPr>
          <w:rFonts w:ascii="Calibri" w:eastAsia="Arial" w:hAnsi="Calibri" w:cs="Calibri"/>
          <w:sz w:val="22"/>
          <w:szCs w:val="22"/>
        </w:rPr>
        <w:t>s</w:t>
      </w:r>
      <w:r w:rsidRPr="006056FE">
        <w:rPr>
          <w:rFonts w:ascii="Calibri" w:eastAsia="Arial" w:hAnsi="Calibri" w:cs="Calibri"/>
          <w:sz w:val="22"/>
          <w:szCs w:val="22"/>
        </w:rPr>
        <w:t xml:space="preserve">ervicios sin personal, </w:t>
      </w:r>
      <w:r w:rsidR="00BF2D49">
        <w:rPr>
          <w:rFonts w:ascii="Calibri" w:eastAsia="Arial" w:hAnsi="Calibri" w:cs="Calibri"/>
          <w:sz w:val="22"/>
          <w:szCs w:val="22"/>
        </w:rPr>
        <w:t>c</w:t>
      </w:r>
      <w:r w:rsidRPr="006056FE">
        <w:rPr>
          <w:rFonts w:ascii="Calibri" w:eastAsia="Arial" w:hAnsi="Calibri" w:cs="Calibri"/>
          <w:sz w:val="22"/>
          <w:szCs w:val="22"/>
        </w:rPr>
        <w:t xml:space="preserve">omplemento </w:t>
      </w:r>
      <w:r w:rsidR="00BF2D49">
        <w:rPr>
          <w:rFonts w:ascii="Calibri" w:eastAsia="Arial" w:hAnsi="Calibri" w:cs="Calibri"/>
          <w:sz w:val="22"/>
          <w:szCs w:val="22"/>
        </w:rPr>
        <w:t>p</w:t>
      </w:r>
      <w:r w:rsidRPr="006056FE">
        <w:rPr>
          <w:rFonts w:ascii="Calibri" w:eastAsia="Arial" w:hAnsi="Calibri" w:cs="Calibri"/>
          <w:sz w:val="22"/>
          <w:szCs w:val="22"/>
        </w:rPr>
        <w:t xml:space="preserve">roductividad </w:t>
      </w:r>
      <w:r w:rsidR="00BF2D49">
        <w:rPr>
          <w:rFonts w:ascii="Calibri" w:eastAsia="Arial" w:hAnsi="Calibri" w:cs="Calibri"/>
          <w:sz w:val="22"/>
          <w:szCs w:val="22"/>
        </w:rPr>
        <w:t>f</w:t>
      </w:r>
      <w:r w:rsidRPr="006056FE">
        <w:rPr>
          <w:rFonts w:ascii="Calibri" w:eastAsia="Arial" w:hAnsi="Calibri" w:cs="Calibri"/>
          <w:sz w:val="22"/>
          <w:szCs w:val="22"/>
        </w:rPr>
        <w:t xml:space="preserve">ija... ). </w:t>
      </w:r>
    </w:p>
    <w:p w14:paraId="27732C7C" w14:textId="494BE0EE" w:rsidR="006056FE" w:rsidRDefault="00EC0BEF" w:rsidP="00EC0BEF">
      <w:pPr>
        <w:pStyle w:val="Style"/>
        <w:spacing w:before="100" w:beforeAutospacing="1" w:after="200" w:line="276" w:lineRule="auto"/>
        <w:ind w:left="708" w:right="1565"/>
        <w:jc w:val="both"/>
        <w:textAlignment w:val="baseline"/>
        <w:rPr>
          <w:rFonts w:ascii="Calibri" w:hAnsi="Calibri" w:cs="Calibri"/>
          <w:sz w:val="22"/>
          <w:szCs w:val="22"/>
        </w:rPr>
      </w:pPr>
      <w:r w:rsidRPr="006056FE">
        <w:rPr>
          <w:rFonts w:ascii="Calibri" w:eastAsia="Arial" w:hAnsi="Calibri" w:cs="Calibri"/>
          <w:sz w:val="22"/>
          <w:szCs w:val="22"/>
        </w:rPr>
        <w:t xml:space="preserve">Por otra parte, es necesario identificar aspectos a retribuir que reflejen mayor dedicación y vinculación al sistema, así como situaciones de mayor exigencia personal o profesional que requieren complementos especiales. Entre estas situaciones se podrían contemplar: productividad, peligrosidad, dispersión geográfica o puestos de difícil cobertura, turnos de guardia, puestos de especial responsabilidad, puestos de especial complejidad, participación en grupos de mejora con diferentes niveles de implicación, perfil de docencia pregrado, postgrado, formación continuada, implicación en investigación, </w:t>
      </w:r>
      <w:r w:rsidRPr="006056FE">
        <w:rPr>
          <w:rFonts w:ascii="Calibri" w:hAnsi="Calibri" w:cs="Calibri"/>
          <w:w w:val="90"/>
          <w:sz w:val="22"/>
          <w:szCs w:val="22"/>
        </w:rPr>
        <w:t xml:space="preserve">y </w:t>
      </w:r>
      <w:r w:rsidRPr="006056FE">
        <w:rPr>
          <w:rFonts w:ascii="Calibri" w:eastAsia="Arial" w:hAnsi="Calibri" w:cs="Calibri"/>
          <w:sz w:val="22"/>
          <w:szCs w:val="22"/>
        </w:rPr>
        <w:t xml:space="preserve">los aspectos que sea preciso considerar por suponer grados diferentes de implicación de profesionales con el sistema, la atención de salud y sus objetivos. </w:t>
      </w:r>
    </w:p>
    <w:p w14:paraId="111D0338" w14:textId="0116A042" w:rsidR="006056FE" w:rsidRPr="00BF2D49" w:rsidRDefault="00EC0BEF" w:rsidP="00EC0BEF">
      <w:pPr>
        <w:pStyle w:val="Style"/>
        <w:spacing w:before="100" w:beforeAutospacing="1" w:after="200" w:line="276" w:lineRule="auto"/>
        <w:ind w:right="1541" w:firstLine="708"/>
        <w:jc w:val="both"/>
        <w:textAlignment w:val="baseline"/>
        <w:rPr>
          <w:rFonts w:ascii="Calibri" w:hAnsi="Calibri" w:cs="Calibri"/>
          <w:bCs/>
          <w:sz w:val="22"/>
          <w:szCs w:val="22"/>
        </w:rPr>
      </w:pPr>
      <w:r w:rsidRPr="006056FE">
        <w:rPr>
          <w:rFonts w:ascii="Calibri" w:eastAsia="Arial" w:hAnsi="Calibri" w:cs="Calibri"/>
          <w:sz w:val="22"/>
          <w:szCs w:val="22"/>
        </w:rPr>
        <w:t xml:space="preserve">Por ello, presentamos la siguiente </w:t>
      </w:r>
      <w:r w:rsidR="00BF2D49" w:rsidRPr="00BF2D49">
        <w:rPr>
          <w:rFonts w:ascii="Calibri" w:eastAsia="Arial" w:hAnsi="Calibri" w:cs="Calibri"/>
          <w:bCs/>
          <w:sz w:val="22"/>
          <w:szCs w:val="22"/>
        </w:rPr>
        <w:t>propuesta de resolución:</w:t>
      </w:r>
    </w:p>
    <w:p w14:paraId="322C062C" w14:textId="77777777" w:rsidR="00BF2D49" w:rsidRDefault="00EC0BEF" w:rsidP="00EC0BEF">
      <w:pPr>
        <w:pStyle w:val="Style"/>
        <w:spacing w:before="100" w:beforeAutospacing="1" w:after="200" w:line="276" w:lineRule="auto"/>
        <w:ind w:left="708" w:right="1536"/>
        <w:jc w:val="both"/>
        <w:textAlignment w:val="baseline"/>
        <w:rPr>
          <w:rFonts w:ascii="Calibri" w:eastAsia="Arial" w:hAnsi="Calibri" w:cs="Calibri"/>
          <w:bCs/>
          <w:sz w:val="22"/>
          <w:szCs w:val="22"/>
        </w:rPr>
      </w:pPr>
      <w:r w:rsidRPr="00BF2D49">
        <w:rPr>
          <w:rFonts w:ascii="Calibri" w:eastAsia="Arial" w:hAnsi="Calibri" w:cs="Calibri"/>
          <w:bCs/>
          <w:sz w:val="22"/>
          <w:szCs w:val="22"/>
        </w:rPr>
        <w:t xml:space="preserve">El Parlamento de Navarra insta al Gobierno de Navarra </w:t>
      </w:r>
      <w:r w:rsidRPr="00BF2D49">
        <w:rPr>
          <w:rFonts w:ascii="Calibri" w:hAnsi="Calibri" w:cs="Calibri"/>
          <w:bCs/>
          <w:sz w:val="22"/>
          <w:szCs w:val="22"/>
        </w:rPr>
        <w:t xml:space="preserve">y </w:t>
      </w:r>
      <w:r w:rsidRPr="00BF2D49">
        <w:rPr>
          <w:rFonts w:ascii="Calibri" w:eastAsia="Arial" w:hAnsi="Calibri" w:cs="Calibri"/>
          <w:bCs/>
          <w:sz w:val="22"/>
          <w:szCs w:val="22"/>
        </w:rPr>
        <w:t xml:space="preserve">al Departamento de Salud a realizar un </w:t>
      </w:r>
      <w:r w:rsidR="00BF2D49">
        <w:rPr>
          <w:rFonts w:ascii="Calibri" w:eastAsia="Arial" w:hAnsi="Calibri" w:cs="Calibri"/>
          <w:bCs/>
          <w:sz w:val="22"/>
          <w:szCs w:val="22"/>
        </w:rPr>
        <w:t>e</w:t>
      </w:r>
      <w:r w:rsidRPr="00BF2D49">
        <w:rPr>
          <w:rFonts w:ascii="Calibri" w:eastAsia="Arial" w:hAnsi="Calibri" w:cs="Calibri"/>
          <w:bCs/>
          <w:sz w:val="22"/>
          <w:szCs w:val="22"/>
        </w:rPr>
        <w:t xml:space="preserve">studio, en el plazo de un año, para valorar todos los aspectos retributivos de puestos de profesionales del sistema público de </w:t>
      </w:r>
      <w:r w:rsidR="00BF2D49">
        <w:rPr>
          <w:rFonts w:ascii="Calibri" w:eastAsia="Arial" w:hAnsi="Calibri" w:cs="Calibri"/>
          <w:bCs/>
          <w:sz w:val="22"/>
          <w:szCs w:val="22"/>
        </w:rPr>
        <w:t>s</w:t>
      </w:r>
      <w:r w:rsidRPr="00BF2D49">
        <w:rPr>
          <w:rFonts w:ascii="Calibri" w:eastAsia="Arial" w:hAnsi="Calibri" w:cs="Calibri"/>
          <w:bCs/>
          <w:sz w:val="22"/>
          <w:szCs w:val="22"/>
        </w:rPr>
        <w:t>alud (</w:t>
      </w:r>
      <w:r w:rsidR="00BF2D49">
        <w:rPr>
          <w:rFonts w:ascii="Calibri" w:eastAsia="Arial" w:hAnsi="Calibri" w:cs="Calibri"/>
          <w:bCs/>
          <w:sz w:val="22"/>
          <w:szCs w:val="22"/>
        </w:rPr>
        <w:t>r</w:t>
      </w:r>
      <w:r w:rsidRPr="00BF2D49">
        <w:rPr>
          <w:rFonts w:ascii="Calibri" w:eastAsia="Arial" w:hAnsi="Calibri" w:cs="Calibri"/>
          <w:bCs/>
          <w:sz w:val="22"/>
          <w:szCs w:val="22"/>
        </w:rPr>
        <w:t xml:space="preserve">etribución </w:t>
      </w:r>
      <w:r w:rsidR="00BF2D49">
        <w:rPr>
          <w:rFonts w:ascii="Calibri" w:eastAsia="Arial" w:hAnsi="Calibri" w:cs="Calibri"/>
          <w:bCs/>
          <w:sz w:val="22"/>
          <w:szCs w:val="22"/>
        </w:rPr>
        <w:t>p</w:t>
      </w:r>
      <w:r w:rsidRPr="00BF2D49">
        <w:rPr>
          <w:rFonts w:ascii="Calibri" w:eastAsia="Arial" w:hAnsi="Calibri" w:cs="Calibri"/>
          <w:bCs/>
          <w:sz w:val="22"/>
          <w:szCs w:val="22"/>
        </w:rPr>
        <w:t xml:space="preserve">ersonal </w:t>
      </w:r>
      <w:r w:rsidR="00BF2D49">
        <w:rPr>
          <w:rFonts w:ascii="Calibri" w:eastAsia="Arial" w:hAnsi="Calibri" w:cs="Calibri"/>
          <w:bCs/>
          <w:sz w:val="22"/>
          <w:szCs w:val="22"/>
        </w:rPr>
        <w:t>b</w:t>
      </w:r>
      <w:r w:rsidRPr="00BF2D49">
        <w:rPr>
          <w:rFonts w:ascii="Calibri" w:eastAsia="Arial" w:hAnsi="Calibri" w:cs="Calibri"/>
          <w:bCs/>
          <w:sz w:val="22"/>
          <w:szCs w:val="22"/>
        </w:rPr>
        <w:t xml:space="preserve">ásica, </w:t>
      </w:r>
      <w:r w:rsidR="00BF2D49">
        <w:rPr>
          <w:rFonts w:ascii="Calibri" w:eastAsia="Arial" w:hAnsi="Calibri" w:cs="Calibri"/>
          <w:bCs/>
          <w:sz w:val="22"/>
          <w:szCs w:val="22"/>
        </w:rPr>
        <w:t>r</w:t>
      </w:r>
      <w:r w:rsidRPr="00BF2D49">
        <w:rPr>
          <w:rFonts w:ascii="Calibri" w:eastAsia="Arial" w:hAnsi="Calibri" w:cs="Calibri"/>
          <w:bCs/>
          <w:sz w:val="22"/>
          <w:szCs w:val="22"/>
        </w:rPr>
        <w:t xml:space="preserve">etribuciones </w:t>
      </w:r>
      <w:r w:rsidR="00BF2D49">
        <w:rPr>
          <w:rFonts w:ascii="Calibri" w:eastAsia="Arial" w:hAnsi="Calibri" w:cs="Calibri"/>
          <w:bCs/>
          <w:sz w:val="22"/>
          <w:szCs w:val="22"/>
        </w:rPr>
        <w:t>c</w:t>
      </w:r>
      <w:r w:rsidRPr="00BF2D49">
        <w:rPr>
          <w:rFonts w:ascii="Calibri" w:eastAsia="Arial" w:hAnsi="Calibri" w:cs="Calibri"/>
          <w:bCs/>
          <w:sz w:val="22"/>
          <w:szCs w:val="22"/>
        </w:rPr>
        <w:t xml:space="preserve">omplementarias e </w:t>
      </w:r>
      <w:r w:rsidR="00BF2D49">
        <w:rPr>
          <w:rFonts w:ascii="Calibri" w:eastAsia="Arial" w:hAnsi="Calibri" w:cs="Calibri"/>
          <w:bCs/>
          <w:sz w:val="22"/>
          <w:szCs w:val="22"/>
        </w:rPr>
        <w:t>i</w:t>
      </w:r>
      <w:r w:rsidRPr="00BF2D49">
        <w:rPr>
          <w:rFonts w:ascii="Calibri" w:eastAsia="Arial" w:hAnsi="Calibri" w:cs="Calibri"/>
          <w:bCs/>
          <w:sz w:val="22"/>
          <w:szCs w:val="22"/>
        </w:rPr>
        <w:t xml:space="preserve">ndemnizaciones </w:t>
      </w:r>
      <w:r w:rsidRPr="00BF2D49">
        <w:rPr>
          <w:rFonts w:ascii="Calibri" w:hAnsi="Calibri" w:cs="Calibri"/>
          <w:bCs/>
          <w:sz w:val="22"/>
          <w:szCs w:val="22"/>
        </w:rPr>
        <w:t xml:space="preserve">y </w:t>
      </w:r>
      <w:r w:rsidRPr="00BF2D49">
        <w:rPr>
          <w:rFonts w:ascii="Calibri" w:eastAsia="Arial" w:hAnsi="Calibri" w:cs="Calibri"/>
          <w:bCs/>
          <w:sz w:val="22"/>
          <w:szCs w:val="22"/>
        </w:rPr>
        <w:t xml:space="preserve">otras </w:t>
      </w:r>
      <w:r w:rsidR="00BF2D49">
        <w:rPr>
          <w:rFonts w:ascii="Calibri" w:eastAsia="Arial" w:hAnsi="Calibri" w:cs="Calibri"/>
          <w:bCs/>
          <w:sz w:val="22"/>
          <w:szCs w:val="22"/>
        </w:rPr>
        <w:t>r</w:t>
      </w:r>
      <w:r w:rsidRPr="00BF2D49">
        <w:rPr>
          <w:rFonts w:ascii="Calibri" w:eastAsia="Arial" w:hAnsi="Calibri" w:cs="Calibri"/>
          <w:bCs/>
          <w:sz w:val="22"/>
          <w:szCs w:val="22"/>
        </w:rPr>
        <w:t xml:space="preserve">etribuciones </w:t>
      </w:r>
      <w:r w:rsidR="00BF2D49">
        <w:rPr>
          <w:rFonts w:ascii="Calibri" w:eastAsia="Arial" w:hAnsi="Calibri" w:cs="Calibri"/>
          <w:bCs/>
          <w:sz w:val="22"/>
          <w:szCs w:val="22"/>
        </w:rPr>
        <w:t>e</w:t>
      </w:r>
      <w:r w:rsidRPr="00BF2D49">
        <w:rPr>
          <w:rFonts w:ascii="Calibri" w:eastAsia="Arial" w:hAnsi="Calibri" w:cs="Calibri"/>
          <w:bCs/>
          <w:sz w:val="22"/>
          <w:szCs w:val="22"/>
        </w:rPr>
        <w:t xml:space="preserve">speciales), con elementos que contemplen la definición de puestos de trabajo (adscripción de </w:t>
      </w:r>
      <w:r w:rsidRPr="00BF2D49">
        <w:rPr>
          <w:rFonts w:ascii="Calibri" w:eastAsia="Arial" w:hAnsi="Calibri" w:cs="Calibri"/>
          <w:bCs/>
          <w:sz w:val="22"/>
          <w:szCs w:val="22"/>
        </w:rPr>
        <w:lastRenderedPageBreak/>
        <w:t xml:space="preserve">nivel, consideración de puesto de trabajo sanitario...) que actualmente tienen su desempeño en el sistema público de salud, su vinculación al mismo, así como la versatilidad de los diferentes grupos estamentales entre sí, de manera que se optimice la inversión en formación o especialización asociada a perfiles de trabajo similares </w:t>
      </w:r>
      <w:r w:rsidRPr="00BF2D49">
        <w:rPr>
          <w:rFonts w:ascii="Calibri" w:hAnsi="Calibri" w:cs="Calibri"/>
          <w:bCs/>
          <w:w w:val="90"/>
          <w:sz w:val="22"/>
          <w:szCs w:val="22"/>
        </w:rPr>
        <w:t xml:space="preserve">y </w:t>
      </w:r>
      <w:r w:rsidRPr="00BF2D49">
        <w:rPr>
          <w:rFonts w:ascii="Calibri" w:eastAsia="Arial" w:hAnsi="Calibri" w:cs="Calibri"/>
          <w:bCs/>
          <w:sz w:val="22"/>
          <w:szCs w:val="22"/>
        </w:rPr>
        <w:t xml:space="preserve">se adapte al espacio académico europeo. El resultado deberá presentarse en un formato abierto a la participación política, sindical </w:t>
      </w:r>
      <w:r w:rsidRPr="00BF2D49">
        <w:rPr>
          <w:rFonts w:ascii="Calibri" w:hAnsi="Calibri" w:cs="Calibri"/>
          <w:bCs/>
          <w:sz w:val="22"/>
          <w:szCs w:val="22"/>
        </w:rPr>
        <w:t xml:space="preserve">y </w:t>
      </w:r>
      <w:r w:rsidRPr="00BF2D49">
        <w:rPr>
          <w:rFonts w:ascii="Calibri" w:eastAsia="Arial" w:hAnsi="Calibri" w:cs="Calibri"/>
          <w:bCs/>
          <w:sz w:val="22"/>
          <w:szCs w:val="22"/>
        </w:rPr>
        <w:t>ciudadana</w:t>
      </w:r>
      <w:r w:rsidR="00BF2D49">
        <w:rPr>
          <w:rFonts w:ascii="Calibri" w:eastAsia="Arial" w:hAnsi="Calibri" w:cs="Calibri"/>
          <w:bCs/>
          <w:sz w:val="22"/>
          <w:szCs w:val="22"/>
        </w:rPr>
        <w:t>,</w:t>
      </w:r>
      <w:r w:rsidRPr="00BF2D49">
        <w:rPr>
          <w:rFonts w:ascii="Calibri" w:eastAsia="Arial" w:hAnsi="Calibri" w:cs="Calibri"/>
          <w:bCs/>
          <w:sz w:val="22"/>
          <w:szCs w:val="22"/>
        </w:rPr>
        <w:t xml:space="preserve"> de manera que las nuevas bases retributivas a implementar tengan un amplio consenso </w:t>
      </w:r>
      <w:r w:rsidRPr="00BF2D49">
        <w:rPr>
          <w:rFonts w:ascii="Calibri" w:hAnsi="Calibri" w:cs="Calibri"/>
          <w:bCs/>
          <w:sz w:val="22"/>
          <w:szCs w:val="22"/>
        </w:rPr>
        <w:t xml:space="preserve">y </w:t>
      </w:r>
      <w:r w:rsidRPr="00BF2D49">
        <w:rPr>
          <w:rFonts w:ascii="Calibri" w:eastAsia="Arial" w:hAnsi="Calibri" w:cs="Calibri"/>
          <w:bCs/>
          <w:sz w:val="22"/>
          <w:szCs w:val="22"/>
        </w:rPr>
        <w:t>transparencia.</w:t>
      </w:r>
    </w:p>
    <w:p w14:paraId="01B86AE0" w14:textId="1B7220A1" w:rsidR="00E114C3" w:rsidRDefault="00EC0BEF" w:rsidP="00EC0BEF">
      <w:pPr>
        <w:pStyle w:val="Style"/>
        <w:spacing w:before="100" w:beforeAutospacing="1" w:after="200" w:line="276" w:lineRule="auto"/>
        <w:ind w:left="1464" w:right="1536"/>
        <w:jc w:val="both"/>
        <w:textAlignment w:val="baseline"/>
        <w:rPr>
          <w:rFonts w:ascii="Calibri" w:eastAsia="Arial" w:hAnsi="Calibri" w:cs="Calibri"/>
          <w:sz w:val="22"/>
          <w:szCs w:val="22"/>
        </w:rPr>
      </w:pPr>
      <w:r w:rsidRPr="006056FE">
        <w:rPr>
          <w:rFonts w:ascii="Calibri" w:eastAsia="Arial" w:hAnsi="Calibri" w:cs="Calibri"/>
          <w:sz w:val="22"/>
          <w:szCs w:val="22"/>
        </w:rPr>
        <w:t>lruñea/Pamplona</w:t>
      </w:r>
      <w:r w:rsidR="00BF2D49">
        <w:rPr>
          <w:rFonts w:ascii="Calibri" w:eastAsia="Arial" w:hAnsi="Calibri" w:cs="Calibri"/>
          <w:sz w:val="22"/>
          <w:szCs w:val="22"/>
        </w:rPr>
        <w:t>,</w:t>
      </w:r>
      <w:r w:rsidRPr="006056FE">
        <w:rPr>
          <w:rFonts w:ascii="Calibri" w:eastAsia="Arial" w:hAnsi="Calibri" w:cs="Calibri"/>
          <w:sz w:val="22"/>
          <w:szCs w:val="22"/>
        </w:rPr>
        <w:t xml:space="preserve"> 23 de abril de 2024</w:t>
      </w:r>
    </w:p>
    <w:p w14:paraId="21050F87" w14:textId="24515FD9" w:rsidR="00BF2D49" w:rsidRPr="00BF2D49" w:rsidRDefault="00BF2D49" w:rsidP="00EC0BEF">
      <w:pPr>
        <w:pStyle w:val="Style"/>
        <w:spacing w:before="100" w:beforeAutospacing="1" w:after="200" w:line="276" w:lineRule="auto"/>
        <w:ind w:left="1464" w:right="1536"/>
        <w:jc w:val="both"/>
        <w:textAlignment w:val="baseline"/>
        <w:rPr>
          <w:rFonts w:ascii="Calibri" w:hAnsi="Calibri" w:cs="Calibri"/>
          <w:bCs/>
          <w:sz w:val="22"/>
          <w:szCs w:val="22"/>
        </w:rPr>
      </w:pPr>
      <w:r>
        <w:rPr>
          <w:rFonts w:ascii="Calibri" w:eastAsia="Arial" w:hAnsi="Calibri" w:cs="Calibri"/>
          <w:sz w:val="22"/>
          <w:szCs w:val="22"/>
        </w:rPr>
        <w:t>El Parlamentario Foral: Domingo González Martínez</w:t>
      </w:r>
    </w:p>
    <w:sectPr w:rsidR="00BF2D49" w:rsidRPr="00BF2D49" w:rsidSect="009F76E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AA4"/>
    <w:multiLevelType w:val="singleLevel"/>
    <w:tmpl w:val="837EE6E2"/>
    <w:lvl w:ilvl="0">
      <w:start w:val="1"/>
      <w:numFmt w:val="upperLetter"/>
      <w:lvlText w:val="%1)"/>
      <w:legacy w:legacy="1" w:legacySpace="0" w:legacyIndent="0"/>
      <w:lvlJc w:val="left"/>
      <w:rPr>
        <w:rFonts w:ascii="Arial" w:hAnsi="Arial" w:cs="Arial" w:hint="default"/>
        <w:sz w:val="18"/>
        <w:szCs w:val="18"/>
      </w:rPr>
    </w:lvl>
  </w:abstractNum>
  <w:abstractNum w:abstractNumId="1" w15:restartNumberingAfterBreak="0">
    <w:nsid w:val="267759CD"/>
    <w:multiLevelType w:val="singleLevel"/>
    <w:tmpl w:val="C678860E"/>
    <w:lvl w:ilvl="0">
      <w:start w:val="1"/>
      <w:numFmt w:val="upperLetter"/>
      <w:lvlText w:val="%1)"/>
      <w:legacy w:legacy="1" w:legacySpace="0" w:legacyIndent="0"/>
      <w:lvlJc w:val="left"/>
      <w:rPr>
        <w:rFonts w:ascii="Arial" w:hAnsi="Arial" w:cs="Arial" w:hint="default"/>
        <w:sz w:val="18"/>
        <w:szCs w:val="18"/>
      </w:rPr>
    </w:lvl>
  </w:abstractNum>
  <w:num w:numId="1" w16cid:durableId="998920951">
    <w:abstractNumId w:val="1"/>
  </w:num>
  <w:num w:numId="2" w16cid:durableId="207415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14C3"/>
    <w:rsid w:val="005332B5"/>
    <w:rsid w:val="006056FE"/>
    <w:rsid w:val="008A09DA"/>
    <w:rsid w:val="009F76E7"/>
    <w:rsid w:val="00A550CF"/>
    <w:rsid w:val="00BF2D49"/>
    <w:rsid w:val="00E02A35"/>
    <w:rsid w:val="00E114C3"/>
    <w:rsid w:val="00EC0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264E"/>
  <w15:docId w15:val="{3A90C239-B0B7-45A4-8BE4-B762ECAE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24MOC-57</vt:lpstr>
    </vt:vector>
  </TitlesOfParts>
  <Company>HP Inc.</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24MOC-57</dc:title>
  <dc:creator>informatica</dc:creator>
  <cp:keywords>CreatedByIRIS_Readiris_17.0</cp:keywords>
  <cp:lastModifiedBy>Mauleón, Fernando</cp:lastModifiedBy>
  <cp:revision>8</cp:revision>
  <dcterms:created xsi:type="dcterms:W3CDTF">2024-04-24T11:09:00Z</dcterms:created>
  <dcterms:modified xsi:type="dcterms:W3CDTF">2024-04-29T06:06:00Z</dcterms:modified>
</cp:coreProperties>
</file>