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21" w:type="dxa"/>
        <w:tblInd w:w="-1152" w:type="dxa"/>
        <w:tblLook w:val="01E0" w:firstRow="1" w:lastRow="1" w:firstColumn="1" w:lastColumn="1" w:noHBand="0" w:noVBand="0"/>
      </w:tblPr>
      <w:tblGrid>
        <w:gridCol w:w="13876"/>
        <w:gridCol w:w="7745"/>
      </w:tblGrid>
      <w:tr w:rsidR="005C5D95" w14:paraId="6DF99C8A" w14:textId="77777777" w:rsidTr="005C5D95">
        <w:tc>
          <w:tcPr>
            <w:tcW w:w="13876" w:type="dxa"/>
          </w:tcPr>
          <w:p w14:paraId="37F010DF" w14:textId="77777777" w:rsidR="005C5D95" w:rsidRDefault="005C5D95">
            <w:pPr>
              <w:spacing w:line="360" w:lineRule="auto"/>
              <w:ind w:left="-3384" w:right="-108"/>
              <w:jc w:val="center"/>
              <w:rPr>
                <w:rFonts w:ascii="Verdana" w:hAnsi="Verdana"/>
                <w:lang w:eastAsia="en-US"/>
              </w:rPr>
            </w:pPr>
          </w:p>
        </w:tc>
        <w:tc>
          <w:tcPr>
            <w:tcW w:w="7745" w:type="dxa"/>
          </w:tcPr>
          <w:p w14:paraId="0FC404D2" w14:textId="77777777" w:rsidR="005C5D95" w:rsidRDefault="005C5D95">
            <w:pPr>
              <w:spacing w:line="360" w:lineRule="auto"/>
              <w:ind w:left="1332" w:right="-1216"/>
              <w:rPr>
                <w:rFonts w:ascii="Verdana" w:hAnsi="Verdana"/>
                <w:lang w:eastAsia="en-US"/>
              </w:rPr>
            </w:pPr>
          </w:p>
        </w:tc>
      </w:tr>
    </w:tbl>
    <w:p w14:paraId="1BF75970" w14:textId="77777777" w:rsidR="005C5D95" w:rsidRDefault="008432FA" w:rsidP="005C5D95">
      <w:pPr>
        <w:spacing w:line="360" w:lineRule="auto"/>
        <w:ind w:firstLine="709"/>
        <w:jc w:val="both"/>
        <w:rPr>
          <w:rFonts w:ascii="Arial" w:hAnsi="Arial" w:cs="Arial"/>
          <w:b/>
          <w:bCs/>
          <w:sz w:val="22"/>
          <w:szCs w:val="22"/>
        </w:rPr>
      </w:pPr>
      <w:r>
        <w:rPr>
          <w:rFonts w:ascii="Arial" w:hAnsi="Arial"/>
          <w:noProof/>
          <w:sz w:val="20"/>
        </w:rPr>
        <w:drawing>
          <wp:anchor distT="0" distB="0" distL="114300" distR="114300" simplePos="0" relativeHeight="251661312" behindDoc="1" locked="0" layoutInCell="1" allowOverlap="1" wp14:anchorId="5F9B0302" wp14:editId="58CF5E28">
            <wp:simplePos x="0" y="0"/>
            <wp:positionH relativeFrom="page">
              <wp:align>left</wp:align>
            </wp:positionH>
            <wp:positionV relativeFrom="page">
              <wp:align>top</wp:align>
            </wp:positionV>
            <wp:extent cx="7536180" cy="204025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6180" cy="2040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EE88A" w14:textId="77777777" w:rsidR="005C5D95" w:rsidRPr="008432FA" w:rsidRDefault="005C5D95" w:rsidP="008432FA">
      <w:pPr>
        <w:spacing w:line="360" w:lineRule="auto"/>
        <w:ind w:firstLine="709"/>
        <w:jc w:val="both"/>
        <w:rPr>
          <w:rFonts w:ascii="Arial" w:hAnsi="Arial" w:cs="Arial"/>
          <w:bCs/>
        </w:rPr>
      </w:pPr>
    </w:p>
    <w:p w14:paraId="519BE194" w14:textId="77777777" w:rsidR="005C5D95" w:rsidRDefault="005C5D95" w:rsidP="005C5D95">
      <w:pPr>
        <w:keepNext/>
        <w:autoSpaceDE w:val="0"/>
        <w:autoSpaceDN w:val="0"/>
        <w:adjustRightInd w:val="0"/>
        <w:spacing w:line="276" w:lineRule="auto"/>
        <w:outlineLvl w:val="0"/>
        <w:rPr>
          <w:rFonts w:ascii="Arial" w:hAnsi="Arial" w:cs="Arial"/>
          <w:sz w:val="22"/>
          <w:szCs w:val="22"/>
          <w:lang w:val="es-ES_tradnl"/>
        </w:rPr>
      </w:pPr>
    </w:p>
    <w:p w14:paraId="6429D6E3" w14:textId="77777777" w:rsidR="005C5D95" w:rsidRDefault="005C5D95" w:rsidP="005C5D95">
      <w:pPr>
        <w:spacing w:line="360" w:lineRule="auto"/>
        <w:ind w:firstLine="709"/>
        <w:jc w:val="both"/>
        <w:rPr>
          <w:rFonts w:ascii="Arial" w:hAnsi="Arial" w:cs="Arial"/>
          <w:b/>
          <w:bCs/>
          <w:sz w:val="22"/>
          <w:szCs w:val="22"/>
        </w:rPr>
      </w:pPr>
    </w:p>
    <w:p w14:paraId="3425A06D" w14:textId="77777777" w:rsidR="008432FA" w:rsidRDefault="008432FA" w:rsidP="005C5D95">
      <w:pPr>
        <w:tabs>
          <w:tab w:val="left" w:pos="709"/>
          <w:tab w:val="left" w:pos="992"/>
          <w:tab w:val="left" w:pos="1276"/>
          <w:tab w:val="center" w:pos="3827"/>
          <w:tab w:val="left" w:pos="8820"/>
        </w:tabs>
        <w:spacing w:line="360" w:lineRule="auto"/>
        <w:ind w:left="-180"/>
        <w:jc w:val="both"/>
        <w:rPr>
          <w:rFonts w:ascii="Arial" w:hAnsi="Arial" w:cs="Arial"/>
          <w:color w:val="000000"/>
          <w:sz w:val="22"/>
          <w:szCs w:val="22"/>
        </w:rPr>
      </w:pPr>
    </w:p>
    <w:p w14:paraId="228846E6" w14:textId="77777777" w:rsidR="00FA171C" w:rsidRDefault="00FA171C" w:rsidP="00FA171C">
      <w:pPr>
        <w:pStyle w:val="Default"/>
        <w:spacing w:line="360" w:lineRule="auto"/>
        <w:rPr>
          <w:rFonts w:ascii="Arial" w:hAnsi="Arial" w:cs="Arial"/>
          <w:sz w:val="22"/>
          <w:szCs w:val="22"/>
        </w:rPr>
      </w:pPr>
    </w:p>
    <w:p w14:paraId="61149C1A" w14:textId="0CBB6015" w:rsidR="004F0740" w:rsidRDefault="005C5D95" w:rsidP="00C35063">
      <w:pPr>
        <w:spacing w:line="360" w:lineRule="auto"/>
        <w:ind w:firstLine="708"/>
        <w:jc w:val="both"/>
        <w:rPr>
          <w:rFonts w:ascii="Arial" w:hAnsi="Arial" w:cs="Arial"/>
        </w:rPr>
      </w:pPr>
      <w:r>
        <w:rPr>
          <w:rFonts w:ascii="Arial" w:hAnsi="Arial"/>
        </w:rPr>
        <w:t xml:space="preserve">EH Bildu talde parlamentarioari atxikitako foru parlamentari Adolfo Arazi Flamarique jaunak 11-24/PES-00188 galdera idatzia egin du </w:t>
      </w:r>
      <w:r w:rsidR="009014AC" w:rsidRPr="009014AC">
        <w:rPr>
          <w:rFonts w:ascii="Arial" w:hAnsi="Arial"/>
        </w:rPr>
        <w:t>“Erorien Monumentua”</w:t>
      </w:r>
      <w:r>
        <w:rPr>
          <w:rFonts w:ascii="Arial" w:hAnsi="Arial"/>
        </w:rPr>
        <w:t xml:space="preserve"> deritzon multzo arkitektonikoari buruz. Hau da Nafarroako Gobernuko Kultura, Kirol eta Turismoko kontseilariak horretaz ematen dion informazioa:</w:t>
      </w:r>
    </w:p>
    <w:p w14:paraId="6EB57446" w14:textId="77777777" w:rsidR="004F6228" w:rsidRPr="00390D12" w:rsidRDefault="004F6228" w:rsidP="00C35063">
      <w:pPr>
        <w:spacing w:line="360" w:lineRule="auto"/>
        <w:ind w:firstLine="708"/>
        <w:jc w:val="both"/>
        <w:rPr>
          <w:rFonts w:ascii="Arial" w:hAnsi="Arial" w:cs="Arial"/>
        </w:rPr>
      </w:pPr>
    </w:p>
    <w:p w14:paraId="423A91AC" w14:textId="77777777" w:rsidR="00520FD6" w:rsidRDefault="004F0740" w:rsidP="00C35063">
      <w:pPr>
        <w:spacing w:line="360" w:lineRule="auto"/>
        <w:ind w:firstLine="708"/>
        <w:jc w:val="both"/>
        <w:rPr>
          <w:rFonts w:ascii="Arial" w:eastAsiaTheme="minorHAnsi" w:hAnsi="Arial" w:cs="Arial"/>
          <w:bCs/>
        </w:rPr>
      </w:pPr>
      <w:r>
        <w:rPr>
          <w:rFonts w:ascii="Arial" w:hAnsi="Arial"/>
        </w:rPr>
        <w:t>Multzo arkitektoniko hori ez dago interes kulturaleko ondasun izendatuta, ezta inbentarioko ondasun ere Nafarroako Kultura Ondarearen 14/2005 Foru Legean jasotzen denaren arabera. 22 eta 24. artikuluek ez dute harremanik ondasun baten babesarekin, deklaratzeko prozesuarekin baizik, baita Nafarroako Kultur Ondareko ondasunen Erregistroa sortzearekin ere.</w:t>
      </w:r>
    </w:p>
    <w:p w14:paraId="5BF35138" w14:textId="77777777" w:rsidR="004F6228" w:rsidRPr="00390D12" w:rsidRDefault="004F6228" w:rsidP="00C35063">
      <w:pPr>
        <w:spacing w:line="360" w:lineRule="auto"/>
        <w:ind w:firstLine="708"/>
        <w:jc w:val="both"/>
        <w:rPr>
          <w:rFonts w:ascii="Arial" w:eastAsiaTheme="minorHAnsi" w:hAnsi="Arial" w:cs="Arial"/>
          <w:bCs/>
          <w:lang w:eastAsia="en-US"/>
        </w:rPr>
      </w:pPr>
    </w:p>
    <w:p w14:paraId="207FB41A" w14:textId="3F3C28E3" w:rsidR="00E4711D" w:rsidRDefault="00E4711D" w:rsidP="00C35063">
      <w:pPr>
        <w:spacing w:line="360" w:lineRule="auto"/>
        <w:ind w:firstLine="708"/>
        <w:jc w:val="both"/>
        <w:rPr>
          <w:rFonts w:ascii="Arial" w:eastAsiaTheme="minorHAnsi" w:hAnsi="Arial" w:cs="Arial"/>
          <w:bCs/>
        </w:rPr>
      </w:pPr>
      <w:r>
        <w:rPr>
          <w:rFonts w:ascii="Arial" w:hAnsi="Arial"/>
        </w:rPr>
        <w:t xml:space="preserve">Egia da </w:t>
      </w:r>
      <w:r w:rsidR="009014AC" w:rsidRPr="009014AC">
        <w:rPr>
          <w:rFonts w:ascii="Arial" w:hAnsi="Arial"/>
        </w:rPr>
        <w:t>“Erorien Monumentua”</w:t>
      </w:r>
      <w:r w:rsidR="009014AC">
        <w:rPr>
          <w:rFonts w:ascii="Arial" w:hAnsi="Arial"/>
        </w:rPr>
        <w:t xml:space="preserve"> </w:t>
      </w:r>
      <w:r>
        <w:rPr>
          <w:rFonts w:ascii="Arial" w:hAnsi="Arial"/>
        </w:rPr>
        <w:t>izeneko eraikina Iruñeko Udalaren Planeko babesari buruzko katalogoan sartuta dagoela (2002) 2. graduan (erdiko atala) eta 3. graduan (alboko eraikinak eta arkuteriak). Arauzko zehaztapen horrek higiezinaren balio arkitektonikoaren araberako legezko babesa ematen dio.</w:t>
      </w:r>
    </w:p>
    <w:p w14:paraId="5E2D0C5B" w14:textId="77777777" w:rsidR="004F6228" w:rsidRPr="00390D12" w:rsidRDefault="004F6228" w:rsidP="00C35063">
      <w:pPr>
        <w:spacing w:line="360" w:lineRule="auto"/>
        <w:ind w:firstLine="708"/>
        <w:jc w:val="both"/>
        <w:rPr>
          <w:rFonts w:ascii="Arial" w:eastAsiaTheme="minorHAnsi" w:hAnsi="Arial" w:cs="Arial"/>
          <w:bCs/>
          <w:lang w:eastAsia="en-US"/>
        </w:rPr>
      </w:pPr>
    </w:p>
    <w:p w14:paraId="013FE0C5" w14:textId="77777777" w:rsidR="004F6228" w:rsidRDefault="00E4711D" w:rsidP="001131D4">
      <w:pPr>
        <w:spacing w:line="360" w:lineRule="auto"/>
        <w:ind w:firstLine="708"/>
        <w:jc w:val="both"/>
        <w:rPr>
          <w:rFonts w:ascii="Arial" w:hAnsi="Arial" w:cs="Arial"/>
        </w:rPr>
      </w:pPr>
      <w:r>
        <w:rPr>
          <w:rFonts w:ascii="Arial" w:hAnsi="Arial"/>
        </w:rPr>
        <w:t xml:space="preserve">Adierazi denez, gaur egun eraikina ez da garrantzi lokaleko ondasuna, baina Iruñeko Udalaren Planeko babesari buruzko katalogoaren babesa du. Udalak katalogo horren aldaketa proposatzen ahal du  Udalaren Planaren aldaketa xehatu bat izapidetuta. Lurraldearen Antolamenduari eta Hirigintzari buruzko Foru Legearen testu bategina onesten duen 1/2017 Legegintzako Foru Dekretuaren 71.9 artikuluak xedatzen duenez, kultur ondare higiezineko eraikin bati eragiten dion antolamenduaren aldaketa batek, kasua denez –Kultura Ondarearen 14/2005 Foru Legearen 2 eta 13.1 d) artikuluekin bat–, kulturan eskumena duen departamentuaren txosten kualifikatua behar du, eta, </w:t>
      </w:r>
      <w:r>
        <w:rPr>
          <w:rFonts w:ascii="Arial" w:hAnsi="Arial"/>
        </w:rPr>
        <w:lastRenderedPageBreak/>
        <w:t xml:space="preserve">14/2005 Legearen 32. artikuluak xedatzen duenez, kulturan eskumena duen departamentuaren nahitaezko txosten loteslea behar du ere bai. </w:t>
      </w:r>
    </w:p>
    <w:p w14:paraId="0A9E93A7" w14:textId="77777777" w:rsidR="004F6228" w:rsidRDefault="004F6228" w:rsidP="001131D4">
      <w:pPr>
        <w:spacing w:line="360" w:lineRule="auto"/>
        <w:ind w:firstLine="708"/>
        <w:jc w:val="both"/>
        <w:rPr>
          <w:rFonts w:ascii="Arial" w:hAnsi="Arial" w:cs="Arial"/>
        </w:rPr>
      </w:pPr>
    </w:p>
    <w:p w14:paraId="009315FC" w14:textId="77777777" w:rsidR="004F6228" w:rsidRDefault="004F6228" w:rsidP="001131D4">
      <w:pPr>
        <w:spacing w:line="360" w:lineRule="auto"/>
        <w:ind w:firstLine="708"/>
        <w:jc w:val="both"/>
        <w:rPr>
          <w:rFonts w:ascii="Arial" w:hAnsi="Arial" w:cs="Arial"/>
        </w:rPr>
      </w:pPr>
    </w:p>
    <w:p w14:paraId="25BF18E3" w14:textId="77777777" w:rsidR="000D5405" w:rsidRDefault="00E4711D" w:rsidP="001131D4">
      <w:pPr>
        <w:spacing w:line="360" w:lineRule="auto"/>
        <w:ind w:firstLine="708"/>
        <w:jc w:val="both"/>
        <w:rPr>
          <w:rFonts w:ascii="Arial" w:eastAsiaTheme="minorHAnsi" w:hAnsi="Arial" w:cs="Arial"/>
          <w:bCs/>
        </w:rPr>
      </w:pPr>
      <w:r>
        <w:rPr>
          <w:rFonts w:ascii="Arial" w:hAnsi="Arial"/>
        </w:rPr>
        <w:t xml:space="preserve">   </w:t>
      </w:r>
    </w:p>
    <w:p w14:paraId="2F2A7E5E" w14:textId="77777777" w:rsidR="004F6228" w:rsidRPr="00390D12" w:rsidRDefault="004F6228" w:rsidP="001131D4">
      <w:pPr>
        <w:spacing w:line="360" w:lineRule="auto"/>
        <w:ind w:firstLine="708"/>
        <w:jc w:val="both"/>
        <w:rPr>
          <w:rFonts w:ascii="Arial" w:eastAsiaTheme="minorHAnsi" w:hAnsi="Arial" w:cs="Arial"/>
          <w:bCs/>
          <w:lang w:eastAsia="en-US"/>
        </w:rPr>
      </w:pPr>
    </w:p>
    <w:p w14:paraId="0C3EA4D5" w14:textId="77777777" w:rsidR="00044E27" w:rsidRPr="00390D12" w:rsidRDefault="001131D4" w:rsidP="001131D4">
      <w:pPr>
        <w:spacing w:line="360" w:lineRule="auto"/>
        <w:ind w:firstLine="708"/>
        <w:jc w:val="both"/>
        <w:rPr>
          <w:rFonts w:ascii="Arial" w:eastAsiaTheme="minorHAnsi" w:hAnsi="Arial" w:cs="Arial"/>
          <w:bCs/>
        </w:rPr>
      </w:pPr>
      <w:r>
        <w:rPr>
          <w:rFonts w:ascii="Arial" w:hAnsi="Arial"/>
        </w:rPr>
        <w:t xml:space="preserve">                          </w:t>
      </w:r>
    </w:p>
    <w:p w14:paraId="5A463A32" w14:textId="77777777" w:rsidR="004F6228" w:rsidRDefault="005C5D95" w:rsidP="001131D4">
      <w:pPr>
        <w:tabs>
          <w:tab w:val="left" w:pos="709"/>
          <w:tab w:val="left" w:pos="992"/>
          <w:tab w:val="left" w:pos="1276"/>
          <w:tab w:val="center" w:pos="3827"/>
        </w:tabs>
        <w:spacing w:line="480" w:lineRule="auto"/>
        <w:ind w:left="-180" w:right="1314"/>
        <w:jc w:val="center"/>
        <w:rPr>
          <w:rFonts w:ascii="Arial" w:hAnsi="Arial" w:cs="Arial"/>
        </w:rPr>
      </w:pPr>
      <w:r>
        <w:rPr>
          <w:rFonts w:ascii="Arial" w:hAnsi="Arial"/>
        </w:rPr>
        <w:t>Hori guztia jakinarazten dizut, Nafarroako Parlamentuko Erregelamenduaren 215. artikuluan xedatutakoa betez.</w:t>
      </w:r>
    </w:p>
    <w:p w14:paraId="5333808E" w14:textId="77777777" w:rsidR="004F6228" w:rsidRPr="00390D12" w:rsidRDefault="004F6228" w:rsidP="001131D4">
      <w:pPr>
        <w:tabs>
          <w:tab w:val="left" w:pos="709"/>
          <w:tab w:val="left" w:pos="992"/>
          <w:tab w:val="left" w:pos="1276"/>
          <w:tab w:val="center" w:pos="3827"/>
        </w:tabs>
        <w:spacing w:line="480" w:lineRule="auto"/>
        <w:ind w:left="-180" w:right="1314"/>
        <w:jc w:val="center"/>
        <w:rPr>
          <w:rFonts w:ascii="Arial" w:hAnsi="Arial" w:cs="Arial"/>
        </w:rPr>
      </w:pPr>
    </w:p>
    <w:p w14:paraId="79D7B31B" w14:textId="77777777" w:rsidR="000D5405" w:rsidRPr="00390D12" w:rsidRDefault="00044E27" w:rsidP="00520FD6">
      <w:pPr>
        <w:spacing w:line="480" w:lineRule="auto"/>
        <w:jc w:val="center"/>
        <w:rPr>
          <w:rFonts w:ascii="Arial" w:hAnsi="Arial" w:cs="Arial"/>
        </w:rPr>
      </w:pPr>
      <w:r>
        <w:rPr>
          <w:rFonts w:ascii="Arial" w:hAnsi="Arial"/>
        </w:rPr>
        <w:t>Iruñean, 2024ko maiatzaren 3an</w:t>
      </w:r>
    </w:p>
    <w:p w14:paraId="62FF05BF" w14:textId="77777777" w:rsidR="000D5405" w:rsidRDefault="005C5D95" w:rsidP="00520FD6">
      <w:pPr>
        <w:spacing w:line="480" w:lineRule="auto"/>
        <w:jc w:val="center"/>
        <w:rPr>
          <w:rFonts w:ascii="Arial" w:hAnsi="Arial" w:cs="Arial"/>
        </w:rPr>
      </w:pPr>
      <w:r>
        <w:rPr>
          <w:rFonts w:ascii="Arial" w:hAnsi="Arial"/>
        </w:rPr>
        <w:t>KULTURA, KIROL ETA TURISMOKO KONTSEILARIA.</w:t>
      </w:r>
    </w:p>
    <w:p w14:paraId="6C8C62CD" w14:textId="77777777" w:rsidR="004F6228" w:rsidRDefault="004F6228" w:rsidP="00520FD6">
      <w:pPr>
        <w:spacing w:line="480" w:lineRule="auto"/>
        <w:jc w:val="center"/>
        <w:rPr>
          <w:rFonts w:ascii="Arial" w:hAnsi="Arial" w:cs="Arial"/>
        </w:rPr>
      </w:pPr>
    </w:p>
    <w:p w14:paraId="60B73A52" w14:textId="77777777" w:rsidR="004F6228" w:rsidRDefault="004F6228" w:rsidP="00520FD6">
      <w:pPr>
        <w:spacing w:line="480" w:lineRule="auto"/>
        <w:jc w:val="center"/>
        <w:rPr>
          <w:rFonts w:ascii="Arial" w:hAnsi="Arial" w:cs="Arial"/>
        </w:rPr>
      </w:pPr>
    </w:p>
    <w:p w14:paraId="704552B3" w14:textId="77777777" w:rsidR="004F6228" w:rsidRPr="00390D12" w:rsidRDefault="004F6228" w:rsidP="00520FD6">
      <w:pPr>
        <w:spacing w:line="480" w:lineRule="auto"/>
        <w:jc w:val="center"/>
        <w:rPr>
          <w:rFonts w:ascii="Arial" w:hAnsi="Arial" w:cs="Arial"/>
        </w:rPr>
      </w:pPr>
    </w:p>
    <w:p w14:paraId="2E8280FC" w14:textId="77777777" w:rsidR="00D74EC4" w:rsidRPr="00390D12" w:rsidRDefault="005C5D95" w:rsidP="001131D4">
      <w:pPr>
        <w:spacing w:line="480" w:lineRule="auto"/>
        <w:jc w:val="center"/>
      </w:pPr>
      <w:r>
        <w:rPr>
          <w:rFonts w:ascii="Arial" w:hAnsi="Arial"/>
        </w:rPr>
        <w:t>Rebeca Esnaola Bermejo</w:t>
      </w:r>
    </w:p>
    <w:sectPr w:rsidR="00D74EC4" w:rsidRPr="00390D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6164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585493">
    <w:abstractNumId w:val="2"/>
  </w:num>
  <w:num w:numId="3" w16cid:durableId="1205098357">
    <w:abstractNumId w:val="0"/>
  </w:num>
  <w:num w:numId="4" w16cid:durableId="723915921">
    <w:abstractNumId w:val="1"/>
  </w:num>
  <w:num w:numId="5" w16cid:durableId="2038239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8521E"/>
    <w:rsid w:val="000A7EE8"/>
    <w:rsid w:val="000D5405"/>
    <w:rsid w:val="001131D4"/>
    <w:rsid w:val="00135876"/>
    <w:rsid w:val="00165C78"/>
    <w:rsid w:val="0019533E"/>
    <w:rsid w:val="002E62D5"/>
    <w:rsid w:val="00390D12"/>
    <w:rsid w:val="00444730"/>
    <w:rsid w:val="004F0740"/>
    <w:rsid w:val="004F146C"/>
    <w:rsid w:val="004F6228"/>
    <w:rsid w:val="00512C90"/>
    <w:rsid w:val="00520FD6"/>
    <w:rsid w:val="005322EF"/>
    <w:rsid w:val="00587A69"/>
    <w:rsid w:val="005C5D95"/>
    <w:rsid w:val="00605379"/>
    <w:rsid w:val="00605E29"/>
    <w:rsid w:val="00633491"/>
    <w:rsid w:val="006E7D01"/>
    <w:rsid w:val="00733746"/>
    <w:rsid w:val="0075427A"/>
    <w:rsid w:val="00785FAC"/>
    <w:rsid w:val="007E509F"/>
    <w:rsid w:val="00842895"/>
    <w:rsid w:val="008432FA"/>
    <w:rsid w:val="008E03B3"/>
    <w:rsid w:val="009014AC"/>
    <w:rsid w:val="009065B0"/>
    <w:rsid w:val="00921F10"/>
    <w:rsid w:val="009E6F76"/>
    <w:rsid w:val="00A02DDE"/>
    <w:rsid w:val="00A454EF"/>
    <w:rsid w:val="00B21AE8"/>
    <w:rsid w:val="00B700A2"/>
    <w:rsid w:val="00B72679"/>
    <w:rsid w:val="00BA2065"/>
    <w:rsid w:val="00BA5D83"/>
    <w:rsid w:val="00C04996"/>
    <w:rsid w:val="00C35063"/>
    <w:rsid w:val="00C77565"/>
    <w:rsid w:val="00D1626C"/>
    <w:rsid w:val="00D20825"/>
    <w:rsid w:val="00D74EC4"/>
    <w:rsid w:val="00E4711D"/>
    <w:rsid w:val="00E57209"/>
    <w:rsid w:val="00EC3B62"/>
    <w:rsid w:val="00F16AC7"/>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FFA3"/>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CF7E-9024-4970-98E0-3ED1DC13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1734</Characters>
  <Application>Microsoft Office Word</Application>
  <DocSecurity>0</DocSecurity>
  <Lines>133</Lines>
  <Paragraphs>143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Martin Cestao, Nerea</cp:lastModifiedBy>
  <cp:revision>3</cp:revision>
  <cp:lastPrinted>2023-11-27T10:19:00Z</cp:lastPrinted>
  <dcterms:created xsi:type="dcterms:W3CDTF">2024-05-07T08:32:00Z</dcterms:created>
  <dcterms:modified xsi:type="dcterms:W3CDTF">2024-05-31T07:14:00Z</dcterms:modified>
</cp:coreProperties>
</file>