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7F5FF" w14:textId="2C51E459" w:rsidR="00832795" w:rsidRDefault="00832795">
      <w:pPr>
        <w:ind w:left="-5" w:right="0"/>
      </w:pPr>
      <w:r>
        <w:t xml:space="preserve">EH Bildu</w:t>
      </w:r>
      <w:r>
        <w:t xml:space="preserve"> </w:t>
      </w:r>
      <w:r>
        <w:t xml:space="preserve">talde parlamentarioari atxikitako foru parlamentari Adolfo Araiz Flamarique jaunak idatziz erantzuteko galdera egin du Zangoza I eta Zangoza II eguzki instalazioetako herri ondasunei buruz (11-24/PES-00211). Hona Nafarroako Gobernuko Industriako eta Enpresen Trantsizio Ekologiko eta Digitalerako kontseilariak horretaz ematen dion informazioa:</w:t>
      </w:r>
      <w:r>
        <w:t xml:space="preserve"> </w:t>
      </w:r>
    </w:p>
    <w:p w14:paraId="497D3FC0" w14:textId="77777777" w:rsidR="00832795" w:rsidRDefault="00832795">
      <w:pPr>
        <w:spacing w:after="1" w:line="347" w:lineRule="auto"/>
        <w:ind w:left="-5" w:right="0"/>
      </w:pPr>
      <w:r>
        <w:rPr>
          <w:b/>
          <w:i/>
        </w:rPr>
        <w:t xml:space="preserve">Galdera zehatzei erantzun baino lehen honako hau argitu behar da:</w:t>
      </w:r>
      <w:r>
        <w:rPr>
          <w:b/>
          <w:i/>
        </w:rPr>
        <w:t xml:space="preserve"> </w:t>
      </w:r>
    </w:p>
    <w:p w14:paraId="528D6E56" w14:textId="77777777" w:rsidR="00832795" w:rsidRDefault="00832795">
      <w:pPr>
        <w:ind w:left="-5" w:right="0"/>
      </w:pPr>
      <w:r>
        <w:t xml:space="preserve">Industriaren, Energiaren eta S4 Proiektu Estrategikoen zuzendari nagusiaren abuztuaren 25eko 112/2023 Ebazpen bidez aurretiazko administrazio baimena eman zitzaion Metka EGN Solar 29 SLU enpresari Zangoza I instalazio fotovoltaikorako (2023ko irailaren 22ko 199. NAOn argitaratu zen).</w:t>
      </w:r>
      <w:r>
        <w:t xml:space="preserve"> </w:t>
      </w:r>
    </w:p>
    <w:p w14:paraId="158D5DB7" w14:textId="77777777" w:rsidR="00832795" w:rsidRDefault="00832795">
      <w:pPr>
        <w:ind w:left="-5" w:right="0"/>
      </w:pPr>
      <w:r>
        <w:t xml:space="preserve">Industriaren, Energiaren eta S4 Proiektu Estrategikoen zuzendari nagusiaren irailaren 6ko 123/2023 Ebazpen bidez aurretiazko administrazio baimena eman zitzaion Metka EGN Solar 30 SLU enpresari Zangoza II instalazio fotovoltaikorako (2023ko irailaren 21eko 198. NAOn argitaratu zen).</w:t>
      </w:r>
      <w:r>
        <w:t xml:space="preserve"> </w:t>
      </w:r>
    </w:p>
    <w:p w14:paraId="198D161C" w14:textId="77777777" w:rsidR="00832795" w:rsidRDefault="00832795">
      <w:pPr>
        <w:ind w:left="-5" w:right="0"/>
      </w:pPr>
      <w:r>
        <w:t xml:space="preserve">2024ko martxoaren 5ean, Metka EGN Solar 29 SLUk eraikitzeko administrazio baimena eskatu zuen, bai eta instalazioak onura publikoa duela zehazki deklaratzeko ere, Zangoza I instalazio fotovoltaikorako.</w:t>
      </w:r>
      <w:r>
        <w:t xml:space="preserve"> </w:t>
      </w:r>
    </w:p>
    <w:p w14:paraId="182B07DF" w14:textId="77777777" w:rsidR="00832795" w:rsidRDefault="00832795">
      <w:pPr>
        <w:ind w:left="-5" w:right="0"/>
      </w:pPr>
      <w:r>
        <w:t xml:space="preserve">2024ko martxoaren 5ean, Metka EGN Solar 30 SLUk eraikitzeko administrazio baimena eskatu zuen, bai eta instalazioak onura publikoa duela zehazki deklaratzeko ere, Zangoza II instalazio fotovoltaikorako.</w:t>
      </w:r>
      <w:r>
        <w:t xml:space="preserve"> </w:t>
      </w:r>
    </w:p>
    <w:p w14:paraId="4D1691C0" w14:textId="77777777" w:rsidR="00832795" w:rsidRDefault="00832795">
      <w:pPr>
        <w:spacing w:after="101" w:line="259" w:lineRule="auto"/>
        <w:ind w:left="-5" w:right="0"/>
      </w:pPr>
      <w:r>
        <w:t xml:space="preserve">Eskaera horiek une honetan izapidetzen ari dira.</w:t>
      </w:r>
      <w:r>
        <w:t xml:space="preserve"> </w:t>
      </w:r>
    </w:p>
    <w:p w14:paraId="066485BD" w14:textId="77777777" w:rsidR="00832795" w:rsidRDefault="00832795">
      <w:pPr>
        <w:spacing w:after="108" w:line="259" w:lineRule="auto"/>
        <w:ind w:left="-5" w:right="0"/>
      </w:pPr>
      <w:r>
        <w:rPr>
          <w:b/>
          <w:i/>
          <w:u w:val="single" w:color="000000"/>
        </w:rPr>
        <w:t xml:space="preserve">Aurretiaz hauxe adierazi behar da:</w:t>
      </w:r>
      <w:r>
        <w:rPr>
          <w:b/>
          <w:i/>
        </w:rPr>
        <w:t xml:space="preserve"> </w:t>
      </w:r>
    </w:p>
    <w:p w14:paraId="042EC015" w14:textId="77777777" w:rsidR="00832795" w:rsidRDefault="00832795">
      <w:pPr>
        <w:ind w:left="-5" w:right="0"/>
      </w:pPr>
      <w:r>
        <w:t xml:space="preserve">Sektore Elektrikoaren Legearen 54. artikuluak onura publikoko deklaratzen ditu energia sortzeko instalazio elektrikoak, haiek ezartzeko behar diren ondasun eta eskubideen nahitaezko desjabetzearen ondorioetarako eta bide zorra ezarri eta erabili ahal izateko.</w:t>
      </w:r>
      <w:r>
        <w:t xml:space="preserve"> </w:t>
      </w:r>
    </w:p>
    <w:p w14:paraId="578026D7" w14:textId="77777777" w:rsidR="00832795" w:rsidRDefault="00832795">
      <w:pPr>
        <w:ind w:left="-5" w:right="0"/>
      </w:pPr>
      <w:r>
        <w:t xml:space="preserve">Onura publikoa zehazki aitortuko da lege horretako 55. artikuluan ezarritako moduan.</w:t>
      </w:r>
      <w:r>
        <w:t xml:space="preserve"> </w:t>
      </w:r>
    </w:p>
    <w:p w14:paraId="56998360" w14:textId="77777777" w:rsidR="00832795" w:rsidRDefault="00832795">
      <w:pPr>
        <w:ind w:left="-5" w:right="0"/>
      </w:pPr>
      <w:r>
        <w:t xml:space="preserve">Lege beraren 56. artikuluak ezartzen duenez, onura publikoaren deklarazioak berekin ekarriko du, nolanahi ere, ondasunak okupatzeko edo ukitutako eskubideak eskuratzeko beharra, eta urgentziazko okupazioa eraginen du, Nahitaezko Desjabetzeari buruzko 1954ko abenduaren 16ko Legearen 52. artikuluaren ondorioetarako.</w:t>
      </w:r>
      <w:r>
        <w:t xml:space="preserve"> </w:t>
      </w:r>
      <w:r>
        <w:t xml:space="preserve">Era berean, dagokion baimena jasotzeko eskubidea ekarriko du, onura publikoaren deklarazioan zehaztutako moduan, instalazio elektrikoa ezartzeko, igarotzeko edo okupatzeko Estatuaren edo autonomia erkidegoen jabari, erabilera edo zerbitzu publikoko edo ondareko lurretan , edo probintzia edo udalerriaren berezko edo erabilera publikoko lurretan, horien obra eta zerbitzuetan eta zortasun publikoko eremuetan.</w:t>
      </w:r>
      <w:r>
        <w:t xml:space="preserve"> </w:t>
      </w:r>
    </w:p>
    <w:p w14:paraId="12560C95" w14:textId="77777777" w:rsidR="00832795" w:rsidRDefault="00832795">
      <w:pPr>
        <w:spacing w:after="1" w:line="347" w:lineRule="auto"/>
        <w:ind w:left="-5" w:right="0"/>
      </w:pPr>
      <w:r>
        <w:rPr>
          <w:b/>
          <w:i/>
        </w:rPr>
        <w:t xml:space="preserve">1.- Ohartzen al da departamentua Kasedako planta fotovoltaikoen proiektuak ukitutako lurzati askoren ustezko titulartasun pribatua zer problematika sortzen ari den?</w:t>
      </w:r>
      <w:r>
        <w:rPr>
          <w:b/>
          <w:i/>
          <w:u w:val="single" w:color="000000"/>
        </w:rPr>
        <w:t xml:space="preserve"> </w:t>
      </w:r>
      <w:r>
        <w:rPr>
          <w:b/>
          <w:i/>
        </w:rPr>
        <w:t xml:space="preserve">Zein izanen da ondorioa baldin eta proiektuan ez bada aitortzen lurzati horien herri-titulartasuna?</w:t>
      </w:r>
      <w:r>
        <w:rPr>
          <w:b/>
          <w:i/>
        </w:rPr>
        <w:t xml:space="preserve"> </w:t>
      </w:r>
    </w:p>
    <w:p w14:paraId="0DA5DCB4" w14:textId="77777777" w:rsidR="00832795" w:rsidRDefault="00832795">
      <w:pPr>
        <w:spacing w:after="1"/>
        <w:ind w:left="0" w:right="0" w:firstLine="0"/>
        <w:jc w:val="left"/>
      </w:pPr>
      <w:r>
        <w:t xml:space="preserve">Eraikitzeko administrazio baimenaren eta onura publikoa zehazki deklaratzearen izapidearen markoan, Industriako eta Enpresen Trantsizio Ekologiko eta Digitalerako Departamentuak txosten bat jaso du “alegazioak” izenekoa, Nekazaritza eta Abeltzaintza zuzendari nagusiak 2024ko maiatzaren 10ean izenpetua.</w:t>
      </w:r>
      <w:r>
        <w:t xml:space="preserve"> </w:t>
      </w:r>
      <w:r>
        <w:t xml:space="preserve">Txosten horrek hauxe ondorioztatzen eta proposatzen du:</w:t>
      </w:r>
      <w:r>
        <w:t xml:space="preserve"> </w:t>
      </w:r>
    </w:p>
    <w:p w14:paraId="2BDF01A6" w14:textId="77777777" w:rsidR="00832795" w:rsidRDefault="00832795">
      <w:pPr>
        <w:ind w:left="-5" w:right="0"/>
      </w:pPr>
      <w:r>
        <w:t xml:space="preserve">“Alegazio hau onar dadila, eta onura publikoa ukatu, lurrak premiaz okupatu behar izanari lotuta, eta ukapen hori egiten ez bada, arestian deskribatutako zerrendan erantsitako partzelak herri-partzelatzat hartu behar dira, eta horien titularrek laborantza aprobetxamendurako eskubidea baino ez dute edo, kasua bada, balio justuaren zenbatekoa Gordailuen Kutxa Orokorrean kontsignatu behar da, beste udalerri batzuetan (Corella edo Murchante, adibidez) egin den bezala, txosten honetan aipatzen diren partzelen kasuan</w:t>
      </w:r>
      <w:r>
        <w:t xml:space="preserve">”.</w:t>
      </w:r>
      <w:r>
        <w:t xml:space="preserve"> </w:t>
      </w:r>
    </w:p>
    <w:p w14:paraId="631E5BCE" w14:textId="77777777" w:rsidR="00832795" w:rsidRDefault="00832795">
      <w:pPr>
        <w:ind w:left="-5" w:right="0"/>
      </w:pPr>
      <w:r>
        <w:t xml:space="preserve">Adierazi denez, oraindik ez da ebazpenik eman eraikitzeko administrazio baimenaren eta onura publikoa zehazki deklaratzearen eskaeraren inguruan, horretarako txosten hau eta espedienteko gainerako txostenak eta inguruabarrak aztertu behar baitira.</w:t>
      </w:r>
      <w:r>
        <w:t xml:space="preserve"> </w:t>
      </w:r>
      <w:r>
        <w:t xml:space="preserve">Onura publikoa zehazki deklaratzeko izapidean Sektore Elektrikoaren Legeak 55. artikuluan xedatutako baldintzei jarraitu beharko zaie.</w:t>
      </w:r>
      <w:r>
        <w:t xml:space="preserve">  </w:t>
      </w:r>
    </w:p>
    <w:p w14:paraId="1C061F5D" w14:textId="77777777" w:rsidR="00832795" w:rsidRDefault="00832795">
      <w:pPr>
        <w:ind w:left="-5" w:right="0"/>
      </w:pPr>
      <w:r>
        <w:t xml:space="preserve">Halaber, adierazi behar da Nahitaezko Desjabetzearen Legeak jasotzen duela auziak egoten ahal direla desjabetutako ondasunen gainean, eta, esaten duenez, kasu horretan balio justua gordailutuko da Gordailuen Kutxa Nagusian, desadostasunaren zenbatekoan, agintaritza nahiz auzitegi eskudunaren aginduetan.</w:t>
      </w:r>
      <w:r>
        <w:t xml:space="preserve"> </w:t>
      </w:r>
    </w:p>
    <w:p w14:paraId="0E796C16" w14:textId="77777777" w:rsidR="00832795" w:rsidRDefault="00832795">
      <w:pPr>
        <w:spacing w:after="1" w:line="347" w:lineRule="auto"/>
        <w:ind w:left="-5" w:right="0"/>
      </w:pPr>
      <w:r>
        <w:rPr>
          <w:b/>
          <w:i/>
          <w:u w:val="single" w:color="000000"/>
        </w:rPr>
        <w:t xml:space="preserve">2.- Herri-lurren Atalaren arabera, "espediente honetan esku hartzen duten foru-erkidegoaren administrazioko gainontzeko unitateek bertan behera utzi beharko lituzkete kasuko prozedurak, harik eta ez den ebazten Zangoza I eta Zangoza II eguzki-plantek ukitzen dituzten lurzati horien titulartasunari eta eskubideei buruzko auzi nagusia, bai hitzarmen baten bidez, bai eskubideen utzarazpen administratiboaren bidez". Departamentuak kontuan hartu al du Herri-lurren Atalaren eskari hori?</w:t>
      </w:r>
      <w:r>
        <w:rPr>
          <w:b/>
          <w:i/>
        </w:rPr>
        <w:t xml:space="preserve"> </w:t>
      </w:r>
    </w:p>
    <w:p w14:paraId="642B0FAA" w14:textId="77777777" w:rsidR="00832795" w:rsidRDefault="00832795">
      <w:pPr>
        <w:ind w:left="-5" w:right="0"/>
      </w:pPr>
      <w:r>
        <w:t xml:space="preserve">Horren harira hauxe jakinarazi behar da: 2023ko urtarrilaren 16an, Lurraldearen Antolamenduaren Atalak Herri-lurren Atalari eskatu zion berri eman zezala, bere eskumenen esparruan, “Parque solar fotovoltaico PSF Sangüesa I y II” deritzon espedientearen inguruan.</w:t>
      </w:r>
      <w:r>
        <w:t xml:space="preserve"> </w:t>
      </w:r>
    </w:p>
    <w:p w14:paraId="49D92687" w14:textId="77777777" w:rsidR="00832795" w:rsidRDefault="00832795">
      <w:pPr>
        <w:ind w:left="-5" w:right="0"/>
      </w:pPr>
      <w:r>
        <w:t xml:space="preserve">Erantzuteko, 2023ko ekainaren 1ean, Herri-lurren atalburuak txostena eman zuen, Lurraldearen Antolamenduaren Atalari zuzendua, eta hauxe ondorioztatu zuen:</w:t>
      </w:r>
      <w:r>
        <w:t xml:space="preserve"> </w:t>
      </w:r>
    </w:p>
    <w:p w14:paraId="0807EF23" w14:textId="77777777" w:rsidR="00832795" w:rsidRDefault="00832795">
      <w:pPr>
        <w:ind w:left="-5" w:right="0"/>
      </w:pPr>
      <w:r>
        <w:t xml:space="preserve">“Halaber, espediente honetan esku hartzen duten foru erkidegoaren administrazioko gainontzeko unitateek bertan behera utzi beharko lituzkete kasuko prozedurak, harik eta ez den ebazten Zangoza I eta Zangoza II eguzki-plantek ukitzen dituzten lurzati horien titulartasunari eta eskubideei buruzko auzi nagusia, bai hitzarmen baten bidez, bai eskubideen utzarazpen administratiboaren bidez".</w:t>
      </w:r>
      <w:r>
        <w:t xml:space="preserve"> </w:t>
      </w:r>
    </w:p>
    <w:p w14:paraId="1463C3C9" w14:textId="77777777" w:rsidR="00832795" w:rsidRDefault="00832795">
      <w:pPr>
        <w:ind w:left="-5" w:right="0"/>
      </w:pPr>
      <w:r>
        <w:t xml:space="preserve">Txosten hori Lurralde Antolamenduko Zuzendaritza Nagusiaren espedientearen parte da; ez da Industriako eta Enpresen Trantsizio Ekologiko eta Digitalerako Departamentuak izapidetutako espedienteak:aren parte.</w:t>
      </w:r>
      <w:r>
        <w:t xml:space="preserve"> </w:t>
      </w:r>
    </w:p>
    <w:p w14:paraId="7F4CCEF4" w14:textId="77777777" w:rsidR="00832795" w:rsidRDefault="00832795">
      <w:pPr>
        <w:ind w:left="-5" w:right="0"/>
      </w:pPr>
      <w:r>
        <w:t xml:space="preserve">Edozelan ere, Lurralde Antolamenduko Zuzendaritza Nagusiak izapidetutako espedientea amaitutzat jo zen 315E/2023 Ebazpena mena zenean, abuztuaren 21ekoa, Lurralde eta Paisaia Zerbitzuko zuzendariak emana, zeinaren bidez baimena ematen baita METKA EGN SOLAR 29 SL eta METKA EGN SOLAR 30 SL enpresek sustatutako Zangoza I eta Zangoza II eguzki parke fotovoltaikoetarako.</w:t>
      </w:r>
      <w:r>
        <w:t xml:space="preserve"> </w:t>
      </w:r>
    </w:p>
    <w:p w14:paraId="3256AE2E" w14:textId="77777777" w:rsidR="00832795" w:rsidRDefault="00832795">
      <w:pPr>
        <w:spacing w:after="1" w:line="347" w:lineRule="auto"/>
        <w:ind w:left="-5" w:right="0"/>
      </w:pPr>
      <w:r>
        <w:rPr>
          <w:b/>
          <w:i/>
        </w:rPr>
        <w:t xml:space="preserve">3.- Eskari hori kontuan hartu ez bada, zergatik ez da kontuan hartu?</w:t>
      </w:r>
      <w:r>
        <w:rPr>
          <w:b/>
          <w:i/>
        </w:rPr>
        <w:t xml:space="preserve"> </w:t>
      </w:r>
    </w:p>
    <w:p w14:paraId="0C188485" w14:textId="40AC7022" w:rsidR="00832795" w:rsidRDefault="00832795">
      <w:pPr>
        <w:ind w:left="-5" w:right="0"/>
      </w:pPr>
      <w:r>
        <w:t xml:space="preserve">Jadanik adierazi denez, eraikitzeko administrazio baimenaren eta onura publikoa zehazki deklaratzearen espedientean Nekazaritza eta Abeltzaintzako zuzendari nagusiak izenpetutako txostena (“alegazioak” izenekoa) dago jasota.</w:t>
      </w:r>
      <w:r>
        <w:t xml:space="preserve"> </w:t>
      </w:r>
    </w:p>
    <w:p w14:paraId="62602143" w14:textId="77777777" w:rsidR="00832795" w:rsidRDefault="00832795">
      <w:pPr>
        <w:ind w:left="-5" w:right="0"/>
      </w:pPr>
      <w:r>
        <w:t xml:space="preserve">Eskaera oraingoz ez da ebatzi, beharrezko izapideak amaitzearen zain baikaude.</w:t>
      </w:r>
      <w:r>
        <w:t xml:space="preserve"> </w:t>
      </w:r>
      <w:r>
        <w:t xml:space="preserve">Ebazpena eman aurretik espedienteko txosten eta inguruabar guztiak aztertuko dira, kontuan hartuta, aurretik esan denez, Sektore Elektrikoaren Legeak, Nahitaezko Desjabetzearen Legeak eta aplikatzekoak diren gainerako arauek xedatutakoa.</w:t>
      </w:r>
      <w:r>
        <w:t xml:space="preserve"> </w:t>
      </w:r>
    </w:p>
    <w:p w14:paraId="2F18DC1B" w14:textId="77777777" w:rsidR="00832795" w:rsidRDefault="00832795">
      <w:pPr>
        <w:ind w:left="-5" w:right="0"/>
      </w:pPr>
      <w:r>
        <w:t xml:space="preserve">Hori jakinarazten dizut, Nafarroako Parlamentuko Erregelamenduaren 215. artikuluan xedatutakoa betez.</w:t>
      </w:r>
      <w:r>
        <w:t xml:space="preserve"> </w:t>
      </w:r>
    </w:p>
    <w:p w14:paraId="47A6AB8D" w14:textId="1CE8EEAB" w:rsidR="002123CD" w:rsidRDefault="00832795">
      <w:pPr>
        <w:spacing w:after="101" w:line="259" w:lineRule="auto"/>
        <w:ind w:right="5"/>
        <w:jc w:val="center"/>
      </w:pPr>
      <w:r>
        <w:t xml:space="preserve">Iruñean, 2024ko maiatzaren 21ean.</w:t>
      </w:r>
      <w:r>
        <w:t xml:space="preserve"> </w:t>
      </w:r>
    </w:p>
    <w:p w14:paraId="1FA14EF7" w14:textId="1CCBBAF2" w:rsidR="002123CD" w:rsidRDefault="00832795">
      <w:pPr>
        <w:spacing w:after="101" w:line="259" w:lineRule="auto"/>
        <w:ind w:right="4"/>
        <w:jc w:val="center"/>
      </w:pPr>
      <w:r>
        <w:t xml:space="preserve">Industriako eta Enpresen Trantsizio Ekologiko eta Digitalerako kontseilaria:</w:t>
      </w:r>
      <w:r>
        <w:t xml:space="preserve"> </w:t>
      </w:r>
      <w:r>
        <w:t xml:space="preserve">Mikel Irujo Amezaga</w:t>
      </w:r>
      <w:r>
        <w:t xml:space="preserve"> </w:t>
      </w:r>
    </w:p>
    <w:sectPr w:rsidR="002123CD" w:rsidSect="00832795">
      <w:headerReference w:type="even" r:id="rId6"/>
      <w:headerReference w:type="default" r:id="rId7"/>
      <w:headerReference w:type="first" r:id="rId8"/>
      <w:pgSz w:w="11906" w:h="16841"/>
      <w:pgMar w:top="1418" w:right="1128" w:bottom="1273" w:left="1560" w:header="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E1D0E" w14:textId="77777777" w:rsidR="00832795" w:rsidRDefault="00832795">
      <w:pPr>
        <w:spacing w:after="0" w:line="240" w:lineRule="auto"/>
      </w:pPr>
      <w:r>
        <w:separator/>
      </w:r>
    </w:p>
  </w:endnote>
  <w:endnote w:type="continuationSeparator" w:id="0">
    <w:p w14:paraId="48B5C495" w14:textId="77777777" w:rsidR="00832795" w:rsidRDefault="00832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CD779" w14:textId="77777777" w:rsidR="00832795" w:rsidRDefault="00832795">
      <w:pPr>
        <w:spacing w:after="0" w:line="240" w:lineRule="auto"/>
      </w:pPr>
      <w:r>
        <w:separator/>
      </w:r>
    </w:p>
  </w:footnote>
  <w:footnote w:type="continuationSeparator" w:id="0">
    <w:p w14:paraId="3C22194E" w14:textId="77777777" w:rsidR="00832795" w:rsidRDefault="00832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pY="1"/>
      <w:tblOverlap w:val="never"/>
      <w:tblW w:w="2000" w:type="dxa"/>
      <w:tblInd w:w="0" w:type="dxa"/>
      <w:tblCellMar>
        <w:top w:w="79" w:type="dxa"/>
        <w:left w:w="6" w:type="dxa"/>
        <w:bottom w:w="0" w:type="dxa"/>
        <w:right w:w="29" w:type="dxa"/>
      </w:tblCellMar>
      <w:tblLook w:val="04A0" w:firstRow="1" w:lastRow="0" w:firstColumn="1" w:lastColumn="0" w:noHBand="0" w:noVBand="1"/>
    </w:tblPr>
    <w:tblGrid>
      <w:gridCol w:w="2000"/>
    </w:tblGrid>
    <w:tr w:rsidR="002123CD" w14:paraId="0E8D5FB2"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5656982" w14:textId="77777777" w:rsidR="002123CD" w:rsidRDefault="00832795">
          <w:pPr>
            <w:spacing w:after="0" w:line="259" w:lineRule="auto"/>
            <w:ind w:left="23" w:right="0" w:firstLine="0"/>
            <w:jc w:val="center"/>
          </w:pPr>
          <w:r>
            <w:rPr>
              <w:b/>
              <w:sz w:val="14"/>
              <w:rFonts w:ascii="Arial" w:hAnsi="Arial"/>
            </w:rPr>
            <w:t xml:space="preserve">Parlamento de Navarra</w:t>
          </w:r>
        </w:p>
      </w:tc>
    </w:tr>
    <w:tr w:rsidR="002123CD" w14:paraId="7F0D3EE0"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609CEBC1" w14:textId="77777777" w:rsidR="002123CD" w:rsidRDefault="00832795">
          <w:pPr>
            <w:spacing w:after="0" w:line="259" w:lineRule="auto"/>
            <w:ind w:left="23" w:right="0" w:firstLine="0"/>
            <w:jc w:val="center"/>
          </w:pPr>
          <w:r>
            <w:rPr>
              <w:b/>
              <w:sz w:val="14"/>
              <w:rFonts w:ascii="Arial" w:hAnsi="Arial"/>
            </w:rPr>
            <w:t xml:space="preserve">Registro ENTRADA</w:t>
          </w:r>
        </w:p>
      </w:tc>
    </w:tr>
    <w:tr w:rsidR="002123CD" w14:paraId="2CA5D29F"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3A320991" w14:textId="77777777" w:rsidR="002123CD" w:rsidRDefault="00832795">
          <w:pPr>
            <w:spacing w:after="0" w:line="259" w:lineRule="auto"/>
            <w:ind w:left="0" w:right="0" w:firstLine="0"/>
          </w:pPr>
          <w:r>
            <w:rPr>
              <w:bdr w:val="single" w:sz="8" w:space="0" w:color="000000"/>
              <w:sz w:val="16"/>
            </w:rPr>
            <w:t xml:space="preserve">ición Ecológica y Digital</w:t>
          </w:r>
          <w:r>
            <w:rPr>
              <w:bdr w:val="single" w:sz="8" w:space="0" w:color="000000"/>
              <w:b/>
              <w:sz w:val="14"/>
              <w:rFonts w:ascii="Arial" w:hAnsi="Arial"/>
            </w:rPr>
            <w:t xml:space="preserve">22/05/2024 09:09</w:t>
          </w:r>
        </w:p>
      </w:tc>
    </w:tr>
    <w:tr w:rsidR="002123CD" w14:paraId="0FB8C89A"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708DFA85" w14:textId="77777777" w:rsidR="002123CD" w:rsidRDefault="00832795">
          <w:pPr>
            <w:spacing w:after="0" w:line="259" w:lineRule="auto"/>
            <w:ind w:left="24" w:right="0" w:firstLine="0"/>
            <w:jc w:val="center"/>
          </w:pPr>
          <w:r>
            <w:rPr>
              <w:b/>
              <w:sz w:val="14"/>
              <w:rFonts w:ascii="Arial" w:hAnsi="Arial"/>
            </w:rPr>
            <w:t xml:space="preserve">202403462</w:t>
          </w:r>
        </w:p>
        <w:p w14:paraId="11D0BB94" w14:textId="77777777" w:rsidR="002123CD" w:rsidRDefault="00832795">
          <w:pPr>
            <w:spacing w:after="0" w:line="259" w:lineRule="auto"/>
            <w:ind w:left="23" w:right="0" w:firstLine="0"/>
            <w:jc w:val="center"/>
          </w:pPr>
          <w:r>
            <w:rPr>
              <w:b/>
              <w:sz w:val="14"/>
              <w:rFonts w:ascii="Arial" w:hAnsi="Arial"/>
            </w:rPr>
            <w:t xml:space="preserve">Exp:</w:t>
          </w:r>
          <w:r>
            <w:rPr>
              <w:b/>
              <w:sz w:val="14"/>
              <w:rFonts w:ascii="Arial" w:hAnsi="Arial"/>
            </w:rPr>
            <w:t xml:space="preserve"> </w:t>
          </w:r>
          <w:r>
            <w:rPr>
              <w:b/>
              <w:sz w:val="14"/>
              <w:rFonts w:ascii="Arial" w:hAnsi="Arial"/>
            </w:rPr>
            <w:t xml:space="preserve">11-24/PES-00211</w:t>
          </w:r>
        </w:p>
      </w:tc>
    </w:tr>
  </w:tbl>
  <w:p w14:paraId="3EF47963" w14:textId="77777777" w:rsidR="002123CD" w:rsidRDefault="00832795">
    <w:pPr>
      <w:spacing w:after="0" w:line="259" w:lineRule="auto"/>
      <w:ind w:left="-1736" w:right="3978" w:firstLine="0"/>
      <w:jc w:val="left"/>
    </w:pPr>
    <w:r>
      <w:drawing>
        <wp:anchor distT="0" distB="0" distL="114300" distR="114300" simplePos="0" relativeHeight="251658240" behindDoc="0" locked="0" layoutInCell="1" allowOverlap="0" wp14:anchorId="0B429F92" wp14:editId="15F05AD1">
          <wp:simplePos x="0" y="0"/>
          <wp:positionH relativeFrom="page">
            <wp:posOffset>5345430</wp:posOffset>
          </wp:positionH>
          <wp:positionV relativeFrom="page">
            <wp:posOffset>125730</wp:posOffset>
          </wp:positionV>
          <wp:extent cx="2162176" cy="657225"/>
          <wp:effectExtent l="0" t="0" r="0" b="0"/>
          <wp:wrapSquare wrapText="bothSides"/>
          <wp:docPr id="64089018"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w:t>
    </w:r>
    <w:r>
      <w:rPr>
        <w:sz w:val="16"/>
      </w:rPr>
      <w:t xml:space="preserve"> </w:t>
    </w:r>
  </w:p>
  <w:p w14:paraId="43E1A2B5" w14:textId="77777777" w:rsidR="002123CD" w:rsidRDefault="00832795">
    <w:pPr>
      <w:spacing w:after="0" w:line="259" w:lineRule="auto"/>
      <w:ind w:left="-1736" w:right="0" w:firstLine="0"/>
      <w:jc w:val="left"/>
    </w:pPr>
    <w:r>
      <w:rPr>
        <w:sz w:val="16"/>
      </w:rPr>
      <w:t xml:space="preserve">Consejero del Departamento de Industria y de Trans</w:t>
    </w:r>
    <w:r>
      <w:rPr>
        <w:sz w:val="16"/>
      </w:rPr>
      <w:t xml:space="preserve"> </w:t>
    </w:r>
  </w:p>
  <w:p w14:paraId="352940DB" w14:textId="77777777" w:rsidR="00832795" w:rsidRDefault="00832795">
    <w:pPr>
      <w:tabs>
        <w:tab w:val="center" w:pos="0"/>
      </w:tabs>
      <w:spacing w:after="0" w:line="259" w:lineRule="auto"/>
      <w:ind w:left="-1736" w:right="0" w:firstLine="0"/>
      <w:jc w:val="left"/>
    </w:pPr>
    <w:r>
      <w:rPr>
        <w:sz w:val="16"/>
      </w:rPr>
      <w:t xml:space="preserve">Empresarial</w:t>
    </w:r>
    <w:r>
      <w:rPr>
        <w:sz w:val="16"/>
      </w:rPr>
      <w:t xml:space="preserve"> </w:t>
    </w:r>
    <w:r>
      <w:rPr>
        <w:sz w:val="16"/>
      </w:rPr>
      <w:tab/>
    </w:r>
    <w:r>
      <w:rPr>
        <w:sz w:val="20"/>
        <w:rFonts w:ascii="Times New Roman" w:hAnsi="Times New Roman"/>
      </w:rPr>
      <w:t xml:space="preserve"> </w:t>
    </w:r>
  </w:p>
  <w:p w14:paraId="13C79DF3" w14:textId="4264EEC8" w:rsidR="002123CD" w:rsidRDefault="00832795">
    <w:pPr>
      <w:spacing w:after="0" w:line="259" w:lineRule="auto"/>
      <w:ind w:left="0" w:right="3978" w:firstLine="0"/>
      <w:jc w:val="left"/>
    </w:pPr>
    <w:r>
      <w:rPr>
        <w:sz w:val="20"/>
        <w:rFonts w:ascii="Times New Roman" w:hAnsi="Times New Roman"/>
      </w:rPr>
      <w:t xml:space="preserve"> </w:t>
    </w:r>
  </w:p>
  <w:p w14:paraId="6C032E8B" w14:textId="77777777" w:rsidR="002123CD" w:rsidRDefault="00832795">
    <w:pPr>
      <w:spacing w:after="15" w:line="259" w:lineRule="auto"/>
      <w:ind w:left="-1736" w:right="0" w:firstLine="0"/>
      <w:jc w:val="left"/>
    </w:pPr>
    <w:r>
      <w:rPr>
        <w:sz w:val="16"/>
      </w:rPr>
      <w:t xml:space="preserve"> </w:t>
    </w:r>
    <w:r>
      <w:rPr>
        <w:sz w:val="16"/>
      </w:rPr>
      <w:t xml:space="preserve">PQ TOMAS CABALLERO 1 ED.</w:t>
    </w:r>
    <w:r>
      <w:rPr>
        <w:sz w:val="16"/>
      </w:rPr>
      <w:t xml:space="preserve"> </w:t>
    </w:r>
    <w:r>
      <w:rPr>
        <w:sz w:val="16"/>
      </w:rPr>
      <w:t xml:space="preserve">"FUERTE DEL PRINCIPE II" 6ª PLT 31005 PAMPLONA</w:t>
    </w:r>
    <w:r>
      <w:rPr>
        <w:sz w:val="16"/>
      </w:rPr>
      <w:t xml:space="preserve"> </w:t>
    </w:r>
  </w:p>
  <w:p w14:paraId="511D7E56" w14:textId="77777777" w:rsidR="002123CD" w:rsidRDefault="00832795">
    <w:pPr>
      <w:spacing w:after="0" w:line="231" w:lineRule="auto"/>
      <w:ind w:left="-1736" w:right="8460" w:firstLine="0"/>
      <w:jc w:val="left"/>
    </w:pPr>
    <w:r>
      <w:rPr>
        <w:sz w:val="25"/>
        <w:vertAlign w:val="subscript"/>
      </w:rPr>
      <w:t xml:space="preserve"> </w:t>
    </w:r>
    <w:r>
      <w:rPr>
        <w:sz w:val="25"/>
        <w:vertAlign w:val="subscript"/>
      </w:rPr>
      <w:tab/>
    </w:r>
    <w:r>
      <w:rPr>
        <w:sz w:val="20"/>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D9EE" w14:textId="78C35A54" w:rsidR="002123CD" w:rsidRPr="00832795" w:rsidRDefault="00832795" w:rsidP="00832795">
    <w:pPr>
      <w:pStyle w:val="Encabezado"/>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4800" w:tblpY="1"/>
      <w:tblOverlap w:val="never"/>
      <w:tblW w:w="2000" w:type="dxa"/>
      <w:tblInd w:w="0" w:type="dxa"/>
      <w:tblCellMar>
        <w:top w:w="79" w:type="dxa"/>
        <w:left w:w="6" w:type="dxa"/>
        <w:bottom w:w="0" w:type="dxa"/>
        <w:right w:w="29" w:type="dxa"/>
      </w:tblCellMar>
      <w:tblLook w:val="04A0" w:firstRow="1" w:lastRow="0" w:firstColumn="1" w:lastColumn="0" w:noHBand="0" w:noVBand="1"/>
    </w:tblPr>
    <w:tblGrid>
      <w:gridCol w:w="2000"/>
    </w:tblGrid>
    <w:tr w:rsidR="002123CD" w14:paraId="3026F44D"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53990378" w14:textId="77777777" w:rsidR="002123CD" w:rsidRDefault="00832795">
          <w:pPr>
            <w:spacing w:after="0" w:line="259" w:lineRule="auto"/>
            <w:ind w:left="23" w:right="0" w:firstLine="0"/>
            <w:jc w:val="center"/>
          </w:pPr>
          <w:r>
            <w:rPr>
              <w:b/>
              <w:sz w:val="14"/>
              <w:rFonts w:ascii="Arial" w:hAnsi="Arial"/>
            </w:rPr>
            <w:t xml:space="preserve">Parlamento de Navarra</w:t>
          </w:r>
        </w:p>
      </w:tc>
    </w:tr>
    <w:tr w:rsidR="002123CD" w14:paraId="2DA4918C"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6177026A" w14:textId="77777777" w:rsidR="002123CD" w:rsidRDefault="00832795">
          <w:pPr>
            <w:spacing w:after="0" w:line="259" w:lineRule="auto"/>
            <w:ind w:left="23" w:right="0" w:firstLine="0"/>
            <w:jc w:val="center"/>
          </w:pPr>
          <w:r>
            <w:rPr>
              <w:b/>
              <w:sz w:val="14"/>
              <w:rFonts w:ascii="Arial" w:hAnsi="Arial"/>
            </w:rPr>
            <w:t xml:space="preserve">Registro ENTRADA</w:t>
          </w:r>
        </w:p>
      </w:tc>
    </w:tr>
    <w:tr w:rsidR="002123CD" w14:paraId="7E94540F" w14:textId="77777777">
      <w:trPr>
        <w:trHeight w:val="220"/>
      </w:trPr>
      <w:tc>
        <w:tcPr>
          <w:tcW w:w="2000" w:type="dxa"/>
          <w:tcBorders>
            <w:top w:val="single" w:sz="4" w:space="0" w:color="000000"/>
            <w:left w:val="single" w:sz="4" w:space="0" w:color="000000"/>
            <w:bottom w:val="single" w:sz="4" w:space="0" w:color="000000"/>
            <w:right w:val="single" w:sz="4" w:space="0" w:color="000000"/>
          </w:tcBorders>
        </w:tcPr>
        <w:p w14:paraId="1D707710" w14:textId="77777777" w:rsidR="002123CD" w:rsidRDefault="00832795">
          <w:pPr>
            <w:spacing w:after="0" w:line="259" w:lineRule="auto"/>
            <w:ind w:left="0" w:right="0" w:firstLine="0"/>
          </w:pPr>
          <w:r>
            <w:rPr>
              <w:bdr w:val="single" w:sz="8" w:space="0" w:color="000000"/>
              <w:sz w:val="16"/>
            </w:rPr>
            <w:t xml:space="preserve">ición Ecológica y Digital</w:t>
          </w:r>
          <w:r>
            <w:rPr>
              <w:bdr w:val="single" w:sz="8" w:space="0" w:color="000000"/>
              <w:b/>
              <w:sz w:val="14"/>
              <w:rFonts w:ascii="Arial" w:hAnsi="Arial"/>
            </w:rPr>
            <w:t xml:space="preserve">22/05/2024 09:09</w:t>
          </w:r>
        </w:p>
      </w:tc>
    </w:tr>
    <w:tr w:rsidR="002123CD" w14:paraId="1808A050" w14:textId="77777777">
      <w:trPr>
        <w:trHeight w:val="360"/>
      </w:trPr>
      <w:tc>
        <w:tcPr>
          <w:tcW w:w="2000" w:type="dxa"/>
          <w:tcBorders>
            <w:top w:val="single" w:sz="4" w:space="0" w:color="000000"/>
            <w:left w:val="single" w:sz="4" w:space="0" w:color="000000"/>
            <w:bottom w:val="single" w:sz="4" w:space="0" w:color="000000"/>
            <w:right w:val="single" w:sz="4" w:space="0" w:color="000000"/>
          </w:tcBorders>
        </w:tcPr>
        <w:p w14:paraId="1B69CCF2" w14:textId="77777777" w:rsidR="002123CD" w:rsidRDefault="00832795">
          <w:pPr>
            <w:spacing w:after="0" w:line="259" w:lineRule="auto"/>
            <w:ind w:left="24" w:right="0" w:firstLine="0"/>
            <w:jc w:val="center"/>
          </w:pPr>
          <w:r>
            <w:rPr>
              <w:b/>
              <w:sz w:val="14"/>
              <w:rFonts w:ascii="Arial" w:hAnsi="Arial"/>
            </w:rPr>
            <w:t xml:space="preserve">202403462</w:t>
          </w:r>
        </w:p>
        <w:p w14:paraId="44E81F61" w14:textId="77777777" w:rsidR="002123CD" w:rsidRDefault="00832795">
          <w:pPr>
            <w:spacing w:after="0" w:line="259" w:lineRule="auto"/>
            <w:ind w:left="23" w:right="0" w:firstLine="0"/>
            <w:jc w:val="center"/>
          </w:pPr>
          <w:r>
            <w:rPr>
              <w:b/>
              <w:sz w:val="14"/>
              <w:rFonts w:ascii="Arial" w:hAnsi="Arial"/>
            </w:rPr>
            <w:t xml:space="preserve">Exp:</w:t>
          </w:r>
          <w:r>
            <w:rPr>
              <w:b/>
              <w:sz w:val="14"/>
              <w:rFonts w:ascii="Arial" w:hAnsi="Arial"/>
            </w:rPr>
            <w:t xml:space="preserve"> </w:t>
          </w:r>
          <w:r>
            <w:rPr>
              <w:b/>
              <w:sz w:val="14"/>
              <w:rFonts w:ascii="Arial" w:hAnsi="Arial"/>
            </w:rPr>
            <w:t xml:space="preserve">11-24/PES-00211</w:t>
          </w:r>
        </w:p>
      </w:tc>
    </w:tr>
  </w:tbl>
  <w:p w14:paraId="1DFAC8E6" w14:textId="77777777" w:rsidR="002123CD" w:rsidRDefault="00832795">
    <w:pPr>
      <w:spacing w:after="0" w:line="259" w:lineRule="auto"/>
      <w:ind w:left="-1736" w:right="3978" w:firstLine="0"/>
      <w:jc w:val="left"/>
    </w:pPr>
    <w:r>
      <w:drawing>
        <wp:anchor distT="0" distB="0" distL="114300" distR="114300" simplePos="0" relativeHeight="251660288" behindDoc="0" locked="0" layoutInCell="1" allowOverlap="0" wp14:anchorId="6B27DA19" wp14:editId="72E6E1B2">
          <wp:simplePos x="0" y="0"/>
          <wp:positionH relativeFrom="page">
            <wp:posOffset>5345430</wp:posOffset>
          </wp:positionH>
          <wp:positionV relativeFrom="page">
            <wp:posOffset>125730</wp:posOffset>
          </wp:positionV>
          <wp:extent cx="2162176" cy="657225"/>
          <wp:effectExtent l="0" t="0" r="0" b="0"/>
          <wp:wrapSquare wrapText="bothSides"/>
          <wp:docPr id="190759428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162176" cy="657225"/>
                  </a:xfrm>
                  <a:prstGeom prst="rect">
                    <a:avLst/>
                  </a:prstGeom>
                </pic:spPr>
              </pic:pic>
            </a:graphicData>
          </a:graphic>
        </wp:anchor>
      </w:drawing>
    </w:r>
    <w:r>
      <w:rPr>
        <w:sz w:val="16"/>
      </w:rPr>
      <w:t xml:space="preserve">Mikel Irujo Amezaga</w:t>
    </w:r>
    <w:r>
      <w:rPr>
        <w:sz w:val="16"/>
      </w:rPr>
      <w:t xml:space="preserve"> </w:t>
    </w:r>
  </w:p>
  <w:p w14:paraId="38F9DCFF" w14:textId="77777777" w:rsidR="002123CD" w:rsidRDefault="00832795">
    <w:pPr>
      <w:spacing w:after="0" w:line="259" w:lineRule="auto"/>
      <w:ind w:left="-1736" w:right="0" w:firstLine="0"/>
      <w:jc w:val="left"/>
    </w:pPr>
    <w:r>
      <w:rPr>
        <w:sz w:val="16"/>
      </w:rPr>
      <w:t xml:space="preserve">Consejero del Departamento de Industria y de Trans</w:t>
    </w:r>
    <w:r>
      <w:rPr>
        <w:sz w:val="16"/>
      </w:rPr>
      <w:t xml:space="preserve"> </w:t>
    </w:r>
  </w:p>
  <w:p w14:paraId="2F770ABE" w14:textId="77777777" w:rsidR="00832795" w:rsidRDefault="00832795">
    <w:pPr>
      <w:tabs>
        <w:tab w:val="center" w:pos="0"/>
      </w:tabs>
      <w:spacing w:after="0" w:line="259" w:lineRule="auto"/>
      <w:ind w:left="-1736" w:right="0" w:firstLine="0"/>
      <w:jc w:val="left"/>
    </w:pPr>
    <w:r>
      <w:rPr>
        <w:sz w:val="16"/>
      </w:rPr>
      <w:t xml:space="preserve">Empresarial</w:t>
    </w:r>
    <w:r>
      <w:rPr>
        <w:sz w:val="16"/>
      </w:rPr>
      <w:t xml:space="preserve"> </w:t>
    </w:r>
    <w:r>
      <w:rPr>
        <w:sz w:val="16"/>
      </w:rPr>
      <w:tab/>
    </w:r>
    <w:r>
      <w:rPr>
        <w:sz w:val="20"/>
        <w:rFonts w:ascii="Times New Roman" w:hAnsi="Times New Roman"/>
      </w:rPr>
      <w:t xml:space="preserve"> </w:t>
    </w:r>
  </w:p>
  <w:p w14:paraId="262A45BA" w14:textId="0AA9CF01" w:rsidR="002123CD" w:rsidRDefault="00832795">
    <w:pPr>
      <w:spacing w:after="0" w:line="259" w:lineRule="auto"/>
      <w:ind w:left="0" w:right="3978" w:firstLine="0"/>
      <w:jc w:val="left"/>
    </w:pPr>
    <w:r>
      <w:rPr>
        <w:sz w:val="20"/>
        <w:rFonts w:ascii="Times New Roman" w:hAnsi="Times New Roman"/>
      </w:rPr>
      <w:t xml:space="preserve"> </w:t>
    </w:r>
  </w:p>
  <w:p w14:paraId="3EC1B44E" w14:textId="77777777" w:rsidR="002123CD" w:rsidRDefault="00832795">
    <w:pPr>
      <w:spacing w:after="15" w:line="259" w:lineRule="auto"/>
      <w:ind w:left="-1736" w:right="0" w:firstLine="0"/>
      <w:jc w:val="left"/>
    </w:pPr>
    <w:r>
      <w:rPr>
        <w:sz w:val="16"/>
      </w:rPr>
      <w:t xml:space="preserve"> </w:t>
    </w:r>
    <w:r>
      <w:rPr>
        <w:sz w:val="16"/>
      </w:rPr>
      <w:t xml:space="preserve">PQ TOMAS CABALLERO 1 ED.</w:t>
    </w:r>
    <w:r>
      <w:rPr>
        <w:sz w:val="16"/>
      </w:rPr>
      <w:t xml:space="preserve"> </w:t>
    </w:r>
    <w:r>
      <w:rPr>
        <w:sz w:val="16"/>
      </w:rPr>
      <w:t xml:space="preserve">"FUERTE DEL PRINCIPE II" 6ª PLT 31005 PAMPLONA</w:t>
    </w:r>
    <w:r>
      <w:rPr>
        <w:sz w:val="16"/>
      </w:rPr>
      <w:t xml:space="preserve"> </w:t>
    </w:r>
  </w:p>
  <w:p w14:paraId="282EF5F8" w14:textId="77777777" w:rsidR="002123CD" w:rsidRDefault="00832795">
    <w:pPr>
      <w:spacing w:after="0" w:line="231" w:lineRule="auto"/>
      <w:ind w:left="-1736" w:right="8460" w:firstLine="0"/>
      <w:jc w:val="left"/>
    </w:pPr>
    <w:r>
      <w:rPr>
        <w:sz w:val="25"/>
        <w:vertAlign w:val="subscript"/>
      </w:rPr>
      <w:t xml:space="preserve"> </w:t>
    </w:r>
    <w:r>
      <w:rPr>
        <w:sz w:val="25"/>
        <w:vertAlign w:val="subscript"/>
      </w:rPr>
      <w:tab/>
    </w:r>
    <w:r>
      <w:rPr>
        <w:sz w:val="20"/>
        <w:rFonts w:ascii="Times New Roman" w:hAnsi="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CD"/>
    <w:rsid w:val="002123CD"/>
    <w:rsid w:val="00804865"/>
    <w:rsid w:val="00832795"/>
    <w:rsid w:val="00D319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EBAE0"/>
  <w15:docId w15:val="{9BA419DC-207B-40E9-941E-25B2938E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u-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43" w:lineRule="auto"/>
      <w:ind w:left="10" w:right="3" w:hanging="10"/>
      <w:jc w:val="both"/>
    </w:pPr>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8327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95"/>
    <w:rPr>
      <w:rFonts w:ascii="Calibri" w:eastAsia="Calibri" w:hAnsi="Calibri" w:cs="Calibri"/>
      <w:color w:val="000000"/>
    </w:rPr>
  </w:style>
  <w:style w:type="paragraph" w:styleId="Encabezado">
    <w:name w:val="header"/>
    <w:basedOn w:val="Normal"/>
    <w:link w:val="EncabezadoCar"/>
    <w:uiPriority w:val="99"/>
    <w:semiHidden/>
    <w:unhideWhenUsed/>
    <w:rsid w:val="008327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3279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6480</Characters>
  <Application>Microsoft Office Word</Application>
  <DocSecurity>0</DocSecurity>
  <Lines>54</Lines>
  <Paragraphs>15</Paragraphs>
  <ScaleCrop>false</ScaleCrop>
  <Company>Hewlett-Packard Company</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3</cp:revision>
  <dcterms:created xsi:type="dcterms:W3CDTF">2024-05-28T07:28:00Z</dcterms:created>
  <dcterms:modified xsi:type="dcterms:W3CDTF">2024-05-28T07:29:00Z</dcterms:modified>
</cp:coreProperties>
</file>