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6F8079DE" w14:textId="568C28D2" w:rsidR="000438EC" w:rsidRDefault="00FF1A92" w:rsidP="00FF1A92">
      <w:pPr>
        <w:pStyle w:val="DICTA-TITULO"/>
      </w:pPr>
      <w:r w:rsidRPr="00FF1A92">
        <w:t xml:space="preserve">Ley Foral </w:t>
      </w:r>
      <w:r w:rsidR="000438EC">
        <w:t xml:space="preserve">de </w:t>
      </w:r>
      <w:r w:rsidR="000438EC" w:rsidRPr="000438EC">
        <w:t>concesión de un crédito extraordinario por un importe total de 338.000 euros en varios departamentos del Gobierno de Navarra en el presupuesto de 2024</w:t>
      </w:r>
    </w:p>
    <w:p w14:paraId="42D0688D" w14:textId="3CD98C6E" w:rsidR="00106D80" w:rsidRDefault="00396EC2" w:rsidP="00396EC2">
      <w:pPr>
        <w:pStyle w:val="DICTA-TEXTO"/>
        <w:jc w:val="center"/>
      </w:pPr>
      <w:r>
        <w:t>EXPOSICIÓN DE MOTIVOS</w:t>
      </w:r>
    </w:p>
    <w:p w14:paraId="2B26FDB9" w14:textId="77777777" w:rsidR="000438EC" w:rsidRDefault="000438EC" w:rsidP="000438EC">
      <w:pPr>
        <w:pStyle w:val="DICTA-TEXTO"/>
      </w:pPr>
      <w:r>
        <w:t>La Ley Foral 3/2024, de 25 de abril, de concesión de un crédito extraordinario por un importe total de 539.000 euros en varios departamentos del Gobierno de Navarra en el Presupuesto de 2024, contempla en su artículo 3 la modificación de la denominación del título de diversas partidas presupuestarias de la Ley Foral 2/2024, de 13 de marzo, de Presupuestos Generales de Navarra para el año 2024.</w:t>
      </w:r>
    </w:p>
    <w:p w14:paraId="11E0613A" w14:textId="1C8AA15F" w:rsidR="000438EC" w:rsidRDefault="000438EC" w:rsidP="000438EC">
      <w:pPr>
        <w:pStyle w:val="DICTA-TEXTO"/>
      </w:pPr>
      <w:r>
        <w:t>Sin embargo, el citado artículo 3 contiene</w:t>
      </w:r>
      <w:r w:rsidR="00D66CCF">
        <w:t>,</w:t>
      </w:r>
      <w:r>
        <w:t xml:space="preserve"> además del cambio de denominación propiamente dicha, la modificación de la codificación de las partidas, lo que de facto supone la creación de nuevas partidas.</w:t>
      </w:r>
    </w:p>
    <w:p w14:paraId="67FE9854" w14:textId="77777777" w:rsidR="000438EC" w:rsidRDefault="000438EC" w:rsidP="000438EC">
      <w:pPr>
        <w:pStyle w:val="DICTA-TEXTO"/>
      </w:pPr>
      <w:r>
        <w:t>Los Departamentos de Economía y Hacienda; Cohesión Territorial; y Cultura, Deporte y Turismo remiten informes acerca de la necesidad de aprobación de crédito extraordinario para ejecutar el gasto correspondiente en el presupuesto de 2024 dotando las partidas presupuestarias adecuadas.</w:t>
      </w:r>
    </w:p>
    <w:p w14:paraId="6D153A64" w14:textId="77777777" w:rsidR="000438EC" w:rsidRDefault="000438EC" w:rsidP="000438EC">
      <w:pPr>
        <w:pStyle w:val="DICTA-TEXTO"/>
      </w:pPr>
      <w:r>
        <w:t>La Ley Foral 13/2007, de 4 de abril, de la Hacienda Pública de Navarra, dispone en su artículo 48 párrafo primero que, cuando haya de realizarse con cargo al Presupuesto vigente algún gasto que no pueda demorarse hasta el ejercicio siguiente y no exista el crédito, el Gobierno de Navarra, a propuesta del Consejero de Economía y Hacienda, remitirá al Parlamento de Navarra un proyecto de ley foral de concesión de un crédito extraordinario. En su párrafo segundo dispone que el crédito extraordinario podrá financiarse con otros créditos disponibles de cualquier programa de gasto, incluso provenientes de créditos específicamente aprobados por el Parlamento como consecuencia de enmiendas o de disposiciones de esta ley foral.</w:t>
      </w:r>
    </w:p>
    <w:p w14:paraId="28A08CFD" w14:textId="223FF85E" w:rsidR="00FF1A92" w:rsidRDefault="00106D80" w:rsidP="000438EC">
      <w:pPr>
        <w:pStyle w:val="DICTA-TEXTO"/>
      </w:pPr>
      <w:r w:rsidRPr="00106D80">
        <w:rPr>
          <w:b/>
          <w:bCs/>
        </w:rPr>
        <w:t xml:space="preserve">Artículo </w:t>
      </w:r>
      <w:r w:rsidR="000438EC">
        <w:rPr>
          <w:b/>
          <w:bCs/>
        </w:rPr>
        <w:t>1</w:t>
      </w:r>
      <w:r>
        <w:t xml:space="preserve">. </w:t>
      </w:r>
      <w:r w:rsidR="000438EC" w:rsidRPr="000438EC">
        <w:t>Derogación del artículo 3 de la Ley Foral 3/2024</w:t>
      </w:r>
      <w:r w:rsidR="00FF1A92" w:rsidRPr="00FF1A92">
        <w:t>.</w:t>
      </w:r>
    </w:p>
    <w:p w14:paraId="4AA1108C" w14:textId="77777777" w:rsidR="000438EC" w:rsidRDefault="000438EC" w:rsidP="000438EC">
      <w:pPr>
        <w:pStyle w:val="DICTA-TEXTO"/>
      </w:pPr>
      <w:r>
        <w:lastRenderedPageBreak/>
        <w:t>Se deroga el artículo 3 de la Ley Foral 3/2024, de 25 de abril, de concesión de un crédito extraordinario por un importe total de 539.000 euros en varios departamentos del Gobierno de Navarra en el Presupuesto de 2024.</w:t>
      </w:r>
    </w:p>
    <w:p w14:paraId="2004B689" w14:textId="77777777" w:rsidR="000438EC" w:rsidRDefault="000438EC" w:rsidP="000438EC">
      <w:pPr>
        <w:pStyle w:val="DICTA-TEXTO"/>
      </w:pPr>
      <w:r w:rsidRPr="000438EC">
        <w:rPr>
          <w:b/>
          <w:bCs/>
        </w:rPr>
        <w:t>Artículo 2</w:t>
      </w:r>
      <w:r>
        <w:t>. Concesión de crédito extraordinario.</w:t>
      </w:r>
    </w:p>
    <w:p w14:paraId="6FDB59EB" w14:textId="77777777" w:rsidR="000438EC" w:rsidRDefault="000438EC" w:rsidP="000438EC">
      <w:pPr>
        <w:pStyle w:val="DICTA-TEXTO"/>
      </w:pPr>
      <w:r>
        <w:t>Se concede un crédito extraordinario, por importe total de 338.000 euros en el presupuesto para 2024, para la financiación de las necesidades de varios Departamentos del Gobierno de Navarra.</w:t>
      </w:r>
    </w:p>
    <w:p w14:paraId="03CDE388" w14:textId="77777777" w:rsidR="000438EC" w:rsidRDefault="000438EC" w:rsidP="000438EC">
      <w:pPr>
        <w:pStyle w:val="DICTA-TEXTO"/>
      </w:pPr>
      <w:r>
        <w:t>Este crédito se aplicará a las siguientes partidas presupuestarias:</w:t>
      </w:r>
    </w:p>
    <w:tbl>
      <w:tblPr>
        <w:tblW w:w="9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92"/>
        <w:gridCol w:w="1257"/>
      </w:tblGrid>
      <w:tr w:rsidR="000438EC" w:rsidRPr="00476A69" w14:paraId="1D03CDBB" w14:textId="77777777" w:rsidTr="003C533D">
        <w:trPr>
          <w:trHeight w:val="20"/>
          <w:jc w:val="center"/>
        </w:trPr>
        <w:tc>
          <w:tcPr>
            <w:tcW w:w="7792" w:type="dxa"/>
            <w:vAlign w:val="center"/>
            <w:hideMark/>
          </w:tcPr>
          <w:p w14:paraId="38A4D657" w14:textId="77777777" w:rsidR="000438EC" w:rsidRPr="00476A69" w:rsidRDefault="000438EC" w:rsidP="003C533D">
            <w:pPr>
              <w:keepLines/>
              <w:spacing w:line="280" w:lineRule="exact"/>
              <w:jc w:val="center"/>
              <w:rPr>
                <w:rFonts w:ascii="Helvetica LT Std" w:hAnsi="Helvetica LT Std" w:cstheme="minorHAnsi"/>
                <w:b/>
                <w:color w:val="000000"/>
                <w:sz w:val="18"/>
                <w:szCs w:val="18"/>
                <w:lang w:val="es-ES"/>
              </w:rPr>
            </w:pPr>
            <w:r w:rsidRPr="00476A69">
              <w:rPr>
                <w:rFonts w:ascii="Helvetica LT Std" w:hAnsi="Helvetica LT Std" w:cstheme="minorHAnsi"/>
                <w:b/>
                <w:color w:val="000000"/>
                <w:sz w:val="18"/>
                <w:szCs w:val="18"/>
                <w:lang w:val="es-ES"/>
              </w:rPr>
              <w:t>PARTIDA PRESUPUESTARIA</w:t>
            </w:r>
          </w:p>
        </w:tc>
        <w:tc>
          <w:tcPr>
            <w:tcW w:w="1257" w:type="dxa"/>
            <w:noWrap/>
            <w:vAlign w:val="center"/>
            <w:hideMark/>
          </w:tcPr>
          <w:p w14:paraId="26BF8952" w14:textId="77777777" w:rsidR="000438EC" w:rsidRPr="00476A69" w:rsidRDefault="000438EC" w:rsidP="003C533D">
            <w:pPr>
              <w:keepLines/>
              <w:spacing w:line="280" w:lineRule="exact"/>
              <w:jc w:val="center"/>
              <w:rPr>
                <w:rFonts w:ascii="Helvetica LT Std" w:hAnsi="Helvetica LT Std" w:cstheme="minorHAnsi"/>
                <w:b/>
                <w:color w:val="000000"/>
                <w:sz w:val="18"/>
                <w:szCs w:val="18"/>
                <w:lang w:val="es-ES"/>
              </w:rPr>
            </w:pPr>
            <w:r w:rsidRPr="00476A69">
              <w:rPr>
                <w:rFonts w:ascii="Helvetica LT Std" w:hAnsi="Helvetica LT Std" w:cstheme="minorHAnsi"/>
                <w:b/>
                <w:color w:val="000000"/>
                <w:sz w:val="18"/>
                <w:szCs w:val="18"/>
                <w:lang w:val="es-ES"/>
              </w:rPr>
              <w:t>IMPORTE</w:t>
            </w:r>
          </w:p>
        </w:tc>
      </w:tr>
      <w:tr w:rsidR="000438EC" w:rsidRPr="00476A69" w14:paraId="1DAD15F4" w14:textId="77777777" w:rsidTr="003C533D">
        <w:trPr>
          <w:trHeight w:val="20"/>
          <w:jc w:val="center"/>
        </w:trPr>
        <w:tc>
          <w:tcPr>
            <w:tcW w:w="7792" w:type="dxa"/>
            <w:vAlign w:val="center"/>
            <w:hideMark/>
          </w:tcPr>
          <w:p w14:paraId="35F84897" w14:textId="77777777" w:rsidR="000438EC" w:rsidRPr="00476A69" w:rsidRDefault="000438EC" w:rsidP="003C533D">
            <w:pPr>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2616T0</w:t>
            </w:r>
            <w:proofErr w:type="spellEnd"/>
            <w:r w:rsidRPr="00476A69">
              <w:rPr>
                <w:rFonts w:ascii="Helvetica LT Std" w:hAnsi="Helvetica LT Std" w:cstheme="minorHAnsi"/>
                <w:sz w:val="18"/>
                <w:szCs w:val="18"/>
                <w:lang w:val="es-ES"/>
              </w:rPr>
              <w:t xml:space="preserve"> Transferencia al Ayto. Armañanzas: adecuación edificios para bar y tienda</w:t>
            </w:r>
          </w:p>
        </w:tc>
        <w:tc>
          <w:tcPr>
            <w:tcW w:w="1257" w:type="dxa"/>
            <w:noWrap/>
            <w:vAlign w:val="center"/>
            <w:hideMark/>
          </w:tcPr>
          <w:p w14:paraId="1105918A"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80.000</w:t>
            </w:r>
          </w:p>
        </w:tc>
      </w:tr>
      <w:tr w:rsidR="000438EC" w:rsidRPr="00476A69" w14:paraId="3BC31885" w14:textId="77777777" w:rsidTr="003C533D">
        <w:trPr>
          <w:trHeight w:val="20"/>
          <w:jc w:val="center"/>
        </w:trPr>
        <w:tc>
          <w:tcPr>
            <w:tcW w:w="7792" w:type="dxa"/>
            <w:vAlign w:val="center"/>
            <w:hideMark/>
          </w:tcPr>
          <w:p w14:paraId="142FFBAC" w14:textId="77777777" w:rsidR="000438EC" w:rsidRPr="00476A69" w:rsidRDefault="000438EC" w:rsidP="003C533D">
            <w:pPr>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2616T1</w:t>
            </w:r>
            <w:proofErr w:type="spellEnd"/>
            <w:r w:rsidRPr="00476A69">
              <w:rPr>
                <w:rFonts w:ascii="Helvetica LT Std" w:hAnsi="Helvetica LT Std" w:cstheme="minorHAnsi"/>
                <w:sz w:val="18"/>
                <w:szCs w:val="18"/>
                <w:lang w:val="es-ES"/>
              </w:rPr>
              <w:t xml:space="preserve"> Transferencia Ayto. Barañain. Cambio luminarias Avenida de los Deportes</w:t>
            </w:r>
          </w:p>
        </w:tc>
        <w:tc>
          <w:tcPr>
            <w:tcW w:w="1257" w:type="dxa"/>
            <w:noWrap/>
            <w:vAlign w:val="center"/>
            <w:hideMark/>
          </w:tcPr>
          <w:p w14:paraId="0FD6BAA5"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60.000</w:t>
            </w:r>
          </w:p>
        </w:tc>
      </w:tr>
      <w:tr w:rsidR="000438EC" w:rsidRPr="00476A69" w14:paraId="3295C49E" w14:textId="77777777" w:rsidTr="003C533D">
        <w:trPr>
          <w:trHeight w:val="20"/>
          <w:jc w:val="center"/>
        </w:trPr>
        <w:tc>
          <w:tcPr>
            <w:tcW w:w="7792" w:type="dxa"/>
            <w:vAlign w:val="center"/>
          </w:tcPr>
          <w:p w14:paraId="46907238"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2616T2</w:t>
            </w:r>
            <w:proofErr w:type="spellEnd"/>
            <w:r w:rsidRPr="00476A69">
              <w:rPr>
                <w:rFonts w:ascii="Helvetica LT Std" w:hAnsi="Helvetica LT Std" w:cstheme="minorHAnsi"/>
                <w:sz w:val="18"/>
                <w:szCs w:val="18"/>
                <w:lang w:val="es-ES"/>
              </w:rPr>
              <w:t xml:space="preserve"> Convenio con el Ayuntamiento de </w:t>
            </w:r>
            <w:proofErr w:type="spellStart"/>
            <w:r w:rsidRPr="00476A69">
              <w:rPr>
                <w:rFonts w:ascii="Helvetica LT Std" w:hAnsi="Helvetica LT Std" w:cstheme="minorHAnsi"/>
                <w:sz w:val="18"/>
                <w:szCs w:val="18"/>
                <w:lang w:val="es-ES"/>
              </w:rPr>
              <w:t>Murchante</w:t>
            </w:r>
            <w:proofErr w:type="spellEnd"/>
            <w:r w:rsidRPr="00476A69">
              <w:rPr>
                <w:rFonts w:ascii="Helvetica LT Std" w:hAnsi="Helvetica LT Std" w:cstheme="minorHAnsi"/>
                <w:sz w:val="18"/>
                <w:szCs w:val="18"/>
                <w:lang w:val="es-ES"/>
              </w:rPr>
              <w:t xml:space="preserve"> para reparación de firme calles San Isidro y Virgen de Mis Manos</w:t>
            </w:r>
          </w:p>
        </w:tc>
        <w:tc>
          <w:tcPr>
            <w:tcW w:w="1257" w:type="dxa"/>
            <w:noWrap/>
            <w:vAlign w:val="center"/>
          </w:tcPr>
          <w:p w14:paraId="2E7AA842" w14:textId="77777777" w:rsidR="000438EC" w:rsidRPr="00476A69" w:rsidRDefault="000438EC" w:rsidP="003C533D">
            <w:pPr>
              <w:keepLines/>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30.000</w:t>
            </w:r>
          </w:p>
        </w:tc>
      </w:tr>
      <w:tr w:rsidR="000438EC" w:rsidRPr="00476A69" w14:paraId="78235D6F" w14:textId="77777777" w:rsidTr="003C533D">
        <w:trPr>
          <w:trHeight w:val="20"/>
          <w:jc w:val="center"/>
        </w:trPr>
        <w:tc>
          <w:tcPr>
            <w:tcW w:w="7792" w:type="dxa"/>
            <w:vAlign w:val="center"/>
          </w:tcPr>
          <w:p w14:paraId="36A4B6AB"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2616T3</w:t>
            </w:r>
            <w:proofErr w:type="spellEnd"/>
            <w:r w:rsidRPr="00476A69">
              <w:rPr>
                <w:rFonts w:ascii="Helvetica LT Std" w:hAnsi="Helvetica LT Std" w:cstheme="minorHAnsi"/>
                <w:sz w:val="18"/>
                <w:szCs w:val="18"/>
                <w:lang w:val="es-ES"/>
              </w:rPr>
              <w:t xml:space="preserve"> Transferencia Ayto. Andosilla: mejora de solar urbano y construcción de pérgola en calle Felipe de </w:t>
            </w:r>
            <w:proofErr w:type="spellStart"/>
            <w:r w:rsidRPr="00476A69">
              <w:rPr>
                <w:rFonts w:ascii="Helvetica LT Std" w:hAnsi="Helvetica LT Std" w:cstheme="minorHAnsi"/>
                <w:sz w:val="18"/>
                <w:szCs w:val="18"/>
                <w:lang w:val="es-ES"/>
              </w:rPr>
              <w:t>Arín</w:t>
            </w:r>
            <w:proofErr w:type="spellEnd"/>
          </w:p>
        </w:tc>
        <w:tc>
          <w:tcPr>
            <w:tcW w:w="1257" w:type="dxa"/>
            <w:noWrap/>
            <w:vAlign w:val="center"/>
          </w:tcPr>
          <w:p w14:paraId="68008CB8" w14:textId="77777777" w:rsidR="000438EC" w:rsidRPr="00476A69" w:rsidRDefault="000438EC" w:rsidP="003C533D">
            <w:pPr>
              <w:keepLines/>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30.000</w:t>
            </w:r>
          </w:p>
        </w:tc>
      </w:tr>
      <w:tr w:rsidR="000438EC" w:rsidRPr="00476A69" w14:paraId="6D790721" w14:textId="77777777" w:rsidTr="003C533D">
        <w:trPr>
          <w:trHeight w:val="20"/>
          <w:jc w:val="center"/>
        </w:trPr>
        <w:tc>
          <w:tcPr>
            <w:tcW w:w="7792" w:type="dxa"/>
            <w:vAlign w:val="center"/>
            <w:hideMark/>
          </w:tcPr>
          <w:p w14:paraId="7FC46F6B" w14:textId="77777777" w:rsidR="000438EC" w:rsidRPr="00476A69" w:rsidRDefault="000438EC" w:rsidP="003C533D">
            <w:pPr>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A21001</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A2400</w:t>
            </w:r>
            <w:proofErr w:type="spellEnd"/>
            <w:r w:rsidRPr="00476A69">
              <w:rPr>
                <w:rFonts w:ascii="Helvetica LT Std" w:hAnsi="Helvetica LT Std" w:cstheme="minorHAnsi"/>
                <w:sz w:val="18"/>
                <w:szCs w:val="18"/>
                <w:lang w:val="es-ES"/>
              </w:rPr>
              <w:t xml:space="preserve"> 6054 332202 Equipamiento para Biblioteca Pública de Tudela</w:t>
            </w:r>
          </w:p>
        </w:tc>
        <w:tc>
          <w:tcPr>
            <w:tcW w:w="1257" w:type="dxa"/>
            <w:noWrap/>
            <w:vAlign w:val="center"/>
            <w:hideMark/>
          </w:tcPr>
          <w:p w14:paraId="2DF36511"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w:t>
            </w:r>
          </w:p>
        </w:tc>
      </w:tr>
      <w:tr w:rsidR="000438EC" w:rsidRPr="00476A69" w14:paraId="00A52370" w14:textId="77777777" w:rsidTr="003C533D">
        <w:trPr>
          <w:trHeight w:val="20"/>
          <w:jc w:val="center"/>
        </w:trPr>
        <w:tc>
          <w:tcPr>
            <w:tcW w:w="7792" w:type="dxa"/>
            <w:vAlign w:val="center"/>
            <w:hideMark/>
          </w:tcPr>
          <w:p w14:paraId="5713618A" w14:textId="77777777" w:rsidR="000438EC" w:rsidRPr="00476A69" w:rsidRDefault="000438EC" w:rsidP="003C533D">
            <w:pPr>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A50000</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A5000</w:t>
            </w:r>
            <w:proofErr w:type="spellEnd"/>
            <w:r w:rsidRPr="00476A69">
              <w:rPr>
                <w:rFonts w:ascii="Helvetica LT Std" w:hAnsi="Helvetica LT Std" w:cstheme="minorHAnsi"/>
                <w:sz w:val="18"/>
                <w:szCs w:val="18"/>
                <w:lang w:val="es-ES"/>
              </w:rPr>
              <w:t xml:space="preserve"> 7609 </w:t>
            </w:r>
            <w:proofErr w:type="spellStart"/>
            <w:r w:rsidRPr="00476A69">
              <w:rPr>
                <w:rFonts w:ascii="Helvetica LT Std" w:hAnsi="Helvetica LT Std" w:cstheme="minorHAnsi"/>
                <w:sz w:val="18"/>
                <w:szCs w:val="18"/>
                <w:lang w:val="es-ES"/>
              </w:rPr>
              <w:t>3361E8</w:t>
            </w:r>
            <w:proofErr w:type="spellEnd"/>
            <w:r w:rsidRPr="00476A69">
              <w:rPr>
                <w:rFonts w:ascii="Helvetica LT Std" w:hAnsi="Helvetica LT Std" w:cstheme="minorHAnsi"/>
                <w:sz w:val="18"/>
                <w:szCs w:val="18"/>
                <w:lang w:val="es-ES"/>
              </w:rPr>
              <w:t xml:space="preserve"> Transferencia al Ayto. Olite. Reformas en el frontón</w:t>
            </w:r>
          </w:p>
        </w:tc>
        <w:tc>
          <w:tcPr>
            <w:tcW w:w="1257" w:type="dxa"/>
            <w:noWrap/>
            <w:vAlign w:val="center"/>
            <w:hideMark/>
          </w:tcPr>
          <w:p w14:paraId="1D91E259"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60.000</w:t>
            </w:r>
          </w:p>
        </w:tc>
      </w:tr>
      <w:tr w:rsidR="000438EC" w:rsidRPr="00476A69" w14:paraId="04802119" w14:textId="77777777" w:rsidTr="003C533D">
        <w:trPr>
          <w:trHeight w:val="20"/>
          <w:jc w:val="center"/>
        </w:trPr>
        <w:tc>
          <w:tcPr>
            <w:tcW w:w="7792" w:type="dxa"/>
            <w:vAlign w:val="center"/>
            <w:hideMark/>
          </w:tcPr>
          <w:p w14:paraId="5A4D2E84" w14:textId="77777777" w:rsidR="000438EC" w:rsidRPr="00476A69" w:rsidRDefault="000438EC" w:rsidP="003C533D">
            <w:pPr>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A50003</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A5200</w:t>
            </w:r>
            <w:proofErr w:type="spellEnd"/>
            <w:r w:rsidRPr="00476A69">
              <w:rPr>
                <w:rFonts w:ascii="Helvetica LT Std" w:hAnsi="Helvetica LT Std" w:cstheme="minorHAnsi"/>
                <w:sz w:val="18"/>
                <w:szCs w:val="18"/>
                <w:lang w:val="es-ES"/>
              </w:rPr>
              <w:t xml:space="preserve"> 4819 336113 Subvención CB del Valle de Egüés: Proyecto estructurado </w:t>
            </w:r>
            <w:proofErr w:type="spellStart"/>
            <w:r w:rsidRPr="00476A69">
              <w:rPr>
                <w:rFonts w:ascii="Helvetica LT Std" w:hAnsi="Helvetica LT Std" w:cstheme="minorHAnsi"/>
                <w:sz w:val="18"/>
                <w:szCs w:val="18"/>
                <w:lang w:val="es-ES"/>
              </w:rPr>
              <w:t>basquet</w:t>
            </w:r>
            <w:proofErr w:type="spellEnd"/>
            <w:r w:rsidRPr="00476A69">
              <w:rPr>
                <w:rFonts w:ascii="Helvetica LT Std" w:hAnsi="Helvetica LT Std" w:cstheme="minorHAnsi"/>
                <w:sz w:val="18"/>
                <w:szCs w:val="18"/>
                <w:lang w:val="es-ES"/>
              </w:rPr>
              <w:t xml:space="preserve"> masculino</w:t>
            </w:r>
          </w:p>
        </w:tc>
        <w:tc>
          <w:tcPr>
            <w:tcW w:w="1257" w:type="dxa"/>
            <w:noWrap/>
            <w:vAlign w:val="center"/>
            <w:hideMark/>
          </w:tcPr>
          <w:p w14:paraId="5DFE6BF3"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50.000</w:t>
            </w:r>
          </w:p>
        </w:tc>
      </w:tr>
      <w:tr w:rsidR="000438EC" w:rsidRPr="00476A69" w14:paraId="08CAE5B7" w14:textId="77777777" w:rsidTr="003C533D">
        <w:trPr>
          <w:trHeight w:val="20"/>
          <w:jc w:val="center"/>
        </w:trPr>
        <w:tc>
          <w:tcPr>
            <w:tcW w:w="7792" w:type="dxa"/>
            <w:vAlign w:val="center"/>
            <w:hideMark/>
          </w:tcPr>
          <w:p w14:paraId="42826B10" w14:textId="77777777" w:rsidR="000438EC" w:rsidRPr="00476A69" w:rsidRDefault="000438EC" w:rsidP="003C533D">
            <w:pPr>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A50003</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A5200</w:t>
            </w:r>
            <w:proofErr w:type="spellEnd"/>
            <w:r w:rsidRPr="00476A69">
              <w:rPr>
                <w:rFonts w:ascii="Helvetica LT Std" w:hAnsi="Helvetica LT Std" w:cstheme="minorHAnsi"/>
                <w:sz w:val="18"/>
                <w:szCs w:val="18"/>
                <w:lang w:val="es-ES"/>
              </w:rPr>
              <w:t xml:space="preserve"> 4819 336114 Subvención al club Deportivo </w:t>
            </w:r>
            <w:proofErr w:type="spellStart"/>
            <w:r w:rsidRPr="00476A69">
              <w:rPr>
                <w:rFonts w:ascii="Helvetica LT Std" w:hAnsi="Helvetica LT Std" w:cstheme="minorHAnsi"/>
                <w:sz w:val="18"/>
                <w:szCs w:val="18"/>
                <w:lang w:val="es-ES"/>
              </w:rPr>
              <w:t>Trikideak</w:t>
            </w:r>
            <w:proofErr w:type="spellEnd"/>
            <w:r w:rsidRPr="00476A69">
              <w:rPr>
                <w:rFonts w:ascii="Helvetica LT Std" w:hAnsi="Helvetica LT Std" w:cstheme="minorHAnsi"/>
                <w:sz w:val="18"/>
                <w:szCs w:val="18"/>
                <w:lang w:val="es-ES"/>
              </w:rPr>
              <w:t xml:space="preserve">: Organización campeonato de España Triatlón y </w:t>
            </w:r>
            <w:proofErr w:type="spellStart"/>
            <w:r w:rsidRPr="00476A69">
              <w:rPr>
                <w:rFonts w:ascii="Helvetica LT Std" w:hAnsi="Helvetica LT Std" w:cstheme="minorHAnsi"/>
                <w:sz w:val="18"/>
                <w:szCs w:val="18"/>
                <w:lang w:val="es-ES"/>
              </w:rPr>
              <w:t>Aquabike</w:t>
            </w:r>
            <w:proofErr w:type="spellEnd"/>
            <w:r w:rsidRPr="00476A69">
              <w:rPr>
                <w:rFonts w:ascii="Helvetica LT Std" w:hAnsi="Helvetica LT Std" w:cstheme="minorHAnsi"/>
                <w:sz w:val="18"/>
                <w:szCs w:val="18"/>
                <w:lang w:val="es-ES"/>
              </w:rPr>
              <w:t xml:space="preserve"> 2024</w:t>
            </w:r>
          </w:p>
        </w:tc>
        <w:tc>
          <w:tcPr>
            <w:tcW w:w="1257" w:type="dxa"/>
            <w:noWrap/>
            <w:vAlign w:val="center"/>
            <w:hideMark/>
          </w:tcPr>
          <w:p w14:paraId="20521A62" w14:textId="77777777" w:rsidR="000438EC" w:rsidRPr="00476A69" w:rsidRDefault="000438EC" w:rsidP="003C533D">
            <w:pPr>
              <w:spacing w:line="280" w:lineRule="exact"/>
              <w:ind w:right="197"/>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25.000</w:t>
            </w:r>
          </w:p>
        </w:tc>
      </w:tr>
    </w:tbl>
    <w:p w14:paraId="37AE82B1" w14:textId="77777777" w:rsidR="000438EC" w:rsidRDefault="000438EC" w:rsidP="000438EC">
      <w:pPr>
        <w:pStyle w:val="DICTA-TEXTO"/>
      </w:pPr>
    </w:p>
    <w:p w14:paraId="05E0EA0D" w14:textId="77777777" w:rsidR="000438EC" w:rsidRDefault="000438EC" w:rsidP="000438EC">
      <w:pPr>
        <w:pStyle w:val="DICTA-TEXTO"/>
      </w:pPr>
      <w:r w:rsidRPr="000438EC">
        <w:rPr>
          <w:b/>
          <w:bCs/>
        </w:rPr>
        <w:t>Artículo 3</w:t>
      </w:r>
      <w:r>
        <w:t>. Financiación del crédito extraordinario.</w:t>
      </w:r>
    </w:p>
    <w:p w14:paraId="3209AFAA" w14:textId="207F97DE" w:rsidR="000438EC" w:rsidRDefault="000438EC" w:rsidP="000438EC">
      <w:pPr>
        <w:pStyle w:val="DICTA-TEXTO"/>
      </w:pPr>
      <w:r>
        <w:t>La financiación de este crédito extraordinario y por el citado importe de 338.000 euros se realizará con cargo al crédito disponible en las siguientes partidas:</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075"/>
        <w:gridCol w:w="1365"/>
      </w:tblGrid>
      <w:tr w:rsidR="000438EC" w:rsidRPr="00476A69" w14:paraId="5B840594" w14:textId="77777777" w:rsidTr="003C533D">
        <w:trPr>
          <w:trHeight w:val="407"/>
          <w:jc w:val="center"/>
        </w:trPr>
        <w:tc>
          <w:tcPr>
            <w:tcW w:w="8075" w:type="dxa"/>
            <w:vAlign w:val="center"/>
            <w:hideMark/>
          </w:tcPr>
          <w:p w14:paraId="04366DD2" w14:textId="77777777" w:rsidR="000438EC" w:rsidRPr="00476A69" w:rsidRDefault="000438EC" w:rsidP="003C533D">
            <w:pPr>
              <w:keepLines/>
              <w:spacing w:line="280" w:lineRule="exact"/>
              <w:jc w:val="center"/>
              <w:rPr>
                <w:rFonts w:ascii="Helvetica LT Std" w:hAnsi="Helvetica LT Std" w:cstheme="minorHAnsi"/>
                <w:b/>
                <w:color w:val="000000"/>
                <w:sz w:val="18"/>
                <w:szCs w:val="18"/>
                <w:lang w:val="es-ES"/>
              </w:rPr>
            </w:pPr>
            <w:r w:rsidRPr="00476A69">
              <w:rPr>
                <w:rFonts w:ascii="Helvetica LT Std" w:hAnsi="Helvetica LT Std" w:cstheme="minorHAnsi"/>
                <w:b/>
                <w:color w:val="000000"/>
                <w:sz w:val="18"/>
                <w:szCs w:val="18"/>
                <w:lang w:val="es-ES"/>
              </w:rPr>
              <w:t>PARTIDA PRESUPUESTARIA</w:t>
            </w:r>
          </w:p>
        </w:tc>
        <w:tc>
          <w:tcPr>
            <w:tcW w:w="1365" w:type="dxa"/>
            <w:noWrap/>
            <w:vAlign w:val="center"/>
            <w:hideMark/>
          </w:tcPr>
          <w:p w14:paraId="371FD6E6" w14:textId="77777777" w:rsidR="000438EC" w:rsidRPr="00476A69" w:rsidRDefault="000438EC" w:rsidP="003C533D">
            <w:pPr>
              <w:keepLines/>
              <w:spacing w:line="280" w:lineRule="exact"/>
              <w:jc w:val="center"/>
              <w:rPr>
                <w:rFonts w:ascii="Helvetica LT Std" w:hAnsi="Helvetica LT Std" w:cstheme="minorHAnsi"/>
                <w:b/>
                <w:color w:val="000000"/>
                <w:sz w:val="18"/>
                <w:szCs w:val="18"/>
                <w:lang w:val="es-ES"/>
              </w:rPr>
            </w:pPr>
            <w:r w:rsidRPr="00476A69">
              <w:rPr>
                <w:rFonts w:ascii="Helvetica LT Std" w:hAnsi="Helvetica LT Std" w:cstheme="minorHAnsi"/>
                <w:b/>
                <w:color w:val="000000"/>
                <w:sz w:val="18"/>
                <w:szCs w:val="18"/>
                <w:lang w:val="es-ES"/>
              </w:rPr>
              <w:t>IMPORTE</w:t>
            </w:r>
          </w:p>
        </w:tc>
      </w:tr>
      <w:tr w:rsidR="000438EC" w:rsidRPr="00476A69" w14:paraId="07FA662A" w14:textId="77777777" w:rsidTr="003C533D">
        <w:trPr>
          <w:trHeight w:val="588"/>
          <w:jc w:val="center"/>
        </w:trPr>
        <w:tc>
          <w:tcPr>
            <w:tcW w:w="8075" w:type="dxa"/>
            <w:vAlign w:val="center"/>
            <w:hideMark/>
          </w:tcPr>
          <w:p w14:paraId="72D6D84D"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2616L3</w:t>
            </w:r>
            <w:proofErr w:type="spellEnd"/>
            <w:r w:rsidRPr="00476A69">
              <w:rPr>
                <w:rFonts w:ascii="Helvetica LT Std" w:hAnsi="Helvetica LT Std" w:cstheme="minorHAnsi"/>
                <w:sz w:val="18"/>
                <w:szCs w:val="18"/>
                <w:lang w:val="es-ES"/>
              </w:rPr>
              <w:t xml:space="preserve"> (E) Transferencia al </w:t>
            </w:r>
            <w:proofErr w:type="spellStart"/>
            <w:r w:rsidRPr="00476A69">
              <w:rPr>
                <w:rFonts w:ascii="Helvetica LT Std" w:hAnsi="Helvetica LT Std" w:cstheme="minorHAnsi"/>
                <w:sz w:val="18"/>
                <w:szCs w:val="18"/>
                <w:lang w:val="es-ES"/>
              </w:rPr>
              <w:t>Ayto</w:t>
            </w:r>
            <w:proofErr w:type="spellEnd"/>
            <w:r w:rsidRPr="00476A69">
              <w:rPr>
                <w:rFonts w:ascii="Helvetica LT Std" w:hAnsi="Helvetica LT Std" w:cstheme="minorHAnsi"/>
                <w:sz w:val="18"/>
                <w:szCs w:val="18"/>
                <w:lang w:val="es-ES"/>
              </w:rPr>
              <w:t xml:space="preserve"> Armañanzas: adecuación edificios para servicios esenciales</w:t>
            </w:r>
          </w:p>
        </w:tc>
        <w:tc>
          <w:tcPr>
            <w:tcW w:w="1365" w:type="dxa"/>
            <w:noWrap/>
            <w:vAlign w:val="center"/>
            <w:hideMark/>
          </w:tcPr>
          <w:p w14:paraId="37350480"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80.000</w:t>
            </w:r>
          </w:p>
        </w:tc>
      </w:tr>
      <w:tr w:rsidR="000438EC" w:rsidRPr="00476A69" w14:paraId="6EADE547" w14:textId="77777777" w:rsidTr="003C533D">
        <w:trPr>
          <w:trHeight w:val="588"/>
          <w:jc w:val="center"/>
        </w:trPr>
        <w:tc>
          <w:tcPr>
            <w:tcW w:w="8075" w:type="dxa"/>
            <w:vAlign w:val="center"/>
            <w:hideMark/>
          </w:tcPr>
          <w:p w14:paraId="2C2E0D8F"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2616M5</w:t>
            </w:r>
            <w:proofErr w:type="spellEnd"/>
            <w:r w:rsidRPr="00476A69">
              <w:rPr>
                <w:rFonts w:ascii="Helvetica LT Std" w:hAnsi="Helvetica LT Std" w:cstheme="minorHAnsi"/>
                <w:sz w:val="18"/>
                <w:szCs w:val="18"/>
                <w:lang w:val="es-ES"/>
              </w:rPr>
              <w:t xml:space="preserve"> (E) Transferencia Ayto. Barañain. Cambio luminarias Avenida de los Departamentos </w:t>
            </w:r>
          </w:p>
        </w:tc>
        <w:tc>
          <w:tcPr>
            <w:tcW w:w="1365" w:type="dxa"/>
            <w:noWrap/>
            <w:vAlign w:val="center"/>
            <w:hideMark/>
          </w:tcPr>
          <w:p w14:paraId="7DCAF88B"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60.000</w:t>
            </w:r>
          </w:p>
        </w:tc>
      </w:tr>
      <w:tr w:rsidR="000438EC" w:rsidRPr="00476A69" w14:paraId="15878EE5" w14:textId="77777777" w:rsidTr="003C533D">
        <w:trPr>
          <w:trHeight w:val="588"/>
          <w:jc w:val="center"/>
        </w:trPr>
        <w:tc>
          <w:tcPr>
            <w:tcW w:w="8075" w:type="dxa"/>
            <w:vAlign w:val="center"/>
          </w:tcPr>
          <w:p w14:paraId="2041CD81"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2616P4</w:t>
            </w:r>
            <w:proofErr w:type="spellEnd"/>
            <w:r w:rsidRPr="00476A69">
              <w:rPr>
                <w:rFonts w:ascii="Helvetica LT Std" w:hAnsi="Helvetica LT Std" w:cstheme="minorHAnsi"/>
                <w:sz w:val="18"/>
                <w:szCs w:val="18"/>
                <w:lang w:val="es-ES"/>
              </w:rPr>
              <w:t xml:space="preserve"> (E) Convenio con el Ayuntamiento de </w:t>
            </w:r>
            <w:proofErr w:type="spellStart"/>
            <w:r w:rsidRPr="00476A69">
              <w:rPr>
                <w:rFonts w:ascii="Helvetica LT Std" w:hAnsi="Helvetica LT Std" w:cstheme="minorHAnsi"/>
                <w:sz w:val="18"/>
                <w:szCs w:val="18"/>
                <w:lang w:val="es-ES"/>
              </w:rPr>
              <w:t>Murchante</w:t>
            </w:r>
            <w:proofErr w:type="spellEnd"/>
            <w:r w:rsidRPr="00476A69">
              <w:rPr>
                <w:rFonts w:ascii="Helvetica LT Std" w:hAnsi="Helvetica LT Std" w:cstheme="minorHAnsi"/>
                <w:sz w:val="18"/>
                <w:szCs w:val="18"/>
                <w:lang w:val="es-ES"/>
              </w:rPr>
              <w:t xml:space="preserve"> para obras acceso peatonal a la localidad</w:t>
            </w:r>
          </w:p>
        </w:tc>
        <w:tc>
          <w:tcPr>
            <w:tcW w:w="1365" w:type="dxa"/>
            <w:noWrap/>
            <w:vAlign w:val="center"/>
          </w:tcPr>
          <w:p w14:paraId="17759952"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30.000</w:t>
            </w:r>
          </w:p>
        </w:tc>
      </w:tr>
      <w:tr w:rsidR="000438EC" w:rsidRPr="00476A69" w14:paraId="55BA1DCE" w14:textId="77777777" w:rsidTr="003C533D">
        <w:trPr>
          <w:trHeight w:val="588"/>
          <w:jc w:val="center"/>
        </w:trPr>
        <w:tc>
          <w:tcPr>
            <w:tcW w:w="8075" w:type="dxa"/>
            <w:vAlign w:val="center"/>
          </w:tcPr>
          <w:p w14:paraId="0C81B233"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lastRenderedPageBreak/>
              <w:t xml:space="preserve">210001 21300 7609 </w:t>
            </w:r>
            <w:proofErr w:type="spellStart"/>
            <w:r w:rsidRPr="00476A69">
              <w:rPr>
                <w:rFonts w:ascii="Helvetica LT Std" w:hAnsi="Helvetica LT Std" w:cstheme="minorHAnsi"/>
                <w:sz w:val="18"/>
                <w:szCs w:val="18"/>
                <w:lang w:val="es-ES"/>
              </w:rPr>
              <w:t>2616O5</w:t>
            </w:r>
            <w:proofErr w:type="spellEnd"/>
            <w:r w:rsidRPr="00476A69">
              <w:rPr>
                <w:rFonts w:ascii="Helvetica LT Std" w:hAnsi="Helvetica LT Std" w:cstheme="minorHAnsi"/>
                <w:sz w:val="18"/>
                <w:szCs w:val="18"/>
                <w:lang w:val="es-ES"/>
              </w:rPr>
              <w:t xml:space="preserve"> (E) Transferencia Ayto. Andosilla: mejora urbana y creación de espacios de interrelación. Rincón de la naturaleza</w:t>
            </w:r>
          </w:p>
        </w:tc>
        <w:tc>
          <w:tcPr>
            <w:tcW w:w="1365" w:type="dxa"/>
            <w:noWrap/>
            <w:vAlign w:val="center"/>
          </w:tcPr>
          <w:p w14:paraId="669DFB2F"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30.000</w:t>
            </w:r>
          </w:p>
        </w:tc>
      </w:tr>
      <w:tr w:rsidR="000438EC" w:rsidRPr="00476A69" w14:paraId="7795C9EF" w14:textId="77777777" w:rsidTr="003C533D">
        <w:trPr>
          <w:trHeight w:val="588"/>
          <w:jc w:val="center"/>
        </w:trPr>
        <w:tc>
          <w:tcPr>
            <w:tcW w:w="8075" w:type="dxa"/>
            <w:vAlign w:val="center"/>
            <w:hideMark/>
          </w:tcPr>
          <w:p w14:paraId="6016389B" w14:textId="77777777" w:rsidR="000438EC" w:rsidRPr="00476A69" w:rsidRDefault="000438EC" w:rsidP="003C533D">
            <w:pPr>
              <w:keepLines/>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A21001</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A2400</w:t>
            </w:r>
            <w:proofErr w:type="spellEnd"/>
            <w:r w:rsidRPr="00476A69">
              <w:rPr>
                <w:rFonts w:ascii="Helvetica LT Std" w:hAnsi="Helvetica LT Std" w:cstheme="minorHAnsi"/>
                <w:sz w:val="18"/>
                <w:szCs w:val="18"/>
                <w:lang w:val="es-ES"/>
              </w:rPr>
              <w:t xml:space="preserve"> 7609 332203 (E) Subvención a la Biblioteca de Tudela para la adecuación de la Sala Polivalente</w:t>
            </w:r>
          </w:p>
        </w:tc>
        <w:tc>
          <w:tcPr>
            <w:tcW w:w="1365" w:type="dxa"/>
            <w:noWrap/>
            <w:vAlign w:val="center"/>
            <w:hideMark/>
          </w:tcPr>
          <w:p w14:paraId="4F868B2B"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3.000</w:t>
            </w:r>
          </w:p>
        </w:tc>
      </w:tr>
      <w:tr w:rsidR="000438EC" w:rsidRPr="00476A69" w14:paraId="02750E5C" w14:textId="77777777" w:rsidTr="003C533D">
        <w:trPr>
          <w:trHeight w:val="588"/>
          <w:jc w:val="center"/>
        </w:trPr>
        <w:tc>
          <w:tcPr>
            <w:tcW w:w="8075" w:type="dxa"/>
            <w:vAlign w:val="center"/>
            <w:hideMark/>
          </w:tcPr>
          <w:p w14:paraId="4870C372" w14:textId="77777777" w:rsidR="000438EC" w:rsidRPr="00476A69" w:rsidRDefault="000438EC" w:rsidP="003C533D">
            <w:pPr>
              <w:keepLines/>
              <w:spacing w:line="280" w:lineRule="exact"/>
              <w:rPr>
                <w:rFonts w:ascii="Helvetica LT Std" w:hAnsi="Helvetica LT Std" w:cstheme="minorHAnsi"/>
                <w:sz w:val="18"/>
                <w:szCs w:val="18"/>
                <w:lang w:val="es-ES"/>
              </w:rPr>
            </w:pPr>
            <w:r w:rsidRPr="00476A69">
              <w:rPr>
                <w:rFonts w:ascii="Helvetica LT Std" w:hAnsi="Helvetica LT Std" w:cstheme="minorHAnsi"/>
                <w:sz w:val="18"/>
                <w:szCs w:val="18"/>
                <w:lang w:val="es-ES"/>
              </w:rPr>
              <w:t xml:space="preserve">210001 21300 7609 </w:t>
            </w:r>
            <w:proofErr w:type="spellStart"/>
            <w:r w:rsidRPr="00476A69">
              <w:rPr>
                <w:rFonts w:ascii="Helvetica LT Std" w:hAnsi="Helvetica LT Std" w:cstheme="minorHAnsi"/>
                <w:sz w:val="18"/>
                <w:szCs w:val="18"/>
                <w:lang w:val="es-ES"/>
              </w:rPr>
              <w:t>2616M4</w:t>
            </w:r>
            <w:proofErr w:type="spellEnd"/>
            <w:r w:rsidRPr="00476A69">
              <w:rPr>
                <w:rFonts w:ascii="Helvetica LT Std" w:hAnsi="Helvetica LT Std" w:cstheme="minorHAnsi"/>
                <w:sz w:val="18"/>
                <w:szCs w:val="18"/>
                <w:lang w:val="es-ES"/>
              </w:rPr>
              <w:t xml:space="preserve"> (E) Convenio </w:t>
            </w:r>
            <w:proofErr w:type="spellStart"/>
            <w:r w:rsidRPr="00476A69">
              <w:rPr>
                <w:rFonts w:ascii="Helvetica LT Std" w:hAnsi="Helvetica LT Std" w:cstheme="minorHAnsi"/>
                <w:sz w:val="18"/>
                <w:szCs w:val="18"/>
                <w:lang w:val="es-ES"/>
              </w:rPr>
              <w:t>Ayto</w:t>
            </w:r>
            <w:proofErr w:type="spellEnd"/>
            <w:r w:rsidRPr="00476A69">
              <w:rPr>
                <w:rFonts w:ascii="Helvetica LT Std" w:hAnsi="Helvetica LT Std" w:cstheme="minorHAnsi"/>
                <w:sz w:val="18"/>
                <w:szCs w:val="18"/>
                <w:lang w:val="es-ES"/>
              </w:rPr>
              <w:t xml:space="preserve"> Olite. Reformas en el frontón</w:t>
            </w:r>
          </w:p>
        </w:tc>
        <w:tc>
          <w:tcPr>
            <w:tcW w:w="1365" w:type="dxa"/>
            <w:noWrap/>
            <w:vAlign w:val="center"/>
            <w:hideMark/>
          </w:tcPr>
          <w:p w14:paraId="2906BC5D"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60.000</w:t>
            </w:r>
          </w:p>
        </w:tc>
      </w:tr>
      <w:tr w:rsidR="000438EC" w:rsidRPr="00476A69" w14:paraId="6E515B0F" w14:textId="77777777" w:rsidTr="003C533D">
        <w:trPr>
          <w:trHeight w:val="588"/>
          <w:jc w:val="center"/>
        </w:trPr>
        <w:tc>
          <w:tcPr>
            <w:tcW w:w="8075" w:type="dxa"/>
            <w:vAlign w:val="center"/>
            <w:hideMark/>
          </w:tcPr>
          <w:p w14:paraId="5FB49957" w14:textId="77777777" w:rsidR="000438EC" w:rsidRPr="00476A69" w:rsidRDefault="000438EC" w:rsidP="003C533D">
            <w:pPr>
              <w:keepLines/>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A50003</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A5200</w:t>
            </w:r>
            <w:proofErr w:type="spellEnd"/>
            <w:r w:rsidRPr="00476A69">
              <w:rPr>
                <w:rFonts w:ascii="Helvetica LT Std" w:hAnsi="Helvetica LT Std" w:cstheme="minorHAnsi"/>
                <w:sz w:val="18"/>
                <w:szCs w:val="18"/>
                <w:lang w:val="es-ES"/>
              </w:rPr>
              <w:t xml:space="preserve"> 4819 336111 Subvención a la Federación Navarra de Baloncesto para la puesta en marcha del proyecto </w:t>
            </w:r>
            <w:proofErr w:type="spellStart"/>
            <w:r w:rsidRPr="00476A69">
              <w:rPr>
                <w:rFonts w:ascii="Helvetica LT Std" w:hAnsi="Helvetica LT Std" w:cstheme="minorHAnsi"/>
                <w:sz w:val="18"/>
                <w:szCs w:val="18"/>
                <w:lang w:val="es-ES"/>
              </w:rPr>
              <w:t>Básket</w:t>
            </w:r>
            <w:proofErr w:type="spellEnd"/>
            <w:r w:rsidRPr="00476A69">
              <w:rPr>
                <w:rFonts w:ascii="Helvetica LT Std" w:hAnsi="Helvetica LT Std" w:cstheme="minorHAnsi"/>
                <w:sz w:val="18"/>
                <w:szCs w:val="18"/>
                <w:lang w:val="es-ES"/>
              </w:rPr>
              <w:t xml:space="preserve"> masculino equipo estructurado</w:t>
            </w:r>
          </w:p>
        </w:tc>
        <w:tc>
          <w:tcPr>
            <w:tcW w:w="1365" w:type="dxa"/>
            <w:noWrap/>
            <w:vAlign w:val="center"/>
            <w:hideMark/>
          </w:tcPr>
          <w:p w14:paraId="2E6B881C"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50.000</w:t>
            </w:r>
          </w:p>
        </w:tc>
      </w:tr>
      <w:tr w:rsidR="000438EC" w:rsidRPr="00476A69" w14:paraId="189E6403" w14:textId="77777777" w:rsidTr="003C533D">
        <w:trPr>
          <w:trHeight w:val="588"/>
          <w:jc w:val="center"/>
        </w:trPr>
        <w:tc>
          <w:tcPr>
            <w:tcW w:w="8075" w:type="dxa"/>
            <w:vAlign w:val="center"/>
            <w:hideMark/>
          </w:tcPr>
          <w:p w14:paraId="421F33D4" w14:textId="77777777" w:rsidR="000438EC" w:rsidRPr="00476A69" w:rsidRDefault="000438EC" w:rsidP="003C533D">
            <w:pPr>
              <w:keepLines/>
              <w:spacing w:line="280" w:lineRule="exact"/>
              <w:rPr>
                <w:rFonts w:ascii="Helvetica LT Std" w:hAnsi="Helvetica LT Std" w:cstheme="minorHAnsi"/>
                <w:sz w:val="18"/>
                <w:szCs w:val="18"/>
                <w:lang w:val="es-ES"/>
              </w:rPr>
            </w:pPr>
            <w:proofErr w:type="spellStart"/>
            <w:r w:rsidRPr="00476A69">
              <w:rPr>
                <w:rFonts w:ascii="Helvetica LT Std" w:hAnsi="Helvetica LT Std" w:cstheme="minorHAnsi"/>
                <w:sz w:val="18"/>
                <w:szCs w:val="18"/>
                <w:lang w:val="es-ES"/>
              </w:rPr>
              <w:t>A50003</w:t>
            </w:r>
            <w:proofErr w:type="spellEnd"/>
            <w:r w:rsidRPr="00476A69">
              <w:rPr>
                <w:rFonts w:ascii="Helvetica LT Std" w:hAnsi="Helvetica LT Std" w:cstheme="minorHAnsi"/>
                <w:sz w:val="18"/>
                <w:szCs w:val="18"/>
                <w:lang w:val="es-ES"/>
              </w:rPr>
              <w:t xml:space="preserve"> </w:t>
            </w:r>
            <w:proofErr w:type="spellStart"/>
            <w:r w:rsidRPr="00476A69">
              <w:rPr>
                <w:rFonts w:ascii="Helvetica LT Std" w:hAnsi="Helvetica LT Std" w:cstheme="minorHAnsi"/>
                <w:sz w:val="18"/>
                <w:szCs w:val="18"/>
                <w:lang w:val="es-ES"/>
              </w:rPr>
              <w:t>A5200</w:t>
            </w:r>
            <w:proofErr w:type="spellEnd"/>
            <w:r w:rsidRPr="00476A69">
              <w:rPr>
                <w:rFonts w:ascii="Helvetica LT Std" w:hAnsi="Helvetica LT Std" w:cstheme="minorHAnsi"/>
                <w:sz w:val="18"/>
                <w:szCs w:val="18"/>
                <w:lang w:val="es-ES"/>
              </w:rPr>
              <w:t xml:space="preserve"> 4819 336112 (E) Subvención a la FN Triatlón: Organización campeonato de España Triatlón y </w:t>
            </w:r>
            <w:proofErr w:type="spellStart"/>
            <w:r w:rsidRPr="00476A69">
              <w:rPr>
                <w:rFonts w:ascii="Helvetica LT Std" w:hAnsi="Helvetica LT Std" w:cstheme="minorHAnsi"/>
                <w:sz w:val="18"/>
                <w:szCs w:val="18"/>
                <w:lang w:val="es-ES"/>
              </w:rPr>
              <w:t>Aquabike</w:t>
            </w:r>
            <w:proofErr w:type="spellEnd"/>
            <w:r w:rsidRPr="00476A69">
              <w:rPr>
                <w:rFonts w:ascii="Helvetica LT Std" w:hAnsi="Helvetica LT Std" w:cstheme="minorHAnsi"/>
                <w:sz w:val="18"/>
                <w:szCs w:val="18"/>
                <w:lang w:val="es-ES"/>
              </w:rPr>
              <w:t xml:space="preserve"> 2024</w:t>
            </w:r>
          </w:p>
        </w:tc>
        <w:tc>
          <w:tcPr>
            <w:tcW w:w="1365" w:type="dxa"/>
            <w:noWrap/>
            <w:vAlign w:val="center"/>
            <w:hideMark/>
          </w:tcPr>
          <w:p w14:paraId="42141CB7" w14:textId="77777777" w:rsidR="000438EC" w:rsidRPr="00476A69" w:rsidRDefault="000438EC" w:rsidP="003C533D">
            <w:pPr>
              <w:keepLines/>
              <w:spacing w:line="280" w:lineRule="exact"/>
              <w:ind w:right="412"/>
              <w:jc w:val="right"/>
              <w:rPr>
                <w:rFonts w:ascii="Helvetica LT Std" w:hAnsi="Helvetica LT Std" w:cstheme="minorHAnsi"/>
                <w:sz w:val="18"/>
                <w:szCs w:val="18"/>
                <w:lang w:val="es-ES"/>
              </w:rPr>
            </w:pPr>
            <w:r w:rsidRPr="00476A69">
              <w:rPr>
                <w:rFonts w:ascii="Helvetica LT Std" w:hAnsi="Helvetica LT Std" w:cstheme="minorHAnsi"/>
                <w:sz w:val="18"/>
                <w:szCs w:val="18"/>
                <w:lang w:val="es-ES"/>
              </w:rPr>
              <w:t>25.000</w:t>
            </w:r>
          </w:p>
        </w:tc>
      </w:tr>
    </w:tbl>
    <w:p w14:paraId="2E5417C1" w14:textId="77777777" w:rsidR="000438EC" w:rsidRDefault="000438EC" w:rsidP="000438EC">
      <w:pPr>
        <w:pStyle w:val="DICTA-TEXTO"/>
      </w:pPr>
    </w:p>
    <w:p w14:paraId="6FA39318" w14:textId="71C211E8" w:rsidR="00D76157" w:rsidRDefault="00D76157" w:rsidP="000438EC">
      <w:pPr>
        <w:pStyle w:val="DICTA-TEXTO"/>
      </w:pPr>
      <w:r w:rsidRPr="00D76157">
        <w:rPr>
          <w:b/>
          <w:bCs/>
        </w:rPr>
        <w:t>Disposición final</w:t>
      </w:r>
      <w:r w:rsidR="000438EC">
        <w:rPr>
          <w:b/>
          <w:bCs/>
        </w:rPr>
        <w:t xml:space="preserve"> única</w:t>
      </w:r>
      <w:r>
        <w:t>. Entrada en vigor.</w:t>
      </w:r>
    </w:p>
    <w:p w14:paraId="285E2966" w14:textId="1A0007CA" w:rsidR="00E475F6" w:rsidRDefault="00D65C85" w:rsidP="00264AB2">
      <w:pPr>
        <w:pStyle w:val="DICTA-TEXTO"/>
      </w:pPr>
      <w:r w:rsidRPr="00D65C85">
        <w:t xml:space="preserve">La presente ley </w:t>
      </w:r>
      <w:r w:rsidR="00561D73">
        <w:t xml:space="preserve">foral </w:t>
      </w:r>
      <w:r w:rsidRPr="00D65C85">
        <w:t xml:space="preserve">entrará en vigor el día siguiente al de su publicación en el </w:t>
      </w:r>
      <w:r w:rsidR="00FF1A92" w:rsidRPr="00FF1A92">
        <w:t>Boletín Oficial de Navarra</w:t>
      </w:r>
      <w:r w:rsidR="00D76157">
        <w:t>.</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LT Std">
    <w:panose1 w:val="020B0504020202020204"/>
    <w:charset w:val="00"/>
    <w:family w:val="swiss"/>
    <w:notTrueType/>
    <w:pitch w:val="variable"/>
    <w:sig w:usb0="800002AF" w:usb1="5000204A" w:usb2="00000000" w:usb3="00000000" w:csb0="0000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rPr>
        <w:noProof/>
      </w:rP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rPr>
        <w:noProof/>
      </w:rPr>
      <w:t>1</w:t>
    </w:r>
    <w:r w:rsidR="00E475F6">
      <w:fldChar w:fldCharType="end"/>
    </w:r>
    <w:r w:rsidR="00E475F6">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noProof/>
      </w:rPr>
      <w:t>2</w:t>
    </w:r>
    <w:r>
      <w:rPr>
        <w:rFonts w:ascii="Arial" w:hAnsi="Arial" w:cs="Arial"/>
      </w:rPr>
      <w:fldChar w:fldCharType="end"/>
    </w:r>
    <w:r>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38EC"/>
    <w:rsid w:val="00047B77"/>
    <w:rsid w:val="000C5661"/>
    <w:rsid w:val="00101B39"/>
    <w:rsid w:val="00106D80"/>
    <w:rsid w:val="00185337"/>
    <w:rsid w:val="00195FF0"/>
    <w:rsid w:val="001B100C"/>
    <w:rsid w:val="002351DC"/>
    <w:rsid w:val="00256846"/>
    <w:rsid w:val="00264AB2"/>
    <w:rsid w:val="002D2542"/>
    <w:rsid w:val="00334ED7"/>
    <w:rsid w:val="0034321B"/>
    <w:rsid w:val="00350CA8"/>
    <w:rsid w:val="0036062E"/>
    <w:rsid w:val="00396EC2"/>
    <w:rsid w:val="003B0C15"/>
    <w:rsid w:val="00412582"/>
    <w:rsid w:val="00476A69"/>
    <w:rsid w:val="004C70B5"/>
    <w:rsid w:val="00561D73"/>
    <w:rsid w:val="00722591"/>
    <w:rsid w:val="0073735A"/>
    <w:rsid w:val="007435FA"/>
    <w:rsid w:val="00770298"/>
    <w:rsid w:val="00770CDE"/>
    <w:rsid w:val="00823B61"/>
    <w:rsid w:val="00836D6B"/>
    <w:rsid w:val="008D33DA"/>
    <w:rsid w:val="00920AF6"/>
    <w:rsid w:val="00950366"/>
    <w:rsid w:val="00971F44"/>
    <w:rsid w:val="009B1F48"/>
    <w:rsid w:val="009D7252"/>
    <w:rsid w:val="00AA03CF"/>
    <w:rsid w:val="00AA323A"/>
    <w:rsid w:val="00AF0358"/>
    <w:rsid w:val="00AF4EA1"/>
    <w:rsid w:val="00B4760C"/>
    <w:rsid w:val="00B80137"/>
    <w:rsid w:val="00C60221"/>
    <w:rsid w:val="00C76B7C"/>
    <w:rsid w:val="00C76D78"/>
    <w:rsid w:val="00CB0036"/>
    <w:rsid w:val="00D207A8"/>
    <w:rsid w:val="00D65C85"/>
    <w:rsid w:val="00D66CCF"/>
    <w:rsid w:val="00D76157"/>
    <w:rsid w:val="00DA5297"/>
    <w:rsid w:val="00E1610D"/>
    <w:rsid w:val="00E475F6"/>
    <w:rsid w:val="00E65A31"/>
    <w:rsid w:val="00EB6306"/>
    <w:rsid w:val="00EC2EA6"/>
    <w:rsid w:val="00EE1E80"/>
    <w:rsid w:val="00F057FE"/>
    <w:rsid w:val="00F2250B"/>
    <w:rsid w:val="00F31262"/>
    <w:rsid w:val="00F75127"/>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n-U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s-ES_tradnl"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s-ES_tradnl"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TextodegloboCar">
    <w:name w:val="Texto de globo Car"/>
    <w:semiHidden/>
    <w:rPr>
      <w:rFonts w:ascii="Tahoma" w:hAnsi="Tahoma" w:cs="Tahoma"/>
      <w:sz w:val="16"/>
      <w:szCs w:val="16"/>
      <w:lang w:val="es-ES_tradnl"/>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EncabezadoCar">
    <w:name w:val="Encabezado Car"/>
    <w:link w:val="Encabezado"/>
    <w:uiPriority w:val="99"/>
    <w:rsid w:val="00C76B7C"/>
    <w:rPr>
      <w:sz w:val="26"/>
      <w:lang w:val="es-ES_tradnl"/>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s-ES_tradnl" w:eastAsia="es-ES"/>
    </w:rPr>
  </w:style>
  <w:style w:type="character" w:customStyle="1" w:styleId="PiedepginaCar">
    <w:name w:val="Pie de página Car"/>
    <w:link w:val="Piedepgina"/>
    <w:uiPriority w:val="99"/>
    <w:rsid w:val="00C76B7C"/>
    <w:rPr>
      <w:sz w:val="26"/>
      <w:lang w:val="es-ES_tradnl"/>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713</Words>
  <Characters>3987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Aranaz, Carlota</cp:lastModifiedBy>
  <cp:revision>10</cp:revision>
  <cp:lastPrinted>2024-04-19T08:43:00Z</cp:lastPrinted>
  <dcterms:created xsi:type="dcterms:W3CDTF">2024-05-23T12:00:00Z</dcterms:created>
  <dcterms:modified xsi:type="dcterms:W3CDTF">2024-06-05T08:08:00Z</dcterms:modified>
</cp:coreProperties>
</file>