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396C8FD9" w:rsidR="00D76157" w:rsidRDefault="00533592" w:rsidP="00FF1A92">
      <w:pPr>
        <w:pStyle w:val="DICTA-TITULO"/>
      </w:pPr>
      <w:r w:rsidRPr="00533592">
        <w:t xml:space="preserve">Ley Foral de modificación de </w:t>
      </w:r>
      <w:r w:rsidR="008C71E8">
        <w:t xml:space="preserve">la </w:t>
      </w:r>
      <w:r w:rsidRPr="00533592">
        <w:t>Ley Foral 8/2005, de 1 de julio, de protección civil y atención de emergencias de Navarra</w:t>
      </w:r>
    </w:p>
    <w:p w14:paraId="42D0688D" w14:textId="122B2EB6" w:rsidR="00106D80" w:rsidRDefault="008C71E8" w:rsidP="00396EC2">
      <w:pPr>
        <w:pStyle w:val="DICTA-TEXTO"/>
        <w:jc w:val="center"/>
      </w:pPr>
      <w:r>
        <w:t>PREÁMBULO</w:t>
      </w:r>
    </w:p>
    <w:p w14:paraId="35B28403" w14:textId="77777777" w:rsidR="005763BE" w:rsidRDefault="005763BE" w:rsidP="005763BE">
      <w:pPr>
        <w:pStyle w:val="DICTA-TEXTO"/>
      </w:pPr>
      <w:r>
        <w:t>El Servicio de Bomberos de Navarra-Nafarroako Suhiltzaileak y su plantilla tienen unas competencias y características especiales y específicas, que requieren a su vez una regulación y un modelo de gestión basado en esta especificidad de funciones y puestos.</w:t>
      </w:r>
    </w:p>
    <w:p w14:paraId="1C7F3611" w14:textId="77777777" w:rsidR="005763BE" w:rsidRDefault="005763BE" w:rsidP="005763BE">
      <w:pPr>
        <w:pStyle w:val="DICTA-TEXTO"/>
      </w:pPr>
      <w:r>
        <w:t>Es necesario realizar, junto con la elaboración, ya en curso, de un reglamento propio, un estudio de los puestos de trabajo de este servicio, del mismo modo que en los últimos años la Administración ha realizado en diferentes departamentos y servicios, de manera que se puedan llegar a definir dichos puestos en cuanto a condiciones laborales, responsabilidades y funciones de la forma más eficiente posible.</w:t>
      </w:r>
    </w:p>
    <w:p w14:paraId="5749EEE2" w14:textId="5BD01DE7" w:rsidR="005763BE" w:rsidRDefault="00970D6C" w:rsidP="005763BE">
      <w:pPr>
        <w:pStyle w:val="DICTA-TEXTO"/>
      </w:pPr>
      <w:r>
        <w:t>P</w:t>
      </w:r>
      <w:r w:rsidR="005763BE">
        <w:t>ara poder valorar adecuadamente las competencias y características específicas del Servicio de Extinción de Incendios de Navarra-Nafarroako Suhiltzaileak</w:t>
      </w:r>
      <w:r w:rsidR="00523330">
        <w:t>,</w:t>
      </w:r>
      <w:r w:rsidR="005763BE">
        <w:t xml:space="preserve"> </w:t>
      </w:r>
      <w:r>
        <w:t>debe realizarse</w:t>
      </w:r>
      <w:r w:rsidR="005763BE">
        <w:t xml:space="preserve"> —en paralelo y dentro de la negociación del reglamento—</w:t>
      </w:r>
      <w:r>
        <w:t xml:space="preserve"> </w:t>
      </w:r>
      <w:r w:rsidR="005763BE">
        <w:t xml:space="preserve">un estudio de valoración de puestos de trabajo, incluyendo en el análisis de cada uno de ellos </w:t>
      </w:r>
      <w:r w:rsidR="00106A36">
        <w:t>sus</w:t>
      </w:r>
      <w:r w:rsidR="005763BE">
        <w:t xml:space="preserve"> prestaciones y condiciones laborales.</w:t>
      </w:r>
    </w:p>
    <w:p w14:paraId="520987F4" w14:textId="77777777" w:rsidR="00E60688" w:rsidRDefault="005763BE" w:rsidP="005763BE">
      <w:pPr>
        <w:pStyle w:val="DICTA-TEXTO"/>
      </w:pPr>
      <w:r>
        <w:t>Por ello, se plantea la introducción de una nueva disposición adicional que recoja la necesidad de elaborar un estudio de valoración de puestos de trabajo, que permita a las partes, tanto a la Administración foral como a la representación sindical, contar con un instrumento concreto dentro del marco negociador abierto en la Mesa Sectorial.</w:t>
      </w:r>
    </w:p>
    <w:p w14:paraId="404D9400" w14:textId="7B338CFB" w:rsidR="000F53CC" w:rsidRDefault="00106D80" w:rsidP="005763BE">
      <w:pPr>
        <w:pStyle w:val="DICTA-TEXTO"/>
      </w:pPr>
      <w:r w:rsidRPr="00106D80">
        <w:rPr>
          <w:b/>
          <w:bCs/>
        </w:rPr>
        <w:t xml:space="preserve">Artículo </w:t>
      </w:r>
      <w:r w:rsidR="00823B61">
        <w:rPr>
          <w:b/>
          <w:bCs/>
        </w:rPr>
        <w:t>único</w:t>
      </w:r>
      <w:r>
        <w:t xml:space="preserve">. </w:t>
      </w:r>
      <w:r w:rsidR="003639F5">
        <w:t>Modificación de</w:t>
      </w:r>
      <w:r w:rsidR="00E60688" w:rsidRPr="00E60688">
        <w:t xml:space="preserve"> la Ley Foral 8/2005, de 1 de julio, de protección civil y atención de emergencias de Navarra</w:t>
      </w:r>
      <w:r w:rsidR="003639F5">
        <w:t>.</w:t>
      </w:r>
    </w:p>
    <w:p w14:paraId="28A08CFD" w14:textId="01AF61F5" w:rsidR="00FF1A92" w:rsidRDefault="003639F5" w:rsidP="005763BE">
      <w:pPr>
        <w:pStyle w:val="DICTA-TEXTO"/>
      </w:pPr>
      <w:r>
        <w:lastRenderedPageBreak/>
        <w:t>Se añade una nueva disposición adicional sexta con la siguiente redacción:</w:t>
      </w:r>
    </w:p>
    <w:p w14:paraId="24AD19BC" w14:textId="3916BC40" w:rsidR="00DF5309" w:rsidRDefault="00200255" w:rsidP="00200255">
      <w:pPr>
        <w:pStyle w:val="DICTA-TEXTO"/>
      </w:pPr>
      <w:r>
        <w:t>“</w:t>
      </w:r>
      <w:r w:rsidR="00DF5309">
        <w:t>Disposición adicional sexta. Estudio de valoración de los puestos de trabajo.</w:t>
      </w:r>
    </w:p>
    <w:p w14:paraId="5062E2A5" w14:textId="43E359F9" w:rsidR="00200255" w:rsidRDefault="00200255" w:rsidP="00200255">
      <w:pPr>
        <w:pStyle w:val="DICTA-TEXTO"/>
      </w:pPr>
      <w:r>
        <w:t>1.</w:t>
      </w:r>
      <w:r w:rsidR="007C3D81">
        <w:t xml:space="preserve"> </w:t>
      </w:r>
      <w:r>
        <w:t>La Dirección General de Interior, en el marco de negociación establecido entre la Administración y la representación sindical, y en paralelo a la aprobación del Reglamento regulador del funcionamiento y organización interna del Servicio de Bomberos-Nafa</w:t>
      </w:r>
      <w:r w:rsidR="00BA0731">
        <w:t>r</w:t>
      </w:r>
      <w:r>
        <w:t>roako Suhiltzaileak, realizará, en el plazo de nueve meses</w:t>
      </w:r>
      <w:r w:rsidR="007C3D81">
        <w:t>,</w:t>
      </w:r>
      <w:r>
        <w:t xml:space="preserve"> un estudio de valoración de puestos de trabajo de este Servicio. Dicho estudio incluirá un análisis de las prestaciones y condiciones laborales de los diferentes puestos, teniendo en cuenta las competencias y características específicas del Servicio de Bomberos de Navarra</w:t>
      </w:r>
      <w:r w:rsidR="00D972CF">
        <w:t>-</w:t>
      </w:r>
      <w:r>
        <w:t>Nafarroako Suhiltzaileak, y deberá iniciarse en el segundo semestre de 2024.</w:t>
      </w:r>
    </w:p>
    <w:p w14:paraId="66D0EDCD" w14:textId="4DD1231A" w:rsidR="00FF1A92" w:rsidRDefault="00200255" w:rsidP="00200255">
      <w:pPr>
        <w:pStyle w:val="DICTA-TEXTO"/>
      </w:pPr>
      <w:r>
        <w:t>2.</w:t>
      </w:r>
      <w:r w:rsidR="007C3D81">
        <w:t xml:space="preserve"> </w:t>
      </w:r>
      <w:r>
        <w:t>En la realización del Estudio participará una representación de la</w:t>
      </w:r>
      <w:r w:rsidR="00972266">
        <w:t xml:space="preserve"> </w:t>
      </w:r>
      <w:r>
        <w:t>Comisión de Personal del Servicio de Bomberos de Navarra-Nafarroako</w:t>
      </w:r>
      <w:r w:rsidR="00972266">
        <w:t xml:space="preserve"> </w:t>
      </w:r>
      <w:r>
        <w:t>Suhiltzaileak y del Servicio de Emergencias, Prevención y Protección Civil</w:t>
      </w:r>
      <w:r w:rsidR="00972266">
        <w:t xml:space="preserve"> </w:t>
      </w:r>
      <w:r>
        <w:t>para definir el sistema de valoración, los criterios y factores de cada puesto de</w:t>
      </w:r>
      <w:r w:rsidR="00972266">
        <w:t xml:space="preserve"> </w:t>
      </w:r>
      <w:r>
        <w:t>trabajo y validar el resultado.</w:t>
      </w:r>
    </w:p>
    <w:p w14:paraId="654425B9" w14:textId="662F6C1C" w:rsidR="005848DE" w:rsidRPr="00E06D13" w:rsidRDefault="005848DE" w:rsidP="00200255">
      <w:pPr>
        <w:pStyle w:val="DICTA-TEXTO"/>
        <w:rPr>
          <w:u w:val="single"/>
        </w:rPr>
      </w:pPr>
      <w:r w:rsidRPr="005848DE">
        <w:t>3.</w:t>
      </w:r>
      <w:r w:rsidR="00E07A3E">
        <w:t xml:space="preserve"> </w:t>
      </w:r>
      <w:r w:rsidRPr="005848DE">
        <w:t>Una vez realizado el estudio se procederá a negociar con la citada</w:t>
      </w:r>
      <w:r w:rsidR="00284C2C">
        <w:t xml:space="preserve"> </w:t>
      </w:r>
      <w:r w:rsidRPr="005848DE">
        <w:t>Comisión de personal la implantación de las posibles mejoras en las</w:t>
      </w:r>
      <w:r w:rsidR="00284C2C">
        <w:t xml:space="preserve"> </w:t>
      </w:r>
      <w:r w:rsidRPr="005848DE">
        <w:t xml:space="preserve">condiciones laborales o retributivas debiéndose, en su caso, </w:t>
      </w:r>
      <w:r w:rsidR="00E07A3E">
        <w:t>llevar a cabo</w:t>
      </w:r>
      <w:r w:rsidRPr="005848DE">
        <w:t xml:space="preserve"> las</w:t>
      </w:r>
      <w:r w:rsidR="00284C2C">
        <w:t xml:space="preserve"> </w:t>
      </w:r>
      <w:r w:rsidRPr="005848DE">
        <w:t>modificaciones normativas que procedan para implantar el Estudio y sus</w:t>
      </w:r>
      <w:r w:rsidR="00284C2C">
        <w:t xml:space="preserve"> </w:t>
      </w:r>
      <w:r w:rsidRPr="005848DE">
        <w:t>resultados</w:t>
      </w:r>
      <w:r w:rsidR="00E06D13">
        <w:t>”.</w:t>
      </w:r>
    </w:p>
    <w:p w14:paraId="6FA39318" w14:textId="1C57464C" w:rsidR="00D76157" w:rsidRDefault="00D76157" w:rsidP="00D76157">
      <w:pPr>
        <w:pStyle w:val="DICTA-TEXTO"/>
      </w:pPr>
      <w:r w:rsidRPr="00D76157">
        <w:rPr>
          <w:b/>
          <w:bCs/>
        </w:rPr>
        <w:t>Disposición final</w:t>
      </w:r>
      <w:r>
        <w:t>. Entrada en vigor.</w:t>
      </w:r>
    </w:p>
    <w:p w14:paraId="285E2966" w14:textId="5E137C28" w:rsidR="00E475F6" w:rsidRDefault="00D65C85" w:rsidP="00264AB2">
      <w:pPr>
        <w:pStyle w:val="DICTA-TEXTO"/>
      </w:pPr>
      <w:r w:rsidRPr="00D65C85">
        <w:t xml:space="preserve">La presente ley </w:t>
      </w:r>
      <w:r w:rsidR="00931B92">
        <w:t xml:space="preserve">foral </w:t>
      </w:r>
      <w:r w:rsidRPr="00D65C85">
        <w:t xml:space="preserve">entrará en vigor el día siguiente al de su publicación en el </w:t>
      </w:r>
      <w:r w:rsidR="00FF1A92" w:rsidRPr="00FF1A92">
        <w:t>Boletín Oficial de Navarra</w:t>
      </w:r>
      <w:r w:rsidR="00D76157">
        <w:t>.</w:t>
      </w:r>
    </w:p>
    <w:sectPr w:rsidR="00E475F6"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06AD5"/>
    <w:rsid w:val="000325A9"/>
    <w:rsid w:val="00047B77"/>
    <w:rsid w:val="000C5661"/>
    <w:rsid w:val="000F53CC"/>
    <w:rsid w:val="00101B39"/>
    <w:rsid w:val="00106A36"/>
    <w:rsid w:val="00106D80"/>
    <w:rsid w:val="0012008F"/>
    <w:rsid w:val="00143F64"/>
    <w:rsid w:val="00195FF0"/>
    <w:rsid w:val="001A7912"/>
    <w:rsid w:val="001B100C"/>
    <w:rsid w:val="00200255"/>
    <w:rsid w:val="002351DC"/>
    <w:rsid w:val="00256846"/>
    <w:rsid w:val="00264AB2"/>
    <w:rsid w:val="00284C2C"/>
    <w:rsid w:val="002D2542"/>
    <w:rsid w:val="002E57D8"/>
    <w:rsid w:val="00334ED7"/>
    <w:rsid w:val="0034321B"/>
    <w:rsid w:val="00350CA8"/>
    <w:rsid w:val="0036062E"/>
    <w:rsid w:val="003639F5"/>
    <w:rsid w:val="00396EC2"/>
    <w:rsid w:val="00412582"/>
    <w:rsid w:val="004C70B5"/>
    <w:rsid w:val="00523330"/>
    <w:rsid w:val="00533592"/>
    <w:rsid w:val="005763BE"/>
    <w:rsid w:val="005848DE"/>
    <w:rsid w:val="005973A7"/>
    <w:rsid w:val="005E576C"/>
    <w:rsid w:val="006B1E26"/>
    <w:rsid w:val="00722591"/>
    <w:rsid w:val="0073735A"/>
    <w:rsid w:val="007435FA"/>
    <w:rsid w:val="007713A7"/>
    <w:rsid w:val="007C3D81"/>
    <w:rsid w:val="00823B61"/>
    <w:rsid w:val="00836D6B"/>
    <w:rsid w:val="008C71E8"/>
    <w:rsid w:val="008D5576"/>
    <w:rsid w:val="00920AF6"/>
    <w:rsid w:val="00931B92"/>
    <w:rsid w:val="00950366"/>
    <w:rsid w:val="00970D6C"/>
    <w:rsid w:val="00972266"/>
    <w:rsid w:val="009D7252"/>
    <w:rsid w:val="00A104C9"/>
    <w:rsid w:val="00A653D9"/>
    <w:rsid w:val="00A91524"/>
    <w:rsid w:val="00AA03CF"/>
    <w:rsid w:val="00AF0358"/>
    <w:rsid w:val="00AF4EA1"/>
    <w:rsid w:val="00B27D8F"/>
    <w:rsid w:val="00B4760C"/>
    <w:rsid w:val="00B52F11"/>
    <w:rsid w:val="00B80137"/>
    <w:rsid w:val="00BA0731"/>
    <w:rsid w:val="00C60221"/>
    <w:rsid w:val="00C76B7C"/>
    <w:rsid w:val="00C76D78"/>
    <w:rsid w:val="00C77E87"/>
    <w:rsid w:val="00CB0036"/>
    <w:rsid w:val="00CC39F9"/>
    <w:rsid w:val="00CF1CE8"/>
    <w:rsid w:val="00CF4F99"/>
    <w:rsid w:val="00D207A8"/>
    <w:rsid w:val="00D65C85"/>
    <w:rsid w:val="00D664F5"/>
    <w:rsid w:val="00D76157"/>
    <w:rsid w:val="00D972CF"/>
    <w:rsid w:val="00DA5297"/>
    <w:rsid w:val="00DF5309"/>
    <w:rsid w:val="00E06D13"/>
    <w:rsid w:val="00E07A3E"/>
    <w:rsid w:val="00E1610D"/>
    <w:rsid w:val="00E475F6"/>
    <w:rsid w:val="00E60688"/>
    <w:rsid w:val="00E65A31"/>
    <w:rsid w:val="00E838F8"/>
    <w:rsid w:val="00EB6306"/>
    <w:rsid w:val="00EC2EA6"/>
    <w:rsid w:val="00EE1E80"/>
    <w:rsid w:val="00F057FE"/>
    <w:rsid w:val="00F2250B"/>
    <w:rsid w:val="00FC1241"/>
    <w:rsid w:val="00FC4AA7"/>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490</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28</cp:revision>
  <cp:lastPrinted>2024-04-19T08:43:00Z</cp:lastPrinted>
  <dcterms:created xsi:type="dcterms:W3CDTF">2024-05-23T12:00:00Z</dcterms:created>
  <dcterms:modified xsi:type="dcterms:W3CDTF">2024-06-06T08:22:00Z</dcterms:modified>
</cp:coreProperties>
</file>