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264D" w14:textId="21D8EFD3" w:rsidR="00146CB7" w:rsidRPr="000B575D" w:rsidRDefault="00146CB7" w:rsidP="007F51E5">
      <w:pPr>
        <w:spacing w:after="0" w:line="284" w:lineRule="auto"/>
        <w:ind w:left="-5" w:hanging="10"/>
        <w:rPr>
          <w:sz w:val="20"/>
          <w:szCs w:val="20"/>
        </w:rPr>
      </w:pPr>
      <w:r>
        <w:rPr>
          <w:rFonts w:ascii="Times New Roman" w:hAnsi="Times New Roman"/>
          <w:b/>
          <w:sz w:val="20"/>
        </w:rPr>
        <w:t xml:space="preserve">11-24/PON-00001. </w:t>
      </w:r>
      <w:r>
        <w:rPr>
          <w:sz w:val="20"/>
        </w:rPr>
        <w:t>Erabakia, zeinaren bidez onesten baita ponentzia bat eratzea Nafarroako Parlamentuko Erregelamenduaren 26.2 artikuluan jasotzen den Jokabide-kodea aztertzeko eta onesteko.</w:t>
      </w:r>
    </w:p>
    <w:p w14:paraId="7A62216B" w14:textId="718A6A4D" w:rsidR="00146CB7" w:rsidRPr="000B575D" w:rsidRDefault="000B575D" w:rsidP="00146CB7">
      <w:pPr>
        <w:spacing w:after="298"/>
        <w:ind w:left="-15" w:right="1" w:firstLine="0"/>
        <w:rPr>
          <w:sz w:val="20"/>
          <w:szCs w:val="20"/>
        </w:rPr>
      </w:pPr>
      <w:r>
        <w:rPr>
          <w:sz w:val="20"/>
        </w:rPr>
        <w:t>Erregelamendu Batzordeak onetsi</w:t>
      </w:r>
      <w:r w:rsidR="00537EAB">
        <w:rPr>
          <w:sz w:val="20"/>
        </w:rPr>
        <w:t xml:space="preserve"> du</w:t>
      </w:r>
    </w:p>
    <w:p w14:paraId="398EC362" w14:textId="37B6C9A2" w:rsidR="00146CB7" w:rsidRPr="000B575D" w:rsidRDefault="00146CB7" w:rsidP="00146CB7">
      <w:pPr>
        <w:ind w:left="-15" w:right="1"/>
        <w:rPr>
          <w:sz w:val="20"/>
          <w:szCs w:val="20"/>
        </w:rPr>
      </w:pPr>
      <w:r>
        <w:rPr>
          <w:sz w:val="20"/>
        </w:rPr>
        <w:t>Legebiltzarreko Erregelamenduaren 125. artikuluan ezarritakoa betez, agintzen da Nafarroako Parlamentuko Aldizkari Ofizialean argitara dadin “Nafarroako Parlamentuko Erregelamenduaren 26.2 artikuluan jasotzen den Jokabide-kodea aztertzeko eta onesteko ponentzia bat sortzeko erabakia”, Nafarroako Parlamentuko Erregelamendu Batzordeak 2024ko ekainaren 5ean onetsia. Hona erabakiaren testua:</w:t>
      </w:r>
    </w:p>
    <w:p w14:paraId="34EA696F" w14:textId="77777777" w:rsidR="00146CB7" w:rsidRPr="000B575D" w:rsidRDefault="00146CB7" w:rsidP="00146CB7">
      <w:pPr>
        <w:ind w:left="-15" w:right="1"/>
        <w:rPr>
          <w:sz w:val="20"/>
          <w:szCs w:val="20"/>
        </w:rPr>
      </w:pPr>
      <w:r>
        <w:rPr>
          <w:b/>
          <w:bCs/>
          <w:sz w:val="20"/>
        </w:rPr>
        <w:t>1.</w:t>
      </w:r>
      <w:r>
        <w:rPr>
          <w:sz w:val="20"/>
        </w:rPr>
        <w:t xml:space="preserve"> Erregelamendu Batzordearen baitan ponentzia bat eratzea, Nafarroako Parlamentuko Erregelamenduaren 26.2 artikuluan jasotzen den Jokabide-kodea aztertzeko eta onesteko.</w:t>
      </w:r>
    </w:p>
    <w:p w14:paraId="1FDB9135" w14:textId="77777777" w:rsidR="00146CB7" w:rsidRPr="000B575D" w:rsidRDefault="00146CB7" w:rsidP="00146CB7">
      <w:pPr>
        <w:ind w:left="-15" w:right="1"/>
        <w:rPr>
          <w:sz w:val="20"/>
          <w:szCs w:val="20"/>
        </w:rPr>
      </w:pPr>
      <w:r>
        <w:rPr>
          <w:b/>
          <w:bCs/>
          <w:sz w:val="20"/>
        </w:rPr>
        <w:t>2.</w:t>
      </w:r>
      <w:r>
        <w:rPr>
          <w:sz w:val="20"/>
        </w:rPr>
        <w:t xml:space="preserve"> Epe bat ematea, 2024o ekainaren 13ko 17:30ak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14:paraId="21CE7B8A" w14:textId="77777777" w:rsidR="005222D7" w:rsidRDefault="00146CB7" w:rsidP="005222D7">
      <w:pPr>
        <w:spacing w:after="844"/>
        <w:ind w:left="-15" w:right="1"/>
        <w:rPr>
          <w:sz w:val="20"/>
          <w:szCs w:val="20"/>
        </w:rPr>
      </w:pPr>
      <w:r>
        <w:rPr>
          <w:b/>
          <w:sz w:val="20"/>
        </w:rPr>
        <w:t>3.</w:t>
      </w:r>
      <w:r>
        <w:rPr>
          <w:sz w:val="20"/>
        </w:rPr>
        <w:t xml:space="preserve"> Behin ordezkariak izendatuta, Mahaiak erabakiko du ponentzia zein egunetan eratu eta lanean hasiko den.</w:t>
      </w:r>
    </w:p>
    <w:p w14:paraId="1A7F763C" w14:textId="4FE86744" w:rsidR="00146CB7" w:rsidRPr="000B575D" w:rsidRDefault="00146CB7" w:rsidP="005222D7">
      <w:pPr>
        <w:spacing w:after="844"/>
        <w:ind w:left="-15" w:right="1"/>
        <w:rPr>
          <w:sz w:val="20"/>
          <w:szCs w:val="20"/>
        </w:rPr>
      </w:pPr>
      <w:r>
        <w:rPr>
          <w:b/>
          <w:bCs/>
          <w:sz w:val="20"/>
        </w:rPr>
        <w:t xml:space="preserve">4. </w:t>
      </w:r>
      <w:r>
        <w:rPr>
          <w:sz w:val="20"/>
        </w:rPr>
        <w:t>Azterlana egiteko epea ponentzia eratu eta 6 hilabetera bukatuko da. Ponentziak txostena egiteko ezarritako epea luzatzea erabaki dezake. Kasu horretan, Legebiltzarreko Mahaiari eta ponentziako kideei horren berri emanen die.</w:t>
      </w:r>
    </w:p>
    <w:p w14:paraId="18A57B3C" w14:textId="0F5D94C5" w:rsidR="00146CB7" w:rsidRPr="000B575D" w:rsidRDefault="00146CB7" w:rsidP="00146CB7">
      <w:pPr>
        <w:spacing w:after="474"/>
        <w:ind w:left="-15" w:right="1"/>
        <w:rPr>
          <w:sz w:val="20"/>
          <w:szCs w:val="20"/>
        </w:rPr>
      </w:pPr>
      <w:r>
        <w:rPr>
          <w:b/>
          <w:sz w:val="20"/>
        </w:rPr>
        <w:t>5.</w:t>
      </w:r>
      <w:r>
        <w:rPr>
          <w:sz w:val="20"/>
        </w:rPr>
        <w:t xml:space="preserve"> Erabaki hau Legebiltzarreko Mahaiari jakinaraztea, beharrezkoa dena xeda dezan aipatu ponentziaren osaerari eta eraketari buruz.</w:t>
      </w:r>
    </w:p>
    <w:p w14:paraId="1F755CE7" w14:textId="77777777" w:rsidR="00146CB7" w:rsidRPr="000B575D" w:rsidRDefault="00146CB7" w:rsidP="00146CB7">
      <w:pPr>
        <w:spacing w:after="0"/>
        <w:ind w:left="-15" w:right="1" w:firstLine="0"/>
        <w:rPr>
          <w:sz w:val="20"/>
          <w:szCs w:val="20"/>
        </w:rPr>
      </w:pPr>
      <w:r>
        <w:rPr>
          <w:sz w:val="20"/>
        </w:rPr>
        <w:t>Iruñean, 2024ko ekainaren 5ean</w:t>
      </w:r>
    </w:p>
    <w:p w14:paraId="11896D0A" w14:textId="77777777" w:rsidR="00A33158" w:rsidRDefault="00146CB7" w:rsidP="00146CB7">
      <w:pPr>
        <w:ind w:left="-15" w:right="1" w:firstLine="0"/>
        <w:rPr>
          <w:sz w:val="20"/>
          <w:szCs w:val="20"/>
        </w:rPr>
      </w:pPr>
      <w:r>
        <w:rPr>
          <w:sz w:val="20"/>
        </w:rPr>
        <w:t>Lehendakaria: Unai Hualde Iglesias</w:t>
      </w:r>
    </w:p>
    <w:p w14:paraId="66FF40E6" w14:textId="4E00D8C9" w:rsidR="00D24D98" w:rsidRPr="000B575D" w:rsidRDefault="00D24D98">
      <w:pPr>
        <w:rPr>
          <w:sz w:val="20"/>
          <w:szCs w:val="20"/>
        </w:rPr>
      </w:pPr>
    </w:p>
    <w:sectPr w:rsidR="00D24D98" w:rsidRPr="000B575D"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B7"/>
    <w:rsid w:val="000B575D"/>
    <w:rsid w:val="00146CB7"/>
    <w:rsid w:val="00164202"/>
    <w:rsid w:val="00263371"/>
    <w:rsid w:val="005222D7"/>
    <w:rsid w:val="00537EAB"/>
    <w:rsid w:val="0061112B"/>
    <w:rsid w:val="007F51E5"/>
    <w:rsid w:val="009148A9"/>
    <w:rsid w:val="00A33158"/>
    <w:rsid w:val="00BA1892"/>
    <w:rsid w:val="00D24D98"/>
    <w:rsid w:val="00DB02D8"/>
    <w:rsid w:val="00EE1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A0E7"/>
  <w15:chartTrackingRefBased/>
  <w15:docId w15:val="{64C6672D-A561-431F-85B9-947F7C2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B7"/>
    <w:pPr>
      <w:spacing w:after="257" w:line="296" w:lineRule="auto"/>
      <w:ind w:firstLine="476"/>
      <w:jc w:val="both"/>
    </w:pPr>
    <w:rPr>
      <w:rFonts w:ascii="Arial" w:eastAsia="Arial" w:hAnsi="Arial" w:cs="Arial"/>
      <w:color w:val="000000"/>
      <w:sz w:val="21"/>
      <w:szCs w:val="24"/>
      <w:lang w:eastAsia="es-ES"/>
    </w:rPr>
  </w:style>
  <w:style w:type="paragraph" w:styleId="Ttulo1">
    <w:name w:val="heading 1"/>
    <w:basedOn w:val="Normal"/>
    <w:next w:val="Normal"/>
    <w:link w:val="Ttulo1Car"/>
    <w:uiPriority w:val="9"/>
    <w:qFormat/>
    <w:rsid w:val="00146CB7"/>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146CB7"/>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146CB7"/>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146CB7"/>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146CB7"/>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146CB7"/>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146CB7"/>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146CB7"/>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146CB7"/>
    <w:pPr>
      <w:keepNext/>
      <w:keepLines/>
      <w:spacing w:after="0" w:line="259" w:lineRule="auto"/>
      <w:ind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6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6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6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6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6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6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6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6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6CB7"/>
    <w:rPr>
      <w:rFonts w:eastAsiaTheme="majorEastAsia" w:cstheme="majorBidi"/>
      <w:color w:val="272727" w:themeColor="text1" w:themeTint="D8"/>
    </w:rPr>
  </w:style>
  <w:style w:type="paragraph" w:styleId="Ttulo">
    <w:name w:val="Title"/>
    <w:basedOn w:val="Normal"/>
    <w:next w:val="Normal"/>
    <w:link w:val="TtuloCar"/>
    <w:uiPriority w:val="10"/>
    <w:qFormat/>
    <w:rsid w:val="00146CB7"/>
    <w:pPr>
      <w:spacing w:after="80" w:line="240" w:lineRule="auto"/>
      <w:ind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146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6CB7"/>
    <w:pPr>
      <w:numPr>
        <w:ilvl w:val="1"/>
      </w:numPr>
      <w:spacing w:after="160" w:line="259" w:lineRule="auto"/>
      <w:ind w:firstLine="476"/>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146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6CB7"/>
    <w:pPr>
      <w:spacing w:before="160" w:after="160" w:line="259" w:lineRule="auto"/>
      <w:ind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146CB7"/>
    <w:rPr>
      <w:i/>
      <w:iCs/>
      <w:color w:val="404040" w:themeColor="text1" w:themeTint="BF"/>
    </w:rPr>
  </w:style>
  <w:style w:type="paragraph" w:styleId="Prrafodelista">
    <w:name w:val="List Paragraph"/>
    <w:basedOn w:val="Normal"/>
    <w:uiPriority w:val="34"/>
    <w:qFormat/>
    <w:rsid w:val="00146CB7"/>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nfasisintenso">
    <w:name w:val="Intense Emphasis"/>
    <w:basedOn w:val="Fuentedeprrafopredeter"/>
    <w:uiPriority w:val="21"/>
    <w:qFormat/>
    <w:rsid w:val="00146CB7"/>
    <w:rPr>
      <w:i/>
      <w:iCs/>
      <w:color w:val="0F4761" w:themeColor="accent1" w:themeShade="BF"/>
    </w:rPr>
  </w:style>
  <w:style w:type="paragraph" w:styleId="Citadestacada">
    <w:name w:val="Intense Quote"/>
    <w:basedOn w:val="Normal"/>
    <w:next w:val="Normal"/>
    <w:link w:val="CitadestacadaCar"/>
    <w:uiPriority w:val="30"/>
    <w:qFormat/>
    <w:rsid w:val="00146CB7"/>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146CB7"/>
    <w:rPr>
      <w:i/>
      <w:iCs/>
      <w:color w:val="0F4761" w:themeColor="accent1" w:themeShade="BF"/>
    </w:rPr>
  </w:style>
  <w:style w:type="character" w:styleId="Referenciaintensa">
    <w:name w:val="Intense Reference"/>
    <w:basedOn w:val="Fuentedeprrafopredeter"/>
    <w:uiPriority w:val="32"/>
    <w:qFormat/>
    <w:rsid w:val="00146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6</cp:revision>
  <dcterms:created xsi:type="dcterms:W3CDTF">2024-06-06T12:02:00Z</dcterms:created>
  <dcterms:modified xsi:type="dcterms:W3CDTF">2024-06-07T11:14:00Z</dcterms:modified>
</cp:coreProperties>
</file>