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BA87" w14:textId="77777777" w:rsidR="009E13D6" w:rsidRDefault="00965AAD" w:rsidP="00965A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 xml:space="preserve">la Parlamentaria Foral Ilma. Sra. Dª Raquel Garbayo </w:t>
      </w:r>
      <w:proofErr w:type="spellStart"/>
      <w:r>
        <w:rPr>
          <w:rFonts w:ascii="Arial" w:hAnsi="Arial" w:cs="Arial"/>
          <w:sz w:val="24"/>
          <w:szCs w:val="24"/>
        </w:rPr>
        <w:t>Berdonces</w:t>
      </w:r>
      <w:proofErr w:type="spellEnd"/>
      <w:r>
        <w:rPr>
          <w:rFonts w:ascii="Arial" w:hAnsi="Arial" w:cs="Arial"/>
          <w:sz w:val="24"/>
          <w:szCs w:val="24"/>
        </w:rPr>
        <w:t>, adscrita al Grupo Parlamentario Unión del Pueblo Navarro, en la que solicita (11-24/PES-00245):</w:t>
      </w:r>
    </w:p>
    <w:p w14:paraId="17B83190" w14:textId="77777777" w:rsidR="009E13D6" w:rsidRDefault="00965AAD" w:rsidP="00965A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motivos por los que se han reducido el número de perceptores de Renta Garantizada en 2023?</w:t>
      </w:r>
    </w:p>
    <w:p w14:paraId="3A641EFE" w14:textId="77777777" w:rsidR="009E13D6" w:rsidRDefault="00965AAD" w:rsidP="00965A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2E336F8C" w14:textId="77777777" w:rsidR="009E13D6" w:rsidRDefault="00965AAD" w:rsidP="00965A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primer lugar, porque ha habido un menor número de solicitudes. En 2002 fueron 19.834, mientras que, en 2023, fueron19.647. </w:t>
      </w:r>
    </w:p>
    <w:p w14:paraId="02484EC7" w14:textId="2E05C3C0" w:rsidR="00965AAD" w:rsidRDefault="00965AAD" w:rsidP="00965A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segundo lugar, porque el porcentaje de denegación se ha elevado respecto a 2022. Esto se puede observar en el siguiente cuadro.</w:t>
      </w:r>
    </w:p>
    <w:p w14:paraId="2B02D5A0" w14:textId="77777777" w:rsidR="00965AAD" w:rsidRDefault="00965AAD" w:rsidP="00965A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65AAD" w:rsidRPr="009E13D6" w14:paraId="61404819" w14:textId="77777777" w:rsidTr="00965AAD">
        <w:tc>
          <w:tcPr>
            <w:tcW w:w="1698" w:type="dxa"/>
          </w:tcPr>
          <w:p w14:paraId="26CA30D9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D6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699" w:type="dxa"/>
          </w:tcPr>
          <w:p w14:paraId="35C0B785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D6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1699" w:type="dxa"/>
          </w:tcPr>
          <w:p w14:paraId="3D4D361E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D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699" w:type="dxa"/>
          </w:tcPr>
          <w:p w14:paraId="5621FDB4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D6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1699" w:type="dxa"/>
          </w:tcPr>
          <w:p w14:paraId="710ED64D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D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965AAD" w:rsidRPr="009E13D6" w14:paraId="4BB67498" w14:textId="77777777" w:rsidTr="00965AAD">
        <w:tc>
          <w:tcPr>
            <w:tcW w:w="1698" w:type="dxa"/>
          </w:tcPr>
          <w:p w14:paraId="7A1AD84C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Aprobados</w:t>
            </w:r>
          </w:p>
        </w:tc>
        <w:tc>
          <w:tcPr>
            <w:tcW w:w="1699" w:type="dxa"/>
          </w:tcPr>
          <w:p w14:paraId="72E8C70E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14.732</w:t>
            </w:r>
          </w:p>
        </w:tc>
        <w:tc>
          <w:tcPr>
            <w:tcW w:w="1699" w:type="dxa"/>
          </w:tcPr>
          <w:p w14:paraId="67295035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699" w:type="dxa"/>
          </w:tcPr>
          <w:p w14:paraId="36F6DF4A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14.448</w:t>
            </w:r>
          </w:p>
        </w:tc>
        <w:tc>
          <w:tcPr>
            <w:tcW w:w="1699" w:type="dxa"/>
          </w:tcPr>
          <w:p w14:paraId="37E0F226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</w:tr>
      <w:tr w:rsidR="00965AAD" w:rsidRPr="009E13D6" w14:paraId="0C5DE722" w14:textId="77777777" w:rsidTr="00965AAD">
        <w:tc>
          <w:tcPr>
            <w:tcW w:w="1698" w:type="dxa"/>
          </w:tcPr>
          <w:p w14:paraId="31A3CE6D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Denegados</w:t>
            </w:r>
          </w:p>
        </w:tc>
        <w:tc>
          <w:tcPr>
            <w:tcW w:w="1699" w:type="dxa"/>
          </w:tcPr>
          <w:p w14:paraId="7432F1F4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1699" w:type="dxa"/>
          </w:tcPr>
          <w:p w14:paraId="61790CFB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99" w:type="dxa"/>
          </w:tcPr>
          <w:p w14:paraId="7BF3F663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1699" w:type="dxa"/>
          </w:tcPr>
          <w:p w14:paraId="594021CF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65AAD" w:rsidRPr="009E13D6" w14:paraId="14F6BC16" w14:textId="77777777" w:rsidTr="00965AAD">
        <w:tc>
          <w:tcPr>
            <w:tcW w:w="1698" w:type="dxa"/>
          </w:tcPr>
          <w:p w14:paraId="0978AA2B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699" w:type="dxa"/>
          </w:tcPr>
          <w:p w14:paraId="7524EA8A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99" w:type="dxa"/>
          </w:tcPr>
          <w:p w14:paraId="2446B5CF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99" w:type="dxa"/>
          </w:tcPr>
          <w:p w14:paraId="47B97B79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99" w:type="dxa"/>
          </w:tcPr>
          <w:p w14:paraId="31C2B06B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AAD" w:rsidRPr="009E13D6" w14:paraId="1134CD60" w14:textId="77777777" w:rsidTr="00965AAD">
        <w:tc>
          <w:tcPr>
            <w:tcW w:w="1698" w:type="dxa"/>
          </w:tcPr>
          <w:p w14:paraId="589A48D8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699" w:type="dxa"/>
          </w:tcPr>
          <w:p w14:paraId="31E970CB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17.812</w:t>
            </w:r>
          </w:p>
        </w:tc>
        <w:tc>
          <w:tcPr>
            <w:tcW w:w="1699" w:type="dxa"/>
          </w:tcPr>
          <w:p w14:paraId="6398EBEB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99" w:type="dxa"/>
          </w:tcPr>
          <w:p w14:paraId="7C9F7DD8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17.624</w:t>
            </w:r>
          </w:p>
        </w:tc>
        <w:tc>
          <w:tcPr>
            <w:tcW w:w="1699" w:type="dxa"/>
          </w:tcPr>
          <w:p w14:paraId="0DABC1C1" w14:textId="77777777" w:rsidR="00965AAD" w:rsidRPr="009E13D6" w:rsidRDefault="00965AAD" w:rsidP="00965A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14:paraId="31B7A18F" w14:textId="77777777" w:rsidR="00965AAD" w:rsidRPr="00764E30" w:rsidRDefault="00965AAD" w:rsidP="00965A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D70548" w14:textId="77777777" w:rsidR="009E13D6" w:rsidRDefault="00965AAD" w:rsidP="00965A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3E08BE79" w14:textId="2053D31F" w:rsidR="009E13D6" w:rsidRDefault="00965AAD" w:rsidP="00965A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</w:t>
      </w:r>
      <w:proofErr w:type="spellStart"/>
      <w:r w:rsidRPr="00764E30">
        <w:rPr>
          <w:rFonts w:ascii="Arial" w:hAnsi="Arial" w:cs="Arial"/>
          <w:sz w:val="24"/>
          <w:szCs w:val="24"/>
        </w:rPr>
        <w:t>Iruñea</w:t>
      </w:r>
      <w:proofErr w:type="spellEnd"/>
      <w:r w:rsidRPr="00764E30">
        <w:rPr>
          <w:rFonts w:ascii="Arial" w:hAnsi="Arial" w:cs="Arial"/>
          <w:sz w:val="24"/>
          <w:szCs w:val="24"/>
        </w:rPr>
        <w:t xml:space="preserve">, </w:t>
      </w:r>
      <w:r w:rsidR="00277F53">
        <w:rPr>
          <w:rFonts w:ascii="Arial" w:hAnsi="Arial" w:cs="Arial"/>
          <w:sz w:val="24"/>
          <w:szCs w:val="24"/>
        </w:rPr>
        <w:t>11</w:t>
      </w:r>
      <w:r w:rsidRPr="00965AAD">
        <w:rPr>
          <w:rFonts w:ascii="Arial" w:hAnsi="Arial" w:cs="Arial"/>
          <w:sz w:val="24"/>
          <w:szCs w:val="24"/>
        </w:rPr>
        <w:t xml:space="preserve"> de junio de 2024</w:t>
      </w:r>
    </w:p>
    <w:p w14:paraId="7141FA1A" w14:textId="118116C9" w:rsidR="009E13D6" w:rsidRDefault="009E13D6" w:rsidP="009E13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La Consejera de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>Economía Social y Empleo</w:t>
      </w:r>
      <w:r>
        <w:rPr>
          <w:rFonts w:ascii="Arial" w:hAnsi="Arial" w:cs="Arial"/>
          <w:sz w:val="24"/>
          <w:szCs w:val="24"/>
        </w:rPr>
        <w:t>:</w:t>
      </w:r>
      <w:r w:rsidRPr="00764E30">
        <w:rPr>
          <w:rFonts w:ascii="Arial" w:hAnsi="Arial" w:cs="Arial"/>
          <w:sz w:val="24"/>
          <w:szCs w:val="24"/>
        </w:rPr>
        <w:t xml:space="preserve"> María Carmen Maeztu Villafranca</w:t>
      </w:r>
    </w:p>
    <w:sectPr w:rsidR="009E13D6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4D6F2" w14:textId="77777777" w:rsidR="00965AAD" w:rsidRDefault="00965AAD" w:rsidP="00965AAD">
      <w:r>
        <w:separator/>
      </w:r>
    </w:p>
  </w:endnote>
  <w:endnote w:type="continuationSeparator" w:id="0">
    <w:p w14:paraId="539D2129" w14:textId="77777777" w:rsidR="00965AAD" w:rsidRDefault="00965AAD" w:rsidP="0096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962C" w14:textId="77777777" w:rsidR="00965AAD" w:rsidRDefault="00965AAD" w:rsidP="00965AAD">
      <w:r>
        <w:separator/>
      </w:r>
    </w:p>
  </w:footnote>
  <w:footnote w:type="continuationSeparator" w:id="0">
    <w:p w14:paraId="6CC7750A" w14:textId="77777777" w:rsidR="00965AAD" w:rsidRDefault="00965AAD" w:rsidP="0096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399D"/>
    <w:multiLevelType w:val="hybridMultilevel"/>
    <w:tmpl w:val="E07A3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3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36"/>
    <w:rsid w:val="00101206"/>
    <w:rsid w:val="00230B0E"/>
    <w:rsid w:val="00277F53"/>
    <w:rsid w:val="003126E7"/>
    <w:rsid w:val="00603D9B"/>
    <w:rsid w:val="00965AAD"/>
    <w:rsid w:val="009E13D6"/>
    <w:rsid w:val="00C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24D4"/>
  <w15:chartTrackingRefBased/>
  <w15:docId w15:val="{A13D7BF6-13E1-4BB3-83B9-1AD606DA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5AAD"/>
  </w:style>
  <w:style w:type="paragraph" w:styleId="Piedepgina">
    <w:name w:val="footer"/>
    <w:basedOn w:val="Normal"/>
    <w:link w:val="PiedepginaCar"/>
    <w:unhideWhenUsed/>
    <w:rsid w:val="00965A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965AAD"/>
  </w:style>
  <w:style w:type="paragraph" w:styleId="Textoindependiente">
    <w:name w:val="Body Text"/>
    <w:basedOn w:val="Normal"/>
    <w:link w:val="TextoindependienteCar"/>
    <w:rsid w:val="00965AAD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965AAD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965AAD"/>
  </w:style>
  <w:style w:type="paragraph" w:styleId="Prrafodelista">
    <w:name w:val="List Paragraph"/>
    <w:basedOn w:val="Normal"/>
    <w:uiPriority w:val="34"/>
    <w:qFormat/>
    <w:rsid w:val="00965A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71</Lines>
  <Paragraphs>60</Paragraphs>
  <ScaleCrop>false</ScaleCrop>
  <Company>Gobierno de Navarra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2024-06-12T08:19:00Z</dcterms:created>
  <dcterms:modified xsi:type="dcterms:W3CDTF">2024-06-12T11:58:00Z</dcterms:modified>
</cp:coreProperties>
</file>