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291B3" w14:textId="1201EA43" w:rsidR="007C6923" w:rsidRDefault="000866B3">
      <w:pPr>
        <w:ind w:left="-5"/>
      </w:pPr>
      <w:r>
        <w:t xml:space="preserve">EH Bildu Nafarroa talde parlamentarioari atxikitako foru parlamentari Adolfo Araiz </w:t>
      </w:r>
      <w:proofErr w:type="spellStart"/>
      <w:r>
        <w:t>Flamarique</w:t>
      </w:r>
      <w:proofErr w:type="spellEnd"/>
      <w:r>
        <w:t xml:space="preserve"> jaunak 1124/PES-310 galdera egin du –Nafarroako Parlamentuko 202404807 irteera-zenbakiarekin erregistratua 2024ko ekainaren 17an–, idatziz erantzun dakion, 2023ko ekitaldian 100 milioi euro ordaintzea eskatu zaion enpresari buruz. Hona hemen Ekonomia eta Ogasuneko kontseilariak horri buruz ematen duen informazioa: </w:t>
      </w:r>
    </w:p>
    <w:p w14:paraId="63D31FAE" w14:textId="77777777" w:rsidR="007C6923" w:rsidRDefault="000866B3">
      <w:pPr>
        <w:spacing w:after="0" w:line="361" w:lineRule="auto"/>
        <w:ind w:left="-5"/>
      </w:pPr>
      <w:r>
        <w:rPr>
          <w:b/>
        </w:rPr>
        <w:t xml:space="preserve">1. Hasierako gaia: foru parlamentariak galdera-idazkian azaldutako argudioa </w:t>
      </w:r>
    </w:p>
    <w:p w14:paraId="35733C57" w14:textId="77777777" w:rsidR="007C6923" w:rsidRDefault="000866B3">
      <w:pPr>
        <w:ind w:left="-5"/>
      </w:pPr>
      <w:r>
        <w:t xml:space="preserve">Galderen egile den foru parlamentari jaunak egoki jo du, bere eskaera arrazoitze aldera, Auzitegi Gorenaren 2021eko otsailaren 24ko Epaia aipatzea eta hura partzialki transkribatzea. Izan ere, foru parlamentariaren iritziz, oso eztabaidagarria den gai bat argitzen da epai horretan; honako hau, hain zuzen ere: datu fiskalen diskrezio- edo konfidentzialtasun-araubideak, Tributuei buruzko Lege Orokorraren 95. artikuluan aurreikusten denak, ez duela eragozten estatuko Gardentasunari buruzko 19/2013 Legea aplikatzea, eta beraz, ezta Gardentasunari, informazio publikoa eskuratzeari eta gobernu onari buruzko maiatzaren 17ko 5/2018 Foru Legea ere. </w:t>
      </w:r>
    </w:p>
    <w:p w14:paraId="20DE9F30" w14:textId="77777777" w:rsidR="007C6923" w:rsidRDefault="000866B3">
      <w:pPr>
        <w:ind w:left="-5"/>
      </w:pPr>
      <w:r>
        <w:t xml:space="preserve">Hortik abiatuta, ulertzen du ez dagoela inolako arazorik herritarren intimitateari eragiten ez dion zerga-informazioa emateko, eta bere ustez halako eraginik ez duten zenbait egoera aipatze ditu adibide modura. </w:t>
      </w:r>
    </w:p>
    <w:p w14:paraId="178DB627" w14:textId="77777777" w:rsidR="007C6923" w:rsidRDefault="000866B3">
      <w:pPr>
        <w:spacing w:after="2" w:line="360" w:lineRule="auto"/>
        <w:ind w:left="-5" w:right="-11"/>
      </w:pPr>
      <w:r>
        <w:t xml:space="preserve">Orobat, irizten du garrantzitsua dela honako hau aipatzea: “gastu publikoei eusten laguntzeko zergak ordaintzeko konstituzio-betebeharra daukagunez pertsona guztiok, bidezkoa da informazioa lortzea Administrazioak zergen kudeaketan egiten duen jarduerari buruz”.   </w:t>
      </w:r>
    </w:p>
    <w:p w14:paraId="3291B51C" w14:textId="6E84B506" w:rsidR="007C6923" w:rsidRDefault="000866B3">
      <w:pPr>
        <w:ind w:left="-5"/>
      </w:pPr>
      <w:r>
        <w:t xml:space="preserve">Ohar horiek kontuan hartuta, eta egindako bi galderei erantzun argia eta zehatza emate aldera, Nafarroako Parlamentuko Erregelamenduaren 215. artikuluak eskatzen duenari jarraikiz, idazki parlamentarioaren eta hura sorrarazi zuen gaiaren oinarri den epaia aztertu beharrean gaude. </w:t>
      </w:r>
    </w:p>
    <w:p w14:paraId="24028111" w14:textId="77777777" w:rsidR="007C6923" w:rsidRDefault="000866B3">
      <w:pPr>
        <w:spacing w:after="100" w:line="259" w:lineRule="auto"/>
        <w:ind w:left="-5"/>
      </w:pPr>
      <w:r>
        <w:rPr>
          <w:b/>
        </w:rPr>
        <w:t xml:space="preserve">2. Otsailaren 24ko 257/2021 </w:t>
      </w:r>
      <w:proofErr w:type="spellStart"/>
      <w:r>
        <w:rPr>
          <w:b/>
        </w:rPr>
        <w:t>AGEn</w:t>
      </w:r>
      <w:proofErr w:type="spellEnd"/>
      <w:r>
        <w:rPr>
          <w:b/>
        </w:rPr>
        <w:t xml:space="preserve"> landutako gaia. </w:t>
      </w:r>
    </w:p>
    <w:p w14:paraId="0F1E3C0D" w14:textId="77777777" w:rsidR="007C6923" w:rsidRDefault="000866B3">
      <w:pPr>
        <w:ind w:left="-5"/>
      </w:pPr>
      <w:r>
        <w:t xml:space="preserve">Herritar batek 2017an bere Udalari egindako informazio-eskaera bat da epaiaren jatorria, zeinetan honako hau eskatzen baitzuen: </w:t>
      </w:r>
    </w:p>
    <w:p w14:paraId="15F26E28" w14:textId="77777777" w:rsidR="007C6923" w:rsidRDefault="000866B3">
      <w:pPr>
        <w:ind w:left="-5"/>
      </w:pPr>
      <w:r>
        <w:t xml:space="preserve">“Udalerri honetan Ondasun Higiezinen Zerga (OHZ) ordaintzetik salbuetsita dauden ondasun higiezinen zerrenda (hiri-lurrekoak eta landa-lurrekoak), honako hauek adierazita: higiezinen helbideak, salbuetsitako zenbatekoa eta salbuetsita egoteko legezko arrazoia eta higiezinen titularrak (horiek pertsona fisikoak direnean izan ezik, Datu Pertsonalak Babesteko Legeari jarraikiz; izan </w:t>
      </w:r>
      <w:r>
        <w:lastRenderedPageBreak/>
        <w:t xml:space="preserve">ere, arau horrek pertsona fisikoak soilik babesten ditu, eta inoiz ere ez entitate juridikoak, horiek publikoak ala pribatuak izan)”. </w:t>
      </w:r>
    </w:p>
    <w:p w14:paraId="1078A730" w14:textId="77777777" w:rsidR="007C6923" w:rsidRDefault="000866B3">
      <w:pPr>
        <w:ind w:left="-5"/>
      </w:pPr>
      <w:r>
        <w:t xml:space="preserve">Eskaera horri dagokionez, interesgarria da azpimarratzea eskatzaileak berak kanpoan utzi zuela higiezinen titulartasunaren datua, horiek pertsona fisiko diren partikularrenak direnean, ulertzen baitu datu-babesari buruzko legediak ez duela informazio zehatz hori lortzeko modurik ematen. </w:t>
      </w:r>
    </w:p>
    <w:p w14:paraId="7FB287D1" w14:textId="77777777" w:rsidR="007C6923" w:rsidRDefault="000866B3">
      <w:pPr>
        <w:ind w:left="-5"/>
      </w:pPr>
      <w:r>
        <w:t xml:space="preserve">Udalak ez zion eskaerari erantzun, eta beraz, eskatutako informazioa ukatu zelakoan, herritarrak erreklamazio bat aurkeztu zion Andaluziako Gardentasunaren eta Datu Babesaren Kontseiluari. </w:t>
      </w:r>
    </w:p>
    <w:p w14:paraId="7F1163A5" w14:textId="0174CB36" w:rsidR="007C6923" w:rsidRDefault="000866B3">
      <w:pPr>
        <w:ind w:left="-5"/>
      </w:pPr>
      <w:r>
        <w:t xml:space="preserve">Behin prozedura izapidetuta, entitateak partzialki onetsi zuen herritarrak aurkeztutako erreklamazioa, eta xedatu zuen Udalak herritarrari helarazi behar ziola OHZ ordaintzetik salbuetsita zeuden ondasun higiezinen zerrenda (hiri-lurrekoak eta landa-lurrekoak), adierazita higiezinen helbideak, salbuetsitako zenbatekoa eta salbuetsita egoteko legezko arrazoia eta higiezinen titularrak, baldin eta titulartasuna Estatuarena, autonomia-erkidego batena edo toki-entitate batena bazen (edo horietako baten mendeko erakunde edo entitate batena), edo atzerriko gobernu batena, Toki Ogasunen Lege Arautzaileari buruzko Testu </w:t>
      </w:r>
      <w:proofErr w:type="spellStart"/>
      <w:r>
        <w:t>Bateginaren</w:t>
      </w:r>
      <w:proofErr w:type="spellEnd"/>
      <w:r>
        <w:t xml:space="preserve"> 62.1 e) artikuluan aipatutako ondasunei dagokienez.  Hau da, Kontseiluak ulertu zuen eskatzaileari ukatu egin behar zitzaiola, orobat, pertsona juridiko diren partikularren higiezinen titulartasunari buruzko informazioa, datu babestuak zirelako Higiezinen Katastroari buruzko Legearen testu bategina onartzen duen martxoaren 5eko 1/2004 Legegintzako Errege Dekretuaren 51. artikuluan xedatutakoari jarraikiz. </w:t>
      </w:r>
    </w:p>
    <w:p w14:paraId="5928A18F" w14:textId="17EC919F" w:rsidR="007C6923" w:rsidRDefault="000866B3">
      <w:pPr>
        <w:ind w:left="-5"/>
      </w:pPr>
      <w:r>
        <w:t>Udalak errekurtsoa aurkeztu zuen, eta Administrazioarekiko Auzien Epaitegi onetsi egin zuen. Andaluziako Gardentasunaren eta Datu Babesaren Kontseiluak apelazio-errekurtsoa aurkeztu zuen aipatu epaiaren aurka, baina arrakastarik izan ez zuenez azkenean kasazio-errekurtsoa aurkeztu zuen Auzitegi Gorenean. Eta azken erabaki judizial hori,</w:t>
      </w:r>
      <w:r w:rsidR="001A6516">
        <w:t xml:space="preserve"> </w:t>
      </w:r>
      <w:r>
        <w:t xml:space="preserve">kasazio-errekurtsoa onetsi zuena, aipatzen du bere azalpenean galdera hauek egin dituen foru parlamentariak.   </w:t>
      </w:r>
    </w:p>
    <w:p w14:paraId="06CAC517" w14:textId="77777777" w:rsidR="007C6923" w:rsidRDefault="000866B3">
      <w:pPr>
        <w:spacing w:after="98" w:line="259" w:lineRule="auto"/>
        <w:ind w:left="-5"/>
      </w:pPr>
      <w:r>
        <w:rPr>
          <w:b/>
        </w:rPr>
        <w:t xml:space="preserve">3. Foru parlamentari jaunak aipatutako epaiaren ratio </w:t>
      </w:r>
      <w:proofErr w:type="spellStart"/>
      <w:r>
        <w:rPr>
          <w:b/>
        </w:rPr>
        <w:t>decidendia</w:t>
      </w:r>
      <w:proofErr w:type="spellEnd"/>
      <w:r>
        <w:rPr>
          <w:b/>
        </w:rPr>
        <w:t xml:space="preserve"> </w:t>
      </w:r>
    </w:p>
    <w:p w14:paraId="2BF7CA8A" w14:textId="77777777" w:rsidR="007C6923" w:rsidRDefault="000866B3">
      <w:pPr>
        <w:ind w:left="-5"/>
      </w:pPr>
      <w:r>
        <w:t xml:space="preserve">Epaiak aztertzen du bereziki Tributuei buruzko Lege Orokorraren 95. artikulua, non ezartzen den Tributu Administrazioak eskuratutako informazioaren babes eta erreserba. Edonola ere, erreserba mugatua da, manuak berak jarraian jasotzen baitu kasuen zerrenda luze bat, zeinetan Administrazioa gaituta dagoen aipatu informazioa lagatzeko.  </w:t>
      </w:r>
    </w:p>
    <w:p w14:paraId="5C21D909" w14:textId="77777777" w:rsidR="007C6923" w:rsidRDefault="000866B3">
      <w:pPr>
        <w:ind w:left="-5"/>
      </w:pPr>
      <w:r>
        <w:lastRenderedPageBreak/>
        <w:t>Azken finean, aztertzen ari garen epaiak adierazten du kasu horiek, prozeduraren ikuspegi zehatzetik, ez direla datuak hirugarrenei lagatzeko “</w:t>
      </w:r>
      <w:proofErr w:type="spellStart"/>
      <w:r>
        <w:t>numerus</w:t>
      </w:r>
      <w:proofErr w:type="spellEnd"/>
      <w:r>
        <w:t xml:space="preserve"> </w:t>
      </w:r>
      <w:proofErr w:type="spellStart"/>
      <w:r>
        <w:t>clausus</w:t>
      </w:r>
      <w:proofErr w:type="spellEnd"/>
      <w:r>
        <w:t xml:space="preserve"> edo zerrenda itxi bat”. Eta aipatu artikulu horrek eta horrekin batera aipatzen diren gainerako xedapenek ez dakartela nahitaez eta beti Gardentasunari buruzko Legea ez aplikatzea. Ildo horretan, honako hau esaten da: </w:t>
      </w:r>
    </w:p>
    <w:p w14:paraId="49CF9B16" w14:textId="5BEAE589" w:rsidR="007C6923" w:rsidRDefault="000866B3" w:rsidP="000866B3">
      <w:pPr>
        <w:spacing w:after="2" w:line="360" w:lineRule="auto"/>
        <w:ind w:left="-5" w:right="-11"/>
      </w:pPr>
      <w:r>
        <w:rPr>
          <w:i/>
          <w:iCs/>
        </w:rPr>
        <w:t>"Ordenamendu juridikoaren osotasunean eta Gardentasunari buruzko 19/2013 Legeko berme berrien argitan interpretatu behar da Tributuei buruzko Lege Orokorra; hortaz, horren erregulazioak ez du ez baztertzen ez aurreikusten Tributu Administrazioari informazioa eskatu ahal izatea tributu-edukiko elementu jakin batzuei buruz, Gardentasunari buruzko Legearen lehenbiziko xedapen gehigarria baita aplikatu beharrekoa baldin eta informazioak ez badu talka egiten partikularren intimitaterako eskubidearekin –Tributuei buruzko Lege Orokorraren 34. artikuluak berak partikularrei aitortzen die sarbidea mugatzeko eskubidea–, edo Administrazioak dauzkan datuak beharrezkoak izan daitezkeenean herritarrek beren eskubideak baliarazi ahal izan ditzaten, edo jarduketa publikoaz informatuta egon daitezen. Informazio hori Gardentasunari buruzko Legearen 14. artikuluan ezartzen diren mugei egokitu behar zaie, bai eta 15. artikuluan ezarritako datuen babesari ere.</w:t>
      </w:r>
      <w:r>
        <w:rPr>
          <w:i/>
        </w:rPr>
        <w:t xml:space="preserve"> Aurretik azaldutakoarekin zera ondorioztatu behar dugu: Tributuei buruzko Lege Orokorrak ez du jasotzen informaziorako sarbiderako araubide oso eta autonomo bat, baizik eta tributu-datu garrantzitsuen erreserbarako printzipio edo arau orokor bat, herritarren intimitaterako oinarrizko eskubidearen berme gisa (Espainiako Konstituzioaren 18. artikulua). </w:t>
      </w:r>
      <w:r>
        <w:rPr>
          <w:i/>
          <w:iCs/>
        </w:rPr>
        <w:t>Horiek horrela, Tributuei buruzko Lege Orokorrak tributuen arloko datuen konfidentzialtasunerako dituen aurreikuspen bereziek ez dute baztertzen edo aplikaezin bihurtzen Gardentasunari eta gobernu onari buruzko abenduaren 9ko 19/2013 Legean (1. xedapen gehigarria) datuak eskuratzeko diseinatu den araubidea.”</w:t>
      </w:r>
      <w:r>
        <w:t xml:space="preserve"> </w:t>
      </w:r>
    </w:p>
    <w:p w14:paraId="3C7D87A4" w14:textId="77777777" w:rsidR="007C6923" w:rsidRDefault="000866B3">
      <w:pPr>
        <w:ind w:left="-5"/>
      </w:pPr>
      <w:r>
        <w:t xml:space="preserve">Planteamendu horretatik abiatuta Auzitegi Gorenak onetsi egin du errekurtsoa, kasu zehatza aztertuta ikusi duelako informazioaren eskatzaileak berak eskaera zedarritzen duela “pertsona fisikoak salbu” utziz, 2018ko Datuen Babesari buruzko Legea aplikatuz (5. artikulua). Era berean, “pertsona juridikoen titulartasunari buruzko datua emateak talka egiten du legedi sektorialarekin berarekin”; beraz, beste arau batzuetara jo behar izan gabe ez zegokion partikularren, pertsona juridikoen nortasunaren (egoitza soziala) datuak helaraztea. </w:t>
      </w:r>
    </w:p>
    <w:p w14:paraId="36C96097" w14:textId="77777777" w:rsidR="007C6923" w:rsidRDefault="000866B3">
      <w:pPr>
        <w:spacing w:after="0" w:line="361" w:lineRule="auto"/>
        <w:ind w:left="-5"/>
      </w:pPr>
      <w:r>
        <w:rPr>
          <w:b/>
        </w:rPr>
        <w:t xml:space="preserve">4. Legezko estaldura nahikorik ez Parlamentuko Mahaiak igorritako idazkian doazen galderetan eskatzen den informazioa helarazteko </w:t>
      </w:r>
    </w:p>
    <w:p w14:paraId="0B488EA9" w14:textId="53C9D6B1" w:rsidR="007C6923" w:rsidRDefault="000866B3">
      <w:pPr>
        <w:ind w:left="-5"/>
      </w:pPr>
      <w:r>
        <w:rPr>
          <w:b/>
        </w:rPr>
        <w:lastRenderedPageBreak/>
        <w:t xml:space="preserve"> </w:t>
      </w:r>
      <w:r>
        <w:t xml:space="preserve">Egia bada ere parlamentari jaunak aipatzen duena, hau da, aztertu den kasuaren epaiaren arabera Tributuei buruzko Lege Orokorraren 95. artikuluan agertzen den tributu-sekretuak ez dakarrela inola ere gardentasunari buruzko legeak ez aplikatzea, hori bezain egia da ere aipatu epaia irakurrita ondorioztatzen dela hala Andaluziako Gardentasunaren Kontseiluak nola, geroago, Auzitegi Gorenak ezetsi zutela zergadunen identifikazio pertsonalaren gaineko edozein datu helarazteko aukera, zergadun horiek pertsona fisiko zein juridikoak izanda. Eta alderdi horretatik, bitxia izan daiteke parlamentariaren eskaeran babesa bilatzea aipatu erabaki judizialean, eskatzen dena baita, hain zuzen ere, hala pertsona fisikoak nola enpresak identifikatzea, 2023an sartuta egon litezkeenak zerga betebeharren ez betetze larri jakin batzuetan.  </w:t>
      </w:r>
    </w:p>
    <w:p w14:paraId="79958D35" w14:textId="77777777" w:rsidR="007C6923" w:rsidRDefault="000866B3">
      <w:pPr>
        <w:ind w:left="-5"/>
      </w:pPr>
      <w:r>
        <w:t xml:space="preserve">Halaber, zure idazkian dagokion azalpenik ez dagoenez, zail da ulertzea nola uztartzen den eskatzen duzun informazio zehatza eta zergadunen oinarrizko eskubideak, esaterako, Konstituzioaren 18. eta 24. artikuluetakoak.  </w:t>
      </w:r>
    </w:p>
    <w:p w14:paraId="795723B6" w14:textId="77777777" w:rsidR="007C6923" w:rsidRDefault="000866B3">
      <w:pPr>
        <w:ind w:left="-5"/>
      </w:pPr>
      <w:r>
        <w:t xml:space="preserve">Aurretik aztertutako kasutik ondorioztatzen ahal da, bi galdera parlamentarioetan gertatzen den bezala, Zerga Administrazioak bete beharreko konfidentzialtasunaren muina dela tributudunen eskubideak eta interesak gordetzea. Horrela ikusten da Tributuei buruzko abenduaren 14ko 13/2000 Foru Lege Orokorrean aitortzen zaizkien eskubideen katalogoan, bereziki 9.1.h) artikuluan jasotzen dena: “ Eskubidea du, legeetan aurreikusitako moduan, Zerga Administrazioak lortu dituen datu, txosten edo aurrekarien </w:t>
      </w:r>
      <w:proofErr w:type="spellStart"/>
      <w:r>
        <w:t>sekretutasuna</w:t>
      </w:r>
      <w:proofErr w:type="spellEnd"/>
      <w:r>
        <w:t xml:space="preserve"> errespeta dadin. Horiei eman ahalko zaien erabilera bakarra da Administrazioak kudeaketa esleitua daukaneko tributu edo baliabideak aplikatzea, eta ezin izanen zaizkie hirugarrenei laga edo jakinarazi, legeetan aurreikusitako kasuetan izan ezik".  </w:t>
      </w:r>
    </w:p>
    <w:p w14:paraId="1F01E7E4" w14:textId="77777777" w:rsidR="007C6923" w:rsidRDefault="000866B3">
      <w:pPr>
        <w:ind w:left="-5"/>
      </w:pPr>
      <w:r>
        <w:t xml:space="preserve">Baino horrek ez du esan nahi tributu arlo horri ezin zaionik aplikatu Konstituzioak informazio publikoa eskuratzeko aitortzen duen eskubidea, 105. artikuluan eta gardentasunaren gaineko legeek egiten duten garapenean.  </w:t>
      </w:r>
    </w:p>
    <w:p w14:paraId="2729E986" w14:textId="77777777" w:rsidR="007C6923" w:rsidRDefault="000866B3">
      <w:pPr>
        <w:ind w:left="-5"/>
      </w:pPr>
      <w:r>
        <w:t xml:space="preserve">Arrazoibide hori dela eta, ohartarazi behar da zerga-erreserba salbuetsi egin dela 2015 urtetik, besteak beste lekua emateko zerga-jardueraren gaineko gardentasun eta informazio publikoei, hain zuzen ere foru parlamentari jaunaren bi galderetan agertzen den arlo zehatzean: tributu betebeharren ez-betetze nabarmenak.    </w:t>
      </w:r>
    </w:p>
    <w:p w14:paraId="0DF08F67" w14:textId="77777777" w:rsidR="007C6923" w:rsidRDefault="000866B3">
      <w:pPr>
        <w:ind w:left="-5"/>
      </w:pPr>
      <w:r>
        <w:t xml:space="preserve">Halatan, neurri hori Tributuei buruzko Lege Orokorrari gehitu zitzaion irailaren 21eko 34/2015 Legearen bidez (95. bis artikulua), eta Nafarroan abenduaren 28ko 23/2015 Foru Legearen bidez, zeinak 105. bis artikulua sartu baitzuen Tributuei buruzko Foru Lege Orokorrean.  Lehen arau horrek, zioen </w:t>
      </w:r>
      <w:r>
        <w:lastRenderedPageBreak/>
        <w:t xml:space="preserve">azalpenaren hitzaurrean, justifikatu egin zuen neurria sartzea, gardentasun eta informazio publikoaren arloko helburuekin, besteak beste, honakoa adierazten baitzuen: ”...abenduaren 17ko abenduaren 17ko 58/2003 Tributuen Lege Orokorrean aipatutako zordunen zerrendak argitaratzeko neurria iruzur fiskalari prebentzioko eta hezkuntzako tresnen bitartez aurka egiteko esparruan txertatu behar da; tresna horiek zerga-betebeharrak borondatez bete daitezen bultzatu behar dute, zerga-arloko benetako kontzientzia zibikoa garatzen lagundu behar dute, eta jarduera publikoaren gardentasunaren ondoriozko publikotasun aktiboa sustatu behar dute, jakin beharreko informazioari dagokionez.” </w:t>
      </w:r>
    </w:p>
    <w:p w14:paraId="60BA0E19" w14:textId="77777777" w:rsidR="007C6923" w:rsidRDefault="000866B3">
      <w:pPr>
        <w:ind w:left="-5"/>
      </w:pPr>
      <w:r>
        <w:t xml:space="preserve">Eta honakoa gehitzen zuen: “Neurriak erabat errespetatzen du zerga-datuen erreserba, eta, beraz, baita erreserba horren oinarri diren printzipioak ere, baina betiere ahaztu gabe gai horretan eragin handia duela intimitaterako eskubidea babesteko printzipioak eta zerga-sistemaren eraginkortasunaren printzipioa indartu egin behar dela; printzipio horiek guztiak batu, eta ikuspegi </w:t>
      </w:r>
      <w:proofErr w:type="spellStart"/>
      <w:r>
        <w:t>kuantitibo</w:t>
      </w:r>
      <w:proofErr w:type="spellEnd"/>
      <w:r>
        <w:t xml:space="preserve"> garrantzitsu batetik begiratuta gaitzesgarriak diren zerga-jokabideak baino ez dira publiko egingo. Horretarako, legegileak Ogasun Publikoarentzat kalte ekonomiko handiena eragiten duten jokabideak zabaltzea soilik baimenduko du, zorren tipologiaren arabera Legean ezarritako borondatezko epean ordaintzeko hasierako epeetan ez ordaintzearen ondorio diren jokabideak izanik. Azken batean, zenbait kasutan gardentasunaren eta publikotasunaren printzipioek Konstituzioaren arabera babestutako beste eskubide batzuekin –hala nola, intimitaterako eta datuak babesteko eskubideekin– talka egin dezaketen arren, zer interes babestu nahi diren aztertu behar da, eta, horretarako, bereziki izan behar dira kontuan Datu Pertsonalak Babesteari buruzko abenduaren 13ko 15/1999 Legearen 4.1 artikuluan bildutako proportzionaltasunaren, zehaztasunaren eta datuak kontserbatzearen printzipioak. Gure inguruko herrialdeetan ere –esaterako, Alemanian edo Finlandian– horrelaxe egiten dute, tributuei buruzko datuen konfidentzialtasunaren printzipio orokorrari hainbat salbuespen eginda. Gure inguruko herrialdeetan ere –esaterako, Alemanian edo Finlandian– horrelaxe egiten dute, tributuei buruzko datuen konfidentzialtasunaren printzipio orokorrari hainbat salbuespen eginda.” Egia da interesekoa izan daitekeela 24ko 257/2021 AGE hori, foru parlamentari jaunak bere eskaria aldezteko aipatzen duena, baina uste dugu bere galderen xedea ebazteko egokiagoak direla auzitegi horrek berriki emandako lau epai, 2023koak, non zedarritu diren Zerga Administrazioak zer muga eta baldintzarekin dagoen legez gaituta betebeharren ez-betetze garrantzitsuetan sartu diren zergadunen nortasuna </w:t>
      </w:r>
      <w:r>
        <w:lastRenderedPageBreak/>
        <w:t xml:space="preserve">publikoki aditzera emateko. Honako AGE hauek dira: urtarrilaren 20ko 50/2023, urtarrilaren 20ko 86/2023, eta otsailaren 2ko 130/2023 eta 1/2023.  </w:t>
      </w:r>
    </w:p>
    <w:p w14:paraId="5CBBD150" w14:textId="77777777" w:rsidR="007C6923" w:rsidRDefault="000866B3">
      <w:pPr>
        <w:ind w:left="-5"/>
      </w:pPr>
      <w:r>
        <w:t xml:space="preserve">Laburtasunaren eta zehaztasunaren mesederako, ez ditugu zehatz-mehatz aztertuko aipatu epaiak, nahikotzat jotzen baitugu azaltzea Nafarroako Foru Ogasunak duen irizpidea, aurkeztutako bi galderei dagokienez, kontuan hartuta kasuari aplikatzen ahal zaion legezko araudia eta aipatutako jurisprudentzia zeina, Tributuei buruzko Lege Orokorraren 95.bis artikulua aztertu bazuen ere, berdin aplikatu ahalko litzaiokeen foru araudiari, bi arau horien arteko antzekotasuna ikusita. </w:t>
      </w:r>
    </w:p>
    <w:p w14:paraId="2C59CA0C" w14:textId="77777777" w:rsidR="007C6923" w:rsidRDefault="000866B3">
      <w:pPr>
        <w:ind w:left="-5"/>
      </w:pPr>
      <w:r>
        <w:t xml:space="preserve">Galderen ordena aldatuta, foru parlamentari jaunak honako hau jaso nahi du: </w:t>
      </w:r>
    </w:p>
    <w:p w14:paraId="0BA8FBFD" w14:textId="77777777" w:rsidR="007C6923" w:rsidRDefault="000866B3">
      <w:pPr>
        <w:spacing w:after="0" w:line="361" w:lineRule="auto"/>
        <w:ind w:left="-5"/>
      </w:pPr>
      <w:r>
        <w:t>a) 2023an egindako ikuskapen-lanen arabera delitu fiskala egin bide dituzten eta Fiskaltzaren edo justizia-auzitegien aitzinean salatutako pertsona fisiko edo juridikoen identifikazioa.</w:t>
      </w:r>
      <w:r>
        <w:rPr>
          <w:b/>
        </w:rPr>
        <w:t xml:space="preserve"> </w:t>
      </w:r>
    </w:p>
    <w:p w14:paraId="6CD7D347" w14:textId="77777777" w:rsidR="007C6923" w:rsidRDefault="000866B3">
      <w:pPr>
        <w:spacing w:after="100" w:line="259" w:lineRule="auto"/>
        <w:ind w:left="-5"/>
      </w:pPr>
      <w:r>
        <w:t xml:space="preserve">Informazio hori ezin da eman.  </w:t>
      </w:r>
    </w:p>
    <w:p w14:paraId="2ED137BD" w14:textId="77777777" w:rsidR="007C6923" w:rsidRDefault="000866B3">
      <w:pPr>
        <w:ind w:left="-5"/>
      </w:pPr>
      <w:r>
        <w:t xml:space="preserve">Hori dela-eta, gogora daiteke Botere Judizialaren Lege Organikoaren 235. bis artikulua: </w:t>
      </w:r>
    </w:p>
    <w:p w14:paraId="2B542BB2" w14:textId="77777777" w:rsidR="007C6923" w:rsidRDefault="000866B3">
      <w:pPr>
        <w:ind w:left="-5"/>
      </w:pPr>
      <w:r>
        <w:t xml:space="preserve">“1. Publikoa da kondena-epai irmoen epaitzetan jasotako datu pertsonaletarako sarbidea, epai horiek honako artikulu hauetan jasotako delituengatik jaulki direnean: </w:t>
      </w:r>
    </w:p>
    <w:p w14:paraId="571D23EE" w14:textId="77777777" w:rsidR="007C6923" w:rsidRDefault="000866B3">
      <w:pPr>
        <w:numPr>
          <w:ilvl w:val="0"/>
          <w:numId w:val="1"/>
        </w:numPr>
      </w:pPr>
      <w:r>
        <w:t xml:space="preserve">Zigor Kodearen azaroaren 23ko 10/1995 Lege Organikoaren 305, 305 bis eta 306. artikuluak". </w:t>
      </w:r>
    </w:p>
    <w:p w14:paraId="13F83A41" w14:textId="77777777" w:rsidR="007C6923" w:rsidRDefault="000866B3">
      <w:pPr>
        <w:ind w:left="-5"/>
      </w:pPr>
      <w:r>
        <w:t xml:space="preserve">Manu horiek Ogasun Publikoaren aurkako iruzurren delituei dagozkie. </w:t>
      </w:r>
    </w:p>
    <w:p w14:paraId="34DF8C75" w14:textId="77777777" w:rsidR="007C6923" w:rsidRDefault="000866B3">
      <w:pPr>
        <w:ind w:left="-5"/>
      </w:pPr>
      <w:r>
        <w:t xml:space="preserve">Zigor arloa hain serioa denez, aipatu kasuetan Ogasun publikoaren aurkako delituagatik hori tipifikatzen duten artikuluen arabera zigortua denaren datu pertsonalak publiko egiteak nahitaez behar du zigor-zuzenbideko zigor irmoa; horrek esan nahi du ezin dela publizitaterik txikiena ere egin zigor prozesu batean dauden zergadunen datuei buruz, harik eta zigor hori, kasua bada, erabakitzen den arte. </w:t>
      </w:r>
    </w:p>
    <w:p w14:paraId="7F1C2ADC" w14:textId="77777777" w:rsidR="007C6923" w:rsidRDefault="000866B3">
      <w:pPr>
        <w:ind w:left="-5"/>
      </w:pPr>
      <w:r>
        <w:t xml:space="preserve">Horregatik Auzitegi Gorenak, aipatu epaietan, ezarri du zordunen nortasunari buruzko publizitatearen legezko araubidea, ustezko delitu fiskalaren kasuan, erreserbatuta dagoela, bakar-bakarrik, kondena-epai irmoaren egoeretarako eta, beraz, delituarekin lotutako likidazio batean adierazitako zorraren likidazio soilarekin Zerga-administrazioa ez dagoela gaituta tributudunen nortasuna publiko egiteko.  </w:t>
      </w:r>
    </w:p>
    <w:p w14:paraId="76A52943" w14:textId="77777777" w:rsidR="007C6923" w:rsidRDefault="000866B3">
      <w:pPr>
        <w:numPr>
          <w:ilvl w:val="0"/>
          <w:numId w:val="1"/>
        </w:numPr>
        <w:spacing w:after="0" w:line="361" w:lineRule="auto"/>
      </w:pPr>
      <w:r>
        <w:rPr>
          <w:b/>
        </w:rPr>
        <w:t xml:space="preserve">Enpresaren sozietate-izena, 2023ko ekitaldian zehar ordaindu gabe utzitako 100 milioi euro ordain ditzan eskatu zaionarena BEZaren tributu-kudeaketan. </w:t>
      </w:r>
    </w:p>
    <w:p w14:paraId="392CEC8C" w14:textId="77777777" w:rsidR="007C6923" w:rsidRDefault="000866B3">
      <w:pPr>
        <w:ind w:left="-5"/>
      </w:pPr>
      <w:r>
        <w:lastRenderedPageBreak/>
        <w:t xml:space="preserve">Halaber, ezinezkoa da informazioa ematea Foru Ogasunak 2023an zerga-kontroleko zereginetan jomugatzat hartu dituen pertsona fisiko edo juridikoei buruz. </w:t>
      </w:r>
    </w:p>
    <w:p w14:paraId="0B7B7E6B" w14:textId="77777777" w:rsidR="007C6923" w:rsidRDefault="000866B3">
      <w:pPr>
        <w:ind w:left="-5"/>
      </w:pPr>
      <w:r>
        <w:t xml:space="preserve">Foru parlamentariak berak bere galderen testuaren aurretik eginiko azalpenean nabarmendu bezala, ez da inolako problemarik egon behar herritarrei informazioa emateko Ogasun Publikoarekin zorretan daudenen zerrenden kasua bezalakoetan (izena, abizenak, sozietate-izena, IFZ), zerga-zor eta/edo -zehapenen guztizko zenbatekoak gainditu egiten duenean zerga-legeriak ezarritako atalasea. </w:t>
      </w:r>
    </w:p>
    <w:p w14:paraId="1BAD9442" w14:textId="77777777" w:rsidR="007C6923" w:rsidRDefault="000866B3">
      <w:pPr>
        <w:ind w:left="-5"/>
      </w:pPr>
      <w:r>
        <w:t xml:space="preserve">Ez dago halako problemarik, Tributuei buruzko Foru Lege Orokorrak (eta, estatu-mailan, Tributuei buruzko Lege Orokorraren 95. bis artikuluak) baimendu egiten baitute zerga-betebeharren urratze muntadunetan ari diren zergadunen identitatearen berri ematea. Baina zergadun horiei buruzko publikotasunaren taxutze juridikoa, norainokoari eta baldintzei dagokienez, hain zuzen ere egin da Auzitegi Gorenaren lau epai jada aipatuetan ezarritako aginduak betez.  </w:t>
      </w:r>
    </w:p>
    <w:p w14:paraId="6D1D6318" w14:textId="77777777" w:rsidR="007C6923" w:rsidRDefault="000866B3">
      <w:pPr>
        <w:ind w:left="-5"/>
      </w:pPr>
      <w:r>
        <w:t xml:space="preserve">Zuzenbidezko agindu horri jarraikiz, 2024ko ekainaren 27an jendaurrean paratu zen, Nafarroako Foru Ogasunaren webgunean, zehaztutako arauak aipatzen duen zordun-zerrenda. </w:t>
      </w:r>
    </w:p>
    <w:p w14:paraId="1B6F75A0" w14:textId="77777777" w:rsidR="007C6923" w:rsidRDefault="000866B3">
      <w:pPr>
        <w:ind w:left="-5"/>
      </w:pPr>
      <w:proofErr w:type="spellStart"/>
      <w:r>
        <w:t>Jendaurreratze</w:t>
      </w:r>
      <w:proofErr w:type="spellEnd"/>
      <w:r>
        <w:t xml:space="preserve"> horren bitartez, Nafarroako Foru Ogasunak bete egin zuen zorrak dituzten pertsonak eta enpresak zerrendan sartzearen betebehar juridikoa, 2023ko abenduaren 31n ez etenda ez geroratuta egon gabe 120.000 euro baino gehiagokoak izatearen baldintzak betetzen zituztenak. Hain zuzen, Auzitegi Gorenak baldintza horiek nahitaez bete beharrekotzat jo ditu zergadun horien identitatea jendaurrean paratu ahal izateko, ezen "zerga-betebeharren ez-betetze muntadunen </w:t>
      </w:r>
      <w:proofErr w:type="spellStart"/>
      <w:r>
        <w:t>jendaurreratzearen</w:t>
      </w:r>
      <w:proofErr w:type="spellEnd"/>
      <w:r>
        <w:t xml:space="preserve"> ondorioetarako, 95. bis artikuluko zerrendetan jaso ahalko diren bakarrak dira Ogasun Publikoaren zordunak izatea zerga-zor edo -zehapen irmoetatik datorkien pertsona fisiko edo juridikoak",  Adierazten denez, bete beharrekoa da baldintza hori zeren, bestela, </w:t>
      </w:r>
    </w:p>
    <w:p w14:paraId="1E002FCD" w14:textId="77777777" w:rsidR="007C6923" w:rsidRDefault="000866B3">
      <w:pPr>
        <w:ind w:left="-5"/>
      </w:pPr>
      <w:r>
        <w:t xml:space="preserve">"Zergei buruzko Lege Orokorraren beraren konstituzionaltasuna auzitan jarri beste irtenbiderik" ez bailegoke, "dela pribatutasunaren balizko urraketa batengatik, dela segurtasun juridikoaren printzipioaren urraketa nabariagatik; printzipio hori, Konstituzioaren 9.3 artikuluan jasota egoteaz gain, Zergei buruzko Lege Orokorraren lehentasun behinenetako bat izaki. “ </w:t>
      </w:r>
    </w:p>
    <w:p w14:paraId="0836998D" w14:textId="77777777" w:rsidR="007C6923" w:rsidRDefault="000866B3">
      <w:pPr>
        <w:ind w:left="-5"/>
      </w:pPr>
      <w:r>
        <w:t xml:space="preserve">Eta, ildo horretan, Auzitegi Gorenak zerga-administrazioei ohartarazten die ondotxo begira daitezen zerga-zordunen identitatea gorago azaldu diren bermeak eta baldintzak betetzen ez direlarik jakinarazi edo ezagutaraztetik, </w:t>
      </w:r>
      <w:r>
        <w:lastRenderedPageBreak/>
        <w:t xml:space="preserve">osterantzean haien ospeari kalte egitearen arrisku nabariagatik; halako moldez non, Auzitegi Gorenaren hitzetan, "arras zuhurki, </w:t>
      </w:r>
      <w:proofErr w:type="spellStart"/>
      <w:r>
        <w:t>hausnartuki</w:t>
      </w:r>
      <w:proofErr w:type="spellEnd"/>
      <w:r>
        <w:t xml:space="preserve"> eta txukunki" erabili behar baita legebide hori. </w:t>
      </w:r>
    </w:p>
    <w:p w14:paraId="31AD740A" w14:textId="77777777" w:rsidR="007C6923" w:rsidRDefault="000866B3">
      <w:pPr>
        <w:ind w:left="-5"/>
      </w:pPr>
      <w:r>
        <w:t xml:space="preserve">Foru parlamentariak 2024ko ekainaren 13an erregistratu zuen Parlamentuko Mahaiari zuzenduriko eskaera; eta ondoren, 2024ko ekainaren 27an, Nafarroako Foru Ogasunak jendaurrean paratu zuen, bere webgunean, 2023ko abenduaren 31n beren identitatea jendaurrean jar dakiekeen pertsona fisikoen eta enpresen zerrenda.  </w:t>
      </w:r>
    </w:p>
    <w:p w14:paraId="065054D0" w14:textId="382CEB80" w:rsidR="007C6923" w:rsidRDefault="000866B3">
      <w:pPr>
        <w:ind w:left="-5"/>
      </w:pPr>
      <w:r>
        <w:t xml:space="preserve">Hori guztia jakinarazten dut, Nafarroako Parlamentuko Erregelamenduaren 215. artikuluan xedatutakoa betez. </w:t>
      </w:r>
    </w:p>
    <w:p w14:paraId="6BBB4D7A" w14:textId="77777777" w:rsidR="007C6923" w:rsidRDefault="000866B3">
      <w:pPr>
        <w:spacing w:after="4" w:line="250" w:lineRule="auto"/>
        <w:ind w:left="411"/>
        <w:jc w:val="center"/>
      </w:pPr>
      <w:r>
        <w:t xml:space="preserve">Iruñean, 2024ko uztailaren 19an. </w:t>
      </w:r>
    </w:p>
    <w:p w14:paraId="03F4F2E6" w14:textId="451335F9" w:rsidR="007C6923" w:rsidRDefault="009E747C">
      <w:pPr>
        <w:spacing w:after="4" w:line="250" w:lineRule="auto"/>
        <w:ind w:right="5"/>
        <w:jc w:val="center"/>
      </w:pPr>
      <w:r>
        <w:t xml:space="preserve">Lehendakariorde eta Lehendakaritza eta Berdintasuneko kontseilaria: </w:t>
      </w:r>
      <w:proofErr w:type="spellStart"/>
      <w:r>
        <w:t>Félix</w:t>
      </w:r>
      <w:proofErr w:type="spellEnd"/>
      <w:r>
        <w:t xml:space="preserve"> Mª Taberna Monzón</w:t>
      </w:r>
    </w:p>
    <w:p w14:paraId="67171E3F" w14:textId="77777777" w:rsidR="007C6923" w:rsidRDefault="000866B3">
      <w:pPr>
        <w:spacing w:after="4" w:line="250" w:lineRule="auto"/>
        <w:jc w:val="center"/>
      </w:pPr>
      <w:r>
        <w:t xml:space="preserve">(ordezkari gisa, Nafarroako Foru Komunitateko Lehendakariaren ekainaren 25eko 15/2024 Foru Dekretuaren arabera) </w:t>
      </w:r>
    </w:p>
    <w:sectPr w:rsidR="007C6923" w:rsidSect="000866B3">
      <w:headerReference w:type="even" r:id="rId7"/>
      <w:headerReference w:type="default" r:id="rId8"/>
      <w:footerReference w:type="even" r:id="rId9"/>
      <w:footerReference w:type="default" r:id="rId10"/>
      <w:headerReference w:type="first" r:id="rId11"/>
      <w:footerReference w:type="first" r:id="rId12"/>
      <w:pgSz w:w="11900" w:h="16840"/>
      <w:pgMar w:top="1702" w:right="2305" w:bottom="1418" w:left="2309" w:header="72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F37F0" w14:textId="77777777" w:rsidR="000866B3" w:rsidRDefault="000866B3">
      <w:pPr>
        <w:spacing w:after="0" w:line="240" w:lineRule="auto"/>
      </w:pPr>
      <w:r>
        <w:separator/>
      </w:r>
    </w:p>
  </w:endnote>
  <w:endnote w:type="continuationSeparator" w:id="0">
    <w:p w14:paraId="255C26D1" w14:textId="77777777" w:rsidR="000866B3" w:rsidRDefault="0008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FDD36" w14:textId="77777777" w:rsidR="007C6923" w:rsidRDefault="007C6923">
    <w:pPr>
      <w:spacing w:after="0" w:line="259" w:lineRule="auto"/>
      <w:ind w:left="-2309" w:right="9595"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61C88" w14:textId="77777777" w:rsidR="007C6923" w:rsidRDefault="007C6923">
    <w:pPr>
      <w:spacing w:after="0" w:line="259" w:lineRule="auto"/>
      <w:ind w:left="-2309" w:right="9595"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320" w:tblpY="15040"/>
      <w:tblOverlap w:val="never"/>
      <w:tblW w:w="11280" w:type="dxa"/>
      <w:tblInd w:w="0" w:type="dxa"/>
      <w:tblCellMar>
        <w:top w:w="79" w:type="dxa"/>
        <w:left w:w="35" w:type="dxa"/>
        <w:right w:w="15" w:type="dxa"/>
      </w:tblCellMar>
      <w:tblLook w:val="04A0" w:firstRow="1" w:lastRow="0" w:firstColumn="1" w:lastColumn="0" w:noHBand="0" w:noVBand="1"/>
    </w:tblPr>
    <w:tblGrid>
      <w:gridCol w:w="2059"/>
      <w:gridCol w:w="5367"/>
      <w:gridCol w:w="1073"/>
      <w:gridCol w:w="1631"/>
      <w:gridCol w:w="1150"/>
    </w:tblGrid>
    <w:tr w:rsidR="007C6923" w14:paraId="050EF050" w14:textId="77777777">
      <w:trPr>
        <w:trHeight w:val="380"/>
      </w:trPr>
      <w:tc>
        <w:tcPr>
          <w:tcW w:w="2059" w:type="dxa"/>
          <w:tcBorders>
            <w:top w:val="double" w:sz="4" w:space="0" w:color="000000"/>
            <w:left w:val="double" w:sz="4" w:space="0" w:color="000000"/>
            <w:bottom w:val="single" w:sz="4" w:space="0" w:color="000000"/>
            <w:right w:val="single" w:sz="4" w:space="0" w:color="000000"/>
          </w:tcBorders>
          <w:shd w:val="clear" w:color="auto" w:fill="C0C0C0"/>
        </w:tcPr>
        <w:p w14:paraId="55754171" w14:textId="77777777" w:rsidR="007C6923" w:rsidRDefault="000866B3">
          <w:pPr>
            <w:spacing w:after="0" w:line="259" w:lineRule="auto"/>
            <w:ind w:left="0" w:firstLine="0"/>
            <w:jc w:val="center"/>
          </w:pPr>
          <w:r>
            <w:rPr>
              <w:sz w:val="14"/>
            </w:rPr>
            <w:t>EKS (Egiaztapen Kode Segurua)</w:t>
          </w:r>
        </w:p>
      </w:tc>
      <w:tc>
        <w:tcPr>
          <w:tcW w:w="5367" w:type="dxa"/>
          <w:tcBorders>
            <w:top w:val="double" w:sz="4" w:space="0" w:color="000000"/>
            <w:left w:val="single" w:sz="4" w:space="0" w:color="000000"/>
            <w:bottom w:val="single" w:sz="4" w:space="0" w:color="000000"/>
            <w:right w:val="single" w:sz="4" w:space="0" w:color="000000"/>
          </w:tcBorders>
          <w:shd w:val="clear" w:color="auto" w:fill="FFFFFF"/>
        </w:tcPr>
        <w:p w14:paraId="0E5C5E7A" w14:textId="77777777" w:rsidR="007C6923" w:rsidRDefault="000866B3">
          <w:pPr>
            <w:spacing w:after="0" w:line="259" w:lineRule="auto"/>
            <w:ind w:left="0" w:right="20" w:firstLine="0"/>
            <w:jc w:val="center"/>
          </w:pPr>
          <w:r>
            <w:rPr>
              <w:sz w:val="14"/>
            </w:rPr>
            <w:t>IVVH22KSZYOKUROSCBONBZSG4M</w:t>
          </w:r>
        </w:p>
      </w:tc>
      <w:tc>
        <w:tcPr>
          <w:tcW w:w="1073" w:type="dxa"/>
          <w:tcBorders>
            <w:top w:val="double" w:sz="4" w:space="0" w:color="000000"/>
            <w:left w:val="single" w:sz="4" w:space="0" w:color="000000"/>
            <w:bottom w:val="single" w:sz="4" w:space="0" w:color="000000"/>
            <w:right w:val="single" w:sz="4" w:space="0" w:color="000000"/>
          </w:tcBorders>
          <w:shd w:val="clear" w:color="auto" w:fill="C0C0C0"/>
        </w:tcPr>
        <w:p w14:paraId="08A11A4F" w14:textId="77777777" w:rsidR="007C6923" w:rsidRDefault="000866B3">
          <w:pPr>
            <w:spacing w:after="0" w:line="259" w:lineRule="auto"/>
            <w:ind w:left="0" w:right="20" w:firstLine="0"/>
            <w:jc w:val="center"/>
          </w:pPr>
          <w:r>
            <w:rPr>
              <w:sz w:val="14"/>
            </w:rPr>
            <w:t>Data</w:t>
          </w:r>
        </w:p>
      </w:tc>
      <w:tc>
        <w:tcPr>
          <w:tcW w:w="1630" w:type="dxa"/>
          <w:tcBorders>
            <w:top w:val="double" w:sz="4" w:space="0" w:color="000000"/>
            <w:left w:val="single" w:sz="4" w:space="0" w:color="000000"/>
            <w:bottom w:val="single" w:sz="4" w:space="0" w:color="000000"/>
            <w:right w:val="double" w:sz="4" w:space="0" w:color="000000"/>
          </w:tcBorders>
          <w:shd w:val="clear" w:color="auto" w:fill="FFFFFF"/>
        </w:tcPr>
        <w:p w14:paraId="277AEDB7" w14:textId="77777777" w:rsidR="007C6923" w:rsidRDefault="000866B3">
          <w:pPr>
            <w:spacing w:after="0" w:line="259" w:lineRule="auto"/>
            <w:ind w:left="0" w:right="40" w:firstLine="0"/>
            <w:jc w:val="center"/>
          </w:pPr>
          <w:r>
            <w:rPr>
              <w:sz w:val="14"/>
            </w:rPr>
            <w:t>2024-07-19, 12:23:44</w:t>
          </w:r>
        </w:p>
      </w:tc>
      <w:tc>
        <w:tcPr>
          <w:tcW w:w="1150" w:type="dxa"/>
          <w:vMerge w:val="restart"/>
          <w:tcBorders>
            <w:top w:val="single" w:sz="4" w:space="0" w:color="000000"/>
            <w:left w:val="double" w:sz="4" w:space="0" w:color="000000"/>
            <w:bottom w:val="single" w:sz="4" w:space="0" w:color="000000"/>
            <w:right w:val="single" w:sz="4" w:space="0" w:color="000000"/>
          </w:tcBorders>
        </w:tcPr>
        <w:p w14:paraId="31FE54FB" w14:textId="77777777" w:rsidR="007C6923" w:rsidRDefault="000866B3">
          <w:pPr>
            <w:spacing w:after="0" w:line="259" w:lineRule="auto"/>
            <w:ind w:left="0" w:firstLine="0"/>
            <w:jc w:val="left"/>
          </w:pPr>
          <w:r>
            <w:rPr>
              <w:noProof/>
            </w:rPr>
            <w:drawing>
              <wp:inline distT="0" distB="0" distL="0" distR="0" wp14:anchorId="1878A657" wp14:editId="679228E7">
                <wp:extent cx="698500" cy="698500"/>
                <wp:effectExtent l="0" t="0" r="0" b="0"/>
                <wp:docPr id="612069704"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698500" cy="698500"/>
                        </a:xfrm>
                        <a:prstGeom prst="rect">
                          <a:avLst/>
                        </a:prstGeom>
                      </pic:spPr>
                    </pic:pic>
                  </a:graphicData>
                </a:graphic>
              </wp:inline>
            </w:drawing>
          </w:r>
        </w:p>
      </w:tc>
    </w:tr>
    <w:tr w:rsidR="007C6923" w14:paraId="6EE006E4" w14:textId="77777777">
      <w:trPr>
        <w:trHeight w:val="500"/>
      </w:trPr>
      <w:tc>
        <w:tcPr>
          <w:tcW w:w="2059" w:type="dxa"/>
          <w:tcBorders>
            <w:top w:val="single" w:sz="4" w:space="0" w:color="000000"/>
            <w:left w:val="double" w:sz="4" w:space="0" w:color="000000"/>
            <w:bottom w:val="single" w:sz="4" w:space="0" w:color="000000"/>
            <w:right w:val="single" w:sz="4" w:space="0" w:color="000000"/>
          </w:tcBorders>
          <w:shd w:val="clear" w:color="auto" w:fill="C0C0C0"/>
          <w:vAlign w:val="center"/>
        </w:tcPr>
        <w:p w14:paraId="2925D959" w14:textId="77777777" w:rsidR="007C6923" w:rsidRDefault="000866B3">
          <w:pPr>
            <w:spacing w:after="0" w:line="259" w:lineRule="auto"/>
            <w:ind w:left="0" w:firstLine="0"/>
            <w:jc w:val="center"/>
          </w:pPr>
          <w:r>
            <w:rPr>
              <w:sz w:val="14"/>
            </w:rPr>
            <w:t>Araudia</w:t>
          </w:r>
        </w:p>
      </w:tc>
      <w:tc>
        <w:tcPr>
          <w:tcW w:w="5367" w:type="dxa"/>
          <w:tcBorders>
            <w:top w:val="single" w:sz="4" w:space="0" w:color="000000"/>
            <w:left w:val="single" w:sz="4" w:space="0" w:color="000000"/>
            <w:bottom w:val="single" w:sz="4" w:space="0" w:color="000000"/>
            <w:right w:val="single" w:sz="4" w:space="0" w:color="000000"/>
          </w:tcBorders>
          <w:shd w:val="clear" w:color="auto" w:fill="FFFFFF"/>
        </w:tcPr>
        <w:p w14:paraId="2C0FEC39" w14:textId="77777777" w:rsidR="007C6923" w:rsidRDefault="000866B3">
          <w:pPr>
            <w:spacing w:after="0" w:line="216" w:lineRule="auto"/>
            <w:ind w:left="0" w:right="15" w:firstLine="0"/>
            <w:jc w:val="center"/>
          </w:pPr>
          <w:r>
            <w:rPr>
              <w:sz w:val="14"/>
            </w:rPr>
            <w:t>Dokumentu honek sinadura elektronikoa du, Konfiantzazko zerbitzu elektronikoen zenbait alderdi arautzen dituen azaroaren 11ko 6/2020 Legearen arabera aitortua.</w:t>
          </w:r>
        </w:p>
        <w:p w14:paraId="79E605B8" w14:textId="77777777" w:rsidR="007C6923" w:rsidRDefault="007C6923">
          <w:pPr>
            <w:spacing w:after="0" w:line="259" w:lineRule="auto"/>
            <w:ind w:left="0" w:right="20" w:firstLine="0"/>
            <w:jc w:val="center"/>
          </w:pPr>
        </w:p>
      </w:tc>
      <w:tc>
        <w:tcPr>
          <w:tcW w:w="1073" w:type="dxa"/>
          <w:tcBorders>
            <w:top w:val="single" w:sz="4" w:space="0" w:color="000000"/>
            <w:left w:val="single" w:sz="4" w:space="0" w:color="000000"/>
            <w:bottom w:val="single" w:sz="4" w:space="0" w:color="000000"/>
            <w:right w:val="single" w:sz="4" w:space="0" w:color="000000"/>
          </w:tcBorders>
          <w:shd w:val="clear" w:color="auto" w:fill="C0C0C0"/>
        </w:tcPr>
        <w:p w14:paraId="08765AD5" w14:textId="77777777" w:rsidR="007C6923" w:rsidRDefault="000866B3">
          <w:pPr>
            <w:spacing w:after="0" w:line="259" w:lineRule="auto"/>
            <w:ind w:left="0" w:firstLine="0"/>
            <w:jc w:val="center"/>
          </w:pPr>
          <w:r>
            <w:rPr>
              <w:sz w:val="14"/>
            </w:rPr>
            <w:t>Dokumentuaren baliozkotasuna</w:t>
          </w:r>
        </w:p>
      </w:tc>
      <w:tc>
        <w:tcPr>
          <w:tcW w:w="1630" w:type="dxa"/>
          <w:tcBorders>
            <w:top w:val="single" w:sz="4" w:space="0" w:color="000000"/>
            <w:left w:val="single" w:sz="4" w:space="0" w:color="000000"/>
            <w:bottom w:val="single" w:sz="4" w:space="0" w:color="000000"/>
            <w:right w:val="double" w:sz="4" w:space="0" w:color="000000"/>
          </w:tcBorders>
          <w:shd w:val="clear" w:color="auto" w:fill="FFFFFF"/>
          <w:vAlign w:val="center"/>
        </w:tcPr>
        <w:p w14:paraId="3F8761F0" w14:textId="77777777" w:rsidR="007C6923" w:rsidRDefault="000866B3">
          <w:pPr>
            <w:spacing w:after="0" w:line="259" w:lineRule="auto"/>
            <w:ind w:left="0" w:right="40" w:firstLine="0"/>
            <w:jc w:val="center"/>
          </w:pPr>
          <w:r>
            <w:rPr>
              <w:sz w:val="14"/>
            </w:rPr>
            <w:t>Beste batzuk</w:t>
          </w:r>
        </w:p>
      </w:tc>
      <w:tc>
        <w:tcPr>
          <w:tcW w:w="0" w:type="auto"/>
          <w:vMerge/>
          <w:tcBorders>
            <w:top w:val="nil"/>
            <w:left w:val="double" w:sz="4" w:space="0" w:color="000000"/>
            <w:bottom w:val="nil"/>
            <w:right w:val="single" w:sz="4" w:space="0" w:color="000000"/>
          </w:tcBorders>
        </w:tcPr>
        <w:p w14:paraId="47C515BE" w14:textId="77777777" w:rsidR="007C6923" w:rsidRDefault="007C6923">
          <w:pPr>
            <w:spacing w:after="160" w:line="259" w:lineRule="auto"/>
            <w:ind w:left="0" w:firstLine="0"/>
            <w:jc w:val="left"/>
          </w:pPr>
        </w:p>
      </w:tc>
    </w:tr>
    <w:tr w:rsidR="007C6923" w14:paraId="75FE00D8" w14:textId="77777777">
      <w:trPr>
        <w:trHeight w:val="220"/>
      </w:trPr>
      <w:tc>
        <w:tcPr>
          <w:tcW w:w="2059" w:type="dxa"/>
          <w:tcBorders>
            <w:top w:val="single" w:sz="4" w:space="0" w:color="000000"/>
            <w:left w:val="double" w:sz="4" w:space="0" w:color="000000"/>
            <w:bottom w:val="single" w:sz="4" w:space="0" w:color="000000"/>
            <w:right w:val="single" w:sz="4" w:space="0" w:color="000000"/>
          </w:tcBorders>
          <w:shd w:val="clear" w:color="auto" w:fill="C0C0C0"/>
        </w:tcPr>
        <w:p w14:paraId="2375561C" w14:textId="77777777" w:rsidR="007C6923" w:rsidRDefault="000866B3">
          <w:pPr>
            <w:spacing w:after="0" w:line="259" w:lineRule="auto"/>
            <w:ind w:left="0" w:firstLine="0"/>
            <w:jc w:val="center"/>
          </w:pPr>
          <w:r>
            <w:rPr>
              <w:sz w:val="14"/>
            </w:rPr>
            <w:t>Honek sinatua:</w:t>
          </w:r>
        </w:p>
      </w:tc>
      <w:tc>
        <w:tcPr>
          <w:tcW w:w="8071" w:type="dxa"/>
          <w:gridSpan w:val="3"/>
          <w:tcBorders>
            <w:top w:val="single" w:sz="4" w:space="0" w:color="000000"/>
            <w:left w:val="single" w:sz="4" w:space="0" w:color="000000"/>
            <w:bottom w:val="single" w:sz="4" w:space="0" w:color="000000"/>
            <w:right w:val="double" w:sz="4" w:space="0" w:color="000000"/>
          </w:tcBorders>
          <w:shd w:val="clear" w:color="auto" w:fill="FFFFFF"/>
        </w:tcPr>
        <w:p w14:paraId="67753E9F" w14:textId="77777777" w:rsidR="007C6923" w:rsidRDefault="000866B3">
          <w:pPr>
            <w:spacing w:after="0" w:line="259" w:lineRule="auto"/>
            <w:ind w:left="0" w:right="40" w:firstLine="0"/>
            <w:jc w:val="center"/>
          </w:pPr>
          <w:r>
            <w:rPr>
              <w:sz w:val="14"/>
            </w:rPr>
            <w:t>FELIX MARIA TABERNA MONZON (sinadura txertatua)</w:t>
          </w:r>
        </w:p>
      </w:tc>
      <w:tc>
        <w:tcPr>
          <w:tcW w:w="0" w:type="auto"/>
          <w:vMerge/>
          <w:tcBorders>
            <w:top w:val="nil"/>
            <w:left w:val="double" w:sz="4" w:space="0" w:color="000000"/>
            <w:bottom w:val="nil"/>
            <w:right w:val="single" w:sz="4" w:space="0" w:color="000000"/>
          </w:tcBorders>
        </w:tcPr>
        <w:p w14:paraId="17F03A6C" w14:textId="77777777" w:rsidR="007C6923" w:rsidRDefault="007C6923">
          <w:pPr>
            <w:spacing w:after="160" w:line="259" w:lineRule="auto"/>
            <w:ind w:left="0" w:firstLine="0"/>
            <w:jc w:val="left"/>
          </w:pPr>
        </w:p>
      </w:tc>
    </w:tr>
    <w:tr w:rsidR="007C6923" w14:paraId="6734D7F3" w14:textId="77777777">
      <w:trPr>
        <w:trHeight w:val="380"/>
      </w:trPr>
      <w:tc>
        <w:tcPr>
          <w:tcW w:w="2059" w:type="dxa"/>
          <w:tcBorders>
            <w:top w:val="single" w:sz="4" w:space="0" w:color="000000"/>
            <w:left w:val="double" w:sz="4" w:space="0" w:color="000000"/>
            <w:bottom w:val="double" w:sz="4" w:space="0" w:color="000000"/>
            <w:right w:val="single" w:sz="4" w:space="0" w:color="000000"/>
          </w:tcBorders>
          <w:shd w:val="clear" w:color="auto" w:fill="C0C0C0"/>
          <w:vAlign w:val="center"/>
        </w:tcPr>
        <w:p w14:paraId="2C7366D7" w14:textId="77777777" w:rsidR="007C6923" w:rsidRDefault="000866B3">
          <w:pPr>
            <w:spacing w:after="0" w:line="259" w:lineRule="auto"/>
            <w:ind w:left="0" w:firstLine="0"/>
            <w:jc w:val="center"/>
          </w:pPr>
          <w:r>
            <w:rPr>
              <w:sz w:val="14"/>
            </w:rPr>
            <w:t>Egiaztapenerako URLa</w:t>
          </w:r>
        </w:p>
      </w:tc>
      <w:tc>
        <w:tcPr>
          <w:tcW w:w="5367" w:type="dxa"/>
          <w:tcBorders>
            <w:top w:val="single" w:sz="4" w:space="0" w:color="000000"/>
            <w:left w:val="single" w:sz="4" w:space="0" w:color="000000"/>
            <w:bottom w:val="double" w:sz="4" w:space="0" w:color="000000"/>
            <w:right w:val="single" w:sz="4" w:space="0" w:color="000000"/>
          </w:tcBorders>
          <w:shd w:val="clear" w:color="auto" w:fill="FFFFFF"/>
        </w:tcPr>
        <w:p w14:paraId="623D100F" w14:textId="77777777" w:rsidR="007C6923" w:rsidRDefault="000866B3">
          <w:pPr>
            <w:spacing w:after="0" w:line="259" w:lineRule="auto"/>
            <w:ind w:left="11" w:firstLine="0"/>
          </w:pPr>
          <w:r>
            <w:rPr>
              <w:sz w:val="14"/>
            </w:rPr>
            <w:t>https://sede.parlamentodenavarra.es/verifirma/code/IVVH22KSZYOKUROSCBONBZ</w:t>
          </w:r>
        </w:p>
        <w:p w14:paraId="5B9DF400" w14:textId="77777777" w:rsidR="007C6923" w:rsidRDefault="000866B3">
          <w:pPr>
            <w:spacing w:after="0" w:line="259" w:lineRule="auto"/>
            <w:ind w:left="0" w:right="20" w:firstLine="0"/>
            <w:jc w:val="center"/>
          </w:pPr>
          <w:r>
            <w:rPr>
              <w:sz w:val="14"/>
            </w:rPr>
            <w:t>SG4M</w:t>
          </w:r>
        </w:p>
      </w:tc>
      <w:tc>
        <w:tcPr>
          <w:tcW w:w="1073" w:type="dxa"/>
          <w:tcBorders>
            <w:top w:val="single" w:sz="4" w:space="0" w:color="000000"/>
            <w:left w:val="single" w:sz="4" w:space="0" w:color="000000"/>
            <w:bottom w:val="double" w:sz="4" w:space="0" w:color="000000"/>
            <w:right w:val="single" w:sz="4" w:space="0" w:color="000000"/>
          </w:tcBorders>
          <w:shd w:val="clear" w:color="auto" w:fill="C0C0C0"/>
          <w:vAlign w:val="center"/>
        </w:tcPr>
        <w:p w14:paraId="55A69B0F" w14:textId="77777777" w:rsidR="007C6923" w:rsidRDefault="000866B3">
          <w:pPr>
            <w:spacing w:after="0" w:line="259" w:lineRule="auto"/>
            <w:ind w:left="0" w:right="20" w:firstLine="0"/>
            <w:jc w:val="center"/>
          </w:pPr>
          <w:r>
            <w:rPr>
              <w:sz w:val="14"/>
            </w:rPr>
            <w:t>Orrialdea</w:t>
          </w:r>
        </w:p>
      </w:tc>
      <w:tc>
        <w:tcPr>
          <w:tcW w:w="1630" w:type="dxa"/>
          <w:tcBorders>
            <w:top w:val="single" w:sz="4" w:space="0" w:color="000000"/>
            <w:left w:val="single" w:sz="4" w:space="0" w:color="000000"/>
            <w:bottom w:val="double" w:sz="4" w:space="0" w:color="000000"/>
            <w:right w:val="double" w:sz="4" w:space="0" w:color="000000"/>
          </w:tcBorders>
          <w:shd w:val="clear" w:color="auto" w:fill="FFFFFF"/>
          <w:vAlign w:val="center"/>
        </w:tcPr>
        <w:p w14:paraId="73978056" w14:textId="77777777" w:rsidR="007C6923" w:rsidRDefault="000866B3">
          <w:pPr>
            <w:spacing w:after="0" w:line="259" w:lineRule="auto"/>
            <w:ind w:left="0" w:right="40" w:firstLine="0"/>
            <w:jc w:val="center"/>
          </w:pPr>
          <w:r>
            <w:fldChar w:fldCharType="begin"/>
          </w:r>
          <w:r>
            <w:instrText xml:space="preserve"> PAGE   \* MERGEFORMAT </w:instrText>
          </w:r>
          <w:r>
            <w:fldChar w:fldCharType="separate"/>
          </w:r>
          <w:r>
            <w:rPr>
              <w:sz w:val="14"/>
            </w:rPr>
            <w:t>1</w:t>
          </w:r>
          <w:r>
            <w:rPr>
              <w:sz w:val="14"/>
            </w:rPr>
            <w:fldChar w:fldCharType="end"/>
          </w:r>
          <w:r>
            <w:rPr>
              <w:sz w:val="14"/>
            </w:rPr>
            <w:t>/</w:t>
          </w:r>
          <w:fldSimple w:instr=" NUMPAGES   \* MERGEFORMAT ">
            <w:r>
              <w:rPr>
                <w:sz w:val="14"/>
              </w:rPr>
              <w:t>10</w:t>
            </w:r>
          </w:fldSimple>
        </w:p>
      </w:tc>
      <w:tc>
        <w:tcPr>
          <w:tcW w:w="0" w:type="auto"/>
          <w:vMerge/>
          <w:tcBorders>
            <w:top w:val="nil"/>
            <w:left w:val="double" w:sz="4" w:space="0" w:color="000000"/>
            <w:bottom w:val="single" w:sz="4" w:space="0" w:color="000000"/>
            <w:right w:val="single" w:sz="4" w:space="0" w:color="000000"/>
          </w:tcBorders>
        </w:tcPr>
        <w:p w14:paraId="1623670B" w14:textId="77777777" w:rsidR="007C6923" w:rsidRDefault="007C6923">
          <w:pPr>
            <w:spacing w:after="160" w:line="259" w:lineRule="auto"/>
            <w:ind w:left="0" w:firstLine="0"/>
            <w:jc w:val="left"/>
          </w:pPr>
        </w:p>
      </w:tc>
    </w:tr>
  </w:tbl>
  <w:p w14:paraId="714D8600" w14:textId="77777777" w:rsidR="007C6923" w:rsidRDefault="007C6923">
    <w:pPr>
      <w:spacing w:after="0" w:line="259" w:lineRule="auto"/>
      <w:ind w:left="-2309" w:right="9595"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339EB" w14:textId="77777777" w:rsidR="000866B3" w:rsidRDefault="000866B3">
      <w:pPr>
        <w:spacing w:after="0" w:line="240" w:lineRule="auto"/>
      </w:pPr>
      <w:r>
        <w:separator/>
      </w:r>
    </w:p>
  </w:footnote>
  <w:footnote w:type="continuationSeparator" w:id="0">
    <w:p w14:paraId="0147D20A" w14:textId="77777777" w:rsidR="000866B3" w:rsidRDefault="00086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987D6" w14:textId="40FB6064" w:rsidR="007C6923" w:rsidRDefault="007C6923">
    <w:pPr>
      <w:spacing w:after="0" w:line="259" w:lineRule="auto"/>
      <w:ind w:left="-2309" w:right="2795"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E6075" w14:textId="4D380E3D" w:rsidR="007C6923" w:rsidRDefault="000866B3">
    <w:pPr>
      <w:spacing w:after="101" w:line="259" w:lineRule="auto"/>
      <w:ind w:left="-1141" w:right="-1130" w:firstLine="0"/>
      <w:jc w:val="left"/>
    </w:pPr>
    <w:r>
      <w:t xml:space="preserve"> </w:t>
    </w:r>
  </w:p>
  <w:p w14:paraId="633745CA" w14:textId="77777777" w:rsidR="007C6923" w:rsidRDefault="000866B3">
    <w:pPr>
      <w:spacing w:after="0" w:line="259" w:lineRule="auto"/>
      <w:ind w:lef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4800"/>
      <w:tblOverlap w:val="never"/>
      <w:tblW w:w="2000" w:type="dxa"/>
      <w:tblInd w:w="0" w:type="dxa"/>
      <w:tblCellMar>
        <w:top w:w="79" w:type="dxa"/>
        <w:left w:w="115" w:type="dxa"/>
        <w:right w:w="115" w:type="dxa"/>
      </w:tblCellMar>
      <w:tblLook w:val="04A0" w:firstRow="1" w:lastRow="0" w:firstColumn="1" w:lastColumn="0" w:noHBand="0" w:noVBand="1"/>
    </w:tblPr>
    <w:tblGrid>
      <w:gridCol w:w="2000"/>
    </w:tblGrid>
    <w:tr w:rsidR="007C6923" w14:paraId="710594C3"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3AD74F2F" w14:textId="77777777" w:rsidR="007C6923" w:rsidRDefault="000866B3">
          <w:pPr>
            <w:spacing w:after="0" w:line="259" w:lineRule="auto"/>
            <w:ind w:left="0" w:firstLine="0"/>
            <w:jc w:val="center"/>
          </w:pPr>
          <w:r>
            <w:rPr>
              <w:b/>
              <w:sz w:val="14"/>
            </w:rPr>
            <w:t>Parlamento de Navarra</w:t>
          </w:r>
        </w:p>
      </w:tc>
    </w:tr>
    <w:tr w:rsidR="007C6923" w14:paraId="06693632"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7E29031C" w14:textId="77777777" w:rsidR="007C6923" w:rsidRDefault="000866B3">
          <w:pPr>
            <w:spacing w:after="0" w:line="259" w:lineRule="auto"/>
            <w:ind w:left="0" w:firstLine="0"/>
            <w:jc w:val="center"/>
          </w:pPr>
          <w:proofErr w:type="spellStart"/>
          <w:r>
            <w:rPr>
              <w:b/>
              <w:sz w:val="14"/>
            </w:rPr>
            <w:t>Registro</w:t>
          </w:r>
          <w:proofErr w:type="spellEnd"/>
          <w:r>
            <w:rPr>
              <w:b/>
              <w:sz w:val="14"/>
            </w:rPr>
            <w:t xml:space="preserve"> ENTRADA</w:t>
          </w:r>
        </w:p>
      </w:tc>
    </w:tr>
    <w:tr w:rsidR="007C6923" w14:paraId="71E4051B"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0D50DABC" w14:textId="77777777" w:rsidR="007C6923" w:rsidRDefault="000866B3">
          <w:pPr>
            <w:spacing w:after="0" w:line="259" w:lineRule="auto"/>
            <w:ind w:left="0" w:firstLine="0"/>
            <w:jc w:val="center"/>
          </w:pPr>
          <w:r>
            <w:rPr>
              <w:b/>
              <w:sz w:val="14"/>
            </w:rPr>
            <w:t>2024-07-19, 13:32</w:t>
          </w:r>
        </w:p>
      </w:tc>
    </w:tr>
    <w:tr w:rsidR="007C6923" w14:paraId="7E583211" w14:textId="77777777">
      <w:trPr>
        <w:trHeight w:val="360"/>
      </w:trPr>
      <w:tc>
        <w:tcPr>
          <w:tcW w:w="2000" w:type="dxa"/>
          <w:tcBorders>
            <w:top w:val="single" w:sz="4" w:space="0" w:color="000000"/>
            <w:left w:val="single" w:sz="4" w:space="0" w:color="000000"/>
            <w:bottom w:val="single" w:sz="4" w:space="0" w:color="000000"/>
            <w:right w:val="single" w:sz="4" w:space="0" w:color="000000"/>
          </w:tcBorders>
        </w:tcPr>
        <w:p w14:paraId="53A4E075" w14:textId="77777777" w:rsidR="007C6923" w:rsidRDefault="000866B3">
          <w:pPr>
            <w:spacing w:after="0" w:line="259" w:lineRule="auto"/>
            <w:ind w:left="0" w:firstLine="0"/>
            <w:jc w:val="center"/>
          </w:pPr>
          <w:r>
            <w:rPr>
              <w:b/>
              <w:sz w:val="14"/>
            </w:rPr>
            <w:t>202404702</w:t>
          </w:r>
        </w:p>
        <w:p w14:paraId="7743C7E2" w14:textId="77777777" w:rsidR="007C6923" w:rsidRDefault="000866B3">
          <w:pPr>
            <w:spacing w:after="0" w:line="259" w:lineRule="auto"/>
            <w:ind w:left="0" w:firstLine="0"/>
            <w:jc w:val="center"/>
          </w:pPr>
          <w:r>
            <w:rPr>
              <w:b/>
              <w:sz w:val="14"/>
            </w:rPr>
            <w:t>Esp.: 11-24/PES-00310</w:t>
          </w:r>
        </w:p>
      </w:tc>
    </w:tr>
  </w:tbl>
  <w:p w14:paraId="1885B7E1" w14:textId="77777777" w:rsidR="007C6923" w:rsidRDefault="000866B3">
    <w:pPr>
      <w:spacing w:after="101" w:line="259" w:lineRule="auto"/>
      <w:ind w:left="-1141" w:right="-1130" w:firstLine="0"/>
      <w:jc w:val="left"/>
    </w:pPr>
    <w:r>
      <w:rPr>
        <w:rFonts w:ascii="Calibri" w:hAnsi="Calibri"/>
        <w:noProof/>
        <w:sz w:val="22"/>
      </w:rPr>
      <mc:AlternateContent>
        <mc:Choice Requires="wpg">
          <w:drawing>
            <wp:anchor distT="0" distB="0" distL="114300" distR="114300" simplePos="0" relativeHeight="251660288" behindDoc="0" locked="0" layoutInCell="1" allowOverlap="1" wp14:anchorId="4611652E" wp14:editId="246381D6">
              <wp:simplePos x="0" y="0"/>
              <wp:positionH relativeFrom="page">
                <wp:posOffset>742100</wp:posOffset>
              </wp:positionH>
              <wp:positionV relativeFrom="page">
                <wp:posOffset>406345</wp:posOffset>
              </wp:positionV>
              <wp:extent cx="6068605" cy="810265"/>
              <wp:effectExtent l="0" t="0" r="0" b="0"/>
              <wp:wrapSquare wrapText="bothSides"/>
              <wp:docPr id="14695" name="Group 14695"/>
              <wp:cNvGraphicFramePr/>
              <a:graphic xmlns:a="http://schemas.openxmlformats.org/drawingml/2006/main">
                <a:graphicData uri="http://schemas.microsoft.com/office/word/2010/wordprocessingGroup">
                  <wpg:wgp>
                    <wpg:cNvGrpSpPr/>
                    <wpg:grpSpPr>
                      <a:xfrm>
                        <a:off x="0" y="0"/>
                        <a:ext cx="6068605" cy="810265"/>
                        <a:chOff x="0" y="0"/>
                        <a:chExt cx="6068605" cy="810265"/>
                      </a:xfrm>
                    </wpg:grpSpPr>
                    <wps:wsp>
                      <wps:cNvPr id="14697" name="Rectangle 14697"/>
                      <wps:cNvSpPr/>
                      <wps:spPr>
                        <a:xfrm>
                          <a:off x="724387" y="171603"/>
                          <a:ext cx="43395" cy="192155"/>
                        </a:xfrm>
                        <a:prstGeom prst="rect">
                          <a:avLst/>
                        </a:prstGeom>
                        <a:ln>
                          <a:noFill/>
                        </a:ln>
                      </wps:spPr>
                      <wps:txbx>
                        <w:txbxContent>
                          <w:p w14:paraId="5A3C1219" w14:textId="77777777" w:rsidR="007C6923" w:rsidRDefault="000866B3">
                            <w:pPr>
                              <w:spacing w:after="160" w:line="259" w:lineRule="auto"/>
                              <w:ind w:left="0" w:firstLine="0"/>
                              <w:jc w:val="left"/>
                            </w:pPr>
                            <w:r>
                              <w:rPr>
                                <w:rFonts w:ascii="Times New Roman" w:hAnsi="Times New Roman"/>
                              </w:rPr>
                              <w:t xml:space="preserve"> </w:t>
                            </w:r>
                          </w:p>
                        </w:txbxContent>
                      </wps:txbx>
                      <wps:bodyPr horzOverflow="overflow" vert="horz" lIns="0" tIns="0" rIns="0" bIns="0" rtlCol="0">
                        <a:noAutofit/>
                      </wps:bodyPr>
                    </wps:wsp>
                    <pic:pic xmlns:pic="http://schemas.openxmlformats.org/drawingml/2006/picture">
                      <pic:nvPicPr>
                        <pic:cNvPr id="14696" name="Picture 14696"/>
                        <pic:cNvPicPr/>
                      </pic:nvPicPr>
                      <pic:blipFill>
                        <a:blip r:embed="rId1"/>
                        <a:stretch>
                          <a:fillRect/>
                        </a:stretch>
                      </pic:blipFill>
                      <pic:spPr>
                        <a:xfrm>
                          <a:off x="0" y="0"/>
                          <a:ext cx="6068605" cy="810265"/>
                        </a:xfrm>
                        <a:prstGeom prst="rect">
                          <a:avLst/>
                        </a:prstGeom>
                      </pic:spPr>
                    </pic:pic>
                  </wpg:wgp>
                </a:graphicData>
              </a:graphic>
            </wp:anchor>
          </w:drawing>
        </mc:Choice>
        <mc:Fallback xmlns:a="http://schemas.openxmlformats.org/drawingml/2006/main">
          <w:pict>
            <v:group id="Group 14695" style="width:477.843pt;height:63.8004pt;position:absolute;mso-position-horizontal-relative:page;mso-position-horizontal:absolute;margin-left:58.433pt;mso-position-vertical-relative:page;margin-top:31.9957pt;" coordsize="60686,8102">
              <v:rect id="Rectangle 14697" style="position:absolute;width:433;height:1921;left:7243;top:1716;" filled="f" stroked="f">
                <v:textbox inset="0,0,0,0">
                  <w:txbxContent>
                    <w:p>
                      <w:pPr>
                        <w:spacing w:before="0" w:after="160" w:line="259" w:lineRule="auto"/>
                        <w:ind w:left="0" w:firstLine="0"/>
                        <w:jc w:val="left"/>
                      </w:pPr>
                      <w:r>
                        <w:rPr>
                          <w:rFonts w:ascii="Times New Roman" w:hAnsi="Times New Roman"/>
                        </w:rPr>
                        <w:t xml:space="preserve"> </w:t>
                      </w:r>
                    </w:p>
                  </w:txbxContent>
                </v:textbox>
              </v:rect>
              <v:shape id="Picture 14696" style="position:absolute;width:60686;height:8102;left:0;top:0;" filled="f">
                <v:imagedata r:id="rId7"/>
              </v:shape>
              <w10:wrap type="square"/>
            </v:group>
          </w:pict>
        </mc:Fallback>
      </mc:AlternateContent>
    </w:r>
    <w:r>
      <w:t xml:space="preserve"> </w:t>
    </w:r>
  </w:p>
  <w:p w14:paraId="5CEBF666" w14:textId="77777777" w:rsidR="007C6923" w:rsidRDefault="000866B3">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D48FC"/>
    <w:multiLevelType w:val="hybridMultilevel"/>
    <w:tmpl w:val="651096F6"/>
    <w:lvl w:ilvl="0" w:tplc="CF0CA810">
      <w:start w:val="1"/>
      <w:numFmt w:val="lowerLetter"/>
      <w:lvlText w:val="%1)"/>
      <w:lvlJc w:val="left"/>
      <w:pPr>
        <w:ind w:left="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FCACDE4">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4DBA62B0">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4E5CA826">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2F85128">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EDA2FEA0">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1AE57A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97C272A">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03E82256">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16cid:durableId="1021934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923"/>
    <w:rsid w:val="000866B3"/>
    <w:rsid w:val="001A6516"/>
    <w:rsid w:val="0036375C"/>
    <w:rsid w:val="005F55EE"/>
    <w:rsid w:val="007C6923"/>
    <w:rsid w:val="009E747C"/>
    <w:rsid w:val="00D539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5DB4D"/>
  <w15:docId w15:val="{8EF0F00D-32A7-470F-9C86-D97C07E8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u-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4" w:lineRule="auto"/>
      <w:ind w:left="10" w:hanging="10"/>
      <w:jc w:val="both"/>
    </w:pPr>
    <w:rPr>
      <w:rFonts w:ascii="Arial" w:eastAsia="Arial" w:hAnsi="Arial" w:cs="Arial"/>
      <w:color w:val="000000"/>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7"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2876</Words>
  <Characters>15819</Characters>
  <Application>Microsoft Office Word</Application>
  <DocSecurity>0</DocSecurity>
  <Lines>131</Lines>
  <Paragraphs>37</Paragraphs>
  <ScaleCrop>false</ScaleCrop>
  <Company>Hewlett-Packard Company</Company>
  <LinksUpToDate>false</LinksUpToDate>
  <CharactersWithSpaces>18658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Martin Cestao, Nerea</cp:lastModifiedBy>
  <cp:revision>5</cp:revision>
  <dcterms:created xsi:type="dcterms:W3CDTF">2024-07-29T07:18:00Z</dcterms:created>
  <dcterms:modified xsi:type="dcterms:W3CDTF">2024-09-18T09:33:00Z</dcterms:modified>
</cp:coreProperties>
</file>