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EFB0" w14:textId="253E752A" w:rsidR="004B2528" w:rsidRPr="00060BE9" w:rsidRDefault="004B2528" w:rsidP="004B2528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>24PES-355</w:t>
      </w:r>
    </w:p>
    <w:p w14:paraId="6BCD25EF" w14:textId="29F55737" w:rsidR="004B2528" w:rsidRPr="00060BE9" w:rsidRDefault="002C2B49" w:rsidP="004B2528">
      <w:pPr>
        <w:pStyle w:val="Style"/>
        <w:spacing w:before="100" w:beforeAutospacing="1" w:after="200" w:line="276" w:lineRule="auto"/>
        <w:ind w:leftChars="321"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En relación con la pregunta para su contestación por escrito (PES-00355) formulada por la </w:t>
      </w:r>
      <w:r w:rsidR="004B2528" w:rsidRPr="00060BE9">
        <w:rPr>
          <w:rFonts w:ascii="Calibri" w:eastAsia="Arial" w:hAnsi="Calibri" w:cs="Calibri"/>
          <w:sz w:val="22"/>
          <w:szCs w:val="22"/>
        </w:rPr>
        <w:t>Il</w:t>
      </w:r>
      <w:r w:rsidRPr="00060BE9">
        <w:rPr>
          <w:rFonts w:ascii="Calibri" w:eastAsia="Arial" w:hAnsi="Calibri" w:cs="Calibri"/>
          <w:sz w:val="22"/>
          <w:szCs w:val="22"/>
        </w:rPr>
        <w:t>ma. Sra. D</w:t>
      </w:r>
      <w:r w:rsidR="004B2528" w:rsidRPr="00060BE9">
        <w:rPr>
          <w:rFonts w:ascii="Calibri" w:eastAsia="Arial" w:hAnsi="Calibri" w:cs="Calibri"/>
          <w:sz w:val="22"/>
          <w:szCs w:val="22"/>
        </w:rPr>
        <w:t>.ª</w:t>
      </w:r>
      <w:r w:rsidRPr="00060BE9">
        <w:rPr>
          <w:rFonts w:ascii="Calibri" w:eastAsia="Arial" w:hAnsi="Calibri" w:cs="Calibri"/>
          <w:i/>
          <w:iCs/>
          <w:w w:val="73"/>
          <w:sz w:val="22"/>
          <w:szCs w:val="22"/>
        </w:rPr>
        <w:t xml:space="preserve"> </w:t>
      </w:r>
      <w:r w:rsidRPr="00060BE9">
        <w:rPr>
          <w:rFonts w:ascii="Calibri" w:eastAsia="Arial" w:hAnsi="Calibri" w:cs="Calibri"/>
          <w:sz w:val="22"/>
          <w:szCs w:val="22"/>
        </w:rPr>
        <w:t>Cristina López Mañero, Parlamentaria Foral adscrita al Grupo Parlamentario de Unión del Pueblo Navarro</w:t>
      </w:r>
      <w:r w:rsidR="004B2528" w:rsidRPr="00060BE9">
        <w:rPr>
          <w:rFonts w:ascii="Calibri" w:eastAsia="Arial" w:hAnsi="Calibri" w:cs="Calibri"/>
          <w:sz w:val="22"/>
          <w:szCs w:val="22"/>
        </w:rPr>
        <w:t>.</w:t>
      </w:r>
    </w:p>
    <w:p w14:paraId="05945EA4" w14:textId="65B88D66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En primer lugar, </w:t>
      </w:r>
      <w:r w:rsidR="004B2528" w:rsidRPr="00060BE9">
        <w:rPr>
          <w:rFonts w:ascii="Calibri" w:eastAsia="Arial" w:hAnsi="Calibri" w:cs="Calibri"/>
          <w:sz w:val="22"/>
          <w:szCs w:val="22"/>
        </w:rPr>
        <w:t xml:space="preserve">hay que </w:t>
      </w:r>
      <w:r w:rsidRPr="00060BE9">
        <w:rPr>
          <w:rFonts w:ascii="Calibri" w:eastAsia="Arial" w:hAnsi="Calibri" w:cs="Calibri"/>
          <w:sz w:val="22"/>
          <w:szCs w:val="22"/>
        </w:rPr>
        <w:t xml:space="preserve">señalar que como acertadamente afirma en su última pregunta la regulación de los grupos de interés de la Ley Foral 5/2018, de 17 de mayo, de transparencia, acceso a la información pública y buen gobierno y de la Ley Foral 7 /2018, de 17 de mayo, de creación de la Oficina de Buenas prácticas y anticorrupción genera una serie de dudas sobre quién debe de regular este tema que pueden ocasionar duplicidades y que hacen necesaria o bien una coordinación o bien una modificación legal para aclarar quién debe asumir este cometido. </w:t>
      </w:r>
    </w:p>
    <w:p w14:paraId="0AE83C34" w14:textId="4300648E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Por un lado, el Título IV de la </w:t>
      </w:r>
      <w:r w:rsidR="004B2528" w:rsidRPr="00060BE9">
        <w:rPr>
          <w:rFonts w:ascii="Calibri" w:eastAsia="Arial" w:hAnsi="Calibri" w:cs="Calibri"/>
          <w:sz w:val="22"/>
          <w:szCs w:val="22"/>
        </w:rPr>
        <w:t>l</w:t>
      </w:r>
      <w:r w:rsidRPr="00060BE9">
        <w:rPr>
          <w:rFonts w:ascii="Calibri" w:eastAsia="Arial" w:hAnsi="Calibri" w:cs="Calibri"/>
          <w:sz w:val="22"/>
          <w:szCs w:val="22"/>
        </w:rPr>
        <w:t xml:space="preserve">ey </w:t>
      </w:r>
      <w:r w:rsidR="004B2528" w:rsidRPr="00060BE9">
        <w:rPr>
          <w:rFonts w:ascii="Calibri" w:eastAsia="Arial" w:hAnsi="Calibri" w:cs="Calibri"/>
          <w:sz w:val="22"/>
          <w:szCs w:val="22"/>
        </w:rPr>
        <w:t>f</w:t>
      </w:r>
      <w:r w:rsidRPr="00060BE9">
        <w:rPr>
          <w:rFonts w:ascii="Calibri" w:eastAsia="Arial" w:hAnsi="Calibri" w:cs="Calibri"/>
          <w:sz w:val="22"/>
          <w:szCs w:val="22"/>
        </w:rPr>
        <w:t xml:space="preserve">oral define los grupos de interés, establece crear un registro público para ellos, reglamentar la clasificación de las personas y organizaciones a inscribirse y la información requerida, e impone un código de conducta cuyo incumplimiento viene tipificado en el régimen sancionador. </w:t>
      </w:r>
    </w:p>
    <w:p w14:paraId="4690168D" w14:textId="09913C81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>Por su parte, la Disposición Transitoria Primera de la Ley Foral 7 /2018, de 17 de mayo, de creación de la Oficina de Buenas Prácticas y Anticorrupción establece que la regulación de la actividad de los lobbies y la creación de su registro y Código de conducta se inspirará en la establecida en el Título I</w:t>
      </w:r>
      <w:r w:rsidR="004B2528" w:rsidRPr="00060BE9">
        <w:rPr>
          <w:rFonts w:ascii="Calibri" w:eastAsia="Arial" w:hAnsi="Calibri" w:cs="Calibri"/>
          <w:sz w:val="22"/>
          <w:szCs w:val="22"/>
        </w:rPr>
        <w:t xml:space="preserve">V </w:t>
      </w:r>
      <w:r w:rsidRPr="00060BE9">
        <w:rPr>
          <w:rFonts w:ascii="Calibri" w:eastAsia="Arial" w:hAnsi="Calibri" w:cs="Calibri"/>
          <w:sz w:val="22"/>
          <w:szCs w:val="22"/>
        </w:rPr>
        <w:t xml:space="preserve">(Grupos de interés) de la Ley Foral de Transparencia, acceso al información pública y buen gobierno, que será de aplicación hasta tanto se apruebe una regulación de la actividad de lobbies y lobistas. </w:t>
      </w:r>
    </w:p>
    <w:p w14:paraId="32EECDA6" w14:textId="77777777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El Servicio de Gobierno Abierto y Atención a la Ciudadanía de la Dirección General de Presidencia y Gobierno Abierto puso en marcha una consulta pública previa con objeto recabar la opinión de la ciudadanía y organizaciones representativas que potencialmente pudieran verse afectadas por el nuevo decreto foral regulador del registro público de los grupos de interés de la Comunidad Foral de Navarra. </w:t>
      </w:r>
    </w:p>
    <w:p w14:paraId="4EF8C716" w14:textId="77777777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Tras la consulta se está a la espera de proceder a la alineación y coordinación con la Ley Foral 7 /2018, de 17 de mayo, de creación de la Oficina de Buenas Prácticas y Anticorrupción de la Comunidad Foral de Navarra, cuya implementación ha sido efectiva en 2023. </w:t>
      </w:r>
    </w:p>
    <w:p w14:paraId="7D6AEEA8" w14:textId="77777777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En aras de la eficacia, se ha considerado conveniente desarrollar un único registro de grupos de interés de forma coordinada, dando cumplimiento a lo dispuesto en el artículo 47 de la Ley Foral, y extendiendo el registro a las entidades locales que con población superior a 5.000 habitantes así lo deseen mediante la formalización del correspondiente convenio. </w:t>
      </w:r>
    </w:p>
    <w:p w14:paraId="1FF41E32" w14:textId="38FA8271" w:rsidR="00F70C43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Toda esta información se hizo pública por el Departamento de Presidencia e Igualdad con la publicación de la evaluación de la Ley Foral 5/2018, de 17 de mayo, de transparencia, acceso a la información pública y buen gobierno, publicada en el Portal de Gobierno Abierto del Gobierno de Navarra y remitido al Parlamento de Navarra para su conocimiento. </w:t>
      </w:r>
    </w:p>
    <w:p w14:paraId="1DD4776A" w14:textId="77777777" w:rsidR="004B2528" w:rsidRPr="00060BE9" w:rsidRDefault="002C2B49" w:rsidP="004B2528">
      <w:pPr>
        <w:pStyle w:val="Style"/>
        <w:spacing w:before="100" w:beforeAutospacing="1" w:after="200" w:line="276" w:lineRule="auto"/>
        <w:ind w:left="706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 xml:space="preserve">Otra opción, como ya se ha adelantado, sería la de utilizar la modificación de la Ley Foral 5/2018, de 17 de mayo, de transparencia, acceso a la información pública y buen gobierno, que ya se está tramitando por el Gobierno de Navarra, para corregir esta duplicidad estableciendo claramente cuál será el papel en este ámbito del Gobierno de Navarra y cual el de la Oficina de Buenas Prácticas y Anticorrupción. </w:t>
      </w:r>
    </w:p>
    <w:p w14:paraId="5FD7CF88" w14:textId="0A52996C" w:rsidR="004B2528" w:rsidRPr="00060BE9" w:rsidRDefault="004B2528" w:rsidP="004B2528">
      <w:pPr>
        <w:pStyle w:val="Style"/>
        <w:spacing w:before="100" w:beforeAutospacing="1" w:after="200" w:line="276" w:lineRule="auto"/>
        <w:ind w:left="706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>E</w:t>
      </w:r>
      <w:r w:rsidR="002C2B49" w:rsidRPr="00060BE9">
        <w:rPr>
          <w:rFonts w:ascii="Calibri" w:eastAsia="Arial" w:hAnsi="Calibri" w:cs="Calibri"/>
          <w:sz w:val="22"/>
          <w:szCs w:val="22"/>
        </w:rPr>
        <w:t xml:space="preserve">s cuanto tengo el honor de informar en cumplimiento de lo dispuesto en el artículo 215 del Reglamento del Parlamento de Navarra. </w:t>
      </w:r>
    </w:p>
    <w:p w14:paraId="4476D26A" w14:textId="77777777" w:rsidR="004B2528" w:rsidRPr="00060BE9" w:rsidRDefault="002C2B49" w:rsidP="004B2528">
      <w:pPr>
        <w:pStyle w:val="Style"/>
        <w:spacing w:before="100" w:beforeAutospacing="1" w:after="200" w:line="276" w:lineRule="auto"/>
        <w:ind w:leftChars="321" w:left="706" w:rightChars="567" w:right="1247"/>
        <w:jc w:val="center"/>
        <w:textAlignment w:val="baseline"/>
        <w:rPr>
          <w:rFonts w:ascii="Calibri" w:eastAsia="Arial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lastRenderedPageBreak/>
        <w:t>Pamplona-lruñea, 25 de septiembre de 2024</w:t>
      </w:r>
    </w:p>
    <w:p w14:paraId="73F04016" w14:textId="60DC8B4A" w:rsidR="00F70C43" w:rsidRPr="00060BE9" w:rsidRDefault="004B2528" w:rsidP="004B2528">
      <w:pPr>
        <w:pStyle w:val="Style"/>
        <w:spacing w:before="100" w:beforeAutospacing="1" w:after="200" w:line="276" w:lineRule="auto"/>
        <w:ind w:leftChars="321" w:left="706" w:rightChars="567" w:right="1247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060BE9">
        <w:rPr>
          <w:rFonts w:ascii="Calibri" w:eastAsia="Arial" w:hAnsi="Calibri" w:cs="Calibri"/>
          <w:sz w:val="22"/>
          <w:szCs w:val="22"/>
        </w:rPr>
        <w:t>El Consejero de Presidencia e Igualdad:</w:t>
      </w:r>
      <w:r w:rsidR="002C2B49" w:rsidRPr="00060BE9">
        <w:rPr>
          <w:rFonts w:ascii="Calibri" w:eastAsia="Arial" w:hAnsi="Calibri" w:cs="Calibri"/>
          <w:sz w:val="22"/>
          <w:szCs w:val="22"/>
        </w:rPr>
        <w:t xml:space="preserve"> Félix Taberna Monzón </w:t>
      </w:r>
    </w:p>
    <w:sectPr w:rsidR="00F70C43" w:rsidRPr="00060BE9" w:rsidSect="004B252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D57"/>
    <w:multiLevelType w:val="singleLevel"/>
    <w:tmpl w:val="812C188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2F093073"/>
    <w:multiLevelType w:val="singleLevel"/>
    <w:tmpl w:val="CE620A7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767B11E3"/>
    <w:multiLevelType w:val="singleLevel"/>
    <w:tmpl w:val="B67E949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num w:numId="1" w16cid:durableId="158155447">
    <w:abstractNumId w:val="2"/>
  </w:num>
  <w:num w:numId="2" w16cid:durableId="270472976">
    <w:abstractNumId w:val="0"/>
  </w:num>
  <w:num w:numId="3" w16cid:durableId="101484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43"/>
    <w:rsid w:val="00060BE9"/>
    <w:rsid w:val="001A08A6"/>
    <w:rsid w:val="00271A64"/>
    <w:rsid w:val="002C2B49"/>
    <w:rsid w:val="004B2528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0D07"/>
  <w15:docId w15:val="{8199C936-A9DF-498E-A611-FABABC2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3074</Characters>
  <Application>Microsoft Office Word</Application>
  <DocSecurity>0</DocSecurity>
  <Lines>25</Lines>
  <Paragraphs>7</Paragraphs>
  <ScaleCrop>false</ScaleCrop>
  <Company>HP Inc.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24PES-355</dc:title>
  <dc:creator>informatica</dc:creator>
  <cp:keywords>CreatedByIRIS_Readiris_17.0</cp:keywords>
  <cp:lastModifiedBy>Mauleón, Fernando</cp:lastModifiedBy>
  <cp:revision>4</cp:revision>
  <dcterms:created xsi:type="dcterms:W3CDTF">2024-10-01T09:39:00Z</dcterms:created>
  <dcterms:modified xsi:type="dcterms:W3CDTF">2024-10-22T09:55:00Z</dcterms:modified>
</cp:coreProperties>
</file>