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FEFB0" w14:textId="253E752A" w:rsidR="004B2528" w:rsidRDefault="004B2528" w:rsidP="004B2528">
      <w:pPr>
        <w:pStyle w:val="Style"/>
        <w:spacing w:before="100" w:beforeAutospacing="1" w:after="200" w:line="276" w:lineRule="auto"/>
        <w:ind w:rightChars="567" w:right="1247" w:firstLine="708"/>
        <w:jc w:val="both"/>
        <w:textAlignment w:val="baseline"/>
        <w:rPr>
          <w:sz w:val="16"/>
          <w:szCs w:val="16"/>
          <w:rFonts w:ascii="Arial" w:eastAsia="Arial" w:hAnsi="Arial" w:cs="Arial"/>
        </w:rPr>
      </w:pPr>
      <w:r>
        <w:rPr>
          <w:sz w:val="16"/>
          <w:rFonts w:ascii="Arial" w:hAnsi="Arial"/>
        </w:rPr>
        <w:t xml:space="preserve">24PES-355</w:t>
      </w:r>
    </w:p>
    <w:p w14:paraId="6BCD25EF" w14:textId="29F55737" w:rsidR="004B2528" w:rsidRDefault="002C2B49" w:rsidP="004B2528">
      <w:pPr>
        <w:pStyle w:val="Style"/>
        <w:spacing w:before="100" w:beforeAutospacing="1" w:after="200" w:line="276" w:lineRule="auto"/>
        <w:ind w:leftChars="321" w:left="706" w:rightChars="567" w:right="1247"/>
        <w:jc w:val="both"/>
        <w:textAlignment w:val="baseline"/>
      </w:pPr>
      <w:r>
        <w:rPr>
          <w:rFonts w:ascii="Arial" w:hAnsi="Arial"/>
        </w:rPr>
        <w:t xml:space="preserve">Unión del Pueblo Navarro talde parlamentarioari atxikitako foru parlamentari Cristina López Mañero andreak PES-00355 galdera egin du idatziz erantzun dakion. Hona hemen horri buruz ematen den informazioa:</w:t>
      </w:r>
    </w:p>
    <w:p w14:paraId="05945EA4" w14:textId="65B88D66" w:rsidR="004B2528" w:rsidRDefault="002C2B49" w:rsidP="004B2528">
      <w:pPr>
        <w:pStyle w:val="Style"/>
        <w:spacing w:before="100" w:beforeAutospacing="1" w:after="200" w:line="276" w:lineRule="auto"/>
        <w:ind w:left="706" w:rightChars="567" w:right="1247"/>
        <w:jc w:val="both"/>
        <w:textAlignment w:val="baseline"/>
      </w:pPr>
      <w:r>
        <w:rPr>
          <w:sz w:val="16"/>
          <w:rFonts w:ascii="Arial" w:hAnsi="Arial"/>
        </w:rPr>
        <w:t xml:space="preserve">Lehenik eta behin adierazi behar da, azken galderan zuzen azpimarratu duzunez, Gardentasunari, informazio publikoa eskuratzeari eta gobernu onari buruzko maiatzaren 17ko 5/2018 Foru Legearen eta Nafarroako Foru Komunitateko jardunbide egokien aldeko eta ustelkeriaren kontrako Bulegoa sortzeko maiatzaren 17ko 7/2018 Foru legearen intereseko taldeen erregulazioak zenbait zalantza sortzen dituela gai hori erregulatu behar duenaren inguruan; zalantza horiek bikoiztasuna eragiten ahal dute eta beharrezkoa da koordinatzea edota legea aldatzea argitzeko zeinek hartu behar duen bere gain zeregin hori.</w:t>
      </w:r>
      <w:r>
        <w:rPr>
          <w:sz w:val="16"/>
          <w:rFonts w:ascii="Arial" w:hAnsi="Arial"/>
        </w:rPr>
        <w:t xml:space="preserve"> </w:t>
      </w:r>
    </w:p>
    <w:p w14:paraId="0AE83C34" w14:textId="4300648E" w:rsidR="004B2528" w:rsidRDefault="002C2B49" w:rsidP="004B2528">
      <w:pPr>
        <w:pStyle w:val="Style"/>
        <w:spacing w:before="100" w:beforeAutospacing="1" w:after="200" w:line="276" w:lineRule="auto"/>
        <w:ind w:left="706" w:rightChars="567" w:right="1247"/>
        <w:jc w:val="both"/>
        <w:textAlignment w:val="baseline"/>
      </w:pPr>
      <w:r>
        <w:rPr>
          <w:sz w:val="16"/>
          <w:rFonts w:ascii="Arial" w:hAnsi="Arial"/>
        </w:rPr>
        <w:t xml:space="preserve">Alde batetik, foru legearen IV. tituluak interes taldeak definitzen ditu, eta ezartzen du horietarako erregistro publiko bat sortuko dela, izena eman beharreko pertsona eta erakundeen sailkapena  eta eskatutako informazioa arautuko direla eta jardunbide kode bat ezarriko dela. Hori ez betetzearen ondorioak zehapen araubidean daude tipifikatuta.</w:t>
      </w:r>
      <w:r>
        <w:rPr>
          <w:sz w:val="16"/>
          <w:rFonts w:ascii="Arial" w:hAnsi="Arial"/>
        </w:rPr>
        <w:t xml:space="preserve"> </w:t>
      </w:r>
    </w:p>
    <w:p w14:paraId="4690168D" w14:textId="09913C81" w:rsidR="004B2528" w:rsidRPr="004B2528" w:rsidRDefault="002C2B49" w:rsidP="004B2528">
      <w:pPr>
        <w:pStyle w:val="Style"/>
        <w:spacing w:before="100" w:beforeAutospacing="1" w:after="200" w:line="276" w:lineRule="auto"/>
        <w:ind w:left="706" w:rightChars="567" w:right="1247"/>
        <w:jc w:val="both"/>
        <w:textAlignment w:val="baseline"/>
        <w:rPr>
          <w:sz w:val="16"/>
          <w:szCs w:val="16"/>
          <w:rFonts w:ascii="Arial" w:eastAsia="Arial" w:hAnsi="Arial" w:cs="Arial"/>
        </w:rPr>
      </w:pPr>
      <w:r>
        <w:rPr>
          <w:sz w:val="16"/>
          <w:rFonts w:ascii="Arial" w:hAnsi="Arial"/>
        </w:rPr>
        <w:t xml:space="preserve">Bestalde, Nafarroako Foru Komunitateko jardunbide egokien aldeko eta ustelkeriaren kontrako Bulegoa sortzeko maiatzaren 17ko 7/2018 Foru Legearen lehenbiziko xedapen iragankorrak ezartzen duenez, lobbyen jarduera arautzeko eta haien erregistroa eta jokabide kodea sortzeko, aintzat hartuko da Gardentasunari, informazio publikoa eskuratzeari eta gobernu onari buruzko Foru Legearen IV. Tituluan (Interes taldeak) ezarritakoa, eta araudi hori izanen da aplikatuko dena lobbyen eta lobbyzaleen jardunari buruzko araudi bat onetsi bitartean.</w:t>
      </w:r>
      <w:r>
        <w:rPr>
          <w:sz w:val="16"/>
          <w:rFonts w:ascii="Arial" w:hAnsi="Arial"/>
        </w:rPr>
        <w:t xml:space="preserve"> </w:t>
      </w:r>
    </w:p>
    <w:p w14:paraId="32EECDA6" w14:textId="77777777" w:rsidR="004B2528" w:rsidRDefault="002C2B49" w:rsidP="004B2528">
      <w:pPr>
        <w:pStyle w:val="Style"/>
        <w:spacing w:before="100" w:beforeAutospacing="1" w:after="200" w:line="276" w:lineRule="auto"/>
        <w:ind w:left="706" w:rightChars="567" w:right="1247"/>
        <w:jc w:val="both"/>
        <w:textAlignment w:val="baseline"/>
      </w:pPr>
      <w:r>
        <w:rPr>
          <w:sz w:val="16"/>
          <w:rFonts w:ascii="Arial" w:hAnsi="Arial"/>
        </w:rPr>
        <w:t xml:space="preserve">Lehendakaritzako eta Gobernu Irekiko Zuzendaritza Nagusiaren Gobernu Irekiaren eta Herritarrentzako Arretaren Zerbitzuak aldez aurreko kontsulta bat jarri zuen martxan Nafarroako Foru Komunitatearen interes taldeen erregistro publikoa arautzeko foru dekretu berriaren eraginak jasaten ahal zituzten erakunde esanguratsuen eta herritarren iritziak biltzeko.</w:t>
      </w:r>
      <w:r>
        <w:rPr>
          <w:sz w:val="16"/>
          <w:rFonts w:ascii="Arial" w:hAnsi="Arial"/>
        </w:rPr>
        <w:t xml:space="preserve"> </w:t>
      </w:r>
    </w:p>
    <w:p w14:paraId="4EF8C716" w14:textId="77777777" w:rsidR="004B2528" w:rsidRDefault="002C2B49" w:rsidP="004B2528">
      <w:pPr>
        <w:pStyle w:val="Style"/>
        <w:spacing w:before="100" w:beforeAutospacing="1" w:after="200" w:line="276" w:lineRule="auto"/>
        <w:ind w:left="706" w:rightChars="567" w:right="1247"/>
        <w:jc w:val="both"/>
        <w:textAlignment w:val="baseline"/>
      </w:pPr>
      <w:r>
        <w:rPr>
          <w:sz w:val="16"/>
          <w:rFonts w:ascii="Arial" w:hAnsi="Arial"/>
        </w:rPr>
        <w:t xml:space="preserve">Kontsulta egin ostean, Nafarroako Foru Komunitateko Jardunbide Egokien Aldeko eta Ustelkeriaren Kontrako Bulegoa sortzeko maiatzaren 17ko 7/2018 Foru Legearekin lerrokatzeko eta koordinatzeko zain gaude. Lege hori 2023an ezarri da azkenean.</w:t>
      </w:r>
      <w:r>
        <w:rPr>
          <w:sz w:val="16"/>
          <w:rFonts w:ascii="Arial" w:hAnsi="Arial"/>
        </w:rPr>
        <w:t xml:space="preserve"> </w:t>
      </w:r>
    </w:p>
    <w:p w14:paraId="7D6AEEA8" w14:textId="77777777" w:rsidR="004B2528" w:rsidRDefault="002C2B49" w:rsidP="004B2528">
      <w:pPr>
        <w:pStyle w:val="Style"/>
        <w:spacing w:before="100" w:beforeAutospacing="1" w:after="200" w:line="276" w:lineRule="auto"/>
        <w:ind w:left="706" w:rightChars="567" w:right="1247"/>
        <w:jc w:val="both"/>
        <w:textAlignment w:val="baseline"/>
      </w:pPr>
      <w:r>
        <w:rPr>
          <w:sz w:val="16"/>
          <w:rFonts w:ascii="Arial" w:hAnsi="Arial"/>
        </w:rPr>
        <w:t xml:space="preserve">Efikaziaren mesedetan, egokitzat jo da interes taldeen erregistro bakar bat garatzea modu koordinatuan, Foru Legearen 47. artikuluan xedatutakoa betetze aldera. Erregistroa zabalduko zaie 5.000 biztanle baino gehiago dituzten eta nahi duten herrietako toki erakundeei, horretarako hitzarmena formalizatuta.</w:t>
      </w:r>
      <w:r>
        <w:rPr>
          <w:sz w:val="16"/>
          <w:rFonts w:ascii="Arial" w:hAnsi="Arial"/>
        </w:rPr>
        <w:t xml:space="preserve"> </w:t>
      </w:r>
    </w:p>
    <w:p w14:paraId="1FF41E32" w14:textId="38FA8271" w:rsidR="00F70C43" w:rsidRDefault="002C2B49" w:rsidP="004B2528">
      <w:pPr>
        <w:pStyle w:val="Style"/>
        <w:spacing w:before="100" w:beforeAutospacing="1" w:after="200" w:line="276" w:lineRule="auto"/>
        <w:ind w:left="706" w:rightChars="567" w:right="1247"/>
        <w:jc w:val="both"/>
        <w:textAlignment w:val="baseline"/>
      </w:pPr>
      <w:r>
        <w:rPr>
          <w:sz w:val="16"/>
          <w:rFonts w:ascii="Arial" w:hAnsi="Arial"/>
        </w:rPr>
        <w:t xml:space="preserve">Lehendakaritza eta Berdintasun Departamentuak informazio hori guztia ezagutzera eman zuen Gardentasunari, informazio publikoa eskuratzeari eta gobernu onari buruzko maiatzaren 17ko 5/2018 Foru Legearen ebaluazioa argitaratu zuenean Nafarroako Gobernuaren Gobernu Irekiaren Atarian, eta Nafarroako Parlamentuari ere helarazi zion.</w:t>
      </w:r>
      <w:r>
        <w:rPr>
          <w:sz w:val="16"/>
          <w:rFonts w:ascii="Arial" w:hAnsi="Arial"/>
        </w:rPr>
        <w:t xml:space="preserve"> </w:t>
      </w:r>
    </w:p>
    <w:p w14:paraId="1DD4776A" w14:textId="77777777" w:rsidR="004B2528" w:rsidRDefault="002C2B49" w:rsidP="004B2528">
      <w:pPr>
        <w:pStyle w:val="Style"/>
        <w:spacing w:before="100" w:beforeAutospacing="1" w:after="200" w:line="276" w:lineRule="auto"/>
        <w:ind w:left="706" w:rightChars="567" w:right="1247"/>
        <w:jc w:val="both"/>
        <w:textAlignment w:val="baseline"/>
        <w:rPr>
          <w:sz w:val="16"/>
          <w:szCs w:val="16"/>
          <w:rFonts w:ascii="Arial" w:eastAsia="Arial" w:hAnsi="Arial" w:cs="Arial"/>
        </w:rPr>
      </w:pPr>
      <w:r>
        <w:rPr>
          <w:sz w:val="16"/>
          <w:rFonts w:ascii="Arial" w:hAnsi="Arial"/>
        </w:rPr>
        <w:t xml:space="preserve">Jadanik aurreratu denez, beste aukera bat da Gardentasunari, informazio publikoa eskuratzeari eta gobernu onari buruzko maiatzaren 17ko 5/2018 Foru Legearen aldaketa erabiltzea bikoiztasun hori zuzentzeko eta argi eta garbi ezartzeko Nafarroako Gobernuak zer rol izanen duen esparru horretan eta zein, ordea, Jardunbide Egokien eta Ustelkeriaren aurkako Bulegoak. Nafarroako Gobernua jadanik ari da aldaketa hori izapidetzen.</w:t>
      </w:r>
      <w:r>
        <w:rPr>
          <w:sz w:val="16"/>
          <w:rFonts w:ascii="Arial" w:hAnsi="Arial"/>
        </w:rPr>
        <w:t xml:space="preserve"> </w:t>
      </w:r>
    </w:p>
    <w:p w14:paraId="5FD7CF88" w14:textId="0A52996C" w:rsidR="004B2528" w:rsidRDefault="004B2528" w:rsidP="004B2528">
      <w:pPr>
        <w:pStyle w:val="Style"/>
        <w:spacing w:before="100" w:beforeAutospacing="1" w:after="200" w:line="276" w:lineRule="auto"/>
        <w:ind w:left="706" w:rightChars="567" w:right="1247"/>
        <w:textAlignment w:val="baseline"/>
      </w:pPr>
      <w:r>
        <w:rPr>
          <w:sz w:val="16"/>
          <w:rFonts w:ascii="Arial" w:hAnsi="Arial"/>
        </w:rPr>
        <w:t xml:space="preserve">Hori guztia jakinarazten dut, Nafarroako Parlamentuko Erregelamenduaren 215. artikuluan xedatutakoa betez.</w:t>
      </w:r>
      <w:r>
        <w:rPr>
          <w:sz w:val="16"/>
          <w:rFonts w:ascii="Arial" w:hAnsi="Arial"/>
        </w:rPr>
        <w:t xml:space="preserve"> </w:t>
      </w:r>
    </w:p>
    <w:p w14:paraId="4476D26A" w14:textId="77777777" w:rsidR="004B2528" w:rsidRDefault="002C2B49" w:rsidP="004B2528">
      <w:pPr>
        <w:pStyle w:val="Style"/>
        <w:spacing w:before="100" w:beforeAutospacing="1" w:after="200" w:line="276" w:lineRule="auto"/>
        <w:ind w:leftChars="321" w:left="706" w:rightChars="567" w:right="1247"/>
        <w:jc w:val="center"/>
        <w:textAlignment w:val="baseline"/>
        <w:rPr>
          <w:sz w:val="16"/>
          <w:szCs w:val="16"/>
          <w:rFonts w:ascii="Arial" w:eastAsia="Arial" w:hAnsi="Arial" w:cs="Arial"/>
        </w:rPr>
      </w:pPr>
      <w:r>
        <w:rPr>
          <w:sz w:val="16"/>
          <w:rFonts w:ascii="Arial" w:hAnsi="Arial"/>
        </w:rPr>
        <w:t xml:space="preserve">Iruñean, 2024ko irailaren 25ean</w:t>
      </w:r>
    </w:p>
    <w:p w14:paraId="73F04016" w14:textId="60DC8B4A" w:rsidR="00F70C43" w:rsidRDefault="004B2528" w:rsidP="004B2528">
      <w:pPr>
        <w:pStyle w:val="Style"/>
        <w:spacing w:before="100" w:beforeAutospacing="1" w:after="200" w:line="276" w:lineRule="auto"/>
        <w:ind w:leftChars="321" w:left="706" w:rightChars="567" w:right="1247"/>
        <w:jc w:val="center"/>
        <w:textAlignment w:val="baseline"/>
      </w:pPr>
      <w:r>
        <w:rPr>
          <w:sz w:val="16"/>
          <w:rFonts w:ascii="Arial" w:hAnsi="Arial"/>
        </w:rPr>
        <w:t xml:space="preserve">Lehendakaritzako eta Berdintasuneko kontseilaria:</w:t>
      </w:r>
      <w:r>
        <w:rPr>
          <w:sz w:val="16"/>
          <w:rFonts w:ascii="Arial" w:hAnsi="Arial"/>
        </w:rPr>
        <w:t xml:space="preserve"> </w:t>
      </w:r>
      <w:r>
        <w:rPr>
          <w:sz w:val="16"/>
          <w:rFonts w:ascii="Arial" w:hAnsi="Arial"/>
        </w:rPr>
        <w:t xml:space="preserve">Félix Taberna Monzón</w:t>
      </w:r>
      <w:r>
        <w:rPr>
          <w:sz w:val="16"/>
          <w:rFonts w:ascii="Arial" w:hAnsi="Arial"/>
        </w:rPr>
        <w:t xml:space="preserve"> </w:t>
      </w:r>
    </w:p>
    <w:sectPr w:rsidR="00F70C43" w:rsidSect="004B252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54D57"/>
    <w:multiLevelType w:val="singleLevel"/>
    <w:tmpl w:val="812C1888"/>
    <w:lvl w:ilvl="0">
      <w:numFmt w:val="bullet"/>
      <w:lvlText w:val=""/>
      <w:legacy w:legacy="1" w:legacySpace="0" w:legacyIndent="0"/>
      <w:lvlJc w:val="left"/>
      <w:rPr>
        <w:rFonts w:ascii="Symbol" w:hAnsi="Symbol" w:cs="Symbol" w:hint="default"/>
        <w:sz w:val="16"/>
        <w:szCs w:val="16"/>
      </w:rPr>
    </w:lvl>
  </w:abstractNum>
  <w:abstractNum w:abstractNumId="1" w15:restartNumberingAfterBreak="0">
    <w:nsid w:val="2F093073"/>
    <w:multiLevelType w:val="singleLevel"/>
    <w:tmpl w:val="CE620A7E"/>
    <w:lvl w:ilvl="0">
      <w:numFmt w:val="bullet"/>
      <w:lvlText w:val=""/>
      <w:legacy w:legacy="1" w:legacySpace="0" w:legacyIndent="0"/>
      <w:lvlJc w:val="left"/>
      <w:rPr>
        <w:rFonts w:ascii="Symbol" w:hAnsi="Symbol" w:cs="Symbol" w:hint="default"/>
        <w:sz w:val="16"/>
        <w:szCs w:val="16"/>
      </w:rPr>
    </w:lvl>
  </w:abstractNum>
  <w:abstractNum w:abstractNumId="2" w15:restartNumberingAfterBreak="0">
    <w:nsid w:val="767B11E3"/>
    <w:multiLevelType w:val="singleLevel"/>
    <w:tmpl w:val="B67E949C"/>
    <w:lvl w:ilvl="0">
      <w:numFmt w:val="bullet"/>
      <w:lvlText w:val=""/>
      <w:legacy w:legacy="1" w:legacySpace="0" w:legacyIndent="0"/>
      <w:lvlJc w:val="left"/>
      <w:rPr>
        <w:rFonts w:ascii="Symbol" w:hAnsi="Symbol" w:cs="Symbol" w:hint="default"/>
        <w:sz w:val="16"/>
        <w:szCs w:val="16"/>
      </w:rPr>
    </w:lvl>
  </w:abstractNum>
  <w:num w:numId="1" w16cid:durableId="158155447">
    <w:abstractNumId w:val="2"/>
  </w:num>
  <w:num w:numId="2" w16cid:durableId="270472976">
    <w:abstractNumId w:val="0"/>
  </w:num>
  <w:num w:numId="3" w16cid:durableId="101484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70C43"/>
    <w:rsid w:val="001A08A6"/>
    <w:rsid w:val="002C2B49"/>
    <w:rsid w:val="004B2528"/>
    <w:rsid w:val="00F70C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0D07"/>
  <w15:docId w15:val="{8199C936-A9DF-498E-A611-FABABC26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558</Words>
  <Characters>3074</Characters>
  <Application>Microsoft Office Word</Application>
  <DocSecurity>0</DocSecurity>
  <Lines>25</Lines>
  <Paragraphs>7</Paragraphs>
  <ScaleCrop>false</ScaleCrop>
  <Company>HP Inc.</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24PES-355</dc:title>
  <dc:creator>informatica</dc:creator>
  <cp:keywords>CreatedByIRIS_Readiris_17.0</cp:keywords>
  <cp:lastModifiedBy>Mauleón, Fernando</cp:lastModifiedBy>
  <cp:revision>3</cp:revision>
  <dcterms:created xsi:type="dcterms:W3CDTF">2024-10-01T09:39:00Z</dcterms:created>
  <dcterms:modified xsi:type="dcterms:W3CDTF">2024-10-01T09:46:00Z</dcterms:modified>
</cp:coreProperties>
</file>