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E526" w14:textId="639E71BA" w:rsid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25PES-20</w:t>
      </w:r>
    </w:p>
    <w:p w14:paraId="3846A474" w14:textId="7FCE3293"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EH Bildu Nafarroa talde parlamentarioko kide Adolfo Araiz Flamariquek honako galdera hauek aurkezten dizkio Legebiltzarreko Mahaiari, izapidetu ditzan eta idatziz erantzun dakizkion:</w:t>
      </w:r>
    </w:p>
    <w:p w14:paraId="0861EF04" w14:textId="59025F1D"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Lurralde Kohesiorako kontseilariaren azaroaren 11ko 104/2024 Foru Aginduaren bidez aldatu zen Lurralde Kohesiorako kontseilariaren azaroaren 17ko 86/2022 Foru Agindua, Lurralde Kohesiorako Departamentuaren egitura organikoa ezartzen duena bulegoen mailan.</w:t>
      </w:r>
    </w:p>
    <w:p w14:paraId="301B2EC4" w14:textId="25DA460F"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Foru agindu horren bidez Lurralde Kohesiorako Departamentuaren egitura organikoa aldatu zen, halako moduan non atal bat sortu baitzen Ekonomia eta Aurrekontu Kudeaketarako eta Gastuaren Kontrolerako Zerbitzuan, eta horren barruan, berriz, honako bulego hau: Nafarroako Ubidearen eta Kontzesio Obren Bulegoa.</w:t>
      </w:r>
    </w:p>
    <w:p w14:paraId="1DDDE587" w14:textId="77777777"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Foru aginduaren bigarren apartatuan ezartzen denez, "burutzak bere mailaren ehuneko 65eko lanpostuko osagarria izanen du"; ez da zehazten, ordea, burutza atal berriarena den ala atalaren barruko Nafarroako Ubidearen eta Kontzesio Obren Bulegoarena.</w:t>
      </w:r>
    </w:p>
    <w:p w14:paraId="64BB3B17" w14:textId="77777777"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Hori dela-eta, honako hau galdetzen dut:</w:t>
      </w:r>
    </w:p>
    <w:p w14:paraId="3578B511" w14:textId="41BE6C9D"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1.- Zerk eraman du departamentua atal eta bulego horiek sortzera?</w:t>
      </w:r>
    </w:p>
    <w:p w14:paraId="7932D84D" w14:textId="4159A198"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2.- Orain arte nork betetzen zituen Nafarroako Ubidearen eta Kontzesio Obren Bulegoari atxiki zaizkion eginkizunak?</w:t>
      </w:r>
    </w:p>
    <w:p w14:paraId="2EA1065F" w14:textId="269926E7"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3.- Bulego horren burutzari zergatik ezarri zaio ehuneko 65eko lanpostuko osagarria?</w:t>
      </w:r>
    </w:p>
    <w:p w14:paraId="727E42D9" w14:textId="5C7627DC"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4.- Foru administrazioan diren bulegoetako zenbat burutzari ezarri zaio ehuneko horretako lanpostuko osagarria?</w:t>
      </w:r>
    </w:p>
    <w:p w14:paraId="70D784F3" w14:textId="3BE408C0"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5.- Ohikoa al da bulegoak sortzen direnean Nafarroako Ubidearen eta Kontzesio Obren Bulegoko burutzari ezarri zaion ehunekoaren moduko lanpostuko osagarriak ezartzea bulegoetako burutzei?</w:t>
      </w:r>
    </w:p>
    <w:p w14:paraId="171463E1" w14:textId="0882CDC5"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6.- Ohikoa ez al da burutzei bateraezintasuneko osagarria (% 35) edo arduraldi esklusibokoa (% 55) aplikatzea, baina inola ere ez % 65eko lanpostuko osagarria?</w:t>
      </w:r>
    </w:p>
    <w:p w14:paraId="04485D1F" w14:textId="268EB9F0"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7.- Burutza bati lanpostuko osagarri hori ezarri aitzin aldeko txostena egin al du Funtzio Publikoko Zuzendaritza Nagusiak?</w:t>
      </w:r>
    </w:p>
    <w:p w14:paraId="67293272" w14:textId="715CFC5D"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8.- Funtzio Publikoko nork justifikatu du lanpostuko osagarri hori ezartzea Nafarroako Ubidearen eta Kontzesio Obren Bulegoari?</w:t>
      </w:r>
    </w:p>
    <w:p w14:paraId="3281247E" w14:textId="77777777" w:rsidR="004A4CEB"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Iruñean, 2025eko urtarrilaren 16an</w:t>
      </w:r>
    </w:p>
    <w:p w14:paraId="6311493A" w14:textId="174A6C08" w:rsidR="00C051F2" w:rsidRPr="00C051F2" w:rsidRDefault="00C051F2" w:rsidP="00C051F2">
      <w:pPr>
        <w:widowControl/>
        <w:autoSpaceDE/>
        <w:autoSpaceDN/>
        <w:spacing w:after="160" w:line="259" w:lineRule="auto"/>
        <w:jc w:val="both"/>
        <w:rPr>
          <w:kern w:val="2"/>
          <w14:ligatures w14:val="standardContextual"/>
          <w:rFonts w:ascii="Calibri" w:eastAsiaTheme="minorHAnsi" w:hAnsi="Calibri" w:cs="Calibri"/>
        </w:rPr>
      </w:pPr>
      <w:r>
        <w:rPr>
          <w:rFonts w:ascii="Calibri" w:hAnsi="Calibri"/>
        </w:rPr>
        <w:t xml:space="preserve">Foru parlamentaria:</w:t>
      </w:r>
      <w:r>
        <w:rPr>
          <w:rFonts w:ascii="Calibri" w:hAnsi="Calibri"/>
        </w:rPr>
        <w:t xml:space="preserve"> </w:t>
      </w:r>
      <w:r>
        <w:rPr>
          <w:rFonts w:ascii="Calibri" w:hAnsi="Calibri"/>
        </w:rPr>
        <w:t xml:space="preserve">Adolfo Araiz Flamarique</w:t>
      </w:r>
    </w:p>
    <w:sectPr w:rsidR="00C051F2" w:rsidRPr="00C051F2" w:rsidSect="00C051F2">
      <w:pgSz w:w="11900" w:h="16840"/>
      <w:pgMar w:top="993" w:right="1268" w:bottom="241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A4CEB"/>
    <w:rsid w:val="004826BB"/>
    <w:rsid w:val="004A4CEB"/>
    <w:rsid w:val="00B50216"/>
    <w:rsid w:val="00C05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6754"/>
  <w15:docId w15:val="{5E6D2D03-09CD-4599-8767-324BDD60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8"/>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2025-01-17T08:09:00Z</dcterms:created>
  <dcterms:modified xsi:type="dcterms:W3CDTF">2025-01-17T07:20:00Z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2025-01-17T00:00:00Z</vt:filetime>
  </property>
</Properties>
</file>