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C4847E" w14:textId="77777777" w:rsidR="00053D62" w:rsidRPr="00053D62" w:rsidRDefault="00053D62" w:rsidP="00053D62">
      <w:pPr>
        <w:jc w:val="both"/>
        <w:rPr>
          <w:rFonts w:ascii="Calibri" w:hAnsi="Calibri" w:cs="Calibri"/>
          <w:sz w:val="22"/>
          <w:szCs w:val="22"/>
        </w:rPr>
      </w:pPr>
      <w:r w:rsidRPr="00053D62">
        <w:rPr>
          <w:rFonts w:ascii="Calibri" w:hAnsi="Calibri" w:cs="Calibri"/>
          <w:sz w:val="22"/>
          <w:szCs w:val="22"/>
        </w:rPr>
        <w:t>Txomin González Martínez, parlamentario del grupo parlamentario de EH Bildu Nafarroa, al amparo de lo establecido en el Reglamento de la Cámara, realiza la siguiente pregunta oral para que sea respondida en el Pleno por el Consejero de Salud del Gobierno de Navarra.</w:t>
      </w:r>
    </w:p>
    <w:p w14:paraId="26FB3764" w14:textId="6D10767A" w:rsidR="00053D62" w:rsidRPr="00053D62" w:rsidRDefault="00053D62" w:rsidP="00053D62">
      <w:pPr>
        <w:jc w:val="both"/>
        <w:rPr>
          <w:rFonts w:ascii="Calibri" w:hAnsi="Calibri" w:cs="Calibri"/>
          <w:sz w:val="22"/>
          <w:szCs w:val="22"/>
        </w:rPr>
      </w:pPr>
      <w:r w:rsidRPr="00053D62">
        <w:rPr>
          <w:rFonts w:ascii="Calibri" w:hAnsi="Calibri" w:cs="Calibri"/>
          <w:sz w:val="22"/>
          <w:szCs w:val="22"/>
        </w:rPr>
        <w:t>La Ley Foral 11/1992, reguladora del régimen específico del personal del Servicio Navarro de Salud-Osasunbidea, fue modificada por la Ley Foral 11/2023, de 29 de marzo, y determina los complementos retributivos del personal. En su artículo sexto punto 1 recoge: el personal adscrito al Servicio Navarro de Salud-Osasunbidea solo podrá percibir las siguientes retribuciones:</w:t>
      </w:r>
    </w:p>
    <w:p w14:paraId="79051F23" w14:textId="77777777" w:rsidR="00053D62" w:rsidRPr="00053D62" w:rsidRDefault="00053D62" w:rsidP="00053D62">
      <w:pPr>
        <w:jc w:val="both"/>
        <w:rPr>
          <w:rFonts w:ascii="Calibri" w:hAnsi="Calibri" w:cs="Calibri"/>
          <w:sz w:val="22"/>
          <w:szCs w:val="22"/>
        </w:rPr>
      </w:pPr>
      <w:r w:rsidRPr="00053D62">
        <w:rPr>
          <w:rFonts w:ascii="Calibri" w:hAnsi="Calibri" w:cs="Calibri"/>
          <w:sz w:val="22"/>
          <w:szCs w:val="22"/>
        </w:rPr>
        <w:t>a) Retribuciones personales básicas.</w:t>
      </w:r>
    </w:p>
    <w:p w14:paraId="7A6B22C9" w14:textId="77777777" w:rsidR="00053D62" w:rsidRPr="00053D62" w:rsidRDefault="00053D62" w:rsidP="00053D62">
      <w:pPr>
        <w:jc w:val="both"/>
        <w:rPr>
          <w:rFonts w:ascii="Calibri" w:hAnsi="Calibri" w:cs="Calibri"/>
          <w:sz w:val="22"/>
          <w:szCs w:val="22"/>
        </w:rPr>
      </w:pPr>
      <w:r w:rsidRPr="00053D62">
        <w:rPr>
          <w:rFonts w:ascii="Calibri" w:hAnsi="Calibri" w:cs="Calibri"/>
          <w:sz w:val="22"/>
          <w:szCs w:val="22"/>
        </w:rPr>
        <w:t>b) Retribuciones complementarias.</w:t>
      </w:r>
    </w:p>
    <w:p w14:paraId="68EADE2F" w14:textId="77777777" w:rsidR="00053D62" w:rsidRPr="00053D62" w:rsidRDefault="00053D62" w:rsidP="00053D62">
      <w:pPr>
        <w:jc w:val="both"/>
        <w:rPr>
          <w:rFonts w:ascii="Calibri" w:hAnsi="Calibri" w:cs="Calibri"/>
          <w:sz w:val="22"/>
          <w:szCs w:val="22"/>
        </w:rPr>
      </w:pPr>
      <w:r w:rsidRPr="00053D62">
        <w:rPr>
          <w:rFonts w:ascii="Calibri" w:hAnsi="Calibri" w:cs="Calibri"/>
          <w:sz w:val="22"/>
          <w:szCs w:val="22"/>
        </w:rPr>
        <w:t>c) Indemnizaciones y otras retribuciones especiales.</w:t>
      </w:r>
    </w:p>
    <w:p w14:paraId="53646E6F" w14:textId="77777777" w:rsidR="00053D62" w:rsidRPr="00053D62" w:rsidRDefault="00053D62" w:rsidP="00053D62">
      <w:pPr>
        <w:jc w:val="both"/>
        <w:rPr>
          <w:rFonts w:ascii="Calibri" w:hAnsi="Calibri" w:cs="Calibri"/>
          <w:sz w:val="22"/>
          <w:szCs w:val="22"/>
        </w:rPr>
      </w:pPr>
      <w:r w:rsidRPr="00053D62">
        <w:rPr>
          <w:rFonts w:ascii="Calibri" w:hAnsi="Calibri" w:cs="Calibri"/>
          <w:sz w:val="22"/>
          <w:szCs w:val="22"/>
        </w:rPr>
        <w:t>2. Son retribuciones personales básicas:</w:t>
      </w:r>
    </w:p>
    <w:p w14:paraId="69C171DD" w14:textId="77777777" w:rsidR="00053D62" w:rsidRPr="00053D62" w:rsidRDefault="00053D62" w:rsidP="00053D62">
      <w:pPr>
        <w:jc w:val="both"/>
        <w:rPr>
          <w:rFonts w:ascii="Calibri" w:hAnsi="Calibri" w:cs="Calibri"/>
          <w:sz w:val="22"/>
          <w:szCs w:val="22"/>
        </w:rPr>
      </w:pPr>
      <w:r w:rsidRPr="00053D62">
        <w:rPr>
          <w:rFonts w:ascii="Calibri" w:hAnsi="Calibri" w:cs="Calibri"/>
          <w:sz w:val="22"/>
          <w:szCs w:val="22"/>
        </w:rPr>
        <w:t>a) El sueldo inicial del correspondiente nivel o grupo.</w:t>
      </w:r>
    </w:p>
    <w:p w14:paraId="03991E0A" w14:textId="6B1F2C88" w:rsidR="00053D62" w:rsidRPr="00053D62" w:rsidRDefault="00053D62" w:rsidP="00053D62">
      <w:pPr>
        <w:jc w:val="both"/>
        <w:rPr>
          <w:rFonts w:ascii="Calibri" w:hAnsi="Calibri" w:cs="Calibri"/>
          <w:sz w:val="22"/>
          <w:szCs w:val="22"/>
        </w:rPr>
      </w:pPr>
      <w:r w:rsidRPr="00053D62">
        <w:rPr>
          <w:rFonts w:ascii="Calibri" w:hAnsi="Calibri" w:cs="Calibri"/>
          <w:sz w:val="22"/>
          <w:szCs w:val="22"/>
        </w:rPr>
        <w:t>b) El premio de antigüedad. Las retribuciones personales básicas constituyen un derecho adquirido inherente a la condición de personal funcionario o estatutario del Servicio Navarro de Salud</w:t>
      </w:r>
      <w:r>
        <w:rPr>
          <w:rFonts w:ascii="Calibri" w:hAnsi="Calibri" w:cs="Calibri"/>
          <w:sz w:val="22"/>
          <w:szCs w:val="22"/>
        </w:rPr>
        <w:t>-</w:t>
      </w:r>
      <w:r w:rsidRPr="00053D62">
        <w:rPr>
          <w:rFonts w:ascii="Calibri" w:hAnsi="Calibri" w:cs="Calibri"/>
          <w:sz w:val="22"/>
          <w:szCs w:val="22"/>
        </w:rPr>
        <w:t>Osasunbidea.</w:t>
      </w:r>
    </w:p>
    <w:p w14:paraId="629E0BD9" w14:textId="77777777" w:rsidR="00053D62" w:rsidRPr="00053D62" w:rsidRDefault="00053D62" w:rsidP="00053D62">
      <w:pPr>
        <w:jc w:val="both"/>
        <w:rPr>
          <w:rFonts w:ascii="Calibri" w:hAnsi="Calibri" w:cs="Calibri"/>
          <w:sz w:val="22"/>
          <w:szCs w:val="22"/>
        </w:rPr>
      </w:pPr>
      <w:r w:rsidRPr="00053D62">
        <w:rPr>
          <w:rFonts w:ascii="Calibri" w:hAnsi="Calibri" w:cs="Calibri"/>
          <w:sz w:val="22"/>
          <w:szCs w:val="22"/>
        </w:rPr>
        <w:t>3. Son retribuciones complementarias:</w:t>
      </w:r>
    </w:p>
    <w:p w14:paraId="2222DBE1" w14:textId="77777777" w:rsidR="00053D62" w:rsidRPr="00053D62" w:rsidRDefault="00053D62" w:rsidP="00053D62">
      <w:pPr>
        <w:jc w:val="both"/>
        <w:rPr>
          <w:rFonts w:ascii="Calibri" w:hAnsi="Calibri" w:cs="Calibri"/>
          <w:sz w:val="22"/>
          <w:szCs w:val="22"/>
        </w:rPr>
      </w:pPr>
      <w:r w:rsidRPr="00053D62">
        <w:rPr>
          <w:rFonts w:ascii="Calibri" w:hAnsi="Calibri" w:cs="Calibri"/>
          <w:sz w:val="22"/>
          <w:szCs w:val="22"/>
        </w:rPr>
        <w:t>a) El complemento de destino.</w:t>
      </w:r>
    </w:p>
    <w:p w14:paraId="2E8262CA" w14:textId="77777777" w:rsidR="00053D62" w:rsidRPr="00053D62" w:rsidRDefault="00053D62" w:rsidP="00053D62">
      <w:pPr>
        <w:jc w:val="both"/>
        <w:rPr>
          <w:rFonts w:ascii="Calibri" w:hAnsi="Calibri" w:cs="Calibri"/>
          <w:sz w:val="22"/>
          <w:szCs w:val="22"/>
        </w:rPr>
      </w:pPr>
      <w:r w:rsidRPr="00053D62">
        <w:rPr>
          <w:rFonts w:ascii="Calibri" w:hAnsi="Calibri" w:cs="Calibri"/>
          <w:sz w:val="22"/>
          <w:szCs w:val="22"/>
        </w:rPr>
        <w:t>b) El complemento específico.</w:t>
      </w:r>
    </w:p>
    <w:p w14:paraId="5E9A772D" w14:textId="77777777" w:rsidR="00053D62" w:rsidRPr="00053D62" w:rsidRDefault="00053D62" w:rsidP="00053D62">
      <w:pPr>
        <w:jc w:val="both"/>
        <w:rPr>
          <w:rFonts w:ascii="Calibri" w:hAnsi="Calibri" w:cs="Calibri"/>
          <w:sz w:val="22"/>
          <w:szCs w:val="22"/>
        </w:rPr>
      </w:pPr>
      <w:r w:rsidRPr="00053D62">
        <w:rPr>
          <w:rFonts w:ascii="Calibri" w:hAnsi="Calibri" w:cs="Calibri"/>
          <w:sz w:val="22"/>
          <w:szCs w:val="22"/>
        </w:rPr>
        <w:t>c) El complemento de productividad extraordinaria.</w:t>
      </w:r>
    </w:p>
    <w:p w14:paraId="74E0B640" w14:textId="77777777" w:rsidR="00053D62" w:rsidRPr="00053D62" w:rsidRDefault="00053D62" w:rsidP="00053D62">
      <w:pPr>
        <w:jc w:val="both"/>
        <w:rPr>
          <w:rFonts w:ascii="Calibri" w:hAnsi="Calibri" w:cs="Calibri"/>
          <w:sz w:val="22"/>
          <w:szCs w:val="22"/>
        </w:rPr>
      </w:pPr>
      <w:r w:rsidRPr="00053D62">
        <w:rPr>
          <w:rFonts w:ascii="Calibri" w:hAnsi="Calibri" w:cs="Calibri"/>
          <w:sz w:val="22"/>
          <w:szCs w:val="22"/>
        </w:rPr>
        <w:t>d) El complemento de capitación.</w:t>
      </w:r>
    </w:p>
    <w:p w14:paraId="09DE992F" w14:textId="77777777" w:rsidR="00053D62" w:rsidRPr="00053D62" w:rsidRDefault="00053D62" w:rsidP="00053D62">
      <w:pPr>
        <w:jc w:val="both"/>
        <w:rPr>
          <w:rFonts w:ascii="Calibri" w:hAnsi="Calibri" w:cs="Calibri"/>
          <w:sz w:val="22"/>
          <w:szCs w:val="22"/>
        </w:rPr>
      </w:pPr>
      <w:r w:rsidRPr="00053D62">
        <w:rPr>
          <w:rFonts w:ascii="Calibri" w:hAnsi="Calibri" w:cs="Calibri"/>
          <w:sz w:val="22"/>
          <w:szCs w:val="22"/>
        </w:rPr>
        <w:t>e) El complemento de trabajo nocturno.</w:t>
      </w:r>
    </w:p>
    <w:p w14:paraId="20AB2BCA" w14:textId="77777777" w:rsidR="00053D62" w:rsidRPr="00053D62" w:rsidRDefault="00053D62" w:rsidP="00053D62">
      <w:pPr>
        <w:jc w:val="both"/>
        <w:rPr>
          <w:rFonts w:ascii="Calibri" w:hAnsi="Calibri" w:cs="Calibri"/>
          <w:sz w:val="22"/>
          <w:szCs w:val="22"/>
        </w:rPr>
      </w:pPr>
      <w:r w:rsidRPr="00053D62">
        <w:rPr>
          <w:rFonts w:ascii="Calibri" w:hAnsi="Calibri" w:cs="Calibri"/>
          <w:sz w:val="22"/>
          <w:szCs w:val="22"/>
        </w:rPr>
        <w:t>f) El complemento por trabajo en festivos.</w:t>
      </w:r>
    </w:p>
    <w:p w14:paraId="0CA1B496" w14:textId="77777777" w:rsidR="00053D62" w:rsidRPr="00053D62" w:rsidRDefault="00053D62" w:rsidP="00053D62">
      <w:pPr>
        <w:jc w:val="both"/>
        <w:rPr>
          <w:rFonts w:ascii="Calibri" w:hAnsi="Calibri" w:cs="Calibri"/>
          <w:sz w:val="22"/>
          <w:szCs w:val="22"/>
        </w:rPr>
      </w:pPr>
      <w:r w:rsidRPr="00053D62">
        <w:rPr>
          <w:rFonts w:ascii="Calibri" w:hAnsi="Calibri" w:cs="Calibri"/>
          <w:sz w:val="22"/>
          <w:szCs w:val="22"/>
        </w:rPr>
        <w:t xml:space="preserve">g) El complemento por realización de guardias de presencia física o localizadas. </w:t>
      </w:r>
    </w:p>
    <w:p w14:paraId="3E0A7DEC" w14:textId="77777777" w:rsidR="00053D62" w:rsidRPr="00053D62" w:rsidRDefault="00053D62" w:rsidP="00053D62">
      <w:pPr>
        <w:jc w:val="both"/>
        <w:rPr>
          <w:rFonts w:ascii="Calibri" w:hAnsi="Calibri" w:cs="Calibri"/>
          <w:sz w:val="22"/>
          <w:szCs w:val="22"/>
        </w:rPr>
      </w:pPr>
      <w:r w:rsidRPr="00053D62">
        <w:rPr>
          <w:rFonts w:ascii="Calibri" w:hAnsi="Calibri" w:cs="Calibri"/>
          <w:sz w:val="22"/>
          <w:szCs w:val="22"/>
        </w:rPr>
        <w:t>h) El complemento por trabajo en días especiales.</w:t>
      </w:r>
    </w:p>
    <w:p w14:paraId="13DCB78D" w14:textId="77777777" w:rsidR="00053D62" w:rsidRPr="00053D62" w:rsidRDefault="00053D62" w:rsidP="00053D62">
      <w:pPr>
        <w:jc w:val="both"/>
        <w:rPr>
          <w:rFonts w:ascii="Calibri" w:hAnsi="Calibri" w:cs="Calibri"/>
          <w:sz w:val="22"/>
          <w:szCs w:val="22"/>
        </w:rPr>
      </w:pPr>
      <w:r w:rsidRPr="00053D62">
        <w:rPr>
          <w:rFonts w:ascii="Calibri" w:hAnsi="Calibri" w:cs="Calibri"/>
          <w:sz w:val="22"/>
          <w:szCs w:val="22"/>
        </w:rPr>
        <w:t>i) Complemento de productividad fija del personal facultativo.</w:t>
      </w:r>
    </w:p>
    <w:p w14:paraId="49D5339F" w14:textId="77777777" w:rsidR="00053D62" w:rsidRPr="00053D62" w:rsidRDefault="00053D62" w:rsidP="00053D62">
      <w:pPr>
        <w:jc w:val="both"/>
        <w:rPr>
          <w:rFonts w:ascii="Calibri" w:hAnsi="Calibri" w:cs="Calibri"/>
          <w:sz w:val="22"/>
          <w:szCs w:val="22"/>
        </w:rPr>
      </w:pPr>
      <w:r w:rsidRPr="00053D62">
        <w:rPr>
          <w:rFonts w:ascii="Calibri" w:hAnsi="Calibri" w:cs="Calibri"/>
          <w:sz w:val="22"/>
          <w:szCs w:val="22"/>
        </w:rPr>
        <w:t>j) El complemento por puesto de trabajo para el personal administrativo de Atención Primaria.</w:t>
      </w:r>
    </w:p>
    <w:p w14:paraId="2DF50BC3" w14:textId="77777777" w:rsidR="00053D62" w:rsidRPr="00053D62" w:rsidRDefault="00053D62" w:rsidP="00053D62">
      <w:pPr>
        <w:jc w:val="both"/>
        <w:rPr>
          <w:rFonts w:ascii="Calibri" w:hAnsi="Calibri" w:cs="Calibri"/>
          <w:sz w:val="22"/>
          <w:szCs w:val="22"/>
        </w:rPr>
      </w:pPr>
      <w:r w:rsidRPr="00053D62">
        <w:rPr>
          <w:rFonts w:ascii="Calibri" w:hAnsi="Calibri" w:cs="Calibri"/>
          <w:sz w:val="22"/>
          <w:szCs w:val="22"/>
        </w:rPr>
        <w:t>4. Indemnizaciones y otras retribuciones especiales:</w:t>
      </w:r>
    </w:p>
    <w:p w14:paraId="10AC7F49" w14:textId="77777777" w:rsidR="00053D62" w:rsidRPr="00053D62" w:rsidRDefault="00053D62" w:rsidP="00053D62">
      <w:pPr>
        <w:jc w:val="both"/>
        <w:rPr>
          <w:rFonts w:ascii="Calibri" w:hAnsi="Calibri" w:cs="Calibri"/>
          <w:sz w:val="22"/>
          <w:szCs w:val="22"/>
        </w:rPr>
      </w:pPr>
      <w:r w:rsidRPr="00053D62">
        <w:rPr>
          <w:rFonts w:ascii="Calibri" w:hAnsi="Calibri" w:cs="Calibri"/>
          <w:sz w:val="22"/>
          <w:szCs w:val="22"/>
        </w:rPr>
        <w:t>a) Plus de dispersión geográfica.</w:t>
      </w:r>
    </w:p>
    <w:p w14:paraId="7F6C8709" w14:textId="77777777" w:rsidR="00053D62" w:rsidRPr="00053D62" w:rsidRDefault="00053D62" w:rsidP="00053D62">
      <w:pPr>
        <w:jc w:val="both"/>
        <w:rPr>
          <w:rFonts w:ascii="Calibri" w:hAnsi="Calibri" w:cs="Calibri"/>
          <w:sz w:val="22"/>
          <w:szCs w:val="22"/>
        </w:rPr>
      </w:pPr>
      <w:r w:rsidRPr="00053D62">
        <w:rPr>
          <w:rFonts w:ascii="Calibri" w:hAnsi="Calibri" w:cs="Calibri"/>
          <w:sz w:val="22"/>
          <w:szCs w:val="22"/>
        </w:rPr>
        <w:t>b) Ayuda familiar.</w:t>
      </w:r>
    </w:p>
    <w:p w14:paraId="197AAC83" w14:textId="77777777" w:rsidR="00053D62" w:rsidRPr="00053D62" w:rsidRDefault="00053D62" w:rsidP="00053D62">
      <w:pPr>
        <w:jc w:val="both"/>
        <w:rPr>
          <w:rFonts w:ascii="Calibri" w:hAnsi="Calibri" w:cs="Calibri"/>
          <w:sz w:val="22"/>
          <w:szCs w:val="22"/>
        </w:rPr>
      </w:pPr>
      <w:r w:rsidRPr="00053D62">
        <w:rPr>
          <w:rFonts w:ascii="Calibri" w:hAnsi="Calibri" w:cs="Calibri"/>
          <w:sz w:val="22"/>
          <w:szCs w:val="22"/>
        </w:rPr>
        <w:t>c) El complemento compensatorio.</w:t>
      </w:r>
    </w:p>
    <w:p w14:paraId="70FBB48A" w14:textId="77777777" w:rsidR="00053D62" w:rsidRPr="00053D62" w:rsidRDefault="00053D62" w:rsidP="00053D62">
      <w:pPr>
        <w:jc w:val="both"/>
        <w:rPr>
          <w:rFonts w:ascii="Calibri" w:hAnsi="Calibri" w:cs="Calibri"/>
          <w:sz w:val="22"/>
          <w:szCs w:val="22"/>
        </w:rPr>
      </w:pPr>
      <w:r w:rsidRPr="00053D62">
        <w:rPr>
          <w:rFonts w:ascii="Calibri" w:hAnsi="Calibri" w:cs="Calibri"/>
          <w:sz w:val="22"/>
          <w:szCs w:val="22"/>
        </w:rPr>
        <w:t>d) Indemnizaciones por los gastos realizados por razón del servicio, por la realización de viajes, por traslado forzoso con cambio de residencia o por el desplazamiento a los puestos de difícil cobertura.</w:t>
      </w:r>
    </w:p>
    <w:p w14:paraId="47F308E8" w14:textId="77777777" w:rsidR="00053D62" w:rsidRPr="00053D62" w:rsidRDefault="00053D62" w:rsidP="00053D62">
      <w:pPr>
        <w:jc w:val="both"/>
        <w:rPr>
          <w:rFonts w:ascii="Calibri" w:hAnsi="Calibri" w:cs="Calibri"/>
          <w:sz w:val="22"/>
          <w:szCs w:val="22"/>
        </w:rPr>
      </w:pPr>
      <w:r w:rsidRPr="00053D62">
        <w:rPr>
          <w:rFonts w:ascii="Calibri" w:hAnsi="Calibri" w:cs="Calibri"/>
          <w:sz w:val="22"/>
          <w:szCs w:val="22"/>
        </w:rPr>
        <w:lastRenderedPageBreak/>
        <w:t>e) Compensaciones por participación en Tribunales de selección de personal al servicio de la Administración de la Comunidad Foral de Navarra y de sus Organismos Autónomos.</w:t>
      </w:r>
    </w:p>
    <w:p w14:paraId="71D82828" w14:textId="77777777" w:rsidR="00053D62" w:rsidRPr="00053D62" w:rsidRDefault="00053D62" w:rsidP="00053D62">
      <w:pPr>
        <w:jc w:val="both"/>
        <w:rPr>
          <w:rFonts w:ascii="Calibri" w:hAnsi="Calibri" w:cs="Calibri"/>
          <w:sz w:val="22"/>
          <w:szCs w:val="22"/>
        </w:rPr>
      </w:pPr>
      <w:r w:rsidRPr="00053D62">
        <w:rPr>
          <w:rFonts w:ascii="Calibri" w:hAnsi="Calibri" w:cs="Calibri"/>
          <w:sz w:val="22"/>
          <w:szCs w:val="22"/>
        </w:rPr>
        <w:t>f) Compensaciones por impartir docencia o cursos de formación.</w:t>
      </w:r>
    </w:p>
    <w:p w14:paraId="6AF25AD8" w14:textId="77777777" w:rsidR="00053D62" w:rsidRPr="00053D62" w:rsidRDefault="00053D62" w:rsidP="00053D62">
      <w:pPr>
        <w:jc w:val="both"/>
        <w:rPr>
          <w:rFonts w:ascii="Calibri" w:hAnsi="Calibri" w:cs="Calibri"/>
          <w:sz w:val="22"/>
          <w:szCs w:val="22"/>
        </w:rPr>
      </w:pPr>
      <w:r w:rsidRPr="00053D62">
        <w:rPr>
          <w:rFonts w:ascii="Calibri" w:hAnsi="Calibri" w:cs="Calibri"/>
          <w:sz w:val="22"/>
          <w:szCs w:val="22"/>
        </w:rPr>
        <w:t>g) Compensación por realización de horas extraordinarias.</w:t>
      </w:r>
    </w:p>
    <w:p w14:paraId="320B7BD1" w14:textId="77777777" w:rsidR="00FE4702" w:rsidRDefault="00053D62" w:rsidP="00053D62">
      <w:pPr>
        <w:jc w:val="both"/>
        <w:rPr>
          <w:rFonts w:ascii="Calibri" w:hAnsi="Calibri" w:cs="Calibri"/>
          <w:sz w:val="22"/>
          <w:szCs w:val="22"/>
        </w:rPr>
      </w:pPr>
      <w:r w:rsidRPr="00053D62">
        <w:rPr>
          <w:rFonts w:ascii="Calibri" w:hAnsi="Calibri" w:cs="Calibri"/>
          <w:sz w:val="22"/>
          <w:szCs w:val="22"/>
        </w:rPr>
        <w:t>h) Compensación por participación en líneas o programas de investigación social.</w:t>
      </w:r>
    </w:p>
    <w:p w14:paraId="76ED5AAC" w14:textId="47EB899F" w:rsidR="00053D62" w:rsidRPr="00053D62" w:rsidRDefault="00053D62" w:rsidP="00053D62">
      <w:pPr>
        <w:jc w:val="both"/>
        <w:rPr>
          <w:rFonts w:ascii="Calibri" w:hAnsi="Calibri" w:cs="Calibri"/>
          <w:sz w:val="22"/>
          <w:szCs w:val="22"/>
        </w:rPr>
      </w:pPr>
      <w:r w:rsidRPr="00053D62">
        <w:rPr>
          <w:rFonts w:ascii="Calibri" w:hAnsi="Calibri" w:cs="Calibri"/>
          <w:sz w:val="22"/>
          <w:szCs w:val="22"/>
        </w:rPr>
        <w:t>i) Compensación por la tutorización de los profesionales internos residentes en formación.</w:t>
      </w:r>
    </w:p>
    <w:p w14:paraId="2F6CB3ED" w14:textId="77777777" w:rsidR="00053D62" w:rsidRPr="00053D62" w:rsidRDefault="00053D62" w:rsidP="00053D62">
      <w:pPr>
        <w:jc w:val="both"/>
        <w:rPr>
          <w:rFonts w:ascii="Calibri" w:hAnsi="Calibri" w:cs="Calibri"/>
          <w:sz w:val="22"/>
          <w:szCs w:val="22"/>
        </w:rPr>
      </w:pPr>
      <w:r w:rsidRPr="00053D62">
        <w:rPr>
          <w:rFonts w:ascii="Calibri" w:hAnsi="Calibri" w:cs="Calibri"/>
          <w:sz w:val="22"/>
          <w:szCs w:val="22"/>
        </w:rPr>
        <w:t>No obstante, esta Ley Foral 11/1992 no detalla de forma concreta las cantidades que puede devengar cada profesional por las diferentes retribuciones complementarias, y su aplicación individualizada conlleva que las retribuciones salariales entre las personas de cada estamento profesional sean muy diferentes. Dándose el caso, extremo, del personal de medicina donde entre el salario anual más alto y el más bajo la diferencia se multiplica varias veces.</w:t>
      </w:r>
    </w:p>
    <w:p w14:paraId="04946D36" w14:textId="77777777" w:rsidR="00053D62" w:rsidRPr="00053D62" w:rsidRDefault="00053D62" w:rsidP="00053D62">
      <w:pPr>
        <w:jc w:val="both"/>
        <w:rPr>
          <w:rFonts w:ascii="Calibri" w:hAnsi="Calibri" w:cs="Calibri"/>
          <w:sz w:val="22"/>
          <w:szCs w:val="22"/>
        </w:rPr>
      </w:pPr>
      <w:r w:rsidRPr="00053D62">
        <w:rPr>
          <w:rFonts w:ascii="Calibri" w:hAnsi="Calibri" w:cs="Calibri"/>
          <w:sz w:val="22"/>
          <w:szCs w:val="22"/>
        </w:rPr>
        <w:t>Es por ello por lo que este parlamentario formula la siguiente pregunta:</w:t>
      </w:r>
    </w:p>
    <w:p w14:paraId="165FA513" w14:textId="77777777" w:rsidR="00053D62" w:rsidRPr="00053D62" w:rsidRDefault="00053D62" w:rsidP="00053D62">
      <w:pPr>
        <w:jc w:val="both"/>
        <w:rPr>
          <w:rFonts w:ascii="Calibri" w:hAnsi="Calibri" w:cs="Calibri"/>
          <w:sz w:val="22"/>
          <w:szCs w:val="22"/>
        </w:rPr>
      </w:pPr>
      <w:r w:rsidRPr="00053D62">
        <w:rPr>
          <w:rFonts w:ascii="Calibri" w:hAnsi="Calibri" w:cs="Calibri"/>
          <w:sz w:val="22"/>
          <w:szCs w:val="22"/>
        </w:rPr>
        <w:t>¿Tiene el Consejero de Salud intención de desarrollar medidas que eviten estas diferencias salariales entre el personal del SNS-Osasunbidea?</w:t>
      </w:r>
    </w:p>
    <w:p w14:paraId="05BA0213" w14:textId="0744C5FC" w:rsidR="00053D62" w:rsidRPr="00053D62" w:rsidRDefault="00053D62" w:rsidP="00053D62">
      <w:pPr>
        <w:jc w:val="both"/>
        <w:rPr>
          <w:rFonts w:ascii="Calibri" w:hAnsi="Calibri" w:cs="Calibri"/>
          <w:sz w:val="22"/>
          <w:szCs w:val="22"/>
        </w:rPr>
      </w:pPr>
      <w:r w:rsidRPr="00053D62">
        <w:rPr>
          <w:rFonts w:ascii="Calibri" w:hAnsi="Calibri" w:cs="Calibri"/>
          <w:sz w:val="22"/>
          <w:szCs w:val="22"/>
        </w:rPr>
        <w:t>En Iruñea/Pamplona, a 6 de febrero de 2025</w:t>
      </w:r>
    </w:p>
    <w:p w14:paraId="6DD332FD" w14:textId="0D95802F" w:rsidR="00053D62" w:rsidRPr="00053D62" w:rsidRDefault="00053D62" w:rsidP="00053D62">
      <w:pPr>
        <w:jc w:val="both"/>
        <w:rPr>
          <w:rFonts w:ascii="Calibri" w:hAnsi="Calibri" w:cs="Calibri"/>
          <w:sz w:val="22"/>
          <w:szCs w:val="22"/>
        </w:rPr>
      </w:pPr>
      <w:r w:rsidRPr="00053D62">
        <w:rPr>
          <w:rFonts w:ascii="Calibri" w:hAnsi="Calibri" w:cs="Calibri"/>
          <w:sz w:val="22"/>
          <w:szCs w:val="22"/>
        </w:rPr>
        <w:t>El Parlamentario Foral: Domingo González Martínez</w:t>
      </w:r>
    </w:p>
    <w:sectPr w:rsidR="00053D62" w:rsidRPr="00053D6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D62"/>
    <w:rsid w:val="00053D62"/>
    <w:rsid w:val="003A6723"/>
    <w:rsid w:val="003E3E22"/>
    <w:rsid w:val="005762CC"/>
    <w:rsid w:val="0058492F"/>
    <w:rsid w:val="00600DE2"/>
    <w:rsid w:val="0066283F"/>
    <w:rsid w:val="008D7F85"/>
    <w:rsid w:val="00A36075"/>
    <w:rsid w:val="00A877BA"/>
    <w:rsid w:val="00B0049F"/>
    <w:rsid w:val="00B10526"/>
    <w:rsid w:val="00C01BD6"/>
    <w:rsid w:val="00E044F2"/>
    <w:rsid w:val="00E2340F"/>
    <w:rsid w:val="00E872DF"/>
    <w:rsid w:val="00FE470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51B7B"/>
  <w15:chartTrackingRefBased/>
  <w15:docId w15:val="{E2F84404-6222-441D-B605-18F0A9B44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053D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53D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53D6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53D6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53D6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53D6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53D6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53D6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53D6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53D6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53D6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53D6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53D6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53D6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53D6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53D6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53D6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53D62"/>
    <w:rPr>
      <w:rFonts w:eastAsiaTheme="majorEastAsia" w:cstheme="majorBidi"/>
      <w:color w:val="272727" w:themeColor="text1" w:themeTint="D8"/>
    </w:rPr>
  </w:style>
  <w:style w:type="paragraph" w:styleId="Ttulo">
    <w:name w:val="Title"/>
    <w:basedOn w:val="Normal"/>
    <w:next w:val="Normal"/>
    <w:link w:val="TtuloCar"/>
    <w:uiPriority w:val="10"/>
    <w:qFormat/>
    <w:rsid w:val="00053D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53D6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53D6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53D6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53D62"/>
    <w:pPr>
      <w:spacing w:before="160"/>
      <w:jc w:val="center"/>
    </w:pPr>
    <w:rPr>
      <w:i/>
      <w:iCs/>
      <w:color w:val="404040" w:themeColor="text1" w:themeTint="BF"/>
    </w:rPr>
  </w:style>
  <w:style w:type="character" w:customStyle="1" w:styleId="CitaCar">
    <w:name w:val="Cita Car"/>
    <w:basedOn w:val="Fuentedeprrafopredeter"/>
    <w:link w:val="Cita"/>
    <w:uiPriority w:val="29"/>
    <w:rsid w:val="00053D62"/>
    <w:rPr>
      <w:i/>
      <w:iCs/>
      <w:color w:val="404040" w:themeColor="text1" w:themeTint="BF"/>
    </w:rPr>
  </w:style>
  <w:style w:type="paragraph" w:styleId="Prrafodelista">
    <w:name w:val="List Paragraph"/>
    <w:basedOn w:val="Normal"/>
    <w:uiPriority w:val="34"/>
    <w:qFormat/>
    <w:rsid w:val="00053D62"/>
    <w:pPr>
      <w:ind w:left="720"/>
      <w:contextualSpacing/>
    </w:pPr>
  </w:style>
  <w:style w:type="character" w:styleId="nfasisintenso">
    <w:name w:val="Intense Emphasis"/>
    <w:basedOn w:val="Fuentedeprrafopredeter"/>
    <w:uiPriority w:val="21"/>
    <w:qFormat/>
    <w:rsid w:val="00053D62"/>
    <w:rPr>
      <w:i/>
      <w:iCs/>
      <w:color w:val="0F4761" w:themeColor="accent1" w:themeShade="BF"/>
    </w:rPr>
  </w:style>
  <w:style w:type="paragraph" w:styleId="Citadestacada">
    <w:name w:val="Intense Quote"/>
    <w:basedOn w:val="Normal"/>
    <w:next w:val="Normal"/>
    <w:link w:val="CitadestacadaCar"/>
    <w:uiPriority w:val="30"/>
    <w:qFormat/>
    <w:rsid w:val="00053D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53D62"/>
    <w:rPr>
      <w:i/>
      <w:iCs/>
      <w:color w:val="0F4761" w:themeColor="accent1" w:themeShade="BF"/>
    </w:rPr>
  </w:style>
  <w:style w:type="character" w:styleId="Referenciaintensa">
    <w:name w:val="Intense Reference"/>
    <w:basedOn w:val="Fuentedeprrafopredeter"/>
    <w:uiPriority w:val="32"/>
    <w:qFormat/>
    <w:rsid w:val="00053D6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490</Words>
  <Characters>2700</Characters>
  <Application>Microsoft Office Word</Application>
  <DocSecurity>0</DocSecurity>
  <Lines>22</Lines>
  <Paragraphs>6</Paragraphs>
  <ScaleCrop>false</ScaleCrop>
  <Company/>
  <LinksUpToDate>false</LinksUpToDate>
  <CharactersWithSpaces>3184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3</cp:revision>
  <dcterms:created xsi:type="dcterms:W3CDTF">2025-02-07T07:29:00Z</dcterms:created>
  <dcterms:modified xsi:type="dcterms:W3CDTF">2025-02-10T11:17:00Z</dcterms:modified>
</cp:coreProperties>
</file>