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8E2C8" w14:textId="3830FBEE" w:rsidR="00567A1B" w:rsidRDefault="00567A1B" w:rsidP="00567A1B">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25MOC-13</w:t>
      </w:r>
    </w:p>
    <w:p w14:paraId="5B760EE9" w14:textId="19CF3907" w:rsidR="00C05681" w:rsidRPr="00C05681" w:rsidRDefault="00C05681"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EH Bildu Nafarroa talde parlamentarioari atxikitako foru parlamentari Txomin González Martínezek, Parlamentuko Erregelamenduan ezarritakoaren babesean, honako mozio hau aurkezten du, Nafarroako Parlamentuaren Osoko Bilkuran eztabaidatu eta bozkatzeko:</w:t>
      </w:r>
      <w:r>
        <w:rPr>
          <w:sz w:val="22"/>
          <w:rFonts w:ascii="Calibri" w:hAnsi="Calibri"/>
        </w:rPr>
        <w:t xml:space="preserve"> </w:t>
      </w:r>
    </w:p>
    <w:p w14:paraId="7C6A9AC9" w14:textId="1335C709" w:rsidR="00C05681" w:rsidRPr="00C05681" w:rsidRDefault="00C05681" w:rsidP="00C05681">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0271FC51" w14:textId="64B7ED17"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Gainpisua eta obesitatea osasun-arazoa dira gaur egun mundu guztian.</w:t>
      </w:r>
      <w:r>
        <w:rPr>
          <w:sz w:val="22"/>
          <w:rFonts w:ascii="Calibri" w:hAnsi="Calibri"/>
        </w:rPr>
        <w:t xml:space="preserve"> </w:t>
      </w:r>
      <w:r>
        <w:rPr>
          <w:sz w:val="22"/>
          <w:rFonts w:ascii="Calibri" w:hAnsi="Calibri"/>
        </w:rPr>
        <w:t xml:space="preserve">Nafarroan, 18 urtetik beheitiko adingabeen % 15,6k gainpisua du, eta % 7,7k, berriz, obesitatea. Hortaz, haur- eta gazte-populazioaren ia laurden batek du kondizio hori.</w:t>
      </w:r>
      <w:r>
        <w:rPr>
          <w:sz w:val="22"/>
          <w:rFonts w:ascii="Calibri" w:hAnsi="Calibri"/>
        </w:rPr>
        <w:t xml:space="preserve"> </w:t>
      </w:r>
      <w:r>
        <w:rPr>
          <w:sz w:val="22"/>
          <w:rFonts w:ascii="Calibri" w:hAnsi="Calibri"/>
        </w:rPr>
        <w:t xml:space="preserve">Gehiegizko gorputz-gantzaren prebalentzia handia aldagai demografikoekin –hala nola gizonezko izatea eta adina–, aldagai hereditarioekin eta aldagai sozioekonomikoekin lotua dago –errenta txikiko populazioaren artean ematen da batez ere–.</w:t>
      </w:r>
      <w:r>
        <w:rPr>
          <w:sz w:val="22"/>
          <w:rFonts w:ascii="Calibri" w:hAnsi="Calibri"/>
        </w:rPr>
        <w:t xml:space="preserve"> </w:t>
      </w:r>
      <w:r>
        <w:rPr>
          <w:sz w:val="22"/>
          <w:rFonts w:ascii="Calibri" w:hAnsi="Calibri"/>
        </w:rPr>
        <w:t xml:space="preserve">Bizi-estiloen aldaketek, dieta tradizional osasungarriekiko atxikimendurik ezak eta sedentarismoaren gorakadak ere azaltzen dute arazoak herrialde garatuetan izan duen goranzko bilakaera.</w:t>
      </w:r>
      <w:r>
        <w:rPr>
          <w:sz w:val="22"/>
          <w:rFonts w:ascii="Calibri" w:hAnsi="Calibri"/>
        </w:rPr>
        <w:t xml:space="preserve"> </w:t>
      </w:r>
    </w:p>
    <w:p w14:paraId="280F5CDB" w14:textId="6A65D29F" w:rsidR="00C05681"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Hori horrela, arazoari aurre egiteko ezinbestekoa da gehiegizko gorputz-gantza duen populazioaren baldintzatzaile sozialei lotutako faktore askotarikoak lantzea. Hain zuzen ere, diru-sarrerei, enpleguari, elikagai osasungarrien eskuragarritasunari, jarduera fisikoa egiteko instalazioetarako sarbidea eta denbora izateari eta abarri dagokienez egoera behartsuagoak dituzten kolektiboek, eremuek eta auzoek osatzen duten populazio hori.</w:t>
      </w:r>
      <w:r>
        <w:rPr>
          <w:sz w:val="22"/>
          <w:rFonts w:ascii="Calibri" w:hAnsi="Calibri"/>
        </w:rPr>
        <w:t xml:space="preserve"> </w:t>
      </w:r>
    </w:p>
    <w:p w14:paraId="2CF18531" w14:textId="52CC3F4F" w:rsidR="00C05681"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Kausa anitzekoa izanik, arazoa konplexua denez, nekazaritzako elikagaien, elikagai-merkaturatzearen, lanaren, gizartearen eta hezkuntzaren alorretako politikak ezartzea eskatzen baitu, orain arte aplikatutakoak ez bestelakoak ezarri ere, mozio honen bidez lortu nahi dugun xedea da, besterik gabe, haurren eta nerabeen artean elikagai ez-osasungarrien kontsumoa sustatzen duten publizitate-kanpainen gaineko kontrola sendotzea Nafarroan.</w:t>
      </w:r>
      <w:r>
        <w:rPr>
          <w:sz w:val="22"/>
          <w:rFonts w:ascii="Calibri" w:hAnsi="Calibri"/>
        </w:rPr>
        <w:t xml:space="preserve"> </w:t>
      </w:r>
    </w:p>
    <w:p w14:paraId="4F8C8CCB" w14:textId="7069FBE5"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Ebidentzia zientifikoak agerian utzi duenez, lotura bat dago publizitatearen, haur eta nerabeek iragarritako produktuekiko duten jokabidearen </w:t>
      </w:r>
      <w:r>
        <w:rPr>
          <w:sz w:val="22"/>
          <w:i/>
          <w:rFonts w:ascii="Calibri" w:hAnsi="Calibri"/>
        </w:rPr>
        <w:t xml:space="preserve">(oroitzea, lehenestea, erostea)</w:t>
      </w:r>
      <w:r>
        <w:rPr>
          <w:sz w:val="22"/>
          <w:rFonts w:ascii="Calibri" w:hAnsi="Calibri"/>
        </w:rPr>
        <w:t xml:space="preserve"> eta epe motzean produktu horien kontsumoa areagotzearen artean.</w:t>
      </w:r>
      <w:r>
        <w:rPr>
          <w:sz w:val="22"/>
          <w:rFonts w:ascii="Calibri" w:hAnsi="Calibri"/>
        </w:rPr>
        <w:t xml:space="preserve"> </w:t>
      </w:r>
      <w:r>
        <w:rPr>
          <w:sz w:val="22"/>
          <w:rFonts w:ascii="Calibri" w:hAnsi="Calibri"/>
        </w:rPr>
        <w:t xml:space="preserve">Haur eta nerabeek osatutako populazioa bereziki zaurgarria da publizitate-estrategiekiko eta elikagai eta edariekin fidelizatzeko estrategiekiko, eta beraz, babestu egin behar ditugu.</w:t>
      </w:r>
      <w:r>
        <w:rPr>
          <w:sz w:val="22"/>
          <w:rFonts w:ascii="Calibri" w:hAnsi="Calibri"/>
        </w:rPr>
        <w:t xml:space="preserve"> </w:t>
      </w:r>
    </w:p>
    <w:p w14:paraId="5E023A29" w14:textId="10C54DCB"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Haur eta nerabeei elikagai eta edari ez-osasungarrien publizitatea iristen zaie telebistaren edo </w:t>
      </w:r>
      <w:r>
        <w:rPr>
          <w:sz w:val="22"/>
          <w:i/>
          <w:rFonts w:ascii="Calibri" w:hAnsi="Calibri"/>
        </w:rPr>
        <w:t xml:space="preserve">online</w:t>
      </w:r>
      <w:r>
        <w:rPr>
          <w:sz w:val="22"/>
          <w:rFonts w:ascii="Calibri" w:hAnsi="Calibri"/>
        </w:rPr>
        <w:t xml:space="preserve"> konektatutako gailu elektronikoen bidez, programa eta jolasen ikuskaldi-denborarekin lotutako inpaktu-mailarekin.</w:t>
      </w:r>
      <w:r>
        <w:rPr>
          <w:sz w:val="22"/>
          <w:rFonts w:ascii="Calibri" w:hAnsi="Calibri"/>
        </w:rPr>
        <w:t xml:space="preserve"> </w:t>
      </w:r>
    </w:p>
    <w:p w14:paraId="167E1EBF" w14:textId="2BBF6A7B"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Osasunaren Mundu Erakundeak eta EBk herrialdeak premiatzen dituzte adingabean babestu ditzaten elikagai ez-osasungarrien publizitatearen efektuetatik.</w:t>
      </w:r>
      <w:r>
        <w:rPr>
          <w:sz w:val="22"/>
          <w:rFonts w:ascii="Calibri" w:hAnsi="Calibri"/>
        </w:rPr>
        <w:t xml:space="preserve"> </w:t>
      </w:r>
      <w:r>
        <w:rPr>
          <w:sz w:val="22"/>
          <w:rFonts w:ascii="Calibri" w:hAnsi="Calibri"/>
        </w:rPr>
        <w:t xml:space="preserve">Agerian geratu denez, ardura hori enpresekiko autoerregulazio-hitzarmenen (Estatuan, PAOS kodea) esku uztea ez da oso eraginkorra izan.</w:t>
      </w:r>
      <w:r>
        <w:rPr>
          <w:sz w:val="22"/>
          <w:rFonts w:ascii="Calibri" w:hAnsi="Calibri"/>
        </w:rPr>
        <w:t xml:space="preserve"> </w:t>
      </w:r>
    </w:p>
    <w:p w14:paraId="0CCB71B1" w14:textId="6964AB5A"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Estatu-mailan haurrei zuzendutako elikagai-publizitatea erregulatzeko ahaleginak egin badira ere zenbaitetan, produktu ez-osasungarrien iragarkiak ugariak dira oraindik ere komunikabideetan eta adingabeen </w:t>
      </w:r>
      <w:r>
        <w:rPr>
          <w:sz w:val="22"/>
          <w:i/>
          <w:rFonts w:ascii="Calibri" w:hAnsi="Calibri"/>
        </w:rPr>
        <w:t xml:space="preserve">online</w:t>
      </w:r>
      <w:r>
        <w:rPr>
          <w:sz w:val="22"/>
          <w:rFonts w:ascii="Calibri" w:hAnsi="Calibri"/>
        </w:rPr>
        <w:t xml:space="preserve"> ingurunean.</w:t>
      </w:r>
      <w:r>
        <w:rPr>
          <w:sz w:val="22"/>
          <w:rFonts w:ascii="Calibri" w:hAnsi="Calibri"/>
        </w:rPr>
        <w:t xml:space="preserve"> </w:t>
      </w:r>
    </w:p>
    <w:p w14:paraId="73D5572F" w14:textId="77777777"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Espainiako Pediatria Elkartearen Nutrizioaren eta Amagandiko Edoskitzearen Batzordea bera ere ados dago haur eta nerabeei zuzendutako elikagai ez-osasungarrien publizitatea mugatzeko beharrarekin, komunikabide eta marketin-estrategia guztiak barnean hartuta.</w:t>
      </w:r>
      <w:r>
        <w:rPr>
          <w:sz w:val="22"/>
          <w:rFonts w:ascii="Calibri" w:hAnsi="Calibri"/>
        </w:rPr>
        <w:t xml:space="preserve"> </w:t>
      </w:r>
    </w:p>
    <w:p w14:paraId="5A7E95A4" w14:textId="77777777"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Horregatik, osasunean eragin kaltegarriak dituelako –besteak beste, obesitatearen gorakada handia–, geure buruari honako hau galdetzeko unea izanen da agian:</w:t>
      </w:r>
      <w:r>
        <w:rPr>
          <w:sz w:val="22"/>
          <w:rFonts w:ascii="Calibri" w:hAnsi="Calibri"/>
        </w:rPr>
        <w:t xml:space="preserve"> </w:t>
      </w:r>
      <w:r>
        <w:rPr>
          <w:sz w:val="22"/>
          <w:rFonts w:ascii="Calibri" w:hAnsi="Calibri"/>
        </w:rPr>
        <w:t xml:space="preserve">Ez al litzateke bidezkoa izanen elikagai-mota horren erregulazio zorrotzago bat ezartzea?</w:t>
      </w:r>
      <w:r>
        <w:rPr>
          <w:sz w:val="22"/>
          <w:rFonts w:ascii="Calibri" w:hAnsi="Calibri"/>
        </w:rPr>
        <w:t xml:space="preserve"> </w:t>
      </w:r>
    </w:p>
    <w:p w14:paraId="453FA040" w14:textId="050A6B93" w:rsidR="00735D44" w:rsidRPr="00C05681"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Hori guztia dela-eta, honako erabaki-proposamen hau aurkezten dugu:</w:t>
      </w:r>
      <w:r>
        <w:rPr>
          <w:sz w:val="22"/>
          <w:rFonts w:ascii="Calibri" w:hAnsi="Calibri"/>
        </w:rPr>
        <w:t xml:space="preserve"> </w:t>
      </w:r>
    </w:p>
    <w:p w14:paraId="34F391C4" w14:textId="77777777" w:rsidR="00735D44" w:rsidRPr="00C05681" w:rsidRDefault="00142589" w:rsidP="00C05681">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Nafarroako Parlamentuak Nafarroako Gobernua premiatzen du:</w:t>
      </w:r>
      <w:r>
        <w:rPr>
          <w:sz w:val="22"/>
          <w:rFonts w:ascii="Calibri" w:hAnsi="Calibri"/>
        </w:rPr>
        <w:t xml:space="preserve"> </w:t>
      </w:r>
    </w:p>
    <w:p w14:paraId="7F2BCFDC" w14:textId="040B14ED" w:rsidR="00735D44" w:rsidRPr="00C05681" w:rsidRDefault="00142589" w:rsidP="00C05681">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1.</w:t>
      </w:r>
      <w:r>
        <w:rPr>
          <w:sz w:val="22"/>
          <w:rFonts w:ascii="Calibri" w:hAnsi="Calibri"/>
        </w:rPr>
        <w:t xml:space="preserve"> </w:t>
      </w:r>
      <w:r>
        <w:rPr>
          <w:sz w:val="22"/>
          <w:rFonts w:ascii="Calibri" w:hAnsi="Calibri"/>
        </w:rPr>
        <w:t xml:space="preserve">Nafarroako Osasun Publikoaren eta Lan Osasunaren Institutuak osatu dezan egungo “Elikadura Osasungarriaren Nafarroako Estrategia”, nutrizioari eta bizitza aktiboa eta osasungarria izateko ohiturei buruzko heziketa ardatz duena, populazioaren arriskuak desagerraraztera bideratutako neurriekin: haurrek elikagai ultraprozesatuak –gantz aseetan eta/edo azukre sinpleetan aberatsak direnak– , bai eta edari energetikoak eta/edo edari azukretsuak eskuratzeko dituzten aukerak mugatuz edo debekatuz (Galizia).</w:t>
      </w:r>
      <w:r>
        <w:rPr>
          <w:sz w:val="22"/>
          <w:rFonts w:ascii="Calibri" w:hAnsi="Calibri"/>
        </w:rPr>
        <w:t xml:space="preserve"> </w:t>
      </w:r>
      <w:r>
        <w:rPr>
          <w:sz w:val="22"/>
          <w:rFonts w:ascii="Calibri" w:hAnsi="Calibri"/>
        </w:rPr>
        <w:t xml:space="preserve">Orobat, haurrei eta nerabeei zuzendutako produktu horien merkaturatzerako oinarrizko nutrizio-irizpideak ezarriz.</w:t>
      </w:r>
      <w:r>
        <w:rPr>
          <w:sz w:val="22"/>
          <w:rFonts w:ascii="Calibri" w:hAnsi="Calibri"/>
        </w:rPr>
        <w:t xml:space="preserve"> </w:t>
      </w:r>
      <w:r>
        <w:rPr>
          <w:sz w:val="22"/>
          <w:rFonts w:ascii="Calibri" w:hAnsi="Calibri"/>
        </w:rPr>
        <w:t xml:space="preserve">Eta elikagai eta edarien nutrizio-etiketatzeari, propietate osasungarrien adierazpenei eta sustapen komertzialari buruzko arauak sendotuz.</w:t>
      </w:r>
      <w:r>
        <w:rPr>
          <w:sz w:val="22"/>
          <w:rFonts w:ascii="Calibri" w:hAnsi="Calibri"/>
        </w:rPr>
        <w:t xml:space="preserve"> </w:t>
      </w:r>
    </w:p>
    <w:p w14:paraId="4ED22BF3" w14:textId="6121E71A" w:rsidR="00735D44" w:rsidRPr="00C05681" w:rsidRDefault="00142589" w:rsidP="00C05681">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2.</w:t>
      </w:r>
      <w:r>
        <w:rPr>
          <w:sz w:val="22"/>
          <w:rFonts w:ascii="Calibri" w:hAnsi="Calibri"/>
        </w:rPr>
        <w:t xml:space="preserve"> </w:t>
      </w:r>
      <w:r>
        <w:rPr>
          <w:sz w:val="22"/>
          <w:rFonts w:ascii="Calibri" w:hAnsi="Calibri"/>
        </w:rPr>
        <w:t xml:space="preserve">Elikadura-ingurune osasungarriak bermatu ditzan ikastetxeen inguruan, zonifikazio-politikak ezarriz, oso osasungarriak ez diren jakien saltokien presentzia mugatzeko eskoletatik, eskola-ibilbideetatik eta haur-parkeetatik gertu, Nafarroako Dietista-nutrizionisten Elkargo Ofizialak gomendatzen duenari jarraituz; orobat, produktu horiek zergapetzeko politika fiskal bat ere ezarriz.</w:t>
      </w:r>
      <w:r>
        <w:rPr>
          <w:sz w:val="22"/>
          <w:rFonts w:ascii="Calibri" w:hAnsi="Calibri"/>
        </w:rPr>
        <w:t xml:space="preserve"> </w:t>
      </w:r>
    </w:p>
    <w:p w14:paraId="4135460C" w14:textId="68E0D1C7" w:rsidR="00C05681" w:rsidRPr="00C05681" w:rsidRDefault="00142589" w:rsidP="00C05681">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3.</w:t>
      </w:r>
      <w:r>
        <w:rPr>
          <w:sz w:val="22"/>
          <w:rFonts w:ascii="Calibri" w:hAnsi="Calibri"/>
        </w:rPr>
        <w:t xml:space="preserve"> </w:t>
      </w:r>
      <w:r>
        <w:rPr>
          <w:sz w:val="22"/>
          <w:rFonts w:ascii="Calibri" w:hAnsi="Calibri"/>
        </w:rPr>
        <w:t xml:space="preserve">Espainiar Estatuko Gobernuari eska diezaion garatu dezala lege-mailako arau bat haurrei zuzendutako elikagai eta edarien publizitatea arautuko duena eta haurren kolektiboa babestuko duena elikagai ultraprozesatu eta edari energetiko eta/edo azukretsu horietatik.</w:t>
      </w:r>
      <w:r>
        <w:rPr>
          <w:sz w:val="22"/>
          <w:rFonts w:ascii="Calibri" w:hAnsi="Calibri"/>
        </w:rPr>
        <w:t xml:space="preserve"> </w:t>
      </w:r>
    </w:p>
    <w:p w14:paraId="1E2D5964" w14:textId="13DCA81F" w:rsidR="00735D44" w:rsidRDefault="00142589" w:rsidP="00C05681">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Iruñean, 2025eko otsailaren 1ean</w:t>
      </w:r>
    </w:p>
    <w:p w14:paraId="5C779CB3" w14:textId="2FBAD291" w:rsidR="00C05681" w:rsidRPr="00C05681" w:rsidRDefault="00C05681" w:rsidP="00C05681">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Domingo González Martínez</w:t>
      </w:r>
    </w:p>
    <w:sectPr w:rsidR="00C05681" w:rsidRPr="00C05681" w:rsidSect="00C05681">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35D44"/>
    <w:rsid w:val="00142589"/>
    <w:rsid w:val="002A3536"/>
    <w:rsid w:val="00567A1B"/>
    <w:rsid w:val="00735D44"/>
    <w:rsid w:val="00C05681"/>
    <w:rsid w:val="00E94E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E4B1"/>
  <w15:docId w15:val="{31CFEB15-B1A1-477C-A13B-8845F50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755</Words>
  <Characters>4153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24MOC-13</vt:lpstr>
    </vt:vector>
  </TitlesOfParts>
  <Company>HP Inc.</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24MOC-13</dc:title>
  <dc:creator>informatica</dc:creator>
  <cp:keywords>CreatedByIRIS_Readiris_17.0</cp:keywords>
  <cp:lastModifiedBy>Mauleón, Fernando</cp:lastModifiedBy>
  <cp:revision>3</cp:revision>
  <dcterms:created xsi:type="dcterms:W3CDTF">2025-02-04T07:14:00Z</dcterms:created>
  <dcterms:modified xsi:type="dcterms:W3CDTF">2025-02-05T09:44:00Z</dcterms:modified>
</cp:coreProperties>
</file>