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6DEE" w14:textId="7AC1D01B" w:rsidR="000323AC" w:rsidRPr="000323AC" w:rsidRDefault="005C03DB" w:rsidP="00881688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parlamentarioari atxikitako foru parlamentari Adolfo Araiz Flamarique jaunak idatziz erantzuteko galdera egin du, Nafarroako Parlamentuko 202406979 irteera zenbakiarekin erregistratua, 2024ko urriaren 15ean (11-24/PES-423 galdera), PFEZaren aurrezkiaren likidazio oinarri bereziaren eta oinarri orokorraren batez besteko tasari buruzko informazioa eskatzeko. Hona Ekonomia eta Ogasuneko kontseilariak horretaz ematen dion informazioa:</w:t>
      </w:r>
    </w:p>
    <w:p w14:paraId="7C8905F0" w14:textId="77777777" w:rsidR="000323AC" w:rsidRPr="000323AC" w:rsidRDefault="00881688" w:rsidP="00881688">
      <w:pPr>
        <w:numPr>
          <w:ilvl w:val="0"/>
          <w:numId w:val="20"/>
        </w:num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Emanen den informazioa gaurko egunean lortu da, 2024ko urriaren 15ean, 2013tik 2022ra arteko zergaldiei dagokienez egun horretara arte Nafarroako Foru Ogasunean aurkeztutako pertsona fisikoen errentaren gaineko zergaren )PFEZ) aitorpenen erregistroetatik.</w:t>
      </w:r>
    </w:p>
    <w:p w14:paraId="698DF040" w14:textId="77777777" w:rsidR="000323AC" w:rsidRPr="000323AC" w:rsidRDefault="00881688" w:rsidP="00881688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Ez dira sartzen 2023ko zergaldiari dagozkion aitorpenen datuak, oraindik behin-behinekoak baitira.</w:t>
      </w:r>
      <w:r>
        <w:rPr>
          <w:sz w:val="22"/>
          <w:rFonts w:ascii="Calibri" w:hAnsi="Calibri"/>
        </w:rPr>
        <w:t xml:space="preserve">  </w:t>
      </w:r>
    </w:p>
    <w:p w14:paraId="0630AC65" w14:textId="77777777" w:rsidR="000323AC" w:rsidRPr="000323AC" w:rsidRDefault="00881688" w:rsidP="00881688">
      <w:pPr>
        <w:numPr>
          <w:ilvl w:val="0"/>
          <w:numId w:val="20"/>
        </w:num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Aitorpen horien erregistroetatik modu agregatuan eta sistematizatuan lortu ahal izan dira honako magnitude hauek, likidazio oinarri orokorrari, aurrezkiaren likidazio oinarri bereziari, kuota orokorrari eta aurrezkiaren kuota bereziari dagozkienak.</w:t>
      </w:r>
      <w:r>
        <w:rPr>
          <w:sz w:val="22"/>
          <w:rFonts w:ascii="Calibri" w:hAnsi="Calibri"/>
        </w:rPr>
        <w:t xml:space="preserve"> </w:t>
      </w:r>
    </w:p>
    <w:p w14:paraId="36B0DB94" w14:textId="77777777" w:rsidR="000323AC" w:rsidRPr="000323AC" w:rsidRDefault="00881688" w:rsidP="00881688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Zati orokorrari aplikatutako batez besteko tasa kuota orokorra likidazio oinarri orokorragatik zatitu ondoko emaitzaren zatidura da.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Bestalde, aurrezkiaren zati bereziari aplikatutako batez besteko tasa aurrezkiaren kuota berezia aurrezkiaren likidazio oinarri berezia gatik zatitu ondoko emaitzaren zatidura da.</w:t>
      </w:r>
    </w:p>
    <w:p w14:paraId="522037ED" w14:textId="14525C6F" w:rsidR="00881688" w:rsidRPr="000323AC" w:rsidRDefault="00881688" w:rsidP="00881688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Guztizko batez besteko tasa aurrezkiaren kuota bereziaren eta kuota orokorraren batura aurrezkiaren likidazio oinarriaren eta orokorraren baturagatik zatitu ondoko zatidura da.</w:t>
      </w:r>
    </w:p>
    <w:p w14:paraId="24DD68FF" w14:textId="78598574" w:rsidR="000323AC" w:rsidRPr="000323AC" w:rsidRDefault="00881688" w:rsidP="00881688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Jarraian aurkezten dira azken hamar ekitaldietan aplikatutako ez besteko karga tasak, 2013tik 2022ra arteko zergaldiei dagozkienak, honen arabera banakatuta: batez besteko karga tasa likidazio oinarri orokorrerako, batez-besteko karga tasa aurrezkiaren likidazio oinarri berezirako eta guztizko batez-besteko karga tasa.</w:t>
      </w:r>
      <w:r>
        <w:rPr>
          <w:sz w:val="22"/>
          <w:rFonts w:ascii="Calibri" w:hAnsi="Calibri"/>
        </w:rPr>
        <w:t xml:space="preserve"> </w:t>
      </w:r>
    </w:p>
    <w:p w14:paraId="0FEFBA67" w14:textId="77777777" w:rsidR="000323AC" w:rsidRPr="000323AC" w:rsidRDefault="00881688" w:rsidP="00C31C6D">
      <w:pPr>
        <w:autoSpaceDE w:val="0"/>
        <w:autoSpaceDN w:val="0"/>
        <w:adjustRightInd w:val="0"/>
        <w:spacing w:line="360" w:lineRule="auto"/>
        <w:ind w:left="708"/>
        <w:jc w:val="both"/>
        <w:rPr>
          <w:b/>
          <w:color w:val="000000"/>
          <w:sz w:val="22"/>
          <w:szCs w:val="22"/>
          <w:rFonts w:ascii="Calibri" w:eastAsiaTheme="minorHAnsi" w:hAnsi="Calibri" w:cs="Calibri"/>
        </w:rPr>
      </w:pPr>
      <w:r>
        <w:rPr>
          <w:sz w:val="22"/>
          <w:rFonts w:ascii="Calibri" w:hAnsi="Calibri"/>
        </w:rPr>
        <w:drawing>
          <wp:inline distT="0" distB="0" distL="0" distR="0" wp14:anchorId="0E9F0DB6" wp14:editId="06DDA689">
            <wp:extent cx="4495800" cy="37147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368CD" w14:textId="062CC0D7" w:rsidR="000323AC" w:rsidRPr="000323AC" w:rsidRDefault="00864DCD" w:rsidP="001C5BBC">
      <w:pPr>
        <w:spacing w:line="360" w:lineRule="auto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guztia jakinarazten dut, Nafarroako Parlamentuko Erregelamenduaren 215. artikuluan xedatutakoa betez.</w:t>
      </w:r>
    </w:p>
    <w:p w14:paraId="65409990" w14:textId="77777777" w:rsidR="000323AC" w:rsidRPr="000323AC" w:rsidRDefault="005754CD" w:rsidP="000323AC">
      <w:pPr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azaroaren 6an</w:t>
      </w:r>
    </w:p>
    <w:p w14:paraId="3D4B58EB" w14:textId="07A87942" w:rsidR="002F3FFC" w:rsidRPr="000323AC" w:rsidRDefault="00C31C6D" w:rsidP="000323AC">
      <w:pPr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Ekonomia eta Ogasun kontseilaria: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José Luis Arasti Pérez</w:t>
      </w:r>
    </w:p>
    <w:sectPr w:rsidR="002F3FFC" w:rsidRPr="000323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4AF9" w14:textId="77777777" w:rsidR="00F60E93" w:rsidRDefault="00F60E93" w:rsidP="00F60E93">
      <w:r>
        <w:separator/>
      </w:r>
    </w:p>
  </w:endnote>
  <w:endnote w:type="continuationSeparator" w:id="0">
    <w:p w14:paraId="79D3B78F" w14:textId="77777777" w:rsidR="00F60E93" w:rsidRDefault="00F60E93" w:rsidP="00F6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65D2" w14:textId="77777777" w:rsidR="00F60E93" w:rsidRDefault="00F60E93" w:rsidP="00F60E93">
      <w:r>
        <w:separator/>
      </w:r>
    </w:p>
  </w:footnote>
  <w:footnote w:type="continuationSeparator" w:id="0">
    <w:p w14:paraId="2206E0C6" w14:textId="77777777" w:rsidR="00F60E93" w:rsidRDefault="00F60E93" w:rsidP="00F60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3F9"/>
    <w:multiLevelType w:val="hybridMultilevel"/>
    <w:tmpl w:val="104CA8BE"/>
    <w:lvl w:ilvl="0" w:tplc="17463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A6E2A"/>
    <w:multiLevelType w:val="hybridMultilevel"/>
    <w:tmpl w:val="1C8442B4"/>
    <w:lvl w:ilvl="0" w:tplc="02A00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6D96"/>
    <w:multiLevelType w:val="hybridMultilevel"/>
    <w:tmpl w:val="6756C4A2"/>
    <w:lvl w:ilvl="0" w:tplc="25F6BF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877D7F"/>
    <w:multiLevelType w:val="hybridMultilevel"/>
    <w:tmpl w:val="685C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52BCF"/>
    <w:multiLevelType w:val="hybridMultilevel"/>
    <w:tmpl w:val="84C04F3C"/>
    <w:lvl w:ilvl="0" w:tplc="0C0A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069D9"/>
    <w:multiLevelType w:val="hybridMultilevel"/>
    <w:tmpl w:val="64687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995F36"/>
    <w:multiLevelType w:val="hybridMultilevel"/>
    <w:tmpl w:val="A502D5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4D3AD2"/>
    <w:multiLevelType w:val="hybridMultilevel"/>
    <w:tmpl w:val="7E4480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6C726D"/>
    <w:multiLevelType w:val="hybridMultilevel"/>
    <w:tmpl w:val="BF6C3EB8"/>
    <w:lvl w:ilvl="0" w:tplc="21BECFF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Kaling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D3FAD"/>
    <w:multiLevelType w:val="hybridMultilevel"/>
    <w:tmpl w:val="22C66106"/>
    <w:lvl w:ilvl="0" w:tplc="0C0A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0" w15:restartNumberingAfterBreak="0">
    <w:nsid w:val="53B91FA8"/>
    <w:multiLevelType w:val="hybridMultilevel"/>
    <w:tmpl w:val="5D0ABA5A"/>
    <w:lvl w:ilvl="0" w:tplc="82766D1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F2474"/>
    <w:multiLevelType w:val="hybridMultilevel"/>
    <w:tmpl w:val="50ECFEAE"/>
    <w:lvl w:ilvl="0" w:tplc="D80E2088">
      <w:start w:val="1"/>
      <w:numFmt w:val="bullet"/>
      <w:lvlText w:val="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D997C52"/>
    <w:multiLevelType w:val="hybridMultilevel"/>
    <w:tmpl w:val="34EEFD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978EE"/>
    <w:multiLevelType w:val="hybridMultilevel"/>
    <w:tmpl w:val="3008F7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E5C19"/>
    <w:multiLevelType w:val="hybridMultilevel"/>
    <w:tmpl w:val="E3FCB5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A55FB"/>
    <w:multiLevelType w:val="hybridMultilevel"/>
    <w:tmpl w:val="6C7E8FAA"/>
    <w:lvl w:ilvl="0" w:tplc="009819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53050"/>
    <w:multiLevelType w:val="hybridMultilevel"/>
    <w:tmpl w:val="9C8E9E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5359D"/>
    <w:multiLevelType w:val="hybridMultilevel"/>
    <w:tmpl w:val="9F3096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9784B"/>
    <w:multiLevelType w:val="hybridMultilevel"/>
    <w:tmpl w:val="2D1015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F24ADB"/>
    <w:multiLevelType w:val="hybridMultilevel"/>
    <w:tmpl w:val="E618E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3726605">
    <w:abstractNumId w:val="5"/>
  </w:num>
  <w:num w:numId="2" w16cid:durableId="351226885">
    <w:abstractNumId w:val="6"/>
  </w:num>
  <w:num w:numId="3" w16cid:durableId="19497764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6376370">
    <w:abstractNumId w:val="3"/>
  </w:num>
  <w:num w:numId="5" w16cid:durableId="602497608">
    <w:abstractNumId w:val="19"/>
  </w:num>
  <w:num w:numId="6" w16cid:durableId="3673816">
    <w:abstractNumId w:val="2"/>
  </w:num>
  <w:num w:numId="7" w16cid:durableId="451746231">
    <w:abstractNumId w:val="1"/>
  </w:num>
  <w:num w:numId="8" w16cid:durableId="1318027149">
    <w:abstractNumId w:val="17"/>
  </w:num>
  <w:num w:numId="9" w16cid:durableId="2111200352">
    <w:abstractNumId w:val="4"/>
  </w:num>
  <w:num w:numId="10" w16cid:durableId="1074165803">
    <w:abstractNumId w:val="18"/>
  </w:num>
  <w:num w:numId="11" w16cid:durableId="518783819">
    <w:abstractNumId w:val="13"/>
  </w:num>
  <w:num w:numId="12" w16cid:durableId="449281567">
    <w:abstractNumId w:val="16"/>
  </w:num>
  <w:num w:numId="13" w16cid:durableId="1231111495">
    <w:abstractNumId w:val="9"/>
  </w:num>
  <w:num w:numId="14" w16cid:durableId="853499000">
    <w:abstractNumId w:val="11"/>
  </w:num>
  <w:num w:numId="15" w16cid:durableId="933974177">
    <w:abstractNumId w:val="8"/>
  </w:num>
  <w:num w:numId="16" w16cid:durableId="1900549640">
    <w:abstractNumId w:val="0"/>
  </w:num>
  <w:num w:numId="17" w16cid:durableId="1091705901">
    <w:abstractNumId w:val="12"/>
  </w:num>
  <w:num w:numId="18" w16cid:durableId="1206911320">
    <w:abstractNumId w:val="14"/>
  </w:num>
  <w:num w:numId="19" w16cid:durableId="163205746">
    <w:abstractNumId w:val="15"/>
  </w:num>
  <w:num w:numId="20" w16cid:durableId="900748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BBC"/>
    <w:rsid w:val="00014305"/>
    <w:rsid w:val="00030884"/>
    <w:rsid w:val="000323AC"/>
    <w:rsid w:val="00067854"/>
    <w:rsid w:val="00142D2D"/>
    <w:rsid w:val="001C5BBC"/>
    <w:rsid w:val="00233022"/>
    <w:rsid w:val="00251B06"/>
    <w:rsid w:val="002F3FFC"/>
    <w:rsid w:val="00304774"/>
    <w:rsid w:val="00347443"/>
    <w:rsid w:val="0042675C"/>
    <w:rsid w:val="00444D0E"/>
    <w:rsid w:val="00464CB5"/>
    <w:rsid w:val="00544CBD"/>
    <w:rsid w:val="00561BAD"/>
    <w:rsid w:val="005754CD"/>
    <w:rsid w:val="00576FE2"/>
    <w:rsid w:val="005952AA"/>
    <w:rsid w:val="005C03DB"/>
    <w:rsid w:val="005D43E9"/>
    <w:rsid w:val="005F4F36"/>
    <w:rsid w:val="0062129E"/>
    <w:rsid w:val="007138FD"/>
    <w:rsid w:val="0072242F"/>
    <w:rsid w:val="0073692F"/>
    <w:rsid w:val="007631EC"/>
    <w:rsid w:val="00797449"/>
    <w:rsid w:val="00837E35"/>
    <w:rsid w:val="00864DCD"/>
    <w:rsid w:val="00881688"/>
    <w:rsid w:val="00891E3A"/>
    <w:rsid w:val="008F3BE7"/>
    <w:rsid w:val="009A365D"/>
    <w:rsid w:val="009B32B7"/>
    <w:rsid w:val="00A01D43"/>
    <w:rsid w:val="00A04717"/>
    <w:rsid w:val="00A7703E"/>
    <w:rsid w:val="00AA021E"/>
    <w:rsid w:val="00AE337C"/>
    <w:rsid w:val="00B36692"/>
    <w:rsid w:val="00B77D52"/>
    <w:rsid w:val="00BF546F"/>
    <w:rsid w:val="00C31C6D"/>
    <w:rsid w:val="00D31F43"/>
    <w:rsid w:val="00DA07FB"/>
    <w:rsid w:val="00DA1E27"/>
    <w:rsid w:val="00E04955"/>
    <w:rsid w:val="00E61A08"/>
    <w:rsid w:val="00E87145"/>
    <w:rsid w:val="00E95393"/>
    <w:rsid w:val="00EB3E46"/>
    <w:rsid w:val="00F16219"/>
    <w:rsid w:val="00F323D2"/>
    <w:rsid w:val="00F60E93"/>
    <w:rsid w:val="00F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2AA92A"/>
  <w15:docId w15:val="{C7A8F175-538E-4BCC-BDD0-A62B98AF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61A0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79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3022"/>
    <w:pPr>
      <w:ind w:left="708"/>
    </w:pPr>
    <w:rPr>
      <w:lang w:eastAsia="en-US"/>
    </w:rPr>
  </w:style>
  <w:style w:type="paragraph" w:customStyle="1" w:styleId="Default">
    <w:name w:val="Default"/>
    <w:rsid w:val="008F3BE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nhideWhenUsed/>
    <w:rsid w:val="00F60E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60E93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F60E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60E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242</Words>
  <Characters>1940</Characters>
  <Application>Microsoft Office Word</Application>
  <DocSecurity>0</DocSecurity>
  <Lines>176</Lines>
  <Paragraphs>167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Miqueleiz Garayoa, Javier (Economía y Hacienda)</dc:creator>
  <cp:lastModifiedBy>Mauleón, Fernando</cp:lastModifiedBy>
  <cp:revision>40</cp:revision>
  <dcterms:created xsi:type="dcterms:W3CDTF">2019-07-29T08:37:00Z</dcterms:created>
  <dcterms:modified xsi:type="dcterms:W3CDTF">2025-01-13T09:13:00Z</dcterms:modified>
</cp:coreProperties>
</file>