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4557" w14:textId="70CF9867" w:rsidR="00450ED9" w:rsidRPr="00382461" w:rsidRDefault="00450ED9" w:rsidP="005D43E9">
      <w:pPr>
        <w:spacing w:line="360" w:lineRule="auto"/>
        <w:jc w:val="both"/>
        <w:rPr>
          <w:rFonts w:ascii="Calibri" w:hAnsi="Calibri" w:cs="Calibri"/>
          <w:b/>
          <w:bCs/>
          <w:sz w:val="22"/>
          <w:szCs w:val="22"/>
        </w:rPr>
      </w:pPr>
      <w:r>
        <w:rPr>
          <w:rFonts w:ascii="Calibri" w:hAnsi="Calibri"/>
          <w:b/>
          <w:sz w:val="22"/>
        </w:rPr>
        <w:t>Ekonomia eta Ogasuneko kontseilariaren erantzuna</w:t>
      </w:r>
    </w:p>
    <w:p w14:paraId="31D75BEA" w14:textId="67168CB8" w:rsidR="005142C4" w:rsidRPr="00382461" w:rsidRDefault="005C03DB" w:rsidP="005D43E9">
      <w:pPr>
        <w:spacing w:line="360" w:lineRule="auto"/>
        <w:jc w:val="both"/>
        <w:rPr>
          <w:rFonts w:ascii="Calibri" w:hAnsi="Calibri" w:cs="Calibri"/>
          <w:sz w:val="22"/>
          <w:szCs w:val="22"/>
        </w:rPr>
      </w:pPr>
      <w:r>
        <w:rPr>
          <w:rFonts w:ascii="Calibri" w:hAnsi="Calibri"/>
          <w:sz w:val="22"/>
        </w:rPr>
        <w:t xml:space="preserve">EH Bildu Nafarroa talde parlamentarioari atxikitako foru parlamentari Oihan </w:t>
      </w:r>
      <w:proofErr w:type="spellStart"/>
      <w:r>
        <w:rPr>
          <w:rFonts w:ascii="Calibri" w:hAnsi="Calibri"/>
          <w:sz w:val="22"/>
        </w:rPr>
        <w:t>Mendo</w:t>
      </w:r>
      <w:proofErr w:type="spellEnd"/>
      <w:r>
        <w:rPr>
          <w:rFonts w:ascii="Calibri" w:hAnsi="Calibri"/>
          <w:sz w:val="22"/>
        </w:rPr>
        <w:t xml:space="preserve"> Goñi jaunak idatziz erantzuteko galdera egin du, Nafarroako Parlamentuan 202406981 irteera zenbakiarekin erregistratua, 2024ko urriaren 14an (11-24/PES-421 galdera), askotariko informazioa eskatzeko </w:t>
      </w:r>
      <w:proofErr w:type="spellStart"/>
      <w:r>
        <w:rPr>
          <w:rFonts w:ascii="Calibri" w:hAnsi="Calibri"/>
          <w:sz w:val="22"/>
        </w:rPr>
        <w:t>Tenerías</w:t>
      </w:r>
      <w:proofErr w:type="spellEnd"/>
      <w:r>
        <w:rPr>
          <w:rFonts w:ascii="Calibri" w:hAnsi="Calibri"/>
          <w:sz w:val="22"/>
        </w:rPr>
        <w:t xml:space="preserve"> Omega enpresak aplikatutako onura fiskalei, dirulaguntzei eta laguntzei buruz. Hona hemen Ekonomia eta Ogasun Departamentuko kontseilariak horretaz ematen dion informazioa:</w:t>
      </w:r>
    </w:p>
    <w:p w14:paraId="4232C6EC" w14:textId="77777777" w:rsidR="00450ED9" w:rsidRPr="00382461" w:rsidRDefault="005142C4" w:rsidP="005142C4">
      <w:pPr>
        <w:spacing w:line="360" w:lineRule="auto"/>
        <w:jc w:val="both"/>
        <w:rPr>
          <w:rFonts w:ascii="Calibri" w:hAnsi="Calibri" w:cs="Calibri"/>
          <w:sz w:val="22"/>
          <w:szCs w:val="22"/>
        </w:rPr>
      </w:pPr>
      <w:r>
        <w:rPr>
          <w:rFonts w:ascii="Calibri" w:hAnsi="Calibri"/>
          <w:sz w:val="22"/>
        </w:rPr>
        <w:t xml:space="preserve">Eskaeraren edukia hartu behar da kontuan: Villatuertako </w:t>
      </w:r>
      <w:proofErr w:type="spellStart"/>
      <w:r>
        <w:rPr>
          <w:rFonts w:ascii="Calibri" w:hAnsi="Calibri"/>
          <w:sz w:val="22"/>
        </w:rPr>
        <w:t>Tenerías</w:t>
      </w:r>
      <w:proofErr w:type="spellEnd"/>
      <w:r>
        <w:rPr>
          <w:rFonts w:ascii="Calibri" w:hAnsi="Calibri"/>
          <w:sz w:val="22"/>
        </w:rPr>
        <w:t xml:space="preserve"> Omega enpresak aplikatutako laguntzak, dirulaguntzak eta onura fiskalak. Horren arabera, jotzen da eskaera egin duen parlamentariak hain zuzen ere laguntzen nahiz dirulaguntzen eta onura fiskalen kontzeptuak bereizi nahi dituela, kalifikazio eta irismen desberdinak dituztelako.</w:t>
      </w:r>
    </w:p>
    <w:p w14:paraId="51D9C139" w14:textId="77777777" w:rsidR="00450ED9" w:rsidRPr="00382461" w:rsidRDefault="005142C4" w:rsidP="005142C4">
      <w:pPr>
        <w:spacing w:line="360" w:lineRule="auto"/>
        <w:jc w:val="both"/>
        <w:rPr>
          <w:rFonts w:ascii="Calibri" w:hAnsi="Calibri" w:cs="Calibri"/>
          <w:sz w:val="22"/>
          <w:szCs w:val="22"/>
        </w:rPr>
      </w:pPr>
      <w:r>
        <w:rPr>
          <w:rFonts w:ascii="Calibri" w:hAnsi="Calibri"/>
          <w:sz w:val="22"/>
        </w:rPr>
        <w:t>Hala, Dirulaguntzei buruzko azaroaren 9ko 11/2005 Foru Legeak 2.1 artikuluan ezartzen duenez, pertsona publiko edo pribatuen alde egindako diruzko xedapena da dirulaguntza, baldintza hauek betetzen dituena:</w:t>
      </w:r>
    </w:p>
    <w:p w14:paraId="2673BB2E" w14:textId="77777777" w:rsidR="00450ED9" w:rsidRPr="00382461" w:rsidRDefault="005142C4" w:rsidP="005142C4">
      <w:pPr>
        <w:numPr>
          <w:ilvl w:val="0"/>
          <w:numId w:val="17"/>
        </w:numPr>
        <w:spacing w:line="360" w:lineRule="auto"/>
        <w:jc w:val="both"/>
        <w:rPr>
          <w:rFonts w:ascii="Calibri" w:hAnsi="Calibri" w:cs="Calibri"/>
          <w:sz w:val="22"/>
          <w:szCs w:val="22"/>
        </w:rPr>
      </w:pPr>
      <w:r>
        <w:rPr>
          <w:rFonts w:ascii="Calibri" w:hAnsi="Calibri"/>
          <w:sz w:val="22"/>
        </w:rPr>
        <w:t>Dirua ez onuradunen, ez hirugarren pertsonen zuzeneko kontraprestaziorik gabe ematea.</w:t>
      </w:r>
    </w:p>
    <w:p w14:paraId="1D93B63C" w14:textId="500A7F0E" w:rsidR="00450ED9" w:rsidRPr="00382461" w:rsidRDefault="005142C4" w:rsidP="005142C4">
      <w:pPr>
        <w:numPr>
          <w:ilvl w:val="0"/>
          <w:numId w:val="17"/>
        </w:numPr>
        <w:spacing w:line="360" w:lineRule="auto"/>
        <w:jc w:val="both"/>
        <w:rPr>
          <w:rFonts w:ascii="Calibri" w:hAnsi="Calibri" w:cs="Calibri"/>
          <w:sz w:val="22"/>
          <w:szCs w:val="22"/>
        </w:rPr>
      </w:pPr>
      <w:r>
        <w:rPr>
          <w:rFonts w:ascii="Calibri" w:hAnsi="Calibri"/>
          <w:sz w:val="22"/>
        </w:rPr>
        <w:t>Dirua emateko baldintza izatea xede jakin bat bete dadila, edo proiekturen bat gauzatu, jardueraren bat egin nahiz jokabide berezia har dadila (xede horiek jada burutuak izan daitezke nahiz oraindik burutu gabeak), edo inguruabar jakin batzuk gertatzea; eta onuradunari betebehar material eta formal batzuk ezartzea.</w:t>
      </w:r>
    </w:p>
    <w:p w14:paraId="3A083881" w14:textId="77777777" w:rsidR="00450ED9" w:rsidRPr="00382461" w:rsidRDefault="005142C4" w:rsidP="005142C4">
      <w:pPr>
        <w:numPr>
          <w:ilvl w:val="0"/>
          <w:numId w:val="17"/>
        </w:numPr>
        <w:spacing w:line="360" w:lineRule="auto"/>
        <w:jc w:val="both"/>
        <w:rPr>
          <w:rFonts w:ascii="Calibri" w:hAnsi="Calibri" w:cs="Calibri"/>
          <w:sz w:val="22"/>
          <w:szCs w:val="22"/>
        </w:rPr>
      </w:pPr>
      <w:r>
        <w:rPr>
          <w:rFonts w:ascii="Calibri" w:hAnsi="Calibri"/>
          <w:sz w:val="22"/>
        </w:rPr>
        <w:t>Finantzatzen den proiektu, ekintza, jokabide edo egoeraren helburuak onura publikoko edo gizarte intereseko jardueraren bat sustatzea edo xede publikoren bat sustatzea izan behar du.</w:t>
      </w:r>
    </w:p>
    <w:p w14:paraId="255BE5DE" w14:textId="77777777" w:rsidR="00450ED9" w:rsidRPr="00382461" w:rsidRDefault="005142C4" w:rsidP="005142C4">
      <w:pPr>
        <w:spacing w:line="360" w:lineRule="auto"/>
        <w:jc w:val="both"/>
        <w:rPr>
          <w:rFonts w:ascii="Calibri" w:hAnsi="Calibri" w:cs="Calibri"/>
          <w:sz w:val="22"/>
          <w:szCs w:val="22"/>
        </w:rPr>
      </w:pPr>
      <w:r>
        <w:rPr>
          <w:rFonts w:ascii="Calibri" w:hAnsi="Calibri"/>
          <w:sz w:val="22"/>
        </w:rPr>
        <w:t>Gainera, lege-arau berak 2.3.b) artikuluan zehazten duenez, zerga-onurak ez dira dirulaguntzatzat hartuko.</w:t>
      </w:r>
    </w:p>
    <w:p w14:paraId="5961790A" w14:textId="77777777" w:rsidR="00450ED9" w:rsidRPr="00382461" w:rsidRDefault="005142C4" w:rsidP="005142C4">
      <w:pPr>
        <w:spacing w:line="360" w:lineRule="auto"/>
        <w:jc w:val="both"/>
        <w:rPr>
          <w:rFonts w:ascii="Calibri" w:hAnsi="Calibri" w:cs="Calibri"/>
          <w:sz w:val="22"/>
          <w:szCs w:val="22"/>
        </w:rPr>
      </w:pPr>
      <w:r>
        <w:rPr>
          <w:rFonts w:ascii="Calibri" w:hAnsi="Calibri"/>
          <w:sz w:val="22"/>
        </w:rPr>
        <w:t xml:space="preserve">Hori dela-eta, ohartarazten da erantzun hau Villatuertako </w:t>
      </w:r>
      <w:proofErr w:type="spellStart"/>
      <w:r>
        <w:rPr>
          <w:rFonts w:ascii="Calibri" w:hAnsi="Calibri"/>
          <w:sz w:val="22"/>
        </w:rPr>
        <w:t>Tenerías</w:t>
      </w:r>
      <w:proofErr w:type="spellEnd"/>
      <w:r>
        <w:rPr>
          <w:rFonts w:ascii="Calibri" w:hAnsi="Calibri"/>
          <w:sz w:val="22"/>
        </w:rPr>
        <w:t xml:space="preserve"> Omega entitateak aplikatutako onura fiskalen inguruan eskatutako informazioari buruzkoa baino ez dela, eta ez jaso ahal izan dituen dirulaguntzei eta laguntzei buruzkoa. Zentzu horretan, onura fiskalen kontzeptua adiera zabalean interpretatu behar da, hau da, aipatu zergadunak izan zitzakeen kenkari edo salbuespen fiskalak barne. Erantzunak, hala ere, ez dio eragiten Nafarroako Gobernuko beste departamentu batzuetatik entitate horrek jaso ahal izan dituen dirulaguntzei buruzko informazio eskaerari, eta halakorik ez du aipatzen gainera.</w:t>
      </w:r>
    </w:p>
    <w:p w14:paraId="7F8CF9E7" w14:textId="77777777" w:rsidR="00450ED9" w:rsidRPr="00382461" w:rsidRDefault="005142C4" w:rsidP="005142C4">
      <w:pPr>
        <w:spacing w:line="360" w:lineRule="auto"/>
        <w:jc w:val="both"/>
        <w:rPr>
          <w:rFonts w:ascii="Calibri" w:hAnsi="Calibri" w:cs="Calibri"/>
          <w:i/>
          <w:sz w:val="22"/>
          <w:szCs w:val="22"/>
        </w:rPr>
      </w:pPr>
      <w:r>
        <w:rPr>
          <w:rFonts w:ascii="Calibri" w:hAnsi="Calibri"/>
          <w:sz w:val="22"/>
        </w:rPr>
        <w:t xml:space="preserve">Antzeko beste informazio-eskaera batzuetan erantzun dugun bezala, esan behar da Nafarroako Foru Komunitateko Zerga Administrazioak datuak lagatzeari buruzko gaia Tributuei buruzko abenduaren 14ko 13/2000 Foru Lege Orokorraren (hemendik aurrera, TFLO) </w:t>
      </w:r>
      <w:r>
        <w:rPr>
          <w:rFonts w:ascii="Calibri" w:hAnsi="Calibri"/>
          <w:sz w:val="22"/>
        </w:rPr>
        <w:lastRenderedPageBreak/>
        <w:t xml:space="preserve">105.1 artikuluan araututa dagoela; honako eduki honekin hasten da artikulu hori: </w:t>
      </w:r>
      <w:r>
        <w:rPr>
          <w:rFonts w:ascii="Calibri" w:hAnsi="Calibri"/>
          <w:i/>
          <w:sz w:val="22"/>
        </w:rPr>
        <w:t>“Bere eginkizunen barnean zerga administrazioak lortutako datuak, txostenak edo aurrekariak isilpekoak dira, eta aginduz kudeatu behar dituen tributuak edo baliabideak benetan aplikatzeko erabiliko dira bakarrik. Ezin izanen zaizkie hirugarrenei laga edo komunikatu”.</w:t>
      </w:r>
    </w:p>
    <w:p w14:paraId="7E5FBB47" w14:textId="7ADC2817" w:rsidR="00450ED9" w:rsidRPr="00382461" w:rsidRDefault="005142C4" w:rsidP="005142C4">
      <w:pPr>
        <w:spacing w:line="360" w:lineRule="auto"/>
        <w:jc w:val="both"/>
        <w:rPr>
          <w:rFonts w:ascii="Calibri" w:hAnsi="Calibri" w:cs="Calibri"/>
          <w:sz w:val="22"/>
          <w:szCs w:val="22"/>
        </w:rPr>
      </w:pPr>
      <w:r>
        <w:rPr>
          <w:rFonts w:ascii="Calibri" w:hAnsi="Calibri"/>
          <w:sz w:val="22"/>
        </w:rPr>
        <w:t>Hori dela-eta, lege-araudiak argi eta garbi xedatzen du Zerga Administrazioak bere eginkizunak betetzean jaso dituen datuak isilpekoak direla eta zergen ikuspegitik garrantzitsuak diren helburuetarako soilik bideratu edo erabil daitezkeela, hau da, zergak aplikatzeko bakarrik erabili ahal izanen direla. Izaera erreserbatu horren arrazoia da zergadunek zerga-araudia aplikatzeko eginkizuna eraginkortasunez bete dezan zerga-administrazioari bidaltzen eta ematen dizkioten datuen pribatutasuna zaindu behar dela. Hala ere, erraza da ulertzea erreserba hori ezin dela erabatekoa izan, batzuetan tentsioa egon baitaiteke datuen pribatutasunaren eta baliabideen kudeaketa publikoan nagusi izan behar duen gardentasunaren artean. Horren arabera, bien arteko oreka bilatu behar da (pribatutasuna eta gardentasuna), eskubide indibidualak eta kolektiboak edo gizartea kaltetu gabe.</w:t>
      </w:r>
    </w:p>
    <w:p w14:paraId="6178E3B1" w14:textId="77777777" w:rsidR="00450ED9" w:rsidRPr="00382461" w:rsidRDefault="005142C4" w:rsidP="005142C4">
      <w:pPr>
        <w:spacing w:line="360" w:lineRule="auto"/>
        <w:jc w:val="both"/>
        <w:rPr>
          <w:rFonts w:ascii="Calibri" w:hAnsi="Calibri" w:cs="Calibri"/>
          <w:sz w:val="22"/>
          <w:szCs w:val="22"/>
        </w:rPr>
      </w:pPr>
      <w:r>
        <w:rPr>
          <w:rFonts w:ascii="Calibri" w:hAnsi="Calibri"/>
          <w:sz w:val="22"/>
        </w:rPr>
        <w:t xml:space="preserve">Oreka hori lortzea du xede </w:t>
      </w:r>
      <w:proofErr w:type="spellStart"/>
      <w:r>
        <w:rPr>
          <w:rFonts w:ascii="Calibri" w:hAnsi="Calibri"/>
          <w:sz w:val="22"/>
        </w:rPr>
        <w:t>TFLOren</w:t>
      </w:r>
      <w:proofErr w:type="spellEnd"/>
      <w:r>
        <w:rPr>
          <w:rFonts w:ascii="Calibri" w:hAnsi="Calibri"/>
          <w:sz w:val="22"/>
        </w:rPr>
        <w:t xml:space="preserve"> 105.1 artikuluak. Hala ere, hain argia eta biribila izan arren, arauak salbuespen batzuk edo legezko gaikuntza batzuk onartzen ditu, lagapen edo komunikazio hori baimentzea ahalbidetzen dutenak.</w:t>
      </w:r>
    </w:p>
    <w:p w14:paraId="5269006D" w14:textId="5C7026D8" w:rsidR="00A04717" w:rsidRPr="00382461" w:rsidRDefault="005142C4" w:rsidP="00DA07FB">
      <w:pPr>
        <w:spacing w:line="360" w:lineRule="auto"/>
        <w:jc w:val="both"/>
        <w:rPr>
          <w:rFonts w:ascii="Calibri" w:hAnsi="Calibri" w:cs="Calibri"/>
          <w:b/>
          <w:sz w:val="22"/>
          <w:szCs w:val="22"/>
        </w:rPr>
      </w:pPr>
      <w:r>
        <w:rPr>
          <w:rFonts w:ascii="Calibri" w:hAnsi="Calibri"/>
          <w:sz w:val="22"/>
        </w:rPr>
        <w:t xml:space="preserve">Aipatutako 105.1 artikuluko salbuespen edo gaikuntzen artean ez dago eskatutako informazio eskaera egokitzen den inolako kasurik, eta, beraz, ezin da Villatuertako </w:t>
      </w:r>
      <w:proofErr w:type="spellStart"/>
      <w:r>
        <w:rPr>
          <w:rFonts w:ascii="Calibri" w:hAnsi="Calibri"/>
          <w:sz w:val="22"/>
        </w:rPr>
        <w:t>Tenerías</w:t>
      </w:r>
      <w:proofErr w:type="spellEnd"/>
      <w:r>
        <w:rPr>
          <w:rFonts w:ascii="Calibri" w:hAnsi="Calibri"/>
          <w:sz w:val="22"/>
        </w:rPr>
        <w:t xml:space="preserve"> Omega enpresak azken hamar urteetan aplikatutako onura fiskalei buruzko informaziorik eman.</w:t>
      </w:r>
    </w:p>
    <w:p w14:paraId="68E205EE" w14:textId="3801C5D1" w:rsidR="00F359EB" w:rsidRPr="00382461" w:rsidRDefault="00864DCD" w:rsidP="00450ED9">
      <w:pPr>
        <w:spacing w:line="360" w:lineRule="auto"/>
        <w:rPr>
          <w:rFonts w:ascii="Calibri" w:hAnsi="Calibri" w:cs="Calibri"/>
          <w:sz w:val="22"/>
          <w:szCs w:val="22"/>
        </w:rPr>
      </w:pPr>
      <w:r>
        <w:rPr>
          <w:rFonts w:ascii="Calibri" w:hAnsi="Calibri"/>
          <w:sz w:val="22"/>
        </w:rPr>
        <w:t>Hori guztia jakinarazten dut, Nafarroako Parlamentuko Erregelamenduaren 215. artikuluan xedatutakoa betez.</w:t>
      </w:r>
    </w:p>
    <w:p w14:paraId="265B2F64" w14:textId="370EB8CB" w:rsidR="00450ED9" w:rsidRPr="00382461" w:rsidRDefault="001C5BBC" w:rsidP="001C5BBC">
      <w:pPr>
        <w:rPr>
          <w:rFonts w:ascii="Calibri" w:hAnsi="Calibri" w:cs="Calibri"/>
          <w:sz w:val="22"/>
          <w:szCs w:val="22"/>
        </w:rPr>
      </w:pPr>
      <w:r>
        <w:rPr>
          <w:rFonts w:ascii="Calibri" w:hAnsi="Calibri"/>
          <w:sz w:val="22"/>
        </w:rPr>
        <w:t>Iruñean, 2024ko azaroaren 4an</w:t>
      </w:r>
    </w:p>
    <w:p w14:paraId="7B2DBE0A" w14:textId="7C82B027" w:rsidR="00450ED9" w:rsidRPr="00382461" w:rsidRDefault="007631EC" w:rsidP="00450ED9">
      <w:pPr>
        <w:rPr>
          <w:rFonts w:ascii="Calibri" w:hAnsi="Calibri" w:cs="Calibri"/>
          <w:sz w:val="22"/>
          <w:szCs w:val="22"/>
        </w:rPr>
      </w:pPr>
      <w:r>
        <w:rPr>
          <w:rFonts w:ascii="Calibri" w:hAnsi="Calibri"/>
          <w:sz w:val="22"/>
        </w:rPr>
        <w:t xml:space="preserve">Ekonomia eta Ogasun kontseilaria: José Luis </w:t>
      </w:r>
      <w:proofErr w:type="spellStart"/>
      <w:r>
        <w:rPr>
          <w:rFonts w:ascii="Calibri" w:hAnsi="Calibri"/>
          <w:sz w:val="22"/>
        </w:rPr>
        <w:t>Arasti</w:t>
      </w:r>
      <w:proofErr w:type="spellEnd"/>
      <w:r>
        <w:rPr>
          <w:rFonts w:ascii="Calibri" w:hAnsi="Calibri"/>
          <w:sz w:val="22"/>
        </w:rPr>
        <w:t xml:space="preserve"> Pérez</w:t>
      </w:r>
    </w:p>
    <w:p w14:paraId="262A386F" w14:textId="77777777" w:rsidR="00450ED9" w:rsidRPr="00382461" w:rsidRDefault="00450ED9" w:rsidP="00450ED9">
      <w:pPr>
        <w:rPr>
          <w:rFonts w:ascii="Calibri" w:hAnsi="Calibri" w:cs="Calibri"/>
          <w:sz w:val="22"/>
          <w:szCs w:val="22"/>
        </w:rPr>
      </w:pPr>
    </w:p>
    <w:p w14:paraId="1DF59C65" w14:textId="22ED1064" w:rsidR="00450ED9" w:rsidRPr="00382461" w:rsidRDefault="00450ED9" w:rsidP="00450ED9">
      <w:pPr>
        <w:rPr>
          <w:rFonts w:ascii="Calibri" w:hAnsi="Calibri" w:cs="Calibri"/>
          <w:b/>
          <w:bCs/>
          <w:sz w:val="22"/>
          <w:szCs w:val="22"/>
        </w:rPr>
      </w:pPr>
      <w:r>
        <w:rPr>
          <w:rFonts w:ascii="Calibri" w:hAnsi="Calibri"/>
          <w:b/>
          <w:sz w:val="22"/>
        </w:rPr>
        <w:t>Industriako eta Enpresen Trantsizio Ekologiko eta Digitalerako kontseilariaren erantzuna</w:t>
      </w:r>
    </w:p>
    <w:p w14:paraId="3A3002BD" w14:textId="3654389F" w:rsidR="00450ED9" w:rsidRPr="00450ED9" w:rsidRDefault="00450ED9" w:rsidP="00450ED9">
      <w:pPr>
        <w:spacing w:line="360" w:lineRule="auto"/>
        <w:jc w:val="both"/>
        <w:rPr>
          <w:rFonts w:ascii="Calibri" w:hAnsi="Calibri" w:cs="Calibri"/>
          <w:sz w:val="22"/>
          <w:szCs w:val="22"/>
        </w:rPr>
      </w:pPr>
      <w:r>
        <w:rPr>
          <w:rFonts w:ascii="Calibri" w:hAnsi="Calibri"/>
          <w:sz w:val="22"/>
        </w:rPr>
        <w:t xml:space="preserve">EH Bildu Nafarroa talde parlamentarioari atxikitako foru parlamentari Oihan </w:t>
      </w:r>
      <w:proofErr w:type="spellStart"/>
      <w:r>
        <w:rPr>
          <w:rFonts w:ascii="Calibri" w:hAnsi="Calibri"/>
          <w:sz w:val="22"/>
        </w:rPr>
        <w:t>Mendo</w:t>
      </w:r>
      <w:proofErr w:type="spellEnd"/>
      <w:r>
        <w:rPr>
          <w:rFonts w:ascii="Calibri" w:hAnsi="Calibri"/>
          <w:sz w:val="22"/>
        </w:rPr>
        <w:t xml:space="preserve"> Goñi jaunak idatziz erantzuteko galdera egin du Villatuertako TENERÍAS OMEGA enpresak jasotako dirulaguntzei eta onura fiskalei buruz (11-24/PES-00421). Hona Nafarroako Gobernuko Industriako eta Enpresen Trantsizio Ekologiko eta Digitalerako Departamentuko kontseilariak horri buruz ematen dion informazioa:</w:t>
      </w:r>
    </w:p>
    <w:p w14:paraId="38CC727D" w14:textId="4C03D065" w:rsidR="00450ED9" w:rsidRDefault="001C2E6F" w:rsidP="00450ED9">
      <w:pPr>
        <w:spacing w:line="360" w:lineRule="auto"/>
        <w:jc w:val="both"/>
        <w:rPr>
          <w:rFonts w:ascii="Calibri" w:hAnsi="Calibri"/>
          <w:sz w:val="22"/>
        </w:rPr>
      </w:pPr>
      <w:proofErr w:type="spellStart"/>
      <w:r>
        <w:rPr>
          <w:rFonts w:ascii="Calibri" w:hAnsi="Calibri"/>
          <w:sz w:val="22"/>
        </w:rPr>
        <w:t>Tenerías</w:t>
      </w:r>
      <w:proofErr w:type="spellEnd"/>
      <w:r>
        <w:rPr>
          <w:rFonts w:ascii="Calibri" w:hAnsi="Calibri"/>
          <w:sz w:val="22"/>
        </w:rPr>
        <w:t xml:space="preserve"> Omega </w:t>
      </w:r>
      <w:r w:rsidR="00450ED9">
        <w:rPr>
          <w:rFonts w:ascii="Calibri" w:hAnsi="Calibri"/>
          <w:sz w:val="22"/>
        </w:rPr>
        <w:t>enpresak Industriako eta Enpresen Trantsizio Ekologiko eta Digitalerako Departamentutik azken hamar urteetan jaso dituen laguntzak I. eranskinean jasotakoak dira.</w:t>
      </w:r>
    </w:p>
    <w:p w14:paraId="4B245F11" w14:textId="4477C6D7" w:rsidR="00A9273D" w:rsidRPr="00450ED9" w:rsidRDefault="001E222B" w:rsidP="00450ED9">
      <w:pPr>
        <w:spacing w:line="360" w:lineRule="auto"/>
        <w:jc w:val="both"/>
        <w:rPr>
          <w:rFonts w:ascii="Calibri" w:hAnsi="Calibri" w:cs="Calibri"/>
          <w:sz w:val="22"/>
          <w:szCs w:val="22"/>
        </w:rPr>
      </w:pPr>
      <w:r>
        <w:rPr>
          <w:rFonts w:ascii="Calibri" w:hAnsi="Calibri" w:cs="Calibri"/>
          <w:sz w:val="22"/>
          <w:szCs w:val="22"/>
        </w:rPr>
        <w:tab/>
      </w:r>
    </w:p>
    <w:p w14:paraId="3DF259B0" w14:textId="5AD28F17" w:rsidR="00450ED9" w:rsidRPr="00450ED9" w:rsidRDefault="00450ED9" w:rsidP="00450ED9">
      <w:pPr>
        <w:spacing w:line="360" w:lineRule="auto"/>
        <w:jc w:val="both"/>
        <w:rPr>
          <w:rFonts w:ascii="Calibri" w:hAnsi="Calibri" w:cs="Calibri"/>
          <w:sz w:val="22"/>
          <w:szCs w:val="22"/>
        </w:rPr>
      </w:pPr>
      <w:r>
        <w:rPr>
          <w:rFonts w:ascii="Calibri" w:hAnsi="Calibri"/>
          <w:sz w:val="22"/>
        </w:rPr>
        <w:t>Hori jakinarazten dut, Nafarroako Parlamentuko Erregelamenduaren 215. artikuluan xedatutakoa betez.</w:t>
      </w:r>
    </w:p>
    <w:p w14:paraId="156788B6" w14:textId="77777777" w:rsidR="00450ED9" w:rsidRPr="00450ED9" w:rsidRDefault="00450ED9" w:rsidP="00450ED9">
      <w:pPr>
        <w:spacing w:line="360" w:lineRule="auto"/>
        <w:jc w:val="both"/>
        <w:rPr>
          <w:rFonts w:ascii="Calibri" w:hAnsi="Calibri" w:cs="Calibri"/>
          <w:sz w:val="22"/>
          <w:szCs w:val="22"/>
        </w:rPr>
      </w:pPr>
      <w:r>
        <w:rPr>
          <w:rFonts w:ascii="Calibri" w:hAnsi="Calibri"/>
          <w:sz w:val="22"/>
        </w:rPr>
        <w:lastRenderedPageBreak/>
        <w:t>Iruñean, 2024ko urriaren 29an</w:t>
      </w:r>
    </w:p>
    <w:p w14:paraId="3A9BDB63" w14:textId="2EEAA582" w:rsidR="00450ED9" w:rsidRPr="00382461" w:rsidRDefault="00450ED9" w:rsidP="00450ED9">
      <w:pPr>
        <w:spacing w:line="360" w:lineRule="auto"/>
        <w:jc w:val="both"/>
        <w:rPr>
          <w:rFonts w:ascii="Calibri" w:hAnsi="Calibri" w:cs="Calibri"/>
          <w:sz w:val="22"/>
          <w:szCs w:val="22"/>
        </w:rPr>
      </w:pPr>
      <w:r>
        <w:rPr>
          <w:rFonts w:ascii="Calibri" w:hAnsi="Calibri"/>
          <w:sz w:val="22"/>
        </w:rPr>
        <w:t xml:space="preserve">Industriako eta Enpresen Trantsizio Ekologiko eta Digitalerako kontseilaria: Mikel Irujo </w:t>
      </w:r>
      <w:proofErr w:type="spellStart"/>
      <w:r>
        <w:rPr>
          <w:rFonts w:ascii="Calibri" w:hAnsi="Calibri"/>
          <w:sz w:val="22"/>
        </w:rPr>
        <w:t>Amezaga</w:t>
      </w:r>
      <w:proofErr w:type="spellEnd"/>
    </w:p>
    <w:sectPr w:rsidR="00450ED9" w:rsidRPr="0038246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0E05" w14:textId="77777777" w:rsidR="00EA1298" w:rsidRDefault="00EA1298" w:rsidP="00EA1298">
      <w:r>
        <w:separator/>
      </w:r>
    </w:p>
  </w:endnote>
  <w:endnote w:type="continuationSeparator" w:id="0">
    <w:p w14:paraId="4964DF69" w14:textId="77777777" w:rsidR="00EA1298" w:rsidRDefault="00EA1298" w:rsidP="00EA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93BA" w14:textId="77777777" w:rsidR="00EA1298" w:rsidRDefault="00EA1298" w:rsidP="00EA1298">
      <w:r>
        <w:separator/>
      </w:r>
    </w:p>
  </w:footnote>
  <w:footnote w:type="continuationSeparator" w:id="0">
    <w:p w14:paraId="4B563A1E" w14:textId="77777777" w:rsidR="00EA1298" w:rsidRDefault="00EA1298" w:rsidP="00EA1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3F9"/>
    <w:multiLevelType w:val="hybridMultilevel"/>
    <w:tmpl w:val="104CA8BE"/>
    <w:lvl w:ilvl="0" w:tplc="174635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60F2D6C"/>
    <w:multiLevelType w:val="hybridMultilevel"/>
    <w:tmpl w:val="74D20BFA"/>
    <w:lvl w:ilvl="0" w:tplc="DEBA4696">
      <w:start w:val="1"/>
      <w:numFmt w:val="lowerLetter"/>
      <w:lvlText w:val="%1)"/>
      <w:lvlJc w:val="left"/>
      <w:pPr>
        <w:ind w:left="1098" w:hanging="39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81A6E2A"/>
    <w:multiLevelType w:val="hybridMultilevel"/>
    <w:tmpl w:val="1C8442B4"/>
    <w:lvl w:ilvl="0" w:tplc="02A002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236D96"/>
    <w:multiLevelType w:val="hybridMultilevel"/>
    <w:tmpl w:val="6756C4A2"/>
    <w:lvl w:ilvl="0" w:tplc="25F6BF94">
      <w:start w:val="1"/>
      <w:numFmt w:val="upperRoman"/>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1877D7F"/>
    <w:multiLevelType w:val="hybridMultilevel"/>
    <w:tmpl w:val="685C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052BCF"/>
    <w:multiLevelType w:val="hybridMultilevel"/>
    <w:tmpl w:val="84C04F3C"/>
    <w:lvl w:ilvl="0" w:tplc="0C0A000F">
      <w:start w:val="1"/>
      <w:numFmt w:val="decimal"/>
      <w:lvlText w:val="%1."/>
      <w:lvlJc w:val="left"/>
      <w:pPr>
        <w:tabs>
          <w:tab w:val="num" w:pos="1778"/>
        </w:tabs>
        <w:ind w:left="177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1995F36"/>
    <w:multiLevelType w:val="hybridMultilevel"/>
    <w:tmpl w:val="A502D5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06C726D"/>
    <w:multiLevelType w:val="hybridMultilevel"/>
    <w:tmpl w:val="BF6C3EB8"/>
    <w:lvl w:ilvl="0" w:tplc="21BECFFA">
      <w:numFmt w:val="bullet"/>
      <w:lvlText w:val="-"/>
      <w:lvlJc w:val="left"/>
      <w:pPr>
        <w:ind w:left="720" w:hanging="360"/>
      </w:pPr>
      <w:rPr>
        <w:rFonts w:ascii="Century Gothic" w:eastAsia="Times New Roman" w:hAnsi="Century Gothic" w:cs="Kaling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36D3FAD"/>
    <w:multiLevelType w:val="hybridMultilevel"/>
    <w:tmpl w:val="22C66106"/>
    <w:lvl w:ilvl="0" w:tplc="0C0A0001">
      <w:start w:val="1"/>
      <w:numFmt w:val="bullet"/>
      <w:lvlText w:val=""/>
      <w:lvlJc w:val="left"/>
      <w:pPr>
        <w:ind w:left="1492" w:hanging="360"/>
      </w:pPr>
      <w:rPr>
        <w:rFonts w:ascii="Symbol" w:hAnsi="Symbol" w:hint="default"/>
      </w:rPr>
    </w:lvl>
    <w:lvl w:ilvl="1" w:tplc="0C0A0003">
      <w:start w:val="1"/>
      <w:numFmt w:val="bullet"/>
      <w:lvlText w:val="o"/>
      <w:lvlJc w:val="left"/>
      <w:pPr>
        <w:ind w:left="2212" w:hanging="360"/>
      </w:pPr>
      <w:rPr>
        <w:rFonts w:ascii="Courier New" w:hAnsi="Courier New" w:cs="Courier New" w:hint="default"/>
      </w:rPr>
    </w:lvl>
    <w:lvl w:ilvl="2" w:tplc="0C0A0005" w:tentative="1">
      <w:start w:val="1"/>
      <w:numFmt w:val="bullet"/>
      <w:lvlText w:val=""/>
      <w:lvlJc w:val="left"/>
      <w:pPr>
        <w:ind w:left="2932" w:hanging="360"/>
      </w:pPr>
      <w:rPr>
        <w:rFonts w:ascii="Wingdings" w:hAnsi="Wingdings" w:hint="default"/>
      </w:rPr>
    </w:lvl>
    <w:lvl w:ilvl="3" w:tplc="0C0A0001" w:tentative="1">
      <w:start w:val="1"/>
      <w:numFmt w:val="bullet"/>
      <w:lvlText w:val=""/>
      <w:lvlJc w:val="left"/>
      <w:pPr>
        <w:ind w:left="3652" w:hanging="360"/>
      </w:pPr>
      <w:rPr>
        <w:rFonts w:ascii="Symbol" w:hAnsi="Symbol" w:hint="default"/>
      </w:rPr>
    </w:lvl>
    <w:lvl w:ilvl="4" w:tplc="0C0A0003" w:tentative="1">
      <w:start w:val="1"/>
      <w:numFmt w:val="bullet"/>
      <w:lvlText w:val="o"/>
      <w:lvlJc w:val="left"/>
      <w:pPr>
        <w:ind w:left="4372" w:hanging="360"/>
      </w:pPr>
      <w:rPr>
        <w:rFonts w:ascii="Courier New" w:hAnsi="Courier New" w:cs="Courier New" w:hint="default"/>
      </w:rPr>
    </w:lvl>
    <w:lvl w:ilvl="5" w:tplc="0C0A0005" w:tentative="1">
      <w:start w:val="1"/>
      <w:numFmt w:val="bullet"/>
      <w:lvlText w:val=""/>
      <w:lvlJc w:val="left"/>
      <w:pPr>
        <w:ind w:left="5092" w:hanging="360"/>
      </w:pPr>
      <w:rPr>
        <w:rFonts w:ascii="Wingdings" w:hAnsi="Wingdings" w:hint="default"/>
      </w:rPr>
    </w:lvl>
    <w:lvl w:ilvl="6" w:tplc="0C0A0001" w:tentative="1">
      <w:start w:val="1"/>
      <w:numFmt w:val="bullet"/>
      <w:lvlText w:val=""/>
      <w:lvlJc w:val="left"/>
      <w:pPr>
        <w:ind w:left="5812" w:hanging="360"/>
      </w:pPr>
      <w:rPr>
        <w:rFonts w:ascii="Symbol" w:hAnsi="Symbol" w:hint="default"/>
      </w:rPr>
    </w:lvl>
    <w:lvl w:ilvl="7" w:tplc="0C0A0003" w:tentative="1">
      <w:start w:val="1"/>
      <w:numFmt w:val="bullet"/>
      <w:lvlText w:val="o"/>
      <w:lvlJc w:val="left"/>
      <w:pPr>
        <w:ind w:left="6532" w:hanging="360"/>
      </w:pPr>
      <w:rPr>
        <w:rFonts w:ascii="Courier New" w:hAnsi="Courier New" w:cs="Courier New" w:hint="default"/>
      </w:rPr>
    </w:lvl>
    <w:lvl w:ilvl="8" w:tplc="0C0A0005" w:tentative="1">
      <w:start w:val="1"/>
      <w:numFmt w:val="bullet"/>
      <w:lvlText w:val=""/>
      <w:lvlJc w:val="left"/>
      <w:pPr>
        <w:ind w:left="7252" w:hanging="360"/>
      </w:pPr>
      <w:rPr>
        <w:rFonts w:ascii="Wingdings" w:hAnsi="Wingdings" w:hint="default"/>
      </w:rPr>
    </w:lvl>
  </w:abstractNum>
  <w:abstractNum w:abstractNumId="10" w15:restartNumberingAfterBreak="0">
    <w:nsid w:val="53B91FA8"/>
    <w:multiLevelType w:val="hybridMultilevel"/>
    <w:tmpl w:val="5D0ABA5A"/>
    <w:lvl w:ilvl="0" w:tplc="82766D1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B9F2474"/>
    <w:multiLevelType w:val="hybridMultilevel"/>
    <w:tmpl w:val="50ECFEAE"/>
    <w:lvl w:ilvl="0" w:tplc="D80E2088">
      <w:start w:val="1"/>
      <w:numFmt w:val="bullet"/>
      <w:lvlText w:val=""/>
      <w:lvlJc w:val="left"/>
      <w:pPr>
        <w:ind w:left="1776" w:hanging="360"/>
      </w:pPr>
      <w:rPr>
        <w:rFonts w:ascii="Wingdings" w:eastAsiaTheme="minorHAnsi" w:hAnsi="Wingdings"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2" w15:restartNumberingAfterBreak="0">
    <w:nsid w:val="5DA978EE"/>
    <w:multiLevelType w:val="hybridMultilevel"/>
    <w:tmpl w:val="3008F75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ED53050"/>
    <w:multiLevelType w:val="hybridMultilevel"/>
    <w:tmpl w:val="9C8E9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F65359D"/>
    <w:multiLevelType w:val="hybridMultilevel"/>
    <w:tmpl w:val="9F3096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049784B"/>
    <w:multiLevelType w:val="hybridMultilevel"/>
    <w:tmpl w:val="2D10153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77F24ADB"/>
    <w:multiLevelType w:val="hybridMultilevel"/>
    <w:tmpl w:val="E618E63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453088996">
    <w:abstractNumId w:val="6"/>
  </w:num>
  <w:num w:numId="2" w16cid:durableId="139880691">
    <w:abstractNumId w:val="7"/>
  </w:num>
  <w:num w:numId="3" w16cid:durableId="598368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0015145">
    <w:abstractNumId w:val="4"/>
  </w:num>
  <w:num w:numId="5" w16cid:durableId="314260690">
    <w:abstractNumId w:val="16"/>
  </w:num>
  <w:num w:numId="6" w16cid:durableId="1320771856">
    <w:abstractNumId w:val="3"/>
  </w:num>
  <w:num w:numId="7" w16cid:durableId="1645622428">
    <w:abstractNumId w:val="2"/>
  </w:num>
  <w:num w:numId="8" w16cid:durableId="1603101488">
    <w:abstractNumId w:val="14"/>
  </w:num>
  <w:num w:numId="9" w16cid:durableId="1680544094">
    <w:abstractNumId w:val="5"/>
  </w:num>
  <w:num w:numId="10" w16cid:durableId="1324048667">
    <w:abstractNumId w:val="15"/>
  </w:num>
  <w:num w:numId="11" w16cid:durableId="1580214912">
    <w:abstractNumId w:val="12"/>
  </w:num>
  <w:num w:numId="12" w16cid:durableId="1974871658">
    <w:abstractNumId w:val="13"/>
  </w:num>
  <w:num w:numId="13" w16cid:durableId="1401489237">
    <w:abstractNumId w:val="9"/>
  </w:num>
  <w:num w:numId="14" w16cid:durableId="1841920041">
    <w:abstractNumId w:val="11"/>
  </w:num>
  <w:num w:numId="15" w16cid:durableId="633100202">
    <w:abstractNumId w:val="8"/>
  </w:num>
  <w:num w:numId="16" w16cid:durableId="1636255843">
    <w:abstractNumId w:val="0"/>
  </w:num>
  <w:num w:numId="17" w16cid:durableId="8106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BBC"/>
    <w:rsid w:val="00014305"/>
    <w:rsid w:val="00030884"/>
    <w:rsid w:val="001C2E6F"/>
    <w:rsid w:val="001C5BBC"/>
    <w:rsid w:val="001E222B"/>
    <w:rsid w:val="00233022"/>
    <w:rsid w:val="00251B06"/>
    <w:rsid w:val="002F3FFC"/>
    <w:rsid w:val="00304774"/>
    <w:rsid w:val="00347443"/>
    <w:rsid w:val="00382461"/>
    <w:rsid w:val="0042675C"/>
    <w:rsid w:val="00444D0E"/>
    <w:rsid w:val="00450ED9"/>
    <w:rsid w:val="00464CB5"/>
    <w:rsid w:val="005142C4"/>
    <w:rsid w:val="00544CBD"/>
    <w:rsid w:val="00561BAD"/>
    <w:rsid w:val="00576FE2"/>
    <w:rsid w:val="005952AA"/>
    <w:rsid w:val="00595B8E"/>
    <w:rsid w:val="005C03DB"/>
    <w:rsid w:val="005D43E9"/>
    <w:rsid w:val="005F4F36"/>
    <w:rsid w:val="0062129E"/>
    <w:rsid w:val="007138FD"/>
    <w:rsid w:val="0073692F"/>
    <w:rsid w:val="007631EC"/>
    <w:rsid w:val="00797449"/>
    <w:rsid w:val="007D134E"/>
    <w:rsid w:val="00837E35"/>
    <w:rsid w:val="00864DCD"/>
    <w:rsid w:val="00891E3A"/>
    <w:rsid w:val="008F3BE7"/>
    <w:rsid w:val="00A01D43"/>
    <w:rsid w:val="00A04717"/>
    <w:rsid w:val="00A7703E"/>
    <w:rsid w:val="00A9273D"/>
    <w:rsid w:val="00AA021E"/>
    <w:rsid w:val="00AB45BC"/>
    <w:rsid w:val="00B36692"/>
    <w:rsid w:val="00B77D52"/>
    <w:rsid w:val="00BF546F"/>
    <w:rsid w:val="00D31F43"/>
    <w:rsid w:val="00DA07FB"/>
    <w:rsid w:val="00DA1E27"/>
    <w:rsid w:val="00DD272E"/>
    <w:rsid w:val="00E04955"/>
    <w:rsid w:val="00E61A08"/>
    <w:rsid w:val="00E87145"/>
    <w:rsid w:val="00E95393"/>
    <w:rsid w:val="00EA1298"/>
    <w:rsid w:val="00EB3E46"/>
    <w:rsid w:val="00F16219"/>
    <w:rsid w:val="00F323D2"/>
    <w:rsid w:val="00F359EB"/>
    <w:rsid w:val="00FA7CE7"/>
    <w:rsid w:val="00FC79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19934"/>
  <w15:docId w15:val="{C7A8F175-538E-4BCC-BDD0-A62B98AF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61A08"/>
    <w:rPr>
      <w:color w:val="0000FF" w:themeColor="hyperlink"/>
      <w:u w:val="single"/>
    </w:rPr>
  </w:style>
  <w:style w:type="table" w:styleId="Tablaconcuadrcula">
    <w:name w:val="Table Grid"/>
    <w:basedOn w:val="Tablanormal"/>
    <w:rsid w:val="0079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3022"/>
    <w:pPr>
      <w:ind w:left="708"/>
    </w:pPr>
    <w:rPr>
      <w:lang w:eastAsia="en-US"/>
    </w:rPr>
  </w:style>
  <w:style w:type="paragraph" w:customStyle="1" w:styleId="Default">
    <w:name w:val="Default"/>
    <w:rsid w:val="008F3BE7"/>
    <w:pPr>
      <w:autoSpaceDE w:val="0"/>
      <w:autoSpaceDN w:val="0"/>
      <w:adjustRightInd w:val="0"/>
    </w:pPr>
    <w:rPr>
      <w:rFonts w:ascii="Calibri" w:eastAsiaTheme="minorHAnsi" w:hAnsi="Calibri" w:cs="Calibri"/>
      <w:color w:val="000000"/>
      <w:sz w:val="24"/>
      <w:szCs w:val="24"/>
      <w:lang w:eastAsia="en-US"/>
    </w:rPr>
  </w:style>
  <w:style w:type="paragraph" w:styleId="Encabezado">
    <w:name w:val="header"/>
    <w:basedOn w:val="Normal"/>
    <w:link w:val="EncabezadoCar"/>
    <w:unhideWhenUsed/>
    <w:rsid w:val="00EA1298"/>
    <w:pPr>
      <w:tabs>
        <w:tab w:val="center" w:pos="4252"/>
        <w:tab w:val="right" w:pos="8504"/>
      </w:tabs>
    </w:pPr>
  </w:style>
  <w:style w:type="character" w:customStyle="1" w:styleId="EncabezadoCar">
    <w:name w:val="Encabezado Car"/>
    <w:basedOn w:val="Fuentedeprrafopredeter"/>
    <w:link w:val="Encabezado"/>
    <w:rsid w:val="00EA1298"/>
    <w:rPr>
      <w:sz w:val="24"/>
      <w:szCs w:val="24"/>
    </w:rPr>
  </w:style>
  <w:style w:type="paragraph" w:styleId="Piedepgina">
    <w:name w:val="footer"/>
    <w:basedOn w:val="Normal"/>
    <w:link w:val="PiedepginaCar"/>
    <w:unhideWhenUsed/>
    <w:rsid w:val="00EA1298"/>
    <w:pPr>
      <w:tabs>
        <w:tab w:val="center" w:pos="4252"/>
        <w:tab w:val="right" w:pos="8504"/>
      </w:tabs>
    </w:pPr>
  </w:style>
  <w:style w:type="character" w:customStyle="1" w:styleId="PiedepginaCar">
    <w:name w:val="Pie de página Car"/>
    <w:basedOn w:val="Fuentedeprrafopredeter"/>
    <w:link w:val="Piedepgina"/>
    <w:rsid w:val="00EA12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3148">
      <w:bodyDiv w:val="1"/>
      <w:marLeft w:val="0"/>
      <w:marRight w:val="0"/>
      <w:marTop w:val="0"/>
      <w:marBottom w:val="0"/>
      <w:divBdr>
        <w:top w:val="none" w:sz="0" w:space="0" w:color="auto"/>
        <w:left w:val="none" w:sz="0" w:space="0" w:color="auto"/>
        <w:bottom w:val="none" w:sz="0" w:space="0" w:color="auto"/>
        <w:right w:val="none" w:sz="0" w:space="0" w:color="auto"/>
      </w:divBdr>
    </w:div>
    <w:div w:id="322897294">
      <w:bodyDiv w:val="1"/>
      <w:marLeft w:val="0"/>
      <w:marRight w:val="0"/>
      <w:marTop w:val="0"/>
      <w:marBottom w:val="0"/>
      <w:divBdr>
        <w:top w:val="none" w:sz="0" w:space="0" w:color="auto"/>
        <w:left w:val="none" w:sz="0" w:space="0" w:color="auto"/>
        <w:bottom w:val="none" w:sz="0" w:space="0" w:color="auto"/>
        <w:right w:val="none" w:sz="0" w:space="0" w:color="auto"/>
      </w:divBdr>
    </w:div>
    <w:div w:id="758212443">
      <w:bodyDiv w:val="1"/>
      <w:marLeft w:val="0"/>
      <w:marRight w:val="0"/>
      <w:marTop w:val="0"/>
      <w:marBottom w:val="0"/>
      <w:divBdr>
        <w:top w:val="none" w:sz="0" w:space="0" w:color="auto"/>
        <w:left w:val="none" w:sz="0" w:space="0" w:color="auto"/>
        <w:bottom w:val="none" w:sz="0" w:space="0" w:color="auto"/>
        <w:right w:val="none" w:sz="0" w:space="0" w:color="auto"/>
      </w:divBdr>
    </w:div>
    <w:div w:id="812914530">
      <w:bodyDiv w:val="1"/>
      <w:marLeft w:val="0"/>
      <w:marRight w:val="0"/>
      <w:marTop w:val="0"/>
      <w:marBottom w:val="0"/>
      <w:divBdr>
        <w:top w:val="none" w:sz="0" w:space="0" w:color="auto"/>
        <w:left w:val="none" w:sz="0" w:space="0" w:color="auto"/>
        <w:bottom w:val="none" w:sz="0" w:space="0" w:color="auto"/>
        <w:right w:val="none" w:sz="0" w:space="0" w:color="auto"/>
      </w:divBdr>
    </w:div>
    <w:div w:id="1697655265">
      <w:bodyDiv w:val="1"/>
      <w:marLeft w:val="0"/>
      <w:marRight w:val="0"/>
      <w:marTop w:val="0"/>
      <w:marBottom w:val="0"/>
      <w:divBdr>
        <w:top w:val="none" w:sz="0" w:space="0" w:color="auto"/>
        <w:left w:val="none" w:sz="0" w:space="0" w:color="auto"/>
        <w:bottom w:val="none" w:sz="0" w:space="0" w:color="auto"/>
        <w:right w:val="none" w:sz="0" w:space="0" w:color="auto"/>
      </w:divBdr>
    </w:div>
    <w:div w:id="187033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3</Pages>
  <Words>833</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Miqueleiz Garayoa, Javier (Economía y Hacienda)</dc:creator>
  <cp:lastModifiedBy>Martin Cestao, Nerea</cp:lastModifiedBy>
  <cp:revision>44</cp:revision>
  <dcterms:created xsi:type="dcterms:W3CDTF">2019-07-29T08:37:00Z</dcterms:created>
  <dcterms:modified xsi:type="dcterms:W3CDTF">2025-02-04T07:01:00Z</dcterms:modified>
</cp:coreProperties>
</file>