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97AA0" w14:textId="00B89B43" w:rsidR="00B50500" w:rsidRPr="00B50500" w:rsidRDefault="00B50500" w:rsidP="00B50500">
      <w:pPr>
        <w:jc w:val="both"/>
        <w:rPr>
          <w:rFonts w:ascii="Calibri" w:hAnsi="Calibri" w:cs="Calibri"/>
        </w:rPr>
      </w:pPr>
      <w:r w:rsidRPr="00B50500">
        <w:rPr>
          <w:rFonts w:ascii="Calibri" w:hAnsi="Calibri" w:cs="Calibri"/>
        </w:rPr>
        <w:t>Miguel Garrido Sola, parlamentario adscrito al Grupo Parlamentario Contigo Navarra–</w:t>
      </w:r>
      <w:proofErr w:type="spellStart"/>
      <w:r w:rsidRPr="00B50500">
        <w:rPr>
          <w:rFonts w:ascii="Calibri" w:hAnsi="Calibri" w:cs="Calibri"/>
        </w:rPr>
        <w:t>Zurekin</w:t>
      </w:r>
      <w:proofErr w:type="spellEnd"/>
      <w:r w:rsidRPr="00B50500">
        <w:rPr>
          <w:rFonts w:ascii="Calibri" w:hAnsi="Calibri" w:cs="Calibri"/>
        </w:rPr>
        <w:t xml:space="preserve"> Nafarroa, al amparo de lo establecido en el reglamento de la Cámara, presenta la siguiente moción con carácter d</w:t>
      </w:r>
      <w:r w:rsidR="00A561AE">
        <w:rPr>
          <w:rFonts w:ascii="Calibri" w:hAnsi="Calibri" w:cs="Calibri"/>
        </w:rPr>
        <w:t>e</w:t>
      </w:r>
      <w:r w:rsidRPr="00B50500">
        <w:rPr>
          <w:rFonts w:ascii="Calibri" w:hAnsi="Calibri" w:cs="Calibri"/>
        </w:rPr>
        <w:t xml:space="preserve"> urgencia para que sea debatida en la Comisión de Economía y Hacienda.</w:t>
      </w:r>
    </w:p>
    <w:p w14:paraId="5A007CB3" w14:textId="1CBDC771" w:rsidR="00B50500" w:rsidRPr="00B50500" w:rsidRDefault="00B50500" w:rsidP="00B50500">
      <w:pPr>
        <w:jc w:val="both"/>
        <w:rPr>
          <w:rFonts w:ascii="Calibri" w:hAnsi="Calibri" w:cs="Calibri"/>
        </w:rPr>
      </w:pPr>
      <w:r w:rsidRPr="00B50500">
        <w:rPr>
          <w:rFonts w:ascii="Calibri" w:hAnsi="Calibri" w:cs="Calibri"/>
        </w:rPr>
        <w:t>Exposición de motivos</w:t>
      </w:r>
    </w:p>
    <w:p w14:paraId="0FDDB059" w14:textId="77777777" w:rsidR="00B50500" w:rsidRPr="00B50500" w:rsidRDefault="00B50500" w:rsidP="00B50500">
      <w:pPr>
        <w:jc w:val="both"/>
        <w:rPr>
          <w:rFonts w:ascii="Calibri" w:hAnsi="Calibri" w:cs="Calibri"/>
        </w:rPr>
      </w:pPr>
      <w:r w:rsidRPr="00B50500">
        <w:rPr>
          <w:rFonts w:ascii="Calibri" w:hAnsi="Calibri" w:cs="Calibri"/>
        </w:rPr>
        <w:t>Hay una expresión anglosajona que, para todos aquellas que analizamos las causas de la crisis de 2008, quedó inexorablemente ligada a la misma: “</w:t>
      </w:r>
      <w:proofErr w:type="spellStart"/>
      <w:r w:rsidRPr="00B50500">
        <w:rPr>
          <w:rFonts w:ascii="Calibri" w:hAnsi="Calibri" w:cs="Calibri"/>
        </w:rPr>
        <w:t>Too</w:t>
      </w:r>
      <w:proofErr w:type="spellEnd"/>
      <w:r w:rsidRPr="00B50500">
        <w:rPr>
          <w:rFonts w:ascii="Calibri" w:hAnsi="Calibri" w:cs="Calibri"/>
        </w:rPr>
        <w:t xml:space="preserve"> </w:t>
      </w:r>
      <w:proofErr w:type="spellStart"/>
      <w:r w:rsidRPr="00B50500">
        <w:rPr>
          <w:rFonts w:ascii="Calibri" w:hAnsi="Calibri" w:cs="Calibri"/>
        </w:rPr>
        <w:t>big</w:t>
      </w:r>
      <w:proofErr w:type="spellEnd"/>
      <w:r w:rsidRPr="00B50500">
        <w:rPr>
          <w:rFonts w:ascii="Calibri" w:hAnsi="Calibri" w:cs="Calibri"/>
        </w:rPr>
        <w:t xml:space="preserve"> </w:t>
      </w:r>
      <w:proofErr w:type="spellStart"/>
      <w:r w:rsidRPr="00B50500">
        <w:rPr>
          <w:rFonts w:ascii="Calibri" w:hAnsi="Calibri" w:cs="Calibri"/>
        </w:rPr>
        <w:t>to</w:t>
      </w:r>
      <w:proofErr w:type="spellEnd"/>
      <w:r w:rsidRPr="00B50500">
        <w:rPr>
          <w:rFonts w:ascii="Calibri" w:hAnsi="Calibri" w:cs="Calibri"/>
        </w:rPr>
        <w:t xml:space="preserve"> </w:t>
      </w:r>
      <w:proofErr w:type="spellStart"/>
      <w:r w:rsidRPr="00B50500">
        <w:rPr>
          <w:rFonts w:ascii="Calibri" w:hAnsi="Calibri" w:cs="Calibri"/>
        </w:rPr>
        <w:t>fail</w:t>
      </w:r>
      <w:proofErr w:type="spellEnd"/>
      <w:r w:rsidRPr="00B50500">
        <w:rPr>
          <w:rFonts w:ascii="Calibri" w:hAnsi="Calibri" w:cs="Calibri"/>
        </w:rPr>
        <w:t xml:space="preserve">”, que podría ser traducido por “demasiado grande para caer”. Era la frase que se repetía una y otra vez en el mundillo económico tras la caída de Lehman </w:t>
      </w:r>
      <w:proofErr w:type="spellStart"/>
      <w:r w:rsidRPr="00B50500">
        <w:rPr>
          <w:rFonts w:ascii="Calibri" w:hAnsi="Calibri" w:cs="Calibri"/>
        </w:rPr>
        <w:t>Brothers</w:t>
      </w:r>
      <w:proofErr w:type="spellEnd"/>
      <w:r w:rsidRPr="00B50500">
        <w:rPr>
          <w:rFonts w:ascii="Calibri" w:hAnsi="Calibri" w:cs="Calibri"/>
        </w:rPr>
        <w:t xml:space="preserve"> y su contagio a todo el sistema bancario internacional.</w:t>
      </w:r>
    </w:p>
    <w:p w14:paraId="1C59E35C" w14:textId="77777777" w:rsidR="00B50500" w:rsidRPr="00B50500" w:rsidRDefault="00B50500" w:rsidP="00B50500">
      <w:pPr>
        <w:jc w:val="both"/>
        <w:rPr>
          <w:rFonts w:ascii="Calibri" w:hAnsi="Calibri" w:cs="Calibri"/>
        </w:rPr>
      </w:pPr>
      <w:r w:rsidRPr="00B50500">
        <w:rPr>
          <w:rFonts w:ascii="Calibri" w:hAnsi="Calibri" w:cs="Calibri"/>
        </w:rPr>
        <w:t>Fue, también, la frase que se invocó para justificar la inyección de ingentes cantidades de dinero público a la banca mientras se acometían brutales recortes sociales, que en los países mediterráneos hicieron tambalear el sistema del bienestar, rompieron el pacto social y generacional y dieron lugar a una década perdida.</w:t>
      </w:r>
    </w:p>
    <w:p w14:paraId="43EB05F2" w14:textId="41455851" w:rsidR="00B50500" w:rsidRPr="00B50500" w:rsidRDefault="00B50500" w:rsidP="00B50500">
      <w:pPr>
        <w:jc w:val="both"/>
        <w:rPr>
          <w:rFonts w:ascii="Calibri" w:hAnsi="Calibri" w:cs="Calibri"/>
        </w:rPr>
      </w:pPr>
      <w:r w:rsidRPr="00B50500">
        <w:rPr>
          <w:rFonts w:ascii="Calibri" w:hAnsi="Calibri" w:cs="Calibri"/>
        </w:rPr>
        <w:t>Una de las principales medidas acometidas para gestionar la crisis fue impulsar un proceso de concentración bancaria que sirviera para que las entidades más grandes se hicieran cargo de aquellas que tenían más dificultades. Proceso que contó, por supuesto, con el concurso de alrededor de 100.000 millones de euros de dinero público para sanear dichas entidades bajo la promesa de que se reintegrarían en las arcas públicas, cosa que nunca sucedió posteriormente.</w:t>
      </w:r>
    </w:p>
    <w:p w14:paraId="2A5D5730" w14:textId="77777777" w:rsidR="00B50500" w:rsidRPr="00B50500" w:rsidRDefault="00B50500" w:rsidP="00B50500">
      <w:pPr>
        <w:jc w:val="both"/>
        <w:rPr>
          <w:rFonts w:ascii="Calibri" w:hAnsi="Calibri" w:cs="Calibri"/>
        </w:rPr>
      </w:pPr>
      <w:r w:rsidRPr="00B50500">
        <w:rPr>
          <w:rFonts w:ascii="Calibri" w:hAnsi="Calibri" w:cs="Calibri"/>
        </w:rPr>
        <w:t>El resultado de dicho proceso ha sido que mientras que en 2008 los 5 bancos más grandes del Estado controlaban el 43% de los activos bancarios, hoy controlan aproximadamente un 70%. Es decir, tras la crisis del 2008 cuyo origen lo protagonizó la caída de una entidad “demasiado grande para caer”, hemos construido un oligopolio bancario en España capaz de controlar el conjunto del sistema bancario entre 5 entidades.</w:t>
      </w:r>
    </w:p>
    <w:p w14:paraId="71F837B7" w14:textId="455F6598" w:rsidR="00B50500" w:rsidRPr="00B50500" w:rsidRDefault="00B50500" w:rsidP="00B50500">
      <w:pPr>
        <w:jc w:val="both"/>
        <w:rPr>
          <w:rFonts w:ascii="Calibri" w:hAnsi="Calibri" w:cs="Calibri"/>
        </w:rPr>
      </w:pPr>
      <w:r w:rsidRPr="00B50500">
        <w:rPr>
          <w:rFonts w:ascii="Calibri" w:hAnsi="Calibri" w:cs="Calibri"/>
        </w:rPr>
        <w:t>No es de extrañar, con estos precedentes, que hayamos conocido que en 2024 la banca logró un récord histórico de beneficios alcanzando los 31.767 millones de euros, un 20</w:t>
      </w:r>
      <w:r w:rsidR="00127E9B">
        <w:rPr>
          <w:rFonts w:ascii="Calibri" w:hAnsi="Calibri" w:cs="Calibri"/>
        </w:rPr>
        <w:t xml:space="preserve"> </w:t>
      </w:r>
      <w:r w:rsidRPr="00B50500">
        <w:rPr>
          <w:rFonts w:ascii="Calibri" w:hAnsi="Calibri" w:cs="Calibri"/>
        </w:rPr>
        <w:t>% por encima de 2023 que ya fue un año histórico. Lo que supone, por ejemplo, 10 veces más que el gasto total destinado a políticas de vivienda en el conjunto del Estado.</w:t>
      </w:r>
    </w:p>
    <w:p w14:paraId="569BBDA6" w14:textId="77777777" w:rsidR="00B50500" w:rsidRPr="00B50500" w:rsidRDefault="00B50500" w:rsidP="00B50500">
      <w:pPr>
        <w:jc w:val="both"/>
        <w:rPr>
          <w:rFonts w:ascii="Calibri" w:hAnsi="Calibri" w:cs="Calibri"/>
        </w:rPr>
      </w:pPr>
      <w:r w:rsidRPr="00B50500">
        <w:rPr>
          <w:rFonts w:ascii="Calibri" w:hAnsi="Calibri" w:cs="Calibri"/>
        </w:rPr>
        <w:t>Y todo eso contexto es el que debemos tener en cuenta a la hora de analizar la OPA del BBVA al banco Sabadell. La propia CNMV identifica en su informe los siguientes identificados a lo largo del expediente de concentración, concretamente:</w:t>
      </w:r>
    </w:p>
    <w:p w14:paraId="0D726468" w14:textId="3A7F9E4E" w:rsidR="00B50500" w:rsidRPr="00B50500" w:rsidRDefault="00B50500" w:rsidP="00B50500">
      <w:pPr>
        <w:jc w:val="both"/>
        <w:rPr>
          <w:rFonts w:ascii="Calibri" w:hAnsi="Calibri" w:cs="Calibri"/>
        </w:rPr>
      </w:pPr>
      <w:r w:rsidRPr="00B50500">
        <w:rPr>
          <w:rFonts w:ascii="Calibri" w:hAnsi="Calibri" w:cs="Calibri"/>
        </w:rPr>
        <w:t xml:space="preserve">• El </w:t>
      </w:r>
      <w:r w:rsidR="00626A8F">
        <w:rPr>
          <w:rFonts w:ascii="Calibri" w:hAnsi="Calibri" w:cs="Calibri"/>
        </w:rPr>
        <w:t>e</w:t>
      </w:r>
      <w:r w:rsidRPr="00B50500">
        <w:rPr>
          <w:rFonts w:ascii="Calibri" w:hAnsi="Calibri" w:cs="Calibri"/>
        </w:rPr>
        <w:t>mpeoramiento de condiciones comerciales para particulares, pymes y autónomos en determinadas localizaciones: derivado de la posición competitiva preponderante que obtendrá la resultante en determinadas localizaciones.</w:t>
      </w:r>
    </w:p>
    <w:p w14:paraId="29C27B13" w14:textId="1E86A934" w:rsidR="00B50500" w:rsidRPr="00B50500" w:rsidRDefault="00B50500" w:rsidP="00B50500">
      <w:pPr>
        <w:jc w:val="both"/>
        <w:rPr>
          <w:rFonts w:ascii="Calibri" w:hAnsi="Calibri" w:cs="Calibri"/>
        </w:rPr>
      </w:pPr>
      <w:r w:rsidRPr="00B50500">
        <w:rPr>
          <w:rFonts w:ascii="Calibri" w:hAnsi="Calibri" w:cs="Calibri"/>
        </w:rPr>
        <w:t xml:space="preserve">• La </w:t>
      </w:r>
      <w:r w:rsidR="00626A8F">
        <w:rPr>
          <w:rFonts w:ascii="Calibri" w:hAnsi="Calibri" w:cs="Calibri"/>
        </w:rPr>
        <w:t>e</w:t>
      </w:r>
      <w:r w:rsidRPr="00B50500">
        <w:rPr>
          <w:rFonts w:ascii="Calibri" w:hAnsi="Calibri" w:cs="Calibri"/>
        </w:rPr>
        <w:t>xclusión financiera: para los clientes en determinados municipios, especialmente en zonas rurales y para determinados colectivos de población más dependientes de los servicios presenciales.</w:t>
      </w:r>
    </w:p>
    <w:p w14:paraId="5E3B044F" w14:textId="7949D614" w:rsidR="00B50500" w:rsidRPr="00B50500" w:rsidRDefault="00B50500" w:rsidP="00B50500">
      <w:pPr>
        <w:jc w:val="both"/>
        <w:rPr>
          <w:rFonts w:ascii="Calibri" w:hAnsi="Calibri" w:cs="Calibri"/>
        </w:rPr>
      </w:pPr>
      <w:r w:rsidRPr="00B50500">
        <w:rPr>
          <w:rFonts w:ascii="Calibri" w:hAnsi="Calibri" w:cs="Calibri"/>
        </w:rPr>
        <w:t xml:space="preserve">• La </w:t>
      </w:r>
      <w:r w:rsidR="00626A8F">
        <w:rPr>
          <w:rFonts w:ascii="Calibri" w:hAnsi="Calibri" w:cs="Calibri"/>
        </w:rPr>
        <w:t>r</w:t>
      </w:r>
      <w:r w:rsidRPr="00B50500">
        <w:rPr>
          <w:rFonts w:ascii="Calibri" w:hAnsi="Calibri" w:cs="Calibri"/>
        </w:rPr>
        <w:t>educción de crédito a pymes: afectando especialmente a determinadas áreas geográficas.</w:t>
      </w:r>
    </w:p>
    <w:p w14:paraId="57F39A84" w14:textId="389CCC4F" w:rsidR="00B50500" w:rsidRPr="00B50500" w:rsidRDefault="00B50500" w:rsidP="00B50500">
      <w:pPr>
        <w:jc w:val="both"/>
        <w:rPr>
          <w:rFonts w:ascii="Calibri" w:hAnsi="Calibri" w:cs="Calibri"/>
        </w:rPr>
      </w:pPr>
      <w:r w:rsidRPr="00B50500">
        <w:rPr>
          <w:rFonts w:ascii="Calibri" w:hAnsi="Calibri" w:cs="Calibri"/>
        </w:rPr>
        <w:lastRenderedPageBreak/>
        <w:t xml:space="preserve">• Los </w:t>
      </w:r>
      <w:r w:rsidR="00626A8F">
        <w:rPr>
          <w:rFonts w:ascii="Calibri" w:hAnsi="Calibri" w:cs="Calibri"/>
        </w:rPr>
        <w:t>r</w:t>
      </w:r>
      <w:r w:rsidRPr="00B50500">
        <w:rPr>
          <w:rFonts w:ascii="Calibri" w:hAnsi="Calibri" w:cs="Calibri"/>
        </w:rPr>
        <w:t>iesgos relacionados con el mercado de prestación de servicios de adquisición de operaciones de pago, concretamente riesgo de empeoramiento de condiciones aplicadas a los clientes (empresas) de estos servicios.</w:t>
      </w:r>
    </w:p>
    <w:p w14:paraId="60887765" w14:textId="0550CE90" w:rsidR="00B50500" w:rsidRPr="00B50500" w:rsidRDefault="00B50500" w:rsidP="00B50500">
      <w:pPr>
        <w:jc w:val="both"/>
        <w:rPr>
          <w:rFonts w:ascii="Calibri" w:hAnsi="Calibri" w:cs="Calibri"/>
        </w:rPr>
      </w:pPr>
      <w:r w:rsidRPr="00B50500">
        <w:rPr>
          <w:rFonts w:ascii="Calibri" w:hAnsi="Calibri" w:cs="Calibri"/>
        </w:rPr>
        <w:t xml:space="preserve">• El </w:t>
      </w:r>
      <w:r w:rsidR="00626A8F">
        <w:rPr>
          <w:rFonts w:ascii="Calibri" w:hAnsi="Calibri" w:cs="Calibri"/>
        </w:rPr>
        <w:t>e</w:t>
      </w:r>
      <w:r w:rsidRPr="00B50500">
        <w:rPr>
          <w:rFonts w:ascii="Calibri" w:hAnsi="Calibri" w:cs="Calibri"/>
        </w:rPr>
        <w:t xml:space="preserve">mpeoramiento de las condiciones de acceso a cajeros para clientes en relación con los acuerdos que mantiene actualmente Banco Sabadell con la Red Euro6000 y </w:t>
      </w:r>
      <w:proofErr w:type="spellStart"/>
      <w:r w:rsidRPr="00B50500">
        <w:rPr>
          <w:rFonts w:ascii="Calibri" w:hAnsi="Calibri" w:cs="Calibri"/>
        </w:rPr>
        <w:t>Cardtronics</w:t>
      </w:r>
      <w:proofErr w:type="spellEnd"/>
      <w:r w:rsidRPr="00B50500">
        <w:rPr>
          <w:rFonts w:ascii="Calibri" w:hAnsi="Calibri" w:cs="Calibri"/>
        </w:rPr>
        <w:t>.</w:t>
      </w:r>
    </w:p>
    <w:p w14:paraId="5B8760B0" w14:textId="77777777" w:rsidR="00B50500" w:rsidRPr="00B50500" w:rsidRDefault="00B50500" w:rsidP="00B50500">
      <w:pPr>
        <w:jc w:val="both"/>
        <w:rPr>
          <w:rFonts w:ascii="Calibri" w:hAnsi="Calibri" w:cs="Calibri"/>
        </w:rPr>
      </w:pPr>
      <w:r w:rsidRPr="00B50500">
        <w:rPr>
          <w:rFonts w:ascii="Calibri" w:hAnsi="Calibri" w:cs="Calibri"/>
        </w:rPr>
        <w:t>Un informe que, sin embargo, considera que los compromisos del BBVA son suficientes para aprobar la operación.</w:t>
      </w:r>
    </w:p>
    <w:p w14:paraId="0ED09948" w14:textId="77777777" w:rsidR="00B50500" w:rsidRPr="00B50500" w:rsidRDefault="00B50500" w:rsidP="00B50500">
      <w:pPr>
        <w:jc w:val="both"/>
        <w:rPr>
          <w:rFonts w:ascii="Calibri" w:hAnsi="Calibri" w:cs="Calibri"/>
        </w:rPr>
      </w:pPr>
      <w:r w:rsidRPr="00B50500">
        <w:rPr>
          <w:rFonts w:ascii="Calibri" w:hAnsi="Calibri" w:cs="Calibri"/>
        </w:rPr>
        <w:t xml:space="preserve">Es evidente que un aumento de la concentración bancaria en un sistema ya de por sí </w:t>
      </w:r>
      <w:proofErr w:type="spellStart"/>
      <w:r w:rsidRPr="00B50500">
        <w:rPr>
          <w:rFonts w:ascii="Calibri" w:hAnsi="Calibri" w:cs="Calibri"/>
        </w:rPr>
        <w:t>oligopolístico</w:t>
      </w:r>
      <w:proofErr w:type="spellEnd"/>
      <w:r w:rsidRPr="00B50500">
        <w:rPr>
          <w:rFonts w:ascii="Calibri" w:hAnsi="Calibri" w:cs="Calibri"/>
        </w:rPr>
        <w:t>, solo lo vuelve menos resiliente tanto ante desestabilizaciones tanto sistémicas como específicas, aumenta la concentración de poder para manejar las condiciones del mercado, empeora las condiciones para los clientes, reduce oficinas y empleo en el sector, y, en definitiva, solo sirve a los intereses de incrementar aún los beneficios de los propietarios de esos grandes bancos.</w:t>
      </w:r>
    </w:p>
    <w:p w14:paraId="295F8FC0" w14:textId="77777777" w:rsidR="00B50500" w:rsidRPr="00B50500" w:rsidRDefault="00B50500" w:rsidP="00B50500">
      <w:pPr>
        <w:jc w:val="both"/>
        <w:rPr>
          <w:rFonts w:ascii="Calibri" w:hAnsi="Calibri" w:cs="Calibri"/>
        </w:rPr>
      </w:pPr>
      <w:r w:rsidRPr="00B50500">
        <w:rPr>
          <w:rFonts w:ascii="Calibri" w:hAnsi="Calibri" w:cs="Calibri"/>
        </w:rPr>
        <w:t>Por todo ello presentamos la siguiente propuesta de resolución:</w:t>
      </w:r>
    </w:p>
    <w:p w14:paraId="6921136C" w14:textId="11327CC5" w:rsidR="00B50500" w:rsidRPr="00B50500" w:rsidRDefault="00B50500" w:rsidP="00B50500">
      <w:pPr>
        <w:pStyle w:val="Prrafodelista"/>
        <w:numPr>
          <w:ilvl w:val="0"/>
          <w:numId w:val="1"/>
        </w:numPr>
        <w:jc w:val="both"/>
        <w:rPr>
          <w:rFonts w:ascii="Calibri" w:hAnsi="Calibri" w:cs="Calibri"/>
        </w:rPr>
      </w:pPr>
      <w:r w:rsidRPr="00B50500">
        <w:rPr>
          <w:rFonts w:ascii="Calibri" w:hAnsi="Calibri" w:cs="Calibri"/>
        </w:rPr>
        <w:t xml:space="preserve">El </w:t>
      </w:r>
      <w:r w:rsidR="00626A8F">
        <w:rPr>
          <w:rFonts w:ascii="Calibri" w:hAnsi="Calibri" w:cs="Calibri"/>
        </w:rPr>
        <w:t>P</w:t>
      </w:r>
      <w:r w:rsidRPr="00B50500">
        <w:rPr>
          <w:rFonts w:ascii="Calibri" w:hAnsi="Calibri" w:cs="Calibri"/>
        </w:rPr>
        <w:t>arlamento de Navarra insta al Gobierno del Estado a impedir la materialización de la OPA del BBVA al Banco Sabadell.</w:t>
      </w:r>
    </w:p>
    <w:p w14:paraId="44C61A1A" w14:textId="77777777" w:rsidR="00B50500" w:rsidRPr="00B50500" w:rsidRDefault="00B50500" w:rsidP="00B50500">
      <w:pPr>
        <w:pStyle w:val="Prrafodelista"/>
        <w:numPr>
          <w:ilvl w:val="0"/>
          <w:numId w:val="1"/>
        </w:numPr>
        <w:jc w:val="both"/>
        <w:rPr>
          <w:rFonts w:ascii="Calibri" w:hAnsi="Calibri" w:cs="Calibri"/>
        </w:rPr>
      </w:pPr>
      <w:r w:rsidRPr="00B50500">
        <w:rPr>
          <w:rFonts w:ascii="Calibri" w:hAnsi="Calibri" w:cs="Calibri"/>
        </w:rPr>
        <w:t>El Parlamento de Navarra insta al Gobierno del Estado a promover un sistema bancario y financiero más descentralizado y democrático que responda al interés general.</w:t>
      </w:r>
    </w:p>
    <w:p w14:paraId="13FB86EB" w14:textId="77777777" w:rsidR="00B50500" w:rsidRPr="00B50500" w:rsidRDefault="00B50500" w:rsidP="00B50500">
      <w:pPr>
        <w:pStyle w:val="Prrafodelista"/>
        <w:numPr>
          <w:ilvl w:val="0"/>
          <w:numId w:val="1"/>
        </w:numPr>
        <w:jc w:val="both"/>
        <w:rPr>
          <w:rFonts w:ascii="Calibri" w:hAnsi="Calibri" w:cs="Calibri"/>
        </w:rPr>
      </w:pPr>
      <w:r w:rsidRPr="00B50500">
        <w:rPr>
          <w:rFonts w:ascii="Calibri" w:hAnsi="Calibri" w:cs="Calibri"/>
        </w:rPr>
        <w:t xml:space="preserve">El Parlamento de Navarra insta al Gobierno del Estado a desarrollar herramientas públicas que permitan asegurar la función social del sistema bancario y financiero. </w:t>
      </w:r>
    </w:p>
    <w:p w14:paraId="1A54CAC2" w14:textId="2100AC7C" w:rsidR="00B50500" w:rsidRPr="00B50500" w:rsidRDefault="00B50500" w:rsidP="00B50500">
      <w:pPr>
        <w:jc w:val="both"/>
        <w:rPr>
          <w:rFonts w:ascii="Calibri" w:hAnsi="Calibri" w:cs="Calibri"/>
        </w:rPr>
      </w:pPr>
      <w:r w:rsidRPr="00B50500">
        <w:rPr>
          <w:rFonts w:ascii="Calibri" w:hAnsi="Calibri" w:cs="Calibri"/>
        </w:rPr>
        <w:t>Pamplona-</w:t>
      </w:r>
      <w:proofErr w:type="spellStart"/>
      <w:r w:rsidRPr="00B50500">
        <w:rPr>
          <w:rFonts w:ascii="Calibri" w:hAnsi="Calibri" w:cs="Calibri"/>
        </w:rPr>
        <w:t>Iruñea</w:t>
      </w:r>
      <w:proofErr w:type="spellEnd"/>
      <w:r w:rsidRPr="00B50500">
        <w:rPr>
          <w:rFonts w:ascii="Calibri" w:hAnsi="Calibri" w:cs="Calibri"/>
        </w:rPr>
        <w:t>, a 9 de mayo de 2025</w:t>
      </w:r>
    </w:p>
    <w:p w14:paraId="5B2926E1" w14:textId="0D99AD20" w:rsidR="00B50500" w:rsidRPr="00B50500" w:rsidRDefault="00B50500" w:rsidP="00B50500">
      <w:pPr>
        <w:jc w:val="both"/>
        <w:rPr>
          <w:rFonts w:ascii="Calibri" w:hAnsi="Calibri" w:cs="Calibri"/>
        </w:rPr>
      </w:pPr>
      <w:r w:rsidRPr="00B50500">
        <w:rPr>
          <w:rFonts w:ascii="Calibri" w:hAnsi="Calibri" w:cs="Calibri"/>
        </w:rPr>
        <w:t>El Parlamentario Foral: Miguel Garrido Sola</w:t>
      </w:r>
    </w:p>
    <w:sectPr w:rsidR="00B50500" w:rsidRPr="00B50500"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40F73"/>
    <w:multiLevelType w:val="hybridMultilevel"/>
    <w:tmpl w:val="D540B01A"/>
    <w:lvl w:ilvl="0" w:tplc="C5C0CE5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11318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00"/>
    <w:rsid w:val="000370A0"/>
    <w:rsid w:val="000820DB"/>
    <w:rsid w:val="00084BD8"/>
    <w:rsid w:val="000A3E45"/>
    <w:rsid w:val="000B399C"/>
    <w:rsid w:val="000F48D7"/>
    <w:rsid w:val="00102BA2"/>
    <w:rsid w:val="00127E9B"/>
    <w:rsid w:val="001E34F2"/>
    <w:rsid w:val="00242C60"/>
    <w:rsid w:val="002E551E"/>
    <w:rsid w:val="00337EB8"/>
    <w:rsid w:val="0035620E"/>
    <w:rsid w:val="003C1B1F"/>
    <w:rsid w:val="0049585F"/>
    <w:rsid w:val="00597020"/>
    <w:rsid w:val="005B262E"/>
    <w:rsid w:val="00603382"/>
    <w:rsid w:val="0061120D"/>
    <w:rsid w:val="00626A8F"/>
    <w:rsid w:val="006F2590"/>
    <w:rsid w:val="00710D6B"/>
    <w:rsid w:val="00845D68"/>
    <w:rsid w:val="00854C8E"/>
    <w:rsid w:val="0089010A"/>
    <w:rsid w:val="008A3285"/>
    <w:rsid w:val="00956302"/>
    <w:rsid w:val="00A536E1"/>
    <w:rsid w:val="00A561AE"/>
    <w:rsid w:val="00A6590A"/>
    <w:rsid w:val="00AA1B4B"/>
    <w:rsid w:val="00AD383F"/>
    <w:rsid w:val="00B065BA"/>
    <w:rsid w:val="00B42A30"/>
    <w:rsid w:val="00B50500"/>
    <w:rsid w:val="00BD3C35"/>
    <w:rsid w:val="00BF6DA6"/>
    <w:rsid w:val="00C04178"/>
    <w:rsid w:val="00CA4E85"/>
    <w:rsid w:val="00D210C7"/>
    <w:rsid w:val="00D241A8"/>
    <w:rsid w:val="00DA10EF"/>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5E8BF"/>
  <w15:chartTrackingRefBased/>
  <w15:docId w15:val="{D395BF2F-4411-429C-BEBC-C7CF7E6D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505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505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5050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5050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5050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5050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5050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5050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5050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050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5050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5050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5050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5050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5050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5050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5050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50500"/>
    <w:rPr>
      <w:rFonts w:eastAsiaTheme="majorEastAsia" w:cstheme="majorBidi"/>
      <w:color w:val="272727" w:themeColor="text1" w:themeTint="D8"/>
    </w:rPr>
  </w:style>
  <w:style w:type="paragraph" w:styleId="Ttulo">
    <w:name w:val="Title"/>
    <w:basedOn w:val="Normal"/>
    <w:next w:val="Normal"/>
    <w:link w:val="TtuloCar"/>
    <w:uiPriority w:val="10"/>
    <w:qFormat/>
    <w:rsid w:val="00B50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5050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5050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5050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50500"/>
    <w:pPr>
      <w:spacing w:before="160"/>
      <w:jc w:val="center"/>
    </w:pPr>
    <w:rPr>
      <w:i/>
      <w:iCs/>
      <w:color w:val="404040" w:themeColor="text1" w:themeTint="BF"/>
    </w:rPr>
  </w:style>
  <w:style w:type="character" w:customStyle="1" w:styleId="CitaCar">
    <w:name w:val="Cita Car"/>
    <w:basedOn w:val="Fuentedeprrafopredeter"/>
    <w:link w:val="Cita"/>
    <w:uiPriority w:val="29"/>
    <w:rsid w:val="00B50500"/>
    <w:rPr>
      <w:i/>
      <w:iCs/>
      <w:color w:val="404040" w:themeColor="text1" w:themeTint="BF"/>
    </w:rPr>
  </w:style>
  <w:style w:type="paragraph" w:styleId="Prrafodelista">
    <w:name w:val="List Paragraph"/>
    <w:basedOn w:val="Normal"/>
    <w:uiPriority w:val="34"/>
    <w:qFormat/>
    <w:rsid w:val="00B50500"/>
    <w:pPr>
      <w:ind w:left="720"/>
      <w:contextualSpacing/>
    </w:pPr>
  </w:style>
  <w:style w:type="character" w:styleId="nfasisintenso">
    <w:name w:val="Intense Emphasis"/>
    <w:basedOn w:val="Fuentedeprrafopredeter"/>
    <w:uiPriority w:val="21"/>
    <w:qFormat/>
    <w:rsid w:val="00B50500"/>
    <w:rPr>
      <w:i/>
      <w:iCs/>
      <w:color w:val="0F4761" w:themeColor="accent1" w:themeShade="BF"/>
    </w:rPr>
  </w:style>
  <w:style w:type="paragraph" w:styleId="Citadestacada">
    <w:name w:val="Intense Quote"/>
    <w:basedOn w:val="Normal"/>
    <w:next w:val="Normal"/>
    <w:link w:val="CitadestacadaCar"/>
    <w:uiPriority w:val="30"/>
    <w:qFormat/>
    <w:rsid w:val="00B505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50500"/>
    <w:rPr>
      <w:i/>
      <w:iCs/>
      <w:color w:val="0F4761" w:themeColor="accent1" w:themeShade="BF"/>
    </w:rPr>
  </w:style>
  <w:style w:type="character" w:styleId="Referenciaintensa">
    <w:name w:val="Intense Reference"/>
    <w:basedOn w:val="Fuentedeprrafopredeter"/>
    <w:uiPriority w:val="32"/>
    <w:qFormat/>
    <w:rsid w:val="00B505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700</Words>
  <Characters>3854</Characters>
  <Application>Microsoft Office Word</Application>
  <DocSecurity>0</DocSecurity>
  <Lines>32</Lines>
  <Paragraphs>9</Paragraphs>
  <ScaleCrop>false</ScaleCrop>
  <Company>HP Inc.</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5</cp:revision>
  <dcterms:created xsi:type="dcterms:W3CDTF">2025-05-14T06:49:00Z</dcterms:created>
  <dcterms:modified xsi:type="dcterms:W3CDTF">2025-05-19T12:10:00Z</dcterms:modified>
</cp:coreProperties>
</file>