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E6015" w14:textId="709141C7" w:rsidR="00B065BA" w:rsidRPr="004A043F" w:rsidRDefault="004A043F" w:rsidP="004A043F">
      <w:pPr>
        <w:jc w:val="both"/>
        <w:rPr>
          <w:rFonts w:ascii="Calibri" w:hAnsi="Calibri" w:cs="Calibri"/>
        </w:rPr>
      </w:pPr>
      <w:r>
        <w:rPr>
          <w:rFonts w:ascii="Calibri" w:hAnsi="Calibri"/>
        </w:rPr>
        <w:t>25MOC-77</w:t>
      </w:r>
    </w:p>
    <w:p w14:paraId="3A55800C" w14:textId="77777777" w:rsidR="00B52B9C" w:rsidRDefault="004A043F" w:rsidP="004A043F">
      <w:pPr>
        <w:jc w:val="both"/>
        <w:rPr>
          <w:rFonts w:ascii="Calibri" w:hAnsi="Calibri" w:cs="Calibri"/>
        </w:rPr>
      </w:pPr>
      <w:r>
        <w:rPr>
          <w:rFonts w:ascii="Calibri" w:hAnsi="Calibri"/>
        </w:rPr>
        <w:t>Nafarroako Gorteetako kide den eta Nafarroako Alderdi Popularra talde parlamentarioari atxikita dagoen Maribel García Malo andreak, Legebiltzarreko Erregelamenduan xedatuaren babesean, honako mozio hau aurkezten du, Osoko Bilkuran eztabaidatzeko:</w:t>
      </w:r>
    </w:p>
    <w:p w14:paraId="10F5A655" w14:textId="335E0E40" w:rsidR="004A043F" w:rsidRPr="004A043F" w:rsidRDefault="004A043F" w:rsidP="004A043F">
      <w:pPr>
        <w:jc w:val="both"/>
        <w:rPr>
          <w:rFonts w:ascii="Calibri" w:hAnsi="Calibri" w:cs="Calibri"/>
        </w:rPr>
      </w:pPr>
      <w:r>
        <w:rPr>
          <w:rFonts w:ascii="Calibri" w:hAnsi="Calibri"/>
        </w:rPr>
        <w:t>Zioen azalpena</w:t>
      </w:r>
    </w:p>
    <w:p w14:paraId="10DA6D6B" w14:textId="77777777" w:rsidR="004A043F" w:rsidRPr="004A043F" w:rsidRDefault="004A043F" w:rsidP="004A043F">
      <w:pPr>
        <w:jc w:val="both"/>
        <w:rPr>
          <w:rFonts w:ascii="Calibri" w:hAnsi="Calibri" w:cs="Calibri"/>
        </w:rPr>
      </w:pPr>
      <w:r>
        <w:rPr>
          <w:rFonts w:ascii="Calibri" w:hAnsi="Calibri"/>
        </w:rPr>
        <w:t>Nafarroak erronka demografiko handi bati egin behar dio aurre: bere biztanleria arian-arian zahartzen ari da. 2024an, nafarren % 21ek 65 urte edo gehiago zuen, Estatuko batezbestekoa baino handiagoa. CCOOk mendekotasunak Nafarroan duen eraginari buruz egindako azterlan baten arabera, hurrengo hamabost urteetan ehuneko hori bost puntu igoko da, eta horrek mendekotasun-tasa ia sei puntu igo lezake. Egoera horrek plangintza egokia eta zerbitzu eta baliabide asistentzialetan inbertsio handiagoa egitea eskatzen du.</w:t>
      </w:r>
    </w:p>
    <w:p w14:paraId="44ACFA42" w14:textId="77777777" w:rsidR="004A043F" w:rsidRPr="004A043F" w:rsidRDefault="004A043F" w:rsidP="004A043F">
      <w:pPr>
        <w:jc w:val="both"/>
        <w:rPr>
          <w:rFonts w:ascii="Calibri" w:hAnsi="Calibri" w:cs="Calibri"/>
        </w:rPr>
      </w:pPr>
      <w:r>
        <w:rPr>
          <w:rFonts w:ascii="Calibri" w:hAnsi="Calibri"/>
        </w:rPr>
        <w:t>Nafarroan mendekotasunari arreta emateko sistema hiru bideren bidez finantzatzen da: Foru Komunitatearen ekarpena, onuradunen ekarpena eta Estatuaren transferentziak, gutxieneko mailan eta Hitzarmen Ekonomikoaren bidez adostutako mailan.</w:t>
      </w:r>
    </w:p>
    <w:p w14:paraId="14036B6C" w14:textId="77777777" w:rsidR="004A043F" w:rsidRPr="004A043F" w:rsidRDefault="004A043F" w:rsidP="004A043F">
      <w:pPr>
        <w:jc w:val="both"/>
        <w:rPr>
          <w:rFonts w:ascii="Calibri" w:hAnsi="Calibri" w:cs="Calibri"/>
        </w:rPr>
      </w:pPr>
      <w:r>
        <w:rPr>
          <w:rFonts w:ascii="Calibri" w:hAnsi="Calibri"/>
        </w:rPr>
        <w:t>Hala ere, erabiltzaileen koordainketa bere mugara iritsi da, Mendekotasunaren Behatokiaren Azterlan Batzordearen txostenak 2017an adierazi zuen bezala. Ulergarria da hori, adineko pertsona askok errenta txikiak baitituzte.</w:t>
      </w:r>
    </w:p>
    <w:p w14:paraId="356E1828" w14:textId="495F5E7A" w:rsidR="004A043F" w:rsidRPr="004A043F" w:rsidRDefault="004A043F" w:rsidP="004A043F">
      <w:pPr>
        <w:jc w:val="both"/>
        <w:rPr>
          <w:rFonts w:ascii="Calibri" w:hAnsi="Calibri" w:cs="Calibri"/>
        </w:rPr>
      </w:pPr>
      <w:r>
        <w:rPr>
          <w:rFonts w:ascii="Calibri" w:hAnsi="Calibri"/>
        </w:rPr>
        <w:t xml:space="preserve">Mendekotasunak Nafarroan duen Egoerari buruzko VIII. Txostenaren arabera, zeina Nafarroako Gobernuak </w:t>
      </w:r>
      <w:r w:rsidR="006E425C">
        <w:rPr>
          <w:rFonts w:ascii="Calibri" w:hAnsi="Calibri"/>
        </w:rPr>
        <w:t>e</w:t>
      </w:r>
      <w:r>
        <w:rPr>
          <w:rFonts w:ascii="Calibri" w:hAnsi="Calibri"/>
        </w:rPr>
        <w:t>gin baitu, 2024an 208,7 milioi bideratu ziren mendekotasun-sistemara.  Kopuru horretatik, % 81 (169 milioi) Foru Komunitateak finantzatu zuen, eta soilik % 19 (39 milioi) Estatuak.</w:t>
      </w:r>
    </w:p>
    <w:p w14:paraId="3EA65047" w14:textId="77777777" w:rsidR="004A043F" w:rsidRPr="004A043F" w:rsidRDefault="004A043F" w:rsidP="004A043F">
      <w:pPr>
        <w:jc w:val="both"/>
        <w:rPr>
          <w:rFonts w:ascii="Calibri" w:hAnsi="Calibri" w:cs="Calibri"/>
        </w:rPr>
      </w:pPr>
      <w:r>
        <w:rPr>
          <w:rFonts w:ascii="Calibri" w:hAnsi="Calibri"/>
        </w:rPr>
        <w:t xml:space="preserve">Datu horien arabera, Nafarroa da, Euskal Autonomia Erkidegoarekin batera, mendekotasunaren arloan ahalegin finantzario handiena egiten duen autonomia-erkidegoa (hala dio Eskubide Sozialetako Zuzendari eta Kudeatzaileen Elkartearen azken txostenak). </w:t>
      </w:r>
    </w:p>
    <w:p w14:paraId="3F839B15" w14:textId="77777777" w:rsidR="004A043F" w:rsidRPr="004A043F" w:rsidRDefault="004A043F" w:rsidP="004A043F">
      <w:pPr>
        <w:jc w:val="both"/>
        <w:rPr>
          <w:rFonts w:ascii="Calibri" w:hAnsi="Calibri" w:cs="Calibri"/>
        </w:rPr>
      </w:pPr>
      <w:r>
        <w:rPr>
          <w:rFonts w:ascii="Calibri" w:hAnsi="Calibri"/>
        </w:rPr>
        <w:t>Testuinguru horretan, bereziki garrantzitsua da Espainiako Gobernuak eta Eusko Jaurlaritzak 2025eko apirilean lortutako akordioa, zeinaren bidez Estatuak konpromisoa hartzen baitu euskal administrazioek IMSERSOn ziurtatutako mendekotasunaren gastu osoaren % 50 finantzatzeko. Akordio horrek, zeina Hitzarmen Ekonomikoaren Batzorde Mistoan formalizatu baita, finantzaketa osagarri egonkor eta esanguratsua bermatzen dio mendetasunari arreta emateko euskal sistemari.</w:t>
      </w:r>
    </w:p>
    <w:p w14:paraId="79BFAC20" w14:textId="77777777" w:rsidR="004A043F" w:rsidRPr="004A043F" w:rsidRDefault="004A043F" w:rsidP="004A043F">
      <w:pPr>
        <w:jc w:val="both"/>
        <w:rPr>
          <w:rFonts w:ascii="Calibri" w:hAnsi="Calibri" w:cs="Calibri"/>
        </w:rPr>
      </w:pPr>
      <w:r>
        <w:rPr>
          <w:rFonts w:ascii="Calibri" w:hAnsi="Calibri"/>
        </w:rPr>
        <w:t>Nafarroan, tratu ekitatiboa eskatzen dugu. Ezin dira lehen eta bigarren mailako herritarrak egon, behar dituzten zaintza eta laguntzei dagokienez. Mendekotasuna duten pertsonentzako arretak administrazio guztiek partekatu beharreko lehentasuna izan behar du, eta Estatuak dagokion erantzukizuna hartu behar du bere gain, autonomia-erkidego guztientzako baldintza beretan hartu ere.</w:t>
      </w:r>
    </w:p>
    <w:p w14:paraId="0E2C7231" w14:textId="7DA1005F" w:rsidR="004A043F" w:rsidRPr="004A043F" w:rsidRDefault="004A043F" w:rsidP="004A043F">
      <w:pPr>
        <w:jc w:val="both"/>
        <w:rPr>
          <w:rFonts w:ascii="Calibri" w:hAnsi="Calibri" w:cs="Calibri"/>
        </w:rPr>
      </w:pPr>
      <w:r>
        <w:rPr>
          <w:rFonts w:ascii="Calibri" w:hAnsi="Calibri"/>
        </w:rPr>
        <w:t>Erabaki-proposamena:</w:t>
      </w:r>
    </w:p>
    <w:p w14:paraId="1C3A3E9E" w14:textId="77777777" w:rsidR="004A043F" w:rsidRPr="004A043F" w:rsidRDefault="004A043F" w:rsidP="004A043F">
      <w:pPr>
        <w:jc w:val="both"/>
        <w:rPr>
          <w:rFonts w:ascii="Calibri" w:hAnsi="Calibri" w:cs="Calibri"/>
        </w:rPr>
      </w:pPr>
      <w:r>
        <w:rPr>
          <w:rFonts w:ascii="Calibri" w:hAnsi="Calibri"/>
        </w:rPr>
        <w:t xml:space="preserve">1. Nafarroako Parlamentuak Espainiako Gobernua eta Nafarroako Gobernua premiatzen ditu sei hilabeteko epean akordio bat lor dezaten, bermatzeko administrazio publikoek IMSERSOn ziurtatutako mendekotasunaren arloko gastu osoaren % 50 finantzatuko duela Estatuak. </w:t>
      </w:r>
    </w:p>
    <w:p w14:paraId="00417E50" w14:textId="77777777" w:rsidR="004A043F" w:rsidRPr="004A043F" w:rsidRDefault="004A043F" w:rsidP="004A043F">
      <w:pPr>
        <w:jc w:val="both"/>
        <w:rPr>
          <w:rFonts w:ascii="Calibri" w:hAnsi="Calibri" w:cs="Calibri"/>
        </w:rPr>
      </w:pPr>
      <w:r>
        <w:rPr>
          <w:rFonts w:ascii="Calibri" w:hAnsi="Calibri"/>
        </w:rPr>
        <w:lastRenderedPageBreak/>
        <w:t>2. Akordio hori 2025eko apirilaren 10ean Hitzarmen Ekonomikoaren Batzorde Mistoan Eusko Jaurlaritzarekin lortutako baldintza beretan ezarri beharko da, era horretan Nafarroan mendekotasuna duten pertsonentzako tratu- eta finantzaketa-berdintasuna bermatzeko.</w:t>
      </w:r>
    </w:p>
    <w:p w14:paraId="3567DDA4" w14:textId="77777777" w:rsidR="004A043F" w:rsidRPr="004A043F" w:rsidRDefault="004A043F" w:rsidP="004A043F">
      <w:pPr>
        <w:jc w:val="both"/>
        <w:rPr>
          <w:rFonts w:ascii="Calibri" w:hAnsi="Calibri" w:cs="Calibri"/>
        </w:rPr>
      </w:pPr>
      <w:r>
        <w:rPr>
          <w:rFonts w:ascii="Calibri" w:hAnsi="Calibri"/>
        </w:rPr>
        <w:t>3. Nafarroako Parlamentuak, halaber, Espainiako Gobernua premiatzen du finantzaketa-esparru justu eta ekitatibo bat ezar dezan autonomia-erkidego guztientzat, bermatzeko ezen mendekotasun-egoeran dauden pertsonei ematen zaien arreta lehentasun partekatua izango dela eta Estatuak bere gain hartuko duela bere erantzukizuna, baldintza berdinetan, Espainia osoan.</w:t>
      </w:r>
    </w:p>
    <w:p w14:paraId="42BE2D82" w14:textId="77777777" w:rsidR="004A043F" w:rsidRPr="004A043F" w:rsidRDefault="004A043F" w:rsidP="004A043F">
      <w:pPr>
        <w:jc w:val="both"/>
        <w:rPr>
          <w:rFonts w:ascii="Calibri" w:hAnsi="Calibri" w:cs="Calibri"/>
        </w:rPr>
      </w:pPr>
      <w:r>
        <w:rPr>
          <w:rFonts w:ascii="Calibri" w:hAnsi="Calibri"/>
        </w:rPr>
        <w:t>Iruñean, 2025eko maiatzaren 20an</w:t>
      </w:r>
    </w:p>
    <w:p w14:paraId="6F6AF4EB" w14:textId="00995FF1" w:rsidR="004A043F" w:rsidRPr="004A043F" w:rsidRDefault="004A043F" w:rsidP="004A043F">
      <w:pPr>
        <w:jc w:val="both"/>
        <w:rPr>
          <w:rFonts w:ascii="Calibri" w:hAnsi="Calibri" w:cs="Calibri"/>
        </w:rPr>
      </w:pPr>
      <w:r>
        <w:rPr>
          <w:rFonts w:ascii="Calibri" w:hAnsi="Calibri"/>
        </w:rPr>
        <w:t>Foru parlamentaria: Maribel García Malo</w:t>
      </w:r>
    </w:p>
    <w:sectPr w:rsidR="004A043F" w:rsidRPr="004A043F"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43F"/>
    <w:rsid w:val="000370A0"/>
    <w:rsid w:val="000820DB"/>
    <w:rsid w:val="000A3E45"/>
    <w:rsid w:val="000B399C"/>
    <w:rsid w:val="00102BA2"/>
    <w:rsid w:val="001E34F2"/>
    <w:rsid w:val="00242C60"/>
    <w:rsid w:val="002E551E"/>
    <w:rsid w:val="0031591D"/>
    <w:rsid w:val="00337EB8"/>
    <w:rsid w:val="0035620E"/>
    <w:rsid w:val="003C1B1F"/>
    <w:rsid w:val="00462614"/>
    <w:rsid w:val="004A043F"/>
    <w:rsid w:val="00597020"/>
    <w:rsid w:val="00603382"/>
    <w:rsid w:val="0061120D"/>
    <w:rsid w:val="006E425C"/>
    <w:rsid w:val="006F2590"/>
    <w:rsid w:val="00710D6B"/>
    <w:rsid w:val="00845D68"/>
    <w:rsid w:val="00854C8E"/>
    <w:rsid w:val="0089010A"/>
    <w:rsid w:val="008A3285"/>
    <w:rsid w:val="00956302"/>
    <w:rsid w:val="00A536E1"/>
    <w:rsid w:val="00A6590A"/>
    <w:rsid w:val="00AA1B4B"/>
    <w:rsid w:val="00AD383F"/>
    <w:rsid w:val="00B065BA"/>
    <w:rsid w:val="00B42A30"/>
    <w:rsid w:val="00B52B9C"/>
    <w:rsid w:val="00B66122"/>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173A"/>
  <w15:chartTrackingRefBased/>
  <w15:docId w15:val="{ADB8F485-962D-42A2-BE7F-461798CC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A0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A0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043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043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A043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A043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043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043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043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043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043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043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043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A043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A043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043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043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043F"/>
    <w:rPr>
      <w:rFonts w:eastAsiaTheme="majorEastAsia" w:cstheme="majorBidi"/>
      <w:color w:val="272727" w:themeColor="text1" w:themeTint="D8"/>
    </w:rPr>
  </w:style>
  <w:style w:type="paragraph" w:styleId="Ttulo">
    <w:name w:val="Title"/>
    <w:basedOn w:val="Normal"/>
    <w:next w:val="Normal"/>
    <w:link w:val="TtuloCar"/>
    <w:uiPriority w:val="10"/>
    <w:qFormat/>
    <w:rsid w:val="004A0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04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043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043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043F"/>
    <w:pPr>
      <w:spacing w:before="160"/>
      <w:jc w:val="center"/>
    </w:pPr>
    <w:rPr>
      <w:i/>
      <w:iCs/>
      <w:color w:val="404040" w:themeColor="text1" w:themeTint="BF"/>
    </w:rPr>
  </w:style>
  <w:style w:type="character" w:customStyle="1" w:styleId="CitaCar">
    <w:name w:val="Cita Car"/>
    <w:basedOn w:val="Fuentedeprrafopredeter"/>
    <w:link w:val="Cita"/>
    <w:uiPriority w:val="29"/>
    <w:rsid w:val="004A043F"/>
    <w:rPr>
      <w:i/>
      <w:iCs/>
      <w:color w:val="404040" w:themeColor="text1" w:themeTint="BF"/>
    </w:rPr>
  </w:style>
  <w:style w:type="paragraph" w:styleId="Prrafodelista">
    <w:name w:val="List Paragraph"/>
    <w:basedOn w:val="Normal"/>
    <w:uiPriority w:val="34"/>
    <w:qFormat/>
    <w:rsid w:val="004A043F"/>
    <w:pPr>
      <w:ind w:left="720"/>
      <w:contextualSpacing/>
    </w:pPr>
  </w:style>
  <w:style w:type="character" w:styleId="nfasisintenso">
    <w:name w:val="Intense Emphasis"/>
    <w:basedOn w:val="Fuentedeprrafopredeter"/>
    <w:uiPriority w:val="21"/>
    <w:qFormat/>
    <w:rsid w:val="004A043F"/>
    <w:rPr>
      <w:i/>
      <w:iCs/>
      <w:color w:val="0F4761" w:themeColor="accent1" w:themeShade="BF"/>
    </w:rPr>
  </w:style>
  <w:style w:type="paragraph" w:styleId="Citadestacada">
    <w:name w:val="Intense Quote"/>
    <w:basedOn w:val="Normal"/>
    <w:next w:val="Normal"/>
    <w:link w:val="CitadestacadaCar"/>
    <w:uiPriority w:val="30"/>
    <w:qFormat/>
    <w:rsid w:val="004A0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A043F"/>
    <w:rPr>
      <w:i/>
      <w:iCs/>
      <w:color w:val="0F4761" w:themeColor="accent1" w:themeShade="BF"/>
    </w:rPr>
  </w:style>
  <w:style w:type="character" w:styleId="Referenciaintensa">
    <w:name w:val="Intense Reference"/>
    <w:basedOn w:val="Fuentedeprrafopredeter"/>
    <w:uiPriority w:val="32"/>
    <w:qFormat/>
    <w:rsid w:val="004A04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554</Words>
  <Characters>3053</Characters>
  <Application>Microsoft Office Word</Application>
  <DocSecurity>0</DocSecurity>
  <Lines>25</Lines>
  <Paragraphs>7</Paragraphs>
  <ScaleCrop>false</ScaleCrop>
  <Company>HP Inc.</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2025-05-21T16:51:00Z</dcterms:created>
  <dcterms:modified xsi:type="dcterms:W3CDTF">2025-05-30T07:48:00Z</dcterms:modified>
</cp:coreProperties>
</file>