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3E90B" w14:textId="2228BDC0" w:rsidR="00E734F7" w:rsidRDefault="00A84714"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Pr>
          <w:rFonts w:asciiTheme="minorHAnsi" w:eastAsia="Times New Roman" w:hAnsiTheme="minorHAnsi" w:cstheme="minorHAnsi"/>
          <w:color w:val="000000"/>
          <w:sz w:val="24"/>
          <w:szCs w:val="24"/>
          <w:lang w:val="es-ES" w:eastAsia="es-ES"/>
        </w:rPr>
        <w:t>25</w:t>
      </w:r>
      <w:r w:rsidR="005E3924">
        <w:rPr>
          <w:rFonts w:asciiTheme="minorHAnsi" w:eastAsia="Times New Roman" w:hAnsiTheme="minorHAnsi" w:cstheme="minorHAnsi"/>
          <w:color w:val="000000"/>
          <w:sz w:val="24"/>
          <w:szCs w:val="24"/>
          <w:lang w:val="es-ES" w:eastAsia="es-ES"/>
        </w:rPr>
        <w:t>MOC</w:t>
      </w:r>
      <w:r w:rsidR="00755595">
        <w:rPr>
          <w:rFonts w:asciiTheme="minorHAnsi" w:eastAsia="Times New Roman" w:hAnsiTheme="minorHAnsi" w:cstheme="minorHAnsi"/>
          <w:color w:val="000000"/>
          <w:sz w:val="24"/>
          <w:szCs w:val="24"/>
          <w:lang w:val="es-ES" w:eastAsia="es-ES"/>
        </w:rPr>
        <w:t>-102</w:t>
      </w:r>
    </w:p>
    <w:p w14:paraId="20F02D74" w14:textId="23DF1C86" w:rsidR="00E734F7" w:rsidRPr="00755595" w:rsidRDefault="00A47F6F"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 xml:space="preserve">Adolfo Araiz Flamarique, parlamentario adscrito al Grupo Parlamentario EH </w:t>
      </w:r>
      <w:r w:rsidR="00755595" w:rsidRPr="00755595">
        <w:rPr>
          <w:rFonts w:asciiTheme="minorHAnsi" w:eastAsia="Times New Roman" w:hAnsiTheme="minorHAnsi" w:cstheme="minorHAnsi"/>
          <w:color w:val="000000"/>
          <w:sz w:val="24"/>
          <w:szCs w:val="24"/>
          <w:lang w:val="es-ES" w:eastAsia="es-ES"/>
        </w:rPr>
        <w:t>Bildu Nafarroa</w:t>
      </w:r>
      <w:r w:rsidRPr="00755595">
        <w:rPr>
          <w:rFonts w:asciiTheme="minorHAnsi" w:eastAsia="Times New Roman" w:hAnsiTheme="minorHAnsi" w:cstheme="minorHAnsi"/>
          <w:color w:val="000000"/>
          <w:sz w:val="24"/>
          <w:szCs w:val="24"/>
          <w:lang w:val="es-ES" w:eastAsia="es-ES"/>
        </w:rPr>
        <w:t xml:space="preserve">, al amparo de lo dispuesto en el artículo 220 del Reglamento de la Cámara presenta la siguiente </w:t>
      </w:r>
      <w:r w:rsidR="00755595" w:rsidRPr="00755595">
        <w:rPr>
          <w:rFonts w:asciiTheme="minorHAnsi" w:eastAsia="Times New Roman" w:hAnsiTheme="minorHAnsi" w:cstheme="minorHAnsi"/>
          <w:color w:val="000000"/>
          <w:sz w:val="24"/>
          <w:szCs w:val="24"/>
          <w:lang w:val="es-ES" w:eastAsia="es-ES"/>
        </w:rPr>
        <w:t>moción</w:t>
      </w:r>
      <w:r w:rsidRPr="00755595">
        <w:rPr>
          <w:rFonts w:asciiTheme="minorHAnsi" w:eastAsia="Times New Roman" w:hAnsiTheme="minorHAnsi" w:cstheme="minorHAnsi"/>
          <w:color w:val="000000"/>
          <w:sz w:val="24"/>
          <w:szCs w:val="24"/>
          <w:lang w:val="es-ES" w:eastAsia="es-ES"/>
        </w:rPr>
        <w:t>:</w:t>
      </w:r>
    </w:p>
    <w:p w14:paraId="53DBFEE1" w14:textId="1F3AF908" w:rsidR="00E734F7" w:rsidRPr="00755595" w:rsidRDefault="00A47F6F"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 xml:space="preserve">El Gobierno de Navarra, con fecha 8 de mayo de 2019, una vez realizado el proceso participativo correspondiente, aprobó el Plan Director del Ciclo Integral del Agua de Uso </w:t>
      </w:r>
      <w:r w:rsidR="00D829CC" w:rsidRPr="00755595">
        <w:rPr>
          <w:rFonts w:asciiTheme="minorHAnsi" w:eastAsia="Times New Roman" w:hAnsiTheme="minorHAnsi" w:cstheme="minorHAnsi"/>
          <w:color w:val="000000"/>
          <w:sz w:val="24"/>
          <w:szCs w:val="24"/>
          <w:lang w:val="es-ES" w:eastAsia="es-ES"/>
        </w:rPr>
        <w:t>Urbano 2019</w:t>
      </w:r>
      <w:r w:rsidRPr="00755595">
        <w:rPr>
          <w:rFonts w:asciiTheme="minorHAnsi" w:eastAsia="Times New Roman" w:hAnsiTheme="minorHAnsi" w:cstheme="minorHAnsi"/>
          <w:color w:val="000000"/>
          <w:sz w:val="24"/>
          <w:szCs w:val="24"/>
          <w:lang w:val="es-ES" w:eastAsia="es-ES"/>
        </w:rPr>
        <w:t>-2030.</w:t>
      </w:r>
    </w:p>
    <w:p w14:paraId="39CDDB40" w14:textId="54E4967B" w:rsidR="00E734F7" w:rsidRPr="00755595" w:rsidRDefault="00A47F6F"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 xml:space="preserve">En el apartado 6.3.2.4 de dicho Plan “Mejora de abastecimiento alta Comarca Tierra Estella/Estellerria”, en su página 117 </w:t>
      </w:r>
      <w:r w:rsidR="00D829CC" w:rsidRPr="00755595">
        <w:rPr>
          <w:rFonts w:asciiTheme="minorHAnsi" w:eastAsia="Times New Roman" w:hAnsiTheme="minorHAnsi" w:cstheme="minorHAnsi"/>
          <w:color w:val="000000"/>
          <w:sz w:val="24"/>
          <w:szCs w:val="24"/>
          <w:lang w:val="es-ES" w:eastAsia="es-ES"/>
        </w:rPr>
        <w:t>se indicaba</w:t>
      </w:r>
      <w:r w:rsidRPr="00755595">
        <w:rPr>
          <w:rFonts w:asciiTheme="minorHAnsi" w:eastAsia="Times New Roman" w:hAnsiTheme="minorHAnsi" w:cstheme="minorHAnsi"/>
          <w:color w:val="000000"/>
          <w:sz w:val="24"/>
          <w:szCs w:val="24"/>
          <w:lang w:val="es-ES" w:eastAsia="es-ES"/>
        </w:rPr>
        <w:t>:</w:t>
      </w:r>
    </w:p>
    <w:p w14:paraId="47964E43" w14:textId="6E790698" w:rsidR="00E734F7" w:rsidRPr="00755595" w:rsidRDefault="00A47F6F"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 xml:space="preserve">“Conexión Itoiz-Canal de Navarra para suministro a las localidades de Lerín, Carcar, Andosilla y San Adrián (y tal como se indica posteriormente, también Azagra en la Comarca Ribera Alta/Erribergoiena). Esta conexión se comenzaría a ejecutar en 2024 y se finalizaría para 2027, con un volumen </w:t>
      </w:r>
      <w:r w:rsidR="00D829CC" w:rsidRPr="00755595">
        <w:rPr>
          <w:rFonts w:asciiTheme="minorHAnsi" w:eastAsia="Times New Roman" w:hAnsiTheme="minorHAnsi" w:cstheme="minorHAnsi"/>
          <w:color w:val="000000"/>
          <w:sz w:val="24"/>
          <w:szCs w:val="24"/>
          <w:lang w:val="es-ES" w:eastAsia="es-ES"/>
        </w:rPr>
        <w:t>asignado de</w:t>
      </w:r>
      <w:r w:rsidRPr="00755595">
        <w:rPr>
          <w:rFonts w:asciiTheme="minorHAnsi" w:eastAsia="Times New Roman" w:hAnsiTheme="minorHAnsi" w:cstheme="minorHAnsi"/>
          <w:color w:val="000000"/>
          <w:sz w:val="24"/>
          <w:szCs w:val="24"/>
          <w:lang w:val="es-ES" w:eastAsia="es-ES"/>
        </w:rPr>
        <w:t xml:space="preserve"> 2,20 hm</w:t>
      </w:r>
      <w:r w:rsidRPr="00D829CC">
        <w:rPr>
          <w:rFonts w:asciiTheme="minorHAnsi" w:eastAsia="Times New Roman" w:hAnsiTheme="minorHAnsi" w:cstheme="minorHAnsi"/>
          <w:color w:val="000000"/>
          <w:sz w:val="24"/>
          <w:szCs w:val="24"/>
          <w:vertAlign w:val="superscript"/>
          <w:lang w:val="es-ES" w:eastAsia="es-ES"/>
        </w:rPr>
        <w:t>3</w:t>
      </w:r>
      <w:r w:rsidRPr="00755595">
        <w:rPr>
          <w:rFonts w:asciiTheme="minorHAnsi" w:eastAsia="Times New Roman" w:hAnsiTheme="minorHAnsi" w:cstheme="minorHAnsi"/>
          <w:color w:val="000000"/>
          <w:sz w:val="24"/>
          <w:szCs w:val="24"/>
          <w:lang w:val="es-ES" w:eastAsia="es-ES"/>
        </w:rPr>
        <w:t>/</w:t>
      </w:r>
      <w:r w:rsidR="00D829CC" w:rsidRPr="00755595">
        <w:rPr>
          <w:rFonts w:asciiTheme="minorHAnsi" w:eastAsia="Times New Roman" w:hAnsiTheme="minorHAnsi" w:cstheme="minorHAnsi"/>
          <w:color w:val="000000"/>
          <w:sz w:val="24"/>
          <w:szCs w:val="24"/>
          <w:lang w:val="es-ES" w:eastAsia="es-ES"/>
        </w:rPr>
        <w:t xml:space="preserve">año, </w:t>
      </w:r>
      <w:r w:rsidR="002E0CD3" w:rsidRPr="00755595">
        <w:rPr>
          <w:rFonts w:asciiTheme="minorHAnsi" w:eastAsia="Times New Roman" w:hAnsiTheme="minorHAnsi" w:cstheme="minorHAnsi"/>
          <w:color w:val="000000"/>
          <w:sz w:val="24"/>
          <w:szCs w:val="24"/>
          <w:lang w:val="es-ES" w:eastAsia="es-ES"/>
        </w:rPr>
        <w:t>de los</w:t>
      </w:r>
      <w:r w:rsidRPr="00755595">
        <w:rPr>
          <w:rFonts w:asciiTheme="minorHAnsi" w:eastAsia="Times New Roman" w:hAnsiTheme="minorHAnsi" w:cstheme="minorHAnsi"/>
          <w:color w:val="000000"/>
          <w:sz w:val="24"/>
          <w:szCs w:val="24"/>
          <w:lang w:val="es-ES" w:eastAsia="es-ES"/>
        </w:rPr>
        <w:t xml:space="preserve"> que 1,61 hm</w:t>
      </w:r>
      <w:r w:rsidRPr="00D829CC">
        <w:rPr>
          <w:rFonts w:asciiTheme="minorHAnsi" w:eastAsia="Times New Roman" w:hAnsiTheme="minorHAnsi" w:cstheme="minorHAnsi"/>
          <w:color w:val="000000"/>
          <w:sz w:val="24"/>
          <w:szCs w:val="24"/>
          <w:vertAlign w:val="superscript"/>
          <w:lang w:val="es-ES" w:eastAsia="es-ES"/>
        </w:rPr>
        <w:t>3</w:t>
      </w:r>
      <w:r w:rsidRPr="00755595">
        <w:rPr>
          <w:rFonts w:asciiTheme="minorHAnsi" w:eastAsia="Times New Roman" w:hAnsiTheme="minorHAnsi" w:cstheme="minorHAnsi"/>
          <w:color w:val="000000"/>
          <w:sz w:val="24"/>
          <w:szCs w:val="24"/>
          <w:lang w:val="es-ES" w:eastAsia="es-ES"/>
        </w:rPr>
        <w:t>/</w:t>
      </w:r>
      <w:r w:rsidR="00D829CC" w:rsidRPr="00755595">
        <w:rPr>
          <w:rFonts w:asciiTheme="minorHAnsi" w:eastAsia="Times New Roman" w:hAnsiTheme="minorHAnsi" w:cstheme="minorHAnsi"/>
          <w:color w:val="000000"/>
          <w:sz w:val="24"/>
          <w:szCs w:val="24"/>
          <w:lang w:val="es-ES" w:eastAsia="es-ES"/>
        </w:rPr>
        <w:t>año corresponden</w:t>
      </w:r>
      <w:r w:rsidRPr="00755595">
        <w:rPr>
          <w:rFonts w:asciiTheme="minorHAnsi" w:eastAsia="Times New Roman" w:hAnsiTheme="minorHAnsi" w:cstheme="minorHAnsi"/>
          <w:color w:val="000000"/>
          <w:sz w:val="24"/>
          <w:szCs w:val="24"/>
          <w:lang w:val="es-ES" w:eastAsia="es-ES"/>
        </w:rPr>
        <w:t xml:space="preserve"> a las localidades de la Comarca de Tierra Estella/Estellerria y 0,59 hm</w:t>
      </w:r>
      <w:r w:rsidRPr="00D829CC">
        <w:rPr>
          <w:rFonts w:asciiTheme="minorHAnsi" w:eastAsia="Times New Roman" w:hAnsiTheme="minorHAnsi" w:cstheme="minorHAnsi"/>
          <w:color w:val="000000"/>
          <w:sz w:val="24"/>
          <w:szCs w:val="24"/>
          <w:vertAlign w:val="superscript"/>
          <w:lang w:val="es-ES" w:eastAsia="es-ES"/>
        </w:rPr>
        <w:t>3</w:t>
      </w:r>
      <w:r w:rsidRPr="00755595">
        <w:rPr>
          <w:rFonts w:asciiTheme="minorHAnsi" w:eastAsia="Times New Roman" w:hAnsiTheme="minorHAnsi" w:cstheme="minorHAnsi"/>
          <w:color w:val="000000"/>
          <w:sz w:val="24"/>
          <w:szCs w:val="24"/>
          <w:lang w:val="es-ES" w:eastAsia="es-ES"/>
        </w:rPr>
        <w:t xml:space="preserve"> a Azagra en </w:t>
      </w:r>
      <w:r w:rsidR="00D829CC" w:rsidRPr="00755595">
        <w:rPr>
          <w:rFonts w:asciiTheme="minorHAnsi" w:eastAsia="Times New Roman" w:hAnsiTheme="minorHAnsi" w:cstheme="minorHAnsi"/>
          <w:color w:val="000000"/>
          <w:sz w:val="24"/>
          <w:szCs w:val="24"/>
          <w:lang w:val="es-ES" w:eastAsia="es-ES"/>
        </w:rPr>
        <w:t>la Comarca</w:t>
      </w:r>
      <w:r w:rsidRPr="00755595">
        <w:rPr>
          <w:rFonts w:asciiTheme="minorHAnsi" w:eastAsia="Times New Roman" w:hAnsiTheme="minorHAnsi" w:cstheme="minorHAnsi"/>
          <w:color w:val="000000"/>
          <w:sz w:val="24"/>
          <w:szCs w:val="24"/>
          <w:lang w:val="es-ES" w:eastAsia="es-ES"/>
        </w:rPr>
        <w:t xml:space="preserve"> Ribera Alta/Erriberagoiena. </w:t>
      </w:r>
      <w:r w:rsidR="00D829CC" w:rsidRPr="00755595">
        <w:rPr>
          <w:rFonts w:asciiTheme="minorHAnsi" w:eastAsia="Times New Roman" w:hAnsiTheme="minorHAnsi" w:cstheme="minorHAnsi"/>
          <w:color w:val="000000"/>
          <w:sz w:val="24"/>
          <w:szCs w:val="24"/>
          <w:lang w:val="es-ES" w:eastAsia="es-ES"/>
        </w:rPr>
        <w:t>En el mapa</w:t>
      </w:r>
      <w:r w:rsidRPr="00755595">
        <w:rPr>
          <w:rFonts w:asciiTheme="minorHAnsi" w:eastAsia="Times New Roman" w:hAnsiTheme="minorHAnsi" w:cstheme="minorHAnsi"/>
          <w:color w:val="000000"/>
          <w:sz w:val="24"/>
          <w:szCs w:val="24"/>
          <w:lang w:val="es-ES" w:eastAsia="es-ES"/>
        </w:rPr>
        <w:t xml:space="preserve"> adjunto se incluye un trazado orientativo que deberá ser analizado más exhaustivamente en la fase de proyecto”</w:t>
      </w:r>
      <w:r w:rsidR="00D829CC">
        <w:rPr>
          <w:rFonts w:asciiTheme="minorHAnsi" w:eastAsia="Times New Roman" w:hAnsiTheme="minorHAnsi" w:cstheme="minorHAnsi"/>
          <w:color w:val="000000"/>
          <w:sz w:val="24"/>
          <w:szCs w:val="24"/>
          <w:lang w:val="es-ES" w:eastAsia="es-ES"/>
        </w:rPr>
        <w:t>.</w:t>
      </w:r>
    </w:p>
    <w:p w14:paraId="6C453ADA" w14:textId="77777777" w:rsidR="00E734F7" w:rsidRPr="00755595" w:rsidRDefault="00A47F6F"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Por su parte, en la página 119, se detallaban las inversiones a realizar entre las que se establece la inversión para realizar la conexión Itoiz-Canal de Navarra y ETAP con un coste de 12.000.000 €.</w:t>
      </w:r>
    </w:p>
    <w:p w14:paraId="36EFA738" w14:textId="77777777" w:rsidR="00E734F7" w:rsidRPr="00755595" w:rsidRDefault="00A47F6F"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En marzo de este año 2025 se ha presentado el documento “Revisión del Plan Director del Ciclo Integral de Agua de Uso Urbano en Navarra 2029- 2030. En este documento, las páginas 87-88, se incluyen dos referencias a las actuaciones en Tierraestella/Lizarraldea:</w:t>
      </w:r>
    </w:p>
    <w:p w14:paraId="22EEEA16" w14:textId="56FD4346" w:rsidR="00E734F7" w:rsidRPr="00755595" w:rsidRDefault="00A47F6F"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“Las obras de posible conexión al Canal de Navarra, previsiblemente no podrán iniciarse hasta el final del horizonte del Plan o posiblemente más allá, contando con los trámites administrativos necesarios para autorizar las obras y modificar la concesión.</w:t>
      </w:r>
    </w:p>
    <w:p w14:paraId="42970032" w14:textId="47C31AED" w:rsidR="00E734F7" w:rsidRPr="00755595" w:rsidRDefault="00A47F6F"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 Se han estudiado distintas alternativas de conexión al Canal de Navarra, que se puede</w:t>
      </w:r>
      <w:r w:rsidR="00195BF4">
        <w:rPr>
          <w:rFonts w:asciiTheme="minorHAnsi" w:eastAsia="Times New Roman" w:hAnsiTheme="minorHAnsi" w:cstheme="minorHAnsi"/>
          <w:color w:val="000000"/>
          <w:sz w:val="24"/>
          <w:szCs w:val="24"/>
          <w:lang w:val="es-ES" w:eastAsia="es-ES"/>
        </w:rPr>
        <w:t>n</w:t>
      </w:r>
      <w:r w:rsidRPr="00755595">
        <w:rPr>
          <w:rFonts w:asciiTheme="minorHAnsi" w:eastAsia="Times New Roman" w:hAnsiTheme="minorHAnsi" w:cstheme="minorHAnsi"/>
          <w:color w:val="000000"/>
          <w:sz w:val="24"/>
          <w:szCs w:val="24"/>
          <w:lang w:val="es-ES" w:eastAsia="es-ES"/>
        </w:rPr>
        <w:t xml:space="preserve"> consultar en el Anexo III.3 Alternativas para la Ribera Estellesa, aunque previamente habrá que resolver los trámites administrativos asociados, incluyendo la posible modificación de la concesión, lo cual llevará la actuación más allá del 2030, y por tanto del presente Plan Director”</w:t>
      </w:r>
      <w:r w:rsidR="00195BF4">
        <w:rPr>
          <w:rFonts w:asciiTheme="minorHAnsi" w:eastAsia="Times New Roman" w:hAnsiTheme="minorHAnsi" w:cstheme="minorHAnsi"/>
          <w:color w:val="000000"/>
          <w:sz w:val="24"/>
          <w:szCs w:val="24"/>
          <w:lang w:val="es-ES" w:eastAsia="es-ES"/>
        </w:rPr>
        <w:t>.</w:t>
      </w:r>
    </w:p>
    <w:p w14:paraId="385543F4" w14:textId="192B2B43" w:rsidR="00E734F7" w:rsidRPr="00755595" w:rsidRDefault="00A47F6F"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De esta forma el Gobierno, la inversión prevista para la conexión de Itoiz-Canal de Navarra y ETAP se reduce de una cuantía de 12.000.000 € a</w:t>
      </w:r>
      <w:r w:rsidR="00A84714">
        <w:rPr>
          <w:rFonts w:asciiTheme="minorHAnsi" w:eastAsia="Times New Roman" w:hAnsiTheme="minorHAnsi" w:cstheme="minorHAnsi"/>
          <w:color w:val="000000"/>
          <w:sz w:val="24"/>
          <w:szCs w:val="24"/>
          <w:lang w:val="es-ES" w:eastAsia="es-ES"/>
        </w:rPr>
        <w:t xml:space="preserve"> </w:t>
      </w:r>
      <w:r w:rsidRPr="00755595">
        <w:rPr>
          <w:rFonts w:asciiTheme="minorHAnsi" w:eastAsia="Times New Roman" w:hAnsiTheme="minorHAnsi" w:cstheme="minorHAnsi"/>
          <w:color w:val="000000"/>
          <w:sz w:val="24"/>
          <w:szCs w:val="24"/>
          <w:lang w:val="es-ES" w:eastAsia="es-ES"/>
        </w:rPr>
        <w:t>1.000.000 €. No solo esto, sino que se indica que ni en el horizonte del Plan Director, año 2030, esa conexión con el Canal de Navarra será posible ejecutar.</w:t>
      </w:r>
    </w:p>
    <w:p w14:paraId="3A1CAF7F" w14:textId="77777777" w:rsidR="00E734F7" w:rsidRPr="00755595" w:rsidRDefault="00A47F6F"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No hay ninguna justificación que explique por qué este retraso en la ejecución de esta conexión que permitiría aliviar la actual presión sobre los pozos de Mendaza. No puede olvidarse que Mancomunidad de Montejurra tiene una concesión provisional de la Confederación Hidrográfica del Ebro para extraer agua de esos pozos. Esta concesión provisional finaliza en noviembre de 2025 ya que está supeditada a la resolución de la CHE sobre el expediente que se tramitó en el año 2013.</w:t>
      </w:r>
    </w:p>
    <w:p w14:paraId="6BE71937" w14:textId="08A7D508" w:rsidR="00E734F7" w:rsidRPr="00755595" w:rsidRDefault="00A47F6F"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 xml:space="preserve">La prolongación de la situación actual, junto con el incremento de las extracciones en Mendaza por la incorporación de nuevas localidades, agravará de forma insostenible la presión sobre el </w:t>
      </w:r>
      <w:r w:rsidRPr="00755595">
        <w:rPr>
          <w:rFonts w:asciiTheme="minorHAnsi" w:eastAsia="Times New Roman" w:hAnsiTheme="minorHAnsi" w:cstheme="minorHAnsi"/>
          <w:color w:val="000000"/>
          <w:sz w:val="24"/>
          <w:szCs w:val="24"/>
          <w:lang w:val="es-ES" w:eastAsia="es-ES"/>
        </w:rPr>
        <w:lastRenderedPageBreak/>
        <w:t xml:space="preserve">sistema. Cabe destacar que durante el estiaje se intensifica la extracción de agua, coincidiendo con el momento de menor disponibilidad en el acuífero del </w:t>
      </w:r>
      <w:r w:rsidR="00A84714" w:rsidRPr="00755595">
        <w:rPr>
          <w:rFonts w:asciiTheme="minorHAnsi" w:eastAsia="Times New Roman" w:hAnsiTheme="minorHAnsi" w:cstheme="minorHAnsi"/>
          <w:color w:val="000000"/>
          <w:sz w:val="24"/>
          <w:szCs w:val="24"/>
          <w:lang w:val="es-ES" w:eastAsia="es-ES"/>
        </w:rPr>
        <w:t>río Ega</w:t>
      </w:r>
      <w:r w:rsidRPr="00755595">
        <w:rPr>
          <w:rFonts w:asciiTheme="minorHAnsi" w:eastAsia="Times New Roman" w:hAnsiTheme="minorHAnsi" w:cstheme="minorHAnsi"/>
          <w:color w:val="000000"/>
          <w:sz w:val="24"/>
          <w:szCs w:val="24"/>
          <w:lang w:val="es-ES" w:eastAsia="es-ES"/>
        </w:rPr>
        <w:t>.</w:t>
      </w:r>
    </w:p>
    <w:p w14:paraId="1BBF31D8" w14:textId="77777777" w:rsidR="00E734F7" w:rsidRPr="00755595" w:rsidRDefault="00A47F6F"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Existe una reserva demanial de 60 hm³ para abastecimiento, y aprobada la conexión al sistema Itoiz-Canal de Navarra para que se ejecute en el segundo sexenio del Plan Director, con una partida de 12.000.000 tanto para conducciones como para la ETAP, es difícil de entender este retraso en las ejecuciones y la reducción drástica de la financiación de las obras para la conexión, con la consiguiente pérdida de seguridad en abastecimiento en los próximos años.</w:t>
      </w:r>
    </w:p>
    <w:p w14:paraId="10E7DD73" w14:textId="1D9BC66F" w:rsidR="00E734F7" w:rsidRPr="00755595" w:rsidRDefault="00A47F6F"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 xml:space="preserve">En conclusión, la revisión del Plan Director del Ciclo Integral del Agua de Uso Urbano 2019-2030, y en particular la drástica reducción de la inversión para la conexión Itoiz-Canal de Navarra y ETAP, representa una seria amenaza para el suministro de agua sostenible en la Comarca de Tierra Estella/Estellerria y una flagrante </w:t>
      </w:r>
      <w:r w:rsidR="00A84714" w:rsidRPr="00755595">
        <w:rPr>
          <w:rFonts w:asciiTheme="minorHAnsi" w:eastAsia="Times New Roman" w:hAnsiTheme="minorHAnsi" w:cstheme="minorHAnsi"/>
          <w:color w:val="000000"/>
          <w:sz w:val="24"/>
          <w:szCs w:val="24"/>
          <w:lang w:val="es-ES" w:eastAsia="es-ES"/>
        </w:rPr>
        <w:t>negligencia medioambiental</w:t>
      </w:r>
      <w:r>
        <w:rPr>
          <w:rFonts w:asciiTheme="minorHAnsi" w:eastAsia="Times New Roman" w:hAnsiTheme="minorHAnsi" w:cstheme="minorHAnsi"/>
          <w:color w:val="000000"/>
          <w:sz w:val="24"/>
          <w:szCs w:val="24"/>
          <w:lang w:val="es-ES" w:eastAsia="es-ES"/>
        </w:rPr>
        <w:t>.</w:t>
      </w:r>
    </w:p>
    <w:p w14:paraId="2A273E2D" w14:textId="5639D93B" w:rsidR="00E734F7" w:rsidRPr="00755595" w:rsidRDefault="00A47F6F"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 xml:space="preserve">Por ello, se presenta para su debate y aprobación en la Comisión de Economía y Hacienda la siguiente </w:t>
      </w:r>
      <w:r w:rsidR="00A84714" w:rsidRPr="00755595">
        <w:rPr>
          <w:rFonts w:asciiTheme="minorHAnsi" w:eastAsia="Times New Roman" w:hAnsiTheme="minorHAnsi" w:cstheme="minorHAnsi"/>
          <w:color w:val="000000"/>
          <w:sz w:val="24"/>
          <w:szCs w:val="24"/>
          <w:lang w:val="es-ES" w:eastAsia="es-ES"/>
        </w:rPr>
        <w:t>moción</w:t>
      </w:r>
      <w:r w:rsidRPr="00755595">
        <w:rPr>
          <w:rFonts w:asciiTheme="minorHAnsi" w:eastAsia="Times New Roman" w:hAnsiTheme="minorHAnsi" w:cstheme="minorHAnsi"/>
          <w:color w:val="000000"/>
          <w:sz w:val="24"/>
          <w:szCs w:val="24"/>
          <w:lang w:val="es-ES" w:eastAsia="es-ES"/>
        </w:rPr>
        <w:t>:</w:t>
      </w:r>
    </w:p>
    <w:p w14:paraId="3E88FD12" w14:textId="533C5F5B" w:rsidR="00E734F7" w:rsidRPr="00755595" w:rsidRDefault="00A84714"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Primero. -</w:t>
      </w:r>
      <w:r>
        <w:rPr>
          <w:rFonts w:asciiTheme="minorHAnsi" w:eastAsia="Times New Roman" w:hAnsiTheme="minorHAnsi" w:cstheme="minorHAnsi"/>
          <w:color w:val="000000"/>
          <w:sz w:val="24"/>
          <w:szCs w:val="24"/>
          <w:lang w:val="es-ES" w:eastAsia="es-ES"/>
        </w:rPr>
        <w:t xml:space="preserve"> </w:t>
      </w:r>
      <w:r w:rsidR="00A47F6F" w:rsidRPr="00755595">
        <w:rPr>
          <w:rFonts w:asciiTheme="minorHAnsi" w:eastAsia="Times New Roman" w:hAnsiTheme="minorHAnsi" w:cstheme="minorHAnsi"/>
          <w:color w:val="000000"/>
          <w:sz w:val="24"/>
          <w:szCs w:val="24"/>
          <w:lang w:val="es-ES" w:eastAsia="es-ES"/>
        </w:rPr>
        <w:t>El Parlamento de Navarra insta al Gobierno de Navarra a mantener en la Revisión del Plan Director del Ciclo Integral del Agua de Uso Urbano 2019-2030 las previsiones de ejecución de las obras de conexión con el Canal de Navarra, iniciando las obras de la ETAP en el segundo sexenio 2025-2030 para liberar lo antes posible la presión ambiental que suponen las extracciones de Lokiz.</w:t>
      </w:r>
    </w:p>
    <w:p w14:paraId="5279D999" w14:textId="4B3DE887" w:rsidR="00E734F7" w:rsidRPr="00755595" w:rsidRDefault="00A84714"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Segundo. -</w:t>
      </w:r>
      <w:r w:rsidR="00A47F6F" w:rsidRPr="00755595">
        <w:rPr>
          <w:rFonts w:asciiTheme="minorHAnsi" w:eastAsia="Times New Roman" w:hAnsiTheme="minorHAnsi" w:cstheme="minorHAnsi"/>
          <w:color w:val="000000"/>
          <w:sz w:val="24"/>
          <w:szCs w:val="24"/>
          <w:lang w:val="es-ES" w:eastAsia="es-ES"/>
        </w:rPr>
        <w:t xml:space="preserve"> El Parlamento de Navarra insta al Gobierno de Navarra a mantener las inversiones originales del Plan Director 2019-2030 en lo que</w:t>
      </w:r>
      <w:r w:rsidR="00755595" w:rsidRPr="00755595">
        <w:rPr>
          <w:rFonts w:asciiTheme="minorHAnsi" w:eastAsia="Times New Roman" w:hAnsiTheme="minorHAnsi" w:cstheme="minorHAnsi"/>
          <w:color w:val="000000"/>
          <w:sz w:val="24"/>
          <w:szCs w:val="24"/>
          <w:lang w:val="es-ES" w:eastAsia="es-ES"/>
        </w:rPr>
        <w:t xml:space="preserve"> </w:t>
      </w:r>
      <w:r w:rsidR="00A47F6F" w:rsidRPr="00755595">
        <w:rPr>
          <w:rFonts w:asciiTheme="minorHAnsi" w:eastAsia="Times New Roman" w:hAnsiTheme="minorHAnsi" w:cstheme="minorHAnsi"/>
          <w:color w:val="000000"/>
          <w:sz w:val="24"/>
          <w:szCs w:val="24"/>
          <w:lang w:val="es-ES" w:eastAsia="es-ES"/>
        </w:rPr>
        <w:t>respecta a conducciones y ETAP de la conexión con el Canal de Navarra para abastecer a la Ribera Estellesa en el importe de: 12.000.000 €.</w:t>
      </w:r>
    </w:p>
    <w:p w14:paraId="279D9E73" w14:textId="2BE50EDB" w:rsidR="00E734F7" w:rsidRPr="00755595" w:rsidRDefault="00A47F6F"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sidRPr="00755595">
        <w:rPr>
          <w:rFonts w:asciiTheme="minorHAnsi" w:eastAsia="Times New Roman" w:hAnsiTheme="minorHAnsi" w:cstheme="minorHAnsi"/>
          <w:color w:val="000000"/>
          <w:sz w:val="24"/>
          <w:szCs w:val="24"/>
          <w:lang w:val="es-ES" w:eastAsia="es-ES"/>
        </w:rPr>
        <w:t>Iruñea/Pamplona</w:t>
      </w:r>
      <w:r w:rsidR="00A84714">
        <w:rPr>
          <w:rFonts w:asciiTheme="minorHAnsi" w:eastAsia="Times New Roman" w:hAnsiTheme="minorHAnsi" w:cstheme="minorHAnsi"/>
          <w:color w:val="000000"/>
          <w:sz w:val="24"/>
          <w:szCs w:val="24"/>
          <w:lang w:val="es-ES" w:eastAsia="es-ES"/>
        </w:rPr>
        <w:t>.</w:t>
      </w:r>
      <w:r w:rsidRPr="00755595">
        <w:rPr>
          <w:rFonts w:asciiTheme="minorHAnsi" w:eastAsia="Times New Roman" w:hAnsiTheme="minorHAnsi" w:cstheme="minorHAnsi"/>
          <w:color w:val="000000"/>
          <w:sz w:val="24"/>
          <w:szCs w:val="24"/>
          <w:lang w:val="es-ES" w:eastAsia="es-ES"/>
        </w:rPr>
        <w:t xml:space="preserve"> a 6 de </w:t>
      </w:r>
      <w:r w:rsidR="0017332C">
        <w:rPr>
          <w:rFonts w:asciiTheme="minorHAnsi" w:eastAsia="Times New Roman" w:hAnsiTheme="minorHAnsi" w:cstheme="minorHAnsi"/>
          <w:color w:val="000000"/>
          <w:sz w:val="24"/>
          <w:szCs w:val="24"/>
          <w:lang w:val="es-ES" w:eastAsia="es-ES"/>
        </w:rPr>
        <w:t>junio</w:t>
      </w:r>
      <w:r w:rsidRPr="00755595">
        <w:rPr>
          <w:rFonts w:asciiTheme="minorHAnsi" w:eastAsia="Times New Roman" w:hAnsiTheme="minorHAnsi" w:cstheme="minorHAnsi"/>
          <w:color w:val="000000"/>
          <w:sz w:val="24"/>
          <w:szCs w:val="24"/>
          <w:lang w:val="es-ES" w:eastAsia="es-ES"/>
        </w:rPr>
        <w:t xml:space="preserve"> de 2025</w:t>
      </w:r>
    </w:p>
    <w:p w14:paraId="64D4606A" w14:textId="23FC119F" w:rsidR="00E734F7" w:rsidRPr="00755595" w:rsidRDefault="00A84714" w:rsidP="00755595">
      <w:pPr>
        <w:pStyle w:val="Textoindependiente"/>
        <w:spacing w:after="120" w:line="276" w:lineRule="auto"/>
        <w:jc w:val="both"/>
        <w:rPr>
          <w:rFonts w:asciiTheme="minorHAnsi" w:eastAsia="Times New Roman" w:hAnsiTheme="minorHAnsi" w:cstheme="minorHAnsi"/>
          <w:color w:val="000000"/>
          <w:sz w:val="24"/>
          <w:szCs w:val="24"/>
          <w:lang w:val="es-ES" w:eastAsia="es-ES"/>
        </w:rPr>
      </w:pPr>
      <w:r>
        <w:rPr>
          <w:rFonts w:asciiTheme="minorHAnsi" w:eastAsia="Times New Roman" w:hAnsiTheme="minorHAnsi" w:cstheme="minorHAnsi"/>
          <w:color w:val="000000"/>
          <w:sz w:val="24"/>
          <w:szCs w:val="24"/>
          <w:lang w:val="es-ES" w:eastAsia="es-ES"/>
        </w:rPr>
        <w:t xml:space="preserve">El Parlamentario Foral: </w:t>
      </w:r>
      <w:r w:rsidRPr="00755595">
        <w:rPr>
          <w:rFonts w:asciiTheme="minorHAnsi" w:eastAsia="Times New Roman" w:hAnsiTheme="minorHAnsi" w:cstheme="minorHAnsi"/>
          <w:color w:val="000000"/>
          <w:sz w:val="24"/>
          <w:szCs w:val="24"/>
          <w:lang w:val="es-ES" w:eastAsia="es-ES"/>
        </w:rPr>
        <w:t>Adolfo Araiz Flamarique</w:t>
      </w:r>
    </w:p>
    <w:sectPr w:rsidR="00E734F7" w:rsidRPr="00755595" w:rsidSect="00755595">
      <w:pgSz w:w="11900" w:h="16840"/>
      <w:pgMar w:top="1134" w:right="1127" w:bottom="1276"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E734F7"/>
    <w:rsid w:val="0017332C"/>
    <w:rsid w:val="00195BF4"/>
    <w:rsid w:val="002E0CD3"/>
    <w:rsid w:val="0056099C"/>
    <w:rsid w:val="005E3924"/>
    <w:rsid w:val="00755595"/>
    <w:rsid w:val="00850097"/>
    <w:rsid w:val="00A47F6F"/>
    <w:rsid w:val="00A84714"/>
    <w:rsid w:val="00D32B69"/>
    <w:rsid w:val="00D829CC"/>
    <w:rsid w:val="00E734F7"/>
    <w:rsid w:val="00EF01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1DC6"/>
  <w15:docId w15:val="{14F3764A-B8F6-4383-B700-7C2705F13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pPr>
      <w:spacing w:before="38"/>
      <w:ind w:left="212"/>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775</Words>
  <Characters>4265</Characters>
  <Application>Microsoft Office Word</Application>
  <DocSecurity>0</DocSecurity>
  <Lines>35</Lines>
  <Paragraphs>10</Paragraphs>
  <ScaleCrop>false</ScaleCrop>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10</cp:revision>
  <dcterms:created xsi:type="dcterms:W3CDTF">2025-06-12T14:32:00Z</dcterms:created>
  <dcterms:modified xsi:type="dcterms:W3CDTF">2025-06-19T07:48:00Z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2025-06-12T00:00:00Z</vt:filetime>
  </property>
  <property fmtid="{D5CDD505-2E9C-101B-9397-08002B2CF9AE}" pid="3" name="LastSaved">
    <vt:filetime>2025-06-12T00:00:00Z</vt:filetime>
  </property>
</Properties>
</file>