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49C0" w14:textId="6E8EEE58" w:rsidR="00730C46" w:rsidRPr="00AF0233" w:rsidRDefault="005C6F85" w:rsidP="00AF0233">
      <w:pPr>
        <w:spacing w:line="360" w:lineRule="auto"/>
        <w:ind w:firstLine="360"/>
        <w:jc w:val="both"/>
        <w:rPr>
          <w:rFonts w:ascii="Calibri" w:hAnsi="Calibri" w:cs="Calibri"/>
          <w:sz w:val="22"/>
          <w:szCs w:val="22"/>
        </w:rPr>
      </w:pPr>
      <w:r>
        <w:rPr>
          <w:rFonts w:ascii="Calibri" w:hAnsi="Calibri"/>
          <w:sz w:val="22"/>
        </w:rPr>
        <w:t>Unión del Pueblo Navarro talde parlamentariori atxikitako foru parlamentari Cristina López Mañero andreak 11-25/PES-00134 informazio-eskaera egin zuen, idatziz erantzun zekion. Bada, Nafarroako Gobernuko Etxebizitzako, Gazteriako eta Migrazio Politiketako kontseilaria naizen aldetik, honako hau jakinarazten dut egindako galderei erantzunez:</w:t>
      </w:r>
    </w:p>
    <w:p w14:paraId="3A8EF363" w14:textId="7C5A9981" w:rsidR="00730C46" w:rsidRPr="00AF0233" w:rsidRDefault="00730C46" w:rsidP="00AF0233">
      <w:pPr>
        <w:spacing w:line="360" w:lineRule="auto"/>
        <w:ind w:firstLine="360"/>
        <w:jc w:val="both"/>
        <w:rPr>
          <w:rFonts w:ascii="Calibri" w:hAnsi="Calibri" w:cs="Calibri"/>
          <w:b/>
          <w:sz w:val="22"/>
          <w:szCs w:val="22"/>
        </w:rPr>
      </w:pPr>
      <w:r>
        <w:rPr>
          <w:rFonts w:ascii="Calibri" w:hAnsi="Calibri"/>
          <w:b/>
          <w:sz w:val="22"/>
        </w:rPr>
        <w:t>Bete al da Arrazakeriaren eta xenofobiaren aurkako borrokari buruzko apirilaren 5eko 13/2023 Foru Legearen 9. artikuluan ezarritakoa?</w:t>
      </w:r>
    </w:p>
    <w:p w14:paraId="615C488F" w14:textId="3ABFEDAA" w:rsidR="00730C46" w:rsidRPr="00AF0233" w:rsidRDefault="00730C46" w:rsidP="00AF0233">
      <w:pPr>
        <w:spacing w:line="360" w:lineRule="auto"/>
        <w:ind w:firstLine="360"/>
        <w:jc w:val="both"/>
        <w:rPr>
          <w:rFonts w:ascii="Calibri" w:hAnsi="Calibri" w:cs="Calibri"/>
          <w:b/>
          <w:sz w:val="22"/>
          <w:szCs w:val="22"/>
        </w:rPr>
      </w:pPr>
      <w:r>
        <w:rPr>
          <w:rFonts w:ascii="Calibri" w:hAnsi="Calibri"/>
          <w:b/>
          <w:sz w:val="22"/>
        </w:rPr>
        <w:t>Artikulu horretan aipatzen diren entitateek zenbateraino taxutu dituzte arrazakeriaren aurka borrokatzeko planak edo jarduera-protokoloak etnia- edo arraza-jatorriagatiko diskriminazio-kasuetan?</w:t>
      </w:r>
    </w:p>
    <w:p w14:paraId="580A66F3" w14:textId="700D59B6"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Aipatu 13/2023 Foru Legearen 9. artikuluak ezartzen duenez, Nafarroako Gobernuak Arrazismoaren eta Xenofobiaren aurkako Borrokarako Nafarroako Plana egingo du, ardatz izango dena arlo honetako jarduketan (Foru Legeak 1. artikuluan aipatutako etnia- edo arraza-jatorriagatiko diskriminazioa prebenitzeko, eragozteko eta konpontzeko politika publikoak) eta bost urteko iraupena izango duena (ondoren berraztertu eta berritu egin beharko da). Ildo horretan, 13/2023 Foru Legea argitaratu aurretik onartutako Arrazismoaren eta Xenofobiaren aurkako Borrokarako Nafarroako Plana (2021-2026) indarrean da oraindik. </w:t>
      </w:r>
    </w:p>
    <w:p w14:paraId="35E2BF6A" w14:textId="4B379BD8"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Foru Legean eta Planean bertan ezarritakoaren arabera, jarraipena arrazakeriaren eta xenofobiaren aurkako borrokan lan egiten duten erakundeen partaidetzarekin egiten ari da, bai eta gutxiengo etnikoetako kideen partaidetzarekin ere.  </w:t>
      </w:r>
    </w:p>
    <w:p w14:paraId="6C3610C4" w14:textId="0051C41C"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Planaren exekuzioa gidatzeko zenbait urteko plan operatibo daude ezarrita, inplikatutako departamentu edo erakunde bakoitzak zer ekintza garatu behar dituen zehazten dituztenak. Urteko plan operatiboen edukia eta bakoitzaren exekuzioa hiru harreman-espaziok jarraitu eta partekatzen dute: bat, egiten ari den lana ezagutzeko interesa duten herritar guztiei irekita dago, norberaren izenean edo migratzaileen, auzotarren edo gutxiengo etnikoen elkarteen ordezkari gisa parte hartu dezaketenak; bigarrena, departamentu eta administrazio arteko harremanei dagokiena, administrazio publikoetako (Nafarroako Gobernua eta toki-erakundeak) eta erakunde sozialetako teknikariei zuzendutakoa; eta, azkena, harreman instituzionalena, inplikatutako Nafarroako Gobernuko departamentuetako zuzendaritza nagusiei zuzendutakoa. Jarraipenaren emaitza urteko jarraipen-txostenetan jasota geratzen da. </w:t>
      </w:r>
    </w:p>
    <w:p w14:paraId="1028E535" w14:textId="5BDD1CCB"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lastRenderedPageBreak/>
        <w:t>Behin Arrazismoaren eta Xenofobiaren aurkako Borrokarako Nafarroako Planaren exekuzio aldia amaitutakoan, planaren ebaluazioa egitea aurreikusita dago.</w:t>
      </w:r>
    </w:p>
    <w:p w14:paraId="41BF4F7B" w14:textId="4CA6818C" w:rsidR="00730C46" w:rsidRPr="00AF0233" w:rsidRDefault="00FD5947" w:rsidP="00AF0233">
      <w:pPr>
        <w:spacing w:line="360" w:lineRule="auto"/>
        <w:ind w:firstLine="360"/>
        <w:jc w:val="both"/>
        <w:rPr>
          <w:rFonts w:ascii="Calibri" w:hAnsi="Calibri" w:cs="Calibri"/>
          <w:sz w:val="22"/>
          <w:szCs w:val="22"/>
        </w:rPr>
      </w:pPr>
      <w:r>
        <w:rPr>
          <w:rFonts w:ascii="Calibri" w:hAnsi="Calibri"/>
          <w:sz w:val="22"/>
        </w:rPr>
        <w:t xml:space="preserve">Bestalde, 13/2023 Foru Legearen 9. artikuluaren 2. apartatuak zehazten duenez, Nafarroako Gobernuak behar den bultzada eta laguntza teknikoa eta ekonomikoa emanen dizkie toki-erakundeei, arrazakeriaren eta xenofobiaren aurka borrokatzeko neurriak eta planak garatu ditzaten, arrazakeriaren agerpen espezifikoei erantzuteko beren eskumenen esparruan. </w:t>
      </w:r>
    </w:p>
    <w:p w14:paraId="66B920BB" w14:textId="2AC4AC01"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Ildo horretan, Migrazio Politiketako Zuzendaritza Nagusiak dirulaguntzen deialdiak sustatu ditu, helburu hartuta toki-erakundeek teknikariak kontrata ditzatela kulturen arteko bizikidetza sustatzeko eta arrazakeriaren eta xenofobiaren aurka borrokatzeko. Helburu horrekin, urteko deialdi bat argitaratu zen 2023an; aldiz, teknikariok tokian toki egiten duten lanari egonkortasun handiagoa emateko beharra zegoela iritzita, bai eta aurrekontua areagotzea beharrezkoa zela ere, 2024an zenbait urtetarako bi deialdi argitaratu ziren, 2024-2026 aldirako zehazki. Hain justu, honako hauek dira aipatutako laguntza deialdiak:  </w:t>
      </w:r>
    </w:p>
    <w:p w14:paraId="672990B4" w14:textId="77777777" w:rsidR="00730C46" w:rsidRPr="00AF0233" w:rsidRDefault="00730C46" w:rsidP="00730C46">
      <w:pPr>
        <w:numPr>
          <w:ilvl w:val="0"/>
          <w:numId w:val="14"/>
        </w:numPr>
        <w:spacing w:line="360" w:lineRule="auto"/>
        <w:jc w:val="both"/>
        <w:rPr>
          <w:rFonts w:ascii="Calibri" w:hAnsi="Calibri" w:cs="Calibri"/>
          <w:sz w:val="22"/>
          <w:szCs w:val="22"/>
        </w:rPr>
      </w:pPr>
      <w:hyperlink r:id="rId7" w:tgtFrame="_blank" w:tooltip="86E/2022 Foru Agindua" w:history="1">
        <w:r>
          <w:rPr>
            <w:rStyle w:val="Hipervnculo"/>
            <w:rFonts w:ascii="Calibri" w:hAnsi="Calibri"/>
            <w:sz w:val="22"/>
          </w:rPr>
          <w:t>86E/2022 Foru Agindua</w:t>
        </w:r>
      </w:hyperlink>
      <w:r>
        <w:rPr>
          <w:rFonts w:ascii="Calibri" w:hAnsi="Calibri"/>
          <w:sz w:val="22"/>
        </w:rPr>
        <w:t>, azaroaren 18koa, Migrazio Politiketako eta Justiziako kontseilariak emana, zeinaren bidez dirulaguntzen deialdi bat onesten baita, tramitazio aurreratuaren bidez, toki-erakundeek kulturen arteko bizikidetzarako eta arrazismoaren eta xenofobiaren aurkako borrokarako teknikari bat finantza dezaten 2023an.</w:t>
      </w:r>
    </w:p>
    <w:p w14:paraId="40A14360" w14:textId="77777777" w:rsidR="00730C46" w:rsidRPr="00AF0233" w:rsidRDefault="00730C46" w:rsidP="00730C46">
      <w:pPr>
        <w:numPr>
          <w:ilvl w:val="0"/>
          <w:numId w:val="14"/>
        </w:numPr>
        <w:spacing w:line="360" w:lineRule="auto"/>
        <w:jc w:val="both"/>
        <w:rPr>
          <w:rFonts w:ascii="Calibri" w:hAnsi="Calibri" w:cs="Calibri"/>
          <w:sz w:val="22"/>
          <w:szCs w:val="22"/>
        </w:rPr>
      </w:pPr>
      <w:hyperlink r:id="rId8" w:tgtFrame="_blank" w:history="1">
        <w:r>
          <w:rPr>
            <w:rStyle w:val="Hipervnculo"/>
            <w:rFonts w:ascii="Calibri" w:hAnsi="Calibri"/>
            <w:sz w:val="22"/>
          </w:rPr>
          <w:t>61E/2023 Foru Agindua</w:t>
        </w:r>
      </w:hyperlink>
      <w:r>
        <w:rPr>
          <w:rFonts w:ascii="Calibri" w:hAnsi="Calibri"/>
          <w:sz w:val="22"/>
        </w:rPr>
        <w:t>, maiatzaren 10ekoa, Migrazio Politiketako eta Justiziako kontseilariak emana, zeinaren bidez onesten baita toki-erakundeei dirulaguntzak emateko deialdi bat, kulturen arteko bizikidetzarako eta arrazismoaren eta xenofobiaren aurkako borrokarako teknikariak finantzatzeko, 2023rako.</w:t>
      </w:r>
    </w:p>
    <w:p w14:paraId="05A288A1" w14:textId="77777777" w:rsidR="00730C46" w:rsidRPr="00AF0233" w:rsidRDefault="00215D3F" w:rsidP="00730C46">
      <w:pPr>
        <w:numPr>
          <w:ilvl w:val="0"/>
          <w:numId w:val="14"/>
        </w:numPr>
        <w:spacing w:line="360" w:lineRule="auto"/>
        <w:jc w:val="both"/>
        <w:rPr>
          <w:rFonts w:ascii="Calibri" w:hAnsi="Calibri" w:cs="Calibri"/>
          <w:sz w:val="22"/>
          <w:szCs w:val="22"/>
        </w:rPr>
      </w:pPr>
      <w:hyperlink r:id="rId9" w:history="1">
        <w:r>
          <w:rPr>
            <w:rStyle w:val="Hipervnculo"/>
            <w:rFonts w:ascii="Calibri" w:hAnsi="Calibri"/>
            <w:sz w:val="22"/>
          </w:rPr>
          <w:t>132E/2023 Foru Agindua</w:t>
        </w:r>
      </w:hyperlink>
      <w:r>
        <w:rPr>
          <w:rFonts w:ascii="Calibri" w:hAnsi="Calibri"/>
          <w:sz w:val="22"/>
        </w:rPr>
        <w:t xml:space="preserve">, azaroaren 24koa, Etxebizitzako, Gazteriako eta Migrazio Politiketako kontseilariak emana, zeinaren bidez onesten baita honako deialdi hau: "Toki-erakundeei dirulaguntzak emateko urte anitzeko deialdia, kulturen arteko bizikidetzarako eta arrazismoaren eta xenofobiaren aurkako borrokarako teknikariak finantzatzeko". </w:t>
      </w:r>
    </w:p>
    <w:p w14:paraId="515C6ABD" w14:textId="0254555E" w:rsidR="00730C46" w:rsidRPr="00AF0233" w:rsidRDefault="00730C46" w:rsidP="00AF0233">
      <w:pPr>
        <w:numPr>
          <w:ilvl w:val="0"/>
          <w:numId w:val="14"/>
        </w:numPr>
        <w:spacing w:line="360" w:lineRule="auto"/>
        <w:jc w:val="both"/>
        <w:rPr>
          <w:rFonts w:ascii="Calibri" w:hAnsi="Calibri" w:cs="Calibri"/>
          <w:sz w:val="22"/>
          <w:szCs w:val="22"/>
        </w:rPr>
      </w:pPr>
      <w:hyperlink r:id="rId10" w:history="1">
        <w:r>
          <w:rPr>
            <w:rStyle w:val="Hipervnculo"/>
            <w:rFonts w:ascii="Calibri" w:hAnsi="Calibri"/>
            <w:sz w:val="22"/>
          </w:rPr>
          <w:t>81E/2024 Ebazpena</w:t>
        </w:r>
      </w:hyperlink>
      <w:r>
        <w:rPr>
          <w:rFonts w:ascii="Calibri" w:hAnsi="Calibri"/>
          <w:sz w:val="22"/>
        </w:rPr>
        <w:t>, ekainaren 9koa, Migrazio Politikoetako zuzendari nagusiak emana, zeinaren bidez onesten baita honako deialdi hau: "Toki-erakundeei dirulaguntzak emateko urte anitzeko deialdia, kulturen arteko bizikidetzarako eta arrazismoaren eta xenofobiaren aurkako borrokarako teknikariak finantzatzeko, 2024ko bigarren deialdia".</w:t>
      </w:r>
    </w:p>
    <w:p w14:paraId="48E1057D" w14:textId="785BACF2" w:rsidR="00215D3F" w:rsidRPr="00AF0233" w:rsidRDefault="00730C46" w:rsidP="00AF0233">
      <w:pPr>
        <w:spacing w:line="360" w:lineRule="auto"/>
        <w:ind w:firstLine="360"/>
        <w:jc w:val="both"/>
        <w:rPr>
          <w:rFonts w:ascii="Calibri" w:hAnsi="Calibri" w:cs="Calibri"/>
          <w:sz w:val="22"/>
          <w:szCs w:val="22"/>
        </w:rPr>
      </w:pPr>
      <w:r>
        <w:rPr>
          <w:rFonts w:ascii="Calibri" w:hAnsi="Calibri"/>
          <w:sz w:val="22"/>
        </w:rPr>
        <w:lastRenderedPageBreak/>
        <w:t>Uneotan, honakoak dira kulturen arteko bizikidetzarako eta arrazismoaren eta xenofobiaren aurkako borrokarako teknikariak dituzten toki-erakundeak:</w:t>
      </w:r>
    </w:p>
    <w:p w14:paraId="7B9C6B44" w14:textId="77777777"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Fiteroko Udala.</w:t>
      </w:r>
      <w:r>
        <w:rPr>
          <w:rFonts w:ascii="Calibri" w:hAnsi="Calibri"/>
          <w:sz w:val="22"/>
        </w:rPr>
        <w:tab/>
      </w:r>
    </w:p>
    <w:p w14:paraId="3ACC0E42" w14:textId="77777777"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Iruñeko Udala.</w:t>
      </w:r>
      <w:r>
        <w:rPr>
          <w:rFonts w:ascii="Calibri" w:hAnsi="Calibri"/>
          <w:sz w:val="22"/>
        </w:rPr>
        <w:tab/>
      </w:r>
    </w:p>
    <w:p w14:paraId="414BCBE0" w14:textId="77777777"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 xml:space="preserve">Burlatako Udala. </w:t>
      </w:r>
    </w:p>
    <w:p w14:paraId="13D9184F" w14:textId="28E727B0"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Erriberriko Oinarrizko Gizarte Zerbitzuen Mankomunitatea: Uxue, San Martin Unx, Erriberri, Beire, Pitillas, Murillo el Cuende, Traibuenas, Arrada eta Caparroso.</w:t>
      </w:r>
    </w:p>
    <w:p w14:paraId="0A865091" w14:textId="1130EB6B"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Cintruénigoko Udala.</w:t>
      </w:r>
    </w:p>
    <w:p w14:paraId="5DCD7130" w14:textId="77777777"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Artaxoako Gizarte Zerbitzuak: Larraga, Miranda Arga eta Berbintzana.</w:t>
      </w:r>
    </w:p>
    <w:p w14:paraId="2D7C2637" w14:textId="77777777"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 xml:space="preserve">Leringo Udala. </w:t>
      </w:r>
      <w:r>
        <w:rPr>
          <w:rFonts w:ascii="Calibri" w:hAnsi="Calibri"/>
          <w:sz w:val="22"/>
        </w:rPr>
        <w:tab/>
      </w:r>
    </w:p>
    <w:p w14:paraId="0ED2D56A" w14:textId="0F9CE604"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Berriozarko Udala.</w:t>
      </w:r>
    </w:p>
    <w:p w14:paraId="4951F748" w14:textId="1CC411AF"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 xml:space="preserve">Tafallako Udala. </w:t>
      </w:r>
    </w:p>
    <w:p w14:paraId="688872B3" w14:textId="77777777"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Zarrakazteluko Oinarrizko Gizarte Zerbitzuen Mankomunitatea: Murillo el Fruto, Santakara, Mélida eta Figarol.</w:t>
      </w:r>
    </w:p>
    <w:p w14:paraId="55A52C4B" w14:textId="77777777"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Elizagorriko Mankomunitatea: Lodosa, Mendabia, Sartaguda eta Sesma.</w:t>
      </w:r>
    </w:p>
    <w:p w14:paraId="3CA12F55" w14:textId="77777777" w:rsidR="00730C46" w:rsidRPr="00AF0233" w:rsidRDefault="00730C46" w:rsidP="00215D3F">
      <w:pPr>
        <w:numPr>
          <w:ilvl w:val="0"/>
          <w:numId w:val="16"/>
        </w:numPr>
        <w:spacing w:line="360" w:lineRule="auto"/>
        <w:jc w:val="both"/>
        <w:rPr>
          <w:rFonts w:ascii="Calibri" w:hAnsi="Calibri" w:cs="Calibri"/>
          <w:sz w:val="22"/>
          <w:szCs w:val="22"/>
        </w:rPr>
      </w:pPr>
      <w:r>
        <w:rPr>
          <w:rFonts w:ascii="Calibri" w:hAnsi="Calibri"/>
          <w:sz w:val="22"/>
        </w:rPr>
        <w:t xml:space="preserve">Eguesibarko Udala: Altzuza, Ardatz, Azpa, Badostain, Egues, Elkano, Elia, Ibiriku, Olatz, Sagaseta, Ustarrotz, Gorraitz, Sarriguren, Amokain, Etxalatz, Egulbati, Elizmendi eta Erantsus. </w:t>
      </w:r>
    </w:p>
    <w:p w14:paraId="6C7FB7ED" w14:textId="6D1702FF" w:rsidR="00730C46" w:rsidRPr="00AF0233" w:rsidRDefault="00730C46" w:rsidP="00AF0233">
      <w:pPr>
        <w:numPr>
          <w:ilvl w:val="0"/>
          <w:numId w:val="16"/>
        </w:numPr>
        <w:spacing w:line="360" w:lineRule="auto"/>
        <w:jc w:val="both"/>
        <w:rPr>
          <w:rFonts w:ascii="Calibri" w:hAnsi="Calibri" w:cs="Calibri"/>
          <w:sz w:val="22"/>
          <w:szCs w:val="22"/>
        </w:rPr>
      </w:pPr>
      <w:r>
        <w:rPr>
          <w:rFonts w:ascii="Calibri" w:hAnsi="Calibri"/>
          <w:sz w:val="22"/>
        </w:rPr>
        <w:t>Sakanako Mankomunitatea (Anitzartean): Ziordia, Olazti, Altsasu, Urdiain, Iturmendi, Bakaiku, Etxarri Aranatz [Lizarragabengoa], Arbizu, Ergoiena [Lizarraga, Unanu, Dorrao], Lakuntza, Arruazu, Uharte Arakil, Irañeta, Arakil [Ihabar, Murgindueta, Hiriberri, Egiarreta, Satrustegi, Zuhatzu, Aizkorbe, Errotz, Izurdiaga, Urritzola, Etxarren, Etxeberri, Ekai] eta Irurtzun.</w:t>
      </w:r>
    </w:p>
    <w:p w14:paraId="2F1FE7D9" w14:textId="26DAD74A"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Migrazio Politiketako Zuzendaritza Nagusiko Ayllu-Kulturen arteko Bizikidetzarako eta Arrazismoaren eta Xenofobiaren aurkako Borrokarako Zerbitzua kulturen arteko bizikidetzarako eta arrazismoaren eta xenofobiaren aurkako borrokarako teknikarien sarea bultzatzen ari da, helburu hartuta era koordinatuan eta elkarlanean oinarrituta kulturen arteko bizikidetza eta herritar guztien inklusioa lortzea foru-komunitateko eskualde guztietan, esku-hartze komunitarioan oinarritutako jarduketen eskutik. </w:t>
      </w:r>
    </w:p>
    <w:p w14:paraId="19560963" w14:textId="34820607"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lastRenderedPageBreak/>
        <w:t xml:space="preserve">Bestalde, Migrazio Politiketako Zuzendaritza Nagusiak toki-erakundeek kulturen arteko bizikidetzarako eta arrazismoaren eta xenofobiaren aurkako borrokarako proiektuak bultzatzeko beharra ere aurreikusi du, baita egitasmook aurrera eramateko finantzaketa beharra ere. Ildo horretan, zenbait laguntza onartu dira kulturen arteko bizikidetzako diagnostikoak finantzatzeko, baita neurriak planifikatzeko eta martxan jartzeko ere. Migrazioekin, harrera-eskubidearekin, eta arrazakeriaren eta xenofobiaren aurkako borrokarekin lotuta bizikidetza sustatzeko eta sentsibilizazioa bultzatzeko ekintza puntualak egitea ere aurreikusi da. Honako deialdien bidez zehazki:  </w:t>
      </w:r>
    </w:p>
    <w:p w14:paraId="14B2EA51" w14:textId="77777777" w:rsidR="00730C46" w:rsidRPr="00AF0233" w:rsidRDefault="00215D3F" w:rsidP="00730C46">
      <w:pPr>
        <w:numPr>
          <w:ilvl w:val="0"/>
          <w:numId w:val="14"/>
        </w:numPr>
        <w:spacing w:line="360" w:lineRule="auto"/>
        <w:jc w:val="both"/>
        <w:rPr>
          <w:rFonts w:ascii="Calibri" w:hAnsi="Calibri" w:cs="Calibri"/>
          <w:sz w:val="22"/>
          <w:szCs w:val="22"/>
        </w:rPr>
      </w:pPr>
      <w:hyperlink r:id="rId11" w:history="1">
        <w:r>
          <w:rPr>
            <w:rStyle w:val="Hipervnculo"/>
            <w:rFonts w:ascii="Calibri" w:hAnsi="Calibri"/>
            <w:sz w:val="22"/>
          </w:rPr>
          <w:t>5E/2022 Foru Agindua</w:t>
        </w:r>
      </w:hyperlink>
      <w:r>
        <w:rPr>
          <w:rFonts w:ascii="Calibri" w:hAnsi="Calibri"/>
          <w:sz w:val="22"/>
        </w:rPr>
        <w:t>, otsailaren 11koa, Migrazio Politiketako eta Justiziako kontseilariak emana. Honen bidez onesten da toki erakundeetarako eta irabazi-asmorik gabeko gizarte ekimeneko entitateetarako dirulaguntzen deialdia, 2022. urterako, kulturen arteko bizikidetza sustatzeko eta arrazismoaren eta xenofobiaren aurka borrokatzeko proiektuetarako.</w:t>
      </w:r>
    </w:p>
    <w:p w14:paraId="2ED3E69D" w14:textId="77777777" w:rsidR="00730C46" w:rsidRPr="00AF0233" w:rsidRDefault="00215D3F" w:rsidP="00730C46">
      <w:pPr>
        <w:numPr>
          <w:ilvl w:val="0"/>
          <w:numId w:val="14"/>
        </w:numPr>
        <w:spacing w:line="360" w:lineRule="auto"/>
        <w:jc w:val="both"/>
        <w:rPr>
          <w:rFonts w:ascii="Calibri" w:hAnsi="Calibri" w:cs="Calibri"/>
          <w:sz w:val="22"/>
          <w:szCs w:val="22"/>
        </w:rPr>
      </w:pPr>
      <w:hyperlink r:id="rId12" w:history="1">
        <w:r>
          <w:rPr>
            <w:rStyle w:val="Hipervnculo"/>
            <w:rFonts w:ascii="Calibri" w:hAnsi="Calibri"/>
            <w:sz w:val="22"/>
          </w:rPr>
          <w:t>86E/2022 Foru Agindua</w:t>
        </w:r>
      </w:hyperlink>
      <w:r>
        <w:rPr>
          <w:rFonts w:ascii="Calibri" w:hAnsi="Calibri"/>
          <w:sz w:val="22"/>
        </w:rPr>
        <w:t>, azaroaren 18koa, Migrazio Politiketako eta Justiziako kontseilariak emana, zeinaren bidez dirulaguntzen deialdi bat onesten baita, tramitazio aurreratuaren bidez, toki-erakundeek kulturen arteko bizikidetzarako eta arrazismoaren eta xenofobiaren aurkako borrokarako teknikari bat finantza dezaten 2023an</w:t>
      </w:r>
      <w:r>
        <w:t>.</w:t>
      </w:r>
    </w:p>
    <w:p w14:paraId="2CFB173D" w14:textId="34DB461F" w:rsidR="00730C46" w:rsidRPr="00AF0233" w:rsidRDefault="00730C46" w:rsidP="00AF0233">
      <w:pPr>
        <w:numPr>
          <w:ilvl w:val="0"/>
          <w:numId w:val="14"/>
        </w:numPr>
        <w:spacing w:line="360" w:lineRule="auto"/>
        <w:jc w:val="both"/>
        <w:rPr>
          <w:rFonts w:ascii="Calibri" w:hAnsi="Calibri" w:cs="Calibri"/>
          <w:sz w:val="22"/>
          <w:szCs w:val="22"/>
        </w:rPr>
      </w:pPr>
      <w:hyperlink r:id="rId13" w:tgtFrame="_blank" w:history="1">
        <w:r>
          <w:rPr>
            <w:rStyle w:val="Hipervnculo"/>
            <w:rFonts w:ascii="Calibri" w:hAnsi="Calibri"/>
            <w:sz w:val="22"/>
          </w:rPr>
          <w:t>108E/2024 Ebazpena</w:t>
        </w:r>
      </w:hyperlink>
      <w:r>
        <w:rPr>
          <w:rFonts w:ascii="Calibri" w:hAnsi="Calibri"/>
          <w:sz w:val="22"/>
        </w:rPr>
        <w:t>, uztailaren 12koa, Migrazio Politiketako zuzendari nagusiak emana, deialdi hau onesten duena: toki erakundeentzako eta irabazi asmorik gabeko gizarte ekimeneko entitateentzako dirulaguntzak, 2024. urterako, kulturen arteko bizikidetza eta arrazakeriaren nahiz xenofobiaren aurkako borroka sustatzeko proiektuetarako.</w:t>
      </w:r>
    </w:p>
    <w:p w14:paraId="0CE748D1" w14:textId="5B1DD1E7"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Deialdiok 13/2023 Foru Legearen 9.3 artikuluan aurreikusitakoari ere erantzuten diote, erakunde sozialei ere zuzenduta baitaude. </w:t>
      </w:r>
    </w:p>
    <w:p w14:paraId="1E974312" w14:textId="220A5F11" w:rsidR="00730C46" w:rsidRPr="00AF0233" w:rsidRDefault="006163F7" w:rsidP="00AF0233">
      <w:pPr>
        <w:spacing w:line="360" w:lineRule="auto"/>
        <w:ind w:firstLine="360"/>
        <w:jc w:val="both"/>
        <w:rPr>
          <w:rFonts w:ascii="Calibri" w:hAnsi="Calibri" w:cs="Calibri"/>
          <w:sz w:val="22"/>
          <w:szCs w:val="22"/>
        </w:rPr>
      </w:pPr>
      <w:r>
        <w:rPr>
          <w:rFonts w:ascii="Calibri" w:hAnsi="Calibri"/>
          <w:sz w:val="22"/>
        </w:rPr>
        <w:t>Bestalde, 13/2023 Foru Legearen 9.4 artikuluak ezartzen duenez, Nafarroako Gobernuak zainduko du administrazio korporatiboek, enpresa-erakundeek, sindikatuek, irabazi-asmorik gabeko erakundeek, partzuergoek eta zerbitzu publikoak kudeatzen dituzten era guztietako entitateek arrazakeriaren eta xenofobiaren aurkako neurri espezifikoak edo protokoloak izatea.</w:t>
      </w:r>
    </w:p>
    <w:p w14:paraId="6C005AB4" w14:textId="02EDC1FB"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Ildo horretan, Arrazakeriaren eta Xenofobiaren aurka Borrokatzeko Zerbitzuak eta Migrazio Politiketako Zuzendaritza Nagusiko langileek departamentu arteko koordinazioko zenbait espaziotan parte hartu dute araudia eta prozedurak aztertzeko arrazarekin, jatorriko etnikoarekin edo migratzaileekin lotutako eduki diskriminatzaileak identifikatzeko eta ezabatzeko. Besteak beste, </w:t>
      </w:r>
      <w:r>
        <w:rPr>
          <w:rFonts w:ascii="Calibri" w:hAnsi="Calibri"/>
          <w:sz w:val="22"/>
        </w:rPr>
        <w:lastRenderedPageBreak/>
        <w:t>Nafarroako Gizarteratze Plan Estrategikoa, Nafarroako Osasun Plana, Nafarroan familia, haurtzaroa eta nerabezaroa laguntzeko III. Plan Integrala (2017-2023), Despopulazioaren aurka Borrokatzeko Nafarroako Estrategia eta Adingabe migratzaileak hartzeko ekintzen koordinazioko Protokoloa aztertu dituzte.</w:t>
      </w:r>
    </w:p>
    <w:p w14:paraId="184726C9" w14:textId="76377380"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Zuzendaritza Nagusia plan, estrategia eta prozedura berriak garatzeko elkarlanean ere ari da eskatzen duten departamentu guztiekin, helburu hartuta departamentuotan arrazakeriaren aurkako eta kulturartekotasunaren aldeko ikuspegia txertatzea (espaziootan erakunde sozialek, enpresarien elkarteek, administrazio korporatiboek eta abarrek ere parte hartzen dute): Gizarteratze Plan Estrategikoa diseinatzen ari da, Gizarte Zerbitzuen Plan Estrategikoa diagnostikoaren fasean da, Nafarroan familia, haurtzaroa eta nerabezaroa laguntzeko Plan Integrala egiten ari da uneotan... </w:t>
      </w:r>
    </w:p>
    <w:p w14:paraId="4618560F" w14:textId="4856F3FB"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Era berean, Arrazakeriaren eta Xenofobiaren aurka Borrokatzeko Zerbitzua zenbait eremutan elkarlanean aritu da erakunde sozialekin eta administrazio publikoekin:</w:t>
      </w:r>
    </w:p>
    <w:p w14:paraId="2EAA527F" w14:textId="77777777" w:rsidR="00730C46" w:rsidRPr="00AF0233" w:rsidRDefault="00730C46" w:rsidP="00730C46">
      <w:pPr>
        <w:numPr>
          <w:ilvl w:val="0"/>
          <w:numId w:val="15"/>
        </w:numPr>
        <w:spacing w:line="360" w:lineRule="auto"/>
        <w:jc w:val="both"/>
        <w:rPr>
          <w:rFonts w:ascii="Calibri" w:hAnsi="Calibri" w:cs="Calibri"/>
          <w:sz w:val="22"/>
          <w:szCs w:val="22"/>
        </w:rPr>
      </w:pPr>
      <w:r>
        <w:rPr>
          <w:rFonts w:ascii="Calibri" w:hAnsi="Calibri"/>
          <w:sz w:val="22"/>
        </w:rPr>
        <w:t xml:space="preserve">Arrazakeria, xenofobia eta bestelako intolerantzia/gorroto egoerak prebenitzeko, detektatzeko eta jarduteko Ilundain Fundazioaren protokoloa. </w:t>
      </w:r>
    </w:p>
    <w:p w14:paraId="572B8BD5" w14:textId="77777777" w:rsidR="00730C46" w:rsidRPr="00AF0233" w:rsidRDefault="00730C46" w:rsidP="00730C46">
      <w:pPr>
        <w:numPr>
          <w:ilvl w:val="0"/>
          <w:numId w:val="15"/>
        </w:numPr>
        <w:spacing w:line="360" w:lineRule="auto"/>
        <w:jc w:val="both"/>
        <w:rPr>
          <w:rFonts w:ascii="Calibri" w:hAnsi="Calibri" w:cs="Calibri"/>
          <w:sz w:val="22"/>
          <w:szCs w:val="22"/>
        </w:rPr>
      </w:pPr>
      <w:r>
        <w:rPr>
          <w:rFonts w:ascii="Calibri" w:hAnsi="Calibri"/>
          <w:sz w:val="22"/>
        </w:rPr>
        <w:t xml:space="preserve">Valtierrako Udalak jaiotzagatiko ematen dituen laguntzen deialdiaren oinarrien azterketa, zerbitzuak berak jakinarazitako intzidentziaren harira. </w:t>
      </w:r>
    </w:p>
    <w:p w14:paraId="3CA03EF9" w14:textId="77777777" w:rsidR="00730C46" w:rsidRPr="00AF0233" w:rsidRDefault="00730C46" w:rsidP="00730C46">
      <w:pPr>
        <w:numPr>
          <w:ilvl w:val="0"/>
          <w:numId w:val="15"/>
        </w:numPr>
        <w:spacing w:line="360" w:lineRule="auto"/>
        <w:jc w:val="both"/>
        <w:rPr>
          <w:rFonts w:ascii="Calibri" w:hAnsi="Calibri" w:cs="Calibri"/>
          <w:sz w:val="22"/>
          <w:szCs w:val="22"/>
        </w:rPr>
      </w:pPr>
      <w:r>
        <w:rPr>
          <w:rFonts w:ascii="Calibri" w:hAnsi="Calibri"/>
          <w:sz w:val="22"/>
        </w:rPr>
        <w:t>Anonimo bihurtutako datuak lagatzea infrasalaketaren auziari buruzko master amaierako lan baterako (Nafarroako Guardia Zibila).</w:t>
      </w:r>
    </w:p>
    <w:p w14:paraId="188E8080" w14:textId="1068FB7D" w:rsidR="00730C46" w:rsidRPr="00AF0233" w:rsidRDefault="00730C46" w:rsidP="00AF0233">
      <w:pPr>
        <w:numPr>
          <w:ilvl w:val="0"/>
          <w:numId w:val="15"/>
        </w:numPr>
        <w:spacing w:line="360" w:lineRule="auto"/>
        <w:jc w:val="both"/>
        <w:rPr>
          <w:rFonts w:ascii="Calibri" w:hAnsi="Calibri" w:cs="Calibri"/>
          <w:sz w:val="22"/>
          <w:szCs w:val="22"/>
        </w:rPr>
      </w:pPr>
      <w:r>
        <w:rPr>
          <w:rFonts w:ascii="Calibri" w:hAnsi="Calibri"/>
          <w:sz w:val="22"/>
        </w:rPr>
        <w:t>Anonimo bihurtutako datuak lagatzea Nafarroako Gobernuko Analisi eta Prospekzio Bulegoari, enpleguaren arloko arrazagatiko eta etniagatiko diskriminazioarekin lotuta.</w:t>
      </w:r>
    </w:p>
    <w:p w14:paraId="2DA3A497" w14:textId="26849891"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Era berean, Arrazakeriaren eta Xenofobiaren aurka Borrokatzeko Zerbitzuak zabalkunde lana egiten du irabazi-asmorik gabeko erakunde sozialekin eta administrazio publikoaren zerbitzuak kudeatzen dituzten erakundeekin, bileren eta lan mahaien bitartez arrazakeriaren eta xenofobiaren oinarrian dauden arrazoiei heltzeko. Arrazakeriaren aurkako neurri espezifiko gisa, aipatu zerbitzua Nafarroan arrazakeriaren eta xenofobiaren aurka borrokatzeko zerbitzu espezializatu gisa identifika dezaten ere egiten du lan. Horretarako, zerbitzuaren funtzionamenduarekin, protokoloarekin eta metodologiarekin lotutako gaiei heltzen diete, eta zerbitzura eginkizunak nola bideratu azaltzen dute. </w:t>
      </w:r>
    </w:p>
    <w:p w14:paraId="3852A6E7" w14:textId="47DDC852" w:rsidR="00730C46" w:rsidRPr="00AF0233" w:rsidRDefault="006163F7" w:rsidP="00AF0233">
      <w:pPr>
        <w:spacing w:line="360" w:lineRule="auto"/>
        <w:ind w:firstLine="360"/>
        <w:jc w:val="both"/>
        <w:rPr>
          <w:rFonts w:ascii="Calibri" w:hAnsi="Calibri" w:cs="Calibri"/>
          <w:sz w:val="22"/>
          <w:szCs w:val="22"/>
        </w:rPr>
      </w:pPr>
      <w:r>
        <w:rPr>
          <w:rFonts w:ascii="Calibri" w:hAnsi="Calibri"/>
          <w:sz w:val="22"/>
        </w:rPr>
        <w:lastRenderedPageBreak/>
        <w:t>Azkenik, 13/2023 Foru Legearen 9.5 artikuluak, enpresetan eta erakundeetan arrazakeriaren eta xenofobiaren aurka borrokatzeko neurriak eta protokoloak lantzea eta sustatzea aurreikusten du, eta, horretarako, Nafarroako Gobernuaren laguntza eta aholkularitza jasoko dutela ezartzen du.</w:t>
      </w:r>
    </w:p>
    <w:p w14:paraId="1E78F5AB" w14:textId="225ABCDF" w:rsidR="00730C46" w:rsidRPr="00AF0233" w:rsidRDefault="00730C46" w:rsidP="00AF0233">
      <w:pPr>
        <w:spacing w:line="360" w:lineRule="auto"/>
        <w:ind w:firstLine="360"/>
        <w:jc w:val="both"/>
        <w:rPr>
          <w:rFonts w:ascii="Calibri" w:hAnsi="Calibri" w:cs="Calibri"/>
          <w:sz w:val="22"/>
          <w:szCs w:val="22"/>
        </w:rPr>
      </w:pPr>
      <w:r>
        <w:rPr>
          <w:rFonts w:ascii="Calibri" w:hAnsi="Calibri"/>
          <w:sz w:val="22"/>
        </w:rPr>
        <w:t xml:space="preserve">Ildo horretan, Arrazismoaren eta Xenofobiaren aurkako Borrokarako Nafarroako Planaren 2024ko urteko plan operatiboan, honako neurria sartu zen: biktimei akonpainamendua eta aholkularitza ematen dieten hirugarren sektoreko erakundeei laguntza ematea, sindikatuei eta antolakundeei, bai eta salaketa, deribazio eta arreta lanak egiten dituztenei ere. Helburu horrekin, migratzaileei arreta emateko zerbitzu espezifikoak zituzten sindikatuak eta erakundeak identifikatzeko ekintza jarri zen martxan: </w:t>
      </w:r>
    </w:p>
    <w:p w14:paraId="217564A2" w14:textId="77777777" w:rsidR="00730C46" w:rsidRPr="00AF0233" w:rsidRDefault="00730C46" w:rsidP="00730C46">
      <w:pPr>
        <w:numPr>
          <w:ilvl w:val="0"/>
          <w:numId w:val="15"/>
        </w:numPr>
        <w:spacing w:line="360" w:lineRule="auto"/>
        <w:jc w:val="both"/>
        <w:rPr>
          <w:rFonts w:ascii="Calibri" w:hAnsi="Calibri" w:cs="Calibri"/>
          <w:sz w:val="22"/>
          <w:szCs w:val="22"/>
        </w:rPr>
      </w:pPr>
      <w:r>
        <w:rPr>
          <w:rFonts w:ascii="Calibri" w:hAnsi="Calibri"/>
          <w:sz w:val="22"/>
        </w:rPr>
        <w:t>UGT: sindikatuak migratzaileei informazioa eta aholkularitza emateko zentroak zituen 2023 arte (Gizarteratzeko eta Laguntza Humanitarioko Zuzendaritza Nagusiak diruz lagundutako proiektua, Europako Gizarte Funtsak kofinantzatutakoa), aldiz, urte horretatik aurrera zerbitzua bertan behera geratu zen.</w:t>
      </w:r>
    </w:p>
    <w:p w14:paraId="2FA26794" w14:textId="77777777" w:rsidR="00730C46" w:rsidRPr="00AF0233" w:rsidRDefault="00730C46" w:rsidP="00730C46">
      <w:pPr>
        <w:numPr>
          <w:ilvl w:val="0"/>
          <w:numId w:val="15"/>
        </w:numPr>
        <w:spacing w:line="360" w:lineRule="auto"/>
        <w:jc w:val="both"/>
        <w:rPr>
          <w:rFonts w:ascii="Calibri" w:hAnsi="Calibri" w:cs="Calibri"/>
          <w:sz w:val="22"/>
          <w:szCs w:val="22"/>
        </w:rPr>
      </w:pPr>
      <w:r>
        <w:rPr>
          <w:rFonts w:ascii="Calibri" w:hAnsi="Calibri"/>
          <w:sz w:val="22"/>
        </w:rPr>
        <w:t>CCOO: gazteriari, lan munduko errealitate berriei, ingurumenari, mugikortasun jasangarriari eta migrazio politikei zuzendutako atala du.</w:t>
      </w:r>
    </w:p>
    <w:p w14:paraId="046C729C" w14:textId="77777777" w:rsidR="00730C46" w:rsidRPr="00AF0233" w:rsidRDefault="00730C46" w:rsidP="00730C46">
      <w:pPr>
        <w:numPr>
          <w:ilvl w:val="0"/>
          <w:numId w:val="15"/>
        </w:numPr>
        <w:spacing w:line="360" w:lineRule="auto"/>
        <w:jc w:val="both"/>
        <w:rPr>
          <w:rFonts w:ascii="Calibri" w:hAnsi="Calibri" w:cs="Calibri"/>
          <w:sz w:val="22"/>
          <w:szCs w:val="22"/>
        </w:rPr>
      </w:pPr>
      <w:r>
        <w:rPr>
          <w:rFonts w:ascii="Calibri" w:hAnsi="Calibri"/>
          <w:sz w:val="22"/>
        </w:rPr>
        <w:t xml:space="preserve">ELA: immigrazioari zuzendutako atal bat du sindikatuaren webgunean, albisteak, agiriak, kanpainak eta intereseko bestelako informazioak jasotzen dituena. </w:t>
      </w:r>
    </w:p>
    <w:p w14:paraId="683BF792" w14:textId="1A2E50D7" w:rsidR="006163F7" w:rsidRPr="00AF0233" w:rsidRDefault="00730C46" w:rsidP="006163F7">
      <w:pPr>
        <w:numPr>
          <w:ilvl w:val="0"/>
          <w:numId w:val="15"/>
        </w:numPr>
        <w:spacing w:line="360" w:lineRule="auto"/>
        <w:jc w:val="both"/>
        <w:rPr>
          <w:rFonts w:ascii="Calibri" w:hAnsi="Calibri" w:cs="Calibri"/>
          <w:sz w:val="22"/>
          <w:szCs w:val="22"/>
        </w:rPr>
      </w:pPr>
      <w:r>
        <w:rPr>
          <w:rFonts w:ascii="Calibri" w:hAnsi="Calibri"/>
          <w:sz w:val="22"/>
        </w:rPr>
        <w:t>LAB: Idazkaritza Antirrazista du 2022tik, Plan Estrategiko Antirrazista bat du, arrazakeriarekin lotutako albiste espezifikoen atal bat du, eta, gainera, lan eskubideetan eta antolakuntzan prestakuntza jasotzeko ekintzak eskaintzen ditu.</w:t>
      </w:r>
    </w:p>
    <w:p w14:paraId="5F9590A0" w14:textId="77777777" w:rsidR="006163F7" w:rsidRPr="00AF0233" w:rsidRDefault="006163F7" w:rsidP="006163F7">
      <w:pPr>
        <w:spacing w:line="360" w:lineRule="auto"/>
        <w:ind w:firstLine="708"/>
        <w:jc w:val="both"/>
        <w:rPr>
          <w:rFonts w:ascii="Calibri" w:hAnsi="Calibri" w:cs="Calibri"/>
          <w:sz w:val="22"/>
          <w:szCs w:val="22"/>
        </w:rPr>
      </w:pPr>
      <w:r>
        <w:rPr>
          <w:rFonts w:ascii="Calibri" w:hAnsi="Calibri"/>
          <w:sz w:val="22"/>
        </w:rPr>
        <w:t>Hori jakinarazten dut, Nafarroako Parlamentuko Erregelamenduaren 215. artikuluan xedatutakoa betez.</w:t>
      </w:r>
    </w:p>
    <w:p w14:paraId="5F4EB28E" w14:textId="03F2D6CF" w:rsidR="00AF0233" w:rsidRPr="00AF0233" w:rsidRDefault="00AF0233" w:rsidP="00AF0233">
      <w:pPr>
        <w:rPr>
          <w:rFonts w:ascii="Calibri" w:hAnsi="Calibri" w:cs="Calibri"/>
          <w:sz w:val="22"/>
          <w:szCs w:val="22"/>
        </w:rPr>
      </w:pPr>
      <w:r>
        <w:rPr>
          <w:rFonts w:ascii="Calibri" w:hAnsi="Calibri"/>
          <w:sz w:val="22"/>
        </w:rPr>
        <w:t>Iruñean, 2025eko apirilaren 8an</w:t>
      </w:r>
    </w:p>
    <w:p w14:paraId="2C05A143" w14:textId="411C9DA7" w:rsidR="006163F7" w:rsidRPr="00AF0233" w:rsidRDefault="00AF0233" w:rsidP="006163F7">
      <w:pPr>
        <w:rPr>
          <w:rFonts w:ascii="Calibri" w:hAnsi="Calibri" w:cs="Calibri"/>
          <w:sz w:val="22"/>
          <w:szCs w:val="22"/>
        </w:rPr>
      </w:pPr>
      <w:r>
        <w:rPr>
          <w:rFonts w:ascii="Calibri" w:hAnsi="Calibri"/>
          <w:sz w:val="22"/>
        </w:rPr>
        <w:t xml:space="preserve">Etxebizitzako, Gazteriako eta Migrazio Politiketako kontseilaria: </w:t>
      </w:r>
      <w:r>
        <w:rPr>
          <w:rFonts w:ascii="Calibri" w:hAnsi="Calibri"/>
          <w:color w:val="000000"/>
          <w:sz w:val="22"/>
        </w:rPr>
        <w:t>Begoña Alfaro García</w:t>
      </w:r>
    </w:p>
    <w:sectPr w:rsidR="006163F7" w:rsidRPr="00AF0233" w:rsidSect="002937AF">
      <w:headerReference w:type="first" r:id="rId14"/>
      <w:footerReference w:type="first" r:id="rId15"/>
      <w:pgSz w:w="11901" w:h="16817" w:code="9"/>
      <w:pgMar w:top="2977" w:right="1418" w:bottom="2269"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1321" w14:textId="77777777" w:rsidR="0073004C" w:rsidRDefault="0073004C">
      <w:r>
        <w:separator/>
      </w:r>
    </w:p>
  </w:endnote>
  <w:endnote w:type="continuationSeparator" w:id="0">
    <w:p w14:paraId="2E94CB7F" w14:textId="77777777" w:rsidR="0073004C" w:rsidRDefault="0073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9CF3"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83F7" w14:textId="77777777" w:rsidR="0073004C" w:rsidRDefault="0073004C">
      <w:r>
        <w:separator/>
      </w:r>
    </w:p>
  </w:footnote>
  <w:footnote w:type="continuationSeparator" w:id="0">
    <w:p w14:paraId="0C201F70" w14:textId="77777777" w:rsidR="0073004C" w:rsidRDefault="0073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CAC2"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139EE8D8" wp14:editId="525761A9">
          <wp:simplePos x="419100" y="542925"/>
          <wp:positionH relativeFrom="page">
            <wp:align>left</wp:align>
          </wp:positionH>
          <wp:positionV relativeFrom="page">
            <wp:align>top</wp:align>
          </wp:positionV>
          <wp:extent cx="7560000" cy="1796400"/>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FD3"/>
    <w:multiLevelType w:val="hybridMultilevel"/>
    <w:tmpl w:val="219220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C81D17"/>
    <w:multiLevelType w:val="hybridMultilevel"/>
    <w:tmpl w:val="4C00157E"/>
    <w:lvl w:ilvl="0" w:tplc="764E27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A251C8"/>
    <w:multiLevelType w:val="hybridMultilevel"/>
    <w:tmpl w:val="953A6964"/>
    <w:lvl w:ilvl="0" w:tplc="221E37BC">
      <w:start w:val="2"/>
      <w:numFmt w:val="bullet"/>
      <w:lvlText w:val="-"/>
      <w:lvlJc w:val="left"/>
      <w:pPr>
        <w:ind w:left="720" w:hanging="360"/>
      </w:pPr>
      <w:rPr>
        <w:rFonts w:ascii="Calibri" w:eastAsia="Cambr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036151630">
    <w:abstractNumId w:val="1"/>
  </w:num>
  <w:num w:numId="2" w16cid:durableId="875042740">
    <w:abstractNumId w:val="11"/>
  </w:num>
  <w:num w:numId="3" w16cid:durableId="78527744">
    <w:abstractNumId w:val="3"/>
  </w:num>
  <w:num w:numId="4" w16cid:durableId="647976490">
    <w:abstractNumId w:val="5"/>
  </w:num>
  <w:num w:numId="5" w16cid:durableId="1463571817">
    <w:abstractNumId w:val="14"/>
  </w:num>
  <w:num w:numId="6" w16cid:durableId="1557467568">
    <w:abstractNumId w:val="9"/>
  </w:num>
  <w:num w:numId="7" w16cid:durableId="2078892918">
    <w:abstractNumId w:val="2"/>
  </w:num>
  <w:num w:numId="8" w16cid:durableId="2023625020">
    <w:abstractNumId w:val="10"/>
  </w:num>
  <w:num w:numId="9" w16cid:durableId="1737891893">
    <w:abstractNumId w:val="12"/>
  </w:num>
  <w:num w:numId="10" w16cid:durableId="791634708">
    <w:abstractNumId w:val="7"/>
  </w:num>
  <w:num w:numId="11" w16cid:durableId="5864037">
    <w:abstractNumId w:val="4"/>
  </w:num>
  <w:num w:numId="12" w16cid:durableId="523135690">
    <w:abstractNumId w:val="15"/>
  </w:num>
  <w:num w:numId="13" w16cid:durableId="1718816942">
    <w:abstractNumId w:val="8"/>
  </w:num>
  <w:num w:numId="14" w16cid:durableId="1495102055">
    <w:abstractNumId w:val="0"/>
  </w:num>
  <w:num w:numId="15" w16cid:durableId="2039742848">
    <w:abstractNumId w:val="13"/>
  </w:num>
  <w:num w:numId="16" w16cid:durableId="425539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631E5"/>
    <w:rsid w:val="000729E0"/>
    <w:rsid w:val="00083C0A"/>
    <w:rsid w:val="00093300"/>
    <w:rsid w:val="0009463A"/>
    <w:rsid w:val="000A697F"/>
    <w:rsid w:val="000B64A1"/>
    <w:rsid w:val="000D79CF"/>
    <w:rsid w:val="00116AF7"/>
    <w:rsid w:val="0014013D"/>
    <w:rsid w:val="00165095"/>
    <w:rsid w:val="001671B2"/>
    <w:rsid w:val="00170AFF"/>
    <w:rsid w:val="001B1ACE"/>
    <w:rsid w:val="001F5AE6"/>
    <w:rsid w:val="00215D3F"/>
    <w:rsid w:val="00247EB5"/>
    <w:rsid w:val="00253366"/>
    <w:rsid w:val="00277C9A"/>
    <w:rsid w:val="00280F08"/>
    <w:rsid w:val="002937AF"/>
    <w:rsid w:val="002F09C8"/>
    <w:rsid w:val="00304004"/>
    <w:rsid w:val="00374714"/>
    <w:rsid w:val="00384363"/>
    <w:rsid w:val="003A51EA"/>
    <w:rsid w:val="003F1206"/>
    <w:rsid w:val="0040475B"/>
    <w:rsid w:val="00443A44"/>
    <w:rsid w:val="004B47C0"/>
    <w:rsid w:val="00524CFD"/>
    <w:rsid w:val="005367EB"/>
    <w:rsid w:val="005B095B"/>
    <w:rsid w:val="005C6849"/>
    <w:rsid w:val="005C6F85"/>
    <w:rsid w:val="005E7244"/>
    <w:rsid w:val="005F55EF"/>
    <w:rsid w:val="005F5C77"/>
    <w:rsid w:val="005F6D5D"/>
    <w:rsid w:val="006160C8"/>
    <w:rsid w:val="006163F7"/>
    <w:rsid w:val="006557F1"/>
    <w:rsid w:val="00663B51"/>
    <w:rsid w:val="00696F6F"/>
    <w:rsid w:val="006A249B"/>
    <w:rsid w:val="006A5952"/>
    <w:rsid w:val="006A7F53"/>
    <w:rsid w:val="007018B0"/>
    <w:rsid w:val="00702071"/>
    <w:rsid w:val="0071169E"/>
    <w:rsid w:val="0072285D"/>
    <w:rsid w:val="0073004C"/>
    <w:rsid w:val="00730C46"/>
    <w:rsid w:val="00734C24"/>
    <w:rsid w:val="00766DD7"/>
    <w:rsid w:val="00767509"/>
    <w:rsid w:val="00793F61"/>
    <w:rsid w:val="00797E21"/>
    <w:rsid w:val="007C0346"/>
    <w:rsid w:val="007C55BD"/>
    <w:rsid w:val="007C68F3"/>
    <w:rsid w:val="007F2C1A"/>
    <w:rsid w:val="007F433A"/>
    <w:rsid w:val="00834D40"/>
    <w:rsid w:val="008354B9"/>
    <w:rsid w:val="00840386"/>
    <w:rsid w:val="00843157"/>
    <w:rsid w:val="008642B3"/>
    <w:rsid w:val="00890456"/>
    <w:rsid w:val="00893733"/>
    <w:rsid w:val="008A6304"/>
    <w:rsid w:val="009022B4"/>
    <w:rsid w:val="0090494F"/>
    <w:rsid w:val="00954697"/>
    <w:rsid w:val="00994342"/>
    <w:rsid w:val="009C2ED9"/>
    <w:rsid w:val="009C74F8"/>
    <w:rsid w:val="009E202F"/>
    <w:rsid w:val="009E22FA"/>
    <w:rsid w:val="009E381E"/>
    <w:rsid w:val="00A077F0"/>
    <w:rsid w:val="00A117E7"/>
    <w:rsid w:val="00A2145B"/>
    <w:rsid w:val="00A52259"/>
    <w:rsid w:val="00A80D53"/>
    <w:rsid w:val="00A85153"/>
    <w:rsid w:val="00A95321"/>
    <w:rsid w:val="00AF0233"/>
    <w:rsid w:val="00B13A40"/>
    <w:rsid w:val="00B46857"/>
    <w:rsid w:val="00B662C6"/>
    <w:rsid w:val="00B67FDD"/>
    <w:rsid w:val="00B811B1"/>
    <w:rsid w:val="00B96F7E"/>
    <w:rsid w:val="00BB36D2"/>
    <w:rsid w:val="00BD6A02"/>
    <w:rsid w:val="00BE2BD3"/>
    <w:rsid w:val="00C45E0E"/>
    <w:rsid w:val="00CA2943"/>
    <w:rsid w:val="00CC1284"/>
    <w:rsid w:val="00CC1857"/>
    <w:rsid w:val="00CE65F5"/>
    <w:rsid w:val="00D304C8"/>
    <w:rsid w:val="00D76DC5"/>
    <w:rsid w:val="00D9466D"/>
    <w:rsid w:val="00DA599A"/>
    <w:rsid w:val="00DB3739"/>
    <w:rsid w:val="00DB4349"/>
    <w:rsid w:val="00DF6784"/>
    <w:rsid w:val="00E04602"/>
    <w:rsid w:val="00E45FC9"/>
    <w:rsid w:val="00E54191"/>
    <w:rsid w:val="00E8181E"/>
    <w:rsid w:val="00E96713"/>
    <w:rsid w:val="00EB05BE"/>
    <w:rsid w:val="00F037C2"/>
    <w:rsid w:val="00F344C7"/>
    <w:rsid w:val="00F42DAC"/>
    <w:rsid w:val="00FD594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B4709F"/>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 w:type="character" w:styleId="Hipervnculo">
    <w:name w:val="Hyperlink"/>
    <w:basedOn w:val="Fuentedeprrafopredeter"/>
    <w:unhideWhenUsed/>
    <w:rsid w:val="00730C46"/>
    <w:rPr>
      <w:color w:val="0000FF" w:themeColor="hyperlink"/>
      <w:u w:val="single"/>
    </w:rPr>
  </w:style>
  <w:style w:type="character" w:styleId="Hipervnculovisitado">
    <w:name w:val="FollowedHyperlink"/>
    <w:basedOn w:val="Fuentedeprrafopredeter"/>
    <w:semiHidden/>
    <w:unhideWhenUsed/>
    <w:rsid w:val="00FD59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n.navarra.es/eu/iragarkia/-/texto/2023/112/7" TargetMode="External"/><Relationship Id="rId13" Type="http://schemas.openxmlformats.org/officeDocument/2006/relationships/hyperlink" Target="https://bon.navarra.es/eu/iragarkia/-/texto/2024/174/8" TargetMode="External"/><Relationship Id="rId3" Type="http://schemas.openxmlformats.org/officeDocument/2006/relationships/settings" Target="settings.xml"/><Relationship Id="rId7" Type="http://schemas.openxmlformats.org/officeDocument/2006/relationships/hyperlink" Target="https://bon.navarra.es/eu/iragarkia/-/texto/2022/255/4" TargetMode="External"/><Relationship Id="rId12" Type="http://schemas.openxmlformats.org/officeDocument/2006/relationships/hyperlink" Target="https://bon.navarra.es/eu/iragarkia/-/texto/2022/25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n.navarra.es/eu/iragarkia/-/texto/2022/50/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on.navarra.es/eu/iragarkia/-/texto/2024/130/6" TargetMode="External"/><Relationship Id="rId4" Type="http://schemas.openxmlformats.org/officeDocument/2006/relationships/webSettings" Target="webSettings.xml"/><Relationship Id="rId9" Type="http://schemas.openxmlformats.org/officeDocument/2006/relationships/hyperlink" Target="https://bon.navarra.es/eu/iragarkia/-/texto/2024/10/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2124</Words>
  <Characters>11687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4</cp:revision>
  <cp:lastPrinted>2024-10-22T07:46:00Z</cp:lastPrinted>
  <dcterms:created xsi:type="dcterms:W3CDTF">2025-05-16T07:36:00Z</dcterms:created>
  <dcterms:modified xsi:type="dcterms:W3CDTF">2025-08-20T06:18:00Z</dcterms:modified>
</cp:coreProperties>
</file>