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15" w:rsidRPr="009F6115" w:rsidRDefault="009F6115" w:rsidP="009F6115">
      <w:pPr>
        <w:spacing w:line="360" w:lineRule="auto"/>
        <w:jc w:val="both"/>
        <w:rPr>
          <w:sz w:val="24"/>
          <w:szCs w:val="24"/>
          <w:rFonts w:ascii="DejaVu Serif" w:hAnsi="DejaVu Serif" w:cs="Arial"/>
        </w:rPr>
      </w:pPr>
      <w:r>
        <w:rPr>
          <w:sz w:val="24"/>
          <w:rFonts w:ascii="DejaVu Serif" w:hAnsi="DejaVu Serif"/>
        </w:rPr>
        <w:t xml:space="preserve">EH Bildu Nafarroa talde parlamentarioari atxikitako foru parlamentari Mikel Zabaleta Aramendia jaunak 11-25/PES-00155 idatzizko galdera egin zuen –Nafarroako Parlamentuko 202503017 irteera zenbakiarekin erregistratu zen 2025eko apirilaren 9an–, Nafarroako etxejabe kopuruaren gaineko informazioa eskatuz. Bada, Nafarroako Gobernuko Ekonomia eta Ogasun Departamentuko kontseilaria naizen aldetik, honako hau jakinarazten dut egindako galderei erantzunez:</w:t>
      </w:r>
    </w:p>
    <w:p w:rsidR="009F6115" w:rsidRPr="009F6115" w:rsidRDefault="009F6115" w:rsidP="009F6115">
      <w:pPr>
        <w:spacing w:line="360" w:lineRule="auto"/>
        <w:jc w:val="both"/>
        <w:rPr>
          <w:rFonts w:ascii="DejaVu Serif" w:hAnsi="DejaVu Serif" w:cs="Arial"/>
          <w:sz w:val="24"/>
          <w:szCs w:val="24"/>
        </w:rPr>
      </w:pPr>
    </w:p>
    <w:p w:rsidR="009F6115" w:rsidRPr="009F6115" w:rsidRDefault="009F6115" w:rsidP="009F6115">
      <w:pPr>
        <w:numPr>
          <w:ilvl w:val="0"/>
          <w:numId w:val="1"/>
        </w:numPr>
        <w:spacing w:line="360" w:lineRule="auto"/>
        <w:jc w:val="both"/>
        <w:rPr>
          <w:sz w:val="24"/>
          <w:szCs w:val="24"/>
          <w:rFonts w:ascii="DejaVu Serif" w:hAnsi="DejaVu Serif" w:cs="Arial"/>
        </w:rPr>
      </w:pPr>
      <w:r>
        <w:rPr>
          <w:sz w:val="24"/>
          <w:rFonts w:ascii="DejaVu Serif" w:hAnsi="DejaVu Serif"/>
        </w:rPr>
        <w:t xml:space="preserve">Zenbat pertsona fisiko eta zenbat pertsona juridiko dira, osorik edo zati batean, etxebizitzen jabe gaur egun Nafarroan?</w:t>
      </w:r>
    </w:p>
    <w:p w:rsidR="009F6115" w:rsidRPr="009F6115" w:rsidRDefault="009F6115" w:rsidP="009F6115">
      <w:pPr>
        <w:spacing w:line="360" w:lineRule="auto"/>
        <w:jc w:val="both"/>
        <w:rPr>
          <w:rFonts w:ascii="DejaVu Serif" w:hAnsi="DejaVu Serif" w:cs="Arial"/>
          <w:sz w:val="24"/>
          <w:szCs w:val="24"/>
        </w:rPr>
      </w:pPr>
    </w:p>
    <w:p w:rsidR="009F6115" w:rsidRPr="009F6115" w:rsidRDefault="009F6115" w:rsidP="009F6115">
      <w:pPr>
        <w:autoSpaceDE w:val="0"/>
        <w:autoSpaceDN w:val="0"/>
        <w:adjustRightInd w:val="0"/>
        <w:spacing w:line="360" w:lineRule="auto"/>
        <w:jc w:val="both"/>
        <w:rPr>
          <w:sz w:val="24"/>
          <w:szCs w:val="24"/>
          <w:rFonts w:ascii="DejaVu Serif" w:eastAsia="Calibri" w:hAnsi="DejaVu Serif" w:cs="Arial"/>
        </w:rPr>
      </w:pPr>
      <w:r>
        <w:rPr>
          <w:sz w:val="24"/>
          <w:rFonts w:ascii="DejaVu Serif" w:hAnsi="DejaVu Serif"/>
        </w:rPr>
        <w:t xml:space="preserve">Emandako informazioa 2023koa da, azken urtea baita eskuragarri duguna pertsona fisikoen errentaren gaineko zergaren eta sozietateen gaineko zergaren epeak amaituta.</w:t>
      </w:r>
    </w:p>
    <w:p w:rsidR="009F6115" w:rsidRPr="009F6115" w:rsidRDefault="009F6115" w:rsidP="009F6115">
      <w:pPr>
        <w:autoSpaceDE w:val="0"/>
        <w:autoSpaceDN w:val="0"/>
        <w:adjustRightInd w:val="0"/>
        <w:spacing w:line="360" w:lineRule="auto"/>
        <w:jc w:val="both"/>
        <w:rPr>
          <w:rFonts w:ascii="DejaVu Serif" w:eastAsia="Calibri" w:hAnsi="DejaVu Serif" w:cs="Arial"/>
          <w:sz w:val="24"/>
          <w:szCs w:val="24"/>
          <w:lang w:eastAsia="en-US"/>
        </w:rPr>
      </w:pPr>
    </w:p>
    <w:p w:rsidR="009F6115" w:rsidRPr="009F6115" w:rsidRDefault="009F6115" w:rsidP="009F6115">
      <w:pPr>
        <w:autoSpaceDE w:val="0"/>
        <w:autoSpaceDN w:val="0"/>
        <w:adjustRightInd w:val="0"/>
        <w:jc w:val="both"/>
        <w:rPr>
          <w:sz w:val="24"/>
          <w:szCs w:val="24"/>
          <w:rFonts w:ascii="DejaVu Serif" w:eastAsia="Calibri" w:hAnsi="DejaVu Serif" w:cs="Calibri"/>
        </w:rPr>
      </w:pPr>
      <w:r>
        <w:rPr>
          <w:sz w:val="24"/>
          <w:rFonts w:ascii="DejaVu Serif" w:hAnsi="DejaVu Serif"/>
        </w:rPr>
        <w:drawing>
          <wp:inline distT="0" distB="0" distL="0" distR="0" wp14:anchorId="6525AC14" wp14:editId="7147588C">
            <wp:extent cx="5400040" cy="228476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284761"/>
                    </a:xfrm>
                    <a:prstGeom prst="rect">
                      <a:avLst/>
                    </a:prstGeom>
                    <a:noFill/>
                    <a:ln>
                      <a:noFill/>
                    </a:ln>
                  </pic:spPr>
                </pic:pic>
              </a:graphicData>
            </a:graphic>
          </wp:inline>
        </w:drawing>
      </w:r>
    </w:p>
    <w:p w:rsidR="009F6115" w:rsidRPr="009F6115" w:rsidRDefault="009F6115" w:rsidP="009F6115">
      <w:pPr>
        <w:autoSpaceDE w:val="0"/>
        <w:autoSpaceDN w:val="0"/>
        <w:adjustRightInd w:val="0"/>
        <w:jc w:val="both"/>
        <w:rPr>
          <w:rFonts w:ascii="DejaVu Serif" w:eastAsia="Calibri" w:hAnsi="DejaVu Serif" w:cs="Calibri"/>
          <w:sz w:val="24"/>
          <w:szCs w:val="24"/>
          <w:lang w:eastAsia="en-US"/>
        </w:rPr>
      </w:pPr>
    </w:p>
    <w:tbl>
      <w:tblPr>
        <w:tblW w:w="8676" w:type="dxa"/>
        <w:tblInd w:w="12" w:type="dxa"/>
        <w:tblCellMar>
          <w:left w:w="0" w:type="dxa"/>
          <w:right w:w="0" w:type="dxa"/>
        </w:tblCellMar>
        <w:tblLook w:val="04A0" w:firstRow="1" w:lastRow="0" w:firstColumn="1" w:lastColumn="0" w:noHBand="0" w:noVBand="1"/>
      </w:tblPr>
      <w:tblGrid>
        <w:gridCol w:w="5040"/>
        <w:gridCol w:w="1818"/>
        <w:gridCol w:w="1818"/>
      </w:tblGrid>
      <w:tr w:rsidR="009F6115" w:rsidRPr="009F6115" w:rsidTr="00BD3E77">
        <w:trPr>
          <w:trHeight w:val="300"/>
        </w:trPr>
        <w:tc>
          <w:tcPr>
            <w:tcW w:w="5040" w:type="dxa"/>
            <w:noWrap/>
            <w:tcMar>
              <w:top w:w="0" w:type="dxa"/>
              <w:left w:w="70" w:type="dxa"/>
              <w:bottom w:w="0" w:type="dxa"/>
              <w:right w:w="70" w:type="dxa"/>
            </w:tcMar>
            <w:vAlign w:val="bottom"/>
            <w:hideMark/>
          </w:tcPr>
          <w:p w:rsidR="009F6115" w:rsidRPr="009F6115" w:rsidRDefault="009F6115" w:rsidP="00BD3E77">
            <w:pPr>
              <w:spacing w:after="160" w:line="259" w:lineRule="auto"/>
              <w:rPr>
                <w:rFonts w:ascii="DejaVu Serif" w:eastAsia="Calibri" w:hAnsi="DejaVu Serif" w:cs="Calibri"/>
                <w:b/>
                <w:bCs/>
                <w:color w:val="000000"/>
                <w:sz w:val="24"/>
                <w:szCs w:val="24"/>
                <w:lang w:eastAsia="en-US"/>
              </w:rPr>
            </w:pPr>
          </w:p>
        </w:tc>
        <w:tc>
          <w:tcPr>
            <w:tcW w:w="1818" w:type="dxa"/>
            <w:noWrap/>
            <w:tcMar>
              <w:top w:w="0" w:type="dxa"/>
              <w:left w:w="70" w:type="dxa"/>
              <w:bottom w:w="0" w:type="dxa"/>
              <w:right w:w="70" w:type="dxa"/>
            </w:tcMar>
            <w:vAlign w:val="bottom"/>
            <w:hideMark/>
          </w:tcPr>
          <w:p w:rsidR="009F6115" w:rsidRPr="009F6115" w:rsidRDefault="009F6115" w:rsidP="00BD3E77">
            <w:pPr>
              <w:spacing w:after="160" w:line="259" w:lineRule="auto"/>
              <w:rPr>
                <w:rFonts w:ascii="DejaVu Serif" w:eastAsia="Calibri" w:hAnsi="DejaVu Serif"/>
                <w:sz w:val="24"/>
                <w:szCs w:val="24"/>
                <w:lang w:eastAsia="en-US"/>
              </w:rPr>
            </w:pPr>
          </w:p>
        </w:tc>
        <w:tc>
          <w:tcPr>
            <w:tcW w:w="1818" w:type="dxa"/>
            <w:noWrap/>
            <w:tcMar>
              <w:top w:w="0" w:type="dxa"/>
              <w:left w:w="70" w:type="dxa"/>
              <w:bottom w:w="0" w:type="dxa"/>
              <w:right w:w="70" w:type="dxa"/>
            </w:tcMar>
            <w:vAlign w:val="bottom"/>
            <w:hideMark/>
          </w:tcPr>
          <w:p w:rsidR="009F6115" w:rsidRPr="009F6115" w:rsidRDefault="009F6115" w:rsidP="00BD3E77">
            <w:pPr>
              <w:spacing w:after="160" w:line="259" w:lineRule="auto"/>
              <w:rPr>
                <w:rFonts w:ascii="DejaVu Serif" w:eastAsia="Calibri" w:hAnsi="DejaVu Serif"/>
                <w:sz w:val="24"/>
                <w:szCs w:val="24"/>
                <w:lang w:eastAsia="en-US"/>
              </w:rPr>
            </w:pPr>
          </w:p>
        </w:tc>
      </w:tr>
    </w:tbl>
    <w:p w:rsidR="009F6115" w:rsidRPr="009F6115" w:rsidRDefault="009F6115" w:rsidP="009F6115">
      <w:pPr>
        <w:numPr>
          <w:ilvl w:val="0"/>
          <w:numId w:val="1"/>
        </w:numPr>
        <w:spacing w:after="160" w:line="360" w:lineRule="auto"/>
        <w:contextualSpacing/>
        <w:jc w:val="both"/>
        <w:rPr>
          <w:sz w:val="24"/>
          <w:szCs w:val="24"/>
          <w:rFonts w:ascii="DejaVu Serif" w:eastAsia="Calibri" w:hAnsi="DejaVu Serif" w:cs="Arial"/>
        </w:rPr>
      </w:pPr>
      <w:r>
        <w:rPr>
          <w:sz w:val="24"/>
          <w:rFonts w:ascii="DejaVu Serif" w:hAnsi="DejaVu Serif"/>
        </w:rPr>
        <w:t xml:space="preserve">Zenbat pertsona fisikok aitortu zituzten etxebizitzen alokairu-errentetatik heldutako diru-sarrerak 2021etik 2024ra bitartean?</w:t>
      </w:r>
    </w:p>
    <w:p w:rsidR="009F6115" w:rsidRPr="009F6115" w:rsidRDefault="009F6115" w:rsidP="009F6115">
      <w:pPr>
        <w:spacing w:after="160" w:line="360" w:lineRule="auto"/>
        <w:ind w:left="720"/>
        <w:contextualSpacing/>
        <w:jc w:val="both"/>
        <w:rPr>
          <w:rFonts w:ascii="DejaVu Serif" w:eastAsia="Calibri" w:hAnsi="DejaVu Serif" w:cs="Arial"/>
          <w:sz w:val="24"/>
          <w:szCs w:val="24"/>
          <w:lang w:eastAsia="en-US"/>
        </w:rPr>
      </w:pPr>
    </w:p>
    <w:p w:rsidR="009F6115" w:rsidRPr="009F6115" w:rsidRDefault="009F6115" w:rsidP="009F6115">
      <w:pPr>
        <w:spacing w:after="160" w:line="360" w:lineRule="auto"/>
        <w:jc w:val="both"/>
        <w:rPr>
          <w:sz w:val="24"/>
          <w:szCs w:val="24"/>
          <w:rFonts w:ascii="DejaVu Serif" w:eastAsia="Calibri" w:hAnsi="DejaVu Serif" w:cs="Arial"/>
        </w:rPr>
      </w:pPr>
      <w:r>
        <w:rPr>
          <w:sz w:val="24"/>
          <w:rFonts w:ascii="DejaVu Serif" w:hAnsi="DejaVu Serif"/>
        </w:rPr>
        <w:t xml:space="preserve">Pertsona fisikoen errentaren gaineko zergan ez da bereizketarik egiten ohiko etxebizitzen edo etxebizitza iraunkorren alokairuen eta turismoko alokairuen, denboraldiko alokairuen, logelen alokairuen edo besteri alokatutako alokairuen artean; horrenbestez, emandako datuak etxebizitzen alokairutik diru-sarrerak lortu dituzten pertsona fisikoenak dira, alokairu mota zehaztu gabe.</w:t>
      </w:r>
    </w:p>
    <w:p w:rsidR="009F6115" w:rsidRPr="009F6115" w:rsidRDefault="009F6115" w:rsidP="009F6115">
      <w:pPr>
        <w:spacing w:after="160" w:line="360" w:lineRule="auto"/>
        <w:jc w:val="both"/>
        <w:rPr>
          <w:sz w:val="24"/>
          <w:szCs w:val="24"/>
          <w:rFonts w:ascii="DejaVu Serif" w:eastAsia="Calibri" w:hAnsi="DejaVu Serif" w:cs="Arial"/>
        </w:rPr>
      </w:pPr>
      <w:r>
        <w:rPr>
          <w:sz w:val="24"/>
          <w:rFonts w:ascii="DejaVu Serif" w:hAnsi="DejaVu Serif"/>
        </w:rPr>
        <w:t xml:space="preserve">Hori dela eta, pertsona fisikoen errentaren gaineko zergan etxebizitzen alokairutik diru-sarrerak aitortzen dituzten pertsona fisiko guztien datuak eman dira, bestelako inolako bereizketarik egin gabe.</w:t>
      </w:r>
    </w:p>
    <w:p w:rsidR="009F6115" w:rsidRPr="009F6115" w:rsidRDefault="009F6115" w:rsidP="009F6115">
      <w:pPr>
        <w:spacing w:after="160" w:line="360" w:lineRule="auto"/>
        <w:jc w:val="both"/>
        <w:rPr>
          <w:rFonts w:ascii="DejaVu Serif" w:eastAsia="Calibri" w:hAnsi="DejaVu Serif" w:cs="Arial"/>
          <w:sz w:val="24"/>
          <w:szCs w:val="24"/>
          <w:lang w:eastAsia="en-US"/>
        </w:rPr>
      </w:pPr>
    </w:p>
    <w:p w:rsidR="009F6115" w:rsidRPr="009F6115" w:rsidRDefault="009F6115" w:rsidP="009F6115">
      <w:pPr>
        <w:spacing w:after="160" w:line="360" w:lineRule="auto"/>
        <w:jc w:val="both"/>
        <w:rPr>
          <w:rFonts w:ascii="DejaVu Serif" w:eastAsia="Calibri" w:hAnsi="DejaVu Serif" w:cs="Arial"/>
          <w:sz w:val="24"/>
          <w:szCs w:val="24"/>
          <w:lang w:eastAsia="en-US"/>
        </w:rPr>
      </w:pPr>
    </w:p>
    <w:tbl>
      <w:tblPr>
        <w:tblW w:w="0" w:type="auto"/>
        <w:tblCellMar>
          <w:left w:w="0" w:type="dxa"/>
          <w:right w:w="0" w:type="dxa"/>
        </w:tblCellMar>
        <w:tblLook w:val="04A0" w:firstRow="1" w:lastRow="0" w:firstColumn="1" w:lastColumn="0" w:noHBand="0" w:noVBand="1"/>
      </w:tblPr>
      <w:tblGrid>
        <w:gridCol w:w="843"/>
        <w:gridCol w:w="1825"/>
      </w:tblGrid>
      <w:tr w:rsidR="009F6115" w:rsidRPr="009F6115" w:rsidTr="00BD3E77">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rPr>
                <w:sz w:val="24"/>
                <w:szCs w:val="24"/>
                <w:rFonts w:ascii="DejaVu Serif" w:eastAsia="Calibri" w:hAnsi="DejaVu Serif"/>
              </w:rPr>
            </w:pPr>
            <w:r>
              <w:rPr>
                <w:b/>
                <w:sz w:val="24"/>
                <w:rFonts w:ascii="DejaVu Serif" w:hAnsi="DejaVu Serif"/>
              </w:rPr>
              <w:t xml:space="preserve">Urtea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rPr>
                <w:sz w:val="24"/>
                <w:szCs w:val="24"/>
                <w:rFonts w:ascii="DejaVu Serif" w:eastAsia="Calibri" w:hAnsi="DejaVu Serif"/>
              </w:rPr>
            </w:pPr>
            <w:r>
              <w:rPr>
                <w:b/>
                <w:sz w:val="24"/>
                <w:rFonts w:ascii="DejaVu Serif" w:hAnsi="DejaVu Serif"/>
              </w:rPr>
              <w:t xml:space="preserve">Aitorpen-egileen kopurua</w:t>
            </w:r>
          </w:p>
        </w:tc>
      </w:tr>
      <w:tr w:rsidR="009F6115" w:rsidRPr="009F6115" w:rsidTr="00BD3E77">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2021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35.920</w:t>
            </w:r>
            <w:r>
              <w:rPr>
                <w:sz w:val="24"/>
                <w:rFonts w:ascii="DejaVu Serif" w:hAnsi="DejaVu Serif"/>
              </w:rPr>
              <w:t xml:space="preserve"> </w:t>
            </w:r>
          </w:p>
        </w:tc>
      </w:tr>
      <w:tr w:rsidR="009F6115" w:rsidRPr="009F6115" w:rsidTr="00BD3E77">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2022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38.194</w:t>
            </w:r>
            <w:r>
              <w:rPr>
                <w:sz w:val="24"/>
                <w:rFonts w:ascii="DejaVu Serif" w:hAnsi="DejaVu Serif"/>
              </w:rPr>
              <w:t xml:space="preserve"> </w:t>
            </w:r>
          </w:p>
        </w:tc>
      </w:tr>
      <w:tr w:rsidR="009F6115" w:rsidRPr="009F6115" w:rsidTr="00BD3E77">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2023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F6115" w:rsidRPr="009F6115" w:rsidRDefault="009F6115" w:rsidP="00BD3E77">
            <w:pPr>
              <w:spacing w:after="160" w:line="259" w:lineRule="auto"/>
              <w:jc w:val="right"/>
              <w:rPr>
                <w:sz w:val="24"/>
                <w:szCs w:val="24"/>
                <w:rFonts w:ascii="DejaVu Serif" w:eastAsia="Calibri" w:hAnsi="DejaVu Serif"/>
              </w:rPr>
            </w:pPr>
            <w:r>
              <w:rPr>
                <w:sz w:val="24"/>
                <w:rFonts w:ascii="DejaVu Serif" w:hAnsi="DejaVu Serif"/>
              </w:rPr>
              <w:t xml:space="preserve">39.591</w:t>
            </w:r>
          </w:p>
        </w:tc>
      </w:tr>
    </w:tbl>
    <w:p w:rsidR="009F6115" w:rsidRPr="009F6115" w:rsidRDefault="009F6115" w:rsidP="009F6115">
      <w:pPr>
        <w:spacing w:after="160" w:line="259" w:lineRule="auto"/>
        <w:jc w:val="both"/>
        <w:rPr>
          <w:rFonts w:ascii="DejaVu Serif" w:eastAsia="Calibri" w:hAnsi="DejaVu Serif"/>
          <w:color w:val="0070C0"/>
          <w:sz w:val="24"/>
          <w:szCs w:val="24"/>
          <w:lang w:eastAsia="en-US"/>
        </w:rPr>
      </w:pPr>
    </w:p>
    <w:p w:rsidR="009F6115" w:rsidRPr="009F6115" w:rsidRDefault="009F6115" w:rsidP="009F6115">
      <w:pPr>
        <w:spacing w:after="160" w:line="360" w:lineRule="auto"/>
        <w:jc w:val="both"/>
        <w:rPr>
          <w:sz w:val="24"/>
          <w:szCs w:val="24"/>
          <w:rFonts w:ascii="DejaVu Serif" w:eastAsia="Calibri" w:hAnsi="DejaVu Serif" w:cs="Arial"/>
        </w:rPr>
      </w:pPr>
      <w:r>
        <w:rPr>
          <w:sz w:val="24"/>
          <w:rFonts w:ascii="DejaVu Serif" w:hAnsi="DejaVu Serif"/>
        </w:rPr>
        <w:t xml:space="preserve">Ez da 2020ko daturik eman, urte horretako pertsona fisikoen errentaren gaineko zergaren datuak ez baitira homogeneoak hurrengo urteetan jasotako datuekin alderatuta. Horrenbestez, ez da posible informazioa higiezin motaren eta erabileraren arabera sailkatzea, urte horretako pertsona fisikoen errentaren gaineko zergaren programan ez baitzen informazio hori jasotzeko lauki espezifikorik.</w:t>
      </w:r>
      <w:r>
        <w:rPr>
          <w:sz w:val="24"/>
          <w:rFonts w:ascii="DejaVu Serif" w:hAnsi="DejaVu Serif"/>
        </w:rPr>
        <w:t xml:space="preserve"> </w:t>
      </w:r>
      <w:r>
        <w:rPr>
          <w:sz w:val="24"/>
          <w:rFonts w:ascii="DejaVu Serif" w:hAnsi="DejaVu Serif"/>
        </w:rPr>
        <w:t xml:space="preserve">2021eko eta hurrengo urteetako datuei dagokienez, egindako deklarazioan etxebizitza-alokairuak eta etxebizitza-alokairuengatiko diru-sarrera positiboak aitortu zituzten aitortzaileenak dira.</w:t>
      </w:r>
    </w:p>
    <w:p w:rsidR="009F6115" w:rsidRPr="009F6115" w:rsidRDefault="009F6115" w:rsidP="009F6115">
      <w:pPr>
        <w:spacing w:after="160" w:line="360" w:lineRule="auto"/>
        <w:jc w:val="both"/>
        <w:rPr>
          <w:rFonts w:ascii="DejaVu Serif" w:eastAsia="Calibri" w:hAnsi="DejaVu Serif" w:cs="Arial"/>
          <w:color w:val="0070C0"/>
          <w:sz w:val="24"/>
          <w:szCs w:val="24"/>
          <w:lang w:eastAsia="en-US"/>
        </w:rPr>
      </w:pPr>
    </w:p>
    <w:p w:rsidR="009F6115" w:rsidRPr="009F6115" w:rsidRDefault="009F6115" w:rsidP="009F6115">
      <w:pPr>
        <w:numPr>
          <w:ilvl w:val="0"/>
          <w:numId w:val="1"/>
        </w:numPr>
        <w:spacing w:after="160" w:line="360" w:lineRule="auto"/>
        <w:contextualSpacing/>
        <w:jc w:val="both"/>
        <w:rPr>
          <w:sz w:val="24"/>
          <w:szCs w:val="24"/>
          <w:rFonts w:ascii="DejaVu Serif" w:eastAsia="Calibri" w:hAnsi="DejaVu Serif" w:cs="Arial"/>
        </w:rPr>
      </w:pPr>
      <w:r>
        <w:rPr>
          <w:sz w:val="24"/>
          <w:rFonts w:ascii="DejaVu Serif" w:hAnsi="DejaVu Serif"/>
        </w:rPr>
        <w:t xml:space="preserve">Zenbat pertsona juridikok aitortu zituzten etxebizitzen alokairu-errentetatik heldutako diru-sarrerak 2021etik 2024ra bitartean?</w:t>
      </w:r>
    </w:p>
    <w:p w:rsidR="009F6115" w:rsidRPr="009F6115" w:rsidRDefault="009F6115" w:rsidP="009F6115">
      <w:pPr>
        <w:spacing w:after="160" w:line="360" w:lineRule="auto"/>
        <w:ind w:left="720"/>
        <w:contextualSpacing/>
        <w:jc w:val="both"/>
        <w:rPr>
          <w:rFonts w:ascii="DejaVu Serif" w:eastAsia="Calibri" w:hAnsi="DejaVu Serif" w:cs="Arial"/>
          <w:sz w:val="24"/>
          <w:szCs w:val="24"/>
          <w:lang w:eastAsia="en-US"/>
        </w:rPr>
      </w:pPr>
    </w:p>
    <w:p w:rsidR="009F6115" w:rsidRPr="009F6115" w:rsidRDefault="009F6115" w:rsidP="009F6115">
      <w:pPr>
        <w:spacing w:after="160" w:line="360" w:lineRule="auto"/>
        <w:jc w:val="both"/>
        <w:rPr>
          <w:sz w:val="24"/>
          <w:szCs w:val="24"/>
          <w:rFonts w:ascii="DejaVu Serif" w:eastAsia="Calibri" w:hAnsi="DejaVu Serif" w:cs="Arial"/>
        </w:rPr>
      </w:pPr>
      <w:r>
        <w:rPr>
          <w:sz w:val="24"/>
          <w:rFonts w:ascii="DejaVu Serif" w:hAnsi="DejaVu Serif"/>
        </w:rPr>
        <w:t xml:space="preserve">Ez da posible eskatutako informazioa ematea, sozietateen gaineko zergan pertsona juridikoek alokairuaren zenbatekoa aitortzen baitute, baina zergaren laukietan ez baita zehazten alokatutako ondasunaren erabilera, ezta alokatu dena etxebizitza bat, industria-nabe bat merkataritza lokal bat, lursail bat edo beste edozein ondasun den.</w:t>
      </w:r>
    </w:p>
    <w:p w:rsidR="009F6115" w:rsidRPr="009F6115" w:rsidRDefault="009F6115" w:rsidP="009F6115">
      <w:pPr>
        <w:spacing w:after="160" w:line="360" w:lineRule="auto"/>
        <w:ind w:left="360"/>
        <w:rPr>
          <w:sz w:val="24"/>
          <w:szCs w:val="24"/>
          <w:rFonts w:ascii="DejaVu Serif" w:eastAsia="Calibri" w:hAnsi="DejaVu Serif" w:cs="Arial"/>
        </w:rPr>
      </w:pPr>
      <w:r>
        <w:rPr>
          <w:color w:val="1F497D"/>
          <w:sz w:val="24"/>
          <w:rFonts w:ascii="DejaVu Serif" w:hAnsi="DejaVu Serif"/>
        </w:rPr>
        <w:t xml:space="preserve"> </w:t>
      </w:r>
    </w:p>
    <w:p w:rsidR="009F6115" w:rsidRPr="009F6115" w:rsidRDefault="009F6115" w:rsidP="009F6115">
      <w:pPr>
        <w:spacing w:line="360" w:lineRule="auto"/>
        <w:rPr>
          <w:sz w:val="24"/>
          <w:szCs w:val="24"/>
          <w:rFonts w:ascii="DejaVu Serif" w:hAnsi="DejaVu Serif" w:cs="Arial"/>
        </w:rPr>
      </w:pPr>
      <w:r>
        <w:rPr>
          <w:sz w:val="24"/>
          <w:rFonts w:ascii="DejaVu Serif" w:hAnsi="DejaVu Serif"/>
        </w:rPr>
        <w:t xml:space="preserve">Hori guztia jakinarazten dizut, Nafarroako Parlamentuko Erregelamenduaren 215. artikulua betez.</w:t>
      </w:r>
    </w:p>
    <w:p w:rsidR="009F6115" w:rsidRPr="009F6115" w:rsidRDefault="009F6115" w:rsidP="009F6115">
      <w:pPr>
        <w:spacing w:line="360" w:lineRule="auto"/>
        <w:rPr>
          <w:rFonts w:ascii="DejaVu Serif" w:hAnsi="DejaVu Serif" w:cstheme="minorHAnsi"/>
          <w:sz w:val="24"/>
          <w:szCs w:val="24"/>
        </w:rPr>
      </w:pPr>
    </w:p>
    <w:p w:rsidR="009F6115" w:rsidRPr="009F6115" w:rsidRDefault="009F6115" w:rsidP="009F6115">
      <w:pPr>
        <w:rPr>
          <w:sz w:val="24"/>
          <w:szCs w:val="24"/>
          <w:rFonts w:ascii="DejaVu Serif" w:hAnsi="DejaVu Serif" w:cs="Arial"/>
        </w:rPr>
      </w:pPr>
      <w:r>
        <w:rPr>
          <w:sz w:val="24"/>
          <w:rFonts w:ascii="DejaVu Serif" w:hAnsi="DejaVu Serif"/>
        </w:rPr>
        <w:t xml:space="preserve">Iruñean, 2025eko ekainaren 6an.</w:t>
      </w:r>
    </w:p>
    <w:p w:rsidR="009F6115" w:rsidRPr="009F6115" w:rsidRDefault="009F6115" w:rsidP="009F6115">
      <w:pPr>
        <w:rPr>
          <w:rFonts w:ascii="DejaVu Serif" w:hAnsi="DejaVu Serif" w:cs="Arial"/>
          <w:sz w:val="24"/>
          <w:szCs w:val="24"/>
        </w:rPr>
      </w:pPr>
    </w:p>
    <w:p w:rsidR="009F6115" w:rsidRPr="009F6115" w:rsidRDefault="009F6115" w:rsidP="009F6115">
      <w:pPr>
        <w:rPr>
          <w:rFonts w:ascii="DejaVu Serif" w:hAnsi="DejaVu Serif" w:cs="Arial"/>
          <w:sz w:val="24"/>
          <w:szCs w:val="24"/>
        </w:rPr>
      </w:pPr>
    </w:p>
    <w:p w:rsidR="009F6115" w:rsidRPr="009F6115" w:rsidRDefault="009F6115" w:rsidP="009F6115">
      <w:pPr>
        <w:jc w:val="center"/>
        <w:rPr>
          <w:sz w:val="24"/>
          <w:szCs w:val="24"/>
          <w:rFonts w:ascii="DejaVu Serif" w:hAnsi="DejaVu Serif" w:cs="Arial"/>
        </w:rPr>
      </w:pPr>
      <w:r>
        <w:rPr>
          <w:sz w:val="24"/>
          <w:rFonts w:ascii="DejaVu Serif" w:hAnsi="DejaVu Serif"/>
        </w:rPr>
        <w:t xml:space="preserve">Ekonomia eta Ogasun kontseilaria</w:t>
      </w:r>
      <w:r>
        <w:rPr>
          <w:sz w:val="24"/>
          <w:rFonts w:ascii="DejaVu Serif" w:hAnsi="DejaVu Serif"/>
        </w:rPr>
        <w:t xml:space="preserve"> </w:t>
      </w: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Default="009F6115" w:rsidP="009F6115">
      <w:pPr>
        <w:rPr>
          <w:rFonts w:ascii="DejaVu Serif" w:hAnsi="DejaVu Serif" w:cs="Arial"/>
          <w:sz w:val="24"/>
          <w:szCs w:val="24"/>
        </w:rPr>
      </w:pPr>
    </w:p>
    <w:p w:rsidR="009F6115" w:rsidRDefault="009F6115" w:rsidP="009F6115">
      <w:pPr>
        <w:rPr>
          <w:rFonts w:ascii="DejaVu Serif" w:hAnsi="DejaVu Serif" w:cs="Arial"/>
          <w:sz w:val="24"/>
          <w:szCs w:val="24"/>
        </w:rPr>
      </w:pPr>
    </w:p>
    <w:p w:rsidR="009F6115" w:rsidRDefault="009F6115" w:rsidP="009F6115">
      <w:pPr>
        <w:rPr>
          <w:rFonts w:ascii="DejaVu Serif" w:hAnsi="DejaVu Serif" w:cs="Arial"/>
          <w:sz w:val="24"/>
          <w:szCs w:val="24"/>
        </w:rPr>
      </w:pPr>
    </w:p>
    <w:p w:rsidR="009F6115" w:rsidRPr="009F6115" w:rsidRDefault="009F6115" w:rsidP="009F6115">
      <w:pP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sz w:val="24"/>
          <w:szCs w:val="24"/>
          <w:rFonts w:ascii="DejaVu Serif" w:hAnsi="DejaVu Serif" w:cs="Arial"/>
        </w:rPr>
      </w:pPr>
      <w:r>
        <w:rPr>
          <w:sz w:val="24"/>
          <w:rFonts w:ascii="DejaVu Serif" w:hAnsi="DejaVu Serif"/>
        </w:rPr>
        <w:t xml:space="preserve">José Luis Arasti Pérez</w:t>
      </w: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rFonts w:ascii="DejaVu Serif" w:hAnsi="DejaVu Serif" w:cs="Arial"/>
          <w:sz w:val="24"/>
          <w:szCs w:val="24"/>
        </w:rPr>
      </w:pPr>
    </w:p>
    <w:p w:rsidR="009F6115" w:rsidRPr="009F6115" w:rsidRDefault="009F6115" w:rsidP="009F6115">
      <w:pPr>
        <w:jc w:val="center"/>
        <w:rPr>
          <w:sz w:val="24"/>
          <w:szCs w:val="24"/>
          <w:rFonts w:ascii="DejaVu Serif" w:hAnsi="DejaVu Serif" w:cs="Arial"/>
        </w:rPr>
      </w:pPr>
      <w:r>
        <w:rPr>
          <w:sz w:val="24"/>
          <w:rFonts w:ascii="DejaVu Serif" w:hAnsi="DejaVu Serif"/>
        </w:rPr>
        <w:t xml:space="preserve">NAFARROAKO PARLAMENTUKO LEHENDAKARIA</w:t>
      </w:r>
    </w:p>
    <w:p w:rsidR="009E202F" w:rsidRPr="009F6115" w:rsidRDefault="009E202F" w:rsidP="00815E62">
      <w:pPr>
        <w:rPr>
          <w:rFonts w:ascii="DejaVu Serif" w:hAnsi="DejaVu Serif" w:cs="Arial"/>
          <w:sz w:val="24"/>
          <w:szCs w:val="24"/>
          <w:lang w:val="es-ES_tradnl"/>
        </w:rPr>
      </w:pPr>
    </w:p>
    <w:p w:rsidR="007A58F6" w:rsidRPr="009F6115" w:rsidRDefault="00A80A6B" w:rsidP="00A80A6B">
      <w:pPr>
        <w:tabs>
          <w:tab w:val="left" w:pos="3376"/>
        </w:tabs>
        <w:rPr>
          <w:b/>
          <w:sz w:val="24"/>
          <w:szCs w:val="24"/>
          <w:rFonts w:ascii="DejaVu Serif" w:hAnsi="DejaVu Serif" w:cs="Arial"/>
        </w:rPr>
      </w:pPr>
      <w:r>
        <w:rPr>
          <w:sz w:val="24"/>
          <w:rFonts w:ascii="DejaVu Serif" w:hAnsi="DejaVu Serif"/>
        </w:rPr>
        <w:tab/>
      </w:r>
      <w:r>
        <w:rPr>
          <w:sz w:val="24"/>
          <w:b/>
          <w:rFonts w:ascii="DejaVu Serif" w:hAnsi="DejaVu Serif"/>
        </w:rPr>
        <w:tab/>
      </w:r>
    </w:p>
    <w:p w:rsidR="007A58F6" w:rsidRPr="009F6115" w:rsidRDefault="007A58F6" w:rsidP="00815E62">
      <w:pPr>
        <w:jc w:val="center"/>
        <w:rPr>
          <w:rFonts w:ascii="DejaVu Serif" w:hAnsi="DejaVu Serif" w:cs="Arial"/>
          <w:b/>
          <w:sz w:val="24"/>
          <w:szCs w:val="24"/>
        </w:rPr>
      </w:pPr>
    </w:p>
    <w:p w:rsidR="00461C13" w:rsidRPr="009F6115" w:rsidRDefault="00461C13" w:rsidP="00815E62">
      <w:pPr>
        <w:jc w:val="both"/>
        <w:rPr>
          <w:rFonts w:ascii="DejaVu Serif" w:hAnsi="DejaVu Serif" w:cs="Arial"/>
          <w:bCs/>
          <w:iCs/>
          <w:sz w:val="24"/>
          <w:szCs w:val="24"/>
        </w:rPr>
      </w:pPr>
    </w:p>
    <w:p w:rsidR="00461C13" w:rsidRPr="009F6115" w:rsidRDefault="00461C13" w:rsidP="00815E62">
      <w:pPr>
        <w:jc w:val="both"/>
        <w:rPr>
          <w:rFonts w:ascii="DejaVu Serif" w:hAnsi="DejaVu Serif" w:cs="Arial"/>
          <w:bCs/>
          <w:iCs/>
          <w:sz w:val="24"/>
          <w:szCs w:val="24"/>
        </w:rPr>
      </w:pPr>
    </w:p>
    <w:p w:rsidR="00461C13" w:rsidRPr="009F6115" w:rsidRDefault="00461C13" w:rsidP="00815E62">
      <w:pPr>
        <w:jc w:val="both"/>
        <w:rPr>
          <w:rFonts w:ascii="DejaVu Serif" w:hAnsi="DejaVu Serif" w:cs="Arial"/>
          <w:bCs/>
          <w:iCs/>
          <w:sz w:val="24"/>
          <w:szCs w:val="24"/>
        </w:rPr>
      </w:pPr>
    </w:p>
    <w:p w:rsidR="00461C13" w:rsidRPr="009F6115" w:rsidRDefault="00461C13" w:rsidP="00815E62">
      <w:pPr>
        <w:rPr>
          <w:rFonts w:ascii="DejaVu Serif" w:hAnsi="DejaVu Serif" w:cs="Arial"/>
          <w:sz w:val="24"/>
          <w:szCs w:val="24"/>
        </w:rPr>
      </w:pPr>
    </w:p>
    <w:sectPr w:rsidR="00461C13" w:rsidRPr="009F6115" w:rsidSect="00387AC3">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A02" w:rsidRDefault="00BD6A02">
      <w:r>
        <w:separator/>
      </w:r>
    </w:p>
  </w:endnote>
  <w:endnote w:type="continuationSeparator" w:id="0">
    <w:p w:rsidR="00BD6A02" w:rsidRDefault="00B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DejaVu Serif">
    <w:panose1 w:val="02060603050605020204"/>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E42" w:rsidRDefault="00D37E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5CA" w:rsidRPr="00A80A6B" w:rsidRDefault="003965CA">
    <w:pPr>
      <w:pStyle w:val="Piedepgina"/>
      <w:jc w:val="center"/>
    </w:pPr>
    <w:r>
      <w:t xml:space="preserve">Orrialdea: </w:t>
    </w:r>
    <w:r w:rsidRPr="00A80A6B">
      <w:fldChar w:fldCharType="begin"/>
    </w:r>
    <w:r w:rsidRPr="00A80A6B">
      <w:instrText>PAGE  \* Arabic  \* MERGEFORMAT</w:instrText>
    </w:r>
    <w:r w:rsidRPr="00A80A6B">
      <w:fldChar w:fldCharType="separate"/>
    </w:r>
    <w:r w:rsidR="009F6115">
      <w:t>3</w:t>
    </w:r>
    <w:r w:rsidRPr="00A80A6B">
      <w:fldChar w:fldCharType="end"/>
    </w:r>
    <w:r>
      <w:t xml:space="preserve"> / </w:t>
    </w:r>
    <w:fldSimple w:instr="NUMPAGES  \* Arabic  \* MERGEFORMAT" w:dirty="true">
      <w:r w:rsidR="009F6115">
        <w:rPr>
          <w:noProof/>
        </w:rPr>
        <w:t>3</w:t>
      </w:r>
    </w:fldSimple>
  </w:p>
  <w:p w:rsidR="003965CA" w:rsidRPr="00A80A6B" w:rsidRDefault="003965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E42" w:rsidRDefault="00D37E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A02" w:rsidRDefault="00BD6A02">
      <w:r>
        <w:separator/>
      </w:r>
    </w:p>
  </w:footnote>
  <w:footnote w:type="continuationSeparator" w:id="0">
    <w:p w:rsidR="00BD6A02" w:rsidRDefault="00BD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8F6" w:rsidRDefault="007A58F6">
    <w:pPr>
      <w:pStyle w:val="Encabezado"/>
    </w:pPr>
    <w:r>
      <w:drawing>
        <wp:anchor distT="0" distB="0" distL="114300" distR="114300" simplePos="0" relativeHeight="251659264" behindDoc="0" locked="0" layoutInCell="1" allowOverlap="1" wp14:anchorId="5F5D7390" wp14:editId="1F2747BC">
          <wp:simplePos x="0" y="0"/>
          <wp:positionH relativeFrom="page">
            <wp:posOffset>900430</wp:posOffset>
          </wp:positionH>
          <wp:positionV relativeFrom="page">
            <wp:posOffset>540385</wp:posOffset>
          </wp:positionV>
          <wp:extent cx="7569186" cy="1803059"/>
          <wp:effectExtent l="25400" t="0" r="14" b="0"/>
          <wp:wrapNone/>
          <wp:docPr id="10" name="Imagen 10"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C3" w:rsidRDefault="00387AC3" w:rsidP="00B17CCC">
    <w:pPr>
      <w:pStyle w:val="Encabezado"/>
      <w:tabs>
        <w:tab w:val="clear" w:pos="4252"/>
        <w:tab w:val="clear" w:pos="8504"/>
        <w:tab w:val="left" w:pos="7860"/>
        <w:tab w:val="right" w:pos="9070"/>
      </w:tabs>
    </w:pPr>
  </w:p>
  <w:p w:rsidR="00696F6F" w:rsidRPr="007250F0" w:rsidRDefault="00387AC3" w:rsidP="00B17CCC">
    <w:pPr>
      <w:pStyle w:val="Encabezado"/>
      <w:tabs>
        <w:tab w:val="clear" w:pos="4252"/>
        <w:tab w:val="clear" w:pos="8504"/>
        <w:tab w:val="left" w:pos="7860"/>
        <w:tab w:val="right" w:pos="9070"/>
      </w:tabs>
    </w:pPr>
    <w:r>
      <w:drawing>
        <wp:anchor distT="0" distB="0" distL="114300" distR="114300" simplePos="0" relativeHeight="251662336" behindDoc="1" locked="0" layoutInCell="1" allowOverlap="1" wp14:anchorId="28938A77" wp14:editId="3F33C262">
          <wp:simplePos x="0" y="0"/>
          <wp:positionH relativeFrom="margin">
            <wp:posOffset>3876675</wp:posOffset>
          </wp:positionH>
          <wp:positionV relativeFrom="paragraph">
            <wp:posOffset>-238125</wp:posOffset>
          </wp:positionV>
          <wp:extent cx="2352675" cy="61214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1214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Pr="00387AC3" w:rsidRDefault="00387AC3" w:rsidP="00387AC3">
    <w:pPr>
      <w:pStyle w:val="Encabezado"/>
    </w:pPr>
    <w:r>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7090410" cy="946691"/>
          <wp:effectExtent l="0" t="0" r="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 Consejero.png"/>
                  <pic:cNvPicPr/>
                </pic:nvPicPr>
                <pic:blipFill>
                  <a:blip r:embed="rId1">
                    <a:extLst>
                      <a:ext uri="{28A0092B-C50C-407E-A947-70E740481C1C}">
                        <a14:useLocalDpi xmlns:a14="http://schemas.microsoft.com/office/drawing/2010/main" val="0"/>
                      </a:ext>
                    </a:extLst>
                  </a:blip>
                  <a:stretch>
                    <a:fillRect/>
                  </a:stretch>
                </pic:blipFill>
                <pic:spPr>
                  <a:xfrm>
                    <a:off x="0" y="0"/>
                    <a:ext cx="7090410" cy="9466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90B55"/>
    <w:multiLevelType w:val="hybridMultilevel"/>
    <w:tmpl w:val="C5C00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dirty" w:grammar="dirty"/>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12C5C"/>
    <w:rsid w:val="00054B92"/>
    <w:rsid w:val="00071D98"/>
    <w:rsid w:val="000729E0"/>
    <w:rsid w:val="0008040E"/>
    <w:rsid w:val="0008067F"/>
    <w:rsid w:val="0009463A"/>
    <w:rsid w:val="000A60E7"/>
    <w:rsid w:val="000B64A1"/>
    <w:rsid w:val="000D08B3"/>
    <w:rsid w:val="000F555B"/>
    <w:rsid w:val="00103C1A"/>
    <w:rsid w:val="0013035B"/>
    <w:rsid w:val="001516D5"/>
    <w:rsid w:val="00164D90"/>
    <w:rsid w:val="00165D79"/>
    <w:rsid w:val="0016656D"/>
    <w:rsid w:val="0018244E"/>
    <w:rsid w:val="00183BFB"/>
    <w:rsid w:val="00192C26"/>
    <w:rsid w:val="00197C17"/>
    <w:rsid w:val="002015F8"/>
    <w:rsid w:val="0020337B"/>
    <w:rsid w:val="00211C02"/>
    <w:rsid w:val="00213839"/>
    <w:rsid w:val="002168BE"/>
    <w:rsid w:val="00277C9A"/>
    <w:rsid w:val="00286808"/>
    <w:rsid w:val="002C073E"/>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5952"/>
    <w:rsid w:val="006C7BF8"/>
    <w:rsid w:val="006E6291"/>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9F6115"/>
    <w:rsid w:val="00A117E7"/>
    <w:rsid w:val="00A2145B"/>
    <w:rsid w:val="00A3315E"/>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7645D"/>
    <w:rsid w:val="00C93DAF"/>
    <w:rsid w:val="00CA2943"/>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E06A5"/>
    <w:rsid w:val="00DE0EF4"/>
    <w:rsid w:val="00DE72DB"/>
    <w:rsid w:val="00DF6784"/>
    <w:rsid w:val="00E163F4"/>
    <w:rsid w:val="00E20F74"/>
    <w:rsid w:val="00E21BF7"/>
    <w:rsid w:val="00E26569"/>
    <w:rsid w:val="00E85656"/>
    <w:rsid w:val="00ED5CA9"/>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4A9EBA"/>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785C-01E7-43DE-9EE0-BC7DF93E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Imbergamo Mendivil, Carla Alessandra (Secretaria Gabinete Departamento Economia y Hacienda)</cp:lastModifiedBy>
  <cp:revision>2</cp:revision>
  <cp:lastPrinted>2024-08-02T08:02:00Z</cp:lastPrinted>
  <dcterms:created xsi:type="dcterms:W3CDTF">2025-06-06T10:37:00Z</dcterms:created>
  <dcterms:modified xsi:type="dcterms:W3CDTF">2025-06-06T10:37:00Z</dcterms:modified>
</cp:coreProperties>
</file>