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6BEB3" w14:textId="77777777" w:rsidR="00632A99" w:rsidRPr="0068032D" w:rsidRDefault="00632A99" w:rsidP="00A21031">
      <w:pPr>
        <w:autoSpaceDE w:val="0"/>
        <w:autoSpaceDN w:val="0"/>
        <w:adjustRightInd w:val="0"/>
        <w:spacing w:line="360" w:lineRule="auto"/>
        <w:jc w:val="both"/>
        <w:rPr>
          <w:rFonts w:ascii="DejaVu Serif" w:hAnsi="DejaVu Serif"/>
          <w:sz w:val="24"/>
          <w:szCs w:val="24"/>
        </w:rPr>
      </w:pPr>
      <w:r>
        <w:rPr>
          <w:rFonts w:ascii="DejaVu Serif" w:hAnsi="DejaVu Serif"/>
          <w:sz w:val="24"/>
        </w:rPr>
        <w:t>Ezein alderdiri atxikita ez dagoen foru parlamentari María Teresa Nosti Izquierdo andreak 11-25/PES-00174 galdera egin zuen, idatziz erantzun zekion, A-1 autobian bidesariak ezartzeari buruz. Bada, Nafarroako Gobernuko Lurralde Kohesiorako kontseilaria naizen aldetik, honako hau jakinarazten dut egindako galdera-sortari erantzunez:</w:t>
      </w:r>
    </w:p>
    <w:p w14:paraId="4D9EAF6B" w14:textId="77777777" w:rsidR="00632A99" w:rsidRPr="002C4D13" w:rsidRDefault="00632A99" w:rsidP="00632A99">
      <w:pPr>
        <w:spacing w:line="360" w:lineRule="auto"/>
        <w:jc w:val="both"/>
        <w:rPr>
          <w:rFonts w:ascii="DejaVu Serif Condensed" w:hAnsi="DejaVu Serif Condensed"/>
          <w:sz w:val="24"/>
          <w:szCs w:val="24"/>
        </w:rPr>
      </w:pPr>
    </w:p>
    <w:p w14:paraId="5BBC8645" w14:textId="77777777" w:rsidR="001125DB" w:rsidRPr="006E30F6" w:rsidRDefault="001125DB" w:rsidP="001125DB">
      <w:pPr>
        <w:pStyle w:val="Prrafodelista"/>
        <w:numPr>
          <w:ilvl w:val="0"/>
          <w:numId w:val="1"/>
        </w:numPr>
        <w:shd w:val="clear" w:color="auto" w:fill="FFFFFF"/>
        <w:tabs>
          <w:tab w:val="left" w:pos="766"/>
        </w:tabs>
        <w:spacing w:after="0" w:line="360" w:lineRule="auto"/>
        <w:jc w:val="both"/>
        <w:rPr>
          <w:rFonts w:ascii="Tahoma" w:hAnsi="Tahoma" w:cs="Tahoma"/>
          <w:b/>
          <w:bCs/>
          <w:iCs/>
        </w:rPr>
      </w:pPr>
      <w:bookmarkStart w:id="0" w:name="_Hlk197504079"/>
      <w:r>
        <w:rPr>
          <w:rFonts w:ascii="Tahoma" w:hAnsi="Tahoma"/>
          <w:b/>
        </w:rPr>
        <w:t>Zein da A-1 autobian bidesariak ezartzearen ondoriozko urteko diru-sarreren aurreikuspena, eurotan? Adierazi kalkulu horren oinarri den dokumentu ekonomiko zehatza.</w:t>
      </w:r>
    </w:p>
    <w:bookmarkEnd w:id="0"/>
    <w:p w14:paraId="6A77DC35" w14:textId="77777777" w:rsidR="00632A99" w:rsidRDefault="001125DB" w:rsidP="00632A99">
      <w:pPr>
        <w:spacing w:line="360" w:lineRule="auto"/>
        <w:jc w:val="both"/>
        <w:rPr>
          <w:rFonts w:ascii="DejaVu Serif Condensed" w:hAnsi="DejaVu Serif Condensed"/>
          <w:sz w:val="24"/>
          <w:szCs w:val="24"/>
        </w:rPr>
      </w:pPr>
      <w:r>
        <w:rPr>
          <w:rFonts w:ascii="DejaVu Serif Condensed" w:hAnsi="DejaVu Serif Condensed"/>
          <w:sz w:val="24"/>
        </w:rPr>
        <w:t xml:space="preserve">A-1 autobian bidesariak ezartzearen ondoriozko urteko diru sarreren aurreikuspena hau da: </w:t>
      </w:r>
    </w:p>
    <w:p w14:paraId="1347C09D" w14:textId="77777777" w:rsidR="001125DB" w:rsidRDefault="001125DB" w:rsidP="001125DB">
      <w:pPr>
        <w:spacing w:line="360" w:lineRule="auto"/>
        <w:jc w:val="center"/>
        <w:rPr>
          <w:rFonts w:ascii="DejaVu Serif Condensed" w:hAnsi="DejaVu Serif Condensed"/>
          <w:sz w:val="24"/>
          <w:szCs w:val="24"/>
        </w:rPr>
      </w:pPr>
      <w:r>
        <w:rPr>
          <w:noProof/>
        </w:rPr>
        <w:drawing>
          <wp:inline distT="0" distB="0" distL="0" distR="0" wp14:anchorId="71011DBE" wp14:editId="52DEF26A">
            <wp:extent cx="2266950" cy="2626380"/>
            <wp:effectExtent l="0" t="0" r="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3588" cy="2645656"/>
                    </a:xfrm>
                    <a:prstGeom prst="rect">
                      <a:avLst/>
                    </a:prstGeom>
                    <a:noFill/>
                    <a:ln>
                      <a:noFill/>
                    </a:ln>
                  </pic:spPr>
                </pic:pic>
              </a:graphicData>
            </a:graphic>
          </wp:inline>
        </w:drawing>
      </w:r>
    </w:p>
    <w:p w14:paraId="42B4F4F7" w14:textId="77777777" w:rsidR="001125DB" w:rsidRDefault="001125DB" w:rsidP="001125DB">
      <w:pPr>
        <w:spacing w:line="360" w:lineRule="auto"/>
        <w:jc w:val="center"/>
        <w:rPr>
          <w:rFonts w:ascii="DejaVu Serif Condensed" w:hAnsi="DejaVu Serif Condensed"/>
          <w:sz w:val="24"/>
          <w:szCs w:val="24"/>
        </w:rPr>
      </w:pPr>
    </w:p>
    <w:p w14:paraId="33268ED5" w14:textId="77777777" w:rsidR="001125DB" w:rsidRDefault="006E30F6" w:rsidP="00632A99">
      <w:pPr>
        <w:spacing w:line="360" w:lineRule="auto"/>
        <w:jc w:val="both"/>
        <w:rPr>
          <w:rFonts w:ascii="DejaVu Serif Condensed" w:hAnsi="DejaVu Serif Condensed"/>
          <w:sz w:val="24"/>
          <w:szCs w:val="24"/>
        </w:rPr>
      </w:pPr>
      <w:r>
        <w:rPr>
          <w:rFonts w:ascii="DejaVu Serif Condensed" w:hAnsi="DejaVu Serif Condensed"/>
          <w:sz w:val="24"/>
        </w:rPr>
        <w:t>Zenbatespen horrek Europako Batzordera bidalitako dokumentazioa du oinarri, zehazki, azpiegitura bakoitzeko tasak barne hartzen dituen bidesari araubide bat aplikatzeko baimena ematekoa.</w:t>
      </w:r>
    </w:p>
    <w:p w14:paraId="694258D1" w14:textId="77777777" w:rsidR="001125DB" w:rsidRDefault="001125DB" w:rsidP="00632A99">
      <w:pPr>
        <w:spacing w:line="360" w:lineRule="auto"/>
        <w:jc w:val="both"/>
        <w:rPr>
          <w:rFonts w:ascii="DejaVu Serif Condensed" w:hAnsi="DejaVu Serif Condensed"/>
          <w:sz w:val="24"/>
          <w:szCs w:val="24"/>
        </w:rPr>
      </w:pPr>
    </w:p>
    <w:p w14:paraId="31564928" w14:textId="77777777" w:rsidR="006E30F6" w:rsidRDefault="006E30F6" w:rsidP="006E30F6">
      <w:pPr>
        <w:pStyle w:val="Prrafodelista"/>
        <w:numPr>
          <w:ilvl w:val="0"/>
          <w:numId w:val="1"/>
        </w:numPr>
        <w:shd w:val="clear" w:color="auto" w:fill="FFFFFF"/>
        <w:tabs>
          <w:tab w:val="left" w:pos="766"/>
        </w:tabs>
        <w:spacing w:line="360" w:lineRule="auto"/>
        <w:jc w:val="both"/>
        <w:rPr>
          <w:rFonts w:ascii="Tahoma" w:hAnsi="Tahoma" w:cs="Tahoma"/>
          <w:b/>
          <w:bCs/>
          <w:iCs/>
        </w:rPr>
      </w:pPr>
      <w:r>
        <w:rPr>
          <w:rFonts w:ascii="Tahoma" w:hAnsi="Tahoma"/>
          <w:b/>
        </w:rPr>
        <w:t>Zein izanen da A-1 errepidetik egunean 50 kilometroko ohiko ibilbidea egiten duen nafar batek ordaindu beharko duen batez besteko kostua urtean, eurotan? Zehaztu zer metodo erabili den kalkulua egiteko.</w:t>
      </w:r>
    </w:p>
    <w:p w14:paraId="56414757" w14:textId="77777777" w:rsidR="001125DB" w:rsidRPr="006E30F6" w:rsidRDefault="006E30F6" w:rsidP="006E30F6">
      <w:pPr>
        <w:shd w:val="clear" w:color="auto" w:fill="FFFFFF"/>
        <w:tabs>
          <w:tab w:val="left" w:pos="766"/>
        </w:tabs>
        <w:spacing w:line="360" w:lineRule="auto"/>
        <w:jc w:val="both"/>
        <w:rPr>
          <w:rFonts w:ascii="Tahoma" w:hAnsi="Tahoma" w:cs="Tahoma"/>
          <w:b/>
          <w:bCs/>
          <w:iCs/>
          <w:sz w:val="22"/>
          <w:szCs w:val="22"/>
        </w:rPr>
      </w:pPr>
      <w:r>
        <w:rPr>
          <w:rFonts w:ascii="DejaVu Serif Condensed" w:hAnsi="DejaVu Serif Condensed"/>
          <w:sz w:val="24"/>
        </w:rPr>
        <w:t xml:space="preserve">Nafarroako errepideetarako erabilera-kanona arautzeari buruzko uztailaren 1eko 23/2022 Foru Legearen 3. artikuluko (“Sortzapena eta ordainketa”) 2. puntuaren arabera, erabilera kanona ordaintzera behartuta daude kanon hori atxikita daukaten bideetatik zirkulatzen </w:t>
      </w:r>
      <w:r>
        <w:rPr>
          <w:rFonts w:ascii="DejaVu Serif Condensed" w:hAnsi="DejaVu Serif Condensed"/>
          <w:sz w:val="24"/>
        </w:rPr>
        <w:lastRenderedPageBreak/>
        <w:t>duten ibilgailu astunen titular diren pertsona fisiko edo juridikoak. Halako ibilgailutzat joko dira motordun ibilgailuak edo ibilgailu artikulatuen multzoak, gehieneko masa baimendua 3,5 tona baino handiagoa izanda errepidezko salgai garraiorako baizik ez direnak edo horretarako baizik erabiltzen ez direnak.</w:t>
      </w:r>
    </w:p>
    <w:p w14:paraId="215ABD35" w14:textId="77777777" w:rsidR="006E30F6" w:rsidRPr="006E30F6" w:rsidRDefault="006E30F6" w:rsidP="006E30F6">
      <w:pPr>
        <w:spacing w:line="360" w:lineRule="auto"/>
        <w:jc w:val="both"/>
        <w:rPr>
          <w:rFonts w:ascii="DejaVu Serif Condensed" w:hAnsi="DejaVu Serif Condensed"/>
          <w:sz w:val="24"/>
          <w:szCs w:val="24"/>
        </w:rPr>
      </w:pPr>
    </w:p>
    <w:p w14:paraId="3119639C" w14:textId="77777777" w:rsidR="006E30F6" w:rsidRPr="006E30F6" w:rsidRDefault="006E30F6" w:rsidP="006E30F6">
      <w:pPr>
        <w:pStyle w:val="Prrafodelista"/>
        <w:numPr>
          <w:ilvl w:val="0"/>
          <w:numId w:val="1"/>
        </w:numPr>
        <w:spacing w:line="360" w:lineRule="auto"/>
        <w:jc w:val="both"/>
        <w:rPr>
          <w:rFonts w:ascii="Tahoma" w:eastAsia="Times New Roman" w:hAnsi="Tahoma" w:cs="Tahoma"/>
        </w:rPr>
      </w:pPr>
      <w:bookmarkStart w:id="1" w:name="_Hlk197586560"/>
      <w:r>
        <w:rPr>
          <w:rFonts w:ascii="Tahoma" w:hAnsi="Tahoma"/>
          <w:b/>
        </w:rPr>
        <w:t>Nafarroako Gobernuak zer aurreikuspen ofizial du, ibilgailuen portzentajea eta bolumena adierazita, bidesaria ezartzearen ondorio zuzen gisa A-1 autobiako trafikoaren aldaketari buruz? Aipatu zer txosten teknikotan oinarritzen den aurreikuspen hori.</w:t>
      </w:r>
    </w:p>
    <w:p w14:paraId="360F2AD8" w14:textId="77777777" w:rsidR="006E30F6" w:rsidRPr="00FD7B84" w:rsidRDefault="006E30F6" w:rsidP="006E30F6">
      <w:pPr>
        <w:spacing w:line="360" w:lineRule="auto"/>
        <w:jc w:val="both"/>
        <w:rPr>
          <w:rFonts w:ascii="DejaVu Serif Condensed" w:hAnsi="DejaVu Serif Condensed" w:cs="Tahoma"/>
          <w:sz w:val="24"/>
          <w:szCs w:val="24"/>
        </w:rPr>
      </w:pPr>
      <w:r>
        <w:rPr>
          <w:rFonts w:ascii="DejaVu Serif Condensed" w:hAnsi="DejaVu Serif Condensed"/>
          <w:sz w:val="24"/>
        </w:rPr>
        <w:t>Bideetako tarteen eguneko batez besteko intentsitatearen datu historikoekin, 2015etik 2019ra, estazio guztien batez besteko hazkunde tasa (i) zehaztu da, honela:</w:t>
      </w:r>
    </w:p>
    <w:p w14:paraId="7EEB6BC5" w14:textId="77777777" w:rsidR="006E30F6" w:rsidRPr="00FD7B84" w:rsidRDefault="006E30F6" w:rsidP="006E30F6">
      <w:pPr>
        <w:spacing w:line="360" w:lineRule="auto"/>
        <w:jc w:val="center"/>
        <w:rPr>
          <w:rFonts w:ascii="DejaVu Serif Condensed" w:hAnsi="DejaVu Serif Condensed" w:cs="Tahoma"/>
          <w:sz w:val="24"/>
          <w:szCs w:val="24"/>
        </w:rPr>
      </w:pPr>
      <w:r>
        <w:rPr>
          <w:rFonts w:ascii="DejaVu Serif Condensed" w:hAnsi="DejaVu Serif Condensed"/>
          <w:noProof/>
          <w:color w:val="333333"/>
          <w:sz w:val="24"/>
        </w:rPr>
        <w:drawing>
          <wp:inline distT="0" distB="0" distL="0" distR="0" wp14:anchorId="4E06B808" wp14:editId="72CED77B">
            <wp:extent cx="2523490" cy="9220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3490" cy="922020"/>
                    </a:xfrm>
                    <a:prstGeom prst="rect">
                      <a:avLst/>
                    </a:prstGeom>
                    <a:noFill/>
                    <a:ln>
                      <a:noFill/>
                    </a:ln>
                  </pic:spPr>
                </pic:pic>
              </a:graphicData>
            </a:graphic>
          </wp:inline>
        </w:drawing>
      </w:r>
    </w:p>
    <w:p w14:paraId="28925376" w14:textId="77777777" w:rsidR="00FD7B84" w:rsidRPr="00FD7B84" w:rsidRDefault="00FD7B84" w:rsidP="006E30F6">
      <w:pPr>
        <w:spacing w:line="360" w:lineRule="auto"/>
        <w:jc w:val="center"/>
        <w:rPr>
          <w:rFonts w:ascii="DejaVu Serif Condensed" w:hAnsi="DejaVu Serif Condensed" w:cs="Tahoma"/>
          <w:sz w:val="24"/>
          <w:szCs w:val="24"/>
        </w:rPr>
      </w:pPr>
    </w:p>
    <w:p w14:paraId="1098A91E" w14:textId="77777777" w:rsidR="006E30F6" w:rsidRPr="00FD7B84" w:rsidRDefault="006E30F6" w:rsidP="006E30F6">
      <w:pPr>
        <w:spacing w:line="360" w:lineRule="auto"/>
        <w:jc w:val="both"/>
        <w:rPr>
          <w:rFonts w:ascii="DejaVu Serif Condensed" w:hAnsi="DejaVu Serif Condensed" w:cs="Tahoma"/>
          <w:sz w:val="24"/>
          <w:szCs w:val="24"/>
        </w:rPr>
      </w:pPr>
      <w:r>
        <w:rPr>
          <w:rFonts w:ascii="DejaVu Serif Condensed" w:hAnsi="DejaVu Serif Condensed"/>
          <w:sz w:val="24"/>
        </w:rPr>
        <w:t>Lehen eta azken urtearen arteko urte kopurua da “n”.</w:t>
      </w:r>
    </w:p>
    <w:p w14:paraId="4B9C8FCE" w14:textId="77777777" w:rsidR="006E30F6" w:rsidRPr="00FD7B84" w:rsidRDefault="006E30F6" w:rsidP="006E30F6">
      <w:pPr>
        <w:spacing w:line="360" w:lineRule="auto"/>
        <w:jc w:val="both"/>
        <w:rPr>
          <w:rFonts w:ascii="DejaVu Serif Condensed" w:hAnsi="DejaVu Serif Condensed" w:cs="Tahoma"/>
          <w:sz w:val="24"/>
          <w:szCs w:val="24"/>
        </w:rPr>
      </w:pPr>
      <w:r>
        <w:rPr>
          <w:rFonts w:ascii="DejaVu Serif Condensed" w:hAnsi="DejaVu Serif Condensed"/>
          <w:sz w:val="24"/>
        </w:rPr>
        <w:t>Horrela, edukiera estazio bakoitzerako, 2015 eta 2019 arteko hazkunde tasa (Tm) lortzen da. Taula honetan jaso ditugu:</w:t>
      </w:r>
    </w:p>
    <w:p w14:paraId="5045BC9C" w14:textId="77777777" w:rsidR="00FD7B84" w:rsidRPr="00FD7B84" w:rsidRDefault="00FD7B84" w:rsidP="006E30F6">
      <w:pPr>
        <w:spacing w:line="360" w:lineRule="auto"/>
        <w:jc w:val="both"/>
        <w:rPr>
          <w:rFonts w:ascii="DejaVu Serif Condensed" w:hAnsi="DejaVu Serif Condensed" w:cs="Tahoma"/>
          <w:sz w:val="24"/>
          <w:szCs w:val="24"/>
        </w:rPr>
      </w:pPr>
      <w:r>
        <w:rPr>
          <w:rFonts w:ascii="DejaVu Serif Condensed" w:hAnsi="DejaVu Serif Condensed"/>
          <w:noProof/>
          <w:color w:val="333333"/>
          <w:sz w:val="24"/>
        </w:rPr>
        <w:drawing>
          <wp:inline distT="0" distB="0" distL="0" distR="0" wp14:anchorId="042D7BF4" wp14:editId="5FF8F344">
            <wp:extent cx="5759450" cy="63373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633730"/>
                    </a:xfrm>
                    <a:prstGeom prst="rect">
                      <a:avLst/>
                    </a:prstGeom>
                    <a:noFill/>
                    <a:ln>
                      <a:noFill/>
                    </a:ln>
                  </pic:spPr>
                </pic:pic>
              </a:graphicData>
            </a:graphic>
          </wp:inline>
        </w:drawing>
      </w:r>
    </w:p>
    <w:p w14:paraId="1E61804B" w14:textId="77777777" w:rsidR="00FD7B84" w:rsidRPr="00FD7B84" w:rsidRDefault="00FD7B84" w:rsidP="006E30F6">
      <w:pPr>
        <w:spacing w:line="360" w:lineRule="auto"/>
        <w:jc w:val="both"/>
        <w:rPr>
          <w:rFonts w:ascii="DejaVu Serif Condensed" w:hAnsi="DejaVu Serif Condensed" w:cs="Tahoma"/>
          <w:sz w:val="24"/>
          <w:szCs w:val="24"/>
        </w:rPr>
      </w:pPr>
    </w:p>
    <w:p w14:paraId="1D838C00" w14:textId="77777777" w:rsidR="006E30F6" w:rsidRPr="00FD7B84" w:rsidRDefault="006E30F6" w:rsidP="006E30F6">
      <w:pPr>
        <w:spacing w:line="360" w:lineRule="auto"/>
        <w:jc w:val="both"/>
        <w:rPr>
          <w:rFonts w:ascii="DejaVu Serif Condensed" w:hAnsi="DejaVu Serif Condensed" w:cs="Tahoma"/>
          <w:sz w:val="24"/>
          <w:szCs w:val="24"/>
        </w:rPr>
      </w:pPr>
      <w:r>
        <w:rPr>
          <w:rFonts w:ascii="DejaVu Serif Condensed" w:hAnsi="DejaVu Serif Condensed"/>
          <w:sz w:val="24"/>
        </w:rPr>
        <w:t>Bideko tarte bakoitzaren hazkunde tasarekin, bidearen batez besteko hazkunde tasa zehazten da —korridore bakoitzeko balio bakarra—:</w:t>
      </w:r>
    </w:p>
    <w:p w14:paraId="5A9E8BCE" w14:textId="77777777" w:rsidR="00FD7B84" w:rsidRPr="00FD7B84" w:rsidRDefault="00FD7B84" w:rsidP="00FD7B84">
      <w:pPr>
        <w:spacing w:line="360" w:lineRule="auto"/>
        <w:jc w:val="center"/>
        <w:rPr>
          <w:rFonts w:ascii="DejaVu Serif Condensed" w:hAnsi="DejaVu Serif Condensed" w:cs="Tahoma"/>
          <w:sz w:val="24"/>
          <w:szCs w:val="24"/>
        </w:rPr>
      </w:pPr>
      <w:r>
        <w:rPr>
          <w:rFonts w:ascii="DejaVu Serif Condensed" w:hAnsi="DejaVu Serif Condensed"/>
          <w:noProof/>
          <w:color w:val="333333"/>
          <w:sz w:val="24"/>
        </w:rPr>
        <w:drawing>
          <wp:inline distT="0" distB="0" distL="0" distR="0" wp14:anchorId="6C99574F" wp14:editId="51B76936">
            <wp:extent cx="3525926" cy="59533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54460" cy="600148"/>
                    </a:xfrm>
                    <a:prstGeom prst="rect">
                      <a:avLst/>
                    </a:prstGeom>
                    <a:noFill/>
                    <a:ln>
                      <a:noFill/>
                    </a:ln>
                  </pic:spPr>
                </pic:pic>
              </a:graphicData>
            </a:graphic>
          </wp:inline>
        </w:drawing>
      </w:r>
    </w:p>
    <w:p w14:paraId="0F663355" w14:textId="77777777" w:rsidR="00FD7B84" w:rsidRPr="00FD7B84" w:rsidRDefault="00FD7B84" w:rsidP="006E30F6">
      <w:pPr>
        <w:spacing w:line="360" w:lineRule="auto"/>
        <w:jc w:val="both"/>
        <w:rPr>
          <w:rFonts w:ascii="DejaVu Serif Condensed" w:hAnsi="DejaVu Serif Condensed" w:cs="Tahoma"/>
          <w:sz w:val="24"/>
          <w:szCs w:val="24"/>
        </w:rPr>
      </w:pPr>
    </w:p>
    <w:p w14:paraId="5ECC0105" w14:textId="77777777" w:rsidR="006E30F6" w:rsidRPr="00FD7B84" w:rsidRDefault="006E30F6" w:rsidP="006E30F6">
      <w:pPr>
        <w:spacing w:line="360" w:lineRule="auto"/>
        <w:jc w:val="both"/>
        <w:rPr>
          <w:rFonts w:ascii="DejaVu Serif Condensed" w:hAnsi="DejaVu Serif Condensed" w:cs="Tahoma"/>
          <w:sz w:val="24"/>
          <w:szCs w:val="24"/>
        </w:rPr>
      </w:pPr>
      <w:r>
        <w:rPr>
          <w:rFonts w:ascii="DejaVu Serif Condensed" w:hAnsi="DejaVu Serif Condensed"/>
          <w:sz w:val="24"/>
        </w:rPr>
        <w:t xml:space="preserve">Bestalde, FOM/3317/2010 Agindua dago, Garraioetako, Mugikortasuneko eta Hiri Agendako Ministerioaren trenbide azpiegituren, errepideen eta aireportuen herri lanen </w:t>
      </w:r>
      <w:r>
        <w:rPr>
          <w:rFonts w:ascii="DejaVu Serif Condensed" w:hAnsi="DejaVu Serif Condensed"/>
          <w:sz w:val="24"/>
        </w:rPr>
        <w:lastRenderedPageBreak/>
        <w:t>efizientzia hobetzekoa. Bertan, errepide sare nazionalean aurreikusitako hazkunde tasak ezartzen dira, taula honetako balioekin:</w:t>
      </w:r>
    </w:p>
    <w:p w14:paraId="534FFF0C" w14:textId="77777777" w:rsidR="00FD7B84" w:rsidRPr="00FD7B84" w:rsidRDefault="00FD7B84" w:rsidP="00FD7B84">
      <w:pPr>
        <w:spacing w:line="360" w:lineRule="auto"/>
        <w:jc w:val="center"/>
        <w:rPr>
          <w:rFonts w:ascii="DejaVu Serif Condensed" w:hAnsi="DejaVu Serif Condensed" w:cs="Tahoma"/>
          <w:sz w:val="24"/>
          <w:szCs w:val="24"/>
        </w:rPr>
      </w:pPr>
      <w:r>
        <w:rPr>
          <w:rFonts w:ascii="DejaVu Serif Condensed" w:hAnsi="DejaVu Serif Condensed"/>
          <w:noProof/>
          <w:color w:val="333333"/>
          <w:sz w:val="24"/>
        </w:rPr>
        <w:drawing>
          <wp:inline distT="0" distB="0" distL="0" distR="0" wp14:anchorId="044C0BAC" wp14:editId="74686ACC">
            <wp:extent cx="5040173" cy="1016611"/>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0396" cy="1026741"/>
                    </a:xfrm>
                    <a:prstGeom prst="rect">
                      <a:avLst/>
                    </a:prstGeom>
                    <a:noFill/>
                    <a:ln>
                      <a:noFill/>
                    </a:ln>
                  </pic:spPr>
                </pic:pic>
              </a:graphicData>
            </a:graphic>
          </wp:inline>
        </w:drawing>
      </w:r>
    </w:p>
    <w:p w14:paraId="3EF84E38" w14:textId="77777777" w:rsidR="00FD7B84" w:rsidRPr="00FD7B84" w:rsidRDefault="00FD7B84" w:rsidP="006E30F6">
      <w:pPr>
        <w:spacing w:line="360" w:lineRule="auto"/>
        <w:jc w:val="both"/>
        <w:rPr>
          <w:rFonts w:ascii="DejaVu Serif Condensed" w:hAnsi="DejaVu Serif Condensed" w:cs="Tahoma"/>
          <w:sz w:val="24"/>
          <w:szCs w:val="24"/>
        </w:rPr>
      </w:pPr>
    </w:p>
    <w:p w14:paraId="56DD9289" w14:textId="77777777" w:rsidR="006E30F6" w:rsidRPr="00FD7B84" w:rsidRDefault="006E30F6" w:rsidP="006E30F6">
      <w:pPr>
        <w:spacing w:line="360" w:lineRule="auto"/>
        <w:jc w:val="both"/>
        <w:rPr>
          <w:rFonts w:ascii="DejaVu Serif Condensed" w:hAnsi="DejaVu Serif Condensed" w:cs="Tahoma"/>
          <w:sz w:val="24"/>
          <w:szCs w:val="24"/>
        </w:rPr>
      </w:pPr>
      <w:r>
        <w:rPr>
          <w:rFonts w:ascii="DejaVu Serif Condensed" w:hAnsi="DejaVu Serif Condensed"/>
          <w:sz w:val="24"/>
        </w:rPr>
        <w:t>Garraioetako, Mugikortasuneko eta Hiri Agendako Ministerioaren 5/2014 zerbitzu oharrean zehazten denez (“Errepideei buruzko informazio azterlanen, aurreproiektuen eta proiektuen trafiko azterlanak egiteko preskripzioak eta gomendio teknikoak”), zirkulazioa iragartzeko balio horiek erabili behar dira.</w:t>
      </w:r>
    </w:p>
    <w:p w14:paraId="0D4B6398" w14:textId="77777777" w:rsidR="006E30F6" w:rsidRPr="00FD7B84" w:rsidRDefault="006E30F6" w:rsidP="006E30F6">
      <w:pPr>
        <w:spacing w:line="360" w:lineRule="auto"/>
        <w:jc w:val="both"/>
        <w:rPr>
          <w:rFonts w:ascii="DejaVu Serif Condensed" w:hAnsi="DejaVu Serif Condensed" w:cs="Tahoma"/>
          <w:sz w:val="24"/>
          <w:szCs w:val="24"/>
        </w:rPr>
      </w:pPr>
      <w:r>
        <w:rPr>
          <w:rFonts w:ascii="DejaVu Serif Condensed" w:hAnsi="DejaVu Serif Condensed"/>
          <w:sz w:val="24"/>
        </w:rPr>
        <w:t xml:space="preserve"> Erreferentzia ofizialetan ezarritakoez bestelako hazkunde tasak erabiltzea proposatzen bada epe luzerako trafikoari dagokionez, horiek behar bezala justifikatuko dira, eta azterlanaren edo proiektuaren zuzendariari jakinaraziko zaio zergatik gomendatzen den bestelako balioak izatea kontuan. Hark erabakiko du onetsi edo ez.</w:t>
      </w:r>
    </w:p>
    <w:p w14:paraId="20387F2F" w14:textId="77777777" w:rsidR="006E30F6" w:rsidRPr="00FD7B84" w:rsidRDefault="006E30F6" w:rsidP="006E30F6">
      <w:pPr>
        <w:spacing w:line="360" w:lineRule="auto"/>
        <w:jc w:val="both"/>
        <w:rPr>
          <w:rFonts w:ascii="DejaVu Serif Condensed" w:hAnsi="DejaVu Serif Condensed" w:cs="Tahoma"/>
          <w:sz w:val="24"/>
          <w:szCs w:val="24"/>
        </w:rPr>
      </w:pPr>
      <w:r>
        <w:rPr>
          <w:rFonts w:ascii="DejaVu Serif Condensed" w:hAnsi="DejaVu Serif Condensed"/>
          <w:sz w:val="24"/>
        </w:rPr>
        <w:t>Hazkunde tasa aplikatua: azkenik, Nafarroako Gobernuak emandako edukiera historikoen datuak eta Garraioetako, Mugikortasuneko eta Hiri Agendako Ministerioaren aginduan zehaztutako balioa aztertu ostean, bide guztien eskaria aurreikusteko, datu historikoetatik lortutako hazkunde tasaren eta aginduan ezarritako balioaren arteko batezbestekoa egin eta hori hazkunde tasa gisa aplikatzea erabaki da. Taula honetan bildu dira baliook:</w:t>
      </w:r>
    </w:p>
    <w:p w14:paraId="3273F40F" w14:textId="77777777" w:rsidR="00FD7B84" w:rsidRPr="00FD7B84" w:rsidRDefault="00FD7B84" w:rsidP="00FD7B84">
      <w:pPr>
        <w:spacing w:line="360" w:lineRule="auto"/>
        <w:jc w:val="center"/>
        <w:rPr>
          <w:rFonts w:ascii="DejaVu Serif Condensed" w:hAnsi="DejaVu Serif Condensed" w:cs="Tahoma"/>
          <w:sz w:val="24"/>
          <w:szCs w:val="24"/>
        </w:rPr>
      </w:pPr>
      <w:r>
        <w:rPr>
          <w:rFonts w:ascii="DejaVu Serif Condensed" w:hAnsi="DejaVu Serif Condensed"/>
          <w:noProof/>
          <w:color w:val="333333"/>
          <w:sz w:val="24"/>
        </w:rPr>
        <w:drawing>
          <wp:inline distT="0" distB="0" distL="0" distR="0" wp14:anchorId="64D5FF7B" wp14:editId="664DDB6B">
            <wp:extent cx="4615815" cy="570865"/>
            <wp:effectExtent l="0" t="0" r="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15815" cy="570865"/>
                    </a:xfrm>
                    <a:prstGeom prst="rect">
                      <a:avLst/>
                    </a:prstGeom>
                    <a:noFill/>
                    <a:ln>
                      <a:noFill/>
                    </a:ln>
                  </pic:spPr>
                </pic:pic>
              </a:graphicData>
            </a:graphic>
          </wp:inline>
        </w:drawing>
      </w:r>
    </w:p>
    <w:p w14:paraId="2566AFF4" w14:textId="77777777" w:rsidR="00FD7B84" w:rsidRPr="00FD7B84" w:rsidRDefault="00FD7B84" w:rsidP="006E30F6">
      <w:pPr>
        <w:spacing w:line="360" w:lineRule="auto"/>
        <w:jc w:val="both"/>
        <w:rPr>
          <w:rFonts w:ascii="DejaVu Serif Condensed" w:hAnsi="DejaVu Serif Condensed" w:cs="Tahoma"/>
          <w:sz w:val="24"/>
          <w:szCs w:val="24"/>
        </w:rPr>
      </w:pPr>
    </w:p>
    <w:p w14:paraId="6F78E892" w14:textId="77777777" w:rsidR="006E30F6" w:rsidRPr="00FD7B84" w:rsidRDefault="006E30F6" w:rsidP="006E30F6">
      <w:pPr>
        <w:spacing w:line="360" w:lineRule="auto"/>
        <w:jc w:val="both"/>
        <w:rPr>
          <w:rFonts w:ascii="DejaVu Serif Condensed" w:hAnsi="DejaVu Serif Condensed" w:cs="Tahoma"/>
          <w:sz w:val="24"/>
          <w:szCs w:val="24"/>
        </w:rPr>
      </w:pPr>
      <w:r>
        <w:rPr>
          <w:rFonts w:ascii="DejaVu Serif Condensed" w:hAnsi="DejaVu Serif Condensed"/>
          <w:sz w:val="24"/>
        </w:rPr>
        <w:t>2019. urteko eguneko batez besteko intentsitatearen datuak urteko balioetara zabalduta eta batez besteko hazkunde tasak aplikatuta, 2071. urtera arteko hazkundeak kalkulatu dira —azterlan ekonomikorako zehaztutako urteetakoak dira horiek—, eta urte bakoitzerako urteko intentsitateak lortu dira bide bakoitzean.</w:t>
      </w:r>
    </w:p>
    <w:p w14:paraId="0C7F2D71" w14:textId="77777777" w:rsidR="006E30F6" w:rsidRPr="00FD7B84" w:rsidRDefault="006E30F6" w:rsidP="006E30F6">
      <w:pPr>
        <w:spacing w:line="360" w:lineRule="auto"/>
        <w:jc w:val="both"/>
        <w:rPr>
          <w:rFonts w:ascii="DejaVu Serif Condensed" w:hAnsi="DejaVu Serif Condensed" w:cs="Tahoma"/>
          <w:sz w:val="24"/>
          <w:szCs w:val="24"/>
        </w:rPr>
      </w:pPr>
      <w:r>
        <w:rPr>
          <w:rFonts w:ascii="DejaVu Serif Condensed" w:hAnsi="DejaVu Serif Condensed"/>
          <w:sz w:val="24"/>
        </w:rPr>
        <w:t>2026-2035 hamarkadarako aurreikusitako datuak arestian deskribatutakoaren arabera kalkulatu dira. Hauek dira:</w:t>
      </w:r>
    </w:p>
    <w:p w14:paraId="05FEFA08" w14:textId="77777777" w:rsidR="00FD7B84" w:rsidRPr="00FD7B84" w:rsidRDefault="00FD7B84" w:rsidP="00FD7B84">
      <w:pPr>
        <w:spacing w:line="360" w:lineRule="auto"/>
        <w:jc w:val="center"/>
        <w:rPr>
          <w:rFonts w:ascii="DejaVu Serif Condensed" w:hAnsi="DejaVu Serif Condensed" w:cs="Tahoma"/>
          <w:sz w:val="24"/>
          <w:szCs w:val="24"/>
        </w:rPr>
      </w:pPr>
      <w:r>
        <w:rPr>
          <w:rFonts w:ascii="DejaVu Serif Condensed" w:hAnsi="DejaVu Serif Condensed"/>
          <w:noProof/>
          <w:sz w:val="24"/>
        </w:rPr>
        <w:lastRenderedPageBreak/>
        <w:drawing>
          <wp:inline distT="0" distB="0" distL="0" distR="0" wp14:anchorId="062571F5" wp14:editId="659172AF">
            <wp:extent cx="5759450" cy="71171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711715"/>
                    </a:xfrm>
                    <a:prstGeom prst="rect">
                      <a:avLst/>
                    </a:prstGeom>
                    <a:noFill/>
                    <a:ln>
                      <a:noFill/>
                    </a:ln>
                  </pic:spPr>
                </pic:pic>
              </a:graphicData>
            </a:graphic>
          </wp:inline>
        </w:drawing>
      </w:r>
    </w:p>
    <w:p w14:paraId="79F36F0E" w14:textId="77777777" w:rsidR="00A27264" w:rsidRDefault="00FD7B84" w:rsidP="006E30F6">
      <w:pPr>
        <w:spacing w:line="360" w:lineRule="auto"/>
        <w:jc w:val="both"/>
        <w:rPr>
          <w:rFonts w:ascii="DejaVu Serif Condensed" w:hAnsi="DejaVu Serif Condensed"/>
          <w:sz w:val="24"/>
          <w:szCs w:val="24"/>
        </w:rPr>
      </w:pPr>
      <w:r>
        <w:rPr>
          <w:rFonts w:ascii="DejaVu Serif Condensed" w:hAnsi="DejaVu Serif Condensed"/>
          <w:sz w:val="24"/>
        </w:rPr>
        <w:t>Aurreikuspen horrek Europako Batzordera bidalitako dokumentazioa du oinarri, zehazki, azpiegitura bakoitzeko tasak barne hartzen dituen bidesari araubide bat aplikatzeko baimena ematekoa.</w:t>
      </w:r>
      <w:bookmarkEnd w:id="1"/>
    </w:p>
    <w:p w14:paraId="74822588" w14:textId="77777777" w:rsidR="006E30F6" w:rsidRPr="00FD7B84" w:rsidRDefault="006E30F6" w:rsidP="006E30F6">
      <w:pPr>
        <w:spacing w:line="360" w:lineRule="auto"/>
        <w:jc w:val="both"/>
        <w:rPr>
          <w:rFonts w:ascii="DejaVu Serif Condensed" w:hAnsi="DejaVu Serif Condensed"/>
          <w:sz w:val="24"/>
          <w:szCs w:val="24"/>
        </w:rPr>
      </w:pPr>
      <w:r>
        <w:rPr>
          <w:rFonts w:ascii="DejaVu Serif Condensed" w:hAnsi="DejaVu Serif Condensed"/>
          <w:sz w:val="24"/>
        </w:rPr>
        <w:t>Neurri horren bidez, Nafarroako errepideetarako erabilera-kanona arautzeari buruzko uztailaren 1eko 23/2022 Foru Legea betetzen da.</w:t>
      </w:r>
    </w:p>
    <w:p w14:paraId="119B457E" w14:textId="77777777" w:rsidR="00BA0C45" w:rsidRPr="00BA0C45" w:rsidRDefault="00632A99" w:rsidP="00BA0C45">
      <w:pPr>
        <w:spacing w:line="360" w:lineRule="auto"/>
        <w:jc w:val="both"/>
        <w:rPr>
          <w:rFonts w:ascii="DejaVu Serif" w:hAnsi="DejaVu Serif"/>
          <w:sz w:val="24"/>
          <w:szCs w:val="24"/>
        </w:rPr>
      </w:pPr>
      <w:r>
        <w:rPr>
          <w:rFonts w:ascii="DejaVu Serif Condensed" w:hAnsi="DejaVu Serif Condensed"/>
          <w:sz w:val="24"/>
        </w:rPr>
        <w:t>Hori guztia jakinarazten dizut, Nafarroako Parlamentuko Erregelamenduaren 215. artikuluan xedatutakoa betez.</w:t>
      </w:r>
      <w:r>
        <w:rPr>
          <w:sz w:val="24"/>
        </w:rPr>
        <w:t xml:space="preserve"> </w:t>
      </w:r>
      <w:r>
        <w:rPr>
          <w:rFonts w:ascii="DejaVu Serif" w:hAnsi="DejaVu Serif"/>
          <w:sz w:val="24"/>
        </w:rPr>
        <w:t>Horrez gain, datuak babesteko legerian ezarritakoarekin bat, Nafarroako Parlamentuko Erregelamenduaren 14. artikuluan jasotako xedeetarako soilik erabiltzen ahalko da emandako edukia, eta betebeharra egonen da Datu pertsonalak babesteko eta eskubide digitalak bermatzeko abenduaren 5eko 3/2018 Lege Organikoan ezarritakoari men egiteko.</w:t>
      </w:r>
    </w:p>
    <w:p w14:paraId="3D70F47E" w14:textId="0EF85325" w:rsidR="00632A99" w:rsidRPr="002C4D13" w:rsidRDefault="00632A99" w:rsidP="00632A99">
      <w:pPr>
        <w:spacing w:line="360" w:lineRule="auto"/>
        <w:jc w:val="center"/>
        <w:rPr>
          <w:rFonts w:ascii="DejaVu Serif Condensed" w:hAnsi="DejaVu Serif Condensed"/>
          <w:sz w:val="24"/>
          <w:szCs w:val="24"/>
        </w:rPr>
      </w:pPr>
      <w:r>
        <w:rPr>
          <w:rFonts w:ascii="DejaVu Serif Condensed" w:hAnsi="DejaVu Serif Condensed"/>
          <w:sz w:val="24"/>
        </w:rPr>
        <w:t>Iruñean, 2025eko ekainaren 5ean</w:t>
      </w:r>
    </w:p>
    <w:p w14:paraId="316054D3" w14:textId="77777777" w:rsidR="00632A99" w:rsidRPr="002C4D13" w:rsidRDefault="00632A99" w:rsidP="00632A99">
      <w:pPr>
        <w:spacing w:line="360" w:lineRule="auto"/>
        <w:jc w:val="center"/>
        <w:rPr>
          <w:rFonts w:ascii="DejaVu Serif Condensed" w:hAnsi="DejaVu Serif Condensed"/>
          <w:sz w:val="24"/>
          <w:szCs w:val="24"/>
        </w:rPr>
      </w:pPr>
      <w:r>
        <w:rPr>
          <w:rFonts w:ascii="DejaVu Serif Condensed" w:hAnsi="DejaVu Serif Condensed"/>
          <w:sz w:val="24"/>
        </w:rPr>
        <w:t>Lurralde Kohesiorako kontseilaria</w:t>
      </w:r>
    </w:p>
    <w:p w14:paraId="58D0D87C" w14:textId="77777777" w:rsidR="00632A99" w:rsidRPr="002C4D13" w:rsidRDefault="00632A99" w:rsidP="00632A99">
      <w:pPr>
        <w:spacing w:line="360" w:lineRule="auto"/>
        <w:jc w:val="center"/>
        <w:rPr>
          <w:rFonts w:ascii="DejaVu Serif Condensed" w:hAnsi="DejaVu Serif Condensed"/>
          <w:sz w:val="24"/>
          <w:szCs w:val="24"/>
        </w:rPr>
      </w:pPr>
      <w:r>
        <w:rPr>
          <w:rFonts w:ascii="DejaVu Serif Condensed" w:hAnsi="DejaVu Serif Condensed"/>
          <w:sz w:val="24"/>
        </w:rPr>
        <w:t>Óscar Chivite Cornago</w:t>
      </w:r>
    </w:p>
    <w:p w14:paraId="5F0DF32C" w14:textId="77777777" w:rsidR="00632A99" w:rsidRPr="002C4D13" w:rsidRDefault="00632A99" w:rsidP="00632A99">
      <w:pPr>
        <w:tabs>
          <w:tab w:val="left" w:pos="720"/>
          <w:tab w:val="center" w:pos="3888"/>
        </w:tabs>
        <w:spacing w:line="360" w:lineRule="auto"/>
        <w:jc w:val="both"/>
        <w:rPr>
          <w:rFonts w:ascii="DejaVu Serif Condensed" w:hAnsi="DejaVu Serif Condensed"/>
          <w:sz w:val="24"/>
          <w:szCs w:val="24"/>
        </w:rPr>
      </w:pPr>
    </w:p>
    <w:sectPr w:rsidR="00632A99" w:rsidRPr="002C4D13" w:rsidSect="00F037C2">
      <w:headerReference w:type="default" r:id="rId14"/>
      <w:headerReference w:type="first" r:id="rId15"/>
      <w:pgSz w:w="11906" w:h="16838" w:code="9"/>
      <w:pgMar w:top="1701" w:right="1418" w:bottom="1418" w:left="1418" w:header="851" w:footer="709" w:gutter="0"/>
      <w:paperSrc w:firs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F4A48" w14:textId="77777777" w:rsidR="00903477" w:rsidRDefault="00903477">
      <w:r>
        <w:separator/>
      </w:r>
    </w:p>
  </w:endnote>
  <w:endnote w:type="continuationSeparator" w:id="0">
    <w:p w14:paraId="3F19EDAC" w14:textId="77777777" w:rsidR="00903477" w:rsidRDefault="00903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DejaVu Serif">
    <w:altName w:val="Sylfaen"/>
    <w:charset w:val="00"/>
    <w:family w:val="roman"/>
    <w:pitch w:val="variable"/>
    <w:sig w:usb0="E50006FF" w:usb1="5200F9FB" w:usb2="0A040020" w:usb3="00000000" w:csb0="0000009F" w:csb1="00000000"/>
  </w:font>
  <w:font w:name="DejaVu Serif Condensed">
    <w:altName w:val="Sylfaen"/>
    <w:charset w:val="00"/>
    <w:family w:val="roman"/>
    <w:pitch w:val="variable"/>
    <w:sig w:usb0="E50006FF" w:usb1="5200F9FB" w:usb2="0A04002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4C09F" w14:textId="77777777" w:rsidR="00903477" w:rsidRDefault="00903477">
      <w:r>
        <w:separator/>
      </w:r>
    </w:p>
  </w:footnote>
  <w:footnote w:type="continuationSeparator" w:id="0">
    <w:p w14:paraId="1456D2DB" w14:textId="77777777" w:rsidR="00903477" w:rsidRDefault="00903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6DA5" w14:textId="77777777" w:rsidR="00F344C7" w:rsidRDefault="00EC5374" w:rsidP="00192064">
    <w:pPr>
      <w:pStyle w:val="Encabezado"/>
      <w:tabs>
        <w:tab w:val="left" w:pos="5355"/>
      </w:tabs>
    </w:pPr>
    <w:r>
      <w:rPr>
        <w:noProof/>
        <w:sz w:val="24"/>
      </w:rPr>
      <w:drawing>
        <wp:anchor distT="0" distB="0" distL="114300" distR="114300" simplePos="0" relativeHeight="251661312" behindDoc="1" locked="0" layoutInCell="0" allowOverlap="1" wp14:anchorId="21388DFC" wp14:editId="11ABC3A8">
          <wp:simplePos x="0" y="0"/>
          <wp:positionH relativeFrom="page">
            <wp:posOffset>9188</wp:posOffset>
          </wp:positionH>
          <wp:positionV relativeFrom="page">
            <wp:posOffset>0</wp:posOffset>
          </wp:positionV>
          <wp:extent cx="7540355" cy="1076325"/>
          <wp:effectExtent l="0" t="0" r="3810" b="317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 ConsDesEconomico- hoja 2-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0355" cy="1076325"/>
                  </a:xfrm>
                  <a:prstGeom prst="rect">
                    <a:avLst/>
                  </a:prstGeom>
                  <a:noFill/>
                </pic:spPr>
              </pic:pic>
            </a:graphicData>
          </a:graphic>
          <wp14:sizeRelH relativeFrom="page">
            <wp14:pctWidth>0</wp14:pctWidth>
          </wp14:sizeRelH>
          <wp14:sizeRelV relativeFrom="page">
            <wp14:pctHeight>0</wp14:pctHeight>
          </wp14:sizeRelV>
        </wp:anchor>
      </w:drawing>
    </w:r>
    <w:r>
      <w:tab/>
    </w:r>
  </w:p>
  <w:p w14:paraId="28A02045" w14:textId="77777777" w:rsidR="00F344C7" w:rsidRDefault="00F344C7" w:rsidP="00F344C7">
    <w:pPr>
      <w:pStyle w:val="Encabezado"/>
      <w:jc w:val="center"/>
    </w:pPr>
  </w:p>
  <w:p w14:paraId="2202BBED" w14:textId="77777777" w:rsidR="00696F6F" w:rsidRPr="007250F0" w:rsidRDefault="00696F6F" w:rsidP="00F344C7">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A09A4" w14:textId="77777777" w:rsidR="00696F6F" w:rsidRDefault="00943144" w:rsidP="00696F6F">
    <w:pPr>
      <w:pStyle w:val="Encabezado"/>
      <w:ind w:left="-765"/>
    </w:pPr>
    <w:r>
      <w:rPr>
        <w:noProof/>
      </w:rPr>
      <w:drawing>
        <wp:anchor distT="0" distB="0" distL="114300" distR="114300" simplePos="0" relativeHeight="251663360" behindDoc="1" locked="0" layoutInCell="0" allowOverlap="1" wp14:anchorId="057DC5F9" wp14:editId="45208EF0">
          <wp:simplePos x="0" y="0"/>
          <wp:positionH relativeFrom="page">
            <wp:align>left</wp:align>
          </wp:positionH>
          <wp:positionV relativeFrom="page">
            <wp:align>top</wp:align>
          </wp:positionV>
          <wp:extent cx="7559999" cy="1797099"/>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 ConsDESEcon-v2-01.jpg"/>
                  <pic:cNvPicPr/>
                </pic:nvPicPr>
                <pic:blipFill>
                  <a:blip r:embed="rId1">
                    <a:extLst>
                      <a:ext uri="{28A0092B-C50C-407E-A947-70E740481C1C}">
                        <a14:useLocalDpi xmlns:a14="http://schemas.microsoft.com/office/drawing/2010/main" val="0"/>
                      </a:ext>
                    </a:extLst>
                  </a:blip>
                  <a:stretch>
                    <a:fillRect/>
                  </a:stretch>
                </pic:blipFill>
                <pic:spPr>
                  <a:xfrm>
                    <a:off x="0" y="0"/>
                    <a:ext cx="7559999" cy="17970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45784"/>
    <w:multiLevelType w:val="hybridMultilevel"/>
    <w:tmpl w:val="C59EE5AA"/>
    <w:lvl w:ilvl="0" w:tplc="6B84260C">
      <w:start w:val="1"/>
      <w:numFmt w:val="decimal"/>
      <w:lvlText w:val="%1."/>
      <w:lvlJc w:val="left"/>
      <w:pPr>
        <w:ind w:left="644" w:hanging="360"/>
      </w:pPr>
      <w:rPr>
        <w:b/>
        <w:bCs/>
        <w:i/>
        <w:i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15:restartNumberingAfterBreak="0">
    <w:nsid w:val="35437BC8"/>
    <w:multiLevelType w:val="hybridMultilevel"/>
    <w:tmpl w:val="C59EE5AA"/>
    <w:lvl w:ilvl="0" w:tplc="6B84260C">
      <w:start w:val="1"/>
      <w:numFmt w:val="decimal"/>
      <w:lvlText w:val="%1."/>
      <w:lvlJc w:val="left"/>
      <w:pPr>
        <w:ind w:left="644" w:hanging="360"/>
      </w:pPr>
      <w:rPr>
        <w:b/>
        <w:bCs/>
        <w:i/>
        <w:i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 w15:restartNumberingAfterBreak="0">
    <w:nsid w:val="742E67F7"/>
    <w:multiLevelType w:val="hybridMultilevel"/>
    <w:tmpl w:val="C59EE5AA"/>
    <w:lvl w:ilvl="0" w:tplc="6B84260C">
      <w:start w:val="1"/>
      <w:numFmt w:val="decimal"/>
      <w:lvlText w:val="%1."/>
      <w:lvlJc w:val="left"/>
      <w:pPr>
        <w:ind w:left="644" w:hanging="360"/>
      </w:pPr>
      <w:rPr>
        <w:b/>
        <w:bCs/>
        <w:i/>
        <w:i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num w:numId="1" w16cid:durableId="1039009817">
    <w:abstractNumId w:val="2"/>
  </w:num>
  <w:num w:numId="2" w16cid:durableId="833910426">
    <w:abstractNumId w:val="1"/>
  </w:num>
  <w:num w:numId="3" w16cid:durableId="1420129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24AB9"/>
    <w:rsid w:val="000729E0"/>
    <w:rsid w:val="0009463A"/>
    <w:rsid w:val="000B64A1"/>
    <w:rsid w:val="000C02BB"/>
    <w:rsid w:val="001125DB"/>
    <w:rsid w:val="0016419F"/>
    <w:rsid w:val="00173C5C"/>
    <w:rsid w:val="00190AB4"/>
    <w:rsid w:val="00192064"/>
    <w:rsid w:val="00213058"/>
    <w:rsid w:val="00277C9A"/>
    <w:rsid w:val="0028263D"/>
    <w:rsid w:val="002F09C8"/>
    <w:rsid w:val="003374F3"/>
    <w:rsid w:val="00365417"/>
    <w:rsid w:val="003A4FD0"/>
    <w:rsid w:val="003F1206"/>
    <w:rsid w:val="00407B9B"/>
    <w:rsid w:val="00511892"/>
    <w:rsid w:val="005367EB"/>
    <w:rsid w:val="005B095B"/>
    <w:rsid w:val="00632A99"/>
    <w:rsid w:val="0068032D"/>
    <w:rsid w:val="00696F6F"/>
    <w:rsid w:val="006A5952"/>
    <w:rsid w:val="006B428B"/>
    <w:rsid w:val="006E30F6"/>
    <w:rsid w:val="007018B0"/>
    <w:rsid w:val="00775DED"/>
    <w:rsid w:val="00793F61"/>
    <w:rsid w:val="00794754"/>
    <w:rsid w:val="0084070F"/>
    <w:rsid w:val="00903477"/>
    <w:rsid w:val="00943144"/>
    <w:rsid w:val="00994342"/>
    <w:rsid w:val="009E202F"/>
    <w:rsid w:val="009E381E"/>
    <w:rsid w:val="009F410E"/>
    <w:rsid w:val="00A077F0"/>
    <w:rsid w:val="00A117E7"/>
    <w:rsid w:val="00A21031"/>
    <w:rsid w:val="00A2145B"/>
    <w:rsid w:val="00A27264"/>
    <w:rsid w:val="00A357A5"/>
    <w:rsid w:val="00A52259"/>
    <w:rsid w:val="00A54356"/>
    <w:rsid w:val="00AB50BD"/>
    <w:rsid w:val="00AC09C3"/>
    <w:rsid w:val="00B46857"/>
    <w:rsid w:val="00B662C6"/>
    <w:rsid w:val="00B96F7E"/>
    <w:rsid w:val="00BA0C45"/>
    <w:rsid w:val="00BA7B9D"/>
    <w:rsid w:val="00BD6A02"/>
    <w:rsid w:val="00BE2BD3"/>
    <w:rsid w:val="00CA2943"/>
    <w:rsid w:val="00CB03BC"/>
    <w:rsid w:val="00CC1284"/>
    <w:rsid w:val="00D21BBF"/>
    <w:rsid w:val="00D243F4"/>
    <w:rsid w:val="00D7547B"/>
    <w:rsid w:val="00DF6784"/>
    <w:rsid w:val="00E51A02"/>
    <w:rsid w:val="00E8181E"/>
    <w:rsid w:val="00EC5374"/>
    <w:rsid w:val="00F037C2"/>
    <w:rsid w:val="00F328D9"/>
    <w:rsid w:val="00F344C7"/>
    <w:rsid w:val="00FD7B84"/>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ADD845"/>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u-ES"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u-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styleId="Textoindependiente">
    <w:name w:val="Body Text"/>
    <w:basedOn w:val="Normal"/>
    <w:link w:val="TextoindependienteCar"/>
    <w:rsid w:val="00632A99"/>
    <w:pPr>
      <w:tabs>
        <w:tab w:val="left" w:pos="720"/>
        <w:tab w:val="center" w:pos="3888"/>
      </w:tabs>
      <w:spacing w:line="360" w:lineRule="atLeast"/>
      <w:jc w:val="both"/>
    </w:pPr>
    <w:rPr>
      <w:sz w:val="26"/>
    </w:rPr>
  </w:style>
  <w:style w:type="character" w:customStyle="1" w:styleId="TextoindependienteCar">
    <w:name w:val="Texto independiente Car"/>
    <w:basedOn w:val="Fuentedeprrafopredeter"/>
    <w:link w:val="Textoindependiente"/>
    <w:rsid w:val="00632A99"/>
    <w:rPr>
      <w:sz w:val="26"/>
      <w:lang w:eastAsia="es-ES"/>
    </w:rPr>
  </w:style>
  <w:style w:type="paragraph" w:styleId="Prrafodelista">
    <w:name w:val="List Paragraph"/>
    <w:basedOn w:val="Normal"/>
    <w:uiPriority w:val="34"/>
    <w:qFormat/>
    <w:rsid w:val="001125DB"/>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4</Pages>
  <Words>757</Words>
  <Characters>4166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Martin Cestao, Nerea</cp:lastModifiedBy>
  <cp:revision>14</cp:revision>
  <cp:lastPrinted>2025-06-05T10:29:00Z</cp:lastPrinted>
  <dcterms:created xsi:type="dcterms:W3CDTF">2023-11-30T12:17:00Z</dcterms:created>
  <dcterms:modified xsi:type="dcterms:W3CDTF">2025-08-26T07:14:00Z</dcterms:modified>
</cp:coreProperties>
</file>