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21" w:type="dxa"/>
        <w:tblInd w:w="-1152" w:type="dxa"/>
        <w:tblLook w:val="01E0" w:firstRow="1" w:lastRow="1" w:firstColumn="1" w:lastColumn="1" w:noHBand="0" w:noVBand="0"/>
      </w:tblPr>
      <w:tblGrid>
        <w:gridCol w:w="13876"/>
        <w:gridCol w:w="7745"/>
      </w:tblGrid>
      <w:tr w:rsidR="005C5D95" w14:paraId="15B14C76" w14:textId="77777777" w:rsidTr="005C5D95">
        <w:tc>
          <w:tcPr>
            <w:tcW w:w="13876" w:type="dxa"/>
          </w:tcPr>
          <w:p w14:paraId="2F6B1123" w14:textId="77777777" w:rsidR="005C5D95" w:rsidRDefault="005C5D95">
            <w:pPr>
              <w:spacing w:line="360" w:lineRule="auto"/>
              <w:ind w:left="-3384" w:right="-108"/>
              <w:jc w:val="center"/>
              <w:rPr>
                <w:rFonts w:ascii="Verdana" w:hAnsi="Verdana"/>
                <w:lang w:eastAsia="en-US"/>
              </w:rPr>
            </w:pPr>
          </w:p>
        </w:tc>
        <w:tc>
          <w:tcPr>
            <w:tcW w:w="7745" w:type="dxa"/>
          </w:tcPr>
          <w:p w14:paraId="397D4448" w14:textId="77777777" w:rsidR="005C5D95" w:rsidRDefault="005C5D95">
            <w:pPr>
              <w:spacing w:line="360" w:lineRule="auto"/>
              <w:ind w:left="1332" w:right="-1216"/>
              <w:rPr>
                <w:rFonts w:ascii="Verdana" w:hAnsi="Verdana"/>
                <w:lang w:eastAsia="en-US"/>
              </w:rPr>
            </w:pPr>
          </w:p>
        </w:tc>
      </w:tr>
    </w:tbl>
    <w:p w14:paraId="4DCEF739" w14:textId="77777777" w:rsidR="005C5D95" w:rsidRDefault="008432FA" w:rsidP="005C5D95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FE26AF5" wp14:editId="3C2E0A4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6180" cy="204025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F33EE" w14:textId="77777777" w:rsidR="005C5D95" w:rsidRPr="008432FA" w:rsidRDefault="005C5D95" w:rsidP="008432FA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EA7EC5B" w14:textId="77777777" w:rsidR="005C5D95" w:rsidRDefault="005C5D95" w:rsidP="005C5D95">
      <w:pPr>
        <w:keepNext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2"/>
          <w:szCs w:val="22"/>
          <w:lang w:val="es-ES_tradnl"/>
        </w:rPr>
      </w:pPr>
    </w:p>
    <w:p w14:paraId="1B23300F" w14:textId="77777777" w:rsidR="00154533" w:rsidRDefault="00154533" w:rsidP="005C5D95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color w:val="000000"/>
          <w:sz w:val="22"/>
          <w:szCs w:val="22"/>
        </w:rPr>
      </w:pPr>
    </w:p>
    <w:p w14:paraId="2FF7707D" w14:textId="77777777" w:rsidR="00FA171C" w:rsidRDefault="00FA171C" w:rsidP="00FA171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2A3385D" w14:textId="77777777" w:rsidR="00520FD6" w:rsidRPr="00533D9E" w:rsidRDefault="005C5D95" w:rsidP="00533D9E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 w:rsidRPr="00533D9E">
        <w:rPr>
          <w:rFonts w:ascii="DejaVu Serif" w:hAnsi="DejaVu Serif" w:cs="Arial"/>
          <w:sz w:val="22"/>
          <w:szCs w:val="22"/>
        </w:rPr>
        <w:t xml:space="preserve">La Consejera de Cultura, Deporte y Turismo del Gobierno de Navarra, </w:t>
      </w:r>
      <w:proofErr w:type="gramStart"/>
      <w:r w:rsidRPr="00533D9E">
        <w:rPr>
          <w:rFonts w:ascii="DejaVu Serif" w:hAnsi="DejaVu Serif" w:cs="Arial"/>
          <w:sz w:val="22"/>
          <w:szCs w:val="22"/>
        </w:rPr>
        <w:t>en relación a</w:t>
      </w:r>
      <w:proofErr w:type="gramEnd"/>
      <w:r w:rsidRPr="00533D9E">
        <w:rPr>
          <w:rFonts w:ascii="DejaVu Serif" w:hAnsi="DejaVu Serif" w:cs="Arial"/>
          <w:sz w:val="22"/>
          <w:szCs w:val="22"/>
        </w:rPr>
        <w:t xml:space="preserve"> la </w:t>
      </w:r>
      <w:r w:rsidR="00A37707" w:rsidRPr="00533D9E">
        <w:rPr>
          <w:rFonts w:ascii="DejaVu Serif" w:hAnsi="DejaVu Serif" w:cs="Arial"/>
          <w:sz w:val="22"/>
          <w:szCs w:val="22"/>
        </w:rPr>
        <w:t>Petición de información</w:t>
      </w:r>
      <w:r w:rsidR="00436602" w:rsidRPr="00533D9E">
        <w:rPr>
          <w:rFonts w:ascii="DejaVu Serif" w:hAnsi="DejaVu Serif" w:cs="Arial"/>
          <w:sz w:val="22"/>
          <w:szCs w:val="22"/>
        </w:rPr>
        <w:t xml:space="preserve"> formulada por </w:t>
      </w:r>
      <w:r w:rsidR="00996D1B" w:rsidRPr="00533D9E">
        <w:rPr>
          <w:rFonts w:ascii="DejaVu Serif" w:hAnsi="DejaVu Serif" w:cs="Arial"/>
          <w:sz w:val="22"/>
          <w:szCs w:val="22"/>
        </w:rPr>
        <w:t>el Parlamentario</w:t>
      </w:r>
      <w:r w:rsidRPr="00533D9E">
        <w:rPr>
          <w:rFonts w:ascii="DejaVu Serif" w:hAnsi="DejaVu Serif" w:cs="Arial"/>
          <w:sz w:val="22"/>
          <w:szCs w:val="22"/>
        </w:rPr>
        <w:t xml:space="preserve"> Foral </w:t>
      </w:r>
      <w:r w:rsidR="004F146C" w:rsidRPr="00533D9E">
        <w:rPr>
          <w:rFonts w:ascii="DejaVu Serif" w:hAnsi="DejaVu Serif" w:cs="Arial"/>
          <w:sz w:val="22"/>
          <w:szCs w:val="22"/>
        </w:rPr>
        <w:t>D</w:t>
      </w:r>
      <w:r w:rsidR="00996D1B" w:rsidRPr="00533D9E">
        <w:rPr>
          <w:rFonts w:ascii="DejaVu Serif" w:hAnsi="DejaVu Serif" w:cs="Arial"/>
          <w:sz w:val="22"/>
          <w:szCs w:val="22"/>
        </w:rPr>
        <w:t xml:space="preserve">. </w:t>
      </w:r>
      <w:r w:rsidR="0003170E" w:rsidRPr="00533D9E">
        <w:rPr>
          <w:rFonts w:ascii="DejaVu Serif" w:hAnsi="DejaVu Serif" w:cs="Arial"/>
          <w:sz w:val="22"/>
          <w:szCs w:val="22"/>
        </w:rPr>
        <w:t xml:space="preserve">Francisco Javier Trigo </w:t>
      </w:r>
      <w:proofErr w:type="spellStart"/>
      <w:r w:rsidR="0003170E" w:rsidRPr="00533D9E">
        <w:rPr>
          <w:rFonts w:ascii="DejaVu Serif" w:hAnsi="DejaVu Serif" w:cs="Arial"/>
          <w:sz w:val="22"/>
          <w:szCs w:val="22"/>
        </w:rPr>
        <w:t>Oubiña</w:t>
      </w:r>
      <w:proofErr w:type="spellEnd"/>
      <w:r w:rsidR="004F146C" w:rsidRPr="00533D9E">
        <w:rPr>
          <w:rFonts w:ascii="DejaVu Serif" w:hAnsi="DejaVu Serif" w:cs="Arial"/>
          <w:sz w:val="22"/>
          <w:szCs w:val="22"/>
        </w:rPr>
        <w:t>,</w:t>
      </w:r>
      <w:r w:rsidR="00165C78" w:rsidRPr="00533D9E">
        <w:rPr>
          <w:rFonts w:ascii="DejaVu Serif" w:hAnsi="DejaVu Serif" w:cs="Arial"/>
          <w:sz w:val="22"/>
          <w:szCs w:val="22"/>
        </w:rPr>
        <w:t xml:space="preserve"> </w:t>
      </w:r>
      <w:r w:rsidR="00996D1B" w:rsidRPr="00533D9E">
        <w:rPr>
          <w:rFonts w:ascii="DejaVu Serif" w:hAnsi="DejaVu Serif" w:cs="Arial"/>
          <w:sz w:val="22"/>
          <w:szCs w:val="22"/>
        </w:rPr>
        <w:t>adscrito</w:t>
      </w:r>
      <w:r w:rsidRPr="00533D9E">
        <w:rPr>
          <w:rFonts w:ascii="DejaVu Serif" w:hAnsi="DejaVu Serif" w:cs="Arial"/>
          <w:sz w:val="22"/>
          <w:szCs w:val="22"/>
        </w:rPr>
        <w:t xml:space="preserve"> al Grupo Parlamentario </w:t>
      </w:r>
      <w:r w:rsidR="0003170E" w:rsidRPr="00533D9E">
        <w:rPr>
          <w:rFonts w:ascii="DejaVu Serif" w:hAnsi="DejaVu Serif" w:cs="Arial"/>
          <w:sz w:val="22"/>
          <w:szCs w:val="22"/>
        </w:rPr>
        <w:t>UPN</w:t>
      </w:r>
      <w:r w:rsidRPr="00533D9E">
        <w:rPr>
          <w:rFonts w:ascii="DejaVu Serif" w:hAnsi="DejaVu Serif" w:cs="Arial"/>
          <w:sz w:val="22"/>
          <w:szCs w:val="22"/>
        </w:rPr>
        <w:t xml:space="preserve"> </w:t>
      </w:r>
      <w:r w:rsidR="003E48EE" w:rsidRPr="00533D9E">
        <w:rPr>
          <w:rFonts w:ascii="DejaVu Serif" w:hAnsi="DejaVu Serif" w:cs="Arial"/>
          <w:sz w:val="22"/>
          <w:szCs w:val="22"/>
        </w:rPr>
        <w:t>(11-25</w:t>
      </w:r>
      <w:r w:rsidRPr="00533D9E">
        <w:rPr>
          <w:rFonts w:ascii="DejaVu Serif" w:hAnsi="DejaVu Serif" w:cs="Arial"/>
          <w:sz w:val="22"/>
          <w:szCs w:val="22"/>
        </w:rPr>
        <w:t>/P</w:t>
      </w:r>
      <w:r w:rsidR="00720B2A" w:rsidRPr="00533D9E">
        <w:rPr>
          <w:rFonts w:ascii="DejaVu Serif" w:hAnsi="DejaVu Serif" w:cs="Arial"/>
          <w:sz w:val="22"/>
          <w:szCs w:val="22"/>
        </w:rPr>
        <w:t>ES</w:t>
      </w:r>
      <w:r w:rsidRPr="00533D9E">
        <w:rPr>
          <w:rFonts w:ascii="DejaVu Serif" w:hAnsi="DejaVu Serif" w:cs="Arial"/>
          <w:sz w:val="22"/>
          <w:szCs w:val="22"/>
        </w:rPr>
        <w:t>-0</w:t>
      </w:r>
      <w:r w:rsidR="003E48EE" w:rsidRPr="00533D9E">
        <w:rPr>
          <w:rFonts w:ascii="DejaVu Serif" w:hAnsi="DejaVu Serif" w:cs="Arial"/>
          <w:sz w:val="22"/>
          <w:szCs w:val="22"/>
        </w:rPr>
        <w:t>0</w:t>
      </w:r>
      <w:r w:rsidR="00A1031D" w:rsidRPr="00533D9E">
        <w:rPr>
          <w:rFonts w:ascii="DejaVu Serif" w:hAnsi="DejaVu Serif" w:cs="Arial"/>
          <w:sz w:val="22"/>
          <w:szCs w:val="22"/>
        </w:rPr>
        <w:t>1</w:t>
      </w:r>
      <w:r w:rsidR="00754E90">
        <w:rPr>
          <w:rFonts w:ascii="DejaVu Serif" w:hAnsi="DejaVu Serif" w:cs="Arial"/>
          <w:sz w:val="22"/>
          <w:szCs w:val="22"/>
        </w:rPr>
        <w:t>82</w:t>
      </w:r>
      <w:r w:rsidRPr="00533D9E">
        <w:rPr>
          <w:rFonts w:ascii="DejaVu Serif" w:hAnsi="DejaVu Serif" w:cs="Arial"/>
          <w:sz w:val="22"/>
          <w:szCs w:val="22"/>
        </w:rPr>
        <w:t xml:space="preserve">) en la que </w:t>
      </w:r>
      <w:r w:rsidR="00720B2A" w:rsidRPr="00533D9E">
        <w:rPr>
          <w:rFonts w:ascii="DejaVu Serif" w:hAnsi="DejaVu Serif" w:cs="Arial"/>
          <w:sz w:val="22"/>
          <w:szCs w:val="22"/>
        </w:rPr>
        <w:t>pregunta</w:t>
      </w:r>
      <w:r w:rsidR="00A37707" w:rsidRPr="00533D9E">
        <w:rPr>
          <w:rFonts w:ascii="DejaVu Serif" w:hAnsi="DejaVu Serif" w:cs="Arial"/>
          <w:sz w:val="22"/>
          <w:szCs w:val="22"/>
        </w:rPr>
        <w:t xml:space="preserve"> </w:t>
      </w:r>
      <w:r w:rsidR="008D596C">
        <w:rPr>
          <w:rFonts w:ascii="DejaVu Serif" w:hAnsi="DejaVu Serif" w:cs="Arial"/>
          <w:sz w:val="22"/>
          <w:szCs w:val="22"/>
        </w:rPr>
        <w:t>en qué estado se encuentra el Proyecto de Ley de Profesiones de la Cultura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>,</w:t>
      </w:r>
      <w:r w:rsidR="00512C90" w:rsidRPr="00533D9E">
        <w:rPr>
          <w:rFonts w:ascii="DejaVu Serif" w:eastAsiaTheme="minorHAnsi" w:hAnsi="DejaVu Serif" w:cs="Arial"/>
          <w:sz w:val="22"/>
          <w:szCs w:val="22"/>
          <w:lang w:eastAsia="en-US"/>
        </w:rPr>
        <w:t xml:space="preserve"> t</w:t>
      </w:r>
      <w:r w:rsidR="00044E27" w:rsidRPr="00533D9E">
        <w:rPr>
          <w:rFonts w:ascii="DejaVu Serif" w:hAnsi="DejaVu Serif" w:cs="Arial"/>
          <w:sz w:val="22"/>
          <w:szCs w:val="22"/>
        </w:rPr>
        <w:t>iene el honor de informarle lo siguiente:</w:t>
      </w:r>
    </w:p>
    <w:p w14:paraId="0AB6102B" w14:textId="77777777" w:rsidR="001F2333" w:rsidRDefault="0045344D" w:rsidP="00A54616">
      <w:pPr>
        <w:pStyle w:val="NormalWeb"/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Fonts w:ascii="DejaVu Serif" w:hAnsi="DejaVu Serif"/>
          <w:sz w:val="22"/>
          <w:szCs w:val="22"/>
        </w:rPr>
        <w:t>Desde la Dirección General de Cultura – Institución Príncipe de Viana del Gobierno de Navarra, se valora muy positivamente la iniciativa del Proyecto de Ley d</w:t>
      </w:r>
      <w:r w:rsidR="0027571F">
        <w:rPr>
          <w:rFonts w:ascii="DejaVu Serif" w:hAnsi="DejaVu Serif"/>
          <w:sz w:val="22"/>
          <w:szCs w:val="22"/>
        </w:rPr>
        <w:t>e las Profesiones de la Cultura,</w:t>
      </w:r>
      <w:r w:rsidRPr="00A54616">
        <w:rPr>
          <w:rFonts w:ascii="DejaVu Serif" w:hAnsi="DejaVu Serif"/>
          <w:sz w:val="22"/>
          <w:szCs w:val="22"/>
        </w:rPr>
        <w:t xml:space="preserve"> </w:t>
      </w:r>
      <w:r w:rsidR="0027571F">
        <w:rPr>
          <w:rFonts w:ascii="DejaVu Serif" w:hAnsi="DejaVu Serif"/>
          <w:sz w:val="22"/>
          <w:szCs w:val="22"/>
        </w:rPr>
        <w:t xml:space="preserve">en tanto que aborda un vacío legal largamente señalado por profesionales del sector y por distintas administraciones. </w:t>
      </w:r>
      <w:r w:rsidRPr="00A54616">
        <w:rPr>
          <w:rFonts w:ascii="DejaVu Serif" w:hAnsi="DejaVu Serif"/>
          <w:sz w:val="22"/>
          <w:szCs w:val="22"/>
        </w:rPr>
        <w:t xml:space="preserve">El reconocimiento legal, estatutario y administrativo de las profesiones culturales es </w:t>
      </w:r>
      <w:r w:rsidR="001F2333">
        <w:rPr>
          <w:rFonts w:ascii="DejaVu Serif" w:hAnsi="DejaVu Serif"/>
          <w:sz w:val="22"/>
          <w:szCs w:val="22"/>
        </w:rPr>
        <w:t>un paso fundamental</w:t>
      </w:r>
      <w:r w:rsidRPr="00A54616">
        <w:rPr>
          <w:rFonts w:ascii="DejaVu Serif" w:hAnsi="DejaVu Serif"/>
          <w:sz w:val="22"/>
          <w:szCs w:val="22"/>
        </w:rPr>
        <w:t xml:space="preserve"> hacia la dignificación, estabilidad y sostenibilidad del sector</w:t>
      </w:r>
    </w:p>
    <w:p w14:paraId="059706EF" w14:textId="77777777" w:rsidR="0045344D" w:rsidRPr="00A54616" w:rsidRDefault="0045344D" w:rsidP="00A54616">
      <w:pPr>
        <w:pStyle w:val="NormalWeb"/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Fonts w:ascii="DejaVu Serif" w:hAnsi="DejaVu Serif"/>
          <w:sz w:val="22"/>
          <w:szCs w:val="22"/>
        </w:rPr>
        <w:t xml:space="preserve">El Gobierno de Navarra, a través de la Dirección General de Cultura, ha venido trabajando </w:t>
      </w:r>
      <w:r w:rsidR="00AE2042">
        <w:rPr>
          <w:rFonts w:ascii="DejaVu Serif" w:hAnsi="DejaVu Serif"/>
          <w:sz w:val="22"/>
          <w:szCs w:val="22"/>
        </w:rPr>
        <w:t>en el fortalecimiento</w:t>
      </w:r>
      <w:r w:rsidRPr="00A54616">
        <w:rPr>
          <w:rFonts w:ascii="DejaVu Serif" w:hAnsi="DejaVu Serif"/>
          <w:sz w:val="22"/>
          <w:szCs w:val="22"/>
        </w:rPr>
        <w:t xml:space="preserve"> de las condiciones laborales del sector cultural y en su profesionalización. Esto se ha materializado en medidas concretas en las convocatorias de subvenciones, el diseño de programas propios y la aplicación de normativa transversal en favor del sector. Asimismo, con estudios e informes específicos que se han comunicado públicamente</w:t>
      </w:r>
      <w:r w:rsidR="00AE2042">
        <w:rPr>
          <w:rFonts w:ascii="DejaVu Serif" w:hAnsi="DejaVu Serif"/>
          <w:sz w:val="22"/>
          <w:szCs w:val="22"/>
        </w:rPr>
        <w:t>.</w:t>
      </w:r>
    </w:p>
    <w:p w14:paraId="0DF1B2FA" w14:textId="77777777" w:rsidR="0045344D" w:rsidRPr="00A54616" w:rsidRDefault="0045344D" w:rsidP="00A54616">
      <w:pPr>
        <w:pStyle w:val="NormalWeb"/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Fonts w:ascii="DejaVu Serif" w:hAnsi="DejaVu Serif"/>
          <w:sz w:val="22"/>
          <w:szCs w:val="22"/>
        </w:rPr>
        <w:t>En relación con el Proyecto de Ley de las Profesiones de la Cultura, desde la Dirección General de Cultura se están considerando los siguientes aspectos:</w:t>
      </w:r>
    </w:p>
    <w:p w14:paraId="0C6BE47C" w14:textId="77777777" w:rsidR="0045344D" w:rsidRDefault="0045344D" w:rsidP="00A54616">
      <w:pPr>
        <w:pStyle w:val="NormalWeb"/>
        <w:numPr>
          <w:ilvl w:val="0"/>
          <w:numId w:val="10"/>
        </w:numPr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Definición de profesiones culturales:</w:t>
      </w:r>
      <w:r w:rsidRPr="00A54616">
        <w:rPr>
          <w:rFonts w:ascii="DejaVu Serif" w:hAnsi="DejaVu Serif"/>
          <w:sz w:val="22"/>
          <w:szCs w:val="22"/>
        </w:rPr>
        <w:t xml:space="preserve"> Consideramos positiva la clasificación y enumeración de profesiones, si bien resulta imprescindible mantener un enfoque flexible que permita incorporar nuevas profesiones emergentes o de carácter transversal.</w:t>
      </w:r>
    </w:p>
    <w:p w14:paraId="22291D59" w14:textId="77777777" w:rsidR="002D13CA" w:rsidRPr="00A54616" w:rsidRDefault="002D13CA" w:rsidP="002D13CA">
      <w:pPr>
        <w:pStyle w:val="NormalWeb"/>
        <w:spacing w:line="360" w:lineRule="auto"/>
        <w:rPr>
          <w:rFonts w:ascii="DejaVu Serif" w:hAnsi="DejaVu Serif"/>
          <w:sz w:val="22"/>
          <w:szCs w:val="22"/>
        </w:rPr>
      </w:pPr>
    </w:p>
    <w:p w14:paraId="1E57B0EE" w14:textId="77777777" w:rsidR="0045344D" w:rsidRPr="00A54616" w:rsidRDefault="0045344D" w:rsidP="00A54616">
      <w:pPr>
        <w:pStyle w:val="NormalWeb"/>
        <w:numPr>
          <w:ilvl w:val="0"/>
          <w:numId w:val="10"/>
        </w:numPr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lastRenderedPageBreak/>
        <w:t>Reconocimiento de la experiencia profesional:</w:t>
      </w:r>
      <w:r w:rsidRPr="00A54616">
        <w:rPr>
          <w:rFonts w:ascii="DejaVu Serif" w:hAnsi="DejaVu Serif"/>
          <w:sz w:val="22"/>
          <w:szCs w:val="22"/>
        </w:rPr>
        <w:t xml:space="preserve"> Se valora </w:t>
      </w:r>
      <w:r w:rsidR="0027571F">
        <w:rPr>
          <w:rFonts w:ascii="DejaVu Serif" w:hAnsi="DejaVu Serif"/>
          <w:sz w:val="22"/>
          <w:szCs w:val="22"/>
        </w:rPr>
        <w:t>contemplar la experiencia como vía de acceso al reconocimiento profesional (vía “curricular”)</w:t>
      </w:r>
      <w:r w:rsidRPr="00A54616">
        <w:rPr>
          <w:rFonts w:ascii="DejaVu Serif" w:hAnsi="DejaVu Serif"/>
          <w:sz w:val="22"/>
          <w:szCs w:val="22"/>
        </w:rPr>
        <w:t xml:space="preserve">. Esta vía permitiría integrar </w:t>
      </w:r>
      <w:r w:rsidR="0027571F">
        <w:rPr>
          <w:rFonts w:ascii="DejaVu Serif" w:hAnsi="DejaVu Serif"/>
          <w:sz w:val="22"/>
          <w:szCs w:val="22"/>
        </w:rPr>
        <w:t>nuevas profesiones emergentes o transversales.</w:t>
      </w:r>
    </w:p>
    <w:p w14:paraId="252B6CE2" w14:textId="77777777" w:rsidR="0045344D" w:rsidRPr="00A54616" w:rsidRDefault="0045344D" w:rsidP="00A54616">
      <w:pPr>
        <w:pStyle w:val="NormalWeb"/>
        <w:numPr>
          <w:ilvl w:val="0"/>
          <w:numId w:val="10"/>
        </w:numPr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Derechos laborales y de representación colectiva:</w:t>
      </w:r>
      <w:r w:rsidRPr="00A54616">
        <w:rPr>
          <w:rFonts w:ascii="DejaVu Serif" w:hAnsi="DejaVu Serif"/>
          <w:sz w:val="22"/>
          <w:szCs w:val="22"/>
        </w:rPr>
        <w:t xml:space="preserve"> Consideramos fundamental que la ley contemple de manera expresa los derechos laborales y </w:t>
      </w:r>
      <w:r w:rsidR="00154533">
        <w:rPr>
          <w:rFonts w:ascii="DejaVu Serif" w:hAnsi="DejaVu Serif"/>
          <w:sz w:val="22"/>
          <w:szCs w:val="22"/>
        </w:rPr>
        <w:t>de representación colectiva de estos trabajadores.</w:t>
      </w:r>
    </w:p>
    <w:p w14:paraId="0DFCEC73" w14:textId="77777777" w:rsidR="00A54616" w:rsidRPr="00A54616" w:rsidRDefault="0045344D" w:rsidP="00A54616">
      <w:pPr>
        <w:pStyle w:val="NormalWeb"/>
        <w:numPr>
          <w:ilvl w:val="0"/>
          <w:numId w:val="10"/>
        </w:numPr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 xml:space="preserve">Distinción entre práctica profesional y actividad </w:t>
      </w:r>
      <w:proofErr w:type="gramStart"/>
      <w:r w:rsidRPr="00A54616">
        <w:rPr>
          <w:rStyle w:val="Textoennegrita"/>
          <w:rFonts w:ascii="DejaVu Serif" w:hAnsi="DejaVu Serif"/>
          <w:sz w:val="22"/>
          <w:szCs w:val="22"/>
        </w:rPr>
        <w:t>amateur</w:t>
      </w:r>
      <w:proofErr w:type="gramEnd"/>
      <w:r w:rsidRPr="00A54616">
        <w:rPr>
          <w:rStyle w:val="Textoennegrita"/>
          <w:rFonts w:ascii="DejaVu Serif" w:hAnsi="DejaVu Serif"/>
          <w:sz w:val="22"/>
          <w:szCs w:val="22"/>
        </w:rPr>
        <w:t>:</w:t>
      </w:r>
      <w:r w:rsidRPr="00A54616">
        <w:rPr>
          <w:rFonts w:ascii="DejaVu Serif" w:hAnsi="DejaVu Serif"/>
          <w:sz w:val="22"/>
          <w:szCs w:val="22"/>
        </w:rPr>
        <w:t xml:space="preserve"> Es necesario establecer una diferenciación clara entre la práctica profesional remunerada y otras formas de participación cultural, como la amateur o voluntaria</w:t>
      </w:r>
      <w:r w:rsidR="00A54616" w:rsidRPr="00A54616">
        <w:rPr>
          <w:rFonts w:ascii="DejaVu Serif" w:hAnsi="DejaVu Serif"/>
          <w:sz w:val="22"/>
          <w:szCs w:val="22"/>
        </w:rPr>
        <w:t>.</w:t>
      </w:r>
    </w:p>
    <w:p w14:paraId="3B07C328" w14:textId="77777777" w:rsidR="0045344D" w:rsidRPr="00A54616" w:rsidRDefault="0045344D" w:rsidP="00A54616">
      <w:pPr>
        <w:pStyle w:val="NormalWeb"/>
        <w:numPr>
          <w:ilvl w:val="0"/>
          <w:numId w:val="10"/>
        </w:numPr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Cobertura del ciclo vital profesional:</w:t>
      </w:r>
      <w:r w:rsidRPr="00A54616">
        <w:rPr>
          <w:rFonts w:ascii="DejaVu Serif" w:hAnsi="DejaVu Serif"/>
          <w:sz w:val="22"/>
          <w:szCs w:val="22"/>
        </w:rPr>
        <w:t xml:space="preserve"> La normativa debería atender todo el recorrido profesional del trabajador cultural, desde la formación, incluyendo aspectos como empleabilidad, fiscalidad, </w:t>
      </w:r>
      <w:r w:rsidR="00154533">
        <w:rPr>
          <w:rFonts w:ascii="DejaVu Serif" w:hAnsi="DejaVu Serif"/>
          <w:sz w:val="22"/>
          <w:szCs w:val="22"/>
        </w:rPr>
        <w:t>derechos sociales</w:t>
      </w:r>
      <w:r w:rsidRPr="00A54616">
        <w:rPr>
          <w:rFonts w:ascii="DejaVu Serif" w:hAnsi="DejaVu Serif"/>
          <w:sz w:val="22"/>
          <w:szCs w:val="22"/>
        </w:rPr>
        <w:t>, propiedad intelectual, riesgos laborales y modelos de economía social.</w:t>
      </w:r>
    </w:p>
    <w:p w14:paraId="33D6A508" w14:textId="77777777" w:rsidR="0045344D" w:rsidRPr="00A54616" w:rsidRDefault="0045344D" w:rsidP="00A54616">
      <w:pPr>
        <w:pStyle w:val="NormalWeb"/>
        <w:numPr>
          <w:ilvl w:val="0"/>
          <w:numId w:val="10"/>
        </w:numPr>
        <w:spacing w:line="360" w:lineRule="auto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Perspectiva de género y territorialidad:</w:t>
      </w:r>
      <w:r w:rsidRPr="00A54616">
        <w:rPr>
          <w:rFonts w:ascii="DejaVu Serif" w:hAnsi="DejaVu Serif"/>
          <w:sz w:val="22"/>
          <w:szCs w:val="22"/>
        </w:rPr>
        <w:t xml:space="preserve"> Resulta esencial incorporar una mirada que garantice la equidad de género y tenga en cuenta las especificidades del entorno rural en el ejercicio profesional cultural.</w:t>
      </w:r>
    </w:p>
    <w:p w14:paraId="4C85F308" w14:textId="1B2DF389" w:rsidR="00BB13D7" w:rsidRPr="00154533" w:rsidRDefault="00154533" w:rsidP="00605387">
      <w:pPr>
        <w:pStyle w:val="NormalWeb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 w:rsidRPr="00154533">
        <w:rPr>
          <w:rStyle w:val="Textoennegrita"/>
          <w:rFonts w:ascii="DejaVu Serif" w:hAnsi="DejaVu Serif"/>
          <w:sz w:val="22"/>
          <w:szCs w:val="22"/>
        </w:rPr>
        <w:t>Estatuto del artista de Navarra:</w:t>
      </w:r>
      <w:r w:rsidR="0045344D" w:rsidRPr="00154533">
        <w:rPr>
          <w:rFonts w:ascii="DejaVu Serif" w:hAnsi="DejaVu Serif"/>
          <w:sz w:val="22"/>
          <w:szCs w:val="22"/>
        </w:rPr>
        <w:t xml:space="preserve"> será necesario valorar </w:t>
      </w:r>
      <w:r w:rsidRPr="00154533">
        <w:rPr>
          <w:rFonts w:ascii="DejaVu Serif" w:hAnsi="DejaVu Serif"/>
          <w:sz w:val="22"/>
          <w:szCs w:val="22"/>
        </w:rPr>
        <w:t>a</w:t>
      </w:r>
      <w:r w:rsidR="0045344D" w:rsidRPr="00154533">
        <w:rPr>
          <w:rFonts w:ascii="DejaVu Serif" w:hAnsi="DejaVu Serif"/>
          <w:sz w:val="22"/>
          <w:szCs w:val="22"/>
        </w:rPr>
        <w:t xml:space="preserve">daptaciones </w:t>
      </w:r>
      <w:r w:rsidRPr="00154533">
        <w:rPr>
          <w:rFonts w:ascii="DejaVu Serif" w:hAnsi="DejaVu Serif"/>
          <w:sz w:val="22"/>
          <w:szCs w:val="22"/>
        </w:rPr>
        <w:t>legales para la crea</w:t>
      </w:r>
      <w:r w:rsidR="000B361D">
        <w:rPr>
          <w:rFonts w:ascii="DejaVu Serif" w:hAnsi="DejaVu Serif"/>
          <w:sz w:val="22"/>
          <w:szCs w:val="22"/>
        </w:rPr>
        <w:t>c</w:t>
      </w:r>
      <w:r w:rsidRPr="00154533">
        <w:rPr>
          <w:rFonts w:ascii="DejaVu Serif" w:hAnsi="DejaVu Serif"/>
          <w:sz w:val="22"/>
          <w:szCs w:val="22"/>
        </w:rPr>
        <w:t xml:space="preserve">ión </w:t>
      </w:r>
      <w:proofErr w:type="gramStart"/>
      <w:r w:rsidRPr="00154533">
        <w:rPr>
          <w:rFonts w:ascii="DejaVu Serif" w:hAnsi="DejaVu Serif"/>
          <w:sz w:val="22"/>
          <w:szCs w:val="22"/>
        </w:rPr>
        <w:t>del mismo</w:t>
      </w:r>
      <w:proofErr w:type="gramEnd"/>
      <w:r w:rsidRPr="00154533">
        <w:rPr>
          <w:rFonts w:ascii="DejaVu Serif" w:hAnsi="DejaVu Serif"/>
          <w:sz w:val="22"/>
          <w:szCs w:val="22"/>
        </w:rPr>
        <w:t>.</w:t>
      </w:r>
    </w:p>
    <w:p w14:paraId="4A8AA479" w14:textId="0FBA37DB" w:rsidR="00BB13D7" w:rsidRPr="006B22A0" w:rsidRDefault="00BB13D7" w:rsidP="002D13CA">
      <w:pPr>
        <w:autoSpaceDE w:val="0"/>
        <w:autoSpaceDN w:val="0"/>
        <w:adjustRightInd w:val="0"/>
        <w:spacing w:line="360" w:lineRule="auto"/>
        <w:jc w:val="center"/>
        <w:rPr>
          <w:rFonts w:ascii="DejaVu Serif" w:hAnsi="DejaVu Serif" w:cs="Arial"/>
          <w:b/>
          <w:bCs/>
          <w:sz w:val="22"/>
          <w:szCs w:val="22"/>
        </w:rPr>
      </w:pP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 xml:space="preserve">Es lo que puedo informar en cumplimiento de lo dispuesto en el artículo 215 del Reglamento </w:t>
      </w:r>
      <w:r w:rsidR="000B361D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d</w:t>
      </w: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el Parlamento de Navarra</w:t>
      </w:r>
    </w:p>
    <w:p w14:paraId="2172C336" w14:textId="77777777" w:rsidR="005C5D95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Pamplona,</w:t>
      </w:r>
      <w:r w:rsidR="00BC1D8B">
        <w:rPr>
          <w:rFonts w:ascii="DejaVu Serif" w:hAnsi="DejaVu Serif" w:cs="Arial"/>
          <w:sz w:val="22"/>
          <w:szCs w:val="22"/>
        </w:rPr>
        <w:t xml:space="preserve"> a 20</w:t>
      </w:r>
      <w:r w:rsidR="00254F21">
        <w:rPr>
          <w:rFonts w:ascii="DejaVu Serif" w:hAnsi="DejaVu Serif" w:cs="Arial"/>
          <w:sz w:val="22"/>
          <w:szCs w:val="22"/>
        </w:rPr>
        <w:t xml:space="preserve"> de junio</w:t>
      </w:r>
      <w:r w:rsidR="00996D1B" w:rsidRPr="006B22A0">
        <w:rPr>
          <w:rFonts w:ascii="DejaVu Serif" w:hAnsi="DejaVu Serif" w:cs="Arial"/>
          <w:sz w:val="22"/>
          <w:szCs w:val="22"/>
        </w:rPr>
        <w:t xml:space="preserve"> de 2025</w:t>
      </w:r>
    </w:p>
    <w:p w14:paraId="58EB2474" w14:textId="4D39F359" w:rsidR="00D74EC4" w:rsidRPr="006B22A0" w:rsidRDefault="000B361D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 xml:space="preserve">La Consejera </w:t>
      </w:r>
      <w:r>
        <w:rPr>
          <w:rFonts w:ascii="DejaVu Serif" w:hAnsi="DejaVu Serif" w:cs="Arial"/>
          <w:sz w:val="22"/>
          <w:szCs w:val="22"/>
        </w:rPr>
        <w:t>d</w:t>
      </w:r>
      <w:r w:rsidRPr="006B22A0">
        <w:rPr>
          <w:rFonts w:ascii="DejaVu Serif" w:hAnsi="DejaVu Serif" w:cs="Arial"/>
          <w:sz w:val="22"/>
          <w:szCs w:val="22"/>
        </w:rPr>
        <w:t xml:space="preserve">e Cultura, Deporte </w:t>
      </w:r>
      <w:r>
        <w:rPr>
          <w:rFonts w:ascii="DejaVu Serif" w:hAnsi="DejaVu Serif" w:cs="Arial"/>
          <w:sz w:val="22"/>
          <w:szCs w:val="22"/>
        </w:rPr>
        <w:t>y</w:t>
      </w:r>
      <w:r w:rsidRPr="006B22A0">
        <w:rPr>
          <w:rFonts w:ascii="DejaVu Serif" w:hAnsi="DejaVu Serif" w:cs="Arial"/>
          <w:sz w:val="22"/>
          <w:szCs w:val="22"/>
        </w:rPr>
        <w:t xml:space="preserve"> Turismo</w:t>
      </w:r>
      <w:r>
        <w:rPr>
          <w:rFonts w:ascii="DejaVu Serif" w:hAnsi="DejaVu Serif" w:cs="Arial"/>
          <w:sz w:val="22"/>
          <w:szCs w:val="22"/>
        </w:rPr>
        <w:t xml:space="preserve">: </w:t>
      </w:r>
      <w:r w:rsidR="005C5D95" w:rsidRPr="006B22A0">
        <w:rPr>
          <w:rFonts w:ascii="DejaVu Serif" w:hAnsi="DejaVu Serif" w:cs="Arial"/>
          <w:sz w:val="22"/>
          <w:szCs w:val="22"/>
        </w:rPr>
        <w:t>Rebeca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F21E71"/>
    <w:multiLevelType w:val="multilevel"/>
    <w:tmpl w:val="2F5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3170E"/>
    <w:rsid w:val="00044E27"/>
    <w:rsid w:val="0008521E"/>
    <w:rsid w:val="000B361D"/>
    <w:rsid w:val="000E24D0"/>
    <w:rsid w:val="000F4C43"/>
    <w:rsid w:val="00145C38"/>
    <w:rsid w:val="00154533"/>
    <w:rsid w:val="00165C78"/>
    <w:rsid w:val="001F2333"/>
    <w:rsid w:val="00216707"/>
    <w:rsid w:val="00254F21"/>
    <w:rsid w:val="00257D7A"/>
    <w:rsid w:val="002601DD"/>
    <w:rsid w:val="0027571F"/>
    <w:rsid w:val="002B3F6C"/>
    <w:rsid w:val="002D13CA"/>
    <w:rsid w:val="002E62D5"/>
    <w:rsid w:val="003843A2"/>
    <w:rsid w:val="003E48EE"/>
    <w:rsid w:val="00436602"/>
    <w:rsid w:val="00444730"/>
    <w:rsid w:val="0045344D"/>
    <w:rsid w:val="00461F32"/>
    <w:rsid w:val="00484F26"/>
    <w:rsid w:val="004E50A1"/>
    <w:rsid w:val="004F146C"/>
    <w:rsid w:val="00512C90"/>
    <w:rsid w:val="00520FD6"/>
    <w:rsid w:val="005234C5"/>
    <w:rsid w:val="005322EF"/>
    <w:rsid w:val="00533D9E"/>
    <w:rsid w:val="00583BDA"/>
    <w:rsid w:val="00587A69"/>
    <w:rsid w:val="005C33C7"/>
    <w:rsid w:val="005C5D95"/>
    <w:rsid w:val="005F221C"/>
    <w:rsid w:val="00662FAB"/>
    <w:rsid w:val="006B22A0"/>
    <w:rsid w:val="00720B2A"/>
    <w:rsid w:val="00733746"/>
    <w:rsid w:val="0073496C"/>
    <w:rsid w:val="0075427A"/>
    <w:rsid w:val="00754E90"/>
    <w:rsid w:val="007E509F"/>
    <w:rsid w:val="007F3173"/>
    <w:rsid w:val="0081139A"/>
    <w:rsid w:val="00842895"/>
    <w:rsid w:val="008432FA"/>
    <w:rsid w:val="008D596C"/>
    <w:rsid w:val="008E03B3"/>
    <w:rsid w:val="00996D1B"/>
    <w:rsid w:val="00A02DDE"/>
    <w:rsid w:val="00A1031D"/>
    <w:rsid w:val="00A37707"/>
    <w:rsid w:val="00A454EF"/>
    <w:rsid w:val="00A54616"/>
    <w:rsid w:val="00A579F8"/>
    <w:rsid w:val="00AE2042"/>
    <w:rsid w:val="00B21AE8"/>
    <w:rsid w:val="00B700A2"/>
    <w:rsid w:val="00B77EAC"/>
    <w:rsid w:val="00BA1AD4"/>
    <w:rsid w:val="00BA5D83"/>
    <w:rsid w:val="00BB13D7"/>
    <w:rsid w:val="00BB4A96"/>
    <w:rsid w:val="00BC1D8B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A8EF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344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53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5AC2-5DAB-4404-8DFD-DFED91D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Maya Calvo, Diego</cp:lastModifiedBy>
  <cp:revision>37</cp:revision>
  <cp:lastPrinted>2023-11-27T10:19:00Z</cp:lastPrinted>
  <dcterms:created xsi:type="dcterms:W3CDTF">2025-01-16T11:58:00Z</dcterms:created>
  <dcterms:modified xsi:type="dcterms:W3CDTF">2025-08-27T09:58:00Z</dcterms:modified>
</cp:coreProperties>
</file>