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5142" w14:textId="77777777" w:rsidR="00623404" w:rsidRPr="00623404" w:rsidRDefault="00623404" w:rsidP="00623404">
      <w:pPr>
        <w:pStyle w:val="Default"/>
        <w:spacing w:line="360" w:lineRule="auto"/>
        <w:ind w:left="142"/>
        <w:jc w:val="both"/>
        <w:rPr>
          <w:rFonts w:asciiTheme="majorHAnsi" w:hAnsiTheme="majorHAnsi" w:cstheme="majorHAnsi"/>
        </w:rPr>
      </w:pPr>
    </w:p>
    <w:p w14:paraId="6CFA11F0" w14:textId="71CC78CC" w:rsidR="00623404" w:rsidRPr="008C3FB8" w:rsidRDefault="00F73E80" w:rsidP="00623404">
      <w:pPr>
        <w:pStyle w:val="Default"/>
        <w:spacing w:line="360" w:lineRule="auto"/>
        <w:ind w:left="142"/>
        <w:jc w:val="both"/>
        <w:rPr>
          <w:rFonts w:ascii="Calibri Light" w:hAnsi="Calibri Light" w:cs="Calibri Light"/>
          <w:sz w:val="28"/>
          <w:szCs w:val="28"/>
        </w:rPr>
      </w:pPr>
      <w:r>
        <w:rPr>
          <w:rFonts w:ascii="Calibri Light" w:hAnsi="Calibri Light"/>
          <w:sz w:val="28"/>
        </w:rPr>
        <w:t>2025/09/24</w:t>
      </w:r>
    </w:p>
    <w:p w14:paraId="508F1089" w14:textId="77777777" w:rsidR="00347955" w:rsidRDefault="00347955" w:rsidP="008C3FB8">
      <w:pPr>
        <w:suppressAutoHyphens/>
        <w:jc w:val="both"/>
        <w:rPr>
          <w:rFonts w:ascii="Arial" w:hAnsi="Arial" w:cs="Arial"/>
          <w:color w:val="000000"/>
          <w:sz w:val="23"/>
          <w:szCs w:val="23"/>
          <w:lang w:eastAsia="es-ES_tradnl"/>
        </w:rPr>
      </w:pPr>
    </w:p>
    <w:p w14:paraId="582FBEFB" w14:textId="77777777" w:rsidR="00347955" w:rsidRDefault="0076550E" w:rsidP="00A11631">
      <w:pPr>
        <w:pStyle w:val="Default"/>
        <w:spacing w:line="480" w:lineRule="auto"/>
        <w:jc w:val="both"/>
        <w:rPr>
          <w:sz w:val="23"/>
          <w:szCs w:val="23"/>
        </w:rPr>
      </w:pPr>
      <w:r>
        <w:rPr>
          <w:sz w:val="23"/>
        </w:rPr>
        <w:t>Nafarroako Parlamentuko EH Bildu Nafarroa talde parlamentarioari atxikitako foru parlamentari Javier Arza Porras jaunak, Parlamentuko Erregelamenduan xedatuaren babesean, 11-25/PES-00280 informazio-eskaera egin zion Amparo López Nafarroako Gobernuko Barneko, Funtzio Publikoko eta Justiziako kontseilariari, idatziz erantzun zekion. Bada, Nafarroako Gobernuko Barneko, Funtzio Publikoko eta Justiziako kontseilaria naizen aldetik, honako hau jakinarazten dut egindako galderei erantzunez:</w:t>
      </w:r>
    </w:p>
    <w:p w14:paraId="3ABE8EC8" w14:textId="77777777" w:rsidR="008B2B78" w:rsidRDefault="008B2B78" w:rsidP="00A11631">
      <w:pPr>
        <w:pStyle w:val="Default"/>
        <w:spacing w:line="480" w:lineRule="auto"/>
        <w:jc w:val="both"/>
        <w:rPr>
          <w:sz w:val="23"/>
          <w:szCs w:val="23"/>
        </w:rPr>
      </w:pPr>
    </w:p>
    <w:p w14:paraId="145C2CAD" w14:textId="45C8A999" w:rsidR="008B2B78" w:rsidRDefault="008B2B78" w:rsidP="008B2B78">
      <w:pPr>
        <w:pStyle w:val="Default"/>
        <w:spacing w:line="480" w:lineRule="auto"/>
        <w:jc w:val="both"/>
        <w:rPr>
          <w:b/>
          <w:sz w:val="23"/>
          <w:szCs w:val="23"/>
        </w:rPr>
      </w:pPr>
      <w:r>
        <w:rPr>
          <w:b/>
          <w:sz w:val="23"/>
        </w:rPr>
        <w:t>Zenbat salaketa, eta zer motatakoak, erregistratu dira 2024ko urtarrilaren 1etik aitzina</w:t>
      </w:r>
      <w:r w:rsidR="004C6787">
        <w:rPr>
          <w:b/>
          <w:sz w:val="23"/>
        </w:rPr>
        <w:t xml:space="preserve"> </w:t>
      </w:r>
      <w:r>
        <w:rPr>
          <w:b/>
          <w:sz w:val="23"/>
        </w:rPr>
        <w:t>Martzillako behaketa- eta harrera-zentroko egoiliarrak nahasita dauden gertakariak direla-eta?</w:t>
      </w:r>
    </w:p>
    <w:p w14:paraId="2F2A9CC6" w14:textId="77777777" w:rsidR="00347955" w:rsidRDefault="00347955" w:rsidP="008B2B78">
      <w:pPr>
        <w:pStyle w:val="Default"/>
        <w:spacing w:line="480" w:lineRule="auto"/>
        <w:jc w:val="both"/>
        <w:rPr>
          <w:b/>
          <w:sz w:val="23"/>
          <w:szCs w:val="23"/>
        </w:rPr>
      </w:pPr>
      <w:r>
        <w:rPr>
          <w:b/>
          <w:noProof/>
          <w:sz w:val="23"/>
        </w:rPr>
        <w:drawing>
          <wp:inline distT="0" distB="0" distL="0" distR="0" wp14:anchorId="55993A91" wp14:editId="7268B0C7">
            <wp:extent cx="5850890" cy="21672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50890" cy="2167255"/>
                    </a:xfrm>
                    <a:prstGeom prst="rect">
                      <a:avLst/>
                    </a:prstGeom>
                  </pic:spPr>
                </pic:pic>
              </a:graphicData>
            </a:graphic>
          </wp:inline>
        </w:drawing>
      </w:r>
    </w:p>
    <w:p w14:paraId="10CD2D0D" w14:textId="77777777" w:rsidR="00347955" w:rsidRDefault="00347955" w:rsidP="00347955">
      <w:pPr>
        <w:pStyle w:val="Default"/>
        <w:spacing w:line="480" w:lineRule="auto"/>
        <w:jc w:val="both"/>
        <w:rPr>
          <w:rFonts w:ascii="Calibri" w:hAnsi="Calibri" w:cs="Calibri"/>
          <w:sz w:val="19"/>
          <w:szCs w:val="19"/>
        </w:rPr>
      </w:pPr>
    </w:p>
    <w:p w14:paraId="6AA85FAC" w14:textId="1281C929" w:rsidR="00857AF0" w:rsidRDefault="00347955" w:rsidP="00347955">
      <w:pPr>
        <w:pStyle w:val="Default"/>
        <w:spacing w:line="480" w:lineRule="auto"/>
        <w:jc w:val="both"/>
        <w:rPr>
          <w:b/>
          <w:sz w:val="23"/>
          <w:szCs w:val="23"/>
        </w:rPr>
      </w:pPr>
      <w:r>
        <w:rPr>
          <w:b/>
          <w:sz w:val="23"/>
        </w:rPr>
        <w:t>Zenbat polizia-jarduketa jaso dira idatziz, eta zer motatakoak,</w:t>
      </w:r>
      <w:r w:rsidR="004C6787">
        <w:rPr>
          <w:b/>
          <w:sz w:val="23"/>
        </w:rPr>
        <w:t xml:space="preserve"> </w:t>
      </w:r>
      <w:r>
        <w:rPr>
          <w:b/>
          <w:sz w:val="23"/>
        </w:rPr>
        <w:t>2024ko urtarrilaren 1etik aitzina Martzillako behaketa- eta harrera-zentroko egoiliarrak</w:t>
      </w:r>
      <w:r w:rsidR="004C6787">
        <w:rPr>
          <w:b/>
          <w:sz w:val="23"/>
        </w:rPr>
        <w:t xml:space="preserve"> </w:t>
      </w:r>
      <w:r>
        <w:rPr>
          <w:b/>
          <w:sz w:val="23"/>
        </w:rPr>
        <w:t>nahasita dauden gertakariak direla-eta?</w:t>
      </w:r>
    </w:p>
    <w:p w14:paraId="586B3348" w14:textId="77777777" w:rsidR="00347955" w:rsidRDefault="00347955" w:rsidP="00347955">
      <w:pPr>
        <w:pStyle w:val="Default"/>
        <w:spacing w:line="480" w:lineRule="auto"/>
        <w:jc w:val="both"/>
        <w:rPr>
          <w:b/>
          <w:sz w:val="23"/>
          <w:szCs w:val="23"/>
        </w:rPr>
      </w:pPr>
    </w:p>
    <w:p w14:paraId="239B3D48" w14:textId="77777777" w:rsidR="00347955" w:rsidRPr="00347955" w:rsidRDefault="00347955" w:rsidP="00347955">
      <w:pPr>
        <w:pStyle w:val="Default"/>
        <w:spacing w:line="480" w:lineRule="auto"/>
        <w:jc w:val="both"/>
        <w:rPr>
          <w:b/>
          <w:sz w:val="23"/>
          <w:szCs w:val="23"/>
        </w:rPr>
      </w:pPr>
    </w:p>
    <w:p w14:paraId="158AAAC2" w14:textId="77777777" w:rsidR="0032659B" w:rsidRPr="0032659B" w:rsidRDefault="0032659B" w:rsidP="00A11631">
      <w:pPr>
        <w:pStyle w:val="Default"/>
        <w:spacing w:line="480" w:lineRule="auto"/>
        <w:jc w:val="both"/>
        <w:rPr>
          <w:sz w:val="23"/>
          <w:szCs w:val="23"/>
        </w:rPr>
      </w:pPr>
    </w:p>
    <w:p w14:paraId="03C57F6A" w14:textId="77777777" w:rsidR="00347955" w:rsidRDefault="00347955" w:rsidP="0032659B">
      <w:pPr>
        <w:pStyle w:val="Default"/>
        <w:spacing w:line="480" w:lineRule="auto"/>
        <w:jc w:val="both"/>
        <w:rPr>
          <w:sz w:val="23"/>
          <w:szCs w:val="23"/>
        </w:rPr>
      </w:pPr>
      <w:r>
        <w:rPr>
          <w:noProof/>
          <w:sz w:val="23"/>
        </w:rPr>
        <w:lastRenderedPageBreak/>
        <w:drawing>
          <wp:inline distT="0" distB="0" distL="0" distR="0" wp14:anchorId="3552B5E9" wp14:editId="4119699C">
            <wp:extent cx="5850890" cy="39776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0890" cy="3977640"/>
                    </a:xfrm>
                    <a:prstGeom prst="rect">
                      <a:avLst/>
                    </a:prstGeom>
                  </pic:spPr>
                </pic:pic>
              </a:graphicData>
            </a:graphic>
          </wp:inline>
        </w:drawing>
      </w:r>
    </w:p>
    <w:p w14:paraId="4AB5BC0E" w14:textId="11143F3F" w:rsidR="00347955" w:rsidRDefault="00347955" w:rsidP="0032659B">
      <w:pPr>
        <w:pStyle w:val="Default"/>
        <w:spacing w:line="480" w:lineRule="auto"/>
        <w:jc w:val="both"/>
        <w:rPr>
          <w:sz w:val="23"/>
          <w:szCs w:val="23"/>
        </w:rPr>
      </w:pPr>
      <w:r>
        <w:rPr>
          <w:sz w:val="22"/>
        </w:rPr>
        <w:t>Aitzineko taulan, Foruzaingoak Martzillako behaketa- eta harrera-zentroko instalazioetan esku-hartzeren bat egindakoaren gaineko datu guztiak daude. Ondotiko taulan indarkeria —fisikoa edo hitzezkoa— aipatutako gertakariei buruzko datuak daude, herritarren segurtasunerako garrantzitsuak baitira.</w:t>
      </w:r>
    </w:p>
    <w:p w14:paraId="38FC47EB" w14:textId="77777777" w:rsidR="00347955" w:rsidRDefault="00347955" w:rsidP="0032659B">
      <w:pPr>
        <w:pStyle w:val="Default"/>
        <w:spacing w:line="480" w:lineRule="auto"/>
        <w:jc w:val="both"/>
        <w:rPr>
          <w:sz w:val="23"/>
          <w:szCs w:val="23"/>
        </w:rPr>
      </w:pPr>
      <w:r>
        <w:rPr>
          <w:noProof/>
          <w:sz w:val="23"/>
        </w:rPr>
        <w:drawing>
          <wp:inline distT="0" distB="0" distL="0" distR="0" wp14:anchorId="06F567D5" wp14:editId="0F9D07E9">
            <wp:extent cx="5850890" cy="321246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50890" cy="3212465"/>
                    </a:xfrm>
                    <a:prstGeom prst="rect">
                      <a:avLst/>
                    </a:prstGeom>
                  </pic:spPr>
                </pic:pic>
              </a:graphicData>
            </a:graphic>
          </wp:inline>
        </w:drawing>
      </w:r>
    </w:p>
    <w:p w14:paraId="415FCC40" w14:textId="77777777" w:rsidR="00C156B9" w:rsidRDefault="00C156B9" w:rsidP="0032659B">
      <w:pPr>
        <w:pStyle w:val="Default"/>
        <w:spacing w:line="480" w:lineRule="auto"/>
        <w:jc w:val="both"/>
        <w:rPr>
          <w:sz w:val="23"/>
          <w:szCs w:val="23"/>
        </w:rPr>
      </w:pPr>
      <w:r>
        <w:rPr>
          <w:sz w:val="23"/>
        </w:rPr>
        <w:lastRenderedPageBreak/>
        <w:t>Hori guztia jakinarazten dizut, Nafarroako Parlamentuko Erregelamenduaren 213.6 artikuluan xedaturikoa betez.</w:t>
      </w:r>
    </w:p>
    <w:p w14:paraId="132B90D7" w14:textId="77777777" w:rsidR="008C3FB8" w:rsidRPr="008C3FB8" w:rsidRDefault="008C3FB8" w:rsidP="004331C0">
      <w:pPr>
        <w:pStyle w:val="Default"/>
        <w:spacing w:line="480" w:lineRule="auto"/>
        <w:jc w:val="both"/>
        <w:rPr>
          <w:rFonts w:ascii="Calibri Light" w:hAnsi="Calibri Light" w:cs="Calibri Light"/>
          <w:i/>
          <w:sz w:val="26"/>
          <w:szCs w:val="26"/>
        </w:rPr>
      </w:pPr>
    </w:p>
    <w:p w14:paraId="09603691" w14:textId="77777777" w:rsidR="008C3FB8" w:rsidRDefault="004F3EF8" w:rsidP="004331C0">
      <w:pPr>
        <w:pStyle w:val="Default"/>
        <w:spacing w:line="360" w:lineRule="auto"/>
        <w:ind w:left="142"/>
        <w:jc w:val="center"/>
        <w:rPr>
          <w:rFonts w:ascii="Calibri Light" w:hAnsi="Calibri Light" w:cs="Calibri Light"/>
          <w:sz w:val="28"/>
          <w:szCs w:val="28"/>
        </w:rPr>
      </w:pPr>
      <w:r>
        <w:rPr>
          <w:rFonts w:ascii="Calibri Light" w:hAnsi="Calibri Light"/>
          <w:sz w:val="28"/>
        </w:rPr>
        <w:t>Iruñean, 2025eko irailaren 23an</w:t>
      </w:r>
    </w:p>
    <w:p w14:paraId="4B19FD77" w14:textId="77777777" w:rsidR="00AB0861" w:rsidRPr="008C3FB8" w:rsidRDefault="00AB0861" w:rsidP="004331C0">
      <w:pPr>
        <w:pStyle w:val="Default"/>
        <w:spacing w:line="360" w:lineRule="auto"/>
        <w:ind w:left="142"/>
        <w:jc w:val="center"/>
        <w:rPr>
          <w:rFonts w:ascii="Calibri Light" w:hAnsi="Calibri Light" w:cs="Calibri Light"/>
          <w:sz w:val="28"/>
          <w:szCs w:val="28"/>
        </w:rPr>
      </w:pPr>
    </w:p>
    <w:p w14:paraId="78E5889E" w14:textId="09C34636" w:rsidR="00F264B5" w:rsidRPr="00AB0861" w:rsidRDefault="00AB0861" w:rsidP="00F264B5">
      <w:pPr>
        <w:pStyle w:val="Default"/>
        <w:spacing w:line="360" w:lineRule="auto"/>
        <w:ind w:left="142"/>
        <w:jc w:val="center"/>
        <w:rPr>
          <w:rFonts w:ascii="Calibri Light" w:hAnsi="Calibri Light" w:cs="Calibri Light"/>
          <w:sz w:val="28"/>
          <w:szCs w:val="28"/>
        </w:rPr>
      </w:pPr>
      <w:r>
        <w:rPr>
          <w:rFonts w:ascii="Calibri Light" w:hAnsi="Calibri Light"/>
          <w:sz w:val="28"/>
        </w:rPr>
        <w:t>Barneko, Funtzio Publikoko eta Justiziako kontseilaria: Amparo López Antelo</w:t>
      </w:r>
    </w:p>
    <w:p w14:paraId="53A0A9A6" w14:textId="2369356C" w:rsidR="00E05638" w:rsidRPr="008C3FB8" w:rsidRDefault="00E05638" w:rsidP="008C3FB8">
      <w:pPr>
        <w:pStyle w:val="Default"/>
        <w:ind w:left="142"/>
        <w:rPr>
          <w:rFonts w:ascii="Calibri Light" w:hAnsi="Calibri Light" w:cs="Calibri Light"/>
          <w:sz w:val="26"/>
          <w:szCs w:val="26"/>
        </w:rPr>
      </w:pPr>
    </w:p>
    <w:sectPr w:rsidR="00E05638" w:rsidRPr="008C3FB8" w:rsidSect="00C156B9">
      <w:headerReference w:type="default" r:id="rId10"/>
      <w:headerReference w:type="first" r:id="rId11"/>
      <w:pgSz w:w="11906" w:h="16838" w:code="9"/>
      <w:pgMar w:top="2268" w:right="1416" w:bottom="851" w:left="1276" w:header="284"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3E66" w14:textId="77777777" w:rsidR="00DC0B39" w:rsidRDefault="00DC0B39">
      <w:r>
        <w:separator/>
      </w:r>
    </w:p>
  </w:endnote>
  <w:endnote w:type="continuationSeparator" w:id="0">
    <w:p w14:paraId="46141726" w14:textId="77777777" w:rsidR="00DC0B39" w:rsidRDefault="00DC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637AA" w14:textId="77777777" w:rsidR="00DC0B39" w:rsidRDefault="00DC0B39">
      <w:r>
        <w:separator/>
      </w:r>
    </w:p>
  </w:footnote>
  <w:footnote w:type="continuationSeparator" w:id="0">
    <w:p w14:paraId="130A980D" w14:textId="77777777" w:rsidR="00DC0B39" w:rsidRDefault="00DC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8CAE" w14:textId="1D01641C" w:rsidR="00F344C7" w:rsidRDefault="00192064" w:rsidP="00192064">
    <w:pPr>
      <w:pStyle w:val="Encabezado"/>
      <w:tabs>
        <w:tab w:val="left" w:pos="5355"/>
      </w:tabs>
    </w:pPr>
    <w:r>
      <w:tab/>
    </w:r>
  </w:p>
  <w:p w14:paraId="4A75D27E" w14:textId="77777777" w:rsidR="00F344C7" w:rsidRDefault="00F344C7" w:rsidP="00F344C7">
    <w:pPr>
      <w:pStyle w:val="Encabezado"/>
      <w:jc w:val="center"/>
    </w:pPr>
  </w:p>
  <w:p w14:paraId="2518F91A"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CA67" w14:textId="5D839BEB" w:rsidR="00696F6F" w:rsidRDefault="00696F6F"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1EE"/>
    <w:multiLevelType w:val="hybridMultilevel"/>
    <w:tmpl w:val="DE0857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51451B"/>
    <w:multiLevelType w:val="hybridMultilevel"/>
    <w:tmpl w:val="D85CF020"/>
    <w:lvl w:ilvl="0" w:tplc="4F3E57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54615813"/>
    <w:multiLevelType w:val="hybridMultilevel"/>
    <w:tmpl w:val="5772349E"/>
    <w:lvl w:ilvl="0" w:tplc="EC807750">
      <w:start w:val="1"/>
      <w:numFmt w:val="decimal"/>
      <w:lvlText w:val="%1."/>
      <w:lvlJc w:val="left"/>
      <w:pPr>
        <w:ind w:left="894" w:hanging="360"/>
      </w:pPr>
      <w:rPr>
        <w:rFonts w:ascii="Calibri" w:eastAsia="Calibri" w:hAnsi="Calibri" w:cs="Calibri" w:hint="default"/>
        <w:b/>
        <w:bCs/>
        <w:i w:val="0"/>
        <w:iCs w:val="0"/>
        <w:spacing w:val="0"/>
        <w:w w:val="100"/>
        <w:sz w:val="24"/>
        <w:szCs w:val="24"/>
        <w:lang w:val="es-ES" w:eastAsia="en-US" w:bidi="ar-SA"/>
      </w:rPr>
    </w:lvl>
    <w:lvl w:ilvl="1" w:tplc="9C12C534">
      <w:numFmt w:val="bullet"/>
      <w:lvlText w:val="•"/>
      <w:lvlJc w:val="left"/>
      <w:pPr>
        <w:ind w:left="1660" w:hanging="360"/>
      </w:pPr>
      <w:rPr>
        <w:rFonts w:hint="default"/>
        <w:lang w:val="es-ES" w:eastAsia="en-US" w:bidi="ar-SA"/>
      </w:rPr>
    </w:lvl>
    <w:lvl w:ilvl="2" w:tplc="0A943E82">
      <w:numFmt w:val="bullet"/>
      <w:lvlText w:val="•"/>
      <w:lvlJc w:val="left"/>
      <w:pPr>
        <w:ind w:left="2421" w:hanging="360"/>
      </w:pPr>
      <w:rPr>
        <w:rFonts w:hint="default"/>
        <w:lang w:val="es-ES" w:eastAsia="en-US" w:bidi="ar-SA"/>
      </w:rPr>
    </w:lvl>
    <w:lvl w:ilvl="3" w:tplc="5240DDA0">
      <w:numFmt w:val="bullet"/>
      <w:lvlText w:val="•"/>
      <w:lvlJc w:val="left"/>
      <w:pPr>
        <w:ind w:left="3181" w:hanging="360"/>
      </w:pPr>
      <w:rPr>
        <w:rFonts w:hint="default"/>
        <w:lang w:val="es-ES" w:eastAsia="en-US" w:bidi="ar-SA"/>
      </w:rPr>
    </w:lvl>
    <w:lvl w:ilvl="4" w:tplc="FFA28A4E">
      <w:numFmt w:val="bullet"/>
      <w:lvlText w:val="•"/>
      <w:lvlJc w:val="left"/>
      <w:pPr>
        <w:ind w:left="3942" w:hanging="360"/>
      </w:pPr>
      <w:rPr>
        <w:rFonts w:hint="default"/>
        <w:lang w:val="es-ES" w:eastAsia="en-US" w:bidi="ar-SA"/>
      </w:rPr>
    </w:lvl>
    <w:lvl w:ilvl="5" w:tplc="77766458">
      <w:numFmt w:val="bullet"/>
      <w:lvlText w:val="•"/>
      <w:lvlJc w:val="left"/>
      <w:pPr>
        <w:ind w:left="4703" w:hanging="360"/>
      </w:pPr>
      <w:rPr>
        <w:rFonts w:hint="default"/>
        <w:lang w:val="es-ES" w:eastAsia="en-US" w:bidi="ar-SA"/>
      </w:rPr>
    </w:lvl>
    <w:lvl w:ilvl="6" w:tplc="1688BB9E">
      <w:numFmt w:val="bullet"/>
      <w:lvlText w:val="•"/>
      <w:lvlJc w:val="left"/>
      <w:pPr>
        <w:ind w:left="5463" w:hanging="360"/>
      </w:pPr>
      <w:rPr>
        <w:rFonts w:hint="default"/>
        <w:lang w:val="es-ES" w:eastAsia="en-US" w:bidi="ar-SA"/>
      </w:rPr>
    </w:lvl>
    <w:lvl w:ilvl="7" w:tplc="4D507E3E">
      <w:numFmt w:val="bullet"/>
      <w:lvlText w:val="•"/>
      <w:lvlJc w:val="left"/>
      <w:pPr>
        <w:ind w:left="6224" w:hanging="360"/>
      </w:pPr>
      <w:rPr>
        <w:rFonts w:hint="default"/>
        <w:lang w:val="es-ES" w:eastAsia="en-US" w:bidi="ar-SA"/>
      </w:rPr>
    </w:lvl>
    <w:lvl w:ilvl="8" w:tplc="895E6BBE">
      <w:numFmt w:val="bullet"/>
      <w:lvlText w:val="•"/>
      <w:lvlJc w:val="left"/>
      <w:pPr>
        <w:ind w:left="6985" w:hanging="360"/>
      </w:pPr>
      <w:rPr>
        <w:rFonts w:hint="default"/>
        <w:lang w:val="es-ES" w:eastAsia="en-US" w:bidi="ar-SA"/>
      </w:rPr>
    </w:lvl>
  </w:abstractNum>
  <w:num w:numId="1" w16cid:durableId="3016448">
    <w:abstractNumId w:val="1"/>
  </w:num>
  <w:num w:numId="2" w16cid:durableId="1082026543">
    <w:abstractNumId w:val="0"/>
  </w:num>
  <w:num w:numId="3" w16cid:durableId="2049983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07949"/>
    <w:rsid w:val="00062A1D"/>
    <w:rsid w:val="000729E0"/>
    <w:rsid w:val="000742DA"/>
    <w:rsid w:val="000751C9"/>
    <w:rsid w:val="0009463A"/>
    <w:rsid w:val="000B56E6"/>
    <w:rsid w:val="000B64A1"/>
    <w:rsid w:val="001655B2"/>
    <w:rsid w:val="00190AB4"/>
    <w:rsid w:val="00192064"/>
    <w:rsid w:val="001A2FB7"/>
    <w:rsid w:val="00273425"/>
    <w:rsid w:val="00277C9A"/>
    <w:rsid w:val="002F09C8"/>
    <w:rsid w:val="002F1E30"/>
    <w:rsid w:val="0032659B"/>
    <w:rsid w:val="00336E50"/>
    <w:rsid w:val="00347955"/>
    <w:rsid w:val="00366E46"/>
    <w:rsid w:val="003A4FD0"/>
    <w:rsid w:val="003B7837"/>
    <w:rsid w:val="003C56E1"/>
    <w:rsid w:val="003D7F4B"/>
    <w:rsid w:val="003F1206"/>
    <w:rsid w:val="0040116D"/>
    <w:rsid w:val="004151ED"/>
    <w:rsid w:val="004331C0"/>
    <w:rsid w:val="004C6787"/>
    <w:rsid w:val="004F0D02"/>
    <w:rsid w:val="004F3EF8"/>
    <w:rsid w:val="005367EB"/>
    <w:rsid w:val="005A1CC2"/>
    <w:rsid w:val="005B095B"/>
    <w:rsid w:val="005B1C89"/>
    <w:rsid w:val="005C62F2"/>
    <w:rsid w:val="005D429B"/>
    <w:rsid w:val="00623404"/>
    <w:rsid w:val="00683E13"/>
    <w:rsid w:val="00696F6F"/>
    <w:rsid w:val="006A5952"/>
    <w:rsid w:val="007018B0"/>
    <w:rsid w:val="00716850"/>
    <w:rsid w:val="0072604C"/>
    <w:rsid w:val="0075781A"/>
    <w:rsid w:val="0076550E"/>
    <w:rsid w:val="00793F61"/>
    <w:rsid w:val="00794754"/>
    <w:rsid w:val="007A5C13"/>
    <w:rsid w:val="007C7925"/>
    <w:rsid w:val="00803AE4"/>
    <w:rsid w:val="00810382"/>
    <w:rsid w:val="00857AF0"/>
    <w:rsid w:val="00864897"/>
    <w:rsid w:val="00881820"/>
    <w:rsid w:val="008870C3"/>
    <w:rsid w:val="008B2B78"/>
    <w:rsid w:val="008C3FB8"/>
    <w:rsid w:val="008F7588"/>
    <w:rsid w:val="00943144"/>
    <w:rsid w:val="00945E5D"/>
    <w:rsid w:val="00994342"/>
    <w:rsid w:val="009944FC"/>
    <w:rsid w:val="00994923"/>
    <w:rsid w:val="009E202F"/>
    <w:rsid w:val="009E381E"/>
    <w:rsid w:val="00A00CEE"/>
    <w:rsid w:val="00A077F0"/>
    <w:rsid w:val="00A11631"/>
    <w:rsid w:val="00A117E7"/>
    <w:rsid w:val="00A2145B"/>
    <w:rsid w:val="00A357A5"/>
    <w:rsid w:val="00A52259"/>
    <w:rsid w:val="00A76DCB"/>
    <w:rsid w:val="00AB0861"/>
    <w:rsid w:val="00AB50BD"/>
    <w:rsid w:val="00AB55CE"/>
    <w:rsid w:val="00AC4472"/>
    <w:rsid w:val="00AE40FC"/>
    <w:rsid w:val="00AE76D9"/>
    <w:rsid w:val="00B00F2E"/>
    <w:rsid w:val="00B27C18"/>
    <w:rsid w:val="00B420FE"/>
    <w:rsid w:val="00B46857"/>
    <w:rsid w:val="00B662C6"/>
    <w:rsid w:val="00B96F7E"/>
    <w:rsid w:val="00BA7B9D"/>
    <w:rsid w:val="00BD6A02"/>
    <w:rsid w:val="00BE2BD3"/>
    <w:rsid w:val="00BF265F"/>
    <w:rsid w:val="00C109B3"/>
    <w:rsid w:val="00C156B9"/>
    <w:rsid w:val="00C40353"/>
    <w:rsid w:val="00C56D21"/>
    <w:rsid w:val="00C649F7"/>
    <w:rsid w:val="00CA2943"/>
    <w:rsid w:val="00CB03BC"/>
    <w:rsid w:val="00CC1284"/>
    <w:rsid w:val="00CC459A"/>
    <w:rsid w:val="00CE102F"/>
    <w:rsid w:val="00D1282F"/>
    <w:rsid w:val="00D1595C"/>
    <w:rsid w:val="00DC0B39"/>
    <w:rsid w:val="00DF6784"/>
    <w:rsid w:val="00E0118C"/>
    <w:rsid w:val="00E05638"/>
    <w:rsid w:val="00E41374"/>
    <w:rsid w:val="00E51A02"/>
    <w:rsid w:val="00E8181E"/>
    <w:rsid w:val="00EC5374"/>
    <w:rsid w:val="00EE1D60"/>
    <w:rsid w:val="00EE67FF"/>
    <w:rsid w:val="00EF1EE8"/>
    <w:rsid w:val="00EF2A4C"/>
    <w:rsid w:val="00EF6DE7"/>
    <w:rsid w:val="00F037C2"/>
    <w:rsid w:val="00F264B5"/>
    <w:rsid w:val="00F344C7"/>
    <w:rsid w:val="00F4445E"/>
    <w:rsid w:val="00F73E80"/>
    <w:rsid w:val="00FD4BD2"/>
    <w:rsid w:val="00FE28A5"/>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F38F48"/>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link w:val="PiedepginaCar"/>
    <w:uiPriority w:val="99"/>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9944FC"/>
    <w:pPr>
      <w:ind w:left="720"/>
      <w:contextualSpacing/>
    </w:pPr>
  </w:style>
  <w:style w:type="paragraph" w:styleId="Textoindependiente">
    <w:name w:val="Body Text"/>
    <w:basedOn w:val="Normal"/>
    <w:link w:val="TextoindependienteCar"/>
    <w:uiPriority w:val="1"/>
    <w:qFormat/>
    <w:rsid w:val="00E0118C"/>
    <w:pPr>
      <w:widowControl w:val="0"/>
      <w:autoSpaceDE w:val="0"/>
      <w:autoSpaceDN w:val="0"/>
    </w:pPr>
    <w:rPr>
      <w:rFonts w:ascii="Arial MT" w:eastAsia="Arial MT" w:hAnsi="Arial MT" w:cs="Arial MT"/>
      <w:sz w:val="22"/>
      <w:szCs w:val="22"/>
      <w:lang w:eastAsia="en-US"/>
    </w:rPr>
  </w:style>
  <w:style w:type="character" w:customStyle="1" w:styleId="TextoindependienteCar">
    <w:name w:val="Texto independiente Car"/>
    <w:basedOn w:val="Fuentedeprrafopredeter"/>
    <w:link w:val="Textoindependiente"/>
    <w:uiPriority w:val="1"/>
    <w:rsid w:val="00E0118C"/>
    <w:rPr>
      <w:rFonts w:ascii="Arial MT" w:eastAsia="Arial MT" w:hAnsi="Arial MT" w:cs="Arial MT"/>
      <w:sz w:val="22"/>
      <w:szCs w:val="22"/>
      <w:lang w:val="eu-ES" w:eastAsia="en-US"/>
    </w:rPr>
  </w:style>
  <w:style w:type="character" w:customStyle="1" w:styleId="PiedepginaCar">
    <w:name w:val="Pie de página Car"/>
    <w:basedOn w:val="Fuentedeprrafopredeter"/>
    <w:link w:val="Piedepgina"/>
    <w:uiPriority w:val="99"/>
    <w:rsid w:val="002F1E30"/>
    <w:rPr>
      <w:lang w:val="eu-ES" w:eastAsia="es-ES"/>
    </w:rPr>
  </w:style>
  <w:style w:type="table" w:customStyle="1" w:styleId="TableGrid">
    <w:name w:val="TableGrid"/>
    <w:rsid w:val="00A11631"/>
    <w:rPr>
      <w:rFonts w:asciiTheme="minorHAnsi" w:eastAsiaTheme="minorEastAsia" w:hAnsiTheme="minorHAnsi" w:cstheme="minorBidi"/>
      <w:sz w:val="22"/>
      <w:szCs w:val="22"/>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216</Words>
  <Characters>1192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Martin Cestao, Nerea</cp:lastModifiedBy>
  <cp:revision>14</cp:revision>
  <cp:lastPrinted>2025-04-08T12:53:00Z</cp:lastPrinted>
  <dcterms:created xsi:type="dcterms:W3CDTF">2025-09-23T07:49:00Z</dcterms:created>
  <dcterms:modified xsi:type="dcterms:W3CDTF">2025-10-07T11:55:00Z</dcterms:modified>
</cp:coreProperties>
</file>