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EBF10" w14:textId="37B45CD7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El Consejero de Cohesión Territorial del Gobierno de Navarra, en relación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con la pregunta para su contestación por escrito formulada por el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Parlamentario Foral Ilmo. Sr. D. Mikel Zabaleta Aramendia, adscrito al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Grupo Parlamentario EH Bildu Nafarroa, sobre la renovación de las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concesiones de transporte público interurbano de viajeros por carretera de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Navarra (11-25/PES-00318), informa lo siguiente:</w:t>
      </w:r>
    </w:p>
    <w:p w14:paraId="5CCDF7D4" w14:textId="30BDDFCB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1. ¿En qué situación se encuentra la renovación de las concesiones de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transporte público interurbano de viajeros por carretera de Navarra?</w:t>
      </w:r>
    </w:p>
    <w:p w14:paraId="4FB81A6E" w14:textId="43E8FF3F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En las próximas semanas está previsto adjudicar la concesión Pamplona/Iruña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– Irún, Zona Baztán-Bidasoa.</w:t>
      </w:r>
    </w:p>
    <w:p w14:paraId="4B308757" w14:textId="0052D12C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Actualmente quedan 3 concesiones por licitar: Pamplona/Iruña – Zona Pirineos;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Pamplona/Iruña – Estella/Lizarra – Logroño – Donostia/San Sebastián, Zona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Estella y Ribera Alta; y Pamplona/Iruña – Donostia/San Sebastián, Zona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Noroeste.</w:t>
      </w:r>
    </w:p>
    <w:p w14:paraId="6304A5AD" w14:textId="24B80B78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La concesión de Pamplona/Iruña – Zona Pirineos se prevé licitarla el último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trimestre de este año.</w:t>
      </w:r>
    </w:p>
    <w:p w14:paraId="1991BA9D" w14:textId="6F56E305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Respecto a las otras dos concesiones, Pamplona/Iruña – Estella/Lizarra –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Logroño – Donostia/San Sebastián, Zona Estella y Ribera Alta; y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Pamplona/Iruña – Donostia/San Sebastián, Zona Noroeste, se está avanzando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en el diseño con el apoyo de una asistencia técnica externa.</w:t>
      </w:r>
    </w:p>
    <w:p w14:paraId="1BBD3BC9" w14:textId="7F3F4163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2. Desde el 2014, ¿en qué fecha se renovaron las nuevas concesiones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renovadas y cuándo expira la vigencia de cada una de estas concesiones?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En caso de que se prevean prórrogas en dichas concesiones, ¿qué fechas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se prevén en cada una de las prórrogas de estas condiciones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concesiones?</w:t>
      </w:r>
    </w:p>
    <w:p w14:paraId="45AB3E33" w14:textId="77777777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Concesiones adjudicadas:</w:t>
      </w:r>
    </w:p>
    <w:p w14:paraId="5D4C8966" w14:textId="471229BF" w:rsidR="008A6F7F" w:rsidRPr="00F90E01" w:rsidRDefault="008A6F7F" w:rsidP="00F90E0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F90E01">
        <w:rPr>
          <w:rFonts w:cstheme="minorHAnsi"/>
        </w:rPr>
        <w:t>Pamplona/Iruña – Soria, NAV-001: noviembre de 2019 – noviembre de 2029.</w:t>
      </w:r>
    </w:p>
    <w:p w14:paraId="5C3FF228" w14:textId="09290ACE" w:rsidR="008A6F7F" w:rsidRPr="008A6F7F" w:rsidRDefault="008A6F7F" w:rsidP="00F90E0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Pamplona/Iruña – Tafalla, NAV-002: marzo de 2022 –marzo de 2028.</w:t>
      </w:r>
    </w:p>
    <w:p w14:paraId="72BF5BB1" w14:textId="63F05DB5" w:rsidR="008A6F7F" w:rsidRPr="008A6F7F" w:rsidRDefault="008A6F7F" w:rsidP="00F90E0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Pamplona/Iruña - Tudela – Zaragoza, NAV-003: marzo de 2023 –marzo de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2029</w:t>
      </w:r>
      <w:r w:rsidR="00D81711">
        <w:rPr>
          <w:rFonts w:cstheme="minorHAnsi"/>
        </w:rPr>
        <w:t>.</w:t>
      </w:r>
    </w:p>
    <w:p w14:paraId="2E492547" w14:textId="1747CF69" w:rsidR="00D92942" w:rsidRPr="008A6F7F" w:rsidRDefault="008A6F7F" w:rsidP="00F90E0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Pamplona/Iruña –Altsasu/Alsasua – Vitoria/Gasteiz, NAV-004: mayo de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2023 – mayo de 2028</w:t>
      </w:r>
      <w:r w:rsidR="00D81711">
        <w:rPr>
          <w:rFonts w:cstheme="minorHAnsi"/>
        </w:rPr>
        <w:t>.</w:t>
      </w:r>
    </w:p>
    <w:p w14:paraId="517A3449" w14:textId="77777777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La LOTT prevé prórrogas de dos años.</w:t>
      </w:r>
    </w:p>
    <w:p w14:paraId="78A18AA0" w14:textId="38BC8095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3. ¿Qué previsión temporal tiene el Departamento para formalizar las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concesiones que se encuentran pendientes de renovar?</w:t>
      </w:r>
    </w:p>
    <w:p w14:paraId="3A6A9C21" w14:textId="5C019737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La previsión es que, en 2025, esté adjudicada la concesión de Pamplona/Iruña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– Irún, Zona Baztán-Bidasoa y licitada la de Pamplona/Iruña – Zona Pirineos. En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el primer semestre del año 2026 se licitarán los otros dos restantes.</w:t>
      </w:r>
    </w:p>
    <w:p w14:paraId="3566ECF8" w14:textId="38ECA83E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Es cuanto informo en cumplimiento de lo dispuesto en el artículo 15 del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Reglamento del Parlamento de Navarra, señalando que, en virtud de lo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establecido en la legislación de protección de datos, únicamente se podrá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utilizar el contenido que le ha sido entregado, para los fines previstos en el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artículo 14 del Reglamento del Parlamento de Navarra, estando obligado a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la observancia de lo establecido en la Ley Orgánica 3/2018, de 5 de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diciembre de protección de datos personales y garantía de los derechos</w:t>
      </w:r>
      <w:r>
        <w:rPr>
          <w:rFonts w:cstheme="minorHAnsi"/>
        </w:rPr>
        <w:t xml:space="preserve"> </w:t>
      </w:r>
      <w:r w:rsidRPr="008A6F7F">
        <w:rPr>
          <w:rFonts w:cstheme="minorHAnsi"/>
        </w:rPr>
        <w:t>digitales</w:t>
      </w:r>
      <w:r w:rsidR="00D81711">
        <w:rPr>
          <w:rFonts w:cstheme="minorHAnsi"/>
        </w:rPr>
        <w:t>.</w:t>
      </w:r>
    </w:p>
    <w:p w14:paraId="489DAD0D" w14:textId="622882CE" w:rsid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A6F7F">
        <w:rPr>
          <w:rFonts w:cstheme="minorHAnsi"/>
        </w:rPr>
        <w:t>Pamplona-</w:t>
      </w:r>
      <w:r w:rsidR="00873523" w:rsidRPr="008A6F7F">
        <w:rPr>
          <w:rFonts w:cstheme="minorHAnsi"/>
        </w:rPr>
        <w:t>Iruña</w:t>
      </w:r>
      <w:r w:rsidRPr="008A6F7F">
        <w:rPr>
          <w:rFonts w:cstheme="minorHAnsi"/>
        </w:rPr>
        <w:t>, 29 de septiembre de 2025</w:t>
      </w:r>
    </w:p>
    <w:p w14:paraId="44073C91" w14:textId="6624218F" w:rsidR="008A6F7F" w:rsidRPr="008A6F7F" w:rsidRDefault="008A6F7F" w:rsidP="008A6F7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Consejero de Cohesión Territorial: Óscar Chivite Cornago</w:t>
      </w:r>
    </w:p>
    <w:sectPr w:rsidR="008A6F7F" w:rsidRPr="008A6F7F" w:rsidSect="00873523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4765F"/>
    <w:multiLevelType w:val="hybridMultilevel"/>
    <w:tmpl w:val="5BA06772"/>
    <w:lvl w:ilvl="0" w:tplc="8E90A4B0">
      <w:numFmt w:val="bullet"/>
      <w:lvlText w:val=""/>
      <w:lvlJc w:val="left"/>
      <w:pPr>
        <w:ind w:left="720" w:hanging="360"/>
      </w:pPr>
      <w:rPr>
        <w:rFonts w:ascii="Calibri" w:eastAsia="SymbolMT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D70C9"/>
    <w:multiLevelType w:val="hybridMultilevel"/>
    <w:tmpl w:val="5A90D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7F"/>
    <w:rsid w:val="00873523"/>
    <w:rsid w:val="008A6F7F"/>
    <w:rsid w:val="00D81711"/>
    <w:rsid w:val="00D92942"/>
    <w:rsid w:val="00F90E01"/>
    <w:rsid w:val="00F9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D4EE"/>
  <w15:chartTrackingRefBased/>
  <w15:docId w15:val="{6C4F347C-8773-443E-AFA1-14B5152A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0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Fernánadez Pérez, Beatriz</dc:creator>
  <cp:keywords/>
  <dc:description/>
  <cp:lastModifiedBy>Fernández Pérez, Beatriz</cp:lastModifiedBy>
  <cp:revision>4</cp:revision>
  <dcterms:created xsi:type="dcterms:W3CDTF">2025-09-30T06:04:00Z</dcterms:created>
  <dcterms:modified xsi:type="dcterms:W3CDTF">2025-10-30T07:42:00Z</dcterms:modified>
</cp:coreProperties>
</file>