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0F83F" w14:textId="7C969746" w:rsidR="00E3153F" w:rsidRPr="00F7157A" w:rsidRDefault="002C6CA9" w:rsidP="00E3153F">
      <w:pPr>
        <w:pStyle w:val="DICTA-TITULO"/>
        <w:rPr>
          <w:lang w:val="es-ES_tradnl"/>
        </w:rPr>
      </w:pPr>
      <w:r>
        <w:rPr>
          <w:lang w:val="es-ES_tradnl"/>
        </w:rPr>
        <w:t xml:space="preserve">PROYECTO DE </w:t>
      </w:r>
      <w:r w:rsidR="00E3153F" w:rsidRPr="00F7157A">
        <w:rPr>
          <w:lang w:val="es-ES_tradnl"/>
        </w:rPr>
        <w:t>LEY FORAL DE PRESUPUESTOS GENERALES DE NAVARRA PARA EL AÑO 202</w:t>
      </w:r>
      <w:r w:rsidR="004B731B" w:rsidRPr="00F7157A">
        <w:rPr>
          <w:lang w:val="es-ES_tradnl"/>
        </w:rPr>
        <w:t>6</w:t>
      </w:r>
      <w:r w:rsidR="00E3153F" w:rsidRPr="00F7157A">
        <w:rPr>
          <w:lang w:val="es-ES_tradnl"/>
        </w:rPr>
        <w:t>.</w:t>
      </w:r>
    </w:p>
    <w:p w14:paraId="64F04ABF" w14:textId="77777777" w:rsidR="00E3153F" w:rsidRPr="00F7157A" w:rsidRDefault="00E3153F"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TÍTULO 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DE LOS CRÉDITOS Y SUS MODIFICACIONES</w:t>
      </w:r>
    </w:p>
    <w:p w14:paraId="717074A0" w14:textId="77777777" w:rsidR="00E3153F" w:rsidRPr="00F7157A" w:rsidRDefault="00E3153F"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CAPÍTULO 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CRÉDITOS INICIALES Y SU FINANCIACIÓN</w:t>
      </w:r>
    </w:p>
    <w:p w14:paraId="023705E8"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 Ámbito de los Presupuestos Generales de Navarra.</w:t>
      </w:r>
    </w:p>
    <w:p w14:paraId="13EA386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Se aprueban los Presupuestos Generales de Navarra para el año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integrados por:</w:t>
      </w:r>
    </w:p>
    <w:p w14:paraId="1B83685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El presupuesto del Parlamento de Navarra, el de la Cámara de Comptos y el de la Institución del Defensor del Pueblo.</w:t>
      </w:r>
    </w:p>
    <w:p w14:paraId="1B46D20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El presupuesto de la Administración de la Comunidad Foral y de sus organismos autónomos.</w:t>
      </w:r>
    </w:p>
    <w:p w14:paraId="06F4637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El presupuesto del Consejo de Navarra.</w:t>
      </w:r>
    </w:p>
    <w:p w14:paraId="68995912"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Los presupuestos de las fundaciones públicas de la Comunidad Foral.</w:t>
      </w:r>
    </w:p>
    <w:p w14:paraId="5DFAFD4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 Los presupuestos de las sociedades públicas de la Comunidad Foral.</w:t>
      </w:r>
    </w:p>
    <w:p w14:paraId="00D267CE"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f) El presupuesto estimativo y la financiación de la Universidad Pública de Navarra.</w:t>
      </w:r>
    </w:p>
    <w:p w14:paraId="22E4FE5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g) El presupuesto de la Oficina de Buenas Prácticas y Anticorrupción.</w:t>
      </w:r>
    </w:p>
    <w:p w14:paraId="45FEF5E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612D56A8"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2. Cuantía de los créditos y de los derechos económicos.</w:t>
      </w:r>
    </w:p>
    <w:p w14:paraId="23624D3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Para la ejecución de los programas integrados en los estados de gastos de los Presupuestos mencionados en el artículo anterior, se aprueban créditos por un importe consolidado de </w:t>
      </w:r>
      <w:r w:rsidR="00035851" w:rsidRPr="00F7157A">
        <w:rPr>
          <w:rFonts w:ascii="Arial" w:eastAsia="Times New Roman" w:hAnsi="Arial" w:cs="Arial"/>
          <w:sz w:val="24"/>
          <w:szCs w:val="24"/>
          <w:lang w:val="es-ES" w:eastAsia="es-ES"/>
        </w:rPr>
        <w:t xml:space="preserve">6.741.514.953 </w:t>
      </w:r>
      <w:r w:rsidR="00E95FE3">
        <w:rPr>
          <w:rFonts w:ascii="Arial" w:eastAsia="Times New Roman" w:hAnsi="Arial" w:cs="Arial"/>
          <w:sz w:val="24"/>
          <w:szCs w:val="24"/>
          <w:lang w:val="es-ES" w:eastAsia="es-ES"/>
        </w:rPr>
        <w:t>euros, cuyo desglose por capítulos económicos se recoge en el Anexo I de esta ley foral.</w:t>
      </w:r>
    </w:p>
    <w:p w14:paraId="0D38025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 xml:space="preserve">2. En los estados de ingresos de los Presupuestos referidos en el artículo anterior se contienen las estimaciones de los derechos económicos que se prevén liquidar durante el ejercicio presupuestario, por un importe consolidado de </w:t>
      </w:r>
      <w:r w:rsidR="00035851" w:rsidRPr="00F7157A">
        <w:rPr>
          <w:rFonts w:ascii="Arial" w:eastAsia="Times New Roman" w:hAnsi="Arial" w:cs="Arial"/>
          <w:sz w:val="24"/>
          <w:szCs w:val="24"/>
          <w:lang w:val="es-ES" w:eastAsia="es-ES"/>
        </w:rPr>
        <w:t xml:space="preserve">6.741.514.953 </w:t>
      </w:r>
      <w:r w:rsidR="00E95FE3">
        <w:rPr>
          <w:rFonts w:ascii="Arial" w:eastAsia="Times New Roman" w:hAnsi="Arial" w:cs="Arial"/>
          <w:sz w:val="24"/>
          <w:szCs w:val="24"/>
          <w:lang w:val="es-ES" w:eastAsia="es-ES"/>
        </w:rPr>
        <w:t>euros, cuyo desglose por capítulos económicos se recoge en el Anexo I de esta ley foral.</w:t>
      </w:r>
    </w:p>
    <w:p w14:paraId="38BE2CD4"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límite de déficit, una vez descontado el Fondo de Haciendas Locales y la aportación económica al Estado, queda establecido en </w:t>
      </w:r>
      <w:r w:rsidR="00035851" w:rsidRPr="00F7157A">
        <w:rPr>
          <w:rFonts w:ascii="Arial" w:eastAsia="Times New Roman" w:hAnsi="Arial" w:cs="Arial"/>
          <w:sz w:val="24"/>
          <w:szCs w:val="24"/>
          <w:lang w:val="es-ES" w:eastAsia="es-ES"/>
        </w:rPr>
        <w:t>5.041.659.452</w:t>
      </w:r>
      <w:r w:rsidRPr="00F7157A">
        <w:rPr>
          <w:rFonts w:ascii="Arial" w:eastAsia="Times New Roman" w:hAnsi="Arial" w:cs="Arial"/>
          <w:sz w:val="24"/>
          <w:szCs w:val="24"/>
          <w:lang w:val="es-ES" w:eastAsia="es-ES"/>
        </w:rPr>
        <w:t xml:space="preserve"> euros.</w:t>
      </w:r>
    </w:p>
    <w:p w14:paraId="72CA9276" w14:textId="77777777" w:rsidR="00E3153F" w:rsidRPr="00F7157A" w:rsidRDefault="00E3153F"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CAPÍTULO II.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MODIFICACIÓN DE LOS CRÉDITOS PRESUPUESTARIOS</w:t>
      </w:r>
    </w:p>
    <w:p w14:paraId="6061A3B7"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3. Modificación de créditos presupuestarios y movimientos presupuestarios.</w:t>
      </w:r>
    </w:p>
    <w:p w14:paraId="1CD27E3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Las modificaciones de los créditos presupuestarios se ajustarán a los preceptos de la Ley Foral 13/2007, de 4 de abril, de la Hacienda Pública de Navarra, en cuanto no resulten modificados por la presente ley foral.</w:t>
      </w:r>
    </w:p>
    <w:p w14:paraId="524102E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Se podrán realizar movimientos de fondos entre partidas en las que figuran créditos destinados a una misma finalidad pero que son distintas por exigencias de la Unión Europea para el mejor control del destino de los gastos al estar, en parte, cofinanciados por aquella. Estos movimientos no tendrán la consideración de modificaciones presupuestarias.</w:t>
      </w:r>
    </w:p>
    <w:p w14:paraId="231972F2"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competencia para autorizar los mencionados movimientos de fondos corresponderá a la persona titular del departamento donde se encuadre la partida.</w:t>
      </w:r>
    </w:p>
    <w:p w14:paraId="225B80A3"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4. Modificaciones presupuestarias de los programas comunitarios.</w:t>
      </w:r>
    </w:p>
    <w:p w14:paraId="2B62B51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El Gobierno de Navarra, a propuesta de la persona titular del Departamento de Economía y Hacienda, previo informe de la persona titular de la Dirección General de Fomento Empresarial</w:t>
      </w:r>
      <w:r w:rsidR="003B0277" w:rsidRPr="00F7157A">
        <w:rPr>
          <w:rFonts w:ascii="Arial" w:eastAsia="Times New Roman" w:hAnsi="Arial" w:cs="Arial"/>
          <w:sz w:val="24"/>
          <w:szCs w:val="24"/>
          <w:lang w:val="es-ES" w:eastAsia="es-ES"/>
        </w:rPr>
        <w:t xml:space="preserve"> e Infraestructuras</w:t>
      </w:r>
      <w:r w:rsidRPr="00F7157A">
        <w:rPr>
          <w:rFonts w:ascii="Arial" w:eastAsia="Times New Roman" w:hAnsi="Arial" w:cs="Arial"/>
          <w:sz w:val="24"/>
          <w:szCs w:val="24"/>
          <w:lang w:val="es-ES" w:eastAsia="es-ES"/>
        </w:rPr>
        <w:t xml:space="preserve">, podrá autorizar las modificaciones presupuestarias necesarias para llevar a efecto durante el ejercicio la mejor ejecución de los programas y proyectos cofinanciados por la Unión Europea, de conformidad con lo aprobado por la Comisión en el </w:t>
      </w:r>
      <w:r w:rsidRPr="00F7157A">
        <w:rPr>
          <w:rFonts w:ascii="Arial" w:eastAsia="Times New Roman" w:hAnsi="Arial" w:cs="Arial"/>
          <w:sz w:val="24"/>
          <w:szCs w:val="24"/>
          <w:lang w:val="es-ES" w:eastAsia="es-ES"/>
        </w:rPr>
        <w:lastRenderedPageBreak/>
        <w:t>documento inicial, o con las modificaciones posteriores que los Comités de Seguimiento o la propia Comisión hayan introducido. Las modificaciones presupuestarias deberán financiarse con créditos de cualquier naturaleza que figuren en los estados de gastos.</w:t>
      </w:r>
    </w:p>
    <w:p w14:paraId="04C954C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Cualquier modificación de crédito que afecte directamente a las partidas en las que se recojan proyectos cofinanciados por la Unión Europea requerirá informe previo de la Dirección General de Fomento Empresarial</w:t>
      </w:r>
      <w:r w:rsidR="003B0277" w:rsidRPr="00F7157A">
        <w:rPr>
          <w:rFonts w:ascii="Arial" w:eastAsia="Times New Roman" w:hAnsi="Arial" w:cs="Arial"/>
          <w:sz w:val="24"/>
          <w:szCs w:val="24"/>
          <w:lang w:val="es-ES" w:eastAsia="es-ES"/>
        </w:rPr>
        <w:t xml:space="preserve"> e Infraestructuras</w:t>
      </w:r>
      <w:r w:rsidRPr="00F7157A">
        <w:rPr>
          <w:rFonts w:ascii="Arial" w:eastAsia="Times New Roman" w:hAnsi="Arial" w:cs="Arial"/>
          <w:sz w:val="24"/>
          <w:szCs w:val="24"/>
          <w:lang w:val="es-ES" w:eastAsia="es-ES"/>
        </w:rPr>
        <w:t>. Se exceptúan las modificaciones que afecten a créditos cofinanciados por el Fondo Europeo Agrícola de Desarrollo Rural (FEADER).</w:t>
      </w:r>
    </w:p>
    <w:p w14:paraId="3AC6E71C"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5. Ampliaciones de crédito.</w:t>
      </w:r>
    </w:p>
    <w:p w14:paraId="7B9CDE3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Además de los créditos referidos en las letras a) a g) del apartado 1 del artículo 47 de la Ley Foral 13/2007, de 4 de abril, de la Hacienda Pública de Navarra, tendrán la consideración de ampliables para el ejercicio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xml:space="preserve"> todas las partidas existentes o que fuera necesario crear durante el ejercicio para la concesión de indemnizaciones,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14:paraId="4C058A9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2. Además, tendrán la consideración de ampliables para el ejercicio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todas las partidas existentes o que fuera necesario crear durante el ejercicio, aunque no exista la vinculación exigida y regulada en el artículo 38 de la Ley Foral 13/2007, de 4 de abril, de la Hacienda Pública de Navarra, para financiar las medidas para la reducción de las listas de espera en el Servicio Navarro de Salud-Osasunbidea que contendrán en su denominación listas de espera.</w:t>
      </w:r>
    </w:p>
    <w:p w14:paraId="0BA1CB8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3. Asimismo, tendrán la consideración de ampliables para el ejercicio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xml:space="preserve"> todas las partidas existentes o que fuera necesario crear durante el ejercicio, aunque no exista la vinculación exigida y regulada en el artículo 38 de la Ley Foral 13/2007, de 4 de abril, de la Hacienda Pública de Navarra, para financiar las inversiones del Programa de inversiones </w:t>
      </w:r>
      <w:r w:rsidR="00636F2E">
        <w:rPr>
          <w:rFonts w:ascii="Arial" w:eastAsia="Times New Roman" w:hAnsi="Arial" w:cs="Arial"/>
          <w:sz w:val="24"/>
          <w:szCs w:val="24"/>
          <w:lang w:val="es-ES" w:eastAsia="es-ES"/>
        </w:rPr>
        <w:t>2025 previstas en el artículo 8</w:t>
      </w:r>
      <w:r w:rsidR="00772A2F">
        <w:rPr>
          <w:rFonts w:ascii="Arial" w:eastAsia="Times New Roman" w:hAnsi="Arial" w:cs="Arial"/>
          <w:sz w:val="24"/>
          <w:szCs w:val="24"/>
          <w:lang w:val="es-ES" w:eastAsia="es-ES"/>
        </w:rPr>
        <w:t>0</w:t>
      </w:r>
      <w:r w:rsidRPr="00F7157A">
        <w:rPr>
          <w:rFonts w:ascii="Arial" w:eastAsia="Times New Roman" w:hAnsi="Arial" w:cs="Arial"/>
          <w:sz w:val="24"/>
          <w:szCs w:val="24"/>
          <w:lang w:val="es-ES" w:eastAsia="es-ES"/>
        </w:rPr>
        <w:t xml:space="preserve"> de esta Ley Foral y que contendrán en su denominación PRIN25.</w:t>
      </w:r>
    </w:p>
    <w:p w14:paraId="5908936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 Además de lo anterior, se considerarán ampliables:</w:t>
      </w:r>
    </w:p>
    <w:p w14:paraId="390C1FE7"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1</w:t>
      </w:r>
      <w:r w:rsidRPr="00F7157A">
        <w:rPr>
          <w:rFonts w:ascii="Arial" w:eastAsia="Times New Roman" w:hAnsi="Arial" w:cs="Arial"/>
          <w:sz w:val="24"/>
          <w:szCs w:val="24"/>
          <w:lang w:val="es-ES" w:eastAsia="es-ES"/>
        </w:rPr>
        <w:t>. Las siguientes partidas del Departamento de Economía y Hacienda:</w:t>
      </w:r>
    </w:p>
    <w:p w14:paraId="2130A4F4" w14:textId="77777777" w:rsidR="005D3833" w:rsidRPr="00F7157A" w:rsidRDefault="005D3833" w:rsidP="005D3833">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100000-10000-4709-441100 denominada "AUDENASA. Política comercial".</w:t>
      </w:r>
    </w:p>
    <w:p w14:paraId="6234FBC8" w14:textId="77777777" w:rsidR="005D3833" w:rsidRPr="00BB0DB8" w:rsidRDefault="005D3833" w:rsidP="005D3833">
      <w:pPr>
        <w:shd w:val="clear" w:color="auto" w:fill="FFFFFF"/>
        <w:spacing w:after="300" w:line="340" w:lineRule="exact"/>
        <w:jc w:val="both"/>
        <w:rPr>
          <w:rFonts w:ascii="Arial" w:eastAsia="Times New Roman" w:hAnsi="Arial" w:cs="Arial"/>
          <w:sz w:val="24"/>
          <w:szCs w:val="24"/>
          <w:lang w:val="es-ES" w:eastAsia="es-ES"/>
        </w:rPr>
      </w:pPr>
      <w:r w:rsidRPr="00BB0DB8">
        <w:rPr>
          <w:rFonts w:ascii="Arial" w:eastAsia="Times New Roman" w:hAnsi="Arial" w:cs="Arial"/>
          <w:sz w:val="24"/>
          <w:szCs w:val="24"/>
          <w:lang w:val="es-ES" w:eastAsia="es-ES"/>
        </w:rPr>
        <w:lastRenderedPageBreak/>
        <w:t>b) 114001-13100-3101-923700 denominada "Intereses y comisiones de créditos".</w:t>
      </w:r>
    </w:p>
    <w:p w14:paraId="25AC0B03" w14:textId="77777777" w:rsidR="005D3833" w:rsidRPr="00BB0DB8" w:rsidRDefault="00095361" w:rsidP="005D3833">
      <w:pPr>
        <w:shd w:val="clear" w:color="auto" w:fill="FFFFFF"/>
        <w:spacing w:after="300" w:line="3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w:t>
      </w:r>
      <w:r w:rsidR="005D3833" w:rsidRPr="00BB0DB8">
        <w:rPr>
          <w:rFonts w:ascii="Arial" w:eastAsia="Times New Roman" w:hAnsi="Arial" w:cs="Arial"/>
          <w:sz w:val="24"/>
          <w:szCs w:val="24"/>
          <w:lang w:val="es-ES" w:eastAsia="es-ES"/>
        </w:rPr>
        <w:t>) 114001-13100-3509-923700 denominada "Retribución por saldos en cuentas corrientes y similares".</w:t>
      </w:r>
    </w:p>
    <w:p w14:paraId="542F4662" w14:textId="77777777" w:rsidR="005D3833" w:rsidRPr="00F7157A" w:rsidRDefault="00095361" w:rsidP="005D3833">
      <w:pPr>
        <w:shd w:val="clear" w:color="auto" w:fill="FFFFFF"/>
        <w:spacing w:after="300" w:line="3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d</w:t>
      </w:r>
      <w:r w:rsidR="005D3833" w:rsidRPr="00BB0DB8">
        <w:rPr>
          <w:rFonts w:ascii="Arial" w:eastAsia="Times New Roman" w:hAnsi="Arial" w:cs="Arial"/>
          <w:sz w:val="24"/>
          <w:szCs w:val="24"/>
          <w:lang w:val="es-ES" w:eastAsia="es-ES"/>
        </w:rPr>
        <w:t>)</w:t>
      </w:r>
      <w:r w:rsidR="005D3833" w:rsidRPr="00F7157A">
        <w:rPr>
          <w:rFonts w:ascii="Arial" w:eastAsia="Times New Roman" w:hAnsi="Arial" w:cs="Arial"/>
          <w:sz w:val="24"/>
          <w:szCs w:val="24"/>
          <w:lang w:val="es-ES" w:eastAsia="es-ES"/>
        </w:rPr>
        <w:t xml:space="preserve"> 111002-11300-6002-923100 denominada "Terrenos y bienes naturales".</w:t>
      </w:r>
    </w:p>
    <w:p w14:paraId="34AC04B4" w14:textId="77777777" w:rsidR="005D3833" w:rsidRPr="00F7157A" w:rsidRDefault="00095361" w:rsidP="005D3833">
      <w:pPr>
        <w:shd w:val="clear" w:color="auto" w:fill="FFFFFF"/>
        <w:spacing w:after="300" w:line="3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w:t>
      </w:r>
      <w:r w:rsidR="005D3833" w:rsidRPr="00F7157A">
        <w:rPr>
          <w:rFonts w:ascii="Arial" w:eastAsia="Times New Roman" w:hAnsi="Arial" w:cs="Arial"/>
          <w:sz w:val="24"/>
          <w:szCs w:val="24"/>
          <w:lang w:val="es-ES" w:eastAsia="es-ES"/>
        </w:rPr>
        <w:t>) 111002-11300-6003-923100 denominada "Demoliciones".</w:t>
      </w:r>
    </w:p>
    <w:p w14:paraId="463D44D5" w14:textId="77777777" w:rsidR="005D3833" w:rsidRPr="00F7157A" w:rsidRDefault="00095361" w:rsidP="005D3833">
      <w:pPr>
        <w:shd w:val="clear" w:color="auto" w:fill="FFFFFF"/>
        <w:spacing w:after="300" w:line="3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f</w:t>
      </w:r>
      <w:r w:rsidR="005D3833" w:rsidRPr="00F7157A">
        <w:rPr>
          <w:rFonts w:ascii="Arial" w:eastAsia="Times New Roman" w:hAnsi="Arial" w:cs="Arial"/>
          <w:sz w:val="24"/>
          <w:szCs w:val="24"/>
          <w:lang w:val="es-ES" w:eastAsia="es-ES"/>
        </w:rPr>
        <w:t>) 111002-11300-6020-923100 denominada "Edificios y obras de nueva instalación, y reforma del patrimonio inmobiliario".</w:t>
      </w:r>
    </w:p>
    <w:p w14:paraId="3786783F" w14:textId="77777777" w:rsidR="005D3833" w:rsidRPr="00F7157A" w:rsidRDefault="00095361" w:rsidP="005D3833">
      <w:pPr>
        <w:shd w:val="clear" w:color="auto" w:fill="FFFFFF"/>
        <w:spacing w:after="300" w:line="340" w:lineRule="exact"/>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g</w:t>
      </w:r>
      <w:r w:rsidR="005D3833" w:rsidRPr="00F7157A">
        <w:rPr>
          <w:rFonts w:ascii="Arial" w:eastAsia="Times New Roman" w:hAnsi="Arial" w:cs="Arial"/>
          <w:sz w:val="24"/>
          <w:szCs w:val="24"/>
          <w:lang w:val="es-ES" w:eastAsia="es-ES"/>
        </w:rPr>
        <w:t>) 155005-17800-3501-932100 denominada "Intereses por demora en devoluciones de ingresos indebidos e impuestos".</w:t>
      </w:r>
    </w:p>
    <w:p w14:paraId="3CBFCCB3" w14:textId="1DB346D5" w:rsidR="0095518B" w:rsidRPr="00F7157A" w:rsidRDefault="0095518B" w:rsidP="005D3833">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2</w:t>
      </w:r>
      <w:r w:rsidRPr="00F7157A">
        <w:rPr>
          <w:rFonts w:ascii="Arial" w:eastAsia="Times New Roman" w:hAnsi="Arial" w:cs="Arial"/>
          <w:sz w:val="24"/>
          <w:szCs w:val="24"/>
          <w:lang w:val="es-ES" w:eastAsia="es-ES"/>
        </w:rPr>
        <w:t>. Las siguientes partidas del Departamento de Cohesión Territorial:</w:t>
      </w:r>
    </w:p>
    <w:p w14:paraId="251CB144"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210001-21100-4609-942300 denominada “Compensación a entes locales por bonificaciones en tributos locales”.</w:t>
      </w:r>
    </w:p>
    <w:p w14:paraId="58C9470F"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220000-22000-6010-453300 denominada “Revisión de precios”.</w:t>
      </w:r>
    </w:p>
    <w:p w14:paraId="3CB7DD9F"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220003-22200-2090-453200 denominada “Canon de la autovía A-12 Pamplona-Logroño”.</w:t>
      </w:r>
    </w:p>
    <w:p w14:paraId="74BDE810"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220003-22200-2090-453202 denominada “Canon de la autovía A-21 Autovía del Pirineo”.</w:t>
      </w:r>
    </w:p>
    <w:p w14:paraId="347C9CB5"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w:t>
      </w:r>
      <w:r w:rsidR="0095518B" w:rsidRPr="00F7157A">
        <w:rPr>
          <w:rFonts w:ascii="Arial" w:eastAsia="Times New Roman" w:hAnsi="Arial" w:cs="Arial"/>
          <w:sz w:val="24"/>
          <w:szCs w:val="24"/>
          <w:lang w:val="es-ES" w:eastAsia="es-ES"/>
        </w:rPr>
        <w:t>) 220004-22100-4700-452100 denominada “Canon de los riegos del Canal de Navarra. Ampliación 1ª Fase”.</w:t>
      </w:r>
    </w:p>
    <w:p w14:paraId="2B949F00" w14:textId="681EA5BA"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3</w:t>
      </w:r>
      <w:r w:rsidRPr="00F7157A">
        <w:rPr>
          <w:rFonts w:ascii="Arial" w:eastAsia="Times New Roman" w:hAnsi="Arial" w:cs="Arial"/>
          <w:sz w:val="24"/>
          <w:szCs w:val="24"/>
          <w:lang w:val="es-ES" w:eastAsia="es-ES"/>
        </w:rPr>
        <w:t>. Las siguientes partidas del Departamento de Educación</w:t>
      </w:r>
      <w:r w:rsidR="007814A6">
        <w:rPr>
          <w:rFonts w:ascii="Arial" w:eastAsia="Times New Roman" w:hAnsi="Arial" w:cs="Arial"/>
          <w:sz w:val="24"/>
          <w:szCs w:val="24"/>
          <w:lang w:val="es-ES" w:eastAsia="es-ES"/>
        </w:rPr>
        <w:t>:</w:t>
      </w:r>
    </w:p>
    <w:p w14:paraId="7FA49545"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w:t>
      </w:r>
      <w:r w:rsidR="0095518B" w:rsidRPr="00F7157A">
        <w:rPr>
          <w:rFonts w:ascii="Arial" w:eastAsia="Times New Roman" w:hAnsi="Arial" w:cs="Arial"/>
          <w:sz w:val="24"/>
          <w:szCs w:val="24"/>
          <w:lang w:val="es-ES" w:eastAsia="es-ES"/>
        </w:rPr>
        <w:t>) 400000-41000-1220-322000 denominada "Retribuciones del personal contratado temporal".</w:t>
      </w:r>
    </w:p>
    <w:p w14:paraId="67FF62D6"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w:t>
      </w:r>
      <w:r w:rsidR="0095518B" w:rsidRPr="00F7157A">
        <w:rPr>
          <w:rFonts w:ascii="Arial" w:eastAsia="Times New Roman" w:hAnsi="Arial" w:cs="Arial"/>
          <w:sz w:val="24"/>
          <w:szCs w:val="24"/>
          <w:lang w:val="es-ES" w:eastAsia="es-ES"/>
        </w:rPr>
        <w:t>) 400000-41000-1800-322000 denominada "Reconocimiento de servicios, nuevos complementos, grado, antigüedad, reingresos de excedencias y otros".</w:t>
      </w:r>
    </w:p>
    <w:p w14:paraId="4B7FA5CD"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w:t>
      </w:r>
      <w:r w:rsidR="0095518B" w:rsidRPr="00F7157A">
        <w:rPr>
          <w:rFonts w:ascii="Arial" w:eastAsia="Times New Roman" w:hAnsi="Arial" w:cs="Arial"/>
          <w:sz w:val="24"/>
          <w:szCs w:val="24"/>
          <w:lang w:val="es-ES" w:eastAsia="es-ES"/>
        </w:rPr>
        <w:t>) 400000-41000-1810-322000 denominada "Retribuciones de personal de ejercicios anteriores".</w:t>
      </w:r>
    </w:p>
    <w:p w14:paraId="7B087F30"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d</w:t>
      </w:r>
      <w:r w:rsidR="0095518B" w:rsidRPr="00F7157A">
        <w:rPr>
          <w:rFonts w:ascii="Arial" w:eastAsia="Times New Roman" w:hAnsi="Arial" w:cs="Arial"/>
          <w:sz w:val="24"/>
          <w:szCs w:val="24"/>
          <w:lang w:val="es-ES" w:eastAsia="es-ES"/>
        </w:rPr>
        <w:t>) 400000-41000-1820-322000 denominada "Ejecución de sentencias indemnizaciones y compensaciones por estabilización".</w:t>
      </w:r>
    </w:p>
    <w:p w14:paraId="10044CDA"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w:t>
      </w:r>
      <w:r w:rsidR="0095518B" w:rsidRPr="00F7157A">
        <w:rPr>
          <w:rFonts w:ascii="Arial" w:eastAsia="Times New Roman" w:hAnsi="Arial" w:cs="Arial"/>
          <w:sz w:val="24"/>
          <w:szCs w:val="24"/>
          <w:lang w:val="es-ES" w:eastAsia="es-ES"/>
        </w:rPr>
        <w:t>) Las del proyecto 410003 Subvenciones a la enseñanza privada concertada y asimilada de código económico 4811.</w:t>
      </w:r>
    </w:p>
    <w:p w14:paraId="1004F6C7"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f</w:t>
      </w:r>
      <w:r w:rsidR="0095518B" w:rsidRPr="00F7157A">
        <w:rPr>
          <w:rFonts w:ascii="Arial" w:eastAsia="Times New Roman" w:hAnsi="Arial" w:cs="Arial"/>
          <w:sz w:val="24"/>
          <w:szCs w:val="24"/>
          <w:lang w:val="es-ES" w:eastAsia="es-ES"/>
        </w:rPr>
        <w:t>) 430005-43500-2210-324100 denominada "Comedores".</w:t>
      </w:r>
    </w:p>
    <w:p w14:paraId="297BF0E2"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g</w:t>
      </w:r>
      <w:r w:rsidR="0095518B" w:rsidRPr="00F7157A">
        <w:rPr>
          <w:rFonts w:ascii="Arial" w:eastAsia="Times New Roman" w:hAnsi="Arial" w:cs="Arial"/>
          <w:sz w:val="24"/>
          <w:szCs w:val="24"/>
          <w:lang w:val="es-ES" w:eastAsia="es-ES"/>
        </w:rPr>
        <w:t>) 430005-43500-2230-324100 denominada "Transporte escolar".</w:t>
      </w:r>
    </w:p>
    <w:p w14:paraId="12D4D79C"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w:t>
      </w:r>
      <w:r w:rsidR="0095518B" w:rsidRPr="00F7157A">
        <w:rPr>
          <w:rFonts w:ascii="Arial" w:eastAsia="Times New Roman" w:hAnsi="Arial" w:cs="Arial"/>
          <w:sz w:val="24"/>
          <w:szCs w:val="24"/>
          <w:lang w:val="es-ES" w:eastAsia="es-ES"/>
        </w:rPr>
        <w:t>) 430005-43500-2230-324102 denominada "Transporte escolar educación especial".</w:t>
      </w:r>
    </w:p>
    <w:p w14:paraId="0A60366B"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i</w:t>
      </w:r>
      <w:r w:rsidR="0095518B" w:rsidRPr="00F7157A">
        <w:rPr>
          <w:rFonts w:ascii="Arial" w:eastAsia="Times New Roman" w:hAnsi="Arial" w:cs="Arial"/>
          <w:sz w:val="24"/>
          <w:szCs w:val="24"/>
          <w:lang w:val="es-ES" w:eastAsia="es-ES"/>
        </w:rPr>
        <w:t>) 430005-43500-4800-324100 denominada "Ayudas individualizadas por transporte escolar".</w:t>
      </w:r>
    </w:p>
    <w:p w14:paraId="281469EF"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j</w:t>
      </w:r>
      <w:r w:rsidR="0095518B" w:rsidRPr="00F7157A">
        <w:rPr>
          <w:rFonts w:ascii="Arial" w:eastAsia="Times New Roman" w:hAnsi="Arial" w:cs="Arial"/>
          <w:sz w:val="24"/>
          <w:szCs w:val="24"/>
          <w:lang w:val="es-ES" w:eastAsia="es-ES"/>
        </w:rPr>
        <w:t>) 430005-43500-4800-324102 denominada "Ayudas individualizadas para comedores".</w:t>
      </w:r>
    </w:p>
    <w:p w14:paraId="3230BF1B"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k</w:t>
      </w:r>
      <w:r w:rsidR="0095518B" w:rsidRPr="00F7157A">
        <w:rPr>
          <w:rFonts w:ascii="Arial" w:eastAsia="Times New Roman" w:hAnsi="Arial" w:cs="Arial"/>
          <w:sz w:val="24"/>
          <w:szCs w:val="24"/>
          <w:lang w:val="es-ES" w:eastAsia="es-ES"/>
        </w:rPr>
        <w:t xml:space="preserve">) </w:t>
      </w:r>
      <w:r w:rsidR="006075A2" w:rsidRPr="00F7157A">
        <w:rPr>
          <w:rFonts w:ascii="Arial" w:eastAsia="Times New Roman" w:hAnsi="Arial" w:cs="Arial"/>
          <w:sz w:val="24"/>
          <w:szCs w:val="24"/>
          <w:lang w:val="es-ES" w:eastAsia="es-ES"/>
        </w:rPr>
        <w:t>420006-42600</w:t>
      </w:r>
      <w:r w:rsidR="0095518B" w:rsidRPr="00F7157A">
        <w:rPr>
          <w:rFonts w:ascii="Arial" w:eastAsia="Times New Roman" w:hAnsi="Arial" w:cs="Arial"/>
          <w:sz w:val="24"/>
          <w:szCs w:val="24"/>
          <w:lang w:val="es-ES" w:eastAsia="es-ES"/>
        </w:rPr>
        <w:t>-4800-322E00 denominada "Prácticas alumnado de FP: Seguridad Social".</w:t>
      </w:r>
    </w:p>
    <w:p w14:paraId="13203B04" w14:textId="7AC8B353"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4</w:t>
      </w:r>
      <w:r w:rsidRPr="00F7157A">
        <w:rPr>
          <w:rFonts w:ascii="Arial" w:eastAsia="Times New Roman" w:hAnsi="Arial" w:cs="Arial"/>
          <w:sz w:val="24"/>
          <w:szCs w:val="24"/>
          <w:lang w:val="es-ES" w:eastAsia="es-ES"/>
        </w:rPr>
        <w:t>. Las siguientes partidas del Departamento de Salud:</w:t>
      </w:r>
    </w:p>
    <w:p w14:paraId="5684B183"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w:t>
      </w:r>
      <w:r w:rsidR="0095518B" w:rsidRPr="00F7157A">
        <w:rPr>
          <w:rFonts w:ascii="Arial" w:eastAsia="Times New Roman" w:hAnsi="Arial" w:cs="Arial"/>
          <w:sz w:val="24"/>
          <w:szCs w:val="24"/>
          <w:lang w:val="es-ES" w:eastAsia="es-ES"/>
        </w:rPr>
        <w:t>) 540000-52000-1810-311100 denominada "Retribuciones de personal de ejercicios anteriores".</w:t>
      </w:r>
    </w:p>
    <w:p w14:paraId="3B9ADD1C"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w:t>
      </w:r>
      <w:r w:rsidR="0095518B" w:rsidRPr="00F7157A">
        <w:rPr>
          <w:rFonts w:ascii="Arial" w:eastAsia="Times New Roman" w:hAnsi="Arial" w:cs="Arial"/>
          <w:sz w:val="24"/>
          <w:szCs w:val="24"/>
          <w:lang w:val="es-ES" w:eastAsia="es-ES"/>
        </w:rPr>
        <w:t>) 540000-52000-1820-311100 denominada "Ejecución de sentencias, indemnizaciones y compensaciones por estabilización".</w:t>
      </w:r>
    </w:p>
    <w:p w14:paraId="3F2151F0"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w:t>
      </w:r>
      <w:r w:rsidR="0095518B" w:rsidRPr="00F7157A">
        <w:rPr>
          <w:rFonts w:ascii="Arial" w:eastAsia="Times New Roman" w:hAnsi="Arial" w:cs="Arial"/>
          <w:sz w:val="24"/>
          <w:szCs w:val="24"/>
          <w:lang w:val="es-ES" w:eastAsia="es-ES"/>
        </w:rPr>
        <w:t>) Las del grupo de programas 54, excepto las señaladas en el apartado 2 de este artículo, correspondientes a los códigos económicos siguientes: 2210, 2213, 2214, 2215, 2216, 2286, 2287 y 2500; así como las del grupo de programas 52 correspondientes al código económico 2215.</w:t>
      </w:r>
    </w:p>
    <w:p w14:paraId="7C514B10"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w:t>
      </w:r>
      <w:r w:rsidR="0095518B" w:rsidRPr="00F7157A">
        <w:rPr>
          <w:rFonts w:ascii="Arial" w:eastAsia="Times New Roman" w:hAnsi="Arial" w:cs="Arial"/>
          <w:sz w:val="24"/>
          <w:szCs w:val="24"/>
          <w:lang w:val="es-ES" w:eastAsia="es-ES"/>
        </w:rPr>
        <w:t>) 540002</w:t>
      </w:r>
      <w:r w:rsidR="0091410E" w:rsidRPr="00F7157A">
        <w:rPr>
          <w:rFonts w:ascii="Arial" w:eastAsia="Times New Roman" w:hAnsi="Arial" w:cs="Arial"/>
          <w:sz w:val="24"/>
          <w:szCs w:val="24"/>
          <w:lang w:val="es-ES" w:eastAsia="es-ES"/>
        </w:rPr>
        <w:t>-52833-</w:t>
      </w:r>
      <w:r w:rsidR="0095518B" w:rsidRPr="00F7157A">
        <w:rPr>
          <w:rFonts w:ascii="Arial" w:eastAsia="Times New Roman" w:hAnsi="Arial" w:cs="Arial"/>
          <w:sz w:val="24"/>
          <w:szCs w:val="24"/>
          <w:lang w:val="es-ES" w:eastAsia="es-ES"/>
        </w:rPr>
        <w:t>2231</w:t>
      </w:r>
      <w:r w:rsidR="0091410E" w:rsidRPr="00F7157A">
        <w:rPr>
          <w:rFonts w:ascii="Arial" w:eastAsia="Times New Roman" w:hAnsi="Arial" w:cs="Arial"/>
          <w:sz w:val="24"/>
          <w:szCs w:val="24"/>
          <w:lang w:val="es-ES" w:eastAsia="es-ES"/>
        </w:rPr>
        <w:t>-</w:t>
      </w:r>
      <w:r w:rsidR="0095518B" w:rsidRPr="00F7157A">
        <w:rPr>
          <w:rFonts w:ascii="Arial" w:eastAsia="Times New Roman" w:hAnsi="Arial" w:cs="Arial"/>
          <w:sz w:val="24"/>
          <w:szCs w:val="24"/>
          <w:lang w:val="es-ES" w:eastAsia="es-ES"/>
        </w:rPr>
        <w:t>311103 Encargo a BIDEAN. Transporte sanitario.</w:t>
      </w:r>
    </w:p>
    <w:p w14:paraId="55B98DB6"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w:t>
      </w:r>
      <w:r w:rsidR="0095518B" w:rsidRPr="00F7157A">
        <w:rPr>
          <w:rFonts w:ascii="Arial" w:eastAsia="Times New Roman" w:hAnsi="Arial" w:cs="Arial"/>
          <w:sz w:val="24"/>
          <w:szCs w:val="24"/>
          <w:lang w:val="es-ES" w:eastAsia="es-ES"/>
        </w:rPr>
        <w:t>) 540002-52833-4809-311104 denominada "Prótesis, órtesis y vehículos para personas con discapacidad".</w:t>
      </w:r>
    </w:p>
    <w:p w14:paraId="4A7E6458"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f</w:t>
      </w:r>
      <w:r w:rsidR="0095518B" w:rsidRPr="00F7157A">
        <w:rPr>
          <w:rFonts w:ascii="Arial" w:eastAsia="Times New Roman" w:hAnsi="Arial" w:cs="Arial"/>
          <w:sz w:val="24"/>
          <w:szCs w:val="24"/>
          <w:lang w:val="es-ES" w:eastAsia="es-ES"/>
        </w:rPr>
        <w:t>) 540005-52831-4809-313100 denominada "Prestaciones farmacéuticas".</w:t>
      </w:r>
    </w:p>
    <w:p w14:paraId="6DDC6D04"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g</w:t>
      </w:r>
      <w:r w:rsidR="0095518B" w:rsidRPr="00F7157A">
        <w:rPr>
          <w:rFonts w:ascii="Arial" w:eastAsia="Times New Roman" w:hAnsi="Arial" w:cs="Arial"/>
          <w:sz w:val="24"/>
          <w:szCs w:val="24"/>
          <w:lang w:val="es-ES" w:eastAsia="es-ES"/>
        </w:rPr>
        <w:t>) 540005-52831-4809-313102 denominada "Absorbentes y otros productos sanitarios".</w:t>
      </w:r>
    </w:p>
    <w:p w14:paraId="3C4F259E"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w:t>
      </w:r>
      <w:r w:rsidR="0095518B" w:rsidRPr="00F7157A">
        <w:rPr>
          <w:rFonts w:ascii="Arial" w:eastAsia="Times New Roman" w:hAnsi="Arial" w:cs="Arial"/>
          <w:sz w:val="24"/>
          <w:szCs w:val="24"/>
          <w:lang w:val="es-ES" w:eastAsia="es-ES"/>
        </w:rPr>
        <w:t>) 540005-52831-4809-313103 denominada "Prestaciones farmacéuticas-regulación copago".</w:t>
      </w:r>
    </w:p>
    <w:p w14:paraId="4362FF48"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i</w:t>
      </w:r>
      <w:r w:rsidR="0095518B" w:rsidRPr="00F7157A">
        <w:rPr>
          <w:rFonts w:ascii="Arial" w:eastAsia="Times New Roman" w:hAnsi="Arial" w:cs="Arial"/>
          <w:sz w:val="24"/>
          <w:szCs w:val="24"/>
          <w:lang w:val="es-ES" w:eastAsia="es-ES"/>
        </w:rPr>
        <w:t>) 543000-52200-6057-312802 denominada "Instrumental quirúrgico".</w:t>
      </w:r>
    </w:p>
    <w:p w14:paraId="47E841AD"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j</w:t>
      </w:r>
      <w:r w:rsidR="0095518B" w:rsidRPr="00F7157A">
        <w:rPr>
          <w:rFonts w:ascii="Arial" w:eastAsia="Times New Roman" w:hAnsi="Arial" w:cs="Arial"/>
          <w:sz w:val="24"/>
          <w:szCs w:val="24"/>
          <w:lang w:val="es-ES" w:eastAsia="es-ES"/>
        </w:rPr>
        <w:t>) 543004-52214-2276-312700 denominada "Trabajos de fraccionamiento de plasma para la producción de fármacos".</w:t>
      </w:r>
    </w:p>
    <w:p w14:paraId="342C5F7E"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k</w:t>
      </w:r>
      <w:r w:rsidR="0095518B" w:rsidRPr="00F7157A">
        <w:rPr>
          <w:rFonts w:ascii="Arial" w:eastAsia="Times New Roman" w:hAnsi="Arial" w:cs="Arial"/>
          <w:sz w:val="24"/>
          <w:szCs w:val="24"/>
          <w:lang w:val="es-ES" w:eastAsia="es-ES"/>
        </w:rPr>
        <w:t>) 545000 52400 6057 312803 denominada "Instrumental quirúrgico".</w:t>
      </w:r>
    </w:p>
    <w:p w14:paraId="25582FDB"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w:t>
      </w:r>
      <w:r w:rsidR="0095518B" w:rsidRPr="00F7157A">
        <w:rPr>
          <w:rFonts w:ascii="Arial" w:eastAsia="Times New Roman" w:hAnsi="Arial" w:cs="Arial"/>
          <w:sz w:val="24"/>
          <w:szCs w:val="24"/>
          <w:lang w:val="es-ES" w:eastAsia="es-ES"/>
        </w:rPr>
        <w:t>) 546000 52500 6057 312803 denominada "Instrumental quirúrgico".</w:t>
      </w:r>
    </w:p>
    <w:p w14:paraId="4330982F"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5</w:t>
      </w:r>
      <w:r w:rsidRPr="00F7157A">
        <w:rPr>
          <w:rFonts w:ascii="Arial" w:eastAsia="Times New Roman" w:hAnsi="Arial" w:cs="Arial"/>
          <w:sz w:val="24"/>
          <w:szCs w:val="24"/>
          <w:lang w:val="es-ES" w:eastAsia="es-ES"/>
        </w:rPr>
        <w:t xml:space="preserve"> Las siguientes partidas del Departamento de Desarrollo Rural y Medio Ambiente:</w:t>
      </w:r>
    </w:p>
    <w:p w14:paraId="3A4B22AF"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w:t>
      </w:r>
      <w:r w:rsidR="0095518B" w:rsidRPr="00F7157A">
        <w:rPr>
          <w:rFonts w:ascii="Arial" w:eastAsia="Times New Roman" w:hAnsi="Arial" w:cs="Arial"/>
          <w:sz w:val="24"/>
          <w:szCs w:val="24"/>
          <w:lang w:val="es-ES" w:eastAsia="es-ES"/>
        </w:rPr>
        <w:t>) 710004-71300-2218-412200 denominada “Productos veterinarios”.</w:t>
      </w:r>
    </w:p>
    <w:p w14:paraId="6F7E64B8"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w:t>
      </w:r>
      <w:r w:rsidR="0095518B" w:rsidRPr="00F7157A">
        <w:rPr>
          <w:rFonts w:ascii="Arial" w:eastAsia="Times New Roman" w:hAnsi="Arial" w:cs="Arial"/>
          <w:sz w:val="24"/>
          <w:szCs w:val="24"/>
          <w:lang w:val="es-ES" w:eastAsia="es-ES"/>
        </w:rPr>
        <w:t>) 710004-71300-2279-412205 denominada "Vacunaciones oficiales de emergencia".</w:t>
      </w:r>
    </w:p>
    <w:p w14:paraId="5EEADC2E"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w:t>
      </w:r>
      <w:r w:rsidR="0095518B" w:rsidRPr="00F7157A">
        <w:rPr>
          <w:rFonts w:ascii="Arial" w:eastAsia="Times New Roman" w:hAnsi="Arial" w:cs="Arial"/>
          <w:sz w:val="24"/>
          <w:szCs w:val="24"/>
          <w:lang w:val="es-ES" w:eastAsia="es-ES"/>
        </w:rPr>
        <w:t>) 710004-71300-7700-412200 denominada "Indemnización por sacrificio a causa de epizootias".</w:t>
      </w:r>
    </w:p>
    <w:p w14:paraId="730DBBEE"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w:t>
      </w:r>
      <w:r w:rsidR="0095518B" w:rsidRPr="00F7157A">
        <w:rPr>
          <w:rFonts w:ascii="Arial" w:eastAsia="Times New Roman" w:hAnsi="Arial" w:cs="Arial"/>
          <w:sz w:val="24"/>
          <w:szCs w:val="24"/>
          <w:lang w:val="es-ES" w:eastAsia="es-ES"/>
        </w:rPr>
        <w:t>) 710006-71500-4700-414100 denominada "Canon de los riegos del Canal de Navarra".</w:t>
      </w:r>
    </w:p>
    <w:p w14:paraId="70EF96E3" w14:textId="0EDEA5D3"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6</w:t>
      </w:r>
      <w:r w:rsidRPr="00F7157A">
        <w:rPr>
          <w:rFonts w:ascii="Arial" w:eastAsia="Times New Roman" w:hAnsi="Arial" w:cs="Arial"/>
          <w:sz w:val="24"/>
          <w:szCs w:val="24"/>
          <w:lang w:val="es-ES" w:eastAsia="es-ES"/>
        </w:rPr>
        <w:t>. Las siguientes partidas del Departamento de Derechos Sociales, Economía Social y Empleo</w:t>
      </w:r>
      <w:r w:rsidR="003C2487">
        <w:rPr>
          <w:rFonts w:ascii="Arial" w:eastAsia="Times New Roman" w:hAnsi="Arial" w:cs="Arial"/>
          <w:sz w:val="24"/>
          <w:szCs w:val="24"/>
          <w:lang w:val="es-ES" w:eastAsia="es-ES"/>
        </w:rPr>
        <w:t>:</w:t>
      </w:r>
    </w:p>
    <w:p w14:paraId="327C855E"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Las de código económico 2600, ubicadas en los proyectos 901003, 920005, 920006 y 920008, destinadas a financiar las prestaciones garantizadas que se establecen en el Decreto Foral 69/2008, de 17 de junio, por el que se aprueba la Cartera de Servicios Sociales de ámbito general prevista en la Ley Foral 15/2006, de 14 de diciembre, de Servicios Sociales, excepto las partidas cofinanciadas por fondos del FSE+.</w:t>
      </w:r>
    </w:p>
    <w:p w14:paraId="6E152736"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901002-91100-4809-212100 denominada "Pensiones no contributivas".</w:t>
      </w:r>
    </w:p>
    <w:p w14:paraId="3C8E2812"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901002-91100-4809-231500 denominada "Renta garantizada".</w:t>
      </w:r>
    </w:p>
    <w:p w14:paraId="34A41248"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d</w:t>
      </w:r>
      <w:r w:rsidR="0095518B" w:rsidRPr="00F7157A">
        <w:rPr>
          <w:rFonts w:ascii="Arial" w:eastAsia="Times New Roman" w:hAnsi="Arial" w:cs="Arial"/>
          <w:sz w:val="24"/>
          <w:szCs w:val="24"/>
          <w:lang w:val="es-ES" w:eastAsia="es-ES"/>
        </w:rPr>
        <w:t>) 901002-91100-4809-231505 denominada "Ingreso mínimo vital".</w:t>
      </w:r>
    </w:p>
    <w:p w14:paraId="155E2289" w14:textId="77777777" w:rsidR="0095518B" w:rsidRPr="00F7157A" w:rsidRDefault="00311620"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w:t>
      </w:r>
      <w:r w:rsidR="0095518B" w:rsidRPr="00F7157A">
        <w:rPr>
          <w:rFonts w:ascii="Arial" w:eastAsia="Times New Roman" w:hAnsi="Arial" w:cs="Arial"/>
          <w:sz w:val="24"/>
          <w:szCs w:val="24"/>
          <w:lang w:val="es-ES" w:eastAsia="es-ES"/>
        </w:rPr>
        <w:t>) 901003-91600-4609-231500 denominada "Servicio de acogida para personas sin hogar y otros programas de acompañamiento social PSH".</w:t>
      </w:r>
    </w:p>
    <w:p w14:paraId="575F9518"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f</w:t>
      </w:r>
      <w:r w:rsidR="0095518B" w:rsidRPr="00F7157A">
        <w:rPr>
          <w:rFonts w:ascii="Arial" w:eastAsia="Times New Roman" w:hAnsi="Arial" w:cs="Arial"/>
          <w:sz w:val="24"/>
          <w:szCs w:val="24"/>
          <w:lang w:val="es-ES" w:eastAsia="es-ES"/>
        </w:rPr>
        <w:t>) 920004-93200-4809-231B00 denominada "Ayudas vinculadas a servicio".</w:t>
      </w:r>
    </w:p>
    <w:p w14:paraId="08E7A3D2"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g</w:t>
      </w:r>
      <w:r w:rsidR="0095518B" w:rsidRPr="00F7157A">
        <w:rPr>
          <w:rFonts w:ascii="Arial" w:eastAsia="Times New Roman" w:hAnsi="Arial" w:cs="Arial"/>
          <w:sz w:val="24"/>
          <w:szCs w:val="24"/>
          <w:lang w:val="es-ES" w:eastAsia="es-ES"/>
        </w:rPr>
        <w:t>) 920004-93200-4809-231B02 denominada "Ayudas para la atención de servicios personales".</w:t>
      </w:r>
    </w:p>
    <w:p w14:paraId="39846A8F"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w:t>
      </w:r>
      <w:r w:rsidR="0095518B" w:rsidRPr="00F7157A">
        <w:rPr>
          <w:rFonts w:ascii="Arial" w:eastAsia="Times New Roman" w:hAnsi="Arial" w:cs="Arial"/>
          <w:sz w:val="24"/>
          <w:szCs w:val="24"/>
          <w:lang w:val="es-ES" w:eastAsia="es-ES"/>
        </w:rPr>
        <w:t>) 920008-93300-4809-231700 denominada "Recursos para autonomía de jóvenes del sistema de protección".</w:t>
      </w:r>
    </w:p>
    <w:p w14:paraId="27F8BD6D"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i</w:t>
      </w:r>
      <w:r w:rsidR="0095518B" w:rsidRPr="00F7157A">
        <w:rPr>
          <w:rFonts w:ascii="Arial" w:eastAsia="Times New Roman" w:hAnsi="Arial" w:cs="Arial"/>
          <w:sz w:val="24"/>
          <w:szCs w:val="24"/>
          <w:lang w:val="es-ES" w:eastAsia="es-ES"/>
        </w:rPr>
        <w:t>) 920008-93300-4809-231702 denominada "Prestaciones económicas a familias".</w:t>
      </w:r>
    </w:p>
    <w:p w14:paraId="0C87D166"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j</w:t>
      </w:r>
      <w:r w:rsidR="0095518B" w:rsidRPr="00F7157A">
        <w:rPr>
          <w:rFonts w:ascii="Arial" w:eastAsia="Times New Roman" w:hAnsi="Arial" w:cs="Arial"/>
          <w:sz w:val="24"/>
          <w:szCs w:val="24"/>
          <w:lang w:val="es-ES" w:eastAsia="es-ES"/>
        </w:rPr>
        <w:t>) 920008-93300-4809-231704 denominada "Cuotas de niños en centros ajenos".</w:t>
      </w:r>
    </w:p>
    <w:p w14:paraId="5178DE84"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k</w:t>
      </w:r>
      <w:r w:rsidR="0095518B" w:rsidRPr="00F7157A">
        <w:rPr>
          <w:rFonts w:ascii="Arial" w:eastAsia="Times New Roman" w:hAnsi="Arial" w:cs="Arial"/>
          <w:sz w:val="24"/>
          <w:szCs w:val="24"/>
          <w:lang w:val="es-ES" w:eastAsia="es-ES"/>
        </w:rPr>
        <w:t>) 950001-96100-4709-241109 denominada "Ayudas a Centros Especiales de Empleo".</w:t>
      </w:r>
    </w:p>
    <w:p w14:paraId="24FD4B17"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7</w:t>
      </w:r>
      <w:r w:rsidRPr="00F7157A">
        <w:rPr>
          <w:rFonts w:ascii="Arial" w:eastAsia="Times New Roman" w:hAnsi="Arial" w:cs="Arial"/>
          <w:sz w:val="24"/>
          <w:szCs w:val="24"/>
          <w:lang w:val="es-ES" w:eastAsia="es-ES"/>
        </w:rPr>
        <w:t>. La siguiente</w:t>
      </w:r>
      <w:r w:rsidR="00311620" w:rsidRPr="00F7157A">
        <w:rPr>
          <w:rFonts w:ascii="Arial" w:eastAsia="Times New Roman" w:hAnsi="Arial" w:cs="Arial"/>
          <w:sz w:val="24"/>
          <w:szCs w:val="24"/>
          <w:lang w:val="es-ES" w:eastAsia="es-ES"/>
        </w:rPr>
        <w:t xml:space="preserve"> partida</w:t>
      </w:r>
      <w:r w:rsidRPr="00F7157A">
        <w:rPr>
          <w:rFonts w:ascii="Arial" w:eastAsia="Times New Roman" w:hAnsi="Arial" w:cs="Arial"/>
          <w:sz w:val="24"/>
          <w:szCs w:val="24"/>
          <w:lang w:val="es-ES" w:eastAsia="es-ES"/>
        </w:rPr>
        <w:t xml:space="preserve"> del Departamento de Cultura, Deporte y Turismo:</w:t>
      </w:r>
    </w:p>
    <w:p w14:paraId="243682BB"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w:t>
      </w:r>
      <w:r w:rsidR="0095518B" w:rsidRPr="00F7157A">
        <w:rPr>
          <w:rFonts w:ascii="Arial" w:eastAsia="Times New Roman" w:hAnsi="Arial" w:cs="Arial"/>
          <w:sz w:val="24"/>
          <w:szCs w:val="24"/>
          <w:lang w:val="es-ES" w:eastAsia="es-ES"/>
        </w:rPr>
        <w:t>) A20003-A2300-6056-333100 denominada “Adquisición de bienes culturales”.</w:t>
      </w:r>
    </w:p>
    <w:p w14:paraId="5A41FD73"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927C8C" w:rsidRPr="00F7157A">
        <w:rPr>
          <w:rFonts w:ascii="Arial" w:eastAsia="Times New Roman" w:hAnsi="Arial" w:cs="Arial"/>
          <w:sz w:val="24"/>
          <w:szCs w:val="24"/>
          <w:lang w:val="es-ES" w:eastAsia="es-ES"/>
        </w:rPr>
        <w:t>8</w:t>
      </w:r>
      <w:r w:rsidRPr="00F7157A">
        <w:rPr>
          <w:rFonts w:ascii="Arial" w:eastAsia="Times New Roman" w:hAnsi="Arial" w:cs="Arial"/>
          <w:sz w:val="24"/>
          <w:szCs w:val="24"/>
          <w:lang w:val="es-ES" w:eastAsia="es-ES"/>
        </w:rPr>
        <w:t>. Las siguientes partidas del Departamento de Interior, Función Pública y Justicia:</w:t>
      </w:r>
    </w:p>
    <w:p w14:paraId="30A5037D"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a) F20001-F2100-4819-112103 denominada “Asistencia jurídica gratuita”. </w:t>
      </w:r>
    </w:p>
    <w:p w14:paraId="45839CAA"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b) F30001-F3100-1001-921400 denominada “Prestaciones a ex presidentes, ex-consejeros y otros altos cargos del Gobierno de Navarra”. </w:t>
      </w:r>
    </w:p>
    <w:p w14:paraId="651DFFD2"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F30001-F3100-1620-921400 denominada “Fondo para la aplicación de acuerdos en materia de personal”.</w:t>
      </w:r>
    </w:p>
    <w:p w14:paraId="4AEC01DE"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d) F30001-F3100-1800-921400 denominada “Reconocimiento de servicios, nuevos complementos, grado, antigüedad, reingresos de excedencias y otros”. </w:t>
      </w:r>
    </w:p>
    <w:p w14:paraId="5B106EAC" w14:textId="77777777" w:rsidR="0095518B" w:rsidRPr="00F7157A" w:rsidRDefault="0095518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e) F30001-F3100-1800-921402 denominada “Incremento retributivo”. </w:t>
      </w:r>
    </w:p>
    <w:p w14:paraId="2072B233"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f</w:t>
      </w:r>
      <w:r w:rsidR="0095518B" w:rsidRPr="00F7157A">
        <w:rPr>
          <w:rFonts w:ascii="Arial" w:eastAsia="Times New Roman" w:hAnsi="Arial" w:cs="Arial"/>
          <w:sz w:val="24"/>
          <w:szCs w:val="24"/>
          <w:lang w:val="es-ES" w:eastAsia="es-ES"/>
        </w:rPr>
        <w:t xml:space="preserve">) F30001-F3100-1810-921400 denominada “Retribuciones de personal de ejercicios anteriores”. </w:t>
      </w:r>
    </w:p>
    <w:p w14:paraId="6B2B0FB6"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g</w:t>
      </w:r>
      <w:r w:rsidR="0095518B" w:rsidRPr="00F7157A">
        <w:rPr>
          <w:rFonts w:ascii="Arial" w:eastAsia="Times New Roman" w:hAnsi="Arial" w:cs="Arial"/>
          <w:sz w:val="24"/>
          <w:szCs w:val="24"/>
          <w:lang w:val="es-ES" w:eastAsia="es-ES"/>
        </w:rPr>
        <w:t>) F30001-F3100-1820-921400 denominada “Ejecución de sentencias, indemnizaciones y compensaciones por estabilización”.</w:t>
      </w:r>
    </w:p>
    <w:p w14:paraId="6E06BA5E"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w:t>
      </w:r>
      <w:r w:rsidR="0095518B" w:rsidRPr="00F7157A">
        <w:rPr>
          <w:rFonts w:ascii="Arial" w:eastAsia="Times New Roman" w:hAnsi="Arial" w:cs="Arial"/>
          <w:sz w:val="24"/>
          <w:szCs w:val="24"/>
          <w:lang w:val="es-ES" w:eastAsia="es-ES"/>
        </w:rPr>
        <w:t>) F40002-F4600-2140-921800 denominada “Reparación y mantenimiento de vehículos y maquinaria”.</w:t>
      </w:r>
    </w:p>
    <w:p w14:paraId="13288EBA"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i</w:t>
      </w:r>
      <w:r w:rsidR="0095518B" w:rsidRPr="00F7157A">
        <w:rPr>
          <w:rFonts w:ascii="Arial" w:eastAsia="Times New Roman" w:hAnsi="Arial" w:cs="Arial"/>
          <w:sz w:val="24"/>
          <w:szCs w:val="24"/>
          <w:lang w:val="es-ES" w:eastAsia="es-ES"/>
        </w:rPr>
        <w:t xml:space="preserve">) F40002-F4600-2281-921800 denominada “Combustibles y lubricantes”. </w:t>
      </w:r>
    </w:p>
    <w:p w14:paraId="15F842AD" w14:textId="77777777" w:rsidR="0095518B" w:rsidRPr="00F7157A" w:rsidRDefault="004D19BB" w:rsidP="0095518B">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j</w:t>
      </w:r>
      <w:r w:rsidR="0095518B" w:rsidRPr="00F7157A">
        <w:rPr>
          <w:rFonts w:ascii="Arial" w:eastAsia="Times New Roman" w:hAnsi="Arial" w:cs="Arial"/>
          <w:sz w:val="24"/>
          <w:szCs w:val="24"/>
          <w:lang w:val="es-ES" w:eastAsia="es-ES"/>
        </w:rPr>
        <w:t>) F41000-F4100-2274-132103 denominada “Servicios de seguridad para protección contra la violencia de género”.</w:t>
      </w:r>
    </w:p>
    <w:p w14:paraId="702296CD" w14:textId="77777777" w:rsidR="00E3153F" w:rsidRPr="00F7157A" w:rsidRDefault="00E3153F"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TÍTULO II.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DE LOS GASTOS DE PERSONAL</w:t>
      </w:r>
    </w:p>
    <w:p w14:paraId="7A0019E6" w14:textId="77777777" w:rsidR="00D43706" w:rsidRPr="00F7157A" w:rsidRDefault="00D43706" w:rsidP="00D43706">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CAPÍTULO 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RETRIBUCIONES DEL PERSONAL EN ACTIVO</w:t>
      </w:r>
    </w:p>
    <w:p w14:paraId="70EE8E41" w14:textId="77777777" w:rsidR="00D43706" w:rsidRPr="00F7157A" w:rsidRDefault="00D43706" w:rsidP="00D4370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 Retribuciones del personal funcionario y estatutario de las Administraciones Públicas de Navarra.</w:t>
      </w:r>
    </w:p>
    <w:p w14:paraId="0AD43DA4"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Con efectos de 1 de enero de 2026, las retribuciones del personal funcionario y estatutario al servicio de las Administraciones Publicas de Navarra experimentarán el incremento máximo global establecido para 2026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0B4D70F5"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El sueldo inicial de cada uno de los niveles queda establecido para el año 2026 en las siguientes cuantías anuales:</w:t>
      </w:r>
    </w:p>
    <w:tbl>
      <w:tblPr>
        <w:tblW w:w="5445" w:type="dxa"/>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894"/>
        <w:gridCol w:w="2551"/>
      </w:tblGrid>
      <w:tr w:rsidR="00F7157A" w:rsidRPr="00F7157A" w14:paraId="39591E4F" w14:textId="77777777" w:rsidTr="00B10647">
        <w:trPr>
          <w:trHeight w:hRule="exact" w:val="735"/>
          <w:tblCellSpacing w:w="0" w:type="dxa"/>
        </w:trPr>
        <w:tc>
          <w:tcPr>
            <w:tcW w:w="2894" w:type="dxa"/>
            <w:vAlign w:val="center"/>
            <w:hideMark/>
          </w:tcPr>
          <w:p w14:paraId="34F31935" w14:textId="77777777" w:rsidR="00D43706" w:rsidRPr="00F7157A" w:rsidRDefault="00D43706" w:rsidP="009A71F6">
            <w:pPr>
              <w:pStyle w:val="DICTA-TEXTO"/>
              <w:ind w:firstLine="0"/>
              <w:jc w:val="center"/>
              <w:rPr>
                <w:sz w:val="22"/>
                <w:szCs w:val="22"/>
                <w:lang w:val="es-ES_tradnl"/>
              </w:rPr>
            </w:pPr>
            <w:r w:rsidRPr="00F7157A">
              <w:rPr>
                <w:sz w:val="22"/>
                <w:szCs w:val="22"/>
                <w:lang w:val="es-ES_tradnl"/>
              </w:rPr>
              <w:t>NIVEL DE ENCUADRAMIENTO</w:t>
            </w:r>
          </w:p>
        </w:tc>
        <w:tc>
          <w:tcPr>
            <w:tcW w:w="2551" w:type="dxa"/>
          </w:tcPr>
          <w:p w14:paraId="6D1AD48D" w14:textId="77777777" w:rsidR="00D43706" w:rsidRPr="00F7157A" w:rsidRDefault="00D43706" w:rsidP="009A71F6">
            <w:pPr>
              <w:pStyle w:val="DICTA-TEXTO"/>
              <w:ind w:firstLine="0"/>
              <w:jc w:val="center"/>
              <w:rPr>
                <w:sz w:val="22"/>
                <w:szCs w:val="22"/>
                <w:lang w:val="es-ES_tradnl"/>
              </w:rPr>
            </w:pPr>
            <w:r w:rsidRPr="00F7157A">
              <w:rPr>
                <w:sz w:val="22"/>
                <w:szCs w:val="22"/>
                <w:lang w:val="es-ES_tradnl"/>
              </w:rPr>
              <w:t>CUANTÍA ANUAL EUROS</w:t>
            </w:r>
          </w:p>
        </w:tc>
      </w:tr>
      <w:tr w:rsidR="00F7157A" w:rsidRPr="00F7157A" w14:paraId="55AD5B77" w14:textId="77777777" w:rsidTr="00B10647">
        <w:trPr>
          <w:trHeight w:hRule="exact" w:val="454"/>
          <w:tblCellSpacing w:w="0" w:type="dxa"/>
        </w:trPr>
        <w:tc>
          <w:tcPr>
            <w:tcW w:w="2894" w:type="dxa"/>
            <w:vAlign w:val="center"/>
          </w:tcPr>
          <w:p w14:paraId="2AEC848F" w14:textId="77777777" w:rsidR="00D43706" w:rsidRPr="00F7157A" w:rsidRDefault="00D43706" w:rsidP="009A71F6">
            <w:pPr>
              <w:pStyle w:val="DICTA-TEXTO"/>
              <w:tabs>
                <w:tab w:val="clear" w:pos="992"/>
              </w:tabs>
              <w:ind w:firstLine="41"/>
              <w:jc w:val="center"/>
              <w:rPr>
                <w:sz w:val="22"/>
                <w:szCs w:val="22"/>
                <w:lang w:val="es-ES_tradnl"/>
              </w:rPr>
            </w:pPr>
            <w:r w:rsidRPr="00F7157A">
              <w:rPr>
                <w:sz w:val="22"/>
                <w:szCs w:val="22"/>
                <w:lang w:val="es-ES_tradnl"/>
              </w:rPr>
              <w:t>A</w:t>
            </w:r>
          </w:p>
        </w:tc>
        <w:tc>
          <w:tcPr>
            <w:tcW w:w="2551" w:type="dxa"/>
          </w:tcPr>
          <w:p w14:paraId="4EA61CD8" w14:textId="77777777" w:rsidR="00D43706" w:rsidRPr="00F7157A" w:rsidRDefault="00D43706" w:rsidP="009A71F6">
            <w:pPr>
              <w:pStyle w:val="DICTA-TEXTO"/>
              <w:tabs>
                <w:tab w:val="clear" w:pos="992"/>
              </w:tabs>
              <w:ind w:right="840" w:firstLine="0"/>
              <w:jc w:val="right"/>
              <w:rPr>
                <w:sz w:val="22"/>
                <w:szCs w:val="22"/>
                <w:lang w:val="es-ES_tradnl"/>
              </w:rPr>
            </w:pPr>
            <w:r w:rsidRPr="00F7157A">
              <w:rPr>
                <w:sz w:val="22"/>
                <w:szCs w:val="22"/>
                <w:lang w:val="es-ES_tradnl"/>
              </w:rPr>
              <w:t>30.395,26</w:t>
            </w:r>
          </w:p>
        </w:tc>
      </w:tr>
      <w:tr w:rsidR="00F7157A" w:rsidRPr="00F7157A" w14:paraId="54DDF14A" w14:textId="77777777" w:rsidTr="00B10647">
        <w:trPr>
          <w:trHeight w:hRule="exact" w:val="454"/>
          <w:tblCellSpacing w:w="0" w:type="dxa"/>
        </w:trPr>
        <w:tc>
          <w:tcPr>
            <w:tcW w:w="2894" w:type="dxa"/>
            <w:vAlign w:val="center"/>
          </w:tcPr>
          <w:p w14:paraId="769ACBA1" w14:textId="77777777" w:rsidR="00D43706" w:rsidRPr="00F7157A" w:rsidRDefault="00D43706" w:rsidP="009A71F6">
            <w:pPr>
              <w:pStyle w:val="DICTA-TEXTO"/>
              <w:tabs>
                <w:tab w:val="clear" w:pos="992"/>
              </w:tabs>
              <w:ind w:firstLine="41"/>
              <w:jc w:val="center"/>
              <w:rPr>
                <w:sz w:val="22"/>
                <w:szCs w:val="22"/>
                <w:lang w:val="es-ES_tradnl"/>
              </w:rPr>
            </w:pPr>
            <w:r w:rsidRPr="00F7157A">
              <w:rPr>
                <w:sz w:val="22"/>
                <w:szCs w:val="22"/>
                <w:lang w:val="es-ES_tradnl"/>
              </w:rPr>
              <w:t>B</w:t>
            </w:r>
          </w:p>
        </w:tc>
        <w:tc>
          <w:tcPr>
            <w:tcW w:w="2551" w:type="dxa"/>
          </w:tcPr>
          <w:p w14:paraId="2B82D2CE" w14:textId="77777777" w:rsidR="00D43706" w:rsidRPr="00F7157A" w:rsidRDefault="00D43706" w:rsidP="009A71F6">
            <w:pPr>
              <w:pStyle w:val="DICTA-TEXTO"/>
              <w:tabs>
                <w:tab w:val="clear" w:pos="992"/>
              </w:tabs>
              <w:ind w:right="840" w:firstLine="0"/>
              <w:jc w:val="right"/>
              <w:rPr>
                <w:sz w:val="22"/>
                <w:szCs w:val="22"/>
                <w:lang w:val="es-ES_tradnl"/>
              </w:rPr>
            </w:pPr>
            <w:r w:rsidRPr="00F7157A">
              <w:rPr>
                <w:sz w:val="22"/>
                <w:szCs w:val="22"/>
                <w:lang w:val="es-ES_tradnl"/>
              </w:rPr>
              <w:t xml:space="preserve">25.570,58 </w:t>
            </w:r>
          </w:p>
        </w:tc>
      </w:tr>
      <w:tr w:rsidR="00F7157A" w:rsidRPr="00F7157A" w14:paraId="4408C1F0" w14:textId="77777777" w:rsidTr="00B10647">
        <w:trPr>
          <w:trHeight w:hRule="exact" w:val="454"/>
          <w:tblCellSpacing w:w="0" w:type="dxa"/>
        </w:trPr>
        <w:tc>
          <w:tcPr>
            <w:tcW w:w="2894" w:type="dxa"/>
            <w:vAlign w:val="center"/>
          </w:tcPr>
          <w:p w14:paraId="617E9685" w14:textId="77777777" w:rsidR="00D43706" w:rsidRPr="00F7157A" w:rsidRDefault="00D43706" w:rsidP="009A71F6">
            <w:pPr>
              <w:pStyle w:val="DICTA-TEXTO"/>
              <w:tabs>
                <w:tab w:val="clear" w:pos="992"/>
              </w:tabs>
              <w:ind w:firstLine="41"/>
              <w:jc w:val="center"/>
              <w:rPr>
                <w:sz w:val="22"/>
                <w:szCs w:val="22"/>
                <w:lang w:val="es-ES_tradnl"/>
              </w:rPr>
            </w:pPr>
            <w:r w:rsidRPr="00F7157A">
              <w:rPr>
                <w:sz w:val="22"/>
                <w:szCs w:val="22"/>
                <w:lang w:val="es-ES_tradnl"/>
              </w:rPr>
              <w:t>C</w:t>
            </w:r>
          </w:p>
        </w:tc>
        <w:tc>
          <w:tcPr>
            <w:tcW w:w="2551" w:type="dxa"/>
          </w:tcPr>
          <w:p w14:paraId="50616912" w14:textId="77777777" w:rsidR="00D43706" w:rsidRPr="00F7157A" w:rsidRDefault="00D43706" w:rsidP="009A71F6">
            <w:pPr>
              <w:pStyle w:val="DICTA-TEXTO"/>
              <w:tabs>
                <w:tab w:val="clear" w:pos="992"/>
              </w:tabs>
              <w:ind w:right="840" w:firstLine="0"/>
              <w:jc w:val="right"/>
              <w:rPr>
                <w:sz w:val="22"/>
                <w:szCs w:val="22"/>
                <w:lang w:val="es-ES_tradnl"/>
              </w:rPr>
            </w:pPr>
            <w:r w:rsidRPr="00F7157A">
              <w:rPr>
                <w:sz w:val="22"/>
                <w:szCs w:val="22"/>
                <w:lang w:val="es-ES_tradnl"/>
              </w:rPr>
              <w:t>21.211,82</w:t>
            </w:r>
          </w:p>
        </w:tc>
      </w:tr>
      <w:tr w:rsidR="00F7157A" w:rsidRPr="00F7157A" w14:paraId="0CC0B74F" w14:textId="77777777" w:rsidTr="00B10647">
        <w:trPr>
          <w:trHeight w:hRule="exact" w:val="454"/>
          <w:tblCellSpacing w:w="0" w:type="dxa"/>
        </w:trPr>
        <w:tc>
          <w:tcPr>
            <w:tcW w:w="2894" w:type="dxa"/>
            <w:vAlign w:val="center"/>
          </w:tcPr>
          <w:p w14:paraId="1F04EB55" w14:textId="77777777" w:rsidR="00D43706" w:rsidRPr="00F7157A" w:rsidRDefault="00D43706" w:rsidP="009A71F6">
            <w:pPr>
              <w:pStyle w:val="DICTA-TEXTO"/>
              <w:tabs>
                <w:tab w:val="clear" w:pos="992"/>
              </w:tabs>
              <w:ind w:firstLine="41"/>
              <w:jc w:val="center"/>
              <w:rPr>
                <w:sz w:val="22"/>
                <w:szCs w:val="22"/>
                <w:lang w:val="es-ES_tradnl"/>
              </w:rPr>
            </w:pPr>
            <w:r w:rsidRPr="00F7157A">
              <w:rPr>
                <w:sz w:val="22"/>
                <w:szCs w:val="22"/>
                <w:lang w:val="es-ES_tradnl"/>
              </w:rPr>
              <w:t>D</w:t>
            </w:r>
          </w:p>
        </w:tc>
        <w:tc>
          <w:tcPr>
            <w:tcW w:w="2551" w:type="dxa"/>
          </w:tcPr>
          <w:p w14:paraId="1AC4D8E0" w14:textId="77777777" w:rsidR="00D43706" w:rsidRPr="00F7157A" w:rsidRDefault="00D43706" w:rsidP="009A71F6">
            <w:pPr>
              <w:pStyle w:val="DICTA-TEXTO"/>
              <w:tabs>
                <w:tab w:val="clear" w:pos="992"/>
              </w:tabs>
              <w:ind w:right="840" w:firstLine="0"/>
              <w:jc w:val="right"/>
              <w:rPr>
                <w:sz w:val="22"/>
                <w:szCs w:val="22"/>
                <w:lang w:val="es-ES_tradnl"/>
              </w:rPr>
            </w:pPr>
            <w:r w:rsidRPr="00F7157A">
              <w:rPr>
                <w:sz w:val="22"/>
                <w:szCs w:val="22"/>
                <w:lang w:val="es-ES_tradnl"/>
              </w:rPr>
              <w:t>18.473,56</w:t>
            </w:r>
          </w:p>
        </w:tc>
      </w:tr>
      <w:tr w:rsidR="00D43706" w:rsidRPr="00F7157A" w14:paraId="151A0CDB" w14:textId="77777777" w:rsidTr="00B10647">
        <w:trPr>
          <w:trHeight w:hRule="exact" w:val="454"/>
          <w:tblCellSpacing w:w="0" w:type="dxa"/>
        </w:trPr>
        <w:tc>
          <w:tcPr>
            <w:tcW w:w="2894" w:type="dxa"/>
            <w:vAlign w:val="center"/>
          </w:tcPr>
          <w:p w14:paraId="58451270" w14:textId="77777777" w:rsidR="00D43706" w:rsidRPr="00F7157A" w:rsidRDefault="00D43706" w:rsidP="009A71F6">
            <w:pPr>
              <w:pStyle w:val="DICTA-TEXTO"/>
              <w:tabs>
                <w:tab w:val="clear" w:pos="992"/>
              </w:tabs>
              <w:ind w:firstLine="41"/>
              <w:jc w:val="center"/>
              <w:rPr>
                <w:sz w:val="22"/>
                <w:szCs w:val="22"/>
                <w:lang w:val="es-ES_tradnl"/>
              </w:rPr>
            </w:pPr>
            <w:r w:rsidRPr="00F7157A">
              <w:rPr>
                <w:sz w:val="22"/>
                <w:szCs w:val="22"/>
                <w:lang w:val="es-ES_tradnl"/>
              </w:rPr>
              <w:t>E</w:t>
            </w:r>
          </w:p>
        </w:tc>
        <w:tc>
          <w:tcPr>
            <w:tcW w:w="2551" w:type="dxa"/>
          </w:tcPr>
          <w:p w14:paraId="6CE12A20" w14:textId="77777777" w:rsidR="00D43706" w:rsidRPr="00F7157A" w:rsidRDefault="00D43706" w:rsidP="009A71F6">
            <w:pPr>
              <w:pStyle w:val="DICTA-TEXTO"/>
              <w:tabs>
                <w:tab w:val="clear" w:pos="992"/>
              </w:tabs>
              <w:ind w:right="840" w:firstLine="0"/>
              <w:jc w:val="right"/>
              <w:rPr>
                <w:sz w:val="22"/>
                <w:szCs w:val="22"/>
                <w:lang w:val="es-ES_tradnl"/>
              </w:rPr>
            </w:pPr>
            <w:r w:rsidRPr="00F7157A">
              <w:rPr>
                <w:sz w:val="22"/>
                <w:szCs w:val="22"/>
                <w:lang w:val="es-ES_tradnl"/>
              </w:rPr>
              <w:t>16.249,66</w:t>
            </w:r>
          </w:p>
        </w:tc>
      </w:tr>
    </w:tbl>
    <w:p w14:paraId="236BF185"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p>
    <w:p w14:paraId="7F1D4B7C" w14:textId="77777777" w:rsidR="00D43706" w:rsidRPr="00F7157A" w:rsidRDefault="00D43706" w:rsidP="00D4370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7. Retribuciones del personal laboral de las Administraciones Públicas de Navarra.</w:t>
      </w:r>
    </w:p>
    <w:p w14:paraId="21E5E1E3"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Con efectos de 1 de enero de 2026,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0B179577"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22CD9B19" w14:textId="77777777" w:rsidR="00D43706" w:rsidRPr="00F7157A" w:rsidRDefault="00D43706" w:rsidP="00D4370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8. Retribuciones del personal directivo de libre designación de la Administración de la Comunidad Foral de Navarra y sus organismos autónomos.</w:t>
      </w:r>
    </w:p>
    <w:p w14:paraId="44C3CFA5"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Las retribuciones para el año 2026 de las Direcciones de Servicio de la Administración de la Comunidad Foral de Navarra y las de los organismos autónomos asimiladas a ellas se fijan en un importe anual de 60.713,38 euros, referido a catorce mensualidades, sin perjuicio de la percepción de las retribuciones personales por grado, antigüedad y ayuda familiar que pudieran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complemento de puesto de trabajo incluido en el cálculo inicial de la retribución a tanto alzado correspondiente.</w:t>
      </w:r>
    </w:p>
    <w:p w14:paraId="2701C44F"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Direcciones de Servicio prestarán sus servicios en régimen de plena disponibilidad y de total y absoluta dedicación.</w:t>
      </w:r>
    </w:p>
    <w:p w14:paraId="09D4DC99"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Las retribuciones para el año 2026 del personal directivo de libre designación del Servicio Navarro de Salud-Osasunbidea y del Instituto de Salud Pública y Laboral de Navarra se fijan en los siguientes importes anuales, referidos a catorce mensualidades, sin perjuicio de la percepción de las retribuciones personales por grado, antigüedad y ayuda familiar que pudieran corresponderles de acuerdo con la normativa vigente:</w:t>
      </w:r>
    </w:p>
    <w:p w14:paraId="461FA183"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a) Jefaturas de Servicio no asistenciales: 60.713,38 euros.</w:t>
      </w:r>
    </w:p>
    <w:p w14:paraId="468406D1"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Dirección del Banco de Sangre y Tejidos de Navarra: 66.820,88 euros.</w:t>
      </w:r>
    </w:p>
    <w:p w14:paraId="52064CCD"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 el supuesto de que alguna persona titular de los referidos puestos directivos del Servicio Navarro de Salud-Osasunbidea y del Instituto de Salud Pública y Laboral de Navarra esté percibiendo en la actualidad una cuantía superior a la reflejada en este artículo, se le abonará una compensación personal por la diferencia en tanto se mantenga en el desempeño del mismo.</w:t>
      </w:r>
    </w:p>
    <w:p w14:paraId="56BD3C3F"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34BD2CAE" w14:textId="77777777" w:rsidR="00D43706" w:rsidRPr="00F7157A" w:rsidRDefault="00D43706" w:rsidP="00D4370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9. Retribuciones del Gobierno de Navarra, de los altos cargos de la Administración de la Comunidad Foral de Navarra y del resto del personal eventual.</w:t>
      </w:r>
    </w:p>
    <w:p w14:paraId="5867E959"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Las retribuciones para el año 2026 de las personas que integran el Gobierno de Navarra, de las Direcciones Generales, del personal directivo de los organismos, sociedades y fundaciones públicas y del resto del personal eventual de la Administración de la Comunidad Foral de Navarra serán las que se detallan en los apartados siguientes.</w:t>
      </w:r>
    </w:p>
    <w:p w14:paraId="256FE8E1"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De conformidad con lo establecido en los artículos 35 y 45 de la Ley Foral 14/2004, de 3 de diciembre, del Gobierno de Navarra y de su Presidenta o Presidente, las retribuciones para el año 2026 de las personas que integran el Gobierno de Navarra, referidas a catorce mensualidades, consistirán en la siguiente cuantía anual, sin perjuicio, en el caso del personal fijo y contratado, de la percepción de la retribución por grado y/o antigüedad que pudiera corresponderles de acuerdo con la normativa aplicable a la respectiva relación de servicio:</w:t>
      </w:r>
    </w:p>
    <w:p w14:paraId="5145C8A5"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–Presidenta o Presidente del Gobierno de Navarra: 83.381,76 euros.</w:t>
      </w:r>
    </w:p>
    <w:p w14:paraId="7D2F31A9"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–Vicepresidenta o Vicepresidente, Consejera o Consejero y Consejera-Portavoz o Consejero-Portavoz: 77.597,52 euros. </w:t>
      </w:r>
    </w:p>
    <w:p w14:paraId="16912ACA"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3. Las retribuciones para el año 2026 del personal de los Gabinetes de la Presidenta y de las personas titulares de departamentos del Gobierno de Navarra con la consideración de alto cargo se fijan en las siguientes cuantías </w:t>
      </w:r>
      <w:r w:rsidRPr="00F7157A">
        <w:rPr>
          <w:rFonts w:ascii="Arial" w:eastAsia="Times New Roman" w:hAnsi="Arial" w:cs="Arial"/>
          <w:sz w:val="24"/>
          <w:szCs w:val="24"/>
          <w:lang w:val="es-ES" w:eastAsia="es-ES"/>
        </w:rPr>
        <w:lastRenderedPageBreak/>
        <w:t>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A234DBD"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–Asesor o asesora de la Presidenta o Presidente: 66.487,82 euros.</w:t>
      </w:r>
    </w:p>
    <w:p w14:paraId="176A3B02"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–Jefes o Jefas de Gabinete de los Consejeros o Consejeras: 61.884,06 euros.</w:t>
      </w:r>
    </w:p>
    <w:p w14:paraId="61666C0E"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 De conformidad con lo establecido en el artículo 32.4 de la Ley Foral 11/2019, de 11 de marzo, de la Administración de la Comunidad Foral de Navarra y del Sector Público Institucional Foral, las retribuciones para el año 2026 de las direcciones generales se fijan en un importe anual de 66.487,82 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314C34FF"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5. De conformidad con lo establecido en el artículo 52.1 de la Ley Foral 11/2019, de 11 de marzo, de la Administración de la Comunidad Foral de Navarra y del Sector Público Institucional Foral, se relacionan las retribuciones para el año 2026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399E14B"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Dirección Gerencia de organismo autónomo, salvo lo dispuesto en la letra b) siguiente: 66.487,82 euros.</w:t>
      </w:r>
    </w:p>
    <w:p w14:paraId="5164DF19"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Dirección Gerencia del Servicio Navarro de Salud-Osasunbidea y de la Hacienda Foral de Navarra: 102.727,10 euros.</w:t>
      </w:r>
    </w:p>
    <w:p w14:paraId="25CFAEA8"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Subdirección de organismo autónomo: 60.713,38 euros.</w:t>
      </w:r>
    </w:p>
    <w:p w14:paraId="2B6C1E14"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Personal directivo del Servicio Navarro de Salud-Osasunbidea:</w:t>
      </w:r>
    </w:p>
    <w:p w14:paraId="6DCA9DD6"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–Gerencia de Atención Primaria, Gerencia del Hospital Universitario de Navarra, Dirección de Profesionales, Dirección de Gestión Económica y Servicios Generales y Dirección de Asistencia Sanitaria al Paciente: 78.498,70 euros.</w:t>
      </w:r>
    </w:p>
    <w:p w14:paraId="1115F9E8"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–Gerencia del Área de Salud de Tudela, Gerencia del Área de Salud de Estella-Lizarra, Dirección Asistencial del Hospital Universitario de Navarra: 68.612,04 euros.</w:t>
      </w:r>
    </w:p>
    <w:p w14:paraId="1320E0C6"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–Gerencia de Salud Mental, Subdirecciones Asistenciales del Hospital Universitario de Navarra, Dirección Asistencial del Área de Salud de Tudela y Subdirecciones de Atención Primaria y Continuidad Asistencial, Subdirección de Urgencias de Navarra y Dirección Técnica de la Atención a la Urgencia Vital de la Gerencia de Atención Primaria y Subdirecciones de las Áreas de Salud: 66.820,88 euros.</w:t>
      </w:r>
    </w:p>
    <w:p w14:paraId="6F5BB4D7"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–Subdirecciones de los Servicios Centrales: 65.613,80 euros.</w:t>
      </w:r>
    </w:p>
    <w:p w14:paraId="2C357CB1"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–Dirección de Profesionales, Dirección de Gestión Económica y Servicios Generales, Dirección de Cuidados Sanitarios del Hospital Universitario de Navarra y Subdirección de Cuidados, Atención Domiciliaria, Sociosanitaria y Acciones Comunitarias de Atención Primaria, Subdirección de Personal y Relaciones Laborales, Subdirección de Administración, Servicios Generales y Transición Ecológica, y Subdirección de Calidad, Procesos Clínicos y Desarrollo del Hospital Universitario de Navarra y Subdirecciones del Instituto de Salud Pública y Laboral de Navarra : 62.644,40 euros.</w:t>
      </w:r>
    </w:p>
    <w:p w14:paraId="1AFD4B06"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–Coordinadora del Plan de Atención Sociosanitaria de Navarra y Subdirecciones de Cuidados Sanitarios del Hospital Universitario de Navarra: 56.761,46 euros.</w:t>
      </w:r>
    </w:p>
    <w:p w14:paraId="0233EBEB"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6. Las retribuciones para el año 2026 del resto del personal eventual de los Gabinetes de la Presidenta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1CEE3578"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–Secretaría del Presidente o Presidenta: 41.051,50 euros.</w:t>
      </w:r>
    </w:p>
    <w:p w14:paraId="7985FEAE"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–Secretaría de Consejero o Consejera: 37.418,64 euros.</w:t>
      </w:r>
    </w:p>
    <w:p w14:paraId="248851FF"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–Auxiliar de Gabinete: 32.773,86 euros.</w:t>
      </w:r>
    </w:p>
    <w:p w14:paraId="1CBE75FC"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7. El personal eventual regulado en los apartados anteriores que no ostente la condición de personal fijo o contratado percibirá el premio de antigüedad establecido para el personal funcionario de las Administraciones Públicas de </w:t>
      </w:r>
      <w:r w:rsidRPr="00F7157A">
        <w:rPr>
          <w:rFonts w:ascii="Arial" w:eastAsia="Times New Roman" w:hAnsi="Arial" w:cs="Arial"/>
          <w:sz w:val="24"/>
          <w:szCs w:val="24"/>
          <w:lang w:val="es-ES" w:eastAsia="es-ES"/>
        </w:rPr>
        <w:lastRenderedPageBreak/>
        <w:t>Navarra, considerando para ello el tiempo trabajado en puestos de carácter eventual.</w:t>
      </w:r>
    </w:p>
    <w:p w14:paraId="51C10FED"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8. Las retribuciones para el año </w:t>
      </w:r>
      <w:r w:rsidR="00073DB5" w:rsidRPr="00F7157A">
        <w:rPr>
          <w:rFonts w:ascii="Arial" w:eastAsia="Times New Roman" w:hAnsi="Arial" w:cs="Arial"/>
          <w:sz w:val="24"/>
          <w:szCs w:val="24"/>
          <w:lang w:val="es-ES" w:eastAsia="es-ES"/>
        </w:rPr>
        <w:t xml:space="preserve">2026 </w:t>
      </w:r>
      <w:r w:rsidRPr="00F7157A">
        <w:rPr>
          <w:rFonts w:ascii="Arial" w:eastAsia="Times New Roman" w:hAnsi="Arial" w:cs="Arial"/>
          <w:sz w:val="24"/>
          <w:szCs w:val="24"/>
          <w:lang w:val="es-ES" w:eastAsia="es-ES"/>
        </w:rPr>
        <w:t>del personal directivo con consideración de alto cargo de las sociedades públicas de la Administración de la Comunidad Foral de Navarra integradas en la Corporación Pública Empresarial de Navarra serán las siguientes:</w:t>
      </w:r>
    </w:p>
    <w:p w14:paraId="768CC698"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Para las personas titulares de direcciones-gerencias el salario bruto base anual, referido a catorce mensualidades, será de </w:t>
      </w:r>
      <w:r w:rsidR="00073DB5" w:rsidRPr="00F7157A">
        <w:rPr>
          <w:rFonts w:ascii="Arial" w:eastAsia="Times New Roman" w:hAnsi="Arial" w:cs="Arial"/>
          <w:sz w:val="24"/>
          <w:szCs w:val="24"/>
          <w:lang w:val="es-ES" w:eastAsia="es-ES"/>
        </w:rPr>
        <w:t xml:space="preserve">66.048,30 </w:t>
      </w:r>
      <w:r w:rsidRPr="00F7157A">
        <w:rPr>
          <w:rFonts w:ascii="Arial" w:eastAsia="Times New Roman" w:hAnsi="Arial" w:cs="Arial"/>
          <w:sz w:val="24"/>
          <w:szCs w:val="24"/>
          <w:lang w:val="es-ES" w:eastAsia="es-ES"/>
        </w:rPr>
        <w:t>euros. Dicha retribución anual se modulará en base a la complejidad de la empresa pública a gestionar, todo ello según la siguiente tabla:</w:t>
      </w:r>
    </w:p>
    <w:tbl>
      <w:tblPr>
        <w:tblW w:w="0" w:type="auto"/>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608"/>
        <w:gridCol w:w="2212"/>
        <w:gridCol w:w="3260"/>
      </w:tblGrid>
      <w:tr w:rsidR="00F7157A" w:rsidRPr="00F7157A" w14:paraId="14A759B8" w14:textId="77777777" w:rsidTr="00CC38A7">
        <w:trPr>
          <w:trHeight w:hRule="exact" w:val="1023"/>
          <w:tblCellSpacing w:w="0" w:type="dxa"/>
          <w:jc w:val="center"/>
        </w:trPr>
        <w:tc>
          <w:tcPr>
            <w:tcW w:w="1608" w:type="dxa"/>
            <w:vAlign w:val="center"/>
            <w:hideMark/>
          </w:tcPr>
          <w:p w14:paraId="11ABAAB6" w14:textId="77777777" w:rsidR="00D43706" w:rsidRPr="00F7157A" w:rsidRDefault="00D43706" w:rsidP="009A71F6">
            <w:pPr>
              <w:pStyle w:val="DICTA-TEXTO"/>
              <w:keepLines/>
              <w:ind w:firstLine="0"/>
              <w:jc w:val="center"/>
              <w:rPr>
                <w:sz w:val="22"/>
                <w:szCs w:val="22"/>
                <w:lang w:val="es-ES_tradnl"/>
              </w:rPr>
            </w:pPr>
            <w:bookmarkStart w:id="0" w:name="_Hlk118453537"/>
            <w:r w:rsidRPr="00F7157A">
              <w:rPr>
                <w:sz w:val="22"/>
                <w:szCs w:val="22"/>
                <w:lang w:val="es-ES_tradnl"/>
              </w:rPr>
              <w:t>TIPO DE SOCIEDAD</w:t>
            </w:r>
          </w:p>
        </w:tc>
        <w:tc>
          <w:tcPr>
            <w:tcW w:w="2212" w:type="dxa"/>
            <w:vAlign w:val="center"/>
            <w:hideMark/>
          </w:tcPr>
          <w:p w14:paraId="01C0B467" w14:textId="77777777" w:rsidR="00D43706" w:rsidRPr="00F7157A" w:rsidRDefault="00D43706" w:rsidP="009A71F6">
            <w:pPr>
              <w:pStyle w:val="DICTA-TEXTO"/>
              <w:keepLines/>
              <w:ind w:firstLine="0"/>
              <w:jc w:val="center"/>
              <w:rPr>
                <w:sz w:val="22"/>
                <w:szCs w:val="22"/>
                <w:lang w:val="es-ES_tradnl"/>
              </w:rPr>
            </w:pPr>
            <w:r w:rsidRPr="00F7157A">
              <w:rPr>
                <w:sz w:val="22"/>
                <w:szCs w:val="22"/>
                <w:lang w:val="es-ES_tradnl"/>
              </w:rPr>
              <w:t>COMPLEMENTO DE COMPLEJIDAD</w:t>
            </w:r>
          </w:p>
        </w:tc>
        <w:tc>
          <w:tcPr>
            <w:tcW w:w="3260" w:type="dxa"/>
            <w:vAlign w:val="center"/>
          </w:tcPr>
          <w:p w14:paraId="58D5944E" w14:textId="77777777" w:rsidR="00D43706" w:rsidRPr="00F7157A" w:rsidRDefault="00D43706" w:rsidP="00CC38A7">
            <w:pPr>
              <w:pStyle w:val="DICTA-TEXTO"/>
              <w:keepLines/>
              <w:tabs>
                <w:tab w:val="clear" w:pos="992"/>
              </w:tabs>
              <w:ind w:firstLine="0"/>
              <w:jc w:val="center"/>
              <w:rPr>
                <w:sz w:val="22"/>
                <w:szCs w:val="22"/>
                <w:lang w:val="es-ES_tradnl"/>
              </w:rPr>
            </w:pPr>
            <w:r w:rsidRPr="00F7157A">
              <w:rPr>
                <w:sz w:val="22"/>
                <w:szCs w:val="22"/>
                <w:lang w:val="es-ES_tradnl"/>
              </w:rPr>
              <w:t>SALARIO BRUTO BASE ANUAL EUROS</w:t>
            </w:r>
          </w:p>
        </w:tc>
      </w:tr>
      <w:tr w:rsidR="00F7157A" w:rsidRPr="00F7157A" w14:paraId="52CAB940" w14:textId="77777777" w:rsidTr="00CC38A7">
        <w:trPr>
          <w:trHeight w:hRule="exact" w:val="454"/>
          <w:tblCellSpacing w:w="0" w:type="dxa"/>
          <w:jc w:val="center"/>
        </w:trPr>
        <w:tc>
          <w:tcPr>
            <w:tcW w:w="1608" w:type="dxa"/>
            <w:vAlign w:val="center"/>
            <w:hideMark/>
          </w:tcPr>
          <w:p w14:paraId="7329A91A" w14:textId="77777777"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D</w:t>
            </w:r>
          </w:p>
        </w:tc>
        <w:tc>
          <w:tcPr>
            <w:tcW w:w="2212" w:type="dxa"/>
            <w:vAlign w:val="center"/>
            <w:hideMark/>
          </w:tcPr>
          <w:p w14:paraId="204952AB" w14:textId="2C1BED20"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0</w:t>
            </w:r>
            <w:r w:rsidR="0033095F">
              <w:rPr>
                <w:sz w:val="22"/>
                <w:szCs w:val="22"/>
                <w:lang w:val="es-ES_tradnl"/>
              </w:rPr>
              <w:t xml:space="preserve"> %</w:t>
            </w:r>
          </w:p>
        </w:tc>
        <w:tc>
          <w:tcPr>
            <w:tcW w:w="3260" w:type="dxa"/>
            <w:vAlign w:val="center"/>
          </w:tcPr>
          <w:p w14:paraId="37F5264A" w14:textId="77777777" w:rsidR="00D43706" w:rsidRPr="00F7157A" w:rsidRDefault="00073DB5" w:rsidP="00CC38A7">
            <w:pPr>
              <w:pStyle w:val="DICTA-TEXTO"/>
              <w:keepLines/>
              <w:tabs>
                <w:tab w:val="clear" w:pos="992"/>
              </w:tabs>
              <w:ind w:firstLine="0"/>
              <w:jc w:val="center"/>
              <w:rPr>
                <w:strike/>
                <w:sz w:val="22"/>
                <w:szCs w:val="22"/>
                <w:lang w:val="es-ES_tradnl"/>
              </w:rPr>
            </w:pPr>
            <w:r w:rsidRPr="00F7157A">
              <w:rPr>
                <w:sz w:val="22"/>
                <w:szCs w:val="22"/>
                <w:lang w:val="es-ES_tradnl"/>
              </w:rPr>
              <w:t>66.048,30</w:t>
            </w:r>
          </w:p>
        </w:tc>
      </w:tr>
      <w:tr w:rsidR="00F7157A" w:rsidRPr="00F7157A" w14:paraId="725908DE" w14:textId="77777777" w:rsidTr="00CC38A7">
        <w:trPr>
          <w:trHeight w:hRule="exact" w:val="454"/>
          <w:tblCellSpacing w:w="0" w:type="dxa"/>
          <w:jc w:val="center"/>
        </w:trPr>
        <w:tc>
          <w:tcPr>
            <w:tcW w:w="1608" w:type="dxa"/>
            <w:vAlign w:val="center"/>
            <w:hideMark/>
          </w:tcPr>
          <w:p w14:paraId="4631BA52" w14:textId="77777777"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C</w:t>
            </w:r>
          </w:p>
        </w:tc>
        <w:tc>
          <w:tcPr>
            <w:tcW w:w="2212" w:type="dxa"/>
            <w:vAlign w:val="center"/>
            <w:hideMark/>
          </w:tcPr>
          <w:p w14:paraId="7CC5AF1B" w14:textId="1F53AAC7"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10</w:t>
            </w:r>
            <w:r w:rsidR="0033095F">
              <w:rPr>
                <w:sz w:val="22"/>
                <w:szCs w:val="22"/>
                <w:lang w:val="es-ES_tradnl"/>
              </w:rPr>
              <w:t xml:space="preserve"> %</w:t>
            </w:r>
          </w:p>
        </w:tc>
        <w:tc>
          <w:tcPr>
            <w:tcW w:w="3260" w:type="dxa"/>
            <w:vAlign w:val="center"/>
          </w:tcPr>
          <w:p w14:paraId="46DB9E69" w14:textId="77777777" w:rsidR="00D43706" w:rsidRPr="00F7157A" w:rsidRDefault="00073DB5" w:rsidP="00CC38A7">
            <w:pPr>
              <w:pStyle w:val="DICTA-TEXTO"/>
              <w:keepLines/>
              <w:tabs>
                <w:tab w:val="clear" w:pos="992"/>
              </w:tabs>
              <w:ind w:firstLine="0"/>
              <w:jc w:val="center"/>
              <w:rPr>
                <w:strike/>
                <w:sz w:val="22"/>
                <w:szCs w:val="22"/>
                <w:lang w:val="es-ES_tradnl"/>
              </w:rPr>
            </w:pPr>
            <w:r w:rsidRPr="00F7157A">
              <w:rPr>
                <w:sz w:val="22"/>
                <w:szCs w:val="22"/>
                <w:lang w:val="es-ES_tradnl"/>
              </w:rPr>
              <w:t>72.653,11</w:t>
            </w:r>
          </w:p>
        </w:tc>
      </w:tr>
      <w:tr w:rsidR="00F7157A" w:rsidRPr="00F7157A" w14:paraId="3679F2AF" w14:textId="77777777" w:rsidTr="00CC38A7">
        <w:trPr>
          <w:trHeight w:hRule="exact" w:val="454"/>
          <w:tblCellSpacing w:w="0" w:type="dxa"/>
          <w:jc w:val="center"/>
        </w:trPr>
        <w:tc>
          <w:tcPr>
            <w:tcW w:w="1608" w:type="dxa"/>
            <w:vAlign w:val="center"/>
            <w:hideMark/>
          </w:tcPr>
          <w:p w14:paraId="5CB62DF9" w14:textId="77777777"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B</w:t>
            </w:r>
          </w:p>
        </w:tc>
        <w:tc>
          <w:tcPr>
            <w:tcW w:w="2212" w:type="dxa"/>
            <w:vAlign w:val="center"/>
            <w:hideMark/>
          </w:tcPr>
          <w:p w14:paraId="540E9714" w14:textId="012A8D17"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30</w:t>
            </w:r>
            <w:r w:rsidR="0033095F">
              <w:rPr>
                <w:sz w:val="22"/>
                <w:szCs w:val="22"/>
                <w:lang w:val="es-ES_tradnl"/>
              </w:rPr>
              <w:t xml:space="preserve"> %</w:t>
            </w:r>
          </w:p>
        </w:tc>
        <w:tc>
          <w:tcPr>
            <w:tcW w:w="3260" w:type="dxa"/>
            <w:vAlign w:val="center"/>
          </w:tcPr>
          <w:p w14:paraId="4EC6AA23" w14:textId="77777777" w:rsidR="00D43706" w:rsidRPr="00F7157A" w:rsidRDefault="00073DB5" w:rsidP="00CC38A7">
            <w:pPr>
              <w:pStyle w:val="DICTA-TEXTO"/>
              <w:keepLines/>
              <w:tabs>
                <w:tab w:val="clear" w:pos="992"/>
              </w:tabs>
              <w:ind w:firstLine="0"/>
              <w:jc w:val="center"/>
              <w:rPr>
                <w:strike/>
                <w:sz w:val="22"/>
                <w:szCs w:val="22"/>
                <w:lang w:val="es-ES_tradnl"/>
              </w:rPr>
            </w:pPr>
            <w:r w:rsidRPr="00F7157A">
              <w:rPr>
                <w:sz w:val="22"/>
                <w:szCs w:val="22"/>
                <w:lang w:val="es-ES_tradnl"/>
              </w:rPr>
              <w:t>85.862,78</w:t>
            </w:r>
          </w:p>
        </w:tc>
      </w:tr>
      <w:tr w:rsidR="00D43706" w:rsidRPr="00F7157A" w14:paraId="5FD0A350" w14:textId="77777777" w:rsidTr="00CC38A7">
        <w:trPr>
          <w:trHeight w:hRule="exact" w:val="454"/>
          <w:tblCellSpacing w:w="0" w:type="dxa"/>
          <w:jc w:val="center"/>
        </w:trPr>
        <w:tc>
          <w:tcPr>
            <w:tcW w:w="1608" w:type="dxa"/>
            <w:vAlign w:val="center"/>
            <w:hideMark/>
          </w:tcPr>
          <w:p w14:paraId="7F5FE19C" w14:textId="77777777"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A</w:t>
            </w:r>
          </w:p>
        </w:tc>
        <w:tc>
          <w:tcPr>
            <w:tcW w:w="2212" w:type="dxa"/>
            <w:vAlign w:val="center"/>
            <w:hideMark/>
          </w:tcPr>
          <w:p w14:paraId="1C5F2D29" w14:textId="5C1B4DC9" w:rsidR="00D43706" w:rsidRPr="00F7157A" w:rsidRDefault="00D43706" w:rsidP="009A71F6">
            <w:pPr>
              <w:pStyle w:val="DICTA-TEXTO"/>
              <w:keepLines/>
              <w:tabs>
                <w:tab w:val="clear" w:pos="992"/>
              </w:tabs>
              <w:ind w:firstLine="0"/>
              <w:jc w:val="center"/>
              <w:rPr>
                <w:sz w:val="22"/>
                <w:szCs w:val="22"/>
                <w:lang w:val="es-ES_tradnl"/>
              </w:rPr>
            </w:pPr>
            <w:r w:rsidRPr="00F7157A">
              <w:rPr>
                <w:sz w:val="22"/>
                <w:szCs w:val="22"/>
                <w:lang w:val="es-ES_tradnl"/>
              </w:rPr>
              <w:t>55</w:t>
            </w:r>
            <w:r w:rsidR="0033095F">
              <w:rPr>
                <w:sz w:val="22"/>
                <w:szCs w:val="22"/>
                <w:lang w:val="es-ES_tradnl"/>
              </w:rPr>
              <w:t xml:space="preserve"> %</w:t>
            </w:r>
          </w:p>
        </w:tc>
        <w:tc>
          <w:tcPr>
            <w:tcW w:w="3260" w:type="dxa"/>
          </w:tcPr>
          <w:p w14:paraId="0A5451BE" w14:textId="77777777" w:rsidR="00D43706" w:rsidRPr="00F7157A" w:rsidRDefault="00073DB5" w:rsidP="00CC38A7">
            <w:pPr>
              <w:pStyle w:val="DICTA-TEXTO"/>
              <w:keepLines/>
              <w:tabs>
                <w:tab w:val="clear" w:pos="992"/>
              </w:tabs>
              <w:ind w:firstLine="0"/>
              <w:jc w:val="center"/>
              <w:rPr>
                <w:strike/>
                <w:sz w:val="22"/>
                <w:szCs w:val="22"/>
                <w:lang w:val="es-ES_tradnl"/>
              </w:rPr>
            </w:pPr>
            <w:r w:rsidRPr="00F7157A">
              <w:rPr>
                <w:sz w:val="22"/>
                <w:szCs w:val="22"/>
                <w:lang w:val="es-ES_tradnl"/>
              </w:rPr>
              <w:t>102.374,84</w:t>
            </w:r>
          </w:p>
        </w:tc>
      </w:tr>
      <w:bookmarkEnd w:id="0"/>
    </w:tbl>
    <w:p w14:paraId="6216243A"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p>
    <w:p w14:paraId="0678C20E"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clasificación de las sociedades en función de su tipo se determinará por Acuerdo del Gobierno de Navarra.</w:t>
      </w:r>
    </w:p>
    <w:p w14:paraId="61B945A9"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9. Las retribuciones para el año </w:t>
      </w:r>
      <w:r w:rsidR="00073DB5" w:rsidRPr="00F7157A">
        <w:rPr>
          <w:rFonts w:ascii="Arial" w:eastAsia="Times New Roman" w:hAnsi="Arial" w:cs="Arial"/>
          <w:sz w:val="24"/>
          <w:szCs w:val="24"/>
          <w:lang w:val="es-ES" w:eastAsia="es-ES"/>
        </w:rPr>
        <w:t xml:space="preserve">2026 </w:t>
      </w:r>
      <w:r w:rsidRPr="00F7157A">
        <w:rPr>
          <w:rFonts w:ascii="Arial" w:eastAsia="Times New Roman" w:hAnsi="Arial" w:cs="Arial"/>
          <w:sz w:val="24"/>
          <w:szCs w:val="24"/>
          <w:lang w:val="es-ES" w:eastAsia="es-ES"/>
        </w:rPr>
        <w:t>de las personas que ocupan la dirección de las fundaciones públicas de la Administración de la Comunidad Foral de Navarra se fijan en los siguientes importes anuales, referidos a catorce mensualidades:</w:t>
      </w:r>
    </w:p>
    <w:p w14:paraId="1BB2558A"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–Fundación Miguel Servet: </w:t>
      </w:r>
      <w:r w:rsidR="009A71F6" w:rsidRPr="00F7157A">
        <w:rPr>
          <w:rFonts w:ascii="Arial" w:eastAsia="Times New Roman" w:hAnsi="Arial" w:cs="Arial"/>
          <w:sz w:val="24"/>
          <w:szCs w:val="24"/>
          <w:lang w:val="es-ES" w:eastAsia="es-ES"/>
        </w:rPr>
        <w:t xml:space="preserve">65.613,88 </w:t>
      </w:r>
      <w:r w:rsidRPr="00F7157A">
        <w:rPr>
          <w:rFonts w:ascii="Arial" w:eastAsia="Times New Roman" w:hAnsi="Arial" w:cs="Arial"/>
          <w:sz w:val="24"/>
          <w:szCs w:val="24"/>
          <w:lang w:val="es-ES" w:eastAsia="es-ES"/>
        </w:rPr>
        <w:t>euros.</w:t>
      </w:r>
    </w:p>
    <w:p w14:paraId="23884D40"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–Fundación Pública Navarra para la Provisión de Apoyos a Personas con Discapacidad (FUNDAPA): </w:t>
      </w:r>
      <w:r w:rsidR="009A71F6" w:rsidRPr="00F7157A">
        <w:rPr>
          <w:rFonts w:ascii="Arial" w:eastAsia="Times New Roman" w:hAnsi="Arial" w:cs="Arial"/>
          <w:sz w:val="24"/>
          <w:szCs w:val="24"/>
          <w:lang w:val="es-ES" w:eastAsia="es-ES"/>
        </w:rPr>
        <w:t xml:space="preserve">56.761,27 </w:t>
      </w:r>
      <w:r w:rsidRPr="00F7157A">
        <w:rPr>
          <w:rFonts w:ascii="Arial" w:eastAsia="Times New Roman" w:hAnsi="Arial" w:cs="Arial"/>
          <w:sz w:val="24"/>
          <w:szCs w:val="24"/>
          <w:lang w:val="es-ES" w:eastAsia="es-ES"/>
        </w:rPr>
        <w:t>euros.</w:t>
      </w:r>
    </w:p>
    <w:p w14:paraId="3F0859FB"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–Fundación Baluarte: </w:t>
      </w:r>
      <w:r w:rsidR="009A71F6" w:rsidRPr="00F7157A">
        <w:rPr>
          <w:rFonts w:ascii="Arial" w:eastAsia="Times New Roman" w:hAnsi="Arial" w:cs="Arial"/>
          <w:sz w:val="24"/>
          <w:szCs w:val="24"/>
          <w:lang w:val="es-ES" w:eastAsia="es-ES"/>
        </w:rPr>
        <w:t xml:space="preserve">72.016,32 </w:t>
      </w:r>
      <w:r w:rsidRPr="00F7157A">
        <w:rPr>
          <w:rFonts w:ascii="Arial" w:eastAsia="Times New Roman" w:hAnsi="Arial" w:cs="Arial"/>
          <w:sz w:val="24"/>
          <w:szCs w:val="24"/>
          <w:lang w:val="es-ES" w:eastAsia="es-ES"/>
        </w:rPr>
        <w:t>euros.</w:t>
      </w:r>
    </w:p>
    <w:p w14:paraId="3E70C1D5"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–Fundación Gizain: </w:t>
      </w:r>
      <w:r w:rsidR="009A71F6" w:rsidRPr="00F7157A">
        <w:rPr>
          <w:rFonts w:ascii="Arial" w:eastAsia="Times New Roman" w:hAnsi="Arial" w:cs="Arial"/>
          <w:sz w:val="24"/>
          <w:szCs w:val="24"/>
          <w:lang w:val="es-ES" w:eastAsia="es-ES"/>
        </w:rPr>
        <w:t xml:space="preserve">66.487,96 </w:t>
      </w:r>
      <w:r w:rsidRPr="00F7157A">
        <w:rPr>
          <w:rFonts w:ascii="Arial" w:eastAsia="Times New Roman" w:hAnsi="Arial" w:cs="Arial"/>
          <w:sz w:val="24"/>
          <w:szCs w:val="24"/>
          <w:lang w:val="es-ES" w:eastAsia="es-ES"/>
        </w:rPr>
        <w:t>euros.</w:t>
      </w:r>
    </w:p>
    <w:p w14:paraId="06C8E572"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–Fundación Miguel Induráin: </w:t>
      </w:r>
      <w:r w:rsidR="009A71F6" w:rsidRPr="00F7157A">
        <w:rPr>
          <w:rFonts w:ascii="Arial" w:eastAsia="Times New Roman" w:hAnsi="Arial" w:cs="Arial"/>
          <w:sz w:val="24"/>
          <w:szCs w:val="24"/>
          <w:lang w:val="es-ES" w:eastAsia="es-ES"/>
        </w:rPr>
        <w:t xml:space="preserve">54.900,28 </w:t>
      </w:r>
      <w:r w:rsidRPr="00F7157A">
        <w:rPr>
          <w:rFonts w:ascii="Arial" w:eastAsia="Times New Roman" w:hAnsi="Arial" w:cs="Arial"/>
          <w:sz w:val="24"/>
          <w:szCs w:val="24"/>
          <w:lang w:val="es-ES" w:eastAsia="es-ES"/>
        </w:rPr>
        <w:t>euros.</w:t>
      </w:r>
    </w:p>
    <w:p w14:paraId="6416EA74"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10. Las personas integrantes del Gobierno de Navarra y el resto de personal alto cargo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5E2D4C24" w14:textId="77777777" w:rsidR="00D43706" w:rsidRPr="00F7157A" w:rsidRDefault="00D43706" w:rsidP="00D4370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11. Las retribuciones de las personas integrantes del Gobierno de Navarra, del personal alto cargo de la Administración de la Comunidad Foral de Navarra y del resto del personal eventual experimentarán el mismo incremento que resulte, en su caso, de la aplicación de lo dispuesto en el artículo 6.</w:t>
      </w:r>
    </w:p>
    <w:p w14:paraId="0ACEDF6B" w14:textId="77777777" w:rsidR="009A71F6" w:rsidRPr="00F7157A" w:rsidRDefault="009A71F6" w:rsidP="009A71F6">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CAPÍTULO II.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DERECHOS PASIVOS DEL PERSONAL FUNCIONARIO DE LOS MONTEPÍOS DE LAS ADMINISTRACIONES PÚBLICAS DE NAVARRA</w:t>
      </w:r>
    </w:p>
    <w:p w14:paraId="3D5DB349" w14:textId="77777777" w:rsidR="009A71F6" w:rsidRPr="00F7157A" w:rsidRDefault="009A71F6" w:rsidP="009A71F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10. Actualización de las pensiones de las clases pasivas del personal funcionario de los Montepíos de las Administraciones Públicas de Navarra.</w:t>
      </w:r>
    </w:p>
    <w:p w14:paraId="4EB3BFD3"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Con efectos de 1 de enero de 2026,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60D2E65B"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15DC0FB2" w14:textId="77777777" w:rsidR="009A71F6" w:rsidRPr="00F7157A" w:rsidRDefault="009A71F6" w:rsidP="009A71F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11.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3652E2F3"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El régimen de derechos pasivos del personal funcionario a que se refiere el presente artículo se regirá por las disposiciones vigentes con anterioridad a la </w:t>
      </w:r>
      <w:r w:rsidRPr="00F7157A">
        <w:rPr>
          <w:rFonts w:ascii="Arial" w:eastAsia="Times New Roman" w:hAnsi="Arial" w:cs="Arial"/>
          <w:sz w:val="24"/>
          <w:szCs w:val="24"/>
          <w:lang w:val="es-ES" w:eastAsia="es-ES"/>
        </w:rPr>
        <w:lastRenderedPageBreak/>
        <w:t>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24D96277"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42A32F12"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09519617"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No se computarán en ningún caso para las pensiones de jubilación, viudedad y orfandad causadas por el personal funcionario contempladas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19F7ADF3"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En los casos de pensiones de viudedad causadas por personal funcionario acogido a alguno de los Montepíos de la Administración de la Comunidad Foral de Navarra o de las entidades locales de Navarra se extenderán los derechos </w:t>
      </w:r>
      <w:r w:rsidRPr="00F7157A">
        <w:rPr>
          <w:rFonts w:ascii="Arial" w:eastAsia="Times New Roman" w:hAnsi="Arial" w:cs="Arial"/>
          <w:sz w:val="24"/>
          <w:szCs w:val="24"/>
          <w:lang w:val="es-ES" w:eastAsia="es-ES"/>
        </w:rPr>
        <w:lastRenderedPageBreak/>
        <w:t>pasivos a los miembros de las parejas estables, conforme a la Ley Foral 6/2000, de 3 de julio, para la igualdad jurídica de las parejas estables.</w:t>
      </w:r>
    </w:p>
    <w:p w14:paraId="4DD90297"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En aplicación de lo dispuesto en el apartado 1 de este artículo y para la fijación de las jubilaciones y pensiones que se causen durante el año 2026 por el personal funcionario público comprendido en el ámbito de aplicación del Estatuto del Personal al servicio de las Administraciones Públicas de Navarra, se tendrá en cuenta lo siguiente:</w:t>
      </w:r>
    </w:p>
    <w:p w14:paraId="1945475B"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Las cuantías de los conceptos retributivos con incidencia en los derechos pasivos serán las correspondientes al año 2026, resultantes de aplicar a las de 1983 los incrementos anuales fijados por las posteriores leyes forales de Presupuestos.</w:t>
      </w:r>
    </w:p>
    <w:p w14:paraId="11CF2223"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525D5568"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61A25590"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2BB96CE6"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5. Con efectos de 1 de enero de 2026, la pensión mínima de jubilación de los Montepíos de las Administraciones Públicas de Navarra, tanto del personal funcionario acogido al sistema anterior a la Ley Foral 10/2003, de 5 de marzo, como del previsto en la referida ley foral, será la establecida para el año 2025, </w:t>
      </w:r>
      <w:r w:rsidRPr="00F7157A">
        <w:rPr>
          <w:rFonts w:ascii="Arial" w:eastAsia="Times New Roman" w:hAnsi="Arial" w:cs="Arial"/>
          <w:sz w:val="24"/>
          <w:szCs w:val="24"/>
          <w:lang w:val="es-ES" w:eastAsia="es-ES"/>
        </w:rPr>
        <w:lastRenderedPageBreak/>
        <w:t>que asciende a 18.536,28 euros, actualizada al año 2026 con el incremento que experimenten ese año con carácter general las pensiones públicas.</w:t>
      </w:r>
    </w:p>
    <w:p w14:paraId="03938980"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14:paraId="4E0EB416"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6. Con efectos de 1 de enero del año 2026, la pensión mínima de viudedad queda establecida en una cantidad bruta anual equivalente al salario mínimo interprofesional que se determine para ese ejercicio.</w:t>
      </w:r>
    </w:p>
    <w:p w14:paraId="251F9FDD"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49449C07"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la persona beneficiaria.</w:t>
      </w:r>
    </w:p>
    <w:p w14:paraId="6822A1F7"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8. Las pensiones de orfandad contempladas en los artículos 8, apartado 3,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13AC7060"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9. Las pensiones de viudedad de los Montepíos de las Administraciones Públicas de Navarra serán compatibles tanto con la percepción de ingresos por trabajo personal como con la pensión de jubilación.</w:t>
      </w:r>
    </w:p>
    <w:p w14:paraId="595FDF13"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10. Las declaraciones de incapacidad permanente, así como los distintos grados de la misma, serán revisables si la persona beneficiaria no ha cumplido la edad de 65 años, bien por agravación o mejoría, bien por error de diagnóstico, con sujeción a las siguientes normas:</w:t>
      </w:r>
    </w:p>
    <w:p w14:paraId="4DFDD1B0"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El expediente de revisión del grado de incapacidad podrá incoarse de oficio o a instancia de la persona interesada y el Tribunal Médico de Valoración de Incapacidades de Navarra emitirá una propuesta vinculante al respecto.</w:t>
      </w:r>
    </w:p>
    <w:p w14:paraId="1D623B76"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5C8FCE45"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13E913F2"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6FAEED73" w14:textId="77777777" w:rsidR="009A71F6" w:rsidRPr="00F7157A" w:rsidRDefault="009A71F6" w:rsidP="009A71F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12. Financiación de los Montepíos de personal funcionario municipal.</w:t>
      </w:r>
    </w:p>
    <w:p w14:paraId="24D83A02"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2025 por la gestión del Montepío General de Funcionarios Municipales.</w:t>
      </w:r>
    </w:p>
    <w:p w14:paraId="1636217E"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Asimismo, el Gobierno de Navarra efectuará sendas aportaciones a los Ayuntamientos de Pamplona, Tudela y Tafalla, en función de los costes generados por la gestión de sus Montepíos propios en el ejercicio del año 2025.</w:t>
      </w:r>
    </w:p>
    <w:p w14:paraId="35AF8C2E"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3. Las aportaciones establecidas en los apartados anteriores tendrán la cuantía que resulte de la aplicación de la disposición adicional décima de la Ley Foral 10/2003, de 5 de marzo, sobre régimen transitorio de los derechos pasivos del </w:t>
      </w:r>
      <w:r w:rsidRPr="00F7157A">
        <w:rPr>
          <w:rFonts w:ascii="Arial" w:eastAsia="Times New Roman" w:hAnsi="Arial" w:cs="Arial"/>
          <w:sz w:val="24"/>
          <w:szCs w:val="24"/>
          <w:lang w:val="es-ES" w:eastAsia="es-ES"/>
        </w:rPr>
        <w:lastRenderedPageBreak/>
        <w:t>personal funcionario de los Montepíos de las Administraciones Públicas de Navarra.</w:t>
      </w:r>
    </w:p>
    <w:p w14:paraId="2AA19D66"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 La cuota atribuida a cada municipio para cubrir el déficit del Montepío General de Funcionarios Municipales, correspondiente a las prestaciones de todas sus clases pasivas, se calculará en proporción a la cifra oficial de población de cada municipio al momento del cálculo del déficit. Quedarán exentos de este reparto los municipios de Pamplona, Tudela y Tafalla por tener Montepío propio.</w:t>
      </w:r>
    </w:p>
    <w:p w14:paraId="15201FFC" w14:textId="77777777" w:rsidR="009A71F6" w:rsidRPr="00F7157A" w:rsidRDefault="009A71F6" w:rsidP="009A71F6">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CAPÍTULO III.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RETRIBUCIONES DEL PERSONAL DOCENTE</w:t>
      </w:r>
    </w:p>
    <w:p w14:paraId="0C77B66E" w14:textId="77777777" w:rsidR="009A71F6" w:rsidRPr="00F7157A" w:rsidRDefault="009A71F6" w:rsidP="009A71F6">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13. Compensaciones retributivas del personal docente que presta sus servicios en los comedores escolares subvencionados por el Departamento de Educación del Gobierno de Navarra.</w:t>
      </w:r>
    </w:p>
    <w:p w14:paraId="679E500F"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personal docente que, conforme a lo dispuesto en el Decreto Foral 58/2024, de 29 de mayo, por el que se regulan los comedores escolares de los centros docentes públicos no universitarios de la Comunidad Foral de Navarra, realice las funciones de persona administradora, encargada o cuidadora de comedor percibirá por cada día de desempeño efectivo las siguientes retribuciones brutas:</w:t>
      </w:r>
    </w:p>
    <w:tbl>
      <w:tblPr>
        <w:tblW w:w="8499" w:type="dxa"/>
        <w:tblInd w:w="-5" w:type="dxa"/>
        <w:tblCellMar>
          <w:left w:w="70" w:type="dxa"/>
          <w:right w:w="70" w:type="dxa"/>
        </w:tblCellMar>
        <w:tblLook w:val="04A0" w:firstRow="1" w:lastRow="0" w:firstColumn="1" w:lastColumn="0" w:noHBand="0" w:noVBand="1"/>
      </w:tblPr>
      <w:tblGrid>
        <w:gridCol w:w="2021"/>
        <w:gridCol w:w="2253"/>
        <w:gridCol w:w="2394"/>
        <w:gridCol w:w="1831"/>
      </w:tblGrid>
      <w:tr w:rsidR="00F7157A" w:rsidRPr="00F7157A" w14:paraId="7A9362C8" w14:textId="77777777" w:rsidTr="009A71F6">
        <w:trPr>
          <w:trHeight w:hRule="exact" w:val="1295"/>
        </w:trPr>
        <w:tc>
          <w:tcPr>
            <w:tcW w:w="2021" w:type="dxa"/>
            <w:tcBorders>
              <w:top w:val="single" w:sz="4" w:space="0" w:color="auto"/>
              <w:left w:val="single" w:sz="4" w:space="0" w:color="auto"/>
              <w:bottom w:val="single" w:sz="4" w:space="0" w:color="auto"/>
              <w:right w:val="single" w:sz="4" w:space="0" w:color="auto"/>
            </w:tcBorders>
            <w:vAlign w:val="center"/>
            <w:hideMark/>
          </w:tcPr>
          <w:p w14:paraId="3F722ED5" w14:textId="77777777" w:rsidR="009A71F6" w:rsidRPr="00F7157A" w:rsidRDefault="009A71F6" w:rsidP="009A71F6">
            <w:pPr>
              <w:keepNext/>
              <w:jc w:val="center"/>
              <w:rPr>
                <w:rFonts w:ascii="Arial" w:hAnsi="Arial" w:cs="Arial"/>
              </w:rPr>
            </w:pPr>
            <w:bookmarkStart w:id="1" w:name="_Hlk118453738"/>
            <w:r w:rsidRPr="00F7157A">
              <w:rPr>
                <w:rFonts w:ascii="Arial" w:hAnsi="Arial" w:cs="Arial"/>
              </w:rPr>
              <w:t>NÚMERO DE COMENSALES</w:t>
            </w:r>
          </w:p>
        </w:tc>
        <w:tc>
          <w:tcPr>
            <w:tcW w:w="2253" w:type="dxa"/>
            <w:tcBorders>
              <w:top w:val="single" w:sz="4" w:space="0" w:color="auto"/>
              <w:left w:val="nil"/>
              <w:bottom w:val="single" w:sz="4" w:space="0" w:color="auto"/>
              <w:right w:val="single" w:sz="4" w:space="0" w:color="auto"/>
            </w:tcBorders>
            <w:vAlign w:val="center"/>
            <w:hideMark/>
          </w:tcPr>
          <w:p w14:paraId="1A7B83FD" w14:textId="77777777" w:rsidR="009A71F6" w:rsidRPr="00F7157A" w:rsidRDefault="009A71F6" w:rsidP="009A71F6">
            <w:pPr>
              <w:keepNext/>
              <w:jc w:val="center"/>
              <w:rPr>
                <w:rFonts w:ascii="Arial" w:hAnsi="Arial" w:cs="Arial"/>
              </w:rPr>
            </w:pPr>
            <w:r w:rsidRPr="00F7157A">
              <w:rPr>
                <w:rFonts w:ascii="Arial" w:hAnsi="Arial" w:cs="Arial"/>
              </w:rPr>
              <w:t>PERSONA ENCARGADA DE COMEDOR</w:t>
            </w:r>
          </w:p>
          <w:p w14:paraId="0F8335E3" w14:textId="77777777" w:rsidR="009A71F6" w:rsidRPr="00F7157A" w:rsidRDefault="009A71F6" w:rsidP="009A71F6">
            <w:pPr>
              <w:keepNext/>
              <w:jc w:val="center"/>
              <w:rPr>
                <w:rFonts w:ascii="Arial" w:hAnsi="Arial" w:cs="Arial"/>
              </w:rPr>
            </w:pPr>
            <w:r w:rsidRPr="00F7157A">
              <w:rPr>
                <w:rFonts w:ascii="Arial" w:hAnsi="Arial" w:cs="Arial"/>
              </w:rPr>
              <w:t>EUROS</w:t>
            </w:r>
          </w:p>
        </w:tc>
        <w:tc>
          <w:tcPr>
            <w:tcW w:w="2394" w:type="dxa"/>
            <w:tcBorders>
              <w:top w:val="single" w:sz="4" w:space="0" w:color="auto"/>
              <w:left w:val="nil"/>
              <w:bottom w:val="single" w:sz="4" w:space="0" w:color="auto"/>
              <w:right w:val="single" w:sz="4" w:space="0" w:color="auto"/>
            </w:tcBorders>
            <w:vAlign w:val="center"/>
            <w:hideMark/>
          </w:tcPr>
          <w:p w14:paraId="37B7090D" w14:textId="77777777" w:rsidR="009A71F6" w:rsidRPr="00F7157A" w:rsidRDefault="009A71F6" w:rsidP="009A71F6">
            <w:pPr>
              <w:keepNext/>
              <w:jc w:val="center"/>
              <w:rPr>
                <w:rFonts w:ascii="Arial" w:hAnsi="Arial" w:cs="Arial"/>
              </w:rPr>
            </w:pPr>
            <w:r w:rsidRPr="00F7157A">
              <w:rPr>
                <w:rFonts w:ascii="Arial" w:hAnsi="Arial" w:cs="Arial"/>
              </w:rPr>
              <w:t>PERSONA ADMINISTRADORA</w:t>
            </w:r>
          </w:p>
          <w:p w14:paraId="03E30B6C" w14:textId="77777777" w:rsidR="009A71F6" w:rsidRPr="00F7157A" w:rsidRDefault="009A71F6" w:rsidP="009A71F6">
            <w:pPr>
              <w:keepNext/>
              <w:jc w:val="center"/>
              <w:rPr>
                <w:rFonts w:ascii="Arial" w:hAnsi="Arial" w:cs="Arial"/>
              </w:rPr>
            </w:pPr>
            <w:r w:rsidRPr="00F7157A">
              <w:rPr>
                <w:rFonts w:ascii="Arial" w:hAnsi="Arial" w:cs="Arial"/>
              </w:rPr>
              <w:t>EUROS</w:t>
            </w:r>
          </w:p>
        </w:tc>
        <w:tc>
          <w:tcPr>
            <w:tcW w:w="1831" w:type="dxa"/>
            <w:tcBorders>
              <w:top w:val="single" w:sz="4" w:space="0" w:color="auto"/>
              <w:left w:val="nil"/>
              <w:bottom w:val="single" w:sz="4" w:space="0" w:color="auto"/>
              <w:right w:val="single" w:sz="4" w:space="0" w:color="auto"/>
            </w:tcBorders>
            <w:vAlign w:val="center"/>
            <w:hideMark/>
          </w:tcPr>
          <w:p w14:paraId="3839DD97" w14:textId="77777777" w:rsidR="009A71F6" w:rsidRPr="00F7157A" w:rsidRDefault="009A71F6" w:rsidP="009A71F6">
            <w:pPr>
              <w:keepNext/>
              <w:jc w:val="center"/>
              <w:rPr>
                <w:rFonts w:ascii="Arial" w:hAnsi="Arial" w:cs="Arial"/>
              </w:rPr>
            </w:pPr>
            <w:r w:rsidRPr="00F7157A">
              <w:rPr>
                <w:rFonts w:ascii="Arial" w:hAnsi="Arial" w:cs="Arial"/>
              </w:rPr>
              <w:t>POR CADA PERSONA CUIDADORA</w:t>
            </w:r>
          </w:p>
          <w:p w14:paraId="1EF6BBE7" w14:textId="77777777" w:rsidR="009A71F6" w:rsidRPr="00F7157A" w:rsidRDefault="009A71F6" w:rsidP="009A71F6">
            <w:pPr>
              <w:keepNext/>
              <w:jc w:val="center"/>
              <w:rPr>
                <w:rFonts w:ascii="Arial" w:hAnsi="Arial" w:cs="Arial"/>
              </w:rPr>
            </w:pPr>
            <w:r w:rsidRPr="00F7157A">
              <w:rPr>
                <w:rFonts w:ascii="Arial" w:hAnsi="Arial" w:cs="Arial"/>
              </w:rPr>
              <w:t>EUROS</w:t>
            </w:r>
          </w:p>
        </w:tc>
      </w:tr>
      <w:bookmarkEnd w:id="1"/>
      <w:tr w:rsidR="00F7157A" w:rsidRPr="00F7157A" w14:paraId="3AB72134" w14:textId="77777777" w:rsidTr="00B31171">
        <w:trPr>
          <w:trHeight w:hRule="exact" w:val="567"/>
        </w:trPr>
        <w:tc>
          <w:tcPr>
            <w:tcW w:w="2021" w:type="dxa"/>
            <w:tcBorders>
              <w:top w:val="nil"/>
              <w:left w:val="single" w:sz="4" w:space="0" w:color="auto"/>
              <w:bottom w:val="single" w:sz="4" w:space="0" w:color="auto"/>
              <w:right w:val="single" w:sz="4" w:space="0" w:color="auto"/>
            </w:tcBorders>
            <w:noWrap/>
            <w:vAlign w:val="center"/>
            <w:hideMark/>
          </w:tcPr>
          <w:p w14:paraId="03419902" w14:textId="77777777" w:rsidR="009A71F6" w:rsidRPr="00F7157A" w:rsidRDefault="009A71F6" w:rsidP="00B31171">
            <w:pPr>
              <w:keepNext/>
              <w:jc w:val="center"/>
              <w:rPr>
                <w:rFonts w:ascii="Arial" w:hAnsi="Arial" w:cs="Arial"/>
              </w:rPr>
            </w:pPr>
            <w:r w:rsidRPr="00F7157A">
              <w:rPr>
                <w:rFonts w:ascii="Arial" w:hAnsi="Arial" w:cs="Arial"/>
              </w:rPr>
              <w:t>1-80</w:t>
            </w:r>
          </w:p>
        </w:tc>
        <w:tc>
          <w:tcPr>
            <w:tcW w:w="2253" w:type="dxa"/>
            <w:tcBorders>
              <w:top w:val="nil"/>
              <w:left w:val="nil"/>
              <w:bottom w:val="single" w:sz="4" w:space="0" w:color="auto"/>
              <w:right w:val="single" w:sz="4" w:space="0" w:color="auto"/>
            </w:tcBorders>
            <w:noWrap/>
            <w:vAlign w:val="center"/>
            <w:hideMark/>
          </w:tcPr>
          <w:p w14:paraId="06978911" w14:textId="77777777" w:rsidR="009A71F6" w:rsidRPr="00F7157A" w:rsidRDefault="009A71F6" w:rsidP="00B31171">
            <w:pPr>
              <w:keepNext/>
              <w:jc w:val="center"/>
              <w:rPr>
                <w:rFonts w:ascii="Arial" w:hAnsi="Arial" w:cs="Arial"/>
              </w:rPr>
            </w:pPr>
            <w:r w:rsidRPr="00F7157A">
              <w:rPr>
                <w:rFonts w:ascii="Arial" w:hAnsi="Arial" w:cs="Arial"/>
              </w:rPr>
              <w:t>19,28</w:t>
            </w:r>
          </w:p>
        </w:tc>
        <w:tc>
          <w:tcPr>
            <w:tcW w:w="2394" w:type="dxa"/>
            <w:tcBorders>
              <w:top w:val="nil"/>
              <w:left w:val="nil"/>
              <w:bottom w:val="single" w:sz="4" w:space="0" w:color="auto"/>
              <w:right w:val="single" w:sz="4" w:space="0" w:color="auto"/>
            </w:tcBorders>
            <w:noWrap/>
            <w:vAlign w:val="center"/>
            <w:hideMark/>
          </w:tcPr>
          <w:p w14:paraId="7E721283" w14:textId="77777777" w:rsidR="009A71F6" w:rsidRPr="00F7157A" w:rsidRDefault="009A71F6" w:rsidP="00B31171">
            <w:pPr>
              <w:keepNext/>
              <w:jc w:val="center"/>
              <w:rPr>
                <w:rFonts w:ascii="Arial" w:hAnsi="Arial" w:cs="Arial"/>
              </w:rPr>
            </w:pPr>
            <w:r w:rsidRPr="00F7157A">
              <w:rPr>
                <w:rFonts w:ascii="Arial" w:hAnsi="Arial" w:cs="Arial"/>
              </w:rPr>
              <w:t>17,03</w:t>
            </w:r>
          </w:p>
        </w:tc>
        <w:tc>
          <w:tcPr>
            <w:tcW w:w="1831" w:type="dxa"/>
            <w:tcBorders>
              <w:top w:val="nil"/>
              <w:left w:val="nil"/>
              <w:bottom w:val="single" w:sz="4" w:space="0" w:color="auto"/>
              <w:right w:val="single" w:sz="4" w:space="0" w:color="auto"/>
            </w:tcBorders>
            <w:noWrap/>
            <w:vAlign w:val="center"/>
            <w:hideMark/>
          </w:tcPr>
          <w:p w14:paraId="793D2B68" w14:textId="77777777" w:rsidR="009A71F6" w:rsidRPr="00F7157A" w:rsidRDefault="009A71F6" w:rsidP="00B31171">
            <w:pPr>
              <w:keepNext/>
              <w:jc w:val="center"/>
              <w:rPr>
                <w:rFonts w:ascii="Arial" w:hAnsi="Arial" w:cs="Arial"/>
              </w:rPr>
            </w:pPr>
            <w:bookmarkStart w:id="2" w:name="OLE_LINK1"/>
            <w:r w:rsidRPr="00F7157A">
              <w:rPr>
                <w:rFonts w:ascii="Arial" w:hAnsi="Arial" w:cs="Arial"/>
              </w:rPr>
              <w:t>19,28</w:t>
            </w:r>
            <w:bookmarkEnd w:id="2"/>
          </w:p>
        </w:tc>
      </w:tr>
      <w:tr w:rsidR="00F7157A" w:rsidRPr="00F7157A" w14:paraId="2057CA3E" w14:textId="77777777" w:rsidTr="00B31171">
        <w:trPr>
          <w:trHeight w:hRule="exact" w:val="567"/>
        </w:trPr>
        <w:tc>
          <w:tcPr>
            <w:tcW w:w="2021" w:type="dxa"/>
            <w:tcBorders>
              <w:top w:val="nil"/>
              <w:left w:val="single" w:sz="4" w:space="0" w:color="auto"/>
              <w:bottom w:val="single" w:sz="4" w:space="0" w:color="auto"/>
              <w:right w:val="single" w:sz="4" w:space="0" w:color="auto"/>
            </w:tcBorders>
            <w:noWrap/>
            <w:vAlign w:val="center"/>
            <w:hideMark/>
          </w:tcPr>
          <w:p w14:paraId="1E819B70" w14:textId="77777777" w:rsidR="009A71F6" w:rsidRPr="00F7157A" w:rsidRDefault="009A71F6" w:rsidP="00B31171">
            <w:pPr>
              <w:keepNext/>
              <w:jc w:val="center"/>
              <w:rPr>
                <w:rFonts w:ascii="Arial" w:hAnsi="Arial" w:cs="Arial"/>
              </w:rPr>
            </w:pPr>
            <w:r w:rsidRPr="00F7157A">
              <w:rPr>
                <w:rFonts w:ascii="Arial" w:hAnsi="Arial" w:cs="Arial"/>
              </w:rPr>
              <w:t>81-160</w:t>
            </w:r>
          </w:p>
        </w:tc>
        <w:tc>
          <w:tcPr>
            <w:tcW w:w="2253" w:type="dxa"/>
            <w:tcBorders>
              <w:top w:val="nil"/>
              <w:left w:val="nil"/>
              <w:bottom w:val="single" w:sz="4" w:space="0" w:color="auto"/>
              <w:right w:val="single" w:sz="4" w:space="0" w:color="auto"/>
            </w:tcBorders>
            <w:noWrap/>
            <w:vAlign w:val="center"/>
            <w:hideMark/>
          </w:tcPr>
          <w:p w14:paraId="6D34DF77" w14:textId="77777777" w:rsidR="009A71F6" w:rsidRPr="00F7157A" w:rsidRDefault="009A71F6" w:rsidP="00B31171">
            <w:pPr>
              <w:keepNext/>
              <w:jc w:val="center"/>
              <w:rPr>
                <w:rFonts w:ascii="Arial" w:hAnsi="Arial" w:cs="Arial"/>
              </w:rPr>
            </w:pPr>
            <w:r w:rsidRPr="00F7157A">
              <w:rPr>
                <w:rFonts w:ascii="Arial" w:hAnsi="Arial" w:cs="Arial"/>
              </w:rPr>
              <w:t>21,51</w:t>
            </w:r>
          </w:p>
        </w:tc>
        <w:tc>
          <w:tcPr>
            <w:tcW w:w="2394" w:type="dxa"/>
            <w:tcBorders>
              <w:top w:val="nil"/>
              <w:left w:val="nil"/>
              <w:bottom w:val="single" w:sz="4" w:space="0" w:color="auto"/>
              <w:right w:val="single" w:sz="4" w:space="0" w:color="auto"/>
            </w:tcBorders>
            <w:noWrap/>
            <w:vAlign w:val="center"/>
            <w:hideMark/>
          </w:tcPr>
          <w:p w14:paraId="206DD8E2" w14:textId="77777777" w:rsidR="009A71F6" w:rsidRPr="00F7157A" w:rsidRDefault="009A71F6" w:rsidP="00B31171">
            <w:pPr>
              <w:keepNext/>
              <w:jc w:val="center"/>
              <w:rPr>
                <w:rFonts w:ascii="Arial" w:hAnsi="Arial" w:cs="Arial"/>
              </w:rPr>
            </w:pPr>
            <w:r w:rsidRPr="00F7157A">
              <w:rPr>
                <w:rFonts w:ascii="Arial" w:hAnsi="Arial" w:cs="Arial"/>
              </w:rPr>
              <w:t>17,03</w:t>
            </w:r>
          </w:p>
        </w:tc>
        <w:tc>
          <w:tcPr>
            <w:tcW w:w="1831" w:type="dxa"/>
            <w:tcBorders>
              <w:top w:val="nil"/>
              <w:left w:val="nil"/>
              <w:bottom w:val="single" w:sz="4" w:space="0" w:color="auto"/>
              <w:right w:val="single" w:sz="4" w:space="0" w:color="auto"/>
            </w:tcBorders>
            <w:noWrap/>
            <w:vAlign w:val="center"/>
            <w:hideMark/>
          </w:tcPr>
          <w:p w14:paraId="31262B4C" w14:textId="77777777" w:rsidR="009A71F6" w:rsidRPr="00F7157A" w:rsidRDefault="009A71F6" w:rsidP="00B31171">
            <w:pPr>
              <w:keepNext/>
              <w:jc w:val="center"/>
              <w:rPr>
                <w:rFonts w:ascii="Arial" w:hAnsi="Arial" w:cs="Arial"/>
              </w:rPr>
            </w:pPr>
            <w:r w:rsidRPr="00F7157A">
              <w:rPr>
                <w:rFonts w:ascii="Arial" w:hAnsi="Arial" w:cs="Arial"/>
              </w:rPr>
              <w:t>19,28</w:t>
            </w:r>
          </w:p>
        </w:tc>
      </w:tr>
      <w:tr w:rsidR="00F7157A" w:rsidRPr="00F7157A" w14:paraId="24AFFD35" w14:textId="77777777" w:rsidTr="00B31171">
        <w:trPr>
          <w:trHeight w:hRule="exact" w:val="567"/>
        </w:trPr>
        <w:tc>
          <w:tcPr>
            <w:tcW w:w="2021" w:type="dxa"/>
            <w:tcBorders>
              <w:top w:val="nil"/>
              <w:left w:val="single" w:sz="4" w:space="0" w:color="auto"/>
              <w:bottom w:val="single" w:sz="4" w:space="0" w:color="auto"/>
              <w:right w:val="single" w:sz="4" w:space="0" w:color="auto"/>
            </w:tcBorders>
            <w:noWrap/>
            <w:vAlign w:val="center"/>
            <w:hideMark/>
          </w:tcPr>
          <w:p w14:paraId="62F678E0" w14:textId="77777777" w:rsidR="009A71F6" w:rsidRPr="00F7157A" w:rsidRDefault="009A71F6" w:rsidP="00B31171">
            <w:pPr>
              <w:keepNext/>
              <w:jc w:val="center"/>
              <w:rPr>
                <w:rFonts w:ascii="Arial" w:hAnsi="Arial" w:cs="Arial"/>
              </w:rPr>
            </w:pPr>
            <w:r w:rsidRPr="00F7157A">
              <w:rPr>
                <w:rFonts w:ascii="Arial" w:hAnsi="Arial" w:cs="Arial"/>
              </w:rPr>
              <w:t>161-240</w:t>
            </w:r>
          </w:p>
        </w:tc>
        <w:tc>
          <w:tcPr>
            <w:tcW w:w="2253" w:type="dxa"/>
            <w:tcBorders>
              <w:top w:val="nil"/>
              <w:left w:val="nil"/>
              <w:bottom w:val="single" w:sz="4" w:space="0" w:color="auto"/>
              <w:right w:val="single" w:sz="4" w:space="0" w:color="auto"/>
            </w:tcBorders>
            <w:noWrap/>
            <w:vAlign w:val="center"/>
            <w:hideMark/>
          </w:tcPr>
          <w:p w14:paraId="248806BD" w14:textId="77777777" w:rsidR="009A71F6" w:rsidRPr="00F7157A" w:rsidRDefault="009A71F6" w:rsidP="00B31171">
            <w:pPr>
              <w:keepNext/>
              <w:jc w:val="center"/>
              <w:rPr>
                <w:rFonts w:ascii="Arial" w:hAnsi="Arial" w:cs="Arial"/>
              </w:rPr>
            </w:pPr>
            <w:r w:rsidRPr="00F7157A">
              <w:rPr>
                <w:rFonts w:ascii="Arial" w:hAnsi="Arial" w:cs="Arial"/>
              </w:rPr>
              <w:t>23,08</w:t>
            </w:r>
          </w:p>
        </w:tc>
        <w:tc>
          <w:tcPr>
            <w:tcW w:w="2394" w:type="dxa"/>
            <w:tcBorders>
              <w:top w:val="nil"/>
              <w:left w:val="nil"/>
              <w:bottom w:val="single" w:sz="4" w:space="0" w:color="auto"/>
              <w:right w:val="single" w:sz="4" w:space="0" w:color="auto"/>
            </w:tcBorders>
            <w:noWrap/>
            <w:vAlign w:val="center"/>
            <w:hideMark/>
          </w:tcPr>
          <w:p w14:paraId="11774094" w14:textId="77777777" w:rsidR="009A71F6" w:rsidRPr="00F7157A" w:rsidRDefault="009A71F6" w:rsidP="00B31171">
            <w:pPr>
              <w:keepNext/>
              <w:jc w:val="center"/>
              <w:rPr>
                <w:rFonts w:ascii="Arial" w:hAnsi="Arial" w:cs="Arial"/>
              </w:rPr>
            </w:pPr>
            <w:r w:rsidRPr="00F7157A">
              <w:rPr>
                <w:rFonts w:ascii="Arial" w:hAnsi="Arial" w:cs="Arial"/>
              </w:rPr>
              <w:t>19,09</w:t>
            </w:r>
          </w:p>
        </w:tc>
        <w:tc>
          <w:tcPr>
            <w:tcW w:w="1831" w:type="dxa"/>
            <w:tcBorders>
              <w:top w:val="nil"/>
              <w:left w:val="nil"/>
              <w:bottom w:val="single" w:sz="4" w:space="0" w:color="auto"/>
              <w:right w:val="single" w:sz="4" w:space="0" w:color="auto"/>
            </w:tcBorders>
            <w:noWrap/>
            <w:vAlign w:val="center"/>
            <w:hideMark/>
          </w:tcPr>
          <w:p w14:paraId="26F51EEC" w14:textId="77777777" w:rsidR="009A71F6" w:rsidRPr="00F7157A" w:rsidRDefault="009A71F6" w:rsidP="00B31171">
            <w:pPr>
              <w:keepNext/>
              <w:jc w:val="center"/>
              <w:rPr>
                <w:rFonts w:ascii="Arial" w:hAnsi="Arial" w:cs="Arial"/>
              </w:rPr>
            </w:pPr>
            <w:r w:rsidRPr="00F7157A">
              <w:rPr>
                <w:rFonts w:ascii="Arial" w:hAnsi="Arial" w:cs="Arial"/>
              </w:rPr>
              <w:t>19,28</w:t>
            </w:r>
          </w:p>
        </w:tc>
      </w:tr>
      <w:tr w:rsidR="00F7157A" w:rsidRPr="00F7157A" w14:paraId="6A787983" w14:textId="77777777" w:rsidTr="00B31171">
        <w:trPr>
          <w:trHeight w:hRule="exact" w:val="567"/>
        </w:trPr>
        <w:tc>
          <w:tcPr>
            <w:tcW w:w="2021" w:type="dxa"/>
            <w:tcBorders>
              <w:top w:val="nil"/>
              <w:left w:val="single" w:sz="4" w:space="0" w:color="auto"/>
              <w:bottom w:val="single" w:sz="4" w:space="0" w:color="auto"/>
              <w:right w:val="single" w:sz="4" w:space="0" w:color="auto"/>
            </w:tcBorders>
            <w:noWrap/>
            <w:vAlign w:val="center"/>
            <w:hideMark/>
          </w:tcPr>
          <w:p w14:paraId="0E9199F2" w14:textId="77777777" w:rsidR="009A71F6" w:rsidRPr="00F7157A" w:rsidRDefault="009A71F6" w:rsidP="00B31171">
            <w:pPr>
              <w:keepNext/>
              <w:jc w:val="center"/>
              <w:rPr>
                <w:rFonts w:ascii="Arial" w:hAnsi="Arial" w:cs="Arial"/>
              </w:rPr>
            </w:pPr>
            <w:r w:rsidRPr="00F7157A">
              <w:rPr>
                <w:rFonts w:ascii="Arial" w:hAnsi="Arial" w:cs="Arial"/>
              </w:rPr>
              <w:t>Más de 240</w:t>
            </w:r>
          </w:p>
        </w:tc>
        <w:tc>
          <w:tcPr>
            <w:tcW w:w="2253" w:type="dxa"/>
            <w:tcBorders>
              <w:top w:val="nil"/>
              <w:left w:val="nil"/>
              <w:bottom w:val="single" w:sz="4" w:space="0" w:color="auto"/>
              <w:right w:val="single" w:sz="4" w:space="0" w:color="auto"/>
            </w:tcBorders>
            <w:noWrap/>
            <w:vAlign w:val="center"/>
            <w:hideMark/>
          </w:tcPr>
          <w:p w14:paraId="02CB9B88" w14:textId="77777777" w:rsidR="009A71F6" w:rsidRPr="00F7157A" w:rsidRDefault="009A71F6" w:rsidP="00B31171">
            <w:pPr>
              <w:keepNext/>
              <w:jc w:val="center"/>
              <w:rPr>
                <w:rFonts w:ascii="Arial" w:hAnsi="Arial" w:cs="Arial"/>
              </w:rPr>
            </w:pPr>
            <w:r w:rsidRPr="00F7157A">
              <w:rPr>
                <w:rFonts w:ascii="Arial" w:hAnsi="Arial" w:cs="Arial"/>
              </w:rPr>
              <w:t>23,88</w:t>
            </w:r>
          </w:p>
        </w:tc>
        <w:tc>
          <w:tcPr>
            <w:tcW w:w="2394" w:type="dxa"/>
            <w:tcBorders>
              <w:top w:val="nil"/>
              <w:left w:val="nil"/>
              <w:bottom w:val="single" w:sz="4" w:space="0" w:color="auto"/>
              <w:right w:val="single" w:sz="4" w:space="0" w:color="auto"/>
            </w:tcBorders>
            <w:noWrap/>
            <w:vAlign w:val="center"/>
            <w:hideMark/>
          </w:tcPr>
          <w:p w14:paraId="581A4FE0" w14:textId="77777777" w:rsidR="009A71F6" w:rsidRPr="00F7157A" w:rsidRDefault="009A71F6" w:rsidP="00B31171">
            <w:pPr>
              <w:keepNext/>
              <w:jc w:val="center"/>
              <w:rPr>
                <w:rFonts w:ascii="Arial" w:hAnsi="Arial" w:cs="Arial"/>
              </w:rPr>
            </w:pPr>
            <w:r w:rsidRPr="00F7157A">
              <w:rPr>
                <w:rFonts w:ascii="Arial" w:hAnsi="Arial" w:cs="Arial"/>
              </w:rPr>
              <w:t>21,88</w:t>
            </w:r>
          </w:p>
        </w:tc>
        <w:tc>
          <w:tcPr>
            <w:tcW w:w="1831" w:type="dxa"/>
            <w:tcBorders>
              <w:top w:val="nil"/>
              <w:left w:val="nil"/>
              <w:bottom w:val="single" w:sz="4" w:space="0" w:color="auto"/>
              <w:right w:val="single" w:sz="4" w:space="0" w:color="auto"/>
            </w:tcBorders>
            <w:noWrap/>
            <w:vAlign w:val="center"/>
            <w:hideMark/>
          </w:tcPr>
          <w:p w14:paraId="0477294F" w14:textId="77777777" w:rsidR="009A71F6" w:rsidRPr="00F7157A" w:rsidRDefault="009A71F6" w:rsidP="00B31171">
            <w:pPr>
              <w:keepNext/>
              <w:jc w:val="center"/>
              <w:rPr>
                <w:rFonts w:ascii="Arial" w:hAnsi="Arial" w:cs="Arial"/>
              </w:rPr>
            </w:pPr>
            <w:r w:rsidRPr="00F7157A">
              <w:rPr>
                <w:rFonts w:ascii="Arial" w:hAnsi="Arial" w:cs="Arial"/>
              </w:rPr>
              <w:t>19,28</w:t>
            </w:r>
          </w:p>
        </w:tc>
      </w:tr>
    </w:tbl>
    <w:p w14:paraId="2ADA912D"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p>
    <w:p w14:paraId="1E00251F" w14:textId="77777777" w:rsidR="009A71F6" w:rsidRPr="00F7157A" w:rsidRDefault="009A71F6" w:rsidP="009A71F6">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069CCB77" w14:textId="77777777" w:rsidR="00993B39" w:rsidRPr="00F7157A" w:rsidRDefault="00993B39" w:rsidP="00993B39">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14. Compensación económica por impartir formación al personal docente.</w:t>
      </w:r>
    </w:p>
    <w:p w14:paraId="4836465B"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las direcciones generales del Departamento de Educación o por los Centros de Apoyo al Profesorado, siempre y cuando realice esta tarea fuera de su jornada de trabajo. Dichas compensaciones serán las siguientes:</w:t>
      </w:r>
    </w:p>
    <w:p w14:paraId="6535FEC0"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Formación presencial:</w:t>
      </w:r>
    </w:p>
    <w:p w14:paraId="637B08F4"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a.1. La ponencia, entendiendo por ella la hora lectiva de desarrollo de una persona experta en una actividad formativa, será retribuida con un importe de hasta 62,85 euros.</w:t>
      </w:r>
    </w:p>
    <w:p w14:paraId="0213667D"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a.2. La conferencia, entendiendo por ella la disertación en público de una persona especialista sobre un tema científico, tecnológico o humanístico de interés, con una duración mínima de 90 minutos, será retribuida hasta un máximo de 383,78 euros.</w:t>
      </w:r>
    </w:p>
    <w:p w14:paraId="3D4F87D3"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Formación a distancia:</w:t>
      </w:r>
    </w:p>
    <w:p w14:paraId="2F1A8F42"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b.1. La participación en actividades de formación a distancia en calidad de personal coordinador telemático será retribuida hasta un máximo de 1.112,98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104,33 euros.</w:t>
      </w:r>
    </w:p>
    <w:p w14:paraId="28F6AD25"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b.2. La participación en actividades de formación a distancia en calidad de personal tutor telemático será retribuida hasta un máximo de 49,85 euros por cada alumno/a tutorizado.</w:t>
      </w:r>
    </w:p>
    <w:p w14:paraId="1A5D39F0"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Lo dispuesto en el apartado anterior no será de aplicación al personal docente destinado en los Centros de Apoyo al Profesorado o en las unidades orgánicas que diseñan y desarrollan actividades de formación de enseñanzas no universitarias.</w:t>
      </w:r>
    </w:p>
    <w:p w14:paraId="05846955" w14:textId="77777777" w:rsidR="00993B39" w:rsidRPr="00F7157A" w:rsidRDefault="00993B39" w:rsidP="00993B3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43C99DBF" w14:textId="77777777" w:rsidR="00C8725C" w:rsidRPr="00F7157A" w:rsidRDefault="00C8725C" w:rsidP="00C8725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Artículo 15. Retribuciones y complementos del Conservatorio Superior de Música de Navarra.</w:t>
      </w:r>
    </w:p>
    <w:p w14:paraId="28B5873F"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57125414"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75305516" w14:textId="77777777" w:rsidR="00C8725C" w:rsidRPr="00F7157A" w:rsidRDefault="00C8725C" w:rsidP="00C8725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16. Indemnización por kilometraje al profesorado asistente a actividades formativas.</w:t>
      </w:r>
    </w:p>
    <w:p w14:paraId="5A3D1451"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Tendrá derecho a percibir indemnización por kilometraje el profesorado asistente por designación expresa de la Administración educativa a actividades formativas convocadas mediante resolución de las personas titulares de las direcciones generales del Departamento de Educación, siempre que dicho derecho sea contemplado de forma expresa en la correspondiente resolución.</w:t>
      </w:r>
    </w:p>
    <w:p w14:paraId="744153D8" w14:textId="77777777" w:rsidR="00C8725C" w:rsidRPr="00F7157A" w:rsidRDefault="00C8725C" w:rsidP="00C8725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17. Retribuciones del personal funcionario en prácticas docentes.</w:t>
      </w:r>
    </w:p>
    <w:p w14:paraId="093A7F4E"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2432944D" w14:textId="77777777" w:rsidR="00C8725C" w:rsidRPr="00F7157A" w:rsidRDefault="00C8725C" w:rsidP="00C8725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18. Compensaciones retributivas a los empleados públicos docentes que intervienen en los procedimientos de evaluación, reconocimiento y acreditación de las competencias profesionales.</w:t>
      </w:r>
    </w:p>
    <w:p w14:paraId="437013F5"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El personal docente al servicio de la Administración de la Comunidad Foral de Navarra y sus organismos autónomos que sea designado para intervenir en las </w:t>
      </w:r>
      <w:r w:rsidRPr="00F7157A">
        <w:rPr>
          <w:rFonts w:ascii="Arial" w:eastAsia="Times New Roman" w:hAnsi="Arial" w:cs="Arial"/>
          <w:sz w:val="24"/>
          <w:szCs w:val="24"/>
          <w:lang w:val="es-ES" w:eastAsia="es-ES"/>
        </w:rPr>
        <w:lastRenderedPageBreak/>
        <w:t>fases de asesoramiento o evaluación de los procedimientos de acreditación de la competencia profesional y que sea convocado por los departamentos con competencias en la materia, conforme a lo regulado en el Decreto Foral 66/2014, de 27 de agosto,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3DBA6A82"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Personas asesoras del procedimiento de acreditación:</w:t>
      </w:r>
    </w:p>
    <w:p w14:paraId="3394C229"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Compensación por persona candidata que incluya:</w:t>
      </w:r>
    </w:p>
    <w:p w14:paraId="6CE97CED"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Hasta 3 unidades de competencia asesoradas 123,6 euros.</w:t>
      </w:r>
    </w:p>
    <w:p w14:paraId="546A8EBA"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De 4 a 6 unidades de competencia asesoradas 154,5 euros.</w:t>
      </w:r>
    </w:p>
    <w:p w14:paraId="16F24E83"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Más de 6 unidades de competencia asesoradas 185,4 euros.</w:t>
      </w:r>
    </w:p>
    <w:p w14:paraId="68BAC25E"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Complemento por cualificación extra de la misma familia profesional para una misma persona candidata 51,5 euros.</w:t>
      </w:r>
    </w:p>
    <w:p w14:paraId="5FBF74A0"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Personas evaluadoras del procedimiento de acreditación:</w:t>
      </w:r>
    </w:p>
    <w:p w14:paraId="4EEA0E38"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Compensación como persona evaluadora principal por persona candidata que incluya:</w:t>
      </w:r>
    </w:p>
    <w:p w14:paraId="043049FF"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Hasta 3 unidades de competencia evaluadas 133,9 euros.</w:t>
      </w:r>
    </w:p>
    <w:p w14:paraId="4B937256"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De 4 a 6 unidades de competencia evaluadas 169,96 euros.</w:t>
      </w:r>
    </w:p>
    <w:p w14:paraId="729617A5"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Más de 6 unidades de competencia evaluadas 206</w:t>
      </w:r>
      <w:r w:rsidR="00897353" w:rsidRPr="00F7157A">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euros.</w:t>
      </w:r>
    </w:p>
    <w:p w14:paraId="0315FCF2"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Compensación como persona evaluadora secundaria por persona candidata que incluya:</w:t>
      </w:r>
    </w:p>
    <w:p w14:paraId="7D9587E2"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Hasta 3 unidades de competencia evaluadas 61,8 euros.</w:t>
      </w:r>
    </w:p>
    <w:p w14:paraId="6C8ADD3E"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De 4 a 6 unidades de competencia evaluadas 77,26 euros.</w:t>
      </w:r>
    </w:p>
    <w:p w14:paraId="265672E9"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Más de 6 unidades de competencia evaluadas 92,7 euros.</w:t>
      </w:r>
    </w:p>
    <w:p w14:paraId="5D8310F6"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 Compensación como persona responsable de Comisión de evaluación (por grupo).</w:t>
      </w:r>
    </w:p>
    <w:p w14:paraId="082E8FAD"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Presidencia de la Comisión de evaluación 206 euros.</w:t>
      </w:r>
    </w:p>
    <w:p w14:paraId="7D4A9F4F" w14:textId="77777777" w:rsidR="00C8725C" w:rsidRPr="00F7157A" w:rsidRDefault="00C8725C" w:rsidP="00C8725C">
      <w:pPr>
        <w:numPr>
          <w:ilvl w:val="0"/>
          <w:numId w:val="1"/>
        </w:numPr>
        <w:shd w:val="clear" w:color="auto" w:fill="FFFFFF"/>
        <w:tabs>
          <w:tab w:val="clear" w:pos="0"/>
          <w:tab w:val="num" w:pos="709"/>
        </w:tabs>
        <w:spacing w:before="100" w:beforeAutospacing="1" w:after="300" w:line="340" w:lineRule="exact"/>
        <w:ind w:firstLine="426"/>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Secretaría de la Comisión de evaluación 103 euros.</w:t>
      </w:r>
    </w:p>
    <w:p w14:paraId="32CE9422"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3A15AEB3"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6CDBD467" w14:textId="77777777" w:rsidR="00C8725C" w:rsidRPr="00F7157A" w:rsidRDefault="00C8725C" w:rsidP="00C8725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19. Retribuciones del personal funcionario docente no universitario dependiente del Departamento de Educación.</w:t>
      </w:r>
    </w:p>
    <w:p w14:paraId="48706948"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1B83BE5C"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Cuerpo de maestros y asimilados: 38,07 por 100.</w:t>
      </w:r>
    </w:p>
    <w:p w14:paraId="282A82AD"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Cuerpos de catedráticos y asimilados: 39,48 por 100.</w:t>
      </w:r>
    </w:p>
    <w:p w14:paraId="01E3E39E"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Cuerpo de profesores de enseñanza secundaria y asimilados: 33,48 por 100.</w:t>
      </w:r>
    </w:p>
    <w:p w14:paraId="1E9FE3CA"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Cuerpo a extinguir de profesores técnicos de formación profesional y asimilados: 45,17 por 100.</w:t>
      </w:r>
    </w:p>
    <w:p w14:paraId="76F2897C"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 Cuerpo de profesores especialistas en sectores singulares de formación profesional y asimilados: 45,17 por 100.</w:t>
      </w:r>
    </w:p>
    <w:p w14:paraId="5191475E"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f) Cuerpo de profesores de música y artes escénicas y asimilados: 33,48 por 100.</w:t>
      </w:r>
    </w:p>
    <w:p w14:paraId="4D6BBB96"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g) Cuerpo de maestros de taller y artes plásticas y diseño y asimilados: 45,17 por 100.</w:t>
      </w:r>
    </w:p>
    <w:p w14:paraId="39084C8C"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 Cuerpo de profesores de artes plásticas y diseño y asimilados: 33,48 por 100.</w:t>
      </w:r>
    </w:p>
    <w:p w14:paraId="0E6D75A6"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i) Cuerpo de profesores de escuelas oficiales de idiomas y asimilados: 33,48 por 100.</w:t>
      </w:r>
    </w:p>
    <w:p w14:paraId="18470C2B"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j) Profesores de religión de enseñanza secundaria: 33,48 por 100.</w:t>
      </w:r>
    </w:p>
    <w:p w14:paraId="78AA7D33"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k) Profesores de religión de educación infantil y primaria: 38,07 por 100.</w:t>
      </w:r>
    </w:p>
    <w:p w14:paraId="3F91F47B"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 El personal del cuerpo de maestros y asimilados que, de conformidad con lo previsto en la disposición transitoria primera de la Ley Orgánica 2/2006, de 3 de mayo, de Educación, esté adscrito con carácter definitivo o provisional a puestos de trabajo de la educación secundaria obligatoria, percibirá como complemento específico docente idéntica cuantía que la que corresponda a un profesor de enseñanza secundaria. Igualmente percibirá un complemento especial en cuantía del 5,45 por 100 del sueldo inicial del nivel B.</w:t>
      </w:r>
    </w:p>
    <w:p w14:paraId="5D5CDC56" w14:textId="77777777" w:rsidR="00C8725C" w:rsidRPr="00F7157A" w:rsidRDefault="00C8725C" w:rsidP="00C8725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20. Determinación de la carga lectiva del personal docente.</w:t>
      </w:r>
    </w:p>
    <w:p w14:paraId="4E7DBE49"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48F9D7B4" w14:textId="77777777" w:rsidR="00C8725C" w:rsidRPr="00F7157A" w:rsidRDefault="00C8725C" w:rsidP="00C8725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21. Centros docentes públicos de nueva creación.</w:t>
      </w:r>
    </w:p>
    <w:p w14:paraId="33D4DE6C" w14:textId="77777777" w:rsidR="00C8725C" w:rsidRPr="00F7157A" w:rsidRDefault="00C8725C" w:rsidP="00C8725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Departamento de Educación podrá nombrar con una anticipación de hasta cuatro meses antes de la creación de un centro docente público, cargos directivos docentes que realizarán las funciones establecidas en los reglamentos orgánicos y ejercerán las competencias atribuidas al Consejo Escolar hasta la constitución del mismo.</w:t>
      </w:r>
    </w:p>
    <w:p w14:paraId="08659A66" w14:textId="77777777" w:rsidR="00C8725C" w:rsidRPr="00F7157A" w:rsidRDefault="00C8725C" w:rsidP="00C8725C">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CAPÍTULO IV.</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RETRIBUCIONES DEL PERSONAL DEL SERVICIO NAVARRO DE SALUD-OSASUNBIDEA Y DEL INSTITUTO DE SALUD PÚBLICA Y LABORAL DE NAVARRA</w:t>
      </w:r>
      <w:r w:rsidR="00B31171" w:rsidRPr="00F7157A">
        <w:rPr>
          <w:rFonts w:ascii="Arial" w:eastAsia="Times New Roman" w:hAnsi="Arial" w:cs="Arial"/>
          <w:b/>
          <w:bCs/>
          <w:caps/>
          <w:sz w:val="24"/>
          <w:szCs w:val="24"/>
          <w:lang w:val="es-ES" w:eastAsia="es-ES"/>
        </w:rPr>
        <w:t>.</w:t>
      </w:r>
    </w:p>
    <w:p w14:paraId="3CE0E145"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Artículo 2</w:t>
      </w:r>
      <w:r w:rsidR="009C226E">
        <w:rPr>
          <w:rFonts w:ascii="Arial" w:eastAsia="Times New Roman" w:hAnsi="Arial" w:cs="Arial"/>
          <w:b/>
          <w:sz w:val="24"/>
          <w:szCs w:val="24"/>
          <w:lang w:val="es-ES" w:eastAsia="es-ES"/>
        </w:rPr>
        <w:t>2</w:t>
      </w:r>
      <w:r w:rsidRPr="00F7157A">
        <w:rPr>
          <w:rFonts w:ascii="Arial" w:eastAsia="Times New Roman" w:hAnsi="Arial" w:cs="Arial"/>
          <w:b/>
          <w:sz w:val="24"/>
          <w:szCs w:val="24"/>
          <w:lang w:val="es-ES" w:eastAsia="es-ES"/>
        </w:rPr>
        <w:t>. Régimen de exclusividad del personal facultativo especialista y médico contratado temporal.</w:t>
      </w:r>
    </w:p>
    <w:p w14:paraId="1A2EDFF9"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Durante el año 2026, las nuevas contrataciones temporales de personal de los estamentos A.1 y A.2.5 de la Ley Foral 11/1992, reguladora del régimen específico del personal adscrito al Servicio Navarro de Salud-Osasunbidea, se producirán en régimen de dedicación exclusiva, permitiendo al profesional contratado optar por el régimen de dedicación no exclusiva, pudiendo hacerlo desde el primer día de su contratación.</w:t>
      </w:r>
    </w:p>
    <w:p w14:paraId="13530703" w14:textId="77777777" w:rsidR="006F0E82" w:rsidRPr="00F7157A" w:rsidRDefault="00C70686" w:rsidP="006F0E82">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 xml:space="preserve">CAPÍTULO V. </w:t>
      </w:r>
      <w:r w:rsidR="006F0E82" w:rsidRPr="00F7157A">
        <w:rPr>
          <w:rFonts w:ascii="Arial" w:eastAsia="Times New Roman" w:hAnsi="Arial" w:cs="Arial"/>
          <w:b/>
          <w:bCs/>
          <w:caps/>
          <w:sz w:val="24"/>
          <w:szCs w:val="24"/>
          <w:lang w:val="es-ES" w:eastAsia="es-ES"/>
        </w:rPr>
        <w:t>OTRAS DISPOSICIONES</w:t>
      </w:r>
    </w:p>
    <w:p w14:paraId="7340B05D"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2</w:t>
      </w:r>
      <w:r w:rsidR="009C226E">
        <w:rPr>
          <w:rFonts w:ascii="Arial" w:eastAsia="Times New Roman" w:hAnsi="Arial" w:cs="Arial"/>
          <w:b/>
          <w:sz w:val="24"/>
          <w:szCs w:val="24"/>
          <w:lang w:val="es-ES" w:eastAsia="es-ES"/>
        </w:rPr>
        <w:t>3</w:t>
      </w:r>
      <w:r w:rsidRPr="00F7157A">
        <w:rPr>
          <w:rFonts w:ascii="Arial" w:eastAsia="Times New Roman" w:hAnsi="Arial" w:cs="Arial"/>
          <w:b/>
          <w:sz w:val="24"/>
          <w:szCs w:val="24"/>
          <w:lang w:val="es-ES" w:eastAsia="es-ES"/>
        </w:rPr>
        <w:t>. Reconversión de puestos de trabajo.</w:t>
      </w:r>
    </w:p>
    <w:p w14:paraId="13BADB6B"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Interior, Función Pública y Justicia.</w:t>
      </w:r>
    </w:p>
    <w:p w14:paraId="028066A0"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12EDB7EF"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
          <w:sz w:val="24"/>
          <w:szCs w:val="24"/>
          <w:lang w:val="es-ES" w:eastAsia="es-ES"/>
        </w:rPr>
        <w:t xml:space="preserve">Artículo </w:t>
      </w:r>
      <w:r w:rsidR="00734758" w:rsidRPr="00F7157A">
        <w:rPr>
          <w:rFonts w:ascii="Arial" w:eastAsia="Times New Roman" w:hAnsi="Arial" w:cs="Arial"/>
          <w:b/>
          <w:sz w:val="24"/>
          <w:szCs w:val="24"/>
          <w:lang w:val="es-ES" w:eastAsia="es-ES"/>
        </w:rPr>
        <w:t>2</w:t>
      </w:r>
      <w:r w:rsidR="009C226E">
        <w:rPr>
          <w:rFonts w:ascii="Arial" w:eastAsia="Times New Roman" w:hAnsi="Arial" w:cs="Arial"/>
          <w:b/>
          <w:sz w:val="24"/>
          <w:szCs w:val="24"/>
          <w:lang w:val="es-ES" w:eastAsia="es-ES"/>
        </w:rPr>
        <w:t>4</w:t>
      </w:r>
      <w:r w:rsidR="00734758" w:rsidRPr="00F7157A">
        <w:rPr>
          <w:rFonts w:ascii="Arial" w:eastAsia="Times New Roman" w:hAnsi="Arial" w:cs="Arial"/>
          <w:b/>
          <w:sz w:val="24"/>
          <w:szCs w:val="24"/>
          <w:lang w:val="es-ES" w:eastAsia="es-ES"/>
        </w:rPr>
        <w:t>.</w:t>
      </w:r>
      <w:r w:rsidRPr="00F7157A">
        <w:rPr>
          <w:rFonts w:ascii="Arial" w:eastAsia="Times New Roman" w:hAnsi="Arial" w:cs="Arial"/>
          <w:b/>
          <w:sz w:val="24"/>
          <w:szCs w:val="24"/>
          <w:lang w:val="es-ES" w:eastAsia="es-ES"/>
        </w:rPr>
        <w:t xml:space="preserve"> Compensaciones por variables en día de permiso o licencia retribuidos.</w:t>
      </w:r>
    </w:p>
    <w:p w14:paraId="44B5FAF5"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El personal empleado público de la Administración de la Comunidad Foral de Navarra y sus organismos autónomos tendrá derecho a percibir las compensaciones que procedan por trabajo a turnos, en horario nocturno y en día festivo durante los días de disfrute de un permiso o licencia retribuidos, siempre </w:t>
      </w:r>
      <w:r w:rsidRPr="00F7157A">
        <w:rPr>
          <w:rFonts w:ascii="Arial" w:eastAsia="Times New Roman" w:hAnsi="Arial" w:cs="Arial"/>
          <w:sz w:val="24"/>
          <w:szCs w:val="24"/>
          <w:lang w:val="es-ES" w:eastAsia="es-ES"/>
        </w:rPr>
        <w:lastRenderedPageBreak/>
        <w:t>que su disfrute no conlleve prestación a cargo del Instituto Nacional de la Seguridad Social o de otros organismos o mutualidades de previsión social.</w:t>
      </w:r>
    </w:p>
    <w:p w14:paraId="14695D27" w14:textId="77777777" w:rsidR="006F0E82" w:rsidRPr="00F7157A" w:rsidRDefault="00734758"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
          <w:sz w:val="24"/>
          <w:szCs w:val="24"/>
          <w:lang w:val="es-ES" w:eastAsia="es-ES"/>
        </w:rPr>
        <w:t>Artículo 2</w:t>
      </w:r>
      <w:r w:rsidR="009C226E">
        <w:rPr>
          <w:rFonts w:ascii="Arial" w:eastAsia="Times New Roman" w:hAnsi="Arial" w:cs="Arial"/>
          <w:b/>
          <w:sz w:val="24"/>
          <w:szCs w:val="24"/>
          <w:lang w:val="es-ES" w:eastAsia="es-ES"/>
        </w:rPr>
        <w:t>5</w:t>
      </w:r>
      <w:r w:rsidR="006F0E82" w:rsidRPr="00F7157A">
        <w:rPr>
          <w:rFonts w:ascii="Arial" w:eastAsia="Times New Roman" w:hAnsi="Arial" w:cs="Arial"/>
          <w:b/>
          <w:sz w:val="24"/>
          <w:szCs w:val="24"/>
          <w:lang w:val="es-ES" w:eastAsia="es-ES"/>
        </w:rPr>
        <w:t>. Medidas urgentes en materia de personal al servicio de las Administraciones Públicas de Navarra.</w:t>
      </w:r>
    </w:p>
    <w:p w14:paraId="292753F9"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Con carácter general se prorrogan para el año 2026 las medidas urgentes en materia de personal al servicio de las Administraciones Públicas de Navarra previstas en los apartados 1,2, 3 y 6 del artículo 1 de la Ley Foral 13/2012, de 21 de junio.</w:t>
      </w:r>
    </w:p>
    <w:p w14:paraId="64CD30C6"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aplicación de los apartados del artículo 1 citados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2ED51A69"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No obstante, y como salvedad, el Departamento de Salud podrá prolongar en el servicio activo a determinado personal del mismo durante el 2026,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A.1. y A.2.5. de la Ley Foral 11/1992, reguladora del régimen específico del personal adscrito al Servicio Navarro de Salud-Osasunbidea, siempre que la lista de contratación de su respectiva especialidad se encuentre abierta. Del mismo modo se podrá autorizar la prolongación a los profesionales de estos estamentos cuando estén desempeñando funciones de jefe de servicio asistencial o de jefe de sección asistencial, siempre que la lista de contratación de su respectiva especialidad se encuentre abierta y sin personas candidatas disponibles a la contratación temporal. El momento para la comprobación de esta circunstancia a efectos de la concesión de la prolongación será un mes antes de la llegada a la fecha prevista de jubilación legal.</w:t>
      </w:r>
    </w:p>
    <w:p w14:paraId="4062F900"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Asimismo, el Departamento de Derechos Sociales, Economía Social y Empleo podrá prolongar en el servicio activo al personal facultativo sanitario adscrito a la Agencia Navarra para la Autonomía y Desarrollo de las Personas durante el año 2026, por necesidades del servicio y falta de profesionales, razones en todo caso </w:t>
      </w:r>
      <w:r w:rsidRPr="00F7157A">
        <w:rPr>
          <w:rFonts w:ascii="Arial" w:eastAsia="Times New Roman" w:hAnsi="Arial" w:cs="Arial"/>
          <w:sz w:val="24"/>
          <w:szCs w:val="24"/>
          <w:lang w:val="es-ES" w:eastAsia="es-ES"/>
        </w:rPr>
        <w:lastRenderedPageBreak/>
        <w:t>debidamente justificadas, aun cuando estén desempeñando funciones de jefatura.</w:t>
      </w:r>
    </w:p>
    <w:p w14:paraId="2FF73A16"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 cualquier caso, la prolongación se realizará por un año, siendo prorrogable si se mantienen las condiciones del otorgamiento, previa solicitud del interesado, y con el límite de setenta años de edad.</w:t>
      </w:r>
    </w:p>
    <w:p w14:paraId="3A7C239A" w14:textId="77777777" w:rsidR="00D66F27" w:rsidRPr="00F7157A" w:rsidRDefault="00D66F27"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Se permitirá el acceso al empleo público a quienes, habiendo cumplido 65 años, no hubieran completado el periodo de carencia establecido en su sistema de previsión social para generar derecho a una pensión, así como al personal que no haya alcanzado los años de cotización para percibir la pensión íntegra.</w:t>
      </w:r>
    </w:p>
    <w:p w14:paraId="476E9AF8"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
          <w:sz w:val="24"/>
          <w:szCs w:val="24"/>
          <w:lang w:val="es-ES" w:eastAsia="es-ES"/>
        </w:rPr>
        <w:t>Artículo 2</w:t>
      </w:r>
      <w:r w:rsidR="009C226E">
        <w:rPr>
          <w:rFonts w:ascii="Arial" w:eastAsia="Times New Roman" w:hAnsi="Arial" w:cs="Arial"/>
          <w:b/>
          <w:sz w:val="24"/>
          <w:szCs w:val="24"/>
          <w:lang w:val="es-ES" w:eastAsia="es-ES"/>
        </w:rPr>
        <w:t>6</w:t>
      </w:r>
      <w:r w:rsidRPr="00F7157A">
        <w:rPr>
          <w:rFonts w:ascii="Arial" w:eastAsia="Times New Roman" w:hAnsi="Arial" w:cs="Arial"/>
          <w:b/>
          <w:sz w:val="24"/>
          <w:szCs w:val="24"/>
          <w:lang w:val="es-ES" w:eastAsia="es-ES"/>
        </w:rPr>
        <w:t>. Disposiciones relativas a los procesos selectivos convocados por las Administraciones Públicas de Navarra.</w:t>
      </w:r>
    </w:p>
    <w:p w14:paraId="793BF5A1"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Se faculta a las Administraciones Públicas de Navarra para que, en las convocatorias de procesos selectivos de ingreso o de provisión de puestos de trabajo, se exija la presentación electrónica de las solicitudes y demás documentación. Asimismo, se faculta a las Administraciones Públicas de Navarra para notificar electrónicamente cualquier trámite relacionado con estos procesos.</w:t>
      </w:r>
    </w:p>
    <w:p w14:paraId="0C4B2404"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
          <w:sz w:val="24"/>
          <w:szCs w:val="24"/>
          <w:lang w:val="es-ES" w:eastAsia="es-ES"/>
        </w:rPr>
        <w:t>Artículo 2</w:t>
      </w:r>
      <w:r w:rsidR="009C226E">
        <w:rPr>
          <w:rFonts w:ascii="Arial" w:eastAsia="Times New Roman" w:hAnsi="Arial" w:cs="Arial"/>
          <w:b/>
          <w:sz w:val="24"/>
          <w:szCs w:val="24"/>
          <w:lang w:val="es-ES" w:eastAsia="es-ES"/>
        </w:rPr>
        <w:t>7</w:t>
      </w:r>
      <w:r w:rsidRPr="00F7157A">
        <w:rPr>
          <w:rFonts w:ascii="Arial" w:eastAsia="Times New Roman" w:hAnsi="Arial" w:cs="Arial"/>
          <w:b/>
          <w:sz w:val="24"/>
          <w:szCs w:val="24"/>
          <w:lang w:val="es-ES" w:eastAsia="es-ES"/>
        </w:rPr>
        <w:t>. Disposiciones relativas a los llamamientos en los procesos de contratación temporal por las Administraciones Públicas de Navarra.</w:t>
      </w:r>
    </w:p>
    <w:p w14:paraId="39B1711D"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Se faculta a las Administraciones Públicas de Navarra para que, en los procesos de contratación temporal, la presentación de las solicitudes, el llamamiento de las personas aspirantes y la elección de contratos se efectúe por medios telemáticos y electrónicos.</w:t>
      </w:r>
    </w:p>
    <w:p w14:paraId="674D4032"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19A4B620"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La Administración de la Comunidad Foral de Navarra y sus organismos autónomos podrá utilizar las listas de aspirantes a la contratación temporal existentes en ámbitos distintos a aquél para el que se constituyeron, siempre que no haya aspirantes disponibles en las listas aplicables en el ámbito de contratación que efectúe el llamamiento, sin que tal circunstancia pueda conllevar en ningún caso la modificación del orden de prelación de las personas aspirantes.</w:t>
      </w:r>
    </w:p>
    <w:p w14:paraId="5EEBBC0B"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4. Excepcionalmente y de forma motivada, con la finalidad de garantizar la prestación de los servicios públicos, la Administración de la Comunidad Foral de Navarra y sus organismos autónomos podrá solicitar al Servicio Navarro de Empleo o a otros Servicios Públicos de Empleo una relación de demandantes de empleo para su contratación, en caso de no haber resultado posible la cobertura de puestos de trabajo, bien por la inexistencia de listas de contratación vigentes, bien por la imposibilidad de cubrir las ofertas de contratación a través de las listas vigentes.</w:t>
      </w:r>
    </w:p>
    <w:p w14:paraId="1499EAB5"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28</w:t>
      </w:r>
      <w:r w:rsidRPr="00F7157A">
        <w:rPr>
          <w:rFonts w:ascii="Arial" w:eastAsia="Times New Roman" w:hAnsi="Arial" w:cs="Arial"/>
          <w:b/>
          <w:sz w:val="24"/>
          <w:szCs w:val="24"/>
          <w:lang w:val="es-ES" w:eastAsia="es-ES"/>
        </w:rPr>
        <w:t>. Modificación de los requisitos de las plazas incluidas en los decretos forales en cuya virtud se aprueben ofertas públicas de empleo.</w:t>
      </w:r>
    </w:p>
    <w:p w14:paraId="6FCDED21"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las plazas se ofertarán con los requisitos que figuren en la plantilla orgánica a la fecha de la respectiva convocatoria de ingreso.</w:t>
      </w:r>
    </w:p>
    <w:p w14:paraId="4A0F00DA"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29</w:t>
      </w:r>
      <w:r w:rsidRPr="00F7157A">
        <w:rPr>
          <w:rFonts w:ascii="Arial" w:eastAsia="Times New Roman" w:hAnsi="Arial" w:cs="Arial"/>
          <w:b/>
          <w:sz w:val="24"/>
          <w:szCs w:val="24"/>
          <w:lang w:val="es-ES" w:eastAsia="es-ES"/>
        </w:rPr>
        <w:t>. Procesos de estabilización de empleo convocados por las Administraciones Públicas de Navarra.</w:t>
      </w:r>
    </w:p>
    <w:p w14:paraId="3CA07A65"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De conformidad con lo establecido en la Ley 20/2021, de 28 de diciembre, de medidas urgentes para la reducción de la temporalidad en el empleo público, los procesos de estabilización de empleo convocados conforme a lo establecido en la Ley Foral 19/2022, de 1 de julio, finalizarán a 31 de diciembre de 2024, sin perjuicio de que, conforme a la normativa específica aplicable en materia de personal al servicio de las Administraciones Públicas de Navarra, se realicen los nombramientos complementarios que procedan.</w:t>
      </w:r>
    </w:p>
    <w:p w14:paraId="73844E4E" w14:textId="77777777" w:rsidR="00734758" w:rsidRPr="00F7157A" w:rsidRDefault="00734758" w:rsidP="00734758">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3</w:t>
      </w:r>
      <w:r w:rsidR="009C226E">
        <w:rPr>
          <w:rFonts w:ascii="Arial" w:eastAsia="Times New Roman" w:hAnsi="Arial" w:cs="Arial"/>
          <w:b/>
          <w:sz w:val="24"/>
          <w:szCs w:val="24"/>
          <w:lang w:val="es-ES" w:eastAsia="es-ES"/>
        </w:rPr>
        <w:t>0</w:t>
      </w:r>
      <w:r w:rsidRPr="00F7157A">
        <w:rPr>
          <w:rFonts w:ascii="Arial" w:eastAsia="Times New Roman" w:hAnsi="Arial" w:cs="Arial"/>
          <w:b/>
          <w:sz w:val="24"/>
          <w:szCs w:val="24"/>
          <w:lang w:val="es-ES" w:eastAsia="es-ES"/>
        </w:rPr>
        <w:t>. Obligación del personal al servicio de la Administración de la Comunidad Foral de Navarra y sus organismos autónomos de relacionarse electrónicamente con la Administración.</w:t>
      </w:r>
    </w:p>
    <w:p w14:paraId="35BCE978" w14:textId="77777777" w:rsidR="00734758" w:rsidRPr="00F7157A" w:rsidRDefault="00734758" w:rsidP="00734758">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personal al servicio de la Administración de la Comunidad Foral de Navarra y sus organismos autónomos estará obligado a relacionarse con la misma a través de la sede electrónica del Gobierno de Navarra para aquellos trámites y actuaciones que realicen por razón de su condición de personas empleadas públicas. A tal fin, se empleará la dirección de correo electrónico que le sea asignada de la red corporativa del Gobierno de Navarra o la que en su lugar haya identificado la persona interesada.</w:t>
      </w:r>
    </w:p>
    <w:p w14:paraId="2B55600F" w14:textId="77777777" w:rsidR="006F0E82" w:rsidRPr="00F7157A" w:rsidRDefault="006F0E82" w:rsidP="007B75AD">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Artículo 3</w:t>
      </w:r>
      <w:r w:rsidR="009C226E">
        <w:rPr>
          <w:rFonts w:ascii="Arial" w:eastAsia="Times New Roman" w:hAnsi="Arial" w:cs="Arial"/>
          <w:b/>
          <w:sz w:val="24"/>
          <w:szCs w:val="24"/>
          <w:lang w:val="es-ES" w:eastAsia="es-ES"/>
        </w:rPr>
        <w:t>1</w:t>
      </w:r>
      <w:r w:rsidRPr="00F7157A">
        <w:rPr>
          <w:rFonts w:ascii="Arial" w:eastAsia="Times New Roman" w:hAnsi="Arial" w:cs="Arial"/>
          <w:b/>
          <w:sz w:val="24"/>
          <w:szCs w:val="24"/>
          <w:lang w:val="es-ES" w:eastAsia="es-ES"/>
        </w:rPr>
        <w:t>. Ofertas de empleo público de personal docente no universitario.</w:t>
      </w:r>
    </w:p>
    <w:p w14:paraId="0552F386"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Las plazas de personal docente no universitario de la Administración de la Comunidad Foral de Navarra que queden vacantes por jubilación, fallecimiento, renuncia o cualquier otra situación administrativa que no suponga la reserva de la plaza, así como las que queden desiertas en procedimientos selectivos de ingreso o acceso quedarán automáticamente asignadas en la plantilla orgánica al Cuerpo o puesto docente de procedencia, sin especificación del resto de las características de las plazas.</w:t>
      </w:r>
    </w:p>
    <w:p w14:paraId="5A550783"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Las ofertas de empleo público de personal docente no universitario de la Administración de la Comunidad Foral de Navarra se determinarán estableciendo el número total de plazas de cada Cuerpo o puesto docente que se incluyan en las mismas. Las características de las plazas incluidas en dichas ofertas de empleo, en todo caso especialidad e idioma, se establecerán en un decreto foral de modificación de la plantilla orgánica.</w:t>
      </w:r>
    </w:p>
    <w:p w14:paraId="0B0E1066" w14:textId="77777777" w:rsidR="006F0E82" w:rsidRPr="00F7157A" w:rsidRDefault="00734758"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w:t>
      </w:r>
      <w:r w:rsidR="006F0E82" w:rsidRPr="00F7157A">
        <w:rPr>
          <w:rFonts w:ascii="Arial" w:eastAsia="Times New Roman" w:hAnsi="Arial" w:cs="Arial"/>
          <w:sz w:val="24"/>
          <w:szCs w:val="24"/>
          <w:lang w:val="es-ES" w:eastAsia="es-ES"/>
        </w:rPr>
        <w:t xml:space="preserve"> Lo dispuesto en los dos apartados anteriores no será de aplicación al Cuerpo de Inspectores de Educación.</w:t>
      </w:r>
    </w:p>
    <w:p w14:paraId="3597CA6F" w14:textId="77777777" w:rsidR="006F0E82" w:rsidRPr="00F7157A" w:rsidRDefault="00734758"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6F0E82" w:rsidRPr="00F7157A">
        <w:rPr>
          <w:rFonts w:ascii="Arial" w:eastAsia="Times New Roman" w:hAnsi="Arial" w:cs="Arial"/>
          <w:sz w:val="24"/>
          <w:szCs w:val="24"/>
          <w:lang w:val="es-ES" w:eastAsia="es-ES"/>
        </w:rPr>
        <w:t>.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1B3DD2B4"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3</w:t>
      </w:r>
      <w:r w:rsidR="009C226E">
        <w:rPr>
          <w:rFonts w:ascii="Arial" w:eastAsia="Times New Roman" w:hAnsi="Arial" w:cs="Arial"/>
          <w:b/>
          <w:sz w:val="24"/>
          <w:szCs w:val="24"/>
          <w:lang w:val="es-ES" w:eastAsia="es-ES"/>
        </w:rPr>
        <w:t>2</w:t>
      </w:r>
      <w:r w:rsidRPr="00F7157A">
        <w:rPr>
          <w:rFonts w:ascii="Arial" w:eastAsia="Times New Roman" w:hAnsi="Arial" w:cs="Arial"/>
          <w:b/>
          <w:sz w:val="24"/>
          <w:szCs w:val="24"/>
          <w:lang w:val="es-ES" w:eastAsia="es-ES"/>
        </w:rPr>
        <w:t>. Provisión temporal de personal Especialista de Apoyo Educativo.</w:t>
      </w:r>
    </w:p>
    <w:p w14:paraId="2DC8F6B8"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Transcurrido el periodo transitorio a que se refiere el artículo 2.4 del Decreto-Ley Foral 10/2020, de 16 de septiembre, por el que se aprueban medidas en materia de personal al servicio de la Administración de la Comunidad Foral de Navarra y sus organismos autónomos, hasta el 31 de diciembre de 2026, podrán acceder al desempeño temporal del puesto de trabajo de Especialista de Apoyo Educativo los aspirantes que estén en posesión de la titulación genérica exigida </w:t>
      </w:r>
      <w:r w:rsidRPr="00F7157A">
        <w:rPr>
          <w:rFonts w:ascii="Arial" w:eastAsia="Times New Roman" w:hAnsi="Arial" w:cs="Arial"/>
          <w:sz w:val="24"/>
          <w:szCs w:val="24"/>
          <w:lang w:val="es-ES" w:eastAsia="es-ES"/>
        </w:rPr>
        <w:lastRenderedPageBreak/>
        <w:t>para el acceso a los puestos de trabajo de nivel/grupo C. En todo caso, tendrán prioridad los aspirantes que estén en posesión de la titulación de Técnico Superior en Integración Social, o en su caso del título de Bachiller o equivalente con certificado de profesionalidad de atención al alumnado con necesidades educativas especiales.</w:t>
      </w:r>
    </w:p>
    <w:p w14:paraId="11ADB495"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3</w:t>
      </w:r>
      <w:r w:rsidR="009C226E">
        <w:rPr>
          <w:rFonts w:ascii="Arial" w:eastAsia="Times New Roman" w:hAnsi="Arial" w:cs="Arial"/>
          <w:b/>
          <w:sz w:val="24"/>
          <w:szCs w:val="24"/>
          <w:lang w:val="es-ES" w:eastAsia="es-ES"/>
        </w:rPr>
        <w:t>3</w:t>
      </w:r>
      <w:r w:rsidRPr="00F7157A">
        <w:rPr>
          <w:rFonts w:ascii="Arial" w:eastAsia="Times New Roman" w:hAnsi="Arial" w:cs="Arial"/>
          <w:b/>
          <w:sz w:val="24"/>
          <w:szCs w:val="24"/>
          <w:lang w:val="es-ES" w:eastAsia="es-ES"/>
        </w:rPr>
        <w:t>. Jubilación del personal docente no universitario y del personal asistencial en centros docentes contratado en régimen administrativo.</w:t>
      </w:r>
    </w:p>
    <w:p w14:paraId="4FF57366"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 exceptúa de lo previsto en el artículo 1.1 de la Ley Foral 13/2012, de 21 de junio, de medidas urgentes en materia de personal al servicio de las Administraciones Públicas de Navarra, al personal docente contratado en régimen administrativo en una necesidad de curso completo y al personal asistencial en centros docentes que, a la fecha de su jubilación forzosa o a la finalización del curso escolar en el que cumpla la edad de jubilación forzosa, no hubiera completado el período de carencia establecido en su sistema de previsión social para generar derecho a una pensión, así como el que no haya alcanzado los años de cotización para percibir la pensión íntegra. El personal docente podrá ser contratado en necesidades de curso completo en el mismo cuerpo, especialidad e idioma y en el mismo centro, siempre sin solución de continuidad y hasta completar los períodos para tales fines; en todo caso, hasta los setenta años de edad. El personal asistencial en centros docentes podrá ser contratado en necesidades de curso completo y en el mismo centro, siempre sin solución de continuidad y hasta completar los períodos para tales fines; en todo caso, hasta los setenta años de edad.</w:t>
      </w:r>
    </w:p>
    <w:p w14:paraId="1658DD89"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734758" w:rsidRPr="00F7157A">
        <w:rPr>
          <w:rFonts w:ascii="Arial" w:eastAsia="Times New Roman" w:hAnsi="Arial" w:cs="Arial"/>
          <w:b/>
          <w:sz w:val="24"/>
          <w:szCs w:val="24"/>
          <w:lang w:val="es-ES" w:eastAsia="es-ES"/>
        </w:rPr>
        <w:t>3</w:t>
      </w:r>
      <w:r w:rsidR="009C226E">
        <w:rPr>
          <w:rFonts w:ascii="Arial" w:eastAsia="Times New Roman" w:hAnsi="Arial" w:cs="Arial"/>
          <w:b/>
          <w:sz w:val="24"/>
          <w:szCs w:val="24"/>
          <w:lang w:val="es-ES" w:eastAsia="es-ES"/>
        </w:rPr>
        <w:t>4</w:t>
      </w:r>
      <w:r w:rsidRPr="00F7157A">
        <w:rPr>
          <w:rFonts w:ascii="Arial" w:eastAsia="Times New Roman" w:hAnsi="Arial" w:cs="Arial"/>
          <w:b/>
          <w:sz w:val="24"/>
          <w:szCs w:val="24"/>
          <w:lang w:val="es-ES" w:eastAsia="es-ES"/>
        </w:rPr>
        <w:t>. Plazo máximo para resolver el procedimiento para la resolución del contrato por causas sobrevenidas derivadas de la falta de capacidad o de la falta de adaptación al puesto de trabajo docente desempeñado, regulado en el artículo 18 Orden Foral 37/2020, de 8 de abril, del Consejero de Educación.</w:t>
      </w:r>
    </w:p>
    <w:p w14:paraId="6A377D33"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El plazo máximo para resolver el procedimiento para la resolución del contrato por causas sobrevenidas derivadas de la falta de capacidad o de la falta de adaptación al puesto de trabajo desempeñado, regulado en el artículo 18 </w:t>
      </w:r>
      <w:r w:rsidR="00772A2F">
        <w:rPr>
          <w:rFonts w:ascii="Arial" w:eastAsia="Times New Roman" w:hAnsi="Arial" w:cs="Arial"/>
          <w:sz w:val="24"/>
          <w:szCs w:val="24"/>
          <w:lang w:val="es-ES" w:eastAsia="es-ES"/>
        </w:rPr>
        <w:t xml:space="preserve">de la </w:t>
      </w:r>
      <w:r w:rsidRPr="00F7157A">
        <w:rPr>
          <w:rFonts w:ascii="Arial" w:eastAsia="Times New Roman" w:hAnsi="Arial" w:cs="Arial"/>
          <w:sz w:val="24"/>
          <w:szCs w:val="24"/>
          <w:lang w:val="es-ES" w:eastAsia="es-ES"/>
        </w:rPr>
        <w:t>Orden Foral 37/2020, de 8 de abril, del Consejero de Educación, por la que se aprueban las normas de gestión de las relaciones de aspirantes al desempeño, mediante contratación temporal, de puestos de trabajo docentes al servicio del Departamento de Educación, será de 6 meses.</w:t>
      </w:r>
    </w:p>
    <w:p w14:paraId="6DCB02B6" w14:textId="77777777" w:rsidR="006F0E82" w:rsidRPr="00F7157A" w:rsidRDefault="006F0E82" w:rsidP="006F0E82">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 xml:space="preserve">Artículo </w:t>
      </w:r>
      <w:r w:rsidR="00734758" w:rsidRPr="00F7157A">
        <w:rPr>
          <w:rFonts w:ascii="Arial" w:eastAsia="Times New Roman" w:hAnsi="Arial" w:cs="Arial"/>
          <w:b/>
          <w:sz w:val="24"/>
          <w:szCs w:val="24"/>
          <w:lang w:val="es-ES" w:eastAsia="es-ES"/>
        </w:rPr>
        <w:t>3</w:t>
      </w:r>
      <w:r w:rsidR="009C226E">
        <w:rPr>
          <w:rFonts w:ascii="Arial" w:eastAsia="Times New Roman" w:hAnsi="Arial" w:cs="Arial"/>
          <w:b/>
          <w:sz w:val="24"/>
          <w:szCs w:val="24"/>
          <w:lang w:val="es-ES" w:eastAsia="es-ES"/>
        </w:rPr>
        <w:t>5</w:t>
      </w:r>
      <w:r w:rsidRPr="00F7157A">
        <w:rPr>
          <w:rFonts w:ascii="Arial" w:eastAsia="Times New Roman" w:hAnsi="Arial" w:cs="Arial"/>
          <w:b/>
          <w:sz w:val="24"/>
          <w:szCs w:val="24"/>
          <w:lang w:val="es-ES" w:eastAsia="es-ES"/>
        </w:rPr>
        <w:t>. Régimen de vacaciones de las personas empleadas adscritas a las Escuelas Infantiles dependientes del Departamento de Educación.</w:t>
      </w:r>
    </w:p>
    <w:p w14:paraId="2034039E"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personas empleadas adscritas a las Escuelas Infantiles dependientes del Departamento de Educación generarán sus días de vacaciones por cada curso escolar completo de servicio activo y deberán disfrutarlas dentro del periodo de cierre estacional del centro del curso escolar en que se hubiesen generado, sin que les resulte de aplicación el apartado 1 del artículo 6 del Decreto Foral 11/2009, de 9 de febrero, por el que se aprueba el Reglamento de vacaciones, licencias y permisos del personal funcionario de las Administraciones Públicas de Navarra.</w:t>
      </w:r>
    </w:p>
    <w:p w14:paraId="067B95D9" w14:textId="77777777" w:rsidR="006F0E82" w:rsidRPr="00F7157A" w:rsidRDefault="006F0E82" w:rsidP="006F0E82">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 los casos en que no hubieran podido disfrutar de las vacaciones como consecuencia de incapacidad temporal o de cualquiera de las situaciones recogidas en el artículo 7 del Decreto Foral 11/2009, de 9 de febrero, el disfrute de las mismas se realizará necesariamente a continuación de la fecha de la reincorporación.</w:t>
      </w:r>
    </w:p>
    <w:p w14:paraId="4E306A51" w14:textId="77777777" w:rsidR="00E3153F" w:rsidRPr="00F7157A" w:rsidRDefault="00C70686"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 xml:space="preserve">TÍTULO III. </w:t>
      </w:r>
      <w:r w:rsidR="00E3153F" w:rsidRPr="00F7157A">
        <w:rPr>
          <w:rFonts w:ascii="Arial" w:eastAsia="Times New Roman" w:hAnsi="Arial" w:cs="Arial"/>
          <w:b/>
          <w:bCs/>
          <w:caps/>
          <w:sz w:val="24"/>
          <w:szCs w:val="24"/>
          <w:lang w:val="es-ES" w:eastAsia="es-ES"/>
        </w:rPr>
        <w:t>DE LAS OPERACIONES FINANCIERAS</w:t>
      </w:r>
    </w:p>
    <w:p w14:paraId="326B8004" w14:textId="77777777" w:rsidR="00E3153F" w:rsidRPr="00F7157A" w:rsidRDefault="00C70686"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 xml:space="preserve">CAPÍTULO I. </w:t>
      </w:r>
      <w:r w:rsidR="00E3153F" w:rsidRPr="00F7157A">
        <w:rPr>
          <w:rFonts w:ascii="Arial" w:eastAsia="Times New Roman" w:hAnsi="Arial" w:cs="Arial"/>
          <w:b/>
          <w:bCs/>
          <w:caps/>
          <w:sz w:val="24"/>
          <w:szCs w:val="24"/>
          <w:lang w:val="es-ES" w:eastAsia="es-ES"/>
        </w:rPr>
        <w:t>CONCESIÓN DE AVALES Y PRÉSTAMOS</w:t>
      </w:r>
    </w:p>
    <w:p w14:paraId="611AE414"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3</w:t>
      </w:r>
      <w:r w:rsidR="009C226E">
        <w:rPr>
          <w:rFonts w:ascii="Arial" w:eastAsia="Times New Roman" w:hAnsi="Arial" w:cs="Arial"/>
          <w:b/>
          <w:sz w:val="24"/>
          <w:szCs w:val="24"/>
          <w:lang w:val="es-ES" w:eastAsia="es-ES"/>
        </w:rPr>
        <w:t>6</w:t>
      </w:r>
      <w:r w:rsidRPr="00F7157A">
        <w:rPr>
          <w:rFonts w:ascii="Arial" w:eastAsia="Times New Roman" w:hAnsi="Arial" w:cs="Arial"/>
          <w:b/>
          <w:sz w:val="24"/>
          <w:szCs w:val="24"/>
          <w:lang w:val="es-ES" w:eastAsia="es-ES"/>
        </w:rPr>
        <w:t>. Concesión de avales y préstamos.</w:t>
      </w:r>
    </w:p>
    <w:p w14:paraId="5FACD02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El Gobierno de Navarra podrá otorgar avales u otras garantías análogas, por un importe máximo de </w:t>
      </w:r>
      <w:r w:rsidR="00C43EBD" w:rsidRPr="00F7157A">
        <w:rPr>
          <w:rFonts w:ascii="Arial" w:eastAsia="Times New Roman" w:hAnsi="Arial" w:cs="Arial"/>
          <w:sz w:val="24"/>
          <w:szCs w:val="24"/>
          <w:lang w:val="es-ES" w:eastAsia="es-ES"/>
        </w:rPr>
        <w:t xml:space="preserve">56.000.000 </w:t>
      </w:r>
      <w:r w:rsidRPr="00F7157A">
        <w:rPr>
          <w:rFonts w:ascii="Arial" w:eastAsia="Times New Roman" w:hAnsi="Arial" w:cs="Arial"/>
          <w:sz w:val="24"/>
          <w:szCs w:val="24"/>
          <w:lang w:val="es-ES" w:eastAsia="es-ES"/>
        </w:rPr>
        <w:t>euros.</w:t>
      </w:r>
    </w:p>
    <w:p w14:paraId="03BAF9F6"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Dentro del límite del párrafo anterior, se autoriza al Departamento de Economía y Hacienda a conceder un aval a la sociedad pública Nafarbide, el Camino de los Navarros, S.L. por un importe máximo de </w:t>
      </w:r>
      <w:r w:rsidR="00C43EBD" w:rsidRPr="00F7157A">
        <w:rPr>
          <w:rFonts w:ascii="Arial" w:eastAsia="Times New Roman" w:hAnsi="Arial" w:cs="Arial"/>
          <w:sz w:val="24"/>
          <w:szCs w:val="24"/>
          <w:lang w:val="es-ES" w:eastAsia="es-ES"/>
        </w:rPr>
        <w:t xml:space="preserve">36.000.000 </w:t>
      </w:r>
      <w:r w:rsidRPr="00F7157A">
        <w:rPr>
          <w:rFonts w:ascii="Arial" w:eastAsia="Times New Roman" w:hAnsi="Arial" w:cs="Arial"/>
          <w:sz w:val="24"/>
          <w:szCs w:val="24"/>
          <w:lang w:val="es-ES" w:eastAsia="es-ES"/>
        </w:rPr>
        <w:t>euros.</w:t>
      </w:r>
    </w:p>
    <w:p w14:paraId="3713FAE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30.000.000 euros.</w:t>
      </w:r>
    </w:p>
    <w:p w14:paraId="148D5406"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Se autoriza a las sociedades públicas de la Comunidad Foral de Navarra a otorgar en el año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xml:space="preserve"> nuevas operaciones de aval u otras garantías análogas, </w:t>
      </w:r>
      <w:r w:rsidRPr="00F7157A">
        <w:rPr>
          <w:rFonts w:ascii="Arial" w:eastAsia="Times New Roman" w:hAnsi="Arial" w:cs="Arial"/>
          <w:sz w:val="24"/>
          <w:szCs w:val="24"/>
          <w:lang w:val="es-ES" w:eastAsia="es-ES"/>
        </w:rPr>
        <w:lastRenderedPageBreak/>
        <w:t xml:space="preserve">a Parque de la Naturaleza de Navarra, S.A. por un importe máximo de </w:t>
      </w:r>
      <w:r w:rsidR="00C43EBD" w:rsidRPr="00F7157A">
        <w:rPr>
          <w:rFonts w:ascii="Arial" w:eastAsia="Times New Roman" w:hAnsi="Arial" w:cs="Arial"/>
          <w:sz w:val="24"/>
          <w:szCs w:val="24"/>
          <w:lang w:val="es-ES" w:eastAsia="es-ES"/>
        </w:rPr>
        <w:t>2.8</w:t>
      </w:r>
      <w:r w:rsidR="00035851" w:rsidRPr="00F7157A">
        <w:rPr>
          <w:rFonts w:ascii="Arial" w:eastAsia="Times New Roman" w:hAnsi="Arial" w:cs="Arial"/>
          <w:sz w:val="24"/>
          <w:szCs w:val="24"/>
          <w:lang w:val="es-ES" w:eastAsia="es-ES"/>
        </w:rPr>
        <w:t>42</w:t>
      </w:r>
      <w:r w:rsidR="00C43EBD" w:rsidRPr="00F7157A">
        <w:rPr>
          <w:rFonts w:ascii="Arial" w:eastAsia="Times New Roman" w:hAnsi="Arial" w:cs="Arial"/>
          <w:sz w:val="24"/>
          <w:szCs w:val="24"/>
          <w:lang w:val="es-ES" w:eastAsia="es-ES"/>
        </w:rPr>
        <w:t>.</w:t>
      </w:r>
      <w:r w:rsidR="00035851" w:rsidRPr="00F7157A">
        <w:rPr>
          <w:rFonts w:ascii="Arial" w:eastAsia="Times New Roman" w:hAnsi="Arial" w:cs="Arial"/>
          <w:sz w:val="24"/>
          <w:szCs w:val="24"/>
          <w:lang w:val="es-ES" w:eastAsia="es-ES"/>
        </w:rPr>
        <w:t>334</w:t>
      </w:r>
      <w:r w:rsidR="00C43EBD" w:rsidRPr="00F7157A">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euros, dentro de los límites establecidos en el presente artículo.</w:t>
      </w:r>
    </w:p>
    <w:p w14:paraId="0CDD376F"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w:t>
      </w:r>
      <w:r w:rsidR="00C43EBD" w:rsidRPr="00F7157A">
        <w:rPr>
          <w:rFonts w:ascii="Arial" w:eastAsia="Times New Roman" w:hAnsi="Arial" w:cs="Arial"/>
          <w:sz w:val="24"/>
          <w:szCs w:val="24"/>
          <w:lang w:val="es-ES" w:eastAsia="es-ES"/>
        </w:rPr>
        <w:t xml:space="preserve">47.000.000 </w:t>
      </w:r>
      <w:r w:rsidRPr="00F7157A">
        <w:rPr>
          <w:rFonts w:ascii="Arial" w:eastAsia="Times New Roman" w:hAnsi="Arial" w:cs="Arial"/>
          <w:sz w:val="24"/>
          <w:szCs w:val="24"/>
          <w:lang w:val="es-ES" w:eastAsia="es-ES"/>
        </w:rPr>
        <w:t xml:space="preserve">euros. Para las entidades públicas empresariales, las fundaciones públicas y las sociedades públicas, el riesgo vivo máximo se fija en </w:t>
      </w:r>
      <w:r w:rsidR="00C43EBD" w:rsidRPr="00F7157A">
        <w:rPr>
          <w:rFonts w:ascii="Arial" w:eastAsia="Times New Roman" w:hAnsi="Arial" w:cs="Arial"/>
          <w:sz w:val="24"/>
          <w:szCs w:val="24"/>
          <w:lang w:val="es-ES" w:eastAsia="es-ES"/>
        </w:rPr>
        <w:t xml:space="preserve">92.000.000 </w:t>
      </w:r>
      <w:r w:rsidRPr="00F7157A">
        <w:rPr>
          <w:rFonts w:ascii="Arial" w:eastAsia="Times New Roman" w:hAnsi="Arial" w:cs="Arial"/>
          <w:sz w:val="24"/>
          <w:szCs w:val="24"/>
          <w:lang w:val="es-ES" w:eastAsia="es-ES"/>
        </w:rPr>
        <w:t>euros.</w:t>
      </w:r>
    </w:p>
    <w:p w14:paraId="1DA45B3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 Las entidades públicas empresariales, las fundaciones públicas y las sociedades públicas podrán conceder préstamos, previa autorización del Gobierno de Navarra, a propuesta de la persona titular del Departamento de Economía y Hacienda, por un importe máximo de 17.000.000 euros.</w:t>
      </w:r>
    </w:p>
    <w:p w14:paraId="454C282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5. A los efectos de lo establecido en el artículo 82 ter de la Ley Foral 13/2007, de 4 de abril, de la Hacienda Pública de Navarra, se establece el riesgo vivo máximo de los préstamos concedidos por la Administración de la Comunidad Foral de Navarra en 99.000.000 euros. Para las entidades públicas empresariales, las fundaciones públicas y las sociedades públicas el riesgo vivo máximo se fija en </w:t>
      </w:r>
      <w:r w:rsidR="00C43EBD" w:rsidRPr="00F7157A">
        <w:rPr>
          <w:rFonts w:ascii="Arial" w:eastAsia="Times New Roman" w:hAnsi="Arial" w:cs="Arial"/>
          <w:sz w:val="24"/>
          <w:szCs w:val="24"/>
          <w:lang w:val="es-ES" w:eastAsia="es-ES"/>
        </w:rPr>
        <w:t xml:space="preserve">128.000.000 </w:t>
      </w:r>
      <w:r w:rsidRPr="00F7157A">
        <w:rPr>
          <w:rFonts w:ascii="Arial" w:eastAsia="Times New Roman" w:hAnsi="Arial" w:cs="Arial"/>
          <w:sz w:val="24"/>
          <w:szCs w:val="24"/>
          <w:lang w:val="es-ES" w:eastAsia="es-ES"/>
        </w:rPr>
        <w:t>euros.</w:t>
      </w:r>
    </w:p>
    <w:p w14:paraId="15ADD5A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48E983CA" w14:textId="77777777" w:rsidR="00E3153F" w:rsidRPr="00F7157A" w:rsidRDefault="00E3153F" w:rsidP="004047AF">
      <w:pPr>
        <w:shd w:val="clear" w:color="auto" w:fill="FFFFFF"/>
        <w:spacing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CAPÍTULO II.</w:t>
      </w:r>
      <w:r w:rsidR="00C70686" w:rsidRPr="00F7157A">
        <w:rPr>
          <w:rFonts w:ascii="Arial" w:eastAsia="Times New Roman" w:hAnsi="Arial" w:cs="Arial"/>
          <w:b/>
          <w:bCs/>
          <w:caps/>
          <w:sz w:val="24"/>
          <w:szCs w:val="24"/>
          <w:lang w:val="es-ES" w:eastAsia="es-ES"/>
        </w:rPr>
        <w:t xml:space="preserve"> </w:t>
      </w:r>
      <w:r w:rsidRPr="00F7157A">
        <w:rPr>
          <w:rFonts w:ascii="Arial" w:eastAsia="Times New Roman" w:hAnsi="Arial" w:cs="Arial"/>
          <w:b/>
          <w:bCs/>
          <w:caps/>
          <w:sz w:val="24"/>
          <w:szCs w:val="24"/>
          <w:lang w:val="es-ES" w:eastAsia="es-ES"/>
        </w:rPr>
        <w:t>ENDEUDAMIENTO</w:t>
      </w:r>
    </w:p>
    <w:p w14:paraId="4171B15A" w14:textId="2C4D9399" w:rsidR="000B6829" w:rsidRPr="00F7157A" w:rsidRDefault="00E3153F" w:rsidP="00CF7E24">
      <w:pPr>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3</w:t>
      </w:r>
      <w:r w:rsidR="009C226E">
        <w:rPr>
          <w:rFonts w:ascii="Arial" w:eastAsia="Times New Roman" w:hAnsi="Arial" w:cs="Arial"/>
          <w:b/>
          <w:sz w:val="24"/>
          <w:szCs w:val="24"/>
          <w:lang w:val="es-ES" w:eastAsia="es-ES"/>
        </w:rPr>
        <w:t>7</w:t>
      </w:r>
      <w:r w:rsidRPr="00F7157A">
        <w:rPr>
          <w:rFonts w:ascii="Arial" w:eastAsia="Times New Roman" w:hAnsi="Arial" w:cs="Arial"/>
          <w:b/>
          <w:sz w:val="24"/>
          <w:szCs w:val="24"/>
          <w:lang w:val="es-ES" w:eastAsia="es-ES"/>
        </w:rPr>
        <w:t xml:space="preserve">. </w:t>
      </w:r>
      <w:r w:rsidR="000B6829" w:rsidRPr="00F7157A">
        <w:rPr>
          <w:rFonts w:ascii="Arial" w:eastAsia="Times New Roman" w:hAnsi="Arial" w:cs="Arial"/>
          <w:b/>
          <w:sz w:val="24"/>
          <w:szCs w:val="24"/>
          <w:lang w:val="es-ES" w:eastAsia="es-ES"/>
        </w:rPr>
        <w:t>Autorización para realizar operaciones de endeudamiento y límite del mismo</w:t>
      </w:r>
      <w:r w:rsidR="00E970E1">
        <w:rPr>
          <w:rFonts w:ascii="Arial" w:eastAsia="Times New Roman" w:hAnsi="Arial" w:cs="Arial"/>
          <w:b/>
          <w:sz w:val="24"/>
          <w:szCs w:val="24"/>
          <w:lang w:val="es-ES" w:eastAsia="es-ES"/>
        </w:rPr>
        <w:t>.</w:t>
      </w:r>
    </w:p>
    <w:p w14:paraId="41ADA2C9" w14:textId="480D4925"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Se autoriza al Gobierno de Navarra a realizar operaciones de endeudamiento. A estos efectos, el saldo vivo del endeudamiento de las entidades que integran el </w:t>
      </w:r>
      <w:r w:rsidR="00BB0DB8">
        <w:rPr>
          <w:rFonts w:ascii="Arial" w:eastAsia="Times New Roman" w:hAnsi="Arial" w:cs="Arial"/>
          <w:sz w:val="24"/>
          <w:szCs w:val="24"/>
          <w:lang w:val="es-ES" w:eastAsia="es-ES"/>
        </w:rPr>
        <w:t>sub</w:t>
      </w:r>
      <w:r w:rsidRPr="00F7157A">
        <w:rPr>
          <w:rFonts w:ascii="Arial" w:eastAsia="Times New Roman" w:hAnsi="Arial" w:cs="Arial"/>
          <w:sz w:val="24"/>
          <w:szCs w:val="24"/>
          <w:lang w:val="es-ES" w:eastAsia="es-ES"/>
        </w:rPr>
        <w:t xml:space="preserve">sector </w:t>
      </w:r>
      <w:r w:rsidR="00D630B8" w:rsidRPr="00D630B8">
        <w:rPr>
          <w:rFonts w:ascii="Arial" w:eastAsia="Times New Roman" w:hAnsi="Arial" w:cs="Arial"/>
          <w:sz w:val="24"/>
          <w:szCs w:val="24"/>
          <w:lang w:val="es-ES" w:eastAsia="es-ES"/>
        </w:rPr>
        <w:t xml:space="preserve">Administraciones Púbicas </w:t>
      </w:r>
      <w:r w:rsidRPr="00F7157A">
        <w:rPr>
          <w:rFonts w:ascii="Arial" w:eastAsia="Times New Roman" w:hAnsi="Arial" w:cs="Arial"/>
          <w:sz w:val="24"/>
          <w:szCs w:val="24"/>
          <w:lang w:val="es-ES" w:eastAsia="es-ES"/>
        </w:rPr>
        <w:t>de la Comunidad Foral de Navarra conforme al sistema europeo de cuentas (SEC 2010) a 31 de diciembre de 2026 no superará el correspondiente saldo vivo a 1 de enero de 2026 en más de 87.896.700 euros (financiación del déficit previsto del 0,3</w:t>
      </w:r>
      <w:r w:rsidR="0033095F">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 xml:space="preserve"> del PIB).</w:t>
      </w:r>
    </w:p>
    <w:p w14:paraId="3D4AD1BC" w14:textId="77777777"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Adicionalmente, se autoriza al Gobierno de Navarra a realizar operaciones de endeudamiento por un importe máximo de 30.000.000 de euros para financiar la </w:t>
      </w:r>
      <w:r w:rsidRPr="00F7157A">
        <w:rPr>
          <w:rFonts w:ascii="Arial" w:eastAsia="Times New Roman" w:hAnsi="Arial" w:cs="Arial"/>
          <w:sz w:val="24"/>
          <w:szCs w:val="24"/>
          <w:lang w:val="es-ES" w:eastAsia="es-ES"/>
        </w:rPr>
        <w:lastRenderedPageBreak/>
        <w:t>ampliación de capital de</w:t>
      </w:r>
      <w:r w:rsidRPr="00F7157A">
        <w:t xml:space="preserve"> </w:t>
      </w:r>
      <w:r w:rsidRPr="00F7157A">
        <w:rPr>
          <w:rFonts w:ascii="Arial" w:eastAsia="Times New Roman" w:hAnsi="Arial" w:cs="Arial"/>
          <w:sz w:val="24"/>
          <w:szCs w:val="24"/>
          <w:lang w:val="es-ES" w:eastAsia="es-ES"/>
        </w:rPr>
        <w:t>Corporación Pública Empresarial de Navarra</w:t>
      </w:r>
      <w:r w:rsidR="00826902" w:rsidRPr="00F7157A">
        <w:rPr>
          <w:rFonts w:ascii="Arial" w:eastAsia="Times New Roman" w:hAnsi="Arial" w:cs="Arial"/>
          <w:sz w:val="24"/>
          <w:szCs w:val="24"/>
          <w:lang w:val="es-ES" w:eastAsia="es-ES"/>
        </w:rPr>
        <w:t xml:space="preserve"> S. L. U.</w:t>
      </w:r>
      <w:r w:rsidRPr="00F7157A">
        <w:rPr>
          <w:rFonts w:ascii="Arial" w:eastAsia="Times New Roman" w:hAnsi="Arial" w:cs="Arial"/>
          <w:sz w:val="24"/>
          <w:szCs w:val="24"/>
          <w:lang w:val="es-ES" w:eastAsia="es-ES"/>
        </w:rPr>
        <w:t>, con destino a las inversiones previstas en el artículo 8</w:t>
      </w:r>
      <w:r w:rsidR="00772A2F">
        <w:rPr>
          <w:rFonts w:ascii="Arial" w:eastAsia="Times New Roman" w:hAnsi="Arial" w:cs="Arial"/>
          <w:sz w:val="24"/>
          <w:szCs w:val="24"/>
          <w:lang w:val="es-ES" w:eastAsia="es-ES"/>
        </w:rPr>
        <w:t>1</w:t>
      </w:r>
      <w:r w:rsidR="00CF7E24" w:rsidRPr="00F7157A">
        <w:rPr>
          <w:rFonts w:ascii="Arial" w:eastAsia="Times New Roman" w:hAnsi="Arial" w:cs="Arial"/>
          <w:sz w:val="24"/>
          <w:szCs w:val="24"/>
          <w:lang w:val="es-ES" w:eastAsia="es-ES"/>
        </w:rPr>
        <w:t>.b)</w:t>
      </w:r>
      <w:r w:rsidRPr="00F7157A">
        <w:rPr>
          <w:rFonts w:ascii="Arial" w:eastAsia="Times New Roman" w:hAnsi="Arial" w:cs="Arial"/>
          <w:sz w:val="24"/>
          <w:szCs w:val="24"/>
          <w:lang w:val="es-ES" w:eastAsia="es-ES"/>
        </w:rPr>
        <w:t xml:space="preserve"> de esta Ley Foral.</w:t>
      </w:r>
    </w:p>
    <w:p w14:paraId="7A5CF588" w14:textId="77777777"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El límite fijado en el apartado primero de este artículo será efectivo al término del ejercicio y se podrá revisar a la baja por los siguientes motivos:</w:t>
      </w:r>
    </w:p>
    <w:p w14:paraId="5B44533F" w14:textId="77777777"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a)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w:t>
      </w:r>
    </w:p>
    <w:p w14:paraId="673A8701" w14:textId="77777777"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La financiación de una referencia de déficit superior al efectivamente incurrido, de conformidad con el Ministerio de Hacienda una vez oída la Comisión Coordinadora del Convenio Económico.</w:t>
      </w:r>
    </w:p>
    <w:p w14:paraId="4B5A1983" w14:textId="77777777"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Asimismo, el limite señalado se podrá rectificar al alza cuando concurran las siguientes circunstancias:</w:t>
      </w:r>
    </w:p>
    <w:p w14:paraId="5A91A2DC" w14:textId="77777777"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Por la financiación de un déficit superior al inicialmente previsto en el importe necesario para financiar dicho exceso, previo acuerdo de la Comisión Coordinadora del Convenio Económico.</w:t>
      </w:r>
    </w:p>
    <w:p w14:paraId="2021BDD2" w14:textId="77777777" w:rsidR="000B6829" w:rsidRPr="00F7157A" w:rsidRDefault="000B6829"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Por la realización de otras operaciones de endeudamiento que se puedan convenir entre el Gobierno de Navarra de conformidad con el Ministerio de Hacienda una vez oída la Comisión Coordinadora del Convenio Económico.</w:t>
      </w:r>
    </w:p>
    <w:p w14:paraId="497BEA58" w14:textId="77777777" w:rsidR="004047AF" w:rsidRPr="00F7157A" w:rsidRDefault="004047AF"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c) Por el importe del endeudamiento de nuevas entidades que pasen a clasificarse dentro del </w:t>
      </w:r>
      <w:r w:rsidR="00BB0DB8">
        <w:rPr>
          <w:rFonts w:ascii="Arial" w:eastAsia="Times New Roman" w:hAnsi="Arial" w:cs="Arial"/>
          <w:sz w:val="24"/>
          <w:szCs w:val="24"/>
          <w:lang w:val="es-ES" w:eastAsia="es-ES"/>
        </w:rPr>
        <w:t>sub</w:t>
      </w:r>
      <w:r w:rsidRPr="00F7157A">
        <w:rPr>
          <w:rFonts w:ascii="Arial" w:eastAsia="Times New Roman" w:hAnsi="Arial" w:cs="Arial"/>
          <w:sz w:val="24"/>
          <w:szCs w:val="24"/>
          <w:lang w:val="es-ES" w:eastAsia="es-ES"/>
        </w:rPr>
        <w:t>sector Administraciones Públicas de la Comunidad Foral de Navarra según los criterios del Sistema Europeo de Cuentas Nacionales y Regionales de la Unión Europea.</w:t>
      </w:r>
    </w:p>
    <w:p w14:paraId="31DA0FA1" w14:textId="77777777" w:rsidR="006075A2" w:rsidRPr="00F7157A" w:rsidRDefault="006075A2"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La emisión y, en su caso, la formalización de las operaciones de endeudamiento previstas en los apartados anteriores podrá concretarse en una o varias operaciones pudiendo demorarse más allá del ejercicio 2026.</w:t>
      </w:r>
    </w:p>
    <w:p w14:paraId="15966F47" w14:textId="77777777" w:rsidR="004047AF" w:rsidRPr="00F7157A" w:rsidRDefault="006075A2"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w:t>
      </w:r>
      <w:r w:rsidR="004047AF" w:rsidRPr="00F7157A">
        <w:rPr>
          <w:rFonts w:ascii="Arial" w:eastAsia="Times New Roman" w:hAnsi="Arial" w:cs="Arial"/>
          <w:sz w:val="24"/>
          <w:szCs w:val="24"/>
          <w:lang w:val="es-ES" w:eastAsia="es-ES"/>
        </w:rPr>
        <w:t xml:space="preserve">. En todo caso, el Gobierno de Navarra adaptará la estrategia de endeudamiento para que el volumen máximo a autorizar dentro del </w:t>
      </w:r>
      <w:r w:rsidR="00C70521">
        <w:rPr>
          <w:rFonts w:ascii="Arial" w:eastAsia="Times New Roman" w:hAnsi="Arial" w:cs="Arial"/>
          <w:sz w:val="24"/>
          <w:szCs w:val="24"/>
          <w:lang w:val="es-ES" w:eastAsia="es-ES"/>
        </w:rPr>
        <w:t>subs</w:t>
      </w:r>
      <w:r w:rsidR="004047AF" w:rsidRPr="00F7157A">
        <w:rPr>
          <w:rFonts w:ascii="Arial" w:eastAsia="Times New Roman" w:hAnsi="Arial" w:cs="Arial"/>
          <w:sz w:val="24"/>
          <w:szCs w:val="24"/>
          <w:lang w:val="es-ES" w:eastAsia="es-ES"/>
        </w:rPr>
        <w:t>ector de Administraciones Públicas de la Comunidad Foral de Navarra, según los criterios del Sistema Europeo de Cuentas Nacionales y Regionales de la Unión Europea, respete el límite al que se refiere este artículo.</w:t>
      </w:r>
    </w:p>
    <w:p w14:paraId="4737BDD3" w14:textId="77777777" w:rsidR="006075A2" w:rsidRPr="00F7157A" w:rsidRDefault="006075A2" w:rsidP="00CF7E24">
      <w:pPr>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5. El Departamento de Economía y Hacienda informará trimestralmente al Parlamento de Navarra de toda emisión o formalización de operaciones de endeudamiento previstas en los apartados anteriores.</w:t>
      </w:r>
    </w:p>
    <w:p w14:paraId="407A28FC" w14:textId="77777777" w:rsidR="00E3153F" w:rsidRPr="00F7157A" w:rsidRDefault="00E3153F" w:rsidP="00CF7E24">
      <w:pPr>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38</w:t>
      </w:r>
      <w:r w:rsidRPr="00F7157A">
        <w:rPr>
          <w:rFonts w:ascii="Arial" w:eastAsia="Times New Roman" w:hAnsi="Arial" w:cs="Arial"/>
          <w:b/>
          <w:sz w:val="24"/>
          <w:szCs w:val="24"/>
          <w:lang w:val="es-ES" w:eastAsia="es-ES"/>
        </w:rPr>
        <w:t xml:space="preserve">. </w:t>
      </w:r>
      <w:r w:rsidR="00EA731C" w:rsidRPr="00F7157A">
        <w:rPr>
          <w:rFonts w:ascii="Arial" w:eastAsia="Times New Roman" w:hAnsi="Arial" w:cs="Arial"/>
          <w:b/>
          <w:sz w:val="24"/>
          <w:szCs w:val="24"/>
          <w:lang w:val="es-ES" w:eastAsia="es-ES"/>
        </w:rPr>
        <w:t>Suministro de información.</w:t>
      </w:r>
    </w:p>
    <w:p w14:paraId="29832384" w14:textId="77777777" w:rsidR="00E67D8B" w:rsidRPr="00F7157A" w:rsidRDefault="00E67D8B" w:rsidP="00CF7E24">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Las personas responsables de las entidades públicas o </w:t>
      </w:r>
      <w:r w:rsidR="0091657A" w:rsidRPr="00F7157A">
        <w:rPr>
          <w:rFonts w:ascii="Arial" w:eastAsia="Times New Roman" w:hAnsi="Arial" w:cs="Arial"/>
          <w:sz w:val="24"/>
          <w:szCs w:val="24"/>
          <w:lang w:val="es-ES" w:eastAsia="es-ES"/>
        </w:rPr>
        <w:t xml:space="preserve">entidades </w:t>
      </w:r>
      <w:r w:rsidRPr="00F7157A">
        <w:rPr>
          <w:rFonts w:ascii="Arial" w:eastAsia="Times New Roman" w:hAnsi="Arial" w:cs="Arial"/>
          <w:sz w:val="24"/>
          <w:szCs w:val="24"/>
          <w:lang w:val="es-ES" w:eastAsia="es-ES"/>
        </w:rPr>
        <w:t>que form</w:t>
      </w:r>
      <w:r w:rsidR="0091657A" w:rsidRPr="00F7157A">
        <w:rPr>
          <w:rFonts w:ascii="Arial" w:eastAsia="Times New Roman" w:hAnsi="Arial" w:cs="Arial"/>
          <w:sz w:val="24"/>
          <w:szCs w:val="24"/>
          <w:lang w:val="es-ES" w:eastAsia="es-ES"/>
        </w:rPr>
        <w:t>e</w:t>
      </w:r>
      <w:r w:rsidRPr="00F7157A">
        <w:rPr>
          <w:rFonts w:ascii="Arial" w:eastAsia="Times New Roman" w:hAnsi="Arial" w:cs="Arial"/>
          <w:sz w:val="24"/>
          <w:szCs w:val="24"/>
          <w:lang w:val="es-ES" w:eastAsia="es-ES"/>
        </w:rPr>
        <w:t>n parte del sector de Administraciones Públicas de la Comunidad Foral de Navarra según los criterios del Sistema Europeo de Cuentas Nacionales y Regionales de la Unión Europea estarán obligadas a suministrar información de las operaciones de endeudamiento concertadas, incluidas las formalizadas y canceladas dentro del mismo ejercicio presupuestario, en los formatos y plazos en que les sea requerida por el Departamento de Economía y Hacienda, a los efectos de cumplir los compromisos acordados en el marco de la estabilidad presupuestaria entre el Gobierno de Navarra y el Ministerio de Hacienda.</w:t>
      </w:r>
    </w:p>
    <w:p w14:paraId="26F63BDF" w14:textId="77777777" w:rsidR="00E67D8B" w:rsidRPr="00F7157A" w:rsidRDefault="00E67D8B" w:rsidP="00CF7E24">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El Departamento de Economía y Hacienda informará trimestralmente al Parlamento de Navarra de las operaciones de endeudamiento autorizadas a estas entidades.</w:t>
      </w:r>
    </w:p>
    <w:p w14:paraId="4F63A756" w14:textId="77777777" w:rsidR="00E3153F" w:rsidRPr="00F7157A" w:rsidRDefault="00C70686"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 xml:space="preserve">TÍTULO IV. </w:t>
      </w:r>
      <w:r w:rsidR="00E3153F" w:rsidRPr="00F7157A">
        <w:rPr>
          <w:rFonts w:ascii="Arial" w:eastAsia="Times New Roman" w:hAnsi="Arial" w:cs="Arial"/>
          <w:b/>
          <w:bCs/>
          <w:caps/>
          <w:sz w:val="24"/>
          <w:szCs w:val="24"/>
          <w:lang w:val="es-ES" w:eastAsia="es-ES"/>
        </w:rPr>
        <w:t>DE LAS ENTIDADES LOCALES</w:t>
      </w:r>
    </w:p>
    <w:p w14:paraId="3D177977"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39</w:t>
      </w:r>
      <w:r w:rsidRPr="00F7157A">
        <w:rPr>
          <w:rFonts w:ascii="Arial" w:eastAsia="Times New Roman" w:hAnsi="Arial" w:cs="Arial"/>
          <w:b/>
          <w:sz w:val="24"/>
          <w:szCs w:val="24"/>
          <w:lang w:val="es-ES" w:eastAsia="es-ES"/>
        </w:rPr>
        <w:t>. Subvenciones y beneficios para inversiones de las Agrupaciones Tradicionales.</w:t>
      </w:r>
    </w:p>
    <w:p w14:paraId="489BA14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Comunidad de Bardenas Reales, así como las Juntas de los Valles de Roncal, Salazar y Aezkoa podrán acogerse a las aportaciones y demás beneficios establecidos en los Presupuestos Generales de Navarra con cargo a la Hacienda Pública de Navarra, para las inversiones que aprueben sus órganos competentes.</w:t>
      </w:r>
    </w:p>
    <w:p w14:paraId="1587BD00" w14:textId="77777777" w:rsidR="00E3153F" w:rsidRPr="00F7157A" w:rsidRDefault="00C70686" w:rsidP="00E3153F">
      <w:pPr>
        <w:shd w:val="clear" w:color="auto" w:fill="FFFFFF"/>
        <w:spacing w:before="720" w:after="300" w:line="340" w:lineRule="exact"/>
        <w:jc w:val="both"/>
        <w:rPr>
          <w:rFonts w:ascii="Arial" w:eastAsia="Times New Roman" w:hAnsi="Arial" w:cs="Arial"/>
          <w:b/>
          <w:bCs/>
          <w:caps/>
          <w:sz w:val="24"/>
          <w:szCs w:val="24"/>
          <w:lang w:val="es-ES" w:eastAsia="es-ES"/>
        </w:rPr>
      </w:pPr>
      <w:r w:rsidRPr="00F7157A">
        <w:rPr>
          <w:rFonts w:ascii="Arial" w:eastAsia="Times New Roman" w:hAnsi="Arial" w:cs="Arial"/>
          <w:b/>
          <w:bCs/>
          <w:caps/>
          <w:sz w:val="24"/>
          <w:szCs w:val="24"/>
          <w:lang w:val="es-ES" w:eastAsia="es-ES"/>
        </w:rPr>
        <w:t xml:space="preserve">TÍTULO V. </w:t>
      </w:r>
      <w:r w:rsidR="00E3153F" w:rsidRPr="00F7157A">
        <w:rPr>
          <w:rFonts w:ascii="Arial" w:eastAsia="Times New Roman" w:hAnsi="Arial" w:cs="Arial"/>
          <w:b/>
          <w:bCs/>
          <w:caps/>
          <w:sz w:val="24"/>
          <w:szCs w:val="24"/>
          <w:lang w:val="es-ES" w:eastAsia="es-ES"/>
        </w:rPr>
        <w:t>DE LA GESTIÓN PRESUPUESTARIA</w:t>
      </w:r>
    </w:p>
    <w:p w14:paraId="136A5B0E"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734758" w:rsidRPr="00F7157A">
        <w:rPr>
          <w:rFonts w:ascii="Arial" w:eastAsia="Times New Roman" w:hAnsi="Arial" w:cs="Arial"/>
          <w:b/>
          <w:sz w:val="24"/>
          <w:szCs w:val="24"/>
          <w:lang w:val="es-ES" w:eastAsia="es-ES"/>
        </w:rPr>
        <w:t>4</w:t>
      </w:r>
      <w:r w:rsidR="009C226E">
        <w:rPr>
          <w:rFonts w:ascii="Arial" w:eastAsia="Times New Roman" w:hAnsi="Arial" w:cs="Arial"/>
          <w:b/>
          <w:sz w:val="24"/>
          <w:szCs w:val="24"/>
          <w:lang w:val="es-ES" w:eastAsia="es-ES"/>
        </w:rPr>
        <w:t>0</w:t>
      </w:r>
      <w:r w:rsidRPr="00F7157A">
        <w:rPr>
          <w:rFonts w:ascii="Arial" w:eastAsia="Times New Roman" w:hAnsi="Arial" w:cs="Arial"/>
          <w:b/>
          <w:sz w:val="24"/>
          <w:szCs w:val="24"/>
          <w:lang w:val="es-ES" w:eastAsia="es-ES"/>
        </w:rPr>
        <w:t>. Modificaciones presupuestarias financiadas con previsibles mayores ingresos.</w:t>
      </w:r>
    </w:p>
    <w:p w14:paraId="7233E872"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De acuerdo con lo establecido en la sección 2.ª del capítulo I del título II de la Ley Foral 13/2007, de 4 de abril, de la Hacienda Pública de Navarra, las generaciones de crédito son modificaciones presupuestarias que incrementan </w:t>
      </w:r>
      <w:r w:rsidRPr="00F7157A">
        <w:rPr>
          <w:rFonts w:ascii="Arial" w:eastAsia="Times New Roman" w:hAnsi="Arial" w:cs="Arial"/>
          <w:sz w:val="24"/>
          <w:szCs w:val="24"/>
          <w:lang w:val="es-ES" w:eastAsia="es-ES"/>
        </w:rPr>
        <w:lastRenderedPageBreak/>
        <w:t>los créditos como consecuencia de la realización de determinados ingresos no previstos o superiores a los contemplados en el presupuesto inicial.</w:t>
      </w:r>
    </w:p>
    <w:p w14:paraId="4C695EB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0164664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Cuando sean necesarios para atender los gastos de personal.</w:t>
      </w:r>
    </w:p>
    <w:p w14:paraId="03B4A809" w14:textId="77777777" w:rsidR="006C2A61" w:rsidRPr="00F7157A" w:rsidRDefault="00E3153F" w:rsidP="00BE4ECF">
      <w:pPr>
        <w:shd w:val="clear" w:color="auto" w:fill="FFFFFF"/>
        <w:spacing w:after="300" w:line="340" w:lineRule="exact"/>
        <w:jc w:val="both"/>
        <w:rPr>
          <w:rFonts w:ascii="Arial" w:eastAsia="Times New Roman" w:hAnsi="Arial" w:cs="Arial"/>
          <w:strike/>
          <w:sz w:val="24"/>
          <w:szCs w:val="24"/>
          <w:lang w:eastAsia="es-ES"/>
        </w:rPr>
      </w:pPr>
      <w:r w:rsidRPr="00F7157A">
        <w:rPr>
          <w:rFonts w:ascii="Arial" w:eastAsia="Times New Roman" w:hAnsi="Arial" w:cs="Arial"/>
          <w:sz w:val="24"/>
          <w:szCs w:val="24"/>
          <w:lang w:val="es-ES" w:eastAsia="es-ES"/>
        </w:rPr>
        <w:t xml:space="preserve">b) Cuando correspondan a </w:t>
      </w:r>
      <w:r w:rsidR="006C2A61" w:rsidRPr="00F7157A">
        <w:rPr>
          <w:rFonts w:ascii="Arial" w:eastAsia="Times New Roman" w:hAnsi="Arial" w:cs="Arial"/>
          <w:sz w:val="24"/>
          <w:szCs w:val="24"/>
          <w:lang w:val="es-ES" w:eastAsia="es-ES"/>
        </w:rPr>
        <w:t xml:space="preserve">transferencias o </w:t>
      </w:r>
      <w:r w:rsidRPr="00F7157A">
        <w:rPr>
          <w:rFonts w:ascii="Arial" w:eastAsia="Times New Roman" w:hAnsi="Arial" w:cs="Arial"/>
          <w:sz w:val="24"/>
          <w:szCs w:val="24"/>
          <w:lang w:val="es-ES" w:eastAsia="es-ES"/>
        </w:rPr>
        <w:t>subvenciones periódicas que tengan por finalidad prestaciones de carácter personal o social</w:t>
      </w:r>
      <w:r w:rsidR="00BE4ECF" w:rsidRPr="00F7157A">
        <w:rPr>
          <w:rFonts w:ascii="Arial" w:eastAsia="Times New Roman" w:hAnsi="Arial" w:cs="Arial"/>
          <w:sz w:val="24"/>
          <w:szCs w:val="24"/>
          <w:lang w:val="es-ES" w:eastAsia="es-ES"/>
        </w:rPr>
        <w:t>.</w:t>
      </w:r>
    </w:p>
    <w:p w14:paraId="449F068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Cuando correspondan a programas de los que se recibe la financiación, por medio de un reembolso, con la justificación de los gastos efectivamente producidos.</w:t>
      </w:r>
    </w:p>
    <w:p w14:paraId="23C9992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Cuando se trate de aportaciones destinadas a financiar actuaciones encuadradas en el Plan de Recuperación, Transformación y Resiliencia.</w:t>
      </w:r>
    </w:p>
    <w:p w14:paraId="080450C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 En aquellos otros supuestos, debidamente justificados, con autorización del Gobierno de Navarra, previo informe del departamento competente en materia de presupuestos.</w:t>
      </w:r>
    </w:p>
    <w:p w14:paraId="289C525D"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4</w:t>
      </w:r>
      <w:r w:rsidR="009C226E">
        <w:rPr>
          <w:rFonts w:ascii="Arial" w:eastAsia="Times New Roman" w:hAnsi="Arial" w:cs="Arial"/>
          <w:b/>
          <w:sz w:val="24"/>
          <w:szCs w:val="24"/>
          <w:lang w:val="es-ES" w:eastAsia="es-ES"/>
        </w:rPr>
        <w:t>1</w:t>
      </w:r>
      <w:r w:rsidRPr="00F7157A">
        <w:rPr>
          <w:rFonts w:ascii="Arial" w:eastAsia="Times New Roman" w:hAnsi="Arial" w:cs="Arial"/>
          <w:b/>
          <w:sz w:val="24"/>
          <w:szCs w:val="24"/>
          <w:lang w:val="es-ES" w:eastAsia="es-ES"/>
        </w:rPr>
        <w:t>. Compromisos de gastos con cargo a futuros presupuestos.</w:t>
      </w:r>
    </w:p>
    <w:p w14:paraId="101092B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El Gobierno de Navarra podrá autorizar la adquisición de compromisos de gastos de carácter plurianual, más allá de los límites y anualidades que autoriza la Ley Foral 13/2007, de 4 de abril, de la Hacienda Pública de Navarra, en los siguientes supuestos:</w:t>
      </w:r>
    </w:p>
    <w:p w14:paraId="66D9B45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Concesión de ayudas económicas a personas promotoras, adquirentes, usuarias, y adjudicatarias de viviendas protegidas, y para rehabilitación de viviendas siempre y cuando no sobrepase las cuantías consignadas para tal fin en el ejercicio precedente.</w:t>
      </w:r>
    </w:p>
    <w:p w14:paraId="48E89ED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Para hacer frente a los planes, programas e iniciativas cofinanciadas por la Unión Europea y/o por la Administración General del Estado, así como a las obligaciones derivadas de los mismos que deban contener una planificación superior a cinco años.</w:t>
      </w:r>
    </w:p>
    <w:p w14:paraId="1F215B4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5DB81BE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7B12FD4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 Los necesarios para dar cumplimiento a lo establecido en la Ley Orgánica 2/2006, de 3 de mayo, de Educación, respecto a la renovación de los conciertos educativos.</w:t>
      </w:r>
    </w:p>
    <w:p w14:paraId="228A710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f) Concesión de ayudas económicas a las entidades locales para la elaboración o revisión de su planeamiento urbanístico municipal.</w:t>
      </w:r>
    </w:p>
    <w:p w14:paraId="341E8E8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g) Arrendamiento de bienes inmuebles.</w:t>
      </w:r>
    </w:p>
    <w:p w14:paraId="134EB65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2. El Departamento de Educación podrá contratar el transporte escolar y el servicio de comedores escolares, </w:t>
      </w:r>
      <w:r w:rsidR="008841B5" w:rsidRPr="00F7157A">
        <w:rPr>
          <w:rFonts w:ascii="Arial" w:eastAsia="Times New Roman" w:hAnsi="Arial" w:cs="Arial"/>
          <w:sz w:val="24"/>
          <w:szCs w:val="24"/>
          <w:lang w:val="es-ES" w:eastAsia="es-ES"/>
        </w:rPr>
        <w:t xml:space="preserve">así como conceder ayudas individualizadas de transporte y comedor, </w:t>
      </w:r>
      <w:r w:rsidRPr="00F7157A">
        <w:rPr>
          <w:rFonts w:ascii="Arial" w:eastAsia="Times New Roman" w:hAnsi="Arial" w:cs="Arial"/>
          <w:sz w:val="24"/>
          <w:szCs w:val="24"/>
          <w:lang w:val="es-ES" w:eastAsia="es-ES"/>
        </w:rPr>
        <w:t>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4DB63DF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6374DB97" w14:textId="77777777" w:rsidR="007D3B0F" w:rsidRPr="00F7157A" w:rsidRDefault="007D3B0F" w:rsidP="007D3B0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4</w:t>
      </w:r>
      <w:r w:rsidR="009C226E">
        <w:rPr>
          <w:rFonts w:ascii="Arial" w:eastAsia="Times New Roman" w:hAnsi="Arial" w:cs="Arial"/>
          <w:b/>
          <w:sz w:val="24"/>
          <w:szCs w:val="24"/>
          <w:lang w:val="es-ES" w:eastAsia="es-ES"/>
        </w:rPr>
        <w:t>2</w:t>
      </w:r>
      <w:r w:rsidRPr="00F7157A">
        <w:rPr>
          <w:rFonts w:ascii="Arial" w:eastAsia="Times New Roman" w:hAnsi="Arial" w:cs="Arial"/>
          <w:b/>
          <w:sz w:val="24"/>
          <w:szCs w:val="24"/>
          <w:lang w:val="es-ES" w:eastAsia="es-ES"/>
        </w:rPr>
        <w:t>. Movimiento de fondos con motivo de incremento de retribuciones.</w:t>
      </w:r>
    </w:p>
    <w:p w14:paraId="1519110A" w14:textId="77777777" w:rsidR="007D3B0F" w:rsidRPr="00F7157A" w:rsidRDefault="007D3B0F" w:rsidP="007D3B0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General de Función Pública podrá autorizar movimientos de fondos que se realicen con cargo a la partida F30001-F3100-1800-921402 "Incremento retributivo", con objeto de financiar las partidas donde se impute el gasto como consecuencia del incremento de retribuciones previsto en los artículos 6, 7, 8 y 9.</w:t>
      </w:r>
    </w:p>
    <w:p w14:paraId="7DAF76A9" w14:textId="77777777" w:rsidR="007D3B0F" w:rsidRPr="00F7157A" w:rsidRDefault="007D3B0F" w:rsidP="007D3B0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Artículo 4</w:t>
      </w:r>
      <w:r w:rsidR="009C226E">
        <w:rPr>
          <w:rFonts w:ascii="Arial" w:eastAsia="Times New Roman" w:hAnsi="Arial" w:cs="Arial"/>
          <w:b/>
          <w:sz w:val="24"/>
          <w:szCs w:val="24"/>
          <w:lang w:val="es-ES" w:eastAsia="es-ES"/>
        </w:rPr>
        <w:t>3</w:t>
      </w:r>
      <w:r w:rsidRPr="00F7157A">
        <w:rPr>
          <w:rFonts w:ascii="Arial" w:eastAsia="Times New Roman" w:hAnsi="Arial" w:cs="Arial"/>
          <w:b/>
          <w:sz w:val="24"/>
          <w:szCs w:val="24"/>
          <w:lang w:val="es-ES" w:eastAsia="es-ES"/>
        </w:rPr>
        <w:t>. Movimiento de fondos con motivo de la incorporación de personal derivado de la Oferta Pública de Empleo de puestos de trabajo no susceptibles de contratación temporal.</w:t>
      </w:r>
    </w:p>
    <w:p w14:paraId="4F681CEB" w14:textId="77777777" w:rsidR="007D3B0F" w:rsidRPr="00F7157A" w:rsidRDefault="007D3B0F" w:rsidP="007D3B0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General de Función Pública podrá autorizar movimientos de fondos que se realicen con cargo a la partida F30001-F3100-1800-921404 "Oferta Pública de Empleo de puestos no susceptibles de contratación", con objeto de financiar las partidas donde se impute el gasto como consecuencia de la incorporación efectiva de personal.</w:t>
      </w:r>
    </w:p>
    <w:p w14:paraId="682A3005" w14:textId="77777777" w:rsidR="007D3B0F" w:rsidRPr="00F7157A" w:rsidRDefault="00734758" w:rsidP="007D3B0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4</w:t>
      </w:r>
      <w:r w:rsidR="009C226E">
        <w:rPr>
          <w:rFonts w:ascii="Arial" w:eastAsia="Times New Roman" w:hAnsi="Arial" w:cs="Arial"/>
          <w:b/>
          <w:sz w:val="24"/>
          <w:szCs w:val="24"/>
          <w:lang w:val="es-ES" w:eastAsia="es-ES"/>
        </w:rPr>
        <w:t>4</w:t>
      </w:r>
      <w:r w:rsidR="007D3B0F" w:rsidRPr="00F7157A">
        <w:rPr>
          <w:rFonts w:ascii="Arial" w:eastAsia="Times New Roman" w:hAnsi="Arial" w:cs="Arial"/>
          <w:b/>
          <w:sz w:val="24"/>
          <w:szCs w:val="24"/>
          <w:lang w:val="es-ES" w:eastAsia="es-ES"/>
        </w:rPr>
        <w:t>. Compensación de gastos de funcionamiento de organizaciones sindicales en el ámbito de la Administración de la Comunidad Foral de Navarra y sus Organismos Autónomos.</w:t>
      </w:r>
    </w:p>
    <w:p w14:paraId="3581290D" w14:textId="77777777" w:rsidR="007D3B0F" w:rsidRPr="00F7157A" w:rsidRDefault="007D3B0F" w:rsidP="007D3B0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partidas F30001-F3300-4819-921302; 410005-41700-4819-321100 y 540000-52000-4819-311100, las tres con la denominación "Compensación de gastos de funcionamiento de organizaciones sindicales", financiarán aquellos gastos de cualquier naturaleza que resulten necesarios para el desarrollo de la actividad propia de las organizaciones sindicales.</w:t>
      </w:r>
    </w:p>
    <w:p w14:paraId="3710AD84" w14:textId="77777777" w:rsidR="007D3B0F" w:rsidRPr="00F7157A" w:rsidRDefault="007D3B0F" w:rsidP="007D3B0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reparto del crédito de cada partida se realizará entre las organizaciones sindicales del ámbito respectivo en proporción a los votos obtenidos en las últimas elecciones sindicales celebradas.</w:t>
      </w:r>
    </w:p>
    <w:p w14:paraId="15DD79F9"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4</w:t>
      </w:r>
      <w:r w:rsidR="009C226E">
        <w:rPr>
          <w:rFonts w:ascii="Arial" w:eastAsia="Times New Roman" w:hAnsi="Arial" w:cs="Arial"/>
          <w:b/>
          <w:sz w:val="24"/>
          <w:szCs w:val="24"/>
          <w:lang w:val="es-ES" w:eastAsia="es-ES"/>
        </w:rPr>
        <w:t>5</w:t>
      </w:r>
      <w:r w:rsidRPr="00F7157A">
        <w:rPr>
          <w:rFonts w:ascii="Arial" w:eastAsia="Times New Roman" w:hAnsi="Arial" w:cs="Arial"/>
          <w:b/>
          <w:sz w:val="24"/>
          <w:szCs w:val="24"/>
          <w:lang w:val="es-ES" w:eastAsia="es-ES"/>
        </w:rPr>
        <w:t>. Movimiento de fondos por gastos de obras, Plan de Inmuebles y mobiliario, del Servicio de Patrimonio.</w:t>
      </w:r>
    </w:p>
    <w:p w14:paraId="6C9CF0D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General de Presupuestos y Patrimonio podrá autorizar movimientos de fondos que se realicen entre las partidas 111002-11300-6020-923104 denominada "Plan de Inmuebles. Oficinas administrativas", 111002-11300-6020-923100 denominada "Edificios y obras de nueva instalación, y reforma del patrimonio inmobiliario" y 111002-11300-6050-923100 denominada "Plan de Inmuebles. Mobiliario y equipamiento de edificios y obras".</w:t>
      </w:r>
    </w:p>
    <w:p w14:paraId="5BD04876"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4</w:t>
      </w:r>
      <w:r w:rsidR="009C226E">
        <w:rPr>
          <w:rFonts w:ascii="Arial" w:eastAsia="Times New Roman" w:hAnsi="Arial" w:cs="Arial"/>
          <w:b/>
          <w:sz w:val="24"/>
          <w:szCs w:val="24"/>
          <w:lang w:val="es-ES" w:eastAsia="es-ES"/>
        </w:rPr>
        <w:t>6</w:t>
      </w:r>
      <w:r w:rsidRPr="00F7157A">
        <w:rPr>
          <w:rFonts w:ascii="Arial" w:eastAsia="Times New Roman" w:hAnsi="Arial" w:cs="Arial"/>
          <w:b/>
          <w:sz w:val="24"/>
          <w:szCs w:val="24"/>
          <w:lang w:val="es-ES" w:eastAsia="es-ES"/>
        </w:rPr>
        <w:t>. Movimiento de fondos por intereses.</w:t>
      </w:r>
    </w:p>
    <w:p w14:paraId="6078C77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La persona titular de la Dirección General de Economía-Next Generation podrá autorizar movimientos de fondos que se realicen entre las partidas destinadas al pago de intereses y otros gastos financieros, y todas las que fuera necesario habilitar, aunque no exista la vinculación exigida y regulada en el artículo 38 de la Ley Foral 13/2007, de 4 de abril, de la Hacienda Pública de Navarra, ya sean </w:t>
      </w:r>
      <w:r w:rsidRPr="00F7157A">
        <w:rPr>
          <w:rFonts w:ascii="Arial" w:eastAsia="Times New Roman" w:hAnsi="Arial" w:cs="Arial"/>
          <w:sz w:val="24"/>
          <w:szCs w:val="24"/>
          <w:lang w:val="es-ES" w:eastAsia="es-ES"/>
        </w:rPr>
        <w:lastRenderedPageBreak/>
        <w:t>estos devengados por la deuda, por préstamos, por operaciones de Tesorería o por saldos en cuentas.</w:t>
      </w:r>
    </w:p>
    <w:p w14:paraId="1489BA1D"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4</w:t>
      </w:r>
      <w:r w:rsidR="009C226E">
        <w:rPr>
          <w:rFonts w:ascii="Arial" w:eastAsia="Times New Roman" w:hAnsi="Arial" w:cs="Arial"/>
          <w:b/>
          <w:sz w:val="24"/>
          <w:szCs w:val="24"/>
          <w:lang w:val="es-ES" w:eastAsia="es-ES"/>
        </w:rPr>
        <w:t>7</w:t>
      </w:r>
      <w:r w:rsidRPr="00F7157A">
        <w:rPr>
          <w:rFonts w:ascii="Arial" w:eastAsia="Times New Roman" w:hAnsi="Arial" w:cs="Arial"/>
          <w:b/>
          <w:sz w:val="24"/>
          <w:szCs w:val="24"/>
          <w:lang w:val="es-ES" w:eastAsia="es-ES"/>
        </w:rPr>
        <w:t>. Movimiento de fondos del Fondo de Participación de las Entidades Locales.</w:t>
      </w:r>
    </w:p>
    <w:p w14:paraId="02B5AAC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La persona titular de la Dirección General de Administración Local y Despoblación podrá realizar movimientos de fondos entre partidas del Fondo de Participación de las Entidades Locales en los tributos de Navarra y crear partidas presupuestarias dentro de dicho fondo, en su vertiente de transferencias de capital, cuando se considere necesario.</w:t>
      </w:r>
    </w:p>
    <w:p w14:paraId="0E6454C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La persona titular de la Dirección General de Administración Local y Despoblación podrá realizar movimientos de fondos entre partidas del Fondo de Participación de las Haciendas Locales en los tributos de Navarra y crear partidas presupuestarias dentro del mismo, por transferencias corrientes, cuando se considere necesario.</w:t>
      </w:r>
    </w:p>
    <w:p w14:paraId="3A1525A5"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48</w:t>
      </w:r>
      <w:r w:rsidRPr="00F7157A">
        <w:rPr>
          <w:rFonts w:ascii="Arial" w:eastAsia="Times New Roman" w:hAnsi="Arial" w:cs="Arial"/>
          <w:b/>
          <w:sz w:val="24"/>
          <w:szCs w:val="24"/>
          <w:lang w:val="es-ES" w:eastAsia="es-ES"/>
        </w:rPr>
        <w:t>. Movimiento de fondos para financiación del Plan de gratuidad de libros de texto escolares.</w:t>
      </w:r>
    </w:p>
    <w:p w14:paraId="5852032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Podrán realizarse movimientos de fondos entre las partidas presupuestarias destinadas a la financiación del plan de gratuidad de libros de texto y material educativo o aquellas que fuera necesario habilitar, aunque no exista la vinculación exigida y regulada en el artículo 38 de la Ley Foral 13/2007, de 4 de abril, de la Hacienda Pública de Navarra, para su adecuada financiación. La competencia para autorizar los mencionados movimientos de fondos corresponderá a la persona titular de la dirección general del Departamento de Educación competente en dicha materia.</w:t>
      </w:r>
    </w:p>
    <w:p w14:paraId="5D4F012C"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49</w:t>
      </w:r>
      <w:r w:rsidRPr="00F7157A">
        <w:rPr>
          <w:rFonts w:ascii="Arial" w:eastAsia="Times New Roman" w:hAnsi="Arial" w:cs="Arial"/>
          <w:b/>
          <w:sz w:val="24"/>
          <w:szCs w:val="24"/>
          <w:lang w:val="es-ES" w:eastAsia="es-ES"/>
        </w:rPr>
        <w:t>. Movimiento de fondos entre gastos de transporte y comedores escolares.</w:t>
      </w:r>
    </w:p>
    <w:p w14:paraId="3AECDC5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general del Departamento de Educación competente por razón de la materia podrá autorizar movimientos de fondos que se realicen entre partidas destinadas al transporte escolar y aquellas que fuese necesario habilitar para su adecuada ejecución, aunque no exista la vinculación exigida y regulada en el artículo 38 de la Ley Foral 13/2007, de 4 de abril, de la Hacienda Pública de Navarra.</w:t>
      </w:r>
    </w:p>
    <w:p w14:paraId="2BCCAF0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Asimismo, podrá autorizar movimientos de fondos entre partidas destinadas a los comedores escolares y aquellas que fuese necesario habilitar para su </w:t>
      </w:r>
      <w:r w:rsidRPr="00F7157A">
        <w:rPr>
          <w:rFonts w:ascii="Arial" w:eastAsia="Times New Roman" w:hAnsi="Arial" w:cs="Arial"/>
          <w:sz w:val="24"/>
          <w:szCs w:val="24"/>
          <w:lang w:val="es-ES" w:eastAsia="es-ES"/>
        </w:rPr>
        <w:lastRenderedPageBreak/>
        <w:t>adecuada ejecución, aunque no exista la vinculación exigida y regulada en el artículo 38 de la Ley Foral 13/2007, de 4 de abril, de la Hacienda Pública de Navarra.</w:t>
      </w:r>
    </w:p>
    <w:p w14:paraId="66642BDC"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5</w:t>
      </w:r>
      <w:r w:rsidR="009C226E">
        <w:rPr>
          <w:rFonts w:ascii="Arial" w:eastAsia="Times New Roman" w:hAnsi="Arial" w:cs="Arial"/>
          <w:b/>
          <w:sz w:val="24"/>
          <w:szCs w:val="24"/>
          <w:lang w:val="es-ES" w:eastAsia="es-ES"/>
        </w:rPr>
        <w:t>0</w:t>
      </w:r>
      <w:r w:rsidRPr="00F7157A">
        <w:rPr>
          <w:rFonts w:ascii="Arial" w:eastAsia="Times New Roman" w:hAnsi="Arial" w:cs="Arial"/>
          <w:b/>
          <w:sz w:val="24"/>
          <w:szCs w:val="24"/>
          <w:lang w:val="es-ES" w:eastAsia="es-ES"/>
        </w:rPr>
        <w:t>. Movimiento de fondos entre partidas construcción y obras en centros educativos.</w:t>
      </w:r>
    </w:p>
    <w:p w14:paraId="2BF3823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General de Personal e Infraestructuras del Departamento de Educación podrá autorizar movimientos de fondos que se realicen entre partidas destinadas a la construcción y obras en centros docentes públicos y las que para este fin fuera necesario habilitar, aunque no exista la vinculación exigida y regulada en el artículo 38 de la Ley Foral 13/2007, de 4 de abril, de la Hacienda Pública de Navarra.</w:t>
      </w:r>
    </w:p>
    <w:p w14:paraId="37D77C61" w14:textId="77777777" w:rsidR="00626C26" w:rsidRPr="00F7157A" w:rsidRDefault="006B4ED6" w:rsidP="006B4ED6">
      <w:pPr>
        <w:shd w:val="clear" w:color="auto" w:fill="FFFFFF"/>
        <w:spacing w:after="300" w:line="340" w:lineRule="exact"/>
        <w:jc w:val="both"/>
        <w:rPr>
          <w:rFonts w:ascii="Arial" w:hAnsi="Arial" w:cs="Arial"/>
          <w:b/>
          <w:bCs/>
          <w:iCs/>
          <w:sz w:val="24"/>
          <w:szCs w:val="24"/>
          <w:lang w:eastAsia="es-ES"/>
        </w:rPr>
      </w:pPr>
      <w:r w:rsidRPr="00F7157A">
        <w:rPr>
          <w:rFonts w:ascii="Arial" w:eastAsia="Times New Roman" w:hAnsi="Arial" w:cs="Arial"/>
          <w:b/>
          <w:sz w:val="24"/>
          <w:szCs w:val="24"/>
          <w:lang w:val="es-ES" w:eastAsia="es-ES"/>
        </w:rPr>
        <w:t xml:space="preserve">Artículo </w:t>
      </w:r>
      <w:r w:rsidR="00734758" w:rsidRPr="00F7157A">
        <w:rPr>
          <w:rFonts w:ascii="Arial" w:eastAsia="Times New Roman" w:hAnsi="Arial" w:cs="Arial"/>
          <w:b/>
          <w:sz w:val="24"/>
          <w:szCs w:val="24"/>
          <w:lang w:val="es-ES" w:eastAsia="es-ES"/>
        </w:rPr>
        <w:t>5</w:t>
      </w:r>
      <w:r w:rsidR="009C226E">
        <w:rPr>
          <w:rFonts w:ascii="Arial" w:eastAsia="Times New Roman" w:hAnsi="Arial" w:cs="Arial"/>
          <w:b/>
          <w:sz w:val="24"/>
          <w:szCs w:val="24"/>
          <w:lang w:val="es-ES" w:eastAsia="es-ES"/>
        </w:rPr>
        <w:t>1</w:t>
      </w:r>
      <w:r w:rsidRPr="00F7157A">
        <w:rPr>
          <w:rFonts w:ascii="Arial" w:eastAsia="Times New Roman" w:hAnsi="Arial" w:cs="Arial"/>
          <w:b/>
          <w:sz w:val="24"/>
          <w:szCs w:val="24"/>
          <w:lang w:val="es-ES" w:eastAsia="es-ES"/>
        </w:rPr>
        <w:t>.</w:t>
      </w:r>
      <w:r w:rsidRPr="00F7157A">
        <w:rPr>
          <w:rFonts w:ascii="Arial" w:eastAsia="Times New Roman" w:hAnsi="Arial" w:cs="Arial"/>
          <w:sz w:val="24"/>
          <w:szCs w:val="24"/>
          <w:lang w:val="es-ES" w:eastAsia="es-ES"/>
        </w:rPr>
        <w:t xml:space="preserve"> </w:t>
      </w:r>
      <w:r w:rsidRPr="00F7157A">
        <w:rPr>
          <w:rFonts w:ascii="Arial" w:hAnsi="Arial" w:cs="Arial"/>
          <w:b/>
          <w:bCs/>
          <w:iCs/>
          <w:sz w:val="24"/>
          <w:szCs w:val="24"/>
          <w:lang w:eastAsia="es-ES"/>
        </w:rPr>
        <w:t>Movimiento de fondos entre partidas “FSE+ 21-27 Semana Escolar IA”.</w:t>
      </w:r>
    </w:p>
    <w:p w14:paraId="60CB6D81" w14:textId="77777777" w:rsidR="006B4ED6" w:rsidRPr="00F7157A" w:rsidRDefault="006B4ED6" w:rsidP="006B4ED6">
      <w:pPr>
        <w:shd w:val="clear" w:color="auto" w:fill="FFFFFF"/>
        <w:spacing w:after="300" w:line="340" w:lineRule="exact"/>
        <w:jc w:val="both"/>
        <w:rPr>
          <w:rFonts w:ascii="Arial" w:hAnsi="Arial" w:cs="Arial"/>
          <w:iCs/>
          <w:sz w:val="24"/>
          <w:szCs w:val="24"/>
          <w:lang w:eastAsia="es-ES"/>
        </w:rPr>
      </w:pPr>
      <w:r w:rsidRPr="00F7157A">
        <w:rPr>
          <w:rFonts w:ascii="Arial" w:hAnsi="Arial" w:cs="Arial"/>
          <w:iCs/>
          <w:sz w:val="24"/>
          <w:szCs w:val="24"/>
          <w:lang w:eastAsia="es-ES"/>
        </w:rPr>
        <w:t xml:space="preserve">Podrán realizarse movimientos de fondos entre las partidas existentes o que fuera necesario crear durante el ejercicio, aunque no exista la vinculación exigida y regulada en el artículo 38 de la Ley Foral 13/2007, de 4 de abril, de la Hacienda Pública de Navarra, correspondientes a las partidas cofinanciadas por el Fondo </w:t>
      </w:r>
      <w:r w:rsidR="00D66F27" w:rsidRPr="00F7157A">
        <w:rPr>
          <w:rFonts w:ascii="Arial" w:hAnsi="Arial" w:cs="Arial"/>
          <w:iCs/>
          <w:sz w:val="24"/>
          <w:szCs w:val="24"/>
          <w:lang w:eastAsia="es-ES"/>
        </w:rPr>
        <w:t xml:space="preserve">Social Europeo </w:t>
      </w:r>
      <w:r w:rsidRPr="00F7157A">
        <w:rPr>
          <w:rFonts w:ascii="Arial" w:hAnsi="Arial" w:cs="Arial"/>
          <w:iCs/>
          <w:sz w:val="24"/>
          <w:szCs w:val="24"/>
          <w:lang w:eastAsia="es-ES"/>
        </w:rPr>
        <w:t>del proyecto “FSE+ 21-27 Semana Escolar IA”,</w:t>
      </w:r>
      <w:r w:rsidR="00626C26" w:rsidRPr="00F7157A">
        <w:rPr>
          <w:rFonts w:ascii="Arial" w:hAnsi="Arial" w:cs="Arial"/>
          <w:iCs/>
          <w:sz w:val="24"/>
          <w:szCs w:val="24"/>
          <w:lang w:eastAsia="es-ES"/>
        </w:rPr>
        <w:t xml:space="preserve"> siempre que el cumplimiento de los objetivos del proyecto lo permitan,</w:t>
      </w:r>
      <w:r w:rsidRPr="00F7157A">
        <w:rPr>
          <w:rFonts w:ascii="Arial" w:hAnsi="Arial" w:cs="Arial"/>
          <w:iCs/>
          <w:sz w:val="24"/>
          <w:szCs w:val="24"/>
          <w:lang w:eastAsia="es-ES"/>
        </w:rPr>
        <w:t xml:space="preserve"> para una correcta aplicación del gasto.</w:t>
      </w:r>
    </w:p>
    <w:p w14:paraId="7734C6A6" w14:textId="77777777" w:rsidR="006B4ED6" w:rsidRPr="00F7157A" w:rsidRDefault="006B4ED6" w:rsidP="006B4ED6">
      <w:pPr>
        <w:shd w:val="clear" w:color="auto" w:fill="FFFFFF"/>
        <w:spacing w:after="300" w:line="340" w:lineRule="exact"/>
        <w:jc w:val="both"/>
        <w:rPr>
          <w:rFonts w:ascii="Arial" w:hAnsi="Arial" w:cs="Arial"/>
          <w:iCs/>
          <w:sz w:val="24"/>
          <w:szCs w:val="24"/>
          <w:lang w:eastAsia="es-ES"/>
        </w:rPr>
      </w:pPr>
      <w:r w:rsidRPr="00F7157A">
        <w:rPr>
          <w:rFonts w:ascii="Arial" w:hAnsi="Arial" w:cs="Arial"/>
          <w:iCs/>
          <w:sz w:val="24"/>
          <w:szCs w:val="24"/>
          <w:lang w:eastAsia="es-ES"/>
        </w:rPr>
        <w:t>La competencia para autorizar los mencionados movimientos de fondos corresponderá a la persona titular de la Dirección General del Departamento de Educación competente en dicha materia.</w:t>
      </w:r>
    </w:p>
    <w:p w14:paraId="3EB5D7E0"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5</w:t>
      </w:r>
      <w:r w:rsidR="009C226E">
        <w:rPr>
          <w:rFonts w:ascii="Arial" w:eastAsia="Times New Roman" w:hAnsi="Arial" w:cs="Arial"/>
          <w:b/>
          <w:sz w:val="24"/>
          <w:szCs w:val="24"/>
          <w:lang w:val="es-ES" w:eastAsia="es-ES"/>
        </w:rPr>
        <w:t>2</w:t>
      </w:r>
      <w:r w:rsidRPr="00F7157A">
        <w:rPr>
          <w:rFonts w:ascii="Arial" w:eastAsia="Times New Roman" w:hAnsi="Arial" w:cs="Arial"/>
          <w:b/>
          <w:sz w:val="24"/>
          <w:szCs w:val="24"/>
          <w:lang w:val="es-ES" w:eastAsia="es-ES"/>
        </w:rPr>
        <w:t>. Dotación Presupuestaria de los centros asociados de la UNED.</w:t>
      </w:r>
    </w:p>
    <w:p w14:paraId="612772B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transferencias corrientes para atender la financiación de los centros asociados de la UNED de Pamplona y Tudela se librarán, con carácter general, por trimestres anticipados.</w:t>
      </w:r>
    </w:p>
    <w:p w14:paraId="41695F4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
          <w:sz w:val="24"/>
          <w:szCs w:val="24"/>
          <w:lang w:val="es-ES" w:eastAsia="es-ES"/>
        </w:rPr>
        <w:t>Artículo 5</w:t>
      </w:r>
      <w:r w:rsidR="009C226E">
        <w:rPr>
          <w:rFonts w:ascii="Arial" w:eastAsia="Times New Roman" w:hAnsi="Arial" w:cs="Arial"/>
          <w:b/>
          <w:sz w:val="24"/>
          <w:szCs w:val="24"/>
          <w:lang w:val="es-ES" w:eastAsia="es-ES"/>
        </w:rPr>
        <w:t>3</w:t>
      </w:r>
      <w:r w:rsidRPr="00F7157A">
        <w:rPr>
          <w:rFonts w:ascii="Arial" w:eastAsia="Times New Roman" w:hAnsi="Arial" w:cs="Arial"/>
          <w:b/>
          <w:sz w:val="24"/>
          <w:szCs w:val="24"/>
          <w:lang w:val="es-ES" w:eastAsia="es-ES"/>
        </w:rPr>
        <w:t>. Sostenimiento de centros concertados y asimilados.</w:t>
      </w:r>
    </w:p>
    <w:p w14:paraId="0278FD7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es el fijado en la disposición adicional cuarta.</w:t>
      </w:r>
    </w:p>
    <w:p w14:paraId="76A15DF4"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Se faculta al Gobierno de Navarra, previa negociación con el sector de la enseñanza concertada y previo informe favorable del Departamento de Economía y Hacienda, para modificar los módulos económicos y las ratios de la disposición adicional cuarta y las cuantías fijadas en el apartado cinco del presente artículo, así como para determinar la fecha de efectividad.</w:t>
      </w:r>
    </w:p>
    <w:p w14:paraId="279E46A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Las previsiones sobre retribuciones del personal docente incluidas en la disposición adicional cuarta, tendrán efectividad desde el día 1 de enero de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xml:space="preserve">,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w:t>
      </w:r>
    </w:p>
    <w:p w14:paraId="7E09BD3F"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El componente del módulo destinado a "otros gastos" y, en su caso, "personal y gastos específicos", incluido en la disposición adicional cuarta, tendrá efectos a partir del 1 de enero de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w:t>
      </w:r>
    </w:p>
    <w:p w14:paraId="56AE23C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cuantías señaladas para salarios del personal docente incluidas cargas sociales, serán abonadas directamente por la Administración mediante pago delegado, sin perjuicio de la relación laboral entre el profesorado y el titular del centro respectivo.</w:t>
      </w:r>
    </w:p>
    <w:p w14:paraId="719E855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cuantías correspondientes a "otros gastos" y, en su caso, "personal y gastos específicos" se abonarán a los centros concertados, debiendo estos justificar su aplicación al finalizar cada curso escolar, teniendo en cuenta que en el apartado de "personal y gastos específicos" de las unidades de educación especial debe incluir, al menos, una persona de apoyo de las que hace referencia la Orden Foral 50/2019, de 20 de junio, de la Consejera de Educación.</w:t>
      </w:r>
    </w:p>
    <w:p w14:paraId="696E5FD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distribución de los importes que integran los "gastos variables" se efectuará de acuerdo con lo que se establece en las disposiciones reguladoras del régimen de conciertos.</w:t>
      </w:r>
    </w:p>
    <w:p w14:paraId="4A5F205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2. La persona titular de la Dirección General de Personal e Infraestructuras del Departamento de Educación podrá autorizar la realización de movimientos de fondos entre las partidas declaradas ampliables del proyecto 410003 Subvenciones a la enseñanza privada concertada y asimilada de código económico 4811 y las que fuera necesario habilitar, aunque no exista la </w:t>
      </w:r>
      <w:r w:rsidRPr="00F7157A">
        <w:rPr>
          <w:rFonts w:ascii="Arial" w:eastAsia="Times New Roman" w:hAnsi="Arial" w:cs="Arial"/>
          <w:sz w:val="24"/>
          <w:szCs w:val="24"/>
          <w:lang w:val="es-ES" w:eastAsia="es-ES"/>
        </w:rPr>
        <w:lastRenderedPageBreak/>
        <w:t>vinculación exigida y regulada en el artículo 38 de la Ley Foral 13/2007, de 4 de abril, de la Hacienda Pública de Navarra.</w:t>
      </w:r>
    </w:p>
    <w:p w14:paraId="3E6922D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3. Dado que en Navarra no se imparte actualmente toda la relación de títulos de formación profesional específica, el Departamento de Educación determinará de forma provisional los módulos económicos de aquellos ciclos formativos de grado básico, medio o superior que sean de nueva implantación en el curso </w:t>
      </w:r>
      <w:r w:rsidR="008841B5" w:rsidRPr="00F7157A">
        <w:rPr>
          <w:rFonts w:ascii="Arial" w:eastAsia="Times New Roman" w:hAnsi="Arial" w:cs="Arial"/>
          <w:sz w:val="24"/>
          <w:szCs w:val="24"/>
          <w:lang w:val="es-ES" w:eastAsia="es-ES"/>
        </w:rPr>
        <w:t xml:space="preserve">2026-2027 </w:t>
      </w:r>
      <w:r w:rsidRPr="00F7157A">
        <w:rPr>
          <w:rFonts w:ascii="Arial" w:eastAsia="Times New Roman" w:hAnsi="Arial" w:cs="Arial"/>
          <w:sz w:val="24"/>
          <w:szCs w:val="24"/>
          <w:lang w:val="es-ES" w:eastAsia="es-ES"/>
        </w:rPr>
        <w:t xml:space="preserve">y no estén incluidos en la disposición adicional cuarta, y podrá modificar provisionalmente los incluidos en la disposición adicional con efectos del inicio del curso </w:t>
      </w:r>
      <w:r w:rsidR="008841B5" w:rsidRPr="00F7157A">
        <w:rPr>
          <w:rFonts w:ascii="Arial" w:eastAsia="Times New Roman" w:hAnsi="Arial" w:cs="Arial"/>
          <w:sz w:val="24"/>
          <w:szCs w:val="24"/>
          <w:lang w:val="es-ES" w:eastAsia="es-ES"/>
        </w:rPr>
        <w:t>2026-2027</w:t>
      </w:r>
      <w:r w:rsidRPr="00F7157A">
        <w:rPr>
          <w:rFonts w:ascii="Arial" w:eastAsia="Times New Roman" w:hAnsi="Arial" w:cs="Arial"/>
          <w:sz w:val="24"/>
          <w:szCs w:val="24"/>
          <w:lang w:val="es-ES" w:eastAsia="es-ES"/>
        </w:rPr>
        <w:t>, a la vista de la implantación de los mismos.</w:t>
      </w:r>
    </w:p>
    <w:p w14:paraId="62698B02"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 A los centros concertados que hayan implantado el primer y segundo ciclo de la educación secundaria obligatoria, el bachillerato, los ciclos formativos de grado básico, medio o superior y la formación profesional básica,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0606B8D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w:t>
      </w:r>
      <w:r w:rsidR="008841B5" w:rsidRPr="00F7157A">
        <w:rPr>
          <w:rFonts w:ascii="Arial" w:eastAsia="Times New Roman" w:hAnsi="Arial" w:cs="Arial"/>
          <w:sz w:val="24"/>
          <w:szCs w:val="24"/>
          <w:lang w:val="es-ES" w:eastAsia="es-ES"/>
        </w:rPr>
        <w:t xml:space="preserve">2026 </w:t>
      </w:r>
      <w:r w:rsidRPr="00F7157A">
        <w:rPr>
          <w:rFonts w:ascii="Arial" w:eastAsia="Times New Roman" w:hAnsi="Arial" w:cs="Arial"/>
          <w:sz w:val="24"/>
          <w:szCs w:val="24"/>
          <w:lang w:val="es-ES" w:eastAsia="es-ES"/>
        </w:rPr>
        <w:t xml:space="preserve">hasta el 30 de junio del mismo año, y desde el 1 de septiembre de </w:t>
      </w:r>
      <w:r w:rsidR="008841B5" w:rsidRPr="00F7157A">
        <w:rPr>
          <w:rFonts w:ascii="Arial" w:eastAsia="Times New Roman" w:hAnsi="Arial" w:cs="Arial"/>
          <w:sz w:val="24"/>
          <w:szCs w:val="24"/>
          <w:lang w:val="es-ES" w:eastAsia="es-ES"/>
        </w:rPr>
        <w:t xml:space="preserve">2026 </w:t>
      </w:r>
      <w:r w:rsidRPr="00F7157A">
        <w:rPr>
          <w:rFonts w:ascii="Arial" w:eastAsia="Times New Roman" w:hAnsi="Arial" w:cs="Arial"/>
          <w:sz w:val="24"/>
          <w:szCs w:val="24"/>
          <w:lang w:val="es-ES" w:eastAsia="es-ES"/>
        </w:rPr>
        <w:t xml:space="preserve">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w:t>
      </w:r>
      <w:r w:rsidR="008841B5" w:rsidRPr="00F7157A">
        <w:rPr>
          <w:rFonts w:ascii="Arial" w:eastAsia="Times New Roman" w:hAnsi="Arial" w:cs="Arial"/>
          <w:sz w:val="24"/>
          <w:szCs w:val="24"/>
          <w:lang w:val="es-ES" w:eastAsia="es-ES"/>
        </w:rPr>
        <w:t>2026-2027</w:t>
      </w:r>
      <w:r w:rsidRPr="00F7157A">
        <w:rPr>
          <w:rFonts w:ascii="Arial" w:eastAsia="Times New Roman" w:hAnsi="Arial" w:cs="Arial"/>
          <w:sz w:val="24"/>
          <w:szCs w:val="24"/>
          <w:lang w:val="es-ES" w:eastAsia="es-ES"/>
        </w:rPr>
        <w:t>.</w:t>
      </w:r>
    </w:p>
    <w:p w14:paraId="4AED3C1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w:t>
      </w:r>
      <w:r w:rsidRPr="00F7157A">
        <w:rPr>
          <w:rFonts w:ascii="Arial" w:eastAsia="Times New Roman" w:hAnsi="Arial" w:cs="Arial"/>
          <w:sz w:val="24"/>
          <w:szCs w:val="24"/>
          <w:lang w:val="es-ES" w:eastAsia="es-ES"/>
        </w:rPr>
        <w:lastRenderedPageBreak/>
        <w:t xml:space="preserve">online, y en concepto exclusivo de enseñanza reglada, es de 11,01 euros alumno/mes durante diez meses, desde el 1 de enero de </w:t>
      </w:r>
      <w:r w:rsidR="008841B5" w:rsidRPr="00F7157A">
        <w:rPr>
          <w:rFonts w:ascii="Arial" w:eastAsia="Times New Roman" w:hAnsi="Arial" w:cs="Arial"/>
          <w:sz w:val="24"/>
          <w:szCs w:val="24"/>
          <w:lang w:val="es-ES" w:eastAsia="es-ES"/>
        </w:rPr>
        <w:t xml:space="preserve">2026 </w:t>
      </w:r>
      <w:r w:rsidRPr="00F7157A">
        <w:rPr>
          <w:rFonts w:ascii="Arial" w:eastAsia="Times New Roman" w:hAnsi="Arial" w:cs="Arial"/>
          <w:sz w:val="24"/>
          <w:szCs w:val="24"/>
          <w:lang w:val="es-ES" w:eastAsia="es-ES"/>
        </w:rPr>
        <w:t xml:space="preserve">hasta el 30 de junio del mismo año y desde el 1 de septiembre </w:t>
      </w:r>
      <w:r w:rsidR="008841B5" w:rsidRPr="00F7157A">
        <w:rPr>
          <w:rFonts w:ascii="Arial" w:eastAsia="Times New Roman" w:hAnsi="Arial" w:cs="Arial"/>
          <w:sz w:val="24"/>
          <w:szCs w:val="24"/>
          <w:lang w:val="es-ES" w:eastAsia="es-ES"/>
        </w:rPr>
        <w:t xml:space="preserve">2026 </w:t>
      </w:r>
      <w:r w:rsidRPr="00F7157A">
        <w:rPr>
          <w:rFonts w:ascii="Arial" w:eastAsia="Times New Roman" w:hAnsi="Arial" w:cs="Arial"/>
          <w:sz w:val="24"/>
          <w:szCs w:val="24"/>
          <w:lang w:val="es-ES" w:eastAsia="es-ES"/>
        </w:rPr>
        <w:t xml:space="preserve">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w:t>
      </w:r>
      <w:r w:rsidR="008841B5" w:rsidRPr="00F7157A">
        <w:rPr>
          <w:rFonts w:ascii="Arial" w:eastAsia="Times New Roman" w:hAnsi="Arial" w:cs="Arial"/>
          <w:sz w:val="24"/>
          <w:szCs w:val="24"/>
          <w:lang w:val="es-ES" w:eastAsia="es-ES"/>
        </w:rPr>
        <w:t>2026-2027</w:t>
      </w:r>
      <w:r w:rsidRPr="00F7157A">
        <w:rPr>
          <w:rFonts w:ascii="Arial" w:eastAsia="Times New Roman" w:hAnsi="Arial" w:cs="Arial"/>
          <w:sz w:val="24"/>
          <w:szCs w:val="24"/>
          <w:lang w:val="es-ES" w:eastAsia="es-ES"/>
        </w:rPr>
        <w:t>.</w:t>
      </w:r>
    </w:p>
    <w:p w14:paraId="0A27E6A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14:paraId="37C7438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cuarta de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"gastos variables".</w:t>
      </w:r>
    </w:p>
    <w:p w14:paraId="727706E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7.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personal cuidador u otro personal complementario.</w:t>
      </w:r>
    </w:p>
    <w:p w14:paraId="5B50E332"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asignación de dichos recursos se realizará, con los informes técnicos precisos, previa convocatoria pública aprobada por el Departamento de Educación.</w:t>
      </w:r>
    </w:p>
    <w:p w14:paraId="4928EB2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8. El importe del módulo económico por unidad escolar en las entidades sin ánimo de lucro que tienen suscrito convenio con el Departamento de Educación será el fijado en el </w:t>
      </w:r>
      <w:r w:rsidR="00E95FE3">
        <w:rPr>
          <w:rFonts w:ascii="Arial" w:eastAsia="Times New Roman" w:hAnsi="Arial" w:cs="Arial"/>
          <w:sz w:val="24"/>
          <w:szCs w:val="24"/>
          <w:lang w:val="es-ES" w:eastAsia="es-ES"/>
        </w:rPr>
        <w:t>A</w:t>
      </w:r>
      <w:r w:rsidRPr="00F7157A">
        <w:rPr>
          <w:rFonts w:ascii="Arial" w:eastAsia="Times New Roman" w:hAnsi="Arial" w:cs="Arial"/>
          <w:sz w:val="24"/>
          <w:szCs w:val="24"/>
          <w:lang w:val="es-ES" w:eastAsia="es-ES"/>
        </w:rPr>
        <w:t>nexo I</w:t>
      </w:r>
      <w:r w:rsidR="00E95FE3">
        <w:rPr>
          <w:rFonts w:ascii="Arial" w:eastAsia="Times New Roman" w:hAnsi="Arial" w:cs="Arial"/>
          <w:sz w:val="24"/>
          <w:szCs w:val="24"/>
          <w:lang w:val="es-ES" w:eastAsia="es-ES"/>
        </w:rPr>
        <w:t>I de esta ley foral</w:t>
      </w:r>
      <w:r w:rsidRPr="00F7157A">
        <w:rPr>
          <w:rFonts w:ascii="Arial" w:eastAsia="Times New Roman" w:hAnsi="Arial" w:cs="Arial"/>
          <w:sz w:val="24"/>
          <w:szCs w:val="24"/>
          <w:lang w:val="es-ES" w:eastAsia="es-ES"/>
        </w:rPr>
        <w:t>.</w:t>
      </w:r>
    </w:p>
    <w:p w14:paraId="41D2FA69"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A</w:t>
      </w:r>
      <w:r w:rsidR="00734758" w:rsidRPr="00F7157A">
        <w:rPr>
          <w:rFonts w:ascii="Arial" w:eastAsia="Times New Roman" w:hAnsi="Arial" w:cs="Arial"/>
          <w:b/>
          <w:sz w:val="24"/>
          <w:szCs w:val="24"/>
          <w:lang w:val="es-ES" w:eastAsia="es-ES"/>
        </w:rPr>
        <w:t>rtículo 5</w:t>
      </w:r>
      <w:r w:rsidR="009C226E">
        <w:rPr>
          <w:rFonts w:ascii="Arial" w:eastAsia="Times New Roman" w:hAnsi="Arial" w:cs="Arial"/>
          <w:b/>
          <w:sz w:val="24"/>
          <w:szCs w:val="24"/>
          <w:lang w:val="es-ES" w:eastAsia="es-ES"/>
        </w:rPr>
        <w:t>4</w:t>
      </w:r>
      <w:r w:rsidRPr="00F7157A">
        <w:rPr>
          <w:rFonts w:ascii="Arial" w:eastAsia="Times New Roman" w:hAnsi="Arial" w:cs="Arial"/>
          <w:b/>
          <w:sz w:val="24"/>
          <w:szCs w:val="24"/>
          <w:lang w:val="es-ES" w:eastAsia="es-ES"/>
        </w:rPr>
        <w:t>. Movimiento de fondos para la gestión de créditos destinados a actuaciones financiadas con los fondos procedentes de la Conferencia Sectorial.</w:t>
      </w:r>
    </w:p>
    <w:p w14:paraId="55DD588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Podrán realizarse movimientos de fondos entre las partidas existentes y las que fuera necesario habilitar, aunque no exista la vinculación exigida y regulada en el artículo 38 de la Ley Foral 13/2007, de 4 de abril, de la Hacienda Pública de Navarra, para imputar correctamente los gastos, en función de su naturaleza, correspondientes a las acciones de formación profesional acreditable para el empleo y políticas activas de empleo, ambos grupos financiados con fondos procedentes de la Conferencia Sectorial.</w:t>
      </w:r>
    </w:p>
    <w:p w14:paraId="279ADAD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competencia para realizar estos movimientos de fondos corresponderá respectivamente a la persona titular de la dirección general competente en materia de formación profesional del Departamento de Educación y a la persona titular de la Gerencia del Servicio Navarro de Empleo-Nafar Lansare adscrito al Departamento de Derechos Sociales, Economía Social y Empleo.</w:t>
      </w:r>
    </w:p>
    <w:p w14:paraId="7ACB0841"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5</w:t>
      </w:r>
      <w:r w:rsidR="009C226E">
        <w:rPr>
          <w:rFonts w:ascii="Arial" w:eastAsia="Times New Roman" w:hAnsi="Arial" w:cs="Arial"/>
          <w:b/>
          <w:sz w:val="24"/>
          <w:szCs w:val="24"/>
          <w:lang w:val="es-ES" w:eastAsia="es-ES"/>
        </w:rPr>
        <w:t>5</w:t>
      </w:r>
      <w:r w:rsidRPr="00F7157A">
        <w:rPr>
          <w:rFonts w:ascii="Arial" w:eastAsia="Times New Roman" w:hAnsi="Arial" w:cs="Arial"/>
          <w:b/>
          <w:sz w:val="24"/>
          <w:szCs w:val="24"/>
          <w:lang w:val="es-ES" w:eastAsia="es-ES"/>
        </w:rPr>
        <w:t>. Promoción de la investigación.</w:t>
      </w:r>
    </w:p>
    <w:p w14:paraId="5A0899C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promoción de la investigación en ciencias de la salud del Departamento de Salud tendrá la consideración de inversión propia del mismo, no siéndole de aplicación la Ley Foral 11/2005, de 9 de noviembre, de Subvenciones, salvo en lo que se refiere a los anticipos, que se regirán por lo previsto en la citada norma.</w:t>
      </w:r>
    </w:p>
    <w:p w14:paraId="16FF4992"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5</w:t>
      </w:r>
      <w:r w:rsidR="009C226E">
        <w:rPr>
          <w:rFonts w:ascii="Arial" w:eastAsia="Times New Roman" w:hAnsi="Arial" w:cs="Arial"/>
          <w:b/>
          <w:sz w:val="24"/>
          <w:szCs w:val="24"/>
          <w:lang w:val="es-ES" w:eastAsia="es-ES"/>
        </w:rPr>
        <w:t>6</w:t>
      </w:r>
      <w:r w:rsidRPr="00F7157A">
        <w:rPr>
          <w:rFonts w:ascii="Arial" w:eastAsia="Times New Roman" w:hAnsi="Arial" w:cs="Arial"/>
          <w:b/>
          <w:sz w:val="24"/>
          <w:szCs w:val="24"/>
          <w:lang w:val="es-ES" w:eastAsia="es-ES"/>
        </w:rPr>
        <w:t>. Fomento de trasplantes de órganos.</w:t>
      </w:r>
    </w:p>
    <w:p w14:paraId="5AB6325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1AB523D2"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5</w:t>
      </w:r>
      <w:r w:rsidR="009C226E">
        <w:rPr>
          <w:rFonts w:ascii="Arial" w:eastAsia="Times New Roman" w:hAnsi="Arial" w:cs="Arial"/>
          <w:b/>
          <w:sz w:val="24"/>
          <w:szCs w:val="24"/>
          <w:lang w:val="es-ES" w:eastAsia="es-ES"/>
        </w:rPr>
        <w:t>7</w:t>
      </w:r>
      <w:r w:rsidRPr="00F7157A">
        <w:rPr>
          <w:rFonts w:ascii="Arial" w:eastAsia="Times New Roman" w:hAnsi="Arial" w:cs="Arial"/>
          <w:b/>
          <w:sz w:val="24"/>
          <w:szCs w:val="24"/>
          <w:lang w:val="es-ES" w:eastAsia="es-ES"/>
        </w:rPr>
        <w:t>. Movimiento de fondos para la gestión de créditos ampliables en el Servicio Navarro de Salud-Osasunbidea.</w:t>
      </w:r>
    </w:p>
    <w:p w14:paraId="322BF35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de Gestión Económica y Servicios Generales del Servicio Navarro de Salud-Osasunbidea podrá autorizar la realización de movimientos de fondos entre las partidas presupuestarias del grupo de programas 54 declaradas ampliables en el artíc</w:t>
      </w:r>
      <w:r w:rsidR="009A7FCD" w:rsidRPr="00F7157A">
        <w:rPr>
          <w:rFonts w:ascii="Arial" w:eastAsia="Times New Roman" w:hAnsi="Arial" w:cs="Arial"/>
          <w:sz w:val="24"/>
          <w:szCs w:val="24"/>
          <w:lang w:val="es-ES" w:eastAsia="es-ES"/>
        </w:rPr>
        <w:t>ulo 5, apartado 4.</w:t>
      </w:r>
      <w:r w:rsidR="00366D00">
        <w:rPr>
          <w:rFonts w:ascii="Arial" w:eastAsia="Times New Roman" w:hAnsi="Arial" w:cs="Arial"/>
          <w:sz w:val="24"/>
          <w:szCs w:val="24"/>
          <w:lang w:val="es-ES" w:eastAsia="es-ES"/>
        </w:rPr>
        <w:t>4</w:t>
      </w:r>
      <w:r w:rsidR="009A7FCD" w:rsidRPr="00F7157A">
        <w:rPr>
          <w:rFonts w:ascii="Arial" w:eastAsia="Times New Roman" w:hAnsi="Arial" w:cs="Arial"/>
          <w:sz w:val="24"/>
          <w:szCs w:val="24"/>
          <w:lang w:val="es-ES" w:eastAsia="es-ES"/>
        </w:rPr>
        <w:t xml:space="preserve">, letras </w:t>
      </w:r>
      <w:r w:rsidR="006B353F" w:rsidRPr="00F7157A">
        <w:rPr>
          <w:rFonts w:ascii="Arial" w:eastAsia="Times New Roman" w:hAnsi="Arial" w:cs="Arial"/>
          <w:sz w:val="24"/>
          <w:szCs w:val="24"/>
          <w:lang w:val="es-ES" w:eastAsia="es-ES"/>
        </w:rPr>
        <w:t>c), f), g), i), j), k), l)</w:t>
      </w:r>
      <w:r w:rsidR="009A7FCD" w:rsidRPr="00F7157A">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de la presente ley foral, y las que fuera necesario habilitar, aunque no exista la vinculación exigida y regulada en el artículo 38 de la Ley Foral 13/2007, de 4 de abril, de la Hacienda Pública de Navarra.</w:t>
      </w:r>
    </w:p>
    <w:p w14:paraId="5B228E4B"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 xml:space="preserve">Artículo </w:t>
      </w:r>
      <w:r w:rsidR="009C226E">
        <w:rPr>
          <w:rFonts w:ascii="Arial" w:eastAsia="Times New Roman" w:hAnsi="Arial" w:cs="Arial"/>
          <w:b/>
          <w:sz w:val="24"/>
          <w:szCs w:val="24"/>
          <w:lang w:val="es-ES" w:eastAsia="es-ES"/>
        </w:rPr>
        <w:t>58</w:t>
      </w:r>
      <w:r w:rsidRPr="00F7157A">
        <w:rPr>
          <w:rFonts w:ascii="Arial" w:eastAsia="Times New Roman" w:hAnsi="Arial" w:cs="Arial"/>
          <w:b/>
          <w:sz w:val="24"/>
          <w:szCs w:val="24"/>
          <w:lang w:val="es-ES" w:eastAsia="es-ES"/>
        </w:rPr>
        <w:t>. Movimiento de fondos para la gestión de créditos para la reducción de las listas de espera en el Servicio Navarro de Salud-Osasunbidea.</w:t>
      </w:r>
      <w:r w:rsidR="009A7FCD" w:rsidRPr="00F7157A">
        <w:rPr>
          <w:rFonts w:ascii="Arial" w:eastAsia="Times New Roman" w:hAnsi="Arial" w:cs="Arial"/>
          <w:b/>
          <w:sz w:val="24"/>
          <w:szCs w:val="24"/>
          <w:lang w:val="es-ES" w:eastAsia="es-ES"/>
        </w:rPr>
        <w:t xml:space="preserve"> </w:t>
      </w:r>
    </w:p>
    <w:p w14:paraId="57B9B69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Podrán realizarse movimientos de fondos entre las partidas correspondientes a las listas de espera, señaladas en el apartado 2 del artículo 5 de la presente ley foral, para una mejor gestión del gasto.</w:t>
      </w:r>
    </w:p>
    <w:p w14:paraId="0A9F063E"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competencia para realizar estos movimientos de fondos corresponderá a la persona titular de la Dirección de Gestión Económica y Servicios Generales del Servicio Navarro de Salud-Osasunbidea.</w:t>
      </w:r>
    </w:p>
    <w:p w14:paraId="11BF3944" w14:textId="77777777" w:rsidR="009A7FCD" w:rsidRPr="00F7157A" w:rsidRDefault="009A7FCD" w:rsidP="009A7FCD">
      <w:pPr>
        <w:shd w:val="clear" w:color="auto" w:fill="FFFFFF"/>
        <w:spacing w:after="300" w:line="340" w:lineRule="exact"/>
        <w:jc w:val="both"/>
        <w:rPr>
          <w:rFonts w:ascii="Arial" w:eastAsia="Times New Roman" w:hAnsi="Arial" w:cs="Arial"/>
          <w:b/>
          <w:iCs/>
          <w:sz w:val="24"/>
          <w:szCs w:val="24"/>
          <w:lang w:val="es-ES" w:eastAsia="es-ES"/>
        </w:rPr>
      </w:pPr>
      <w:r w:rsidRPr="00F7157A">
        <w:rPr>
          <w:rFonts w:ascii="Arial" w:eastAsia="Times New Roman" w:hAnsi="Arial" w:cs="Arial"/>
          <w:b/>
          <w:bCs/>
          <w:sz w:val="24"/>
          <w:szCs w:val="24"/>
          <w:lang w:val="es-ES" w:eastAsia="es-ES"/>
        </w:rPr>
        <w:t xml:space="preserve">Artículo </w:t>
      </w:r>
      <w:r w:rsidR="009C226E">
        <w:rPr>
          <w:rFonts w:ascii="Arial" w:eastAsia="Times New Roman" w:hAnsi="Arial" w:cs="Arial"/>
          <w:b/>
          <w:bCs/>
          <w:sz w:val="24"/>
          <w:szCs w:val="24"/>
          <w:lang w:val="es-ES" w:eastAsia="es-ES"/>
        </w:rPr>
        <w:t>59</w:t>
      </w:r>
      <w:r w:rsidRPr="00F7157A">
        <w:rPr>
          <w:rFonts w:ascii="Arial" w:eastAsia="Times New Roman" w:hAnsi="Arial" w:cs="Arial"/>
          <w:b/>
          <w:bCs/>
          <w:sz w:val="24"/>
          <w:szCs w:val="24"/>
          <w:lang w:val="es-ES" w:eastAsia="es-ES"/>
        </w:rPr>
        <w:t xml:space="preserve">. </w:t>
      </w:r>
      <w:r w:rsidRPr="00F7157A">
        <w:rPr>
          <w:rFonts w:ascii="Arial" w:eastAsia="Times New Roman" w:hAnsi="Arial" w:cs="Arial"/>
          <w:b/>
          <w:iCs/>
          <w:sz w:val="24"/>
          <w:szCs w:val="24"/>
          <w:lang w:val="es-ES" w:eastAsia="es-ES"/>
        </w:rPr>
        <w:t xml:space="preserve">Movimiento de fondos entre partidas para inversiones en centros sanitarios. </w:t>
      </w:r>
    </w:p>
    <w:p w14:paraId="700496C7" w14:textId="77777777" w:rsidR="009A7FCD" w:rsidRPr="00F7157A" w:rsidRDefault="009A7FCD" w:rsidP="009A7FCD">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General de Gestión Presupuestaria y Servicios Generales del Servicio Navarro de Salud-Osasunbidea podrá autorizar movimientos de fondos que se realicen entre partidas de inversiones destinadas a la construcción, obras de mantenimiento y equipamiento de centros sanitarios así como las que para este fin fuera necesario habilitar, aunque no exista la vinculación exigida y regulada en el artículo 38 de la Ley Foral 13/2007, de 4 de abril, de la Hacienda Pública de Navarra ubicadas en los programas 540 a 547 y con codificaciones eco</w:t>
      </w:r>
      <w:r w:rsidR="00182C13" w:rsidRPr="00F7157A">
        <w:rPr>
          <w:rFonts w:ascii="Arial" w:eastAsia="Times New Roman" w:hAnsi="Arial" w:cs="Arial"/>
          <w:sz w:val="24"/>
          <w:szCs w:val="24"/>
          <w:lang w:val="es-ES" w:eastAsia="es-ES"/>
        </w:rPr>
        <w:t xml:space="preserve">nómicas 6020, 6057, 6059 y 7609, para una mejor gestión del gasto y siempre que hayan sido fijadas las obligaciones en cada una de ellas para el ejercicio. </w:t>
      </w:r>
    </w:p>
    <w:p w14:paraId="7B194F85"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w:t>
      </w:r>
      <w:r w:rsidR="009C226E">
        <w:rPr>
          <w:rFonts w:ascii="Arial" w:eastAsia="Times New Roman" w:hAnsi="Arial" w:cs="Arial"/>
          <w:b/>
          <w:sz w:val="24"/>
          <w:szCs w:val="24"/>
          <w:lang w:val="es-ES" w:eastAsia="es-ES"/>
        </w:rPr>
        <w:t>0</w:t>
      </w:r>
      <w:r w:rsidRPr="00F7157A">
        <w:rPr>
          <w:rFonts w:ascii="Arial" w:eastAsia="Times New Roman" w:hAnsi="Arial" w:cs="Arial"/>
          <w:b/>
          <w:sz w:val="24"/>
          <w:szCs w:val="24"/>
          <w:lang w:val="es-ES" w:eastAsia="es-ES"/>
        </w:rPr>
        <w:t>. Transferencias para el funcionamiento de los centros sanitarios.</w:t>
      </w:r>
    </w:p>
    <w:p w14:paraId="150C8BA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distribución del importe que figura en la partida presupuestaria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Salud-Osasunbidea, no siéndole de aplicación la Ley Foral 11/2005, de 9 de noviembre, de Subvenciones.</w:t>
      </w:r>
    </w:p>
    <w:p w14:paraId="1D55E2D4"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 cualquier caso, estos módulos tendrán en cuenta la superficie y tipo de consultorio.</w:t>
      </w:r>
    </w:p>
    <w:p w14:paraId="02EBA71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El equipamiento de los consultorios locales se efectuará, en su caso, por el Servicio Navarro de Salud-Osasunbidea.</w:t>
      </w:r>
    </w:p>
    <w:p w14:paraId="257639E2"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w:t>
      </w:r>
      <w:r w:rsidR="009C226E">
        <w:rPr>
          <w:rFonts w:ascii="Arial" w:eastAsia="Times New Roman" w:hAnsi="Arial" w:cs="Arial"/>
          <w:b/>
          <w:sz w:val="24"/>
          <w:szCs w:val="24"/>
          <w:lang w:val="es-ES" w:eastAsia="es-ES"/>
        </w:rPr>
        <w:t>1</w:t>
      </w:r>
      <w:r w:rsidRPr="00F7157A">
        <w:rPr>
          <w:rFonts w:ascii="Arial" w:eastAsia="Times New Roman" w:hAnsi="Arial" w:cs="Arial"/>
          <w:b/>
          <w:sz w:val="24"/>
          <w:szCs w:val="24"/>
          <w:lang w:val="es-ES" w:eastAsia="es-ES"/>
        </w:rPr>
        <w:t>. Movimiento de fondos para la gestión de los créditos destinados a financiar el Programa de Desarrollo Rural de Navarra 2014-2022 y el Plan Estratégico de la PAC 2023-2027.</w:t>
      </w:r>
    </w:p>
    <w:p w14:paraId="439757B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Entre las partidas presupuestarias destinadas a financiar el Programa de Desarrollo Rural de Navarra 2014-2022 y el Plan Estratégico de la PAC 2023-2027 o aquellas que fuera necesario habilitar para su adecuada ejecución, aunque no exista la vinculación exigida y regulada en el artículo 38 de la Ley Foral 13/2007, de 4 de abril, de la Hacienda Pública de Navarra, podrán realizarse movimientos de fondos.</w:t>
      </w:r>
    </w:p>
    <w:p w14:paraId="200DC6D4"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4B916C56"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w:t>
      </w:r>
      <w:r w:rsidR="009C226E">
        <w:rPr>
          <w:rFonts w:ascii="Arial" w:eastAsia="Times New Roman" w:hAnsi="Arial" w:cs="Arial"/>
          <w:b/>
          <w:sz w:val="24"/>
          <w:szCs w:val="24"/>
          <w:lang w:val="es-ES" w:eastAsia="es-ES"/>
        </w:rPr>
        <w:t>2</w:t>
      </w:r>
      <w:r w:rsidRPr="00F7157A">
        <w:rPr>
          <w:rFonts w:ascii="Arial" w:eastAsia="Times New Roman" w:hAnsi="Arial" w:cs="Arial"/>
          <w:b/>
          <w:sz w:val="24"/>
          <w:szCs w:val="24"/>
          <w:lang w:val="es-ES" w:eastAsia="es-ES"/>
        </w:rPr>
        <w:t>. Ayudas autorizadas por la Comisión Europea conforme a las directrices de la Unión Europea aplicables a las ayudas estatales en los sectores agrícola y forestal.</w:t>
      </w:r>
    </w:p>
    <w:p w14:paraId="24F5F75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Los regímenes de ayudas autorizados por la Comisión Europea conforme a las directrices de la Unión Europea aplicables a las ayudas estatales en los sectores agrícola y forestal financiadas total o parcialmente con cargo a los Presupuestos Generales de Navarra, se regirán con carácter preferente por la normativa comunitaria aplicable en cada caso.</w:t>
      </w:r>
    </w:p>
    <w:p w14:paraId="0B1F4F47"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w:t>
      </w:r>
      <w:r w:rsidR="009C226E">
        <w:rPr>
          <w:rFonts w:ascii="Arial" w:eastAsia="Times New Roman" w:hAnsi="Arial" w:cs="Arial"/>
          <w:b/>
          <w:sz w:val="24"/>
          <w:szCs w:val="24"/>
          <w:lang w:val="es-ES" w:eastAsia="es-ES"/>
        </w:rPr>
        <w:t>3</w:t>
      </w:r>
      <w:r w:rsidRPr="00F7157A">
        <w:rPr>
          <w:rFonts w:ascii="Arial" w:eastAsia="Times New Roman" w:hAnsi="Arial" w:cs="Arial"/>
          <w:b/>
          <w:sz w:val="24"/>
          <w:szCs w:val="24"/>
          <w:lang w:val="es-ES" w:eastAsia="es-ES"/>
        </w:rPr>
        <w:t>. Movimiento de fondos para la gestión de créditos del Fondo de residuos.</w:t>
      </w:r>
    </w:p>
    <w:p w14:paraId="4B311BE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Podrán realizarse movimientos de fondos entre las partidas existentes y las que fuera necesario habilitar correspondientes al Fondo de residuos, aunque no exista la vinculación exigida y regulada en el artículo 38 de la Ley Foral 13/2007, de 4 de abril, de la Hacienda Pública de Navarra, para una mejor gestión del gasto.</w:t>
      </w:r>
    </w:p>
    <w:p w14:paraId="36074C5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La competencia para autorizar los movimientos de fondos entre las partidas mencionadas corresponderá a la persona titular del departamento donde se encuadren las partidas afectadas. En el caso que corresponda a diferentes </w:t>
      </w:r>
      <w:r w:rsidRPr="00F7157A">
        <w:rPr>
          <w:rFonts w:ascii="Arial" w:eastAsia="Times New Roman" w:hAnsi="Arial" w:cs="Arial"/>
          <w:sz w:val="24"/>
          <w:szCs w:val="24"/>
          <w:lang w:val="es-ES" w:eastAsia="es-ES"/>
        </w:rPr>
        <w:lastRenderedPageBreak/>
        <w:t>departamentos, la competencia será de la persona titular del Departamento de Economía y Hacienda, previa conformidad de los departamentos implicados.</w:t>
      </w:r>
    </w:p>
    <w:p w14:paraId="5108C25B"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w:t>
      </w:r>
      <w:r w:rsidR="009C226E">
        <w:rPr>
          <w:rFonts w:ascii="Arial" w:eastAsia="Times New Roman" w:hAnsi="Arial" w:cs="Arial"/>
          <w:b/>
          <w:sz w:val="24"/>
          <w:szCs w:val="24"/>
          <w:lang w:val="es-ES" w:eastAsia="es-ES"/>
        </w:rPr>
        <w:t>4</w:t>
      </w:r>
      <w:r w:rsidRPr="00F7157A">
        <w:rPr>
          <w:rFonts w:ascii="Arial" w:eastAsia="Times New Roman" w:hAnsi="Arial" w:cs="Arial"/>
          <w:b/>
          <w:sz w:val="24"/>
          <w:szCs w:val="24"/>
          <w:lang w:val="es-ES" w:eastAsia="es-ES"/>
        </w:rPr>
        <w:t>. Incorporaciones de créditos de gasto no ejecutados correspondientes al Fondo de residuos.</w:t>
      </w:r>
    </w:p>
    <w:p w14:paraId="5814F69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374527BF"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Además, cuando de las cantidades a incorporar queden excedentes sin utilizar podrán ser destinados a otros flujos y partidas presupuestarias diferentes a los de su origen de los siguientes ejercicios presupuestarios siempre dentro de los objetivos y destinos establecidos para el Fondo de residuos y en partidas correctamente identificadas.</w:t>
      </w:r>
    </w:p>
    <w:p w14:paraId="73128DE5"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w:t>
      </w:r>
      <w:r w:rsidR="009C226E">
        <w:rPr>
          <w:rFonts w:ascii="Arial" w:eastAsia="Times New Roman" w:hAnsi="Arial" w:cs="Arial"/>
          <w:b/>
          <w:sz w:val="24"/>
          <w:szCs w:val="24"/>
          <w:lang w:val="es-ES" w:eastAsia="es-ES"/>
        </w:rPr>
        <w:t>5</w:t>
      </w:r>
      <w:r w:rsidRPr="00F7157A">
        <w:rPr>
          <w:rFonts w:ascii="Arial" w:eastAsia="Times New Roman" w:hAnsi="Arial" w:cs="Arial"/>
          <w:b/>
          <w:sz w:val="24"/>
          <w:szCs w:val="24"/>
          <w:lang w:val="es-ES" w:eastAsia="es-ES"/>
        </w:rPr>
        <w:t>. Movimiento de fondos para la gestión de créditos del Fondo Climático de Navarra.</w:t>
      </w:r>
    </w:p>
    <w:p w14:paraId="29DA7D4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Podrán realizarse movimientos de fondos entre las partidas existentes y las que fuera necesario habilitar correspondientes al Fondo Climático de Navarra, aunque no exista la vinculación exigida y regulada en el artículo 38 de la Ley Foral 13/2007, de 4 de abril, de la Hacienda Pública de Navarra, para una mejor gestión del gasto.</w:t>
      </w:r>
    </w:p>
    <w:p w14:paraId="3E050CFF"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62D0644F" w14:textId="77777777" w:rsidR="00E3153F" w:rsidRPr="00F7157A" w:rsidRDefault="00734758"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6</w:t>
      </w:r>
      <w:r w:rsidR="009C226E">
        <w:rPr>
          <w:rFonts w:ascii="Arial" w:eastAsia="Times New Roman" w:hAnsi="Arial" w:cs="Arial"/>
          <w:b/>
          <w:sz w:val="24"/>
          <w:szCs w:val="24"/>
          <w:lang w:val="es-ES" w:eastAsia="es-ES"/>
        </w:rPr>
        <w:t>6</w:t>
      </w:r>
      <w:r w:rsidR="00E3153F" w:rsidRPr="00F7157A">
        <w:rPr>
          <w:rFonts w:ascii="Arial" w:eastAsia="Times New Roman" w:hAnsi="Arial" w:cs="Arial"/>
          <w:b/>
          <w:sz w:val="24"/>
          <w:szCs w:val="24"/>
          <w:lang w:val="es-ES" w:eastAsia="es-ES"/>
        </w:rPr>
        <w:t>. Incorporaciones de créditos de gasto no ejecutados correspondientes al Fondo Climático de Navarra.</w:t>
      </w:r>
    </w:p>
    <w:p w14:paraId="6FA50416"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gasto consignado en los Presupuestos Generales de Navarra correspondiente al Fondo Climático de Navarra creado por la Ley Foral 4/2022, de 22 de marzo, de cambio climático y transición energética, que no se ejecute en el ejercicio correspondiente, tendrá la consideración de Remanente de Tesorería afecto y podrá incorporarse a ejercicios presupuestarios siguientes.</w:t>
      </w:r>
    </w:p>
    <w:p w14:paraId="289AB495"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Artículo 6</w:t>
      </w:r>
      <w:r w:rsidR="009C226E">
        <w:rPr>
          <w:rFonts w:ascii="Arial" w:eastAsia="Times New Roman" w:hAnsi="Arial" w:cs="Arial"/>
          <w:b/>
          <w:sz w:val="24"/>
          <w:szCs w:val="24"/>
          <w:lang w:val="es-ES" w:eastAsia="es-ES"/>
        </w:rPr>
        <w:t>7</w:t>
      </w:r>
      <w:r w:rsidRPr="00F7157A">
        <w:rPr>
          <w:rFonts w:ascii="Arial" w:eastAsia="Times New Roman" w:hAnsi="Arial" w:cs="Arial"/>
          <w:b/>
          <w:sz w:val="24"/>
          <w:szCs w:val="24"/>
          <w:lang w:val="es-ES" w:eastAsia="es-ES"/>
        </w:rPr>
        <w:t>. Aportación de fondos a la Fundación CENER para proyectos e inversiones en I+D+i.</w:t>
      </w:r>
    </w:p>
    <w:p w14:paraId="520E83E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partida G20001-G2100-</w:t>
      </w:r>
      <w:r w:rsidR="003A7F2C" w:rsidRPr="00F7157A">
        <w:rPr>
          <w:rFonts w:ascii="Arial" w:eastAsia="Times New Roman" w:hAnsi="Arial" w:cs="Arial"/>
          <w:sz w:val="24"/>
          <w:szCs w:val="24"/>
          <w:lang w:val="es-ES" w:eastAsia="es-ES"/>
        </w:rPr>
        <w:t>7301</w:t>
      </w:r>
      <w:r w:rsidRPr="00F7157A">
        <w:rPr>
          <w:rFonts w:ascii="Arial" w:eastAsia="Times New Roman" w:hAnsi="Arial" w:cs="Arial"/>
          <w:sz w:val="24"/>
          <w:szCs w:val="24"/>
          <w:lang w:val="es-ES" w:eastAsia="es-ES"/>
        </w:rPr>
        <w:t>-467300, denominada "Aportación de fondos a la Fundación CENER para proyectos e inversiones en I+D+i", se aplicará a la amortización del saldo de los préstamos obtenidos por la Fundación Centro Nacional de Energías Renovables (CENER)</w:t>
      </w:r>
      <w:r w:rsidR="003A7F2C" w:rsidRPr="00F7157A">
        <w:rPr>
          <w:rFonts w:ascii="Arial" w:eastAsia="Times New Roman" w:hAnsi="Arial" w:cs="Arial"/>
          <w:sz w:val="24"/>
          <w:szCs w:val="24"/>
          <w:lang w:val="es-ES" w:eastAsia="es-ES"/>
        </w:rPr>
        <w:t xml:space="preserve"> y</w:t>
      </w:r>
      <w:r w:rsidRPr="00F7157A">
        <w:rPr>
          <w:rFonts w:ascii="Arial" w:eastAsia="Times New Roman" w:hAnsi="Arial" w:cs="Arial"/>
          <w:sz w:val="24"/>
          <w:szCs w:val="24"/>
          <w:lang w:val="es-ES" w:eastAsia="es-ES"/>
        </w:rPr>
        <w:t xml:space="preserve"> para la financiación de sus proyectos e inversiones objeto de su finalidad de investigación y desarrollo en el campo de las energías renovables.</w:t>
      </w:r>
    </w:p>
    <w:p w14:paraId="11E64115" w14:textId="08A262B1"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68</w:t>
      </w:r>
      <w:r w:rsidRPr="00F7157A">
        <w:rPr>
          <w:rFonts w:ascii="Arial" w:eastAsia="Times New Roman" w:hAnsi="Arial" w:cs="Arial"/>
          <w:b/>
          <w:sz w:val="24"/>
          <w:szCs w:val="24"/>
          <w:lang w:val="es-ES" w:eastAsia="es-ES"/>
        </w:rPr>
        <w:t>. Movimiento de fondos para la gestión de créditos del Fondo 0,7</w:t>
      </w:r>
      <w:r w:rsidR="00255252">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w:t>
      </w:r>
    </w:p>
    <w:p w14:paraId="495B7D26" w14:textId="4BE80BD6"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Podrán realizarse movimientos de fondos entre las partidas correspondientes al Fondo 0,7</w:t>
      </w:r>
      <w:r w:rsidR="00AF26B6">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 pudiendo crearse las necesarias para una mejor gestión del gasto.</w:t>
      </w:r>
    </w:p>
    <w:p w14:paraId="55DCEF5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14:paraId="17D618CC"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69</w:t>
      </w:r>
      <w:r w:rsidRPr="00F7157A">
        <w:rPr>
          <w:rFonts w:ascii="Arial" w:eastAsia="Times New Roman" w:hAnsi="Arial" w:cs="Arial"/>
          <w:b/>
          <w:sz w:val="24"/>
          <w:szCs w:val="24"/>
          <w:lang w:val="es-ES" w:eastAsia="es-ES"/>
        </w:rPr>
        <w:t>. Incorporaciones de crédito por gasto no ejecutado correspondiente a la Ley Foral 7/2009, de 5 de junio, por la que se regula la asignación tributaria del 0,7 por 100 que los contribuyentes de la Comunidad Foral destinan a otros fines de interés social.</w:t>
      </w:r>
    </w:p>
    <w:p w14:paraId="0B82153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1873AC6E"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70</w:t>
      </w:r>
      <w:r w:rsidRPr="00F7157A">
        <w:rPr>
          <w:rFonts w:ascii="Arial" w:eastAsia="Times New Roman" w:hAnsi="Arial" w:cs="Arial"/>
          <w:b/>
          <w:sz w:val="24"/>
          <w:szCs w:val="24"/>
          <w:lang w:val="es-ES" w:eastAsia="es-ES"/>
        </w:rPr>
        <w:t>. Centrales sindicales y organizaciones empresariales.</w:t>
      </w:r>
    </w:p>
    <w:p w14:paraId="28AAB13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gasto consignado en los Presupuestos Generales de Navarra a centrales sindicales y organizaciones empresariales se destinará a los siguientes conceptos:</w:t>
      </w:r>
    </w:p>
    <w:p w14:paraId="375D0F6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a) La partida 970000-97000-4819-494100, denominada "Subvención a la Asociación Unidad de Innovación Social para su funcionamiento", se destinará a </w:t>
      </w:r>
      <w:r w:rsidRPr="00F7157A">
        <w:rPr>
          <w:rFonts w:ascii="Arial" w:eastAsia="Times New Roman" w:hAnsi="Arial" w:cs="Arial"/>
          <w:sz w:val="24"/>
          <w:szCs w:val="24"/>
          <w:lang w:val="es-ES" w:eastAsia="es-ES"/>
        </w:rPr>
        <w:lastRenderedPageBreak/>
        <w:t>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0824B16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La partida 970000-97000-4819-494103,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02B6346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La partida 970000-97000-4819-494108 del presupuesto, denominada "Transferencias a centrales sindicales en proporción a su representatividad",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2021 y el 31 de diciembre de 2024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23051C8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La partida 970000-97000-4819-494111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14:paraId="16250B7E"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 La partida 970000-97000-4819-494113, denominada "Transferencia a organizaciones empresariales por su representatividad. CEN", se destinará a sufragar los gastos de infraestructura y funcionamiento de la Confederación Empresarial de Navarra, para que pueda cumplir sus fines fundamentales, recogidos en sus estatutos.</w:t>
      </w:r>
    </w:p>
    <w:p w14:paraId="2636A91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f) La partida 970000-97000-4819-494114, denominada "Promoción y mantenimiento de entidades de economía social. ANEL", se destinará a sufragar </w:t>
      </w:r>
      <w:r w:rsidRPr="00F7157A">
        <w:rPr>
          <w:rFonts w:ascii="Arial" w:eastAsia="Times New Roman" w:hAnsi="Arial" w:cs="Arial"/>
          <w:sz w:val="24"/>
          <w:szCs w:val="24"/>
          <w:lang w:val="es-ES" w:eastAsia="es-ES"/>
        </w:rPr>
        <w:lastRenderedPageBreak/>
        <w:t>los gastos de infraestructura y mantenimiento de la Asociación de Empresas de Economía Social de Navarra (ANEL) para que pueda cumplir con su finalidad de promoción, desarrollo, fomento y fortalecimiento de la economía social.</w:t>
      </w:r>
    </w:p>
    <w:p w14:paraId="1A0148F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g) La partida 970000-97000-4819-494121, denominada "Transferencia a la Asociación Centros Especiales de Empleo de Iniciativa Social",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3E5930B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h) La partida 970000-97000-4819-494122, denominada "Transferencia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7EAF393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i) La partida 970000-97000-4819-494123, denominada "Transferencia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2332F78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j) La partida 970000-97000-4819-494131, denominada "Subvención a la Confederación Empresarial de Navarra CEN para fomento y dinamización en materia igualdad en empresas", se destinará al impulso, asesoramiento y promoción de la igualdad de género en las empresas navarras.</w:t>
      </w:r>
    </w:p>
    <w:p w14:paraId="754EDC5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k) 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6D670D4E"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7</w:t>
      </w:r>
      <w:r w:rsidR="009C226E">
        <w:rPr>
          <w:rFonts w:ascii="Arial" w:eastAsia="Times New Roman" w:hAnsi="Arial" w:cs="Arial"/>
          <w:b/>
          <w:sz w:val="24"/>
          <w:szCs w:val="24"/>
          <w:lang w:val="es-ES" w:eastAsia="es-ES"/>
        </w:rPr>
        <w:t>1</w:t>
      </w:r>
      <w:r w:rsidRPr="00F7157A">
        <w:rPr>
          <w:rFonts w:ascii="Arial" w:eastAsia="Times New Roman" w:hAnsi="Arial" w:cs="Arial"/>
          <w:b/>
          <w:sz w:val="24"/>
          <w:szCs w:val="24"/>
          <w:lang w:val="es-ES" w:eastAsia="es-ES"/>
        </w:rPr>
        <w:t>. Movimiento de fondos para la gestión de créditos destinados a prestaciones de inclusión social.</w:t>
      </w:r>
    </w:p>
    <w:p w14:paraId="2576492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del Departamento de Derechos Sociales, Economía Social y Empleo podrá realizar movimientos de fondos entre la partida 901002-91100-4809-231500 denominada "Renta garantizada"</w:t>
      </w:r>
      <w:r w:rsidR="00BE4ECF" w:rsidRPr="00F7157A">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y la partida 901002-91100-4809-</w:t>
      </w:r>
      <w:r w:rsidRPr="00F7157A">
        <w:rPr>
          <w:rFonts w:ascii="Arial" w:eastAsia="Times New Roman" w:hAnsi="Arial" w:cs="Arial"/>
          <w:sz w:val="24"/>
          <w:szCs w:val="24"/>
          <w:lang w:val="es-ES" w:eastAsia="es-ES"/>
        </w:rPr>
        <w:lastRenderedPageBreak/>
        <w:t>231505 denominada "Ingreso mínimo vital" y las que fuera necesario habilitar, aunque no exista la vinculación exigida y regulada en el artículo 38 de la Ley Foral 13/2007, de 4 de abril, de la Hacienda Pública de Navarra, para una mejor gestión del gasto.</w:t>
      </w:r>
    </w:p>
    <w:p w14:paraId="45E1DCC0"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7</w:t>
      </w:r>
      <w:r w:rsidR="009C226E">
        <w:rPr>
          <w:rFonts w:ascii="Arial" w:eastAsia="Times New Roman" w:hAnsi="Arial" w:cs="Arial"/>
          <w:b/>
          <w:sz w:val="24"/>
          <w:szCs w:val="24"/>
          <w:lang w:val="es-ES" w:eastAsia="es-ES"/>
        </w:rPr>
        <w:t>2</w:t>
      </w:r>
      <w:r w:rsidRPr="00F7157A">
        <w:rPr>
          <w:rFonts w:ascii="Arial" w:eastAsia="Times New Roman" w:hAnsi="Arial" w:cs="Arial"/>
          <w:b/>
          <w:sz w:val="24"/>
          <w:szCs w:val="24"/>
          <w:lang w:val="es-ES" w:eastAsia="es-ES"/>
        </w:rPr>
        <w:t>. Movimiento de fondos para la gestión de créditos destinados a prestaciones garantizadas por la Cartera de Servicios Sociales en atención a la dependencia, discapacidad y enfermedad mental.</w:t>
      </w:r>
    </w:p>
    <w:p w14:paraId="04DE7B5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del Departamento de Derechos Sociales, Economía Social y Empleo podrá realizar movimientos de fondos entre las siguientes partidas y las que para tales fines fuera necesario habilitar:</w:t>
      </w:r>
    </w:p>
    <w:p w14:paraId="662E2D9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920005-93100-2600-231B04 denominada "Gestión de centros de mayores".</w:t>
      </w:r>
    </w:p>
    <w:p w14:paraId="1497DF2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920005-93100-2600-231B05 denominada "Gestión de centros de personas con discapacidad".</w:t>
      </w:r>
    </w:p>
    <w:p w14:paraId="2158F18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920005-93100-2600-231B06 denominada "Gestión de centros de enfermedad mental".</w:t>
      </w:r>
    </w:p>
    <w:p w14:paraId="6C3776E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920004-93200-4809-231B00 denominada "Ayudas vinculadas a servicio".</w:t>
      </w:r>
    </w:p>
    <w:p w14:paraId="26D95D1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 920004-93200-4809-231B02 denominada "Ayudas para la atención de servicios personales".</w:t>
      </w:r>
    </w:p>
    <w:p w14:paraId="7BD5788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highlight w:val="cyan"/>
          <w:lang w:val="es-ES" w:eastAsia="es-ES"/>
        </w:rPr>
      </w:pPr>
      <w:r w:rsidRPr="00F7157A">
        <w:rPr>
          <w:rFonts w:ascii="Arial" w:eastAsia="Times New Roman" w:hAnsi="Arial" w:cs="Arial"/>
          <w:b/>
          <w:sz w:val="24"/>
          <w:szCs w:val="24"/>
          <w:lang w:val="es-ES" w:eastAsia="es-ES"/>
        </w:rPr>
        <w:t>Artículo 7</w:t>
      </w:r>
      <w:r w:rsidR="009C226E">
        <w:rPr>
          <w:rFonts w:ascii="Arial" w:eastAsia="Times New Roman" w:hAnsi="Arial" w:cs="Arial"/>
          <w:b/>
          <w:sz w:val="24"/>
          <w:szCs w:val="24"/>
          <w:lang w:val="es-ES" w:eastAsia="es-ES"/>
        </w:rPr>
        <w:t>3</w:t>
      </w:r>
      <w:r w:rsidRPr="00F7157A">
        <w:rPr>
          <w:rFonts w:ascii="Arial" w:eastAsia="Times New Roman" w:hAnsi="Arial" w:cs="Arial"/>
          <w:b/>
          <w:sz w:val="24"/>
          <w:szCs w:val="24"/>
          <w:lang w:val="es-ES" w:eastAsia="es-ES"/>
        </w:rPr>
        <w:t>. Movimiento de fondos para la gestión de créditos destinados a prestaciones garantizadas por la Cartera de Servicios Sociales en atención a la infancia y a la adolescencia.</w:t>
      </w:r>
    </w:p>
    <w:p w14:paraId="477E855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del Departamento de Derechos Sociales, Economía Social y Empleo podrá realizar movimientos de fondos entre las partidas del proyecto 920008 declaradas ampliable</w:t>
      </w:r>
      <w:r w:rsidR="00A806A7">
        <w:rPr>
          <w:rFonts w:ascii="Arial" w:eastAsia="Times New Roman" w:hAnsi="Arial" w:cs="Arial"/>
          <w:sz w:val="24"/>
          <w:szCs w:val="24"/>
          <w:lang w:val="es-ES" w:eastAsia="es-ES"/>
        </w:rPr>
        <w:t>s en el artículo 5, apartado 4.6</w:t>
      </w:r>
      <w:r w:rsidRPr="00F7157A">
        <w:rPr>
          <w:rFonts w:ascii="Arial" w:eastAsia="Times New Roman" w:hAnsi="Arial" w:cs="Arial"/>
          <w:sz w:val="24"/>
          <w:szCs w:val="24"/>
          <w:lang w:val="es-ES" w:eastAsia="es-ES"/>
        </w:rPr>
        <w:t>, de esta ley foral y las que fuera necesario habilitar, aunque no exista la vinculación exigida y regulada en el artículo 38 de la Ley Foral 13/2007, de 4 de abril, de la Hacienda Pública de Navarra.</w:t>
      </w:r>
    </w:p>
    <w:p w14:paraId="5BCE9626"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7</w:t>
      </w:r>
      <w:r w:rsidR="009C226E">
        <w:rPr>
          <w:rFonts w:ascii="Arial" w:eastAsia="Times New Roman" w:hAnsi="Arial" w:cs="Arial"/>
          <w:b/>
          <w:sz w:val="24"/>
          <w:szCs w:val="24"/>
          <w:lang w:val="es-ES" w:eastAsia="es-ES"/>
        </w:rPr>
        <w:t>4</w:t>
      </w:r>
      <w:r w:rsidRPr="00F7157A">
        <w:rPr>
          <w:rFonts w:ascii="Arial" w:eastAsia="Times New Roman" w:hAnsi="Arial" w:cs="Arial"/>
          <w:b/>
          <w:sz w:val="24"/>
          <w:szCs w:val="24"/>
          <w:lang w:val="es-ES" w:eastAsia="es-ES"/>
        </w:rPr>
        <w:t>. Movimiento de fondos entre las partidas de subvenciones a Parquenasa-Sendaviva.</w:t>
      </w:r>
    </w:p>
    <w:p w14:paraId="1F63227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persona titular de la Dirección General de Turismo podrá autorizar movimientos de fondos que se realicen entre las partidas A30004-A3400-4709-</w:t>
      </w:r>
      <w:r w:rsidRPr="00F7157A">
        <w:rPr>
          <w:rFonts w:ascii="Arial" w:eastAsia="Times New Roman" w:hAnsi="Arial" w:cs="Arial"/>
          <w:sz w:val="24"/>
          <w:szCs w:val="24"/>
          <w:lang w:val="es-ES" w:eastAsia="es-ES"/>
        </w:rPr>
        <w:lastRenderedPageBreak/>
        <w:t>458300, denominada "Subvención a Parquenasa-Sendaviva" y A30004-A3400-7709-458300, denominada "Subvención a Parquenasa-Sendaviva. Inversiones".</w:t>
      </w:r>
    </w:p>
    <w:p w14:paraId="392D45CF"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7</w:t>
      </w:r>
      <w:r w:rsidR="009C226E">
        <w:rPr>
          <w:rFonts w:ascii="Arial" w:eastAsia="Times New Roman" w:hAnsi="Arial" w:cs="Arial"/>
          <w:b/>
          <w:sz w:val="24"/>
          <w:szCs w:val="24"/>
          <w:lang w:val="es-ES" w:eastAsia="es-ES"/>
        </w:rPr>
        <w:t>5</w:t>
      </w:r>
      <w:r w:rsidRPr="00F7157A">
        <w:rPr>
          <w:rFonts w:ascii="Arial" w:eastAsia="Times New Roman" w:hAnsi="Arial" w:cs="Arial"/>
          <w:b/>
          <w:sz w:val="24"/>
          <w:szCs w:val="24"/>
          <w:lang w:val="es-ES" w:eastAsia="es-ES"/>
        </w:rPr>
        <w:t>. Movimiento de fondos para la gestión de créditos correspondientes al Mecanismo de Recuperación y Resiliencia.</w:t>
      </w:r>
    </w:p>
    <w:p w14:paraId="18DBDA3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Podrán realizarse movimientos de fondos entre las partidas existentes o que fuera necesario crear durante el ejercicio, aunque no exista la vinculación exigida y regulada en el artículo 38 de la Ley Foral 13/2007, de 4 de abril, de la Hacienda Pública de Navarra, correspondientes a cada Subproyecto del Plan de Recuperación, Transformación y Resiliencia, aprobado por el órgano competente de la Administración del Estado.</w:t>
      </w:r>
    </w:p>
    <w:p w14:paraId="455006F0"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2A27088B"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7</w:t>
      </w:r>
      <w:r w:rsidR="009C226E">
        <w:rPr>
          <w:rFonts w:ascii="Arial" w:eastAsia="Times New Roman" w:hAnsi="Arial" w:cs="Arial"/>
          <w:b/>
          <w:sz w:val="24"/>
          <w:szCs w:val="24"/>
          <w:lang w:val="es-ES" w:eastAsia="es-ES"/>
        </w:rPr>
        <w:t>6</w:t>
      </w:r>
      <w:r w:rsidRPr="00F7157A">
        <w:rPr>
          <w:rFonts w:ascii="Arial" w:eastAsia="Times New Roman" w:hAnsi="Arial" w:cs="Arial"/>
          <w:b/>
          <w:sz w:val="24"/>
          <w:szCs w:val="24"/>
          <w:lang w:val="es-ES" w:eastAsia="es-ES"/>
        </w:rPr>
        <w:t>. Modificaciones de crédito correspondientes al Mecanismo de Recuperación y Resiliencia.</w:t>
      </w:r>
    </w:p>
    <w:p w14:paraId="367F90C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56E27C7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Se exceptúa de las limitaciones del artículo 17.2.a) de la Ley Foral 11/2005, de 9 de noviembre, de Subvenciones, las modificaciones presupuestarias relativas a las partidas correspondientes a subvenciones del Mecanismo de Recuperación y Resiliencia.</w:t>
      </w:r>
    </w:p>
    <w:p w14:paraId="49CE787D"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7</w:t>
      </w:r>
      <w:r w:rsidR="009C226E">
        <w:rPr>
          <w:rFonts w:ascii="Arial" w:eastAsia="Times New Roman" w:hAnsi="Arial" w:cs="Arial"/>
          <w:b/>
          <w:sz w:val="24"/>
          <w:szCs w:val="24"/>
          <w:lang w:val="es-ES" w:eastAsia="es-ES"/>
        </w:rPr>
        <w:t>7</w:t>
      </w:r>
      <w:r w:rsidR="007B75AD">
        <w:rPr>
          <w:rFonts w:ascii="Arial" w:eastAsia="Times New Roman" w:hAnsi="Arial" w:cs="Arial"/>
          <w:b/>
          <w:sz w:val="24"/>
          <w:szCs w:val="24"/>
          <w:lang w:val="es-ES" w:eastAsia="es-ES"/>
        </w:rPr>
        <w:t>.</w:t>
      </w:r>
      <w:r w:rsidRPr="00F7157A">
        <w:rPr>
          <w:rFonts w:ascii="Arial" w:eastAsia="Times New Roman" w:hAnsi="Arial" w:cs="Arial"/>
          <w:b/>
          <w:sz w:val="24"/>
          <w:szCs w:val="24"/>
          <w:lang w:val="es-ES" w:eastAsia="es-ES"/>
        </w:rPr>
        <w:t xml:space="preserve"> Anticipos de pago de subvenciones financiadas con fondos del componente 14 del Plan de Recuperación, Transformación y Resiliencia.</w:t>
      </w:r>
    </w:p>
    <w:p w14:paraId="10F12C47"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No será necesaria la prestación de garantías prevista en el artículo 33.2 de la Ley Foral 11/2005, de 9 de noviembre, de Subvenciones, para la realización de anticipos de pago de las subvenciones concedidas con fondos del componente 14 "Plan de modernización y competitividad turística", inversión 1 "Transformación del modelo turístico hacia la sostenibilidad", submedida 2 "Programa de Planes de Sostenibilidad Turística en Destino" del Plan de </w:t>
      </w:r>
      <w:r w:rsidRPr="00F7157A">
        <w:rPr>
          <w:rFonts w:ascii="Arial" w:eastAsia="Times New Roman" w:hAnsi="Arial" w:cs="Arial"/>
          <w:sz w:val="24"/>
          <w:szCs w:val="24"/>
          <w:lang w:val="es-ES" w:eastAsia="es-ES"/>
        </w:rPr>
        <w:lastRenderedPageBreak/>
        <w:t>Recuperación, Transformación y Resiliencia financiado por la Unión Europea-Next Generation EU.</w:t>
      </w:r>
    </w:p>
    <w:p w14:paraId="0F3C639B"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7</w:t>
      </w:r>
      <w:r w:rsidR="00734758" w:rsidRPr="00F7157A">
        <w:rPr>
          <w:rFonts w:ascii="Arial" w:eastAsia="Times New Roman" w:hAnsi="Arial" w:cs="Arial"/>
          <w:b/>
          <w:sz w:val="24"/>
          <w:szCs w:val="24"/>
          <w:lang w:val="es-ES" w:eastAsia="es-ES"/>
        </w:rPr>
        <w:t>8</w:t>
      </w:r>
      <w:r w:rsidRPr="00F7157A">
        <w:rPr>
          <w:rFonts w:ascii="Arial" w:eastAsia="Times New Roman" w:hAnsi="Arial" w:cs="Arial"/>
          <w:b/>
          <w:sz w:val="24"/>
          <w:szCs w:val="24"/>
          <w:lang w:val="es-ES" w:eastAsia="es-ES"/>
        </w:rPr>
        <w:t>. Convocatorias de subvenciones del componente 2 del Plan de Recuperación, Transformación y Resiliencia.</w:t>
      </w:r>
    </w:p>
    <w:p w14:paraId="1AC5F38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Por resolución administrativa se podrán aprobar cuantías adicionales de crédito en las convocatorias de subvenciones aprobadas en desarrollo de los programas de ayuda en materia de rehabilitación residencial del Plan de Recuperación, Transformación y Resiliencia previstos en el Real Decreto 853/2021, de 5 de octubre, aun cuando el plazo de presentación de solicitudes hubiera finalizado, por el importe de los nuevos fondos recibidos para financiar dichos programas. De la misma manera podrá aprobarse la redistribución de fondos disponibles entre los distintos programas según lo previsto en el citado Real Decreto. La aprobación del incremento de gasto adicional no implicará la apertura de un nuevo plazo de presentación de solicitudes.</w:t>
      </w:r>
    </w:p>
    <w:p w14:paraId="371D0B37"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Artículo </w:t>
      </w:r>
      <w:r w:rsidR="009C226E">
        <w:rPr>
          <w:rFonts w:ascii="Arial" w:eastAsia="Times New Roman" w:hAnsi="Arial" w:cs="Arial"/>
          <w:b/>
          <w:sz w:val="24"/>
          <w:szCs w:val="24"/>
          <w:lang w:val="es-ES" w:eastAsia="es-ES"/>
        </w:rPr>
        <w:t>79</w:t>
      </w:r>
      <w:r w:rsidRPr="00F7157A">
        <w:rPr>
          <w:rFonts w:ascii="Arial" w:eastAsia="Times New Roman" w:hAnsi="Arial" w:cs="Arial"/>
          <w:b/>
          <w:sz w:val="24"/>
          <w:szCs w:val="24"/>
          <w:lang w:val="es-ES" w:eastAsia="es-ES"/>
        </w:rPr>
        <w:t>. Distribución de la cuantía destinada a subvencionar inversiones identificadas en la Propuesta de Plan Estratégico de inversiones para el desarrollo territorial sostenible de los municipios y concejos afectados por el embalse de Itoiz, aprobada por la "Comisión Itoiz".</w:t>
      </w:r>
    </w:p>
    <w:p w14:paraId="70441026"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partida 210002-21400-7609-922105 denominada "Proyectos Desarrollo Territorial Sostenible en Itoiz convenio Ayuntamientos de Lónguida, Arce, Aoiz y Oroz-Betelu", se destinará a los municipios y concejos afectados por el embalse de Itoiz y se articulará mediante convenios con los Ayuntamientos de acuerdo con la siguiente distribución:</w:t>
      </w:r>
    </w:p>
    <w:p w14:paraId="7E2C7378" w14:textId="4F5E9755"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w:t>
      </w:r>
      <w:r w:rsidR="00707879">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Ayuntamiento de Aoiz / Agoitz: 47</w:t>
      </w:r>
      <w:r w:rsidR="00707879">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w:t>
      </w:r>
    </w:p>
    <w:p w14:paraId="0A56B191" w14:textId="7AE064FA"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–Ayuntamiento y Concejos de Arce / Artzi: 24</w:t>
      </w:r>
      <w:r w:rsidR="00707879">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w:t>
      </w:r>
    </w:p>
    <w:p w14:paraId="3AE6BB9A" w14:textId="0D8EC781"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–Ayuntamiento y Concejos de Lónguida: 24</w:t>
      </w:r>
      <w:r w:rsidR="00707879">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w:t>
      </w:r>
    </w:p>
    <w:p w14:paraId="40B7D810" w14:textId="39885CEE"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–Ayuntamiento de Oroz-Betelu: 5</w:t>
      </w:r>
      <w:r w:rsidR="00707879">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w:t>
      </w:r>
    </w:p>
    <w:p w14:paraId="67E8C4D6" w14:textId="77777777" w:rsidR="00E3153F"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Para las inversiones de su competencia, los concejos podrán realizar encomiendas de gestión a sus Ayuntamientos.</w:t>
      </w:r>
    </w:p>
    <w:p w14:paraId="67D43C94" w14:textId="77777777" w:rsidR="00C266E5" w:rsidRPr="00F7157A" w:rsidRDefault="00C266E5" w:rsidP="00E3153F">
      <w:pPr>
        <w:shd w:val="clear" w:color="auto" w:fill="FFFFFF"/>
        <w:spacing w:after="300" w:line="340" w:lineRule="exact"/>
        <w:jc w:val="both"/>
        <w:rPr>
          <w:rFonts w:ascii="Arial" w:eastAsia="Times New Roman" w:hAnsi="Arial" w:cs="Arial"/>
          <w:sz w:val="24"/>
          <w:szCs w:val="24"/>
          <w:lang w:val="es-ES" w:eastAsia="es-ES"/>
        </w:rPr>
      </w:pPr>
    </w:p>
    <w:p w14:paraId="5424D6C0"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Artículo 8</w:t>
      </w:r>
      <w:r w:rsidR="009C226E">
        <w:rPr>
          <w:rFonts w:ascii="Arial" w:eastAsia="Times New Roman" w:hAnsi="Arial" w:cs="Arial"/>
          <w:b/>
          <w:sz w:val="24"/>
          <w:szCs w:val="24"/>
          <w:lang w:val="es-ES" w:eastAsia="es-ES"/>
        </w:rPr>
        <w:t>0</w:t>
      </w:r>
      <w:r w:rsidRPr="00F7157A">
        <w:rPr>
          <w:rFonts w:ascii="Arial" w:eastAsia="Times New Roman" w:hAnsi="Arial" w:cs="Arial"/>
          <w:b/>
          <w:sz w:val="24"/>
          <w:szCs w:val="24"/>
          <w:lang w:val="es-ES" w:eastAsia="es-ES"/>
        </w:rPr>
        <w:t>. Programa de Inversiones 2025.</w:t>
      </w:r>
    </w:p>
    <w:p w14:paraId="244F6D8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1. El remanente de tesorería de gastos generales obtenido en los ejercicios anteriores se destinará por un importe de </w:t>
      </w:r>
      <w:r w:rsidR="007D3B0F" w:rsidRPr="00F7157A">
        <w:rPr>
          <w:rFonts w:ascii="Arial" w:eastAsia="Times New Roman" w:hAnsi="Arial" w:cs="Arial"/>
          <w:sz w:val="24"/>
          <w:szCs w:val="24"/>
          <w:lang w:val="es-ES" w:eastAsia="es-ES"/>
        </w:rPr>
        <w:t xml:space="preserve">43.766.500 </w:t>
      </w:r>
      <w:r w:rsidRPr="00F7157A">
        <w:rPr>
          <w:rFonts w:ascii="Arial" w:eastAsia="Times New Roman" w:hAnsi="Arial" w:cs="Arial"/>
          <w:sz w:val="24"/>
          <w:szCs w:val="24"/>
          <w:lang w:val="es-ES" w:eastAsia="es-ES"/>
        </w:rPr>
        <w:t>euros a la financiación de las inversiones recogidas en el Anexo III, en las condiciones que se establecen en el presente artículo.</w:t>
      </w:r>
    </w:p>
    <w:p w14:paraId="162A7FF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2. La iniciación del correspondiente expediente de gasto y el reconocimiento de la totalidad de las obligaciones económicas derivadas de la inversión ejecutada se deberá realizar antes de la finalización del ejercicio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w:t>
      </w:r>
    </w:p>
    <w:p w14:paraId="777C9E24"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No obstante, en los proyectos de inversión cuyo plazo de ejecución supere el ejercicio presupuestario y cuyo gasto previsto no pueda ejecutarse íntegramente durante el ejercicio </w:t>
      </w:r>
      <w:r w:rsidR="004B731B" w:rsidRPr="00F7157A">
        <w:rPr>
          <w:rFonts w:ascii="Arial" w:eastAsia="Times New Roman" w:hAnsi="Arial" w:cs="Arial"/>
          <w:sz w:val="24"/>
          <w:szCs w:val="24"/>
          <w:lang w:val="es-ES" w:eastAsia="es-ES"/>
        </w:rPr>
        <w:t>2026</w:t>
      </w:r>
      <w:r w:rsidRPr="00F7157A">
        <w:rPr>
          <w:rFonts w:ascii="Arial" w:eastAsia="Times New Roman" w:hAnsi="Arial" w:cs="Arial"/>
          <w:sz w:val="24"/>
          <w:szCs w:val="24"/>
          <w:lang w:val="es-ES" w:eastAsia="es-ES"/>
        </w:rPr>
        <w:t>, la parte restante del gasto autorizado se podrá comprometer y reconocer en los ejercicios siguientes, financiándose con cargo al remanente de tesorería, el cual quedará afectado a ese fin por ese importe restante.</w:t>
      </w:r>
    </w:p>
    <w:p w14:paraId="02CBC2BE" w14:textId="77777777" w:rsidR="003778FD" w:rsidRPr="00F7157A" w:rsidRDefault="003778FD"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Asimismo, el gasto autorizado con cargo a los Presupuesto Generales de Navarra de 2025, que no haya podido ejecutarse antes del 31 de diciembre de 2025</w:t>
      </w:r>
      <w:r w:rsidR="008B3533" w:rsidRPr="00F7157A">
        <w:rPr>
          <w:rFonts w:ascii="Arial" w:eastAsia="Times New Roman" w:hAnsi="Arial" w:cs="Arial"/>
          <w:sz w:val="24"/>
          <w:szCs w:val="24"/>
          <w:lang w:val="es-ES" w:eastAsia="es-ES"/>
        </w:rPr>
        <w:t>,</w:t>
      </w:r>
      <w:r w:rsidRPr="00F7157A">
        <w:rPr>
          <w:rFonts w:ascii="Arial" w:eastAsia="Times New Roman" w:hAnsi="Arial" w:cs="Arial"/>
          <w:sz w:val="24"/>
          <w:szCs w:val="24"/>
          <w:lang w:val="es-ES" w:eastAsia="es-ES"/>
        </w:rPr>
        <w:t xml:space="preserve"> se podrá comprometer y reconocer en el año 2026, financiándose con cargo al remanente de tesorería, el cual quedará afectado a ese fin por el importe autorizado y pendiente de comprometer.</w:t>
      </w:r>
    </w:p>
    <w:p w14:paraId="5DFAA9A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Las modificaciones presupuestarias precisas para dotar a las partidas presupuestarias indicadas en el Anexo III o aquellas que fuera preciso habilitar, aunque no exista la vinculación exigida y regulada en el artículo 38 de la Ley Foral 13/2007, de 4 de abril, de la Hacienda Pública de Navarra, se ajustarán a lo dispuesto al respecto en la Ley Foral 13/2007, de 4 de abril, de la Hacienda Pública de Navarra y en esta Ley Foral.</w:t>
      </w:r>
    </w:p>
    <w:p w14:paraId="744B08B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 exceptúa</w:t>
      </w:r>
      <w:r w:rsidR="00311620" w:rsidRPr="00F7157A">
        <w:rPr>
          <w:rFonts w:ascii="Arial" w:eastAsia="Times New Roman" w:hAnsi="Arial" w:cs="Arial"/>
          <w:sz w:val="24"/>
          <w:szCs w:val="24"/>
          <w:lang w:val="es-ES" w:eastAsia="es-ES"/>
        </w:rPr>
        <w:t>n</w:t>
      </w:r>
      <w:r w:rsidRPr="00F7157A">
        <w:rPr>
          <w:rFonts w:ascii="Arial" w:eastAsia="Times New Roman" w:hAnsi="Arial" w:cs="Arial"/>
          <w:sz w:val="24"/>
          <w:szCs w:val="24"/>
          <w:lang w:val="es-ES" w:eastAsia="es-ES"/>
        </w:rPr>
        <w:t xml:space="preserve"> de las limitaciones del artículo 17.2.a) de la Ley Foral 11/2005, de 9 de noviembre, de Subvenciones, las modificaciones presupuestarias relativas a las partidas correspondientes a subvenciones.</w:t>
      </w:r>
    </w:p>
    <w:p w14:paraId="7D9B3DC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4. Al amparo de lo dispuesto en la disposición final tercera de la Ley Orgánica 2/2012, de 27 de abril, de Estabilidad Presupuestaria y Sostenibilidad Financiera y en el artículo 67.2.l) de la Ley 28/1990, de 26 de diciembre, que aprueba el Convenio Económico entre el Estado y la Comunidad Foral de Navarra, la regulación y la interpretación de las cuestiones que pudieran suscitarse al amparo de las determinaciones contenidas en esta disposición se efectuarán en el seno de la Comisión Coordinadora del Convenio Económico.</w:t>
      </w:r>
    </w:p>
    <w:p w14:paraId="479E1D10" w14:textId="77777777" w:rsidR="003778FD" w:rsidRPr="00F7157A" w:rsidRDefault="003778FD" w:rsidP="003778FD">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 xml:space="preserve">Artículo </w:t>
      </w:r>
      <w:r w:rsidR="009C226E">
        <w:rPr>
          <w:rFonts w:ascii="Arial" w:eastAsia="Times New Roman" w:hAnsi="Arial" w:cs="Arial"/>
          <w:b/>
          <w:sz w:val="24"/>
          <w:szCs w:val="24"/>
          <w:lang w:val="es-ES" w:eastAsia="es-ES"/>
        </w:rPr>
        <w:t>81</w:t>
      </w:r>
      <w:r w:rsidRPr="00F7157A">
        <w:rPr>
          <w:rFonts w:ascii="Arial" w:eastAsia="Times New Roman" w:hAnsi="Arial" w:cs="Arial"/>
          <w:b/>
          <w:sz w:val="24"/>
          <w:szCs w:val="24"/>
          <w:lang w:val="es-ES" w:eastAsia="es-ES"/>
        </w:rPr>
        <w:t xml:space="preserve">. Ampliación </w:t>
      </w:r>
      <w:r w:rsidR="00CF7E24" w:rsidRPr="00F7157A">
        <w:rPr>
          <w:rFonts w:ascii="Arial" w:eastAsia="Times New Roman" w:hAnsi="Arial" w:cs="Arial"/>
          <w:b/>
          <w:sz w:val="24"/>
          <w:szCs w:val="24"/>
          <w:lang w:val="es-ES" w:eastAsia="es-ES"/>
        </w:rPr>
        <w:t xml:space="preserve">de </w:t>
      </w:r>
      <w:r w:rsidRPr="00F7157A">
        <w:rPr>
          <w:rFonts w:ascii="Arial" w:eastAsia="Times New Roman" w:hAnsi="Arial" w:cs="Arial"/>
          <w:b/>
          <w:sz w:val="24"/>
          <w:szCs w:val="24"/>
          <w:lang w:val="es-ES" w:eastAsia="es-ES"/>
        </w:rPr>
        <w:t xml:space="preserve">capital </w:t>
      </w:r>
      <w:r w:rsidR="002149DF" w:rsidRPr="00F7157A">
        <w:rPr>
          <w:rFonts w:ascii="Arial" w:eastAsia="Times New Roman" w:hAnsi="Arial" w:cs="Arial"/>
          <w:b/>
          <w:sz w:val="24"/>
          <w:szCs w:val="24"/>
          <w:lang w:val="es-ES" w:eastAsia="es-ES"/>
        </w:rPr>
        <w:t>de la sociedad Corporación Pública Em</w:t>
      </w:r>
      <w:r w:rsidR="000C320C" w:rsidRPr="00F7157A">
        <w:rPr>
          <w:rFonts w:ascii="Arial" w:eastAsia="Times New Roman" w:hAnsi="Arial" w:cs="Arial"/>
          <w:b/>
          <w:sz w:val="24"/>
          <w:szCs w:val="24"/>
          <w:lang w:val="es-ES" w:eastAsia="es-ES"/>
        </w:rPr>
        <w:t>presarial de Navarra, S. L. U.</w:t>
      </w:r>
      <w:r w:rsidR="002149DF" w:rsidRPr="00F7157A">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 xml:space="preserve">con </w:t>
      </w:r>
      <w:r w:rsidR="002149DF" w:rsidRPr="00F7157A">
        <w:rPr>
          <w:rFonts w:ascii="Arial" w:eastAsia="Times New Roman" w:hAnsi="Arial" w:cs="Arial"/>
          <w:b/>
          <w:sz w:val="24"/>
          <w:szCs w:val="24"/>
          <w:lang w:val="es-ES" w:eastAsia="es-ES"/>
        </w:rPr>
        <w:t>destino al sector industrial y la vivienda</w:t>
      </w:r>
      <w:r w:rsidRPr="00F7157A">
        <w:rPr>
          <w:rFonts w:ascii="Arial" w:eastAsia="Times New Roman" w:hAnsi="Arial" w:cs="Arial"/>
          <w:b/>
          <w:sz w:val="24"/>
          <w:szCs w:val="24"/>
          <w:lang w:val="es-ES" w:eastAsia="es-ES"/>
        </w:rPr>
        <w:t>.</w:t>
      </w:r>
    </w:p>
    <w:p w14:paraId="17CDCEF3" w14:textId="77777777" w:rsidR="002149DF" w:rsidRPr="00F7157A" w:rsidRDefault="00094F29"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gasto consignado en los Presupuestos Generales de Navarra</w:t>
      </w:r>
      <w:r w:rsidR="00CF7E24" w:rsidRPr="00F7157A">
        <w:rPr>
          <w:rFonts w:ascii="Arial" w:eastAsia="Times New Roman" w:hAnsi="Arial" w:cs="Arial"/>
          <w:sz w:val="24"/>
          <w:szCs w:val="24"/>
          <w:lang w:val="es-ES" w:eastAsia="es-ES"/>
        </w:rPr>
        <w:t xml:space="preserve"> en</w:t>
      </w:r>
      <w:r w:rsidRPr="00F7157A">
        <w:rPr>
          <w:rFonts w:ascii="Arial" w:eastAsia="Times New Roman" w:hAnsi="Arial" w:cs="Arial"/>
          <w:sz w:val="24"/>
          <w:szCs w:val="24"/>
          <w:lang w:val="es-ES" w:eastAsia="es-ES"/>
        </w:rPr>
        <w:t xml:space="preserve"> l</w:t>
      </w:r>
      <w:r w:rsidR="00826902" w:rsidRPr="00F7157A">
        <w:rPr>
          <w:rFonts w:ascii="Arial" w:eastAsia="Times New Roman" w:hAnsi="Arial" w:cs="Arial"/>
          <w:sz w:val="24"/>
          <w:szCs w:val="24"/>
          <w:lang w:val="es-ES" w:eastAsia="es-ES"/>
        </w:rPr>
        <w:t>a partida 111002</w:t>
      </w:r>
      <w:r w:rsidR="002149DF" w:rsidRPr="00F7157A">
        <w:rPr>
          <w:rFonts w:ascii="Arial" w:eastAsia="Times New Roman" w:hAnsi="Arial" w:cs="Arial"/>
          <w:sz w:val="24"/>
          <w:szCs w:val="24"/>
          <w:lang w:val="es-ES" w:eastAsia="es-ES"/>
        </w:rPr>
        <w:t>-</w:t>
      </w:r>
      <w:r w:rsidR="00826902" w:rsidRPr="00F7157A">
        <w:rPr>
          <w:rFonts w:ascii="Arial" w:eastAsia="Times New Roman" w:hAnsi="Arial" w:cs="Arial"/>
          <w:sz w:val="24"/>
          <w:szCs w:val="24"/>
          <w:lang w:val="es-ES" w:eastAsia="es-ES"/>
        </w:rPr>
        <w:t>11300</w:t>
      </w:r>
      <w:r w:rsidR="002149DF" w:rsidRPr="00F7157A">
        <w:rPr>
          <w:rFonts w:ascii="Arial" w:eastAsia="Times New Roman" w:hAnsi="Arial" w:cs="Arial"/>
          <w:sz w:val="24"/>
          <w:szCs w:val="24"/>
          <w:lang w:val="es-ES" w:eastAsia="es-ES"/>
        </w:rPr>
        <w:t>-</w:t>
      </w:r>
      <w:r w:rsidR="00826902" w:rsidRPr="00F7157A">
        <w:rPr>
          <w:rFonts w:ascii="Arial" w:eastAsia="Times New Roman" w:hAnsi="Arial" w:cs="Arial"/>
          <w:sz w:val="24"/>
          <w:szCs w:val="24"/>
          <w:lang w:val="es-ES" w:eastAsia="es-ES"/>
        </w:rPr>
        <w:t>8500</w:t>
      </w:r>
      <w:r w:rsidR="002149DF" w:rsidRPr="00F7157A">
        <w:rPr>
          <w:rFonts w:ascii="Arial" w:eastAsia="Times New Roman" w:hAnsi="Arial" w:cs="Arial"/>
          <w:sz w:val="24"/>
          <w:szCs w:val="24"/>
          <w:lang w:val="es-ES" w:eastAsia="es-ES"/>
        </w:rPr>
        <w:t>-</w:t>
      </w:r>
      <w:r w:rsidR="00826902" w:rsidRPr="00F7157A">
        <w:rPr>
          <w:rFonts w:ascii="Arial" w:eastAsia="Times New Roman" w:hAnsi="Arial" w:cs="Arial"/>
          <w:sz w:val="24"/>
          <w:szCs w:val="24"/>
          <w:lang w:val="es-ES" w:eastAsia="es-ES"/>
        </w:rPr>
        <w:t xml:space="preserve">923100 Adquisición de acciones del sector público </w:t>
      </w:r>
      <w:r w:rsidR="00D009CD" w:rsidRPr="00F7157A">
        <w:rPr>
          <w:rFonts w:ascii="Arial" w:eastAsia="Times New Roman" w:hAnsi="Arial" w:cs="Arial"/>
          <w:sz w:val="24"/>
          <w:szCs w:val="24"/>
          <w:lang w:val="es-ES" w:eastAsia="es-ES"/>
        </w:rPr>
        <w:t>se destinará a ampliar el capital de la sociedad Corporación Pública Empresarial de Navarra, S. L. U.</w:t>
      </w:r>
      <w:r w:rsidR="002149DF" w:rsidRPr="00F7157A">
        <w:rPr>
          <w:rFonts w:ascii="Arial" w:eastAsia="Times New Roman" w:hAnsi="Arial" w:cs="Arial"/>
          <w:sz w:val="24"/>
          <w:szCs w:val="24"/>
          <w:lang w:val="es-ES" w:eastAsia="es-ES"/>
        </w:rPr>
        <w:t>, con el siguiente destino:</w:t>
      </w:r>
    </w:p>
    <w:p w14:paraId="4D88F57A" w14:textId="77777777" w:rsidR="002149DF" w:rsidRPr="00F7157A" w:rsidRDefault="002149DF" w:rsidP="002149D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Con destino al Instituto Navarra de Inversiones</w:t>
      </w:r>
      <w:r w:rsidR="00CF7E24" w:rsidRPr="00F7157A">
        <w:rPr>
          <w:rFonts w:ascii="Arial" w:eastAsia="Times New Roman" w:hAnsi="Arial" w:cs="Arial"/>
          <w:sz w:val="24"/>
          <w:szCs w:val="24"/>
          <w:lang w:val="es-ES" w:eastAsia="es-ES"/>
        </w:rPr>
        <w:t>, S.L.</w:t>
      </w:r>
      <w:r w:rsidRPr="00F7157A">
        <w:rPr>
          <w:rFonts w:ascii="Arial" w:eastAsia="Times New Roman" w:hAnsi="Arial" w:cs="Arial"/>
          <w:sz w:val="24"/>
          <w:szCs w:val="24"/>
          <w:lang w:val="es-ES" w:eastAsia="es-ES"/>
        </w:rPr>
        <w:t xml:space="preserve">: 3.000.000 euros </w:t>
      </w:r>
      <w:r w:rsidR="00094F29" w:rsidRPr="00F7157A">
        <w:rPr>
          <w:rFonts w:ascii="Arial" w:eastAsia="Times New Roman" w:hAnsi="Arial" w:cs="Arial"/>
          <w:sz w:val="24"/>
          <w:szCs w:val="24"/>
          <w:lang w:val="es-ES" w:eastAsia="es-ES"/>
        </w:rPr>
        <w:t xml:space="preserve">como </w:t>
      </w:r>
      <w:r w:rsidRPr="00F7157A">
        <w:rPr>
          <w:rFonts w:ascii="Arial" w:eastAsia="Times New Roman" w:hAnsi="Arial" w:cs="Arial"/>
          <w:sz w:val="24"/>
          <w:szCs w:val="24"/>
          <w:lang w:val="es-ES" w:eastAsia="es-ES"/>
        </w:rPr>
        <w:t>aportaci</w:t>
      </w:r>
      <w:r w:rsidR="00094F29" w:rsidRPr="00F7157A">
        <w:rPr>
          <w:rFonts w:ascii="Arial" w:eastAsia="Times New Roman" w:hAnsi="Arial" w:cs="Arial"/>
          <w:sz w:val="24"/>
          <w:szCs w:val="24"/>
          <w:lang w:val="es-ES" w:eastAsia="es-ES"/>
        </w:rPr>
        <w:t>ón</w:t>
      </w:r>
      <w:r w:rsidRPr="00F7157A">
        <w:rPr>
          <w:rFonts w:ascii="Arial" w:eastAsia="Times New Roman" w:hAnsi="Arial" w:cs="Arial"/>
          <w:sz w:val="24"/>
          <w:szCs w:val="24"/>
          <w:lang w:val="es-ES" w:eastAsia="es-ES"/>
        </w:rPr>
        <w:t xml:space="preserve"> de capital </w:t>
      </w:r>
      <w:r w:rsidR="000C320C" w:rsidRPr="00F7157A">
        <w:rPr>
          <w:rFonts w:ascii="Arial" w:eastAsia="Times New Roman" w:hAnsi="Arial" w:cs="Arial"/>
          <w:sz w:val="24"/>
          <w:szCs w:val="24"/>
          <w:lang w:val="es-ES" w:eastAsia="es-ES"/>
        </w:rPr>
        <w:t>anual</w:t>
      </w:r>
      <w:r w:rsidRPr="00F7157A">
        <w:rPr>
          <w:rFonts w:ascii="Arial" w:eastAsia="Times New Roman" w:hAnsi="Arial" w:cs="Arial"/>
          <w:sz w:val="24"/>
          <w:szCs w:val="24"/>
          <w:lang w:val="es-ES" w:eastAsia="es-ES"/>
        </w:rPr>
        <w:t xml:space="preserve"> al Fondo Social</w:t>
      </w:r>
      <w:r w:rsidR="00094F29" w:rsidRPr="00F7157A">
        <w:rPr>
          <w:rFonts w:ascii="Arial" w:eastAsia="Times New Roman" w:hAnsi="Arial" w:cs="Arial"/>
          <w:sz w:val="24"/>
          <w:szCs w:val="24"/>
          <w:lang w:val="es-ES" w:eastAsia="es-ES"/>
        </w:rPr>
        <w:t>, para completar la financiación prevista en el Plan de Actuación, Inversión y Financiación aprobado 11 de mayo de 2022.</w:t>
      </w:r>
    </w:p>
    <w:p w14:paraId="1A3E21D0" w14:textId="77777777" w:rsidR="003778FD" w:rsidRPr="00F7157A" w:rsidRDefault="00094F29"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P</w:t>
      </w:r>
      <w:r w:rsidR="00D009CD" w:rsidRPr="00F7157A">
        <w:rPr>
          <w:rFonts w:ascii="Arial" w:eastAsia="Times New Roman" w:hAnsi="Arial" w:cs="Arial"/>
          <w:sz w:val="24"/>
          <w:szCs w:val="24"/>
          <w:lang w:val="es-ES" w:eastAsia="es-ES"/>
        </w:rPr>
        <w:t xml:space="preserve">ara el desarrollo de actuaciones </w:t>
      </w:r>
      <w:r w:rsidRPr="00F7157A">
        <w:rPr>
          <w:rFonts w:ascii="Arial" w:eastAsia="Times New Roman" w:hAnsi="Arial" w:cs="Arial"/>
          <w:sz w:val="24"/>
          <w:szCs w:val="24"/>
          <w:lang w:val="es-ES" w:eastAsia="es-ES"/>
        </w:rPr>
        <w:t>de</w:t>
      </w:r>
      <w:r w:rsidR="002149DF" w:rsidRPr="00F7157A">
        <w:rPr>
          <w:rFonts w:ascii="Arial" w:eastAsia="Times New Roman" w:hAnsi="Arial" w:cs="Arial"/>
          <w:sz w:val="24"/>
          <w:szCs w:val="24"/>
          <w:lang w:val="es-ES" w:eastAsia="es-ES"/>
        </w:rPr>
        <w:t xml:space="preserve"> atracción y promoción industrial, suelo industrial y vivienda, </w:t>
      </w:r>
      <w:r w:rsidRPr="00F7157A">
        <w:rPr>
          <w:rFonts w:ascii="Arial" w:eastAsia="Times New Roman" w:hAnsi="Arial" w:cs="Arial"/>
          <w:sz w:val="24"/>
          <w:szCs w:val="24"/>
          <w:lang w:val="es-ES" w:eastAsia="es-ES"/>
        </w:rPr>
        <w:t>se contempla una dotación extraordinaria</w:t>
      </w:r>
      <w:r w:rsidR="002149DF" w:rsidRPr="00F7157A">
        <w:rPr>
          <w:rFonts w:ascii="Arial" w:eastAsia="Times New Roman" w:hAnsi="Arial" w:cs="Arial"/>
          <w:sz w:val="24"/>
          <w:szCs w:val="24"/>
          <w:lang w:val="es-ES" w:eastAsia="es-ES"/>
        </w:rPr>
        <w:t xml:space="preserve"> de 30.000.000 euros, a través de las sociedades</w:t>
      </w:r>
      <w:r w:rsidRPr="00F7157A">
        <w:rPr>
          <w:rFonts w:ascii="Arial" w:eastAsia="Times New Roman" w:hAnsi="Arial" w:cs="Arial"/>
          <w:sz w:val="24"/>
          <w:szCs w:val="24"/>
          <w:lang w:val="es-ES" w:eastAsia="es-ES"/>
        </w:rPr>
        <w:t xml:space="preserve"> siguientes:</w:t>
      </w:r>
    </w:p>
    <w:p w14:paraId="5CA3EFE5" w14:textId="77777777" w:rsidR="00094F29" w:rsidRPr="00F7157A" w:rsidRDefault="00094F29"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 Con destino a </w:t>
      </w:r>
      <w:r w:rsidR="00CF7E24" w:rsidRPr="00F7157A">
        <w:rPr>
          <w:rFonts w:ascii="Arial" w:eastAsia="Times New Roman" w:hAnsi="Arial" w:cs="Arial"/>
          <w:sz w:val="24"/>
          <w:szCs w:val="24"/>
          <w:lang w:val="es-ES" w:eastAsia="es-ES"/>
        </w:rPr>
        <w:t>Navarra de Suelo y Vivienda, S.A.</w:t>
      </w:r>
      <w:r w:rsidRPr="00F7157A">
        <w:rPr>
          <w:rFonts w:ascii="Arial" w:eastAsia="Times New Roman" w:hAnsi="Arial" w:cs="Arial"/>
          <w:sz w:val="24"/>
          <w:szCs w:val="24"/>
          <w:lang w:val="es-ES" w:eastAsia="es-ES"/>
        </w:rPr>
        <w:t xml:space="preserve">: 5.000.000 euros para </w:t>
      </w:r>
      <w:r w:rsidR="00270649">
        <w:rPr>
          <w:rFonts w:ascii="Arial" w:eastAsia="Times New Roman" w:hAnsi="Arial" w:cs="Arial"/>
          <w:sz w:val="24"/>
          <w:szCs w:val="24"/>
          <w:lang w:val="es-ES" w:eastAsia="es-ES"/>
        </w:rPr>
        <w:t>realizar inversiones</w:t>
      </w:r>
      <w:r w:rsidRPr="00F7157A">
        <w:rPr>
          <w:rFonts w:ascii="Arial" w:eastAsia="Times New Roman" w:hAnsi="Arial" w:cs="Arial"/>
          <w:sz w:val="24"/>
          <w:szCs w:val="24"/>
          <w:lang w:val="es-ES" w:eastAsia="es-ES"/>
        </w:rPr>
        <w:t xml:space="preserve"> en el marco del Plan de medidas para las Zonas de Mercado Tensionado de Navarra y la Estrategia de vivienda rural de la Comunidad Foral, así como </w:t>
      </w:r>
      <w:r w:rsidR="00270649">
        <w:rPr>
          <w:rFonts w:ascii="Arial" w:eastAsia="Times New Roman" w:hAnsi="Arial" w:cs="Arial"/>
          <w:sz w:val="24"/>
          <w:szCs w:val="24"/>
          <w:lang w:val="es-ES" w:eastAsia="es-ES"/>
        </w:rPr>
        <w:t>para</w:t>
      </w:r>
      <w:r w:rsidRPr="00F7157A">
        <w:rPr>
          <w:rFonts w:ascii="Arial" w:eastAsia="Times New Roman" w:hAnsi="Arial" w:cs="Arial"/>
          <w:sz w:val="24"/>
          <w:szCs w:val="24"/>
          <w:lang w:val="es-ES" w:eastAsia="es-ES"/>
        </w:rPr>
        <w:t xml:space="preserve"> la adquisición de viviendas para su destino a uso social</w:t>
      </w:r>
      <w:r w:rsidR="0072003D" w:rsidRPr="00F7157A">
        <w:rPr>
          <w:rFonts w:ascii="Arial" w:eastAsia="Times New Roman" w:hAnsi="Arial" w:cs="Arial"/>
          <w:sz w:val="24"/>
          <w:szCs w:val="24"/>
          <w:lang w:val="es-ES" w:eastAsia="es-ES"/>
        </w:rPr>
        <w:t>.</w:t>
      </w:r>
    </w:p>
    <w:p w14:paraId="1836FB09" w14:textId="77777777" w:rsidR="0072003D" w:rsidRPr="00F7157A" w:rsidRDefault="0072003D"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 Con destino a </w:t>
      </w:r>
      <w:r w:rsidR="00CF7E24" w:rsidRPr="00F7157A">
        <w:rPr>
          <w:rFonts w:ascii="Arial" w:eastAsia="Times New Roman" w:hAnsi="Arial" w:cs="Arial"/>
          <w:sz w:val="24"/>
          <w:szCs w:val="24"/>
          <w:lang w:val="es-ES" w:eastAsia="es-ES"/>
        </w:rPr>
        <w:t>Navarra de Suelo y Vivienda, S.A.</w:t>
      </w:r>
      <w:r w:rsidRPr="00F7157A">
        <w:rPr>
          <w:rFonts w:ascii="Arial" w:eastAsia="Times New Roman" w:hAnsi="Arial" w:cs="Arial"/>
          <w:sz w:val="24"/>
          <w:szCs w:val="24"/>
          <w:lang w:val="es-ES" w:eastAsia="es-ES"/>
        </w:rPr>
        <w:t>: 5.000.000 euros en materia de promoción de suelo industrial</w:t>
      </w:r>
      <w:r w:rsidR="00CF7E24" w:rsidRPr="00F7157A">
        <w:rPr>
          <w:rFonts w:ascii="Arial" w:eastAsia="Times New Roman" w:hAnsi="Arial" w:cs="Arial"/>
          <w:sz w:val="24"/>
          <w:szCs w:val="24"/>
          <w:lang w:val="es-ES" w:eastAsia="es-ES"/>
        </w:rPr>
        <w:t xml:space="preserve"> para</w:t>
      </w:r>
      <w:r w:rsidRPr="00F7157A">
        <w:rPr>
          <w:rFonts w:ascii="Arial" w:eastAsia="Times New Roman" w:hAnsi="Arial" w:cs="Arial"/>
          <w:sz w:val="24"/>
          <w:szCs w:val="24"/>
          <w:lang w:val="es-ES" w:eastAsia="es-ES"/>
        </w:rPr>
        <w:t xml:space="preserve"> la inversión a ejecutar </w:t>
      </w:r>
      <w:r w:rsidR="00CF7E24" w:rsidRPr="00F7157A">
        <w:rPr>
          <w:rFonts w:ascii="Arial" w:eastAsia="Times New Roman" w:hAnsi="Arial" w:cs="Arial"/>
          <w:sz w:val="24"/>
          <w:szCs w:val="24"/>
          <w:lang w:val="es-ES" w:eastAsia="es-ES"/>
        </w:rPr>
        <w:t>de</w:t>
      </w:r>
      <w:r w:rsidRPr="00F7157A">
        <w:rPr>
          <w:rFonts w:ascii="Arial" w:eastAsia="Times New Roman" w:hAnsi="Arial" w:cs="Arial"/>
          <w:sz w:val="24"/>
          <w:szCs w:val="24"/>
          <w:lang w:val="es-ES" w:eastAsia="es-ES"/>
        </w:rPr>
        <w:t xml:space="preserve"> las obras de urbanización de la Ci</w:t>
      </w:r>
      <w:r w:rsidR="00786EDC">
        <w:rPr>
          <w:rFonts w:ascii="Arial" w:eastAsia="Times New Roman" w:hAnsi="Arial" w:cs="Arial"/>
          <w:sz w:val="24"/>
          <w:szCs w:val="24"/>
          <w:lang w:val="es-ES" w:eastAsia="es-ES"/>
        </w:rPr>
        <w:t>udad del Transporte de Pamplona, así como otras actuaciones</w:t>
      </w:r>
      <w:r w:rsidR="00786EDC" w:rsidRPr="00786EDC">
        <w:rPr>
          <w:rFonts w:ascii="Arial" w:eastAsia="Times New Roman" w:hAnsi="Arial" w:cs="Arial"/>
          <w:sz w:val="24"/>
          <w:szCs w:val="24"/>
          <w:lang w:val="es-ES" w:eastAsia="es-ES"/>
        </w:rPr>
        <w:t xml:space="preserve"> de promoción de suelo industrial en el marco de las directrices establecidas por el Gobierno de Navarra</w:t>
      </w:r>
      <w:r w:rsidR="00786EDC">
        <w:rPr>
          <w:rFonts w:ascii="Arial" w:eastAsia="Times New Roman" w:hAnsi="Arial" w:cs="Arial"/>
          <w:sz w:val="24"/>
          <w:szCs w:val="24"/>
          <w:lang w:val="es-ES" w:eastAsia="es-ES"/>
        </w:rPr>
        <w:t>.</w:t>
      </w:r>
    </w:p>
    <w:p w14:paraId="10494FC1" w14:textId="77777777" w:rsidR="0072003D" w:rsidRPr="00F7157A" w:rsidRDefault="0072003D"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 Con destino a </w:t>
      </w:r>
      <w:r w:rsidR="00CF7E24" w:rsidRPr="00F7157A">
        <w:rPr>
          <w:rFonts w:ascii="Arial" w:eastAsia="Times New Roman" w:hAnsi="Arial" w:cs="Arial"/>
          <w:sz w:val="24"/>
          <w:szCs w:val="24"/>
          <w:lang w:val="es-ES" w:eastAsia="es-ES"/>
        </w:rPr>
        <w:t>Sociedad de Desarrollo de Navarra, S.L.</w:t>
      </w:r>
      <w:r w:rsidRPr="00F7157A">
        <w:rPr>
          <w:rFonts w:ascii="Arial" w:eastAsia="Times New Roman" w:hAnsi="Arial" w:cs="Arial"/>
          <w:sz w:val="24"/>
          <w:szCs w:val="24"/>
          <w:lang w:val="es-ES" w:eastAsia="es-ES"/>
        </w:rPr>
        <w:t>: 5.000.000 euros para potenciar la actividad inversora</w:t>
      </w:r>
      <w:r w:rsidR="00786EDC">
        <w:rPr>
          <w:rFonts w:ascii="Arial" w:eastAsia="Times New Roman" w:hAnsi="Arial" w:cs="Arial"/>
          <w:sz w:val="24"/>
          <w:szCs w:val="24"/>
          <w:lang w:val="es-ES" w:eastAsia="es-ES"/>
        </w:rPr>
        <w:t>, a través de la</w:t>
      </w:r>
      <w:r w:rsidRPr="00F7157A">
        <w:rPr>
          <w:rFonts w:ascii="Arial" w:eastAsia="Times New Roman" w:hAnsi="Arial" w:cs="Arial"/>
          <w:sz w:val="24"/>
          <w:szCs w:val="24"/>
          <w:lang w:val="es-ES" w:eastAsia="es-ES"/>
        </w:rPr>
        <w:t xml:space="preserve"> </w:t>
      </w:r>
      <w:r w:rsidR="00786EDC" w:rsidRPr="00786EDC">
        <w:rPr>
          <w:rFonts w:ascii="Arial" w:eastAsia="Times New Roman" w:hAnsi="Arial" w:cs="Arial"/>
          <w:sz w:val="24"/>
          <w:szCs w:val="24"/>
          <w:lang w:val="es-ES" w:eastAsia="es-ES"/>
        </w:rPr>
        <w:t>toma de participación en capital</w:t>
      </w:r>
      <w:r w:rsidR="00786EDC">
        <w:rPr>
          <w:rFonts w:ascii="Arial" w:eastAsia="Times New Roman" w:hAnsi="Arial" w:cs="Arial"/>
          <w:sz w:val="24"/>
          <w:szCs w:val="24"/>
          <w:lang w:val="es-ES" w:eastAsia="es-ES"/>
        </w:rPr>
        <w:t>,</w:t>
      </w:r>
      <w:r w:rsidR="00786EDC" w:rsidRPr="00786EDC">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 xml:space="preserve">que </w:t>
      </w:r>
      <w:r w:rsidR="00786EDC">
        <w:rPr>
          <w:rFonts w:ascii="Arial" w:eastAsia="Times New Roman" w:hAnsi="Arial" w:cs="Arial"/>
          <w:sz w:val="24"/>
          <w:szCs w:val="24"/>
          <w:lang w:val="es-ES" w:eastAsia="es-ES"/>
        </w:rPr>
        <w:t xml:space="preserve">pueda </w:t>
      </w:r>
      <w:r w:rsidRPr="00F7157A">
        <w:rPr>
          <w:rFonts w:ascii="Arial" w:eastAsia="Times New Roman" w:hAnsi="Arial" w:cs="Arial"/>
          <w:sz w:val="24"/>
          <w:szCs w:val="24"/>
          <w:lang w:val="es-ES" w:eastAsia="es-ES"/>
        </w:rPr>
        <w:t>realiza</w:t>
      </w:r>
      <w:r w:rsidR="00786EDC">
        <w:rPr>
          <w:rFonts w:ascii="Arial" w:eastAsia="Times New Roman" w:hAnsi="Arial" w:cs="Arial"/>
          <w:sz w:val="24"/>
          <w:szCs w:val="24"/>
          <w:lang w:val="es-ES" w:eastAsia="es-ES"/>
        </w:rPr>
        <w:t>r</w:t>
      </w:r>
      <w:r w:rsidRPr="00F7157A">
        <w:rPr>
          <w:rFonts w:ascii="Arial" w:eastAsia="Times New Roman" w:hAnsi="Arial" w:cs="Arial"/>
          <w:sz w:val="24"/>
          <w:szCs w:val="24"/>
          <w:lang w:val="es-ES" w:eastAsia="es-ES"/>
        </w:rPr>
        <w:t xml:space="preserve"> la sociedad para apoyar al tejido empresarial navarro en su crecimiento y consolidación.</w:t>
      </w:r>
    </w:p>
    <w:p w14:paraId="67855D87" w14:textId="77777777" w:rsidR="0072003D" w:rsidRPr="00F7157A" w:rsidRDefault="0072003D"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Con destino al Instituto Navarra de Inversiones</w:t>
      </w:r>
      <w:r w:rsidR="00CF7E24" w:rsidRPr="00F7157A">
        <w:rPr>
          <w:rFonts w:ascii="Arial" w:eastAsia="Times New Roman" w:hAnsi="Arial" w:cs="Arial"/>
          <w:sz w:val="24"/>
          <w:szCs w:val="24"/>
          <w:lang w:val="es-ES" w:eastAsia="es-ES"/>
        </w:rPr>
        <w:t>. S.L.</w:t>
      </w:r>
      <w:r w:rsidRPr="00F7157A">
        <w:rPr>
          <w:rFonts w:ascii="Arial" w:eastAsia="Times New Roman" w:hAnsi="Arial" w:cs="Arial"/>
          <w:sz w:val="24"/>
          <w:szCs w:val="24"/>
          <w:lang w:val="es-ES" w:eastAsia="es-ES"/>
        </w:rPr>
        <w:t xml:space="preserve">: </w:t>
      </w:r>
      <w:r w:rsidR="00D23FA1" w:rsidRPr="00F7157A">
        <w:rPr>
          <w:rFonts w:ascii="Arial" w:eastAsia="Times New Roman" w:hAnsi="Arial" w:cs="Arial"/>
          <w:sz w:val="24"/>
          <w:szCs w:val="24"/>
          <w:lang w:val="es-ES" w:eastAsia="es-ES"/>
        </w:rPr>
        <w:t xml:space="preserve">15.000.000 euros para la creación del instrumento que viabilice la articulación de </w:t>
      </w:r>
      <w:r w:rsidR="00B279E3">
        <w:rPr>
          <w:rFonts w:ascii="Arial" w:eastAsia="Times New Roman" w:hAnsi="Arial" w:cs="Arial"/>
          <w:sz w:val="24"/>
          <w:szCs w:val="24"/>
          <w:lang w:val="es-ES" w:eastAsia="es-ES"/>
        </w:rPr>
        <w:t>un</w:t>
      </w:r>
      <w:r w:rsidR="00D23FA1" w:rsidRPr="00F7157A">
        <w:rPr>
          <w:rFonts w:ascii="Arial" w:eastAsia="Times New Roman" w:hAnsi="Arial" w:cs="Arial"/>
          <w:sz w:val="24"/>
          <w:szCs w:val="24"/>
          <w:lang w:val="es-ES" w:eastAsia="es-ES"/>
        </w:rPr>
        <w:t xml:space="preserve"> Fondo de Inversión </w:t>
      </w:r>
      <w:r w:rsidR="00B279E3">
        <w:rPr>
          <w:rFonts w:ascii="Arial" w:eastAsia="Times New Roman" w:hAnsi="Arial" w:cs="Arial"/>
          <w:sz w:val="24"/>
          <w:szCs w:val="24"/>
          <w:lang w:val="es-ES" w:eastAsia="es-ES"/>
        </w:rPr>
        <w:t xml:space="preserve">industrial </w:t>
      </w:r>
      <w:r w:rsidR="00D23FA1" w:rsidRPr="00F7157A">
        <w:rPr>
          <w:rFonts w:ascii="Arial" w:eastAsia="Times New Roman" w:hAnsi="Arial" w:cs="Arial"/>
          <w:sz w:val="24"/>
          <w:szCs w:val="24"/>
          <w:lang w:val="es-ES" w:eastAsia="es-ES"/>
        </w:rPr>
        <w:t xml:space="preserve">a Largo Plazo </w:t>
      </w:r>
      <w:r w:rsidR="00B279E3">
        <w:rPr>
          <w:rFonts w:ascii="Arial" w:eastAsia="Times New Roman" w:hAnsi="Arial" w:cs="Arial"/>
          <w:sz w:val="24"/>
          <w:szCs w:val="24"/>
          <w:lang w:val="es-ES" w:eastAsia="es-ES"/>
        </w:rPr>
        <w:t xml:space="preserve">y para potenciar la participación </w:t>
      </w:r>
      <w:r w:rsidR="00B279E3" w:rsidRPr="00B279E3">
        <w:rPr>
          <w:rFonts w:ascii="Arial" w:eastAsia="Times New Roman" w:hAnsi="Arial" w:cs="Arial"/>
          <w:sz w:val="24"/>
          <w:szCs w:val="24"/>
          <w:lang w:val="es-ES" w:eastAsia="es-ES"/>
        </w:rPr>
        <w:t>en sectores estratégicos de la economía</w:t>
      </w:r>
      <w:r w:rsidR="00B279E3">
        <w:rPr>
          <w:rFonts w:ascii="Arial" w:eastAsia="Times New Roman" w:hAnsi="Arial" w:cs="Arial"/>
          <w:sz w:val="24"/>
          <w:szCs w:val="24"/>
          <w:lang w:val="es-ES" w:eastAsia="es-ES"/>
        </w:rPr>
        <w:t>,</w:t>
      </w:r>
      <w:r w:rsidR="00B279E3" w:rsidRPr="00B279E3">
        <w:rPr>
          <w:rFonts w:ascii="Arial" w:eastAsia="Times New Roman" w:hAnsi="Arial" w:cs="Arial"/>
          <w:sz w:val="24"/>
          <w:szCs w:val="24"/>
          <w:lang w:val="es-ES" w:eastAsia="es-ES"/>
        </w:rPr>
        <w:t xml:space="preserve"> a través de la inversión directa,</w:t>
      </w:r>
      <w:r w:rsidR="00B279E3">
        <w:rPr>
          <w:rFonts w:ascii="Arial" w:eastAsia="Times New Roman" w:hAnsi="Arial" w:cs="Arial"/>
          <w:sz w:val="24"/>
          <w:szCs w:val="24"/>
          <w:lang w:val="es-ES" w:eastAsia="es-ES"/>
        </w:rPr>
        <w:t xml:space="preserve"> tal y como reflejan los estatutos de la sociedad.</w:t>
      </w:r>
    </w:p>
    <w:p w14:paraId="0261E9A6"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8</w:t>
      </w:r>
      <w:r w:rsidR="009C226E">
        <w:rPr>
          <w:rFonts w:ascii="Arial" w:eastAsia="Times New Roman" w:hAnsi="Arial" w:cs="Arial"/>
          <w:b/>
          <w:sz w:val="24"/>
          <w:szCs w:val="24"/>
          <w:lang w:val="es-ES" w:eastAsia="es-ES"/>
        </w:rPr>
        <w:t>2</w:t>
      </w:r>
      <w:r w:rsidRPr="00F7157A">
        <w:rPr>
          <w:rFonts w:ascii="Arial" w:eastAsia="Times New Roman" w:hAnsi="Arial" w:cs="Arial"/>
          <w:b/>
          <w:sz w:val="24"/>
          <w:szCs w:val="24"/>
          <w:lang w:val="es-ES" w:eastAsia="es-ES"/>
        </w:rPr>
        <w:t>. Representación del Gobierno de Navarra en Bruselas.</w:t>
      </w:r>
    </w:p>
    <w:p w14:paraId="014D4479"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Los gastos necesarios para el normal funcionamiento de la Oficina Permanente de Navarra ante la Unión Europea podrán ser abonados a través de anticipos de caja fija o, en su caso, de órdenes de pago a justificar.</w:t>
      </w:r>
    </w:p>
    <w:p w14:paraId="0C488E29"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Artículo 8</w:t>
      </w:r>
      <w:r w:rsidR="009C226E">
        <w:rPr>
          <w:rFonts w:ascii="Arial" w:eastAsia="Times New Roman" w:hAnsi="Arial" w:cs="Arial"/>
          <w:b/>
          <w:sz w:val="24"/>
          <w:szCs w:val="24"/>
          <w:lang w:val="es-ES" w:eastAsia="es-ES"/>
        </w:rPr>
        <w:t>3</w:t>
      </w:r>
      <w:r w:rsidRPr="00F7157A">
        <w:rPr>
          <w:rFonts w:ascii="Arial" w:eastAsia="Times New Roman" w:hAnsi="Arial" w:cs="Arial"/>
          <w:b/>
          <w:sz w:val="24"/>
          <w:szCs w:val="24"/>
          <w:lang w:val="es-ES" w:eastAsia="es-ES"/>
        </w:rPr>
        <w:t>. Dotaciones presupuestarias del Parlamento de Navarra, de la Cámara de Comptos, de la Institución del Defensor del Pueblo, del Consejo de Navarra y de la Oficina de Buenas Prácticas y Anticorrupción.</w:t>
      </w:r>
    </w:p>
    <w:p w14:paraId="568267D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Las dotaciones presupuestarias del Parlamento de Navarra, de la Cámara de Comptos y de la Institución del Defensor del Pueblo se librarán en firme y periódicamente a medida que las solicite respectivamente la Mesa del Parlamento y quien ostente la representación de dichas instituciones.</w:t>
      </w:r>
    </w:p>
    <w:p w14:paraId="63D6B5F2"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3F0EE73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Igualmente, su actuación de índole económica y presupuestaria estará sujeta al control de la Intervención del Gobierno de Navarra en los mismos términos que los establecidos para la Administración de la Comunidad Foral y sus organismos autónomos.</w:t>
      </w:r>
    </w:p>
    <w:p w14:paraId="39C9352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transferencias corrientes al Consejo de Navarra y a la Oficina de Buenas Prácticas y Anticorrupción se librarán, con carácter general, por trimestres anticipados salvo que se justifiquen necesidades superiores.</w:t>
      </w:r>
    </w:p>
    <w:p w14:paraId="7709AD0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Las transferencias de capital se librarán a medida que las solicite quien ostente la representación de dichas instituciones, mediante justificación de la necesidad del gasto para el que se demanden aquellas.</w:t>
      </w:r>
    </w:p>
    <w:p w14:paraId="4940C448" w14:textId="77777777" w:rsidR="0024494D" w:rsidRPr="00F7157A" w:rsidRDefault="0024494D" w:rsidP="0024494D">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adicional primera. Transferencia de servicios en materia de tráfico y circulación de vehículos a motor. </w:t>
      </w:r>
    </w:p>
    <w:p w14:paraId="54B6E209" w14:textId="77777777" w:rsidR="0024494D" w:rsidRPr="00F7157A" w:rsidRDefault="0024494D" w:rsidP="0024494D">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Se autoriza al Gobierno de Navarra para que proceda a la integración en la plantilla de la Administración de la Comunidad Foral del personal funcionario y/o laboral identificado en la Relación Número 2 del Real Decreto 252/2023, de 4 de abril, de traspaso de funciones y servicios de la Administración del Estado a la Comunidad Foral de Navarra en materia de tráfico y circulación de vehículos a motor.</w:t>
      </w:r>
    </w:p>
    <w:p w14:paraId="070A51FC" w14:textId="77777777" w:rsidR="0024494D" w:rsidRPr="00F7157A" w:rsidRDefault="0024494D" w:rsidP="0024494D">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 xml:space="preserve">2. Se autoriza al Departamento de Interior, Función Pública y Justicia, para que, de conformidad con lo dispuesto en la disposición adicional novena de la Ley Foral 23/2018, de 19 de noviembre, de las Policías de Navarra, habilite los mecanismos necesarios para permitir la integración en la Policía Foral de funcionarios de la Administración General del Estado que presten servicios en la Agrupación de Tráfico. </w:t>
      </w:r>
    </w:p>
    <w:p w14:paraId="31F7D470" w14:textId="77777777" w:rsidR="0024494D" w:rsidRPr="00F7157A" w:rsidRDefault="0024494D" w:rsidP="0024494D">
      <w:pPr>
        <w:shd w:val="clear" w:color="auto" w:fill="FFFFFF"/>
        <w:spacing w:after="300" w:line="340" w:lineRule="exact"/>
        <w:jc w:val="both"/>
        <w:rPr>
          <w:rFonts w:ascii="Arial" w:eastAsia="Times New Roman" w:hAnsi="Arial" w:cs="Arial"/>
          <w:sz w:val="24"/>
          <w:szCs w:val="24"/>
          <w:lang w:eastAsia="es-ES"/>
        </w:rPr>
      </w:pPr>
      <w:r w:rsidRPr="00F7157A">
        <w:rPr>
          <w:rFonts w:ascii="Arial" w:eastAsia="Times New Roman" w:hAnsi="Arial" w:cs="Arial"/>
          <w:sz w:val="24"/>
          <w:szCs w:val="24"/>
          <w:lang w:val="es-ES" w:eastAsia="es-ES"/>
        </w:rPr>
        <w:t xml:space="preserve">3. </w:t>
      </w:r>
      <w:r w:rsidRPr="00F7157A">
        <w:rPr>
          <w:rFonts w:ascii="Arial" w:eastAsia="Times New Roman" w:hAnsi="Arial" w:cs="Arial"/>
          <w:sz w:val="24"/>
          <w:szCs w:val="24"/>
          <w:lang w:eastAsia="es-ES"/>
        </w:rPr>
        <w:t>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0B9DA6C1"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adicional </w:t>
      </w:r>
      <w:r w:rsidR="003778FD" w:rsidRPr="00F7157A">
        <w:rPr>
          <w:rFonts w:ascii="Arial" w:eastAsia="Times New Roman" w:hAnsi="Arial" w:cs="Arial"/>
          <w:b/>
          <w:sz w:val="24"/>
          <w:szCs w:val="24"/>
          <w:lang w:val="es-ES" w:eastAsia="es-ES"/>
        </w:rPr>
        <w:t xml:space="preserve">segunda. </w:t>
      </w:r>
      <w:r w:rsidRPr="00F7157A">
        <w:rPr>
          <w:rFonts w:ascii="Arial" w:eastAsia="Times New Roman" w:hAnsi="Arial" w:cs="Arial"/>
          <w:b/>
          <w:sz w:val="24"/>
          <w:szCs w:val="24"/>
          <w:lang w:val="es-ES" w:eastAsia="es-ES"/>
        </w:rPr>
        <w:t>Competencias en las zonas regables de la 1.ª y la 2.ª fase del Canal de Navarra.</w:t>
      </w:r>
    </w:p>
    <w:p w14:paraId="3A12FA54"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los contratos de concesión de obras públicas para la construcción y explotación de las infraestructuras de interés general de la 1.ª fase de la zona regable del Canal de Navarra (incluida la ampliación), a excepción de las referidas a los procesos de concentración parcelaria y a las declaraciones de puesta en riego de cada sector o zona y sus modificaciones. La aprobación administrativa de los proyectos de obras del contrato concesional y las modificaciones de estos se realizarán por el Departamento de Cohesión Territorial.</w:t>
      </w:r>
    </w:p>
    <w:p w14:paraId="051A358C"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Los cánones de los contratos de concesión serán abonados por el Departamento que corresponda de acuerdo con la consignación presupuestaria de los créditos.</w:t>
      </w:r>
    </w:p>
    <w:p w14:paraId="5984E4D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Corresponde, así mismo, al Departamento de Cohesión Territorial la titularidad de las competencias de actuación que ostenta la Administración de la Comunidad Foral de Navarra en las zonas regables de la 2.ª fase del Canal de Navarra a excepción, igualmente, de las referidas a los procesos de </w:t>
      </w:r>
      <w:r w:rsidRPr="00F7157A">
        <w:rPr>
          <w:rFonts w:ascii="Arial" w:eastAsia="Times New Roman" w:hAnsi="Arial" w:cs="Arial"/>
          <w:sz w:val="24"/>
          <w:szCs w:val="24"/>
          <w:lang w:val="es-ES" w:eastAsia="es-ES"/>
        </w:rPr>
        <w:lastRenderedPageBreak/>
        <w:t>concentración parcelaria y a las declaraciones de puesta en riego de cada sector o zona y sus modificaciones.</w:t>
      </w:r>
    </w:p>
    <w:p w14:paraId="5A4C1A05"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Una vez estén finalizadas todas las obras de construcción de las infraestructuras de interés general de la zona regable del Canal de Navarra, las competencias correspondientes a dicha infraestructura serán ejercidas por el Departamento de Desarrollo Rural y Medio Ambiente.</w:t>
      </w:r>
    </w:p>
    <w:p w14:paraId="348F0CB5" w14:textId="77777777" w:rsidR="00E3153F" w:rsidRPr="00F7157A" w:rsidRDefault="00C70686"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adicional tercera. </w:t>
      </w:r>
      <w:r w:rsidR="00E3153F" w:rsidRPr="00F7157A">
        <w:rPr>
          <w:rFonts w:ascii="Arial" w:eastAsia="Times New Roman" w:hAnsi="Arial" w:cs="Arial"/>
          <w:b/>
          <w:sz w:val="24"/>
          <w:szCs w:val="24"/>
          <w:lang w:val="es-ES" w:eastAsia="es-ES"/>
        </w:rPr>
        <w:t>Atribuciones en materia de transporte.</w:t>
      </w:r>
    </w:p>
    <w:p w14:paraId="6EE73BE4"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37F18640"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Disposición adicional cuarta.</w:t>
      </w:r>
      <w:r w:rsidR="00C70686" w:rsidRPr="00F7157A">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Módulos económicos de distribución de fondos públicos para sostenimiento de centros concertados.</w:t>
      </w:r>
    </w:p>
    <w:p w14:paraId="47B818CB"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"Otros gastos" y, en su caso, "Personal y gastos específicos", con expresión del porcentaje de cada concepto respecto a la totalidad del módulo, serán los recogidos en el Anexo I</w:t>
      </w:r>
      <w:r w:rsidR="00E95FE3">
        <w:rPr>
          <w:rFonts w:ascii="Arial" w:eastAsia="Times New Roman" w:hAnsi="Arial" w:cs="Arial"/>
          <w:sz w:val="24"/>
          <w:szCs w:val="24"/>
          <w:lang w:val="es-ES" w:eastAsia="es-ES"/>
        </w:rPr>
        <w:t>I</w:t>
      </w:r>
      <w:r w:rsidRPr="00F7157A">
        <w:rPr>
          <w:rFonts w:ascii="Arial" w:eastAsia="Times New Roman" w:hAnsi="Arial" w:cs="Arial"/>
          <w:sz w:val="24"/>
          <w:szCs w:val="24"/>
          <w:lang w:val="es-ES" w:eastAsia="es-ES"/>
        </w:rPr>
        <w:t>.</w:t>
      </w:r>
    </w:p>
    <w:p w14:paraId="7C9C11E3"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 el concepto de "Salarios del personal docente incluidas cargas sociales" se recoge el coste derivado de las remuneraciones del personal docente y sus cargas sociales en los respectivos niveles de enseñanza.</w:t>
      </w:r>
    </w:p>
    <w:p w14:paraId="0A67321F"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33FA7E18"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Estas cantidades se recogerán en un fondo general que se distribuirá en forma individualizada entre el personal docente de los centros concertados, de acuerdo con las circunstancias que concurran en cada docente.</w:t>
      </w:r>
    </w:p>
    <w:p w14:paraId="2BC4265A" w14:textId="77777777" w:rsidR="00E3153F" w:rsidRPr="00F7157A" w:rsidRDefault="00C70686"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adicional quinta. </w:t>
      </w:r>
      <w:r w:rsidR="00E3153F" w:rsidRPr="00F7157A">
        <w:rPr>
          <w:rFonts w:ascii="Arial" w:eastAsia="Times New Roman" w:hAnsi="Arial" w:cs="Arial"/>
          <w:b/>
          <w:sz w:val="24"/>
          <w:szCs w:val="24"/>
          <w:lang w:val="es-ES" w:eastAsia="es-ES"/>
        </w:rPr>
        <w:t>Venta de libros del programa de gratuidad de libros de texto escolares.</w:t>
      </w:r>
    </w:p>
    <w:p w14:paraId="1F00170D"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Los libros correspondientes al programa de gratuidad de libros de texto escolares solo podrán ser vendidos por los establecimientos que cuenten con la autorización que les habilite para el ejercicio de venta de libros.</w:t>
      </w:r>
    </w:p>
    <w:p w14:paraId="618104B8"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Disposición adicional sexta.</w:t>
      </w:r>
      <w:r w:rsidR="00C70686" w:rsidRPr="00F7157A">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Devolución de prestaciones indebidas en materia de Derechos Sociales.</w:t>
      </w:r>
    </w:p>
    <w:p w14:paraId="2D9EED1F"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44FB95C7"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Disposición adicional séptima.</w:t>
      </w:r>
      <w:r w:rsidR="00C70686" w:rsidRPr="00F7157A">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Indemnizaciones por la colaboración en estadística agraria.</w:t>
      </w:r>
    </w:p>
    <w:p w14:paraId="02ADD321"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Departamento de Desarrollo Rural y Medio Ambiente podrá indemnizar a las personas colaboradoras en materia de estadística agraria por los gastos que les origine su colaboración de acuerdo con las siguientes cuantías máximas, en euros/año:</w:t>
      </w:r>
    </w:p>
    <w:tbl>
      <w:tblPr>
        <w:tblW w:w="7420"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2"/>
        <w:gridCol w:w="1308"/>
      </w:tblGrid>
      <w:tr w:rsidR="00F7157A" w:rsidRPr="00F7157A" w14:paraId="5EB3F47D" w14:textId="77777777" w:rsidTr="00CE2315">
        <w:trPr>
          <w:trHeight w:val="330"/>
        </w:trPr>
        <w:tc>
          <w:tcPr>
            <w:tcW w:w="6112" w:type="dxa"/>
            <w:noWrap/>
            <w:vAlign w:val="center"/>
            <w:hideMark/>
          </w:tcPr>
          <w:p w14:paraId="618958AD" w14:textId="77777777" w:rsidR="00B01173" w:rsidRPr="00F7157A" w:rsidRDefault="00B01173" w:rsidP="009A71F6">
            <w:pPr>
              <w:pStyle w:val="DICTA-TEXTO"/>
              <w:spacing w:after="0" w:line="240" w:lineRule="auto"/>
              <w:ind w:firstLine="0"/>
              <w:rPr>
                <w:lang w:val="es-ES_tradnl"/>
              </w:rPr>
            </w:pPr>
            <w:r w:rsidRPr="00F7157A">
              <w:rPr>
                <w:lang w:val="es-ES_tradnl"/>
              </w:rPr>
              <w:t>Superficies anuales de los cultivos</w:t>
            </w:r>
          </w:p>
        </w:tc>
        <w:tc>
          <w:tcPr>
            <w:tcW w:w="1308" w:type="dxa"/>
            <w:noWrap/>
            <w:vAlign w:val="center"/>
            <w:hideMark/>
          </w:tcPr>
          <w:p w14:paraId="6D1BCDD2" w14:textId="77777777" w:rsidR="00B01173" w:rsidRPr="00F7157A" w:rsidRDefault="00B01173" w:rsidP="009A71F6">
            <w:pPr>
              <w:pStyle w:val="DICTA-TEXTO"/>
              <w:spacing w:after="0" w:line="240" w:lineRule="auto"/>
              <w:jc w:val="right"/>
              <w:rPr>
                <w:lang w:val="es-ES_tradnl"/>
              </w:rPr>
            </w:pPr>
            <w:r w:rsidRPr="00F7157A">
              <w:rPr>
                <w:lang w:val="es-ES_tradnl"/>
              </w:rPr>
              <w:t>85</w:t>
            </w:r>
          </w:p>
        </w:tc>
      </w:tr>
      <w:tr w:rsidR="00F7157A" w:rsidRPr="00F7157A" w14:paraId="29685510" w14:textId="77777777" w:rsidTr="00CE2315">
        <w:trPr>
          <w:trHeight w:val="330"/>
        </w:trPr>
        <w:tc>
          <w:tcPr>
            <w:tcW w:w="6112" w:type="dxa"/>
            <w:noWrap/>
            <w:vAlign w:val="center"/>
            <w:hideMark/>
          </w:tcPr>
          <w:p w14:paraId="38B73B59" w14:textId="77777777" w:rsidR="00B01173" w:rsidRPr="00F7157A" w:rsidRDefault="00B01173" w:rsidP="009A71F6">
            <w:pPr>
              <w:pStyle w:val="DICTA-TEXTO"/>
              <w:spacing w:after="0" w:line="240" w:lineRule="auto"/>
              <w:ind w:firstLine="0"/>
              <w:rPr>
                <w:lang w:val="es-ES_tradnl"/>
              </w:rPr>
            </w:pPr>
            <w:r w:rsidRPr="00F7157A">
              <w:rPr>
                <w:lang w:val="es-ES_tradnl"/>
              </w:rPr>
              <w:t>Producciones anuales de los cultivos</w:t>
            </w:r>
          </w:p>
        </w:tc>
        <w:tc>
          <w:tcPr>
            <w:tcW w:w="1308" w:type="dxa"/>
            <w:noWrap/>
            <w:vAlign w:val="center"/>
            <w:hideMark/>
          </w:tcPr>
          <w:p w14:paraId="686C9A4C" w14:textId="77777777" w:rsidR="00B01173" w:rsidRPr="00F7157A" w:rsidRDefault="00B01173" w:rsidP="009A71F6">
            <w:pPr>
              <w:pStyle w:val="DICTA-TEXTO"/>
              <w:spacing w:after="0" w:line="240" w:lineRule="auto"/>
              <w:jc w:val="right"/>
              <w:rPr>
                <w:lang w:val="es-ES_tradnl"/>
              </w:rPr>
            </w:pPr>
            <w:r w:rsidRPr="00F7157A">
              <w:rPr>
                <w:lang w:val="es-ES_tradnl"/>
              </w:rPr>
              <w:t>85</w:t>
            </w:r>
          </w:p>
        </w:tc>
      </w:tr>
      <w:tr w:rsidR="00F7157A" w:rsidRPr="00F7157A" w14:paraId="01B646A4" w14:textId="77777777" w:rsidTr="00CE2315">
        <w:trPr>
          <w:trHeight w:val="330"/>
        </w:trPr>
        <w:tc>
          <w:tcPr>
            <w:tcW w:w="6112" w:type="dxa"/>
            <w:noWrap/>
            <w:vAlign w:val="center"/>
            <w:hideMark/>
          </w:tcPr>
          <w:p w14:paraId="22941F88" w14:textId="77777777" w:rsidR="00B01173" w:rsidRPr="00F7157A" w:rsidRDefault="00B01173" w:rsidP="009A71F6">
            <w:pPr>
              <w:pStyle w:val="DICTA-TEXTO"/>
              <w:spacing w:after="0" w:line="240" w:lineRule="auto"/>
              <w:ind w:firstLine="0"/>
              <w:rPr>
                <w:lang w:val="es-ES_tradnl"/>
              </w:rPr>
            </w:pPr>
            <w:r w:rsidRPr="00F7157A">
              <w:rPr>
                <w:lang w:val="es-ES_tradnl"/>
              </w:rPr>
              <w:t>Evaluación de otras producciones ganaderas</w:t>
            </w:r>
          </w:p>
        </w:tc>
        <w:tc>
          <w:tcPr>
            <w:tcW w:w="1308" w:type="dxa"/>
            <w:noWrap/>
            <w:vAlign w:val="center"/>
            <w:hideMark/>
          </w:tcPr>
          <w:p w14:paraId="278A5A48" w14:textId="77777777" w:rsidR="00B01173" w:rsidRPr="00F7157A" w:rsidRDefault="00B01173" w:rsidP="009A71F6">
            <w:pPr>
              <w:pStyle w:val="DICTA-TEXTO"/>
              <w:spacing w:after="0" w:line="240" w:lineRule="auto"/>
              <w:jc w:val="right"/>
              <w:rPr>
                <w:lang w:val="es-ES_tradnl"/>
              </w:rPr>
            </w:pPr>
            <w:r w:rsidRPr="00F7157A">
              <w:rPr>
                <w:lang w:val="es-ES_tradnl"/>
              </w:rPr>
              <w:t>275</w:t>
            </w:r>
          </w:p>
        </w:tc>
      </w:tr>
      <w:tr w:rsidR="00F7157A" w:rsidRPr="00F7157A" w14:paraId="02FCFF05" w14:textId="77777777" w:rsidTr="00CE2315">
        <w:trPr>
          <w:trHeight w:val="330"/>
        </w:trPr>
        <w:tc>
          <w:tcPr>
            <w:tcW w:w="6112" w:type="dxa"/>
            <w:noWrap/>
            <w:vAlign w:val="center"/>
            <w:hideMark/>
          </w:tcPr>
          <w:p w14:paraId="48C0A3D2" w14:textId="77777777" w:rsidR="00B01173" w:rsidRPr="00F7157A" w:rsidRDefault="00B01173" w:rsidP="009A71F6">
            <w:pPr>
              <w:pStyle w:val="DICTA-TEXTO"/>
              <w:spacing w:after="0" w:line="240" w:lineRule="auto"/>
              <w:ind w:firstLine="0"/>
              <w:rPr>
                <w:lang w:val="es-ES_tradnl"/>
              </w:rPr>
            </w:pPr>
            <w:r w:rsidRPr="00F7157A">
              <w:rPr>
                <w:lang w:val="es-ES_tradnl"/>
              </w:rPr>
              <w:t>Precios de la tierra</w:t>
            </w:r>
          </w:p>
        </w:tc>
        <w:tc>
          <w:tcPr>
            <w:tcW w:w="1308" w:type="dxa"/>
            <w:noWrap/>
            <w:vAlign w:val="center"/>
            <w:hideMark/>
          </w:tcPr>
          <w:p w14:paraId="21598982" w14:textId="77777777" w:rsidR="00B01173" w:rsidRPr="00F7157A" w:rsidRDefault="00B01173" w:rsidP="009A71F6">
            <w:pPr>
              <w:pStyle w:val="DICTA-TEXTO"/>
              <w:spacing w:after="0" w:line="240" w:lineRule="auto"/>
              <w:jc w:val="right"/>
              <w:rPr>
                <w:lang w:val="es-ES_tradnl"/>
              </w:rPr>
            </w:pPr>
            <w:r w:rsidRPr="00F7157A">
              <w:rPr>
                <w:lang w:val="es-ES_tradnl"/>
              </w:rPr>
              <w:t>1.400</w:t>
            </w:r>
          </w:p>
        </w:tc>
      </w:tr>
      <w:tr w:rsidR="00F7157A" w:rsidRPr="00F7157A" w14:paraId="42E203BD" w14:textId="77777777" w:rsidTr="00CE2315">
        <w:trPr>
          <w:trHeight w:val="330"/>
        </w:trPr>
        <w:tc>
          <w:tcPr>
            <w:tcW w:w="6112" w:type="dxa"/>
            <w:noWrap/>
            <w:vAlign w:val="center"/>
            <w:hideMark/>
          </w:tcPr>
          <w:p w14:paraId="3ED01E89" w14:textId="77777777" w:rsidR="00B01173" w:rsidRPr="00F7157A" w:rsidRDefault="00B01173" w:rsidP="009A71F6">
            <w:pPr>
              <w:pStyle w:val="DICTA-TEXTO"/>
              <w:spacing w:after="0" w:line="240" w:lineRule="auto"/>
              <w:ind w:firstLine="0"/>
              <w:rPr>
                <w:lang w:val="es-ES_tradnl"/>
              </w:rPr>
            </w:pPr>
            <w:r w:rsidRPr="00F7157A">
              <w:rPr>
                <w:lang w:val="es-ES_tradnl"/>
              </w:rPr>
              <w:t>Cánones de arrendamientos rústicos</w:t>
            </w:r>
          </w:p>
        </w:tc>
        <w:tc>
          <w:tcPr>
            <w:tcW w:w="1308" w:type="dxa"/>
            <w:noWrap/>
            <w:vAlign w:val="center"/>
            <w:hideMark/>
          </w:tcPr>
          <w:p w14:paraId="51303EB2" w14:textId="77777777" w:rsidR="00B01173" w:rsidRPr="00F7157A" w:rsidRDefault="00B01173" w:rsidP="009A71F6">
            <w:pPr>
              <w:pStyle w:val="DICTA-TEXTO"/>
              <w:spacing w:after="0" w:line="240" w:lineRule="auto"/>
              <w:jc w:val="right"/>
              <w:rPr>
                <w:lang w:val="es-ES_tradnl"/>
              </w:rPr>
            </w:pPr>
            <w:r w:rsidRPr="00F7157A">
              <w:rPr>
                <w:lang w:val="es-ES_tradnl"/>
              </w:rPr>
              <w:t>380</w:t>
            </w:r>
          </w:p>
        </w:tc>
      </w:tr>
      <w:tr w:rsidR="00F7157A" w:rsidRPr="00F7157A" w14:paraId="16CE9A66" w14:textId="77777777" w:rsidTr="00CE2315">
        <w:trPr>
          <w:trHeight w:val="330"/>
        </w:trPr>
        <w:tc>
          <w:tcPr>
            <w:tcW w:w="6112" w:type="dxa"/>
            <w:noWrap/>
            <w:vAlign w:val="center"/>
            <w:hideMark/>
          </w:tcPr>
          <w:p w14:paraId="73B631AA" w14:textId="77777777" w:rsidR="00B01173" w:rsidRPr="00F7157A" w:rsidRDefault="00B01173" w:rsidP="009A71F6">
            <w:pPr>
              <w:pStyle w:val="DICTA-TEXTO"/>
              <w:spacing w:after="0" w:line="240" w:lineRule="auto"/>
              <w:ind w:firstLine="0"/>
              <w:rPr>
                <w:lang w:val="es-ES_tradnl"/>
              </w:rPr>
            </w:pPr>
            <w:r w:rsidRPr="00F7157A">
              <w:rPr>
                <w:lang w:val="es-ES_tradnl"/>
              </w:rPr>
              <w:t>Precios semanales de productos agrícolas y ganaderos</w:t>
            </w:r>
          </w:p>
        </w:tc>
        <w:tc>
          <w:tcPr>
            <w:tcW w:w="1308" w:type="dxa"/>
            <w:noWrap/>
            <w:vAlign w:val="center"/>
            <w:hideMark/>
          </w:tcPr>
          <w:p w14:paraId="2F9C35F4" w14:textId="77777777" w:rsidR="00B01173" w:rsidRPr="00F7157A" w:rsidRDefault="00B01173" w:rsidP="009A71F6">
            <w:pPr>
              <w:pStyle w:val="DICTA-TEXTO"/>
              <w:spacing w:after="0" w:line="240" w:lineRule="auto"/>
              <w:jc w:val="right"/>
              <w:rPr>
                <w:lang w:val="es-ES_tradnl"/>
              </w:rPr>
            </w:pPr>
            <w:r w:rsidRPr="00F7157A">
              <w:rPr>
                <w:lang w:val="es-ES_tradnl"/>
              </w:rPr>
              <w:t>1.900</w:t>
            </w:r>
          </w:p>
        </w:tc>
      </w:tr>
      <w:tr w:rsidR="00F7157A" w:rsidRPr="00F7157A" w14:paraId="68983EC5" w14:textId="77777777" w:rsidTr="00CE2315">
        <w:trPr>
          <w:trHeight w:val="330"/>
        </w:trPr>
        <w:tc>
          <w:tcPr>
            <w:tcW w:w="6112" w:type="dxa"/>
            <w:noWrap/>
            <w:vAlign w:val="center"/>
            <w:hideMark/>
          </w:tcPr>
          <w:p w14:paraId="0F05FCD8" w14:textId="77777777" w:rsidR="00B01173" w:rsidRPr="00F7157A" w:rsidRDefault="00B01173" w:rsidP="009A71F6">
            <w:pPr>
              <w:pStyle w:val="DICTA-TEXTO"/>
              <w:spacing w:after="0" w:line="240" w:lineRule="auto"/>
              <w:ind w:firstLine="0"/>
              <w:rPr>
                <w:lang w:val="es-ES_tradnl"/>
              </w:rPr>
            </w:pPr>
            <w:r w:rsidRPr="00F7157A">
              <w:rPr>
                <w:lang w:val="es-ES_tradnl"/>
              </w:rPr>
              <w:t>Precios percibidos por los agricultores/as y ganaderos/as</w:t>
            </w:r>
          </w:p>
        </w:tc>
        <w:tc>
          <w:tcPr>
            <w:tcW w:w="1308" w:type="dxa"/>
            <w:noWrap/>
            <w:vAlign w:val="center"/>
            <w:hideMark/>
          </w:tcPr>
          <w:p w14:paraId="73C1B060" w14:textId="77777777" w:rsidR="00B01173" w:rsidRPr="00F7157A" w:rsidRDefault="00B01173" w:rsidP="009A71F6">
            <w:pPr>
              <w:pStyle w:val="DICTA-TEXTO"/>
              <w:spacing w:after="0" w:line="240" w:lineRule="auto"/>
              <w:jc w:val="right"/>
              <w:rPr>
                <w:lang w:val="es-ES_tradnl"/>
              </w:rPr>
            </w:pPr>
            <w:r w:rsidRPr="00F7157A">
              <w:rPr>
                <w:lang w:val="es-ES_tradnl"/>
              </w:rPr>
              <w:t>1.200</w:t>
            </w:r>
          </w:p>
        </w:tc>
      </w:tr>
      <w:tr w:rsidR="00F7157A" w:rsidRPr="00F7157A" w14:paraId="4DC1940A" w14:textId="77777777" w:rsidTr="00CE2315">
        <w:trPr>
          <w:trHeight w:val="330"/>
        </w:trPr>
        <w:tc>
          <w:tcPr>
            <w:tcW w:w="6112" w:type="dxa"/>
            <w:noWrap/>
            <w:vAlign w:val="center"/>
            <w:hideMark/>
          </w:tcPr>
          <w:p w14:paraId="33ACFAFC" w14:textId="77777777" w:rsidR="00B01173" w:rsidRPr="00F7157A" w:rsidRDefault="00B01173" w:rsidP="009A71F6">
            <w:pPr>
              <w:pStyle w:val="DICTA-TEXTO"/>
              <w:spacing w:after="0" w:line="240" w:lineRule="auto"/>
              <w:ind w:firstLine="0"/>
              <w:rPr>
                <w:lang w:val="es-ES_tradnl"/>
              </w:rPr>
            </w:pPr>
            <w:r w:rsidRPr="00F7157A">
              <w:rPr>
                <w:lang w:val="es-ES_tradnl"/>
              </w:rPr>
              <w:t>Precios pagados por los agricultores/as y ganaderos/as</w:t>
            </w:r>
          </w:p>
        </w:tc>
        <w:tc>
          <w:tcPr>
            <w:tcW w:w="1308" w:type="dxa"/>
            <w:noWrap/>
            <w:vAlign w:val="center"/>
            <w:hideMark/>
          </w:tcPr>
          <w:p w14:paraId="0E257336" w14:textId="77777777" w:rsidR="00B01173" w:rsidRPr="00F7157A" w:rsidRDefault="00B01173" w:rsidP="009A71F6">
            <w:pPr>
              <w:pStyle w:val="DICTA-TEXTO"/>
              <w:spacing w:after="0" w:line="240" w:lineRule="auto"/>
              <w:jc w:val="right"/>
              <w:rPr>
                <w:lang w:val="es-ES_tradnl"/>
              </w:rPr>
            </w:pPr>
            <w:r w:rsidRPr="00F7157A">
              <w:rPr>
                <w:lang w:val="es-ES_tradnl"/>
              </w:rPr>
              <w:t>655</w:t>
            </w:r>
          </w:p>
        </w:tc>
      </w:tr>
      <w:tr w:rsidR="00F7157A" w:rsidRPr="00F7157A" w14:paraId="749FFB57" w14:textId="77777777" w:rsidTr="00CE2315">
        <w:trPr>
          <w:trHeight w:val="330"/>
        </w:trPr>
        <w:tc>
          <w:tcPr>
            <w:tcW w:w="6112" w:type="dxa"/>
            <w:noWrap/>
            <w:vAlign w:val="center"/>
            <w:hideMark/>
          </w:tcPr>
          <w:p w14:paraId="16593108" w14:textId="77777777" w:rsidR="00B01173" w:rsidRPr="00F7157A" w:rsidRDefault="00B01173" w:rsidP="009A71F6">
            <w:pPr>
              <w:pStyle w:val="DICTA-TEXTO"/>
              <w:spacing w:after="0" w:line="240" w:lineRule="auto"/>
              <w:ind w:firstLine="0"/>
              <w:rPr>
                <w:lang w:val="es-ES_tradnl"/>
              </w:rPr>
            </w:pPr>
            <w:r w:rsidRPr="00F7157A">
              <w:rPr>
                <w:lang w:val="es-ES_tradnl"/>
              </w:rPr>
              <w:t>Precios de productos de pequeña significación</w:t>
            </w:r>
          </w:p>
        </w:tc>
        <w:tc>
          <w:tcPr>
            <w:tcW w:w="1308" w:type="dxa"/>
            <w:noWrap/>
            <w:vAlign w:val="center"/>
            <w:hideMark/>
          </w:tcPr>
          <w:p w14:paraId="76BABADF" w14:textId="77777777" w:rsidR="00B01173" w:rsidRPr="00F7157A" w:rsidRDefault="00B01173" w:rsidP="009A71F6">
            <w:pPr>
              <w:pStyle w:val="DICTA-TEXTO"/>
              <w:spacing w:after="0" w:line="240" w:lineRule="auto"/>
              <w:jc w:val="right"/>
              <w:rPr>
                <w:lang w:val="es-ES_tradnl"/>
              </w:rPr>
            </w:pPr>
            <w:r w:rsidRPr="00F7157A">
              <w:rPr>
                <w:lang w:val="es-ES_tradnl"/>
              </w:rPr>
              <w:t>330</w:t>
            </w:r>
          </w:p>
        </w:tc>
      </w:tr>
      <w:tr w:rsidR="00F7157A" w:rsidRPr="00F7157A" w14:paraId="6D910441" w14:textId="77777777" w:rsidTr="00CE2315">
        <w:trPr>
          <w:trHeight w:val="330"/>
        </w:trPr>
        <w:tc>
          <w:tcPr>
            <w:tcW w:w="6112" w:type="dxa"/>
            <w:noWrap/>
            <w:vAlign w:val="center"/>
            <w:hideMark/>
          </w:tcPr>
          <w:p w14:paraId="387A1C09" w14:textId="77777777" w:rsidR="00B01173" w:rsidRPr="00F7157A" w:rsidRDefault="00B01173" w:rsidP="009A71F6">
            <w:pPr>
              <w:pStyle w:val="DICTA-TEXTO"/>
              <w:spacing w:after="0" w:line="240" w:lineRule="auto"/>
              <w:ind w:firstLine="0"/>
              <w:rPr>
                <w:lang w:val="es-ES_tradnl"/>
              </w:rPr>
            </w:pPr>
            <w:r w:rsidRPr="00F7157A">
              <w:rPr>
                <w:lang w:val="es-ES_tradnl"/>
              </w:rPr>
              <w:t>Salarios agrarios</w:t>
            </w:r>
          </w:p>
        </w:tc>
        <w:tc>
          <w:tcPr>
            <w:tcW w:w="1308" w:type="dxa"/>
            <w:noWrap/>
            <w:vAlign w:val="center"/>
            <w:hideMark/>
          </w:tcPr>
          <w:p w14:paraId="3F92609C" w14:textId="77777777" w:rsidR="00B01173" w:rsidRPr="00F7157A" w:rsidRDefault="00B01173" w:rsidP="009A71F6">
            <w:pPr>
              <w:pStyle w:val="DICTA-TEXTO"/>
              <w:spacing w:after="0" w:line="240" w:lineRule="auto"/>
              <w:jc w:val="right"/>
              <w:rPr>
                <w:lang w:val="es-ES_tradnl"/>
              </w:rPr>
            </w:pPr>
            <w:r w:rsidRPr="00F7157A">
              <w:rPr>
                <w:lang w:val="es-ES_tradnl"/>
              </w:rPr>
              <w:t>220</w:t>
            </w:r>
          </w:p>
        </w:tc>
      </w:tr>
      <w:tr w:rsidR="00F7157A" w:rsidRPr="00F7157A" w14:paraId="012BEBE3" w14:textId="77777777" w:rsidTr="00CE2315">
        <w:trPr>
          <w:trHeight w:val="330"/>
        </w:trPr>
        <w:tc>
          <w:tcPr>
            <w:tcW w:w="6112" w:type="dxa"/>
            <w:noWrap/>
            <w:vAlign w:val="center"/>
            <w:hideMark/>
          </w:tcPr>
          <w:p w14:paraId="6F5D2BAB" w14:textId="77777777" w:rsidR="00B01173" w:rsidRPr="00F7157A" w:rsidRDefault="00B01173" w:rsidP="009A71F6">
            <w:pPr>
              <w:pStyle w:val="DICTA-TEXTO"/>
              <w:spacing w:after="0" w:line="240" w:lineRule="auto"/>
              <w:ind w:firstLine="0"/>
              <w:rPr>
                <w:lang w:val="es-ES_tradnl"/>
              </w:rPr>
            </w:pPr>
            <w:r w:rsidRPr="00F7157A">
              <w:rPr>
                <w:lang w:val="es-ES_tradnl"/>
              </w:rPr>
              <w:t>Cuentas macroeconómicas</w:t>
            </w:r>
          </w:p>
        </w:tc>
        <w:tc>
          <w:tcPr>
            <w:tcW w:w="1308" w:type="dxa"/>
            <w:noWrap/>
            <w:vAlign w:val="center"/>
            <w:hideMark/>
          </w:tcPr>
          <w:p w14:paraId="64613B46" w14:textId="77777777" w:rsidR="00B01173" w:rsidRPr="00F7157A" w:rsidRDefault="00B01173" w:rsidP="009A71F6">
            <w:pPr>
              <w:pStyle w:val="DICTA-TEXTO"/>
              <w:spacing w:after="0" w:line="240" w:lineRule="auto"/>
              <w:jc w:val="right"/>
              <w:rPr>
                <w:lang w:val="es-ES_tradnl"/>
              </w:rPr>
            </w:pPr>
            <w:r w:rsidRPr="00F7157A">
              <w:rPr>
                <w:lang w:val="es-ES_tradnl"/>
              </w:rPr>
              <w:t>220</w:t>
            </w:r>
          </w:p>
        </w:tc>
      </w:tr>
      <w:tr w:rsidR="00F7157A" w:rsidRPr="00F7157A" w14:paraId="2D72543D" w14:textId="77777777" w:rsidTr="00CE2315">
        <w:trPr>
          <w:trHeight w:val="330"/>
        </w:trPr>
        <w:tc>
          <w:tcPr>
            <w:tcW w:w="6112" w:type="dxa"/>
            <w:noWrap/>
            <w:vAlign w:val="center"/>
            <w:hideMark/>
          </w:tcPr>
          <w:p w14:paraId="0D0515D2" w14:textId="77777777" w:rsidR="00B01173" w:rsidRPr="00F7157A" w:rsidRDefault="00B01173" w:rsidP="009A71F6">
            <w:pPr>
              <w:pStyle w:val="DICTA-TEXTO"/>
              <w:spacing w:after="0" w:line="240" w:lineRule="auto"/>
              <w:ind w:firstLine="0"/>
              <w:rPr>
                <w:lang w:val="es-ES_tradnl"/>
              </w:rPr>
            </w:pPr>
            <w:r w:rsidRPr="00F7157A">
              <w:rPr>
                <w:lang w:val="es-ES_tradnl"/>
              </w:rPr>
              <w:t>Meteorología-Completa</w:t>
            </w:r>
          </w:p>
        </w:tc>
        <w:tc>
          <w:tcPr>
            <w:tcW w:w="1308" w:type="dxa"/>
            <w:noWrap/>
            <w:vAlign w:val="center"/>
            <w:hideMark/>
          </w:tcPr>
          <w:p w14:paraId="1722CF2B" w14:textId="77777777" w:rsidR="00B01173" w:rsidRPr="00F7157A" w:rsidRDefault="00B01173" w:rsidP="009A71F6">
            <w:pPr>
              <w:pStyle w:val="DICTA-TEXTO"/>
              <w:spacing w:after="0" w:line="240" w:lineRule="auto"/>
              <w:jc w:val="right"/>
              <w:rPr>
                <w:lang w:val="es-ES_tradnl"/>
              </w:rPr>
            </w:pPr>
            <w:r w:rsidRPr="00F7157A">
              <w:rPr>
                <w:lang w:val="es-ES_tradnl"/>
              </w:rPr>
              <w:t>1.440</w:t>
            </w:r>
          </w:p>
        </w:tc>
      </w:tr>
      <w:tr w:rsidR="00F7157A" w:rsidRPr="00F7157A" w14:paraId="6CFD59A5" w14:textId="77777777" w:rsidTr="00CE2315">
        <w:trPr>
          <w:trHeight w:val="330"/>
        </w:trPr>
        <w:tc>
          <w:tcPr>
            <w:tcW w:w="6112" w:type="dxa"/>
            <w:noWrap/>
            <w:vAlign w:val="center"/>
            <w:hideMark/>
          </w:tcPr>
          <w:p w14:paraId="16167F6B" w14:textId="77777777" w:rsidR="00B01173" w:rsidRPr="00F7157A" w:rsidRDefault="00B01173" w:rsidP="009A71F6">
            <w:pPr>
              <w:pStyle w:val="DICTA-TEXTO"/>
              <w:spacing w:after="0" w:line="240" w:lineRule="auto"/>
              <w:ind w:firstLine="0"/>
              <w:rPr>
                <w:lang w:val="es-ES_tradnl"/>
              </w:rPr>
            </w:pPr>
            <w:r w:rsidRPr="00F7157A">
              <w:rPr>
                <w:lang w:val="es-ES_tradnl"/>
              </w:rPr>
              <w:t>Meteorología-Semicompleta</w:t>
            </w:r>
          </w:p>
        </w:tc>
        <w:tc>
          <w:tcPr>
            <w:tcW w:w="1308" w:type="dxa"/>
            <w:noWrap/>
            <w:vAlign w:val="center"/>
            <w:hideMark/>
          </w:tcPr>
          <w:p w14:paraId="7822E021" w14:textId="77777777" w:rsidR="00B01173" w:rsidRPr="00F7157A" w:rsidRDefault="00B01173" w:rsidP="009A71F6">
            <w:pPr>
              <w:pStyle w:val="DICTA-TEXTO"/>
              <w:spacing w:after="0" w:line="240" w:lineRule="auto"/>
              <w:jc w:val="right"/>
              <w:rPr>
                <w:lang w:val="es-ES_tradnl"/>
              </w:rPr>
            </w:pPr>
            <w:r w:rsidRPr="00F7157A">
              <w:rPr>
                <w:lang w:val="es-ES_tradnl"/>
              </w:rPr>
              <w:t>1.275</w:t>
            </w:r>
          </w:p>
        </w:tc>
      </w:tr>
      <w:tr w:rsidR="00F7157A" w:rsidRPr="00F7157A" w14:paraId="174EC971" w14:textId="77777777" w:rsidTr="00CE2315">
        <w:trPr>
          <w:trHeight w:val="330"/>
        </w:trPr>
        <w:tc>
          <w:tcPr>
            <w:tcW w:w="6112" w:type="dxa"/>
            <w:noWrap/>
            <w:vAlign w:val="center"/>
            <w:hideMark/>
          </w:tcPr>
          <w:p w14:paraId="4E64F6B7" w14:textId="77777777" w:rsidR="00B01173" w:rsidRPr="00F7157A" w:rsidRDefault="00B01173" w:rsidP="009A71F6">
            <w:pPr>
              <w:pStyle w:val="DICTA-TEXTO"/>
              <w:spacing w:after="0" w:line="240" w:lineRule="auto"/>
              <w:ind w:firstLine="0"/>
              <w:rPr>
                <w:lang w:val="es-ES_tradnl"/>
              </w:rPr>
            </w:pPr>
            <w:r w:rsidRPr="00F7157A">
              <w:rPr>
                <w:lang w:val="es-ES_tradnl"/>
              </w:rPr>
              <w:t>Meteorología-Termopluviométrica con información de nieve</w:t>
            </w:r>
          </w:p>
        </w:tc>
        <w:tc>
          <w:tcPr>
            <w:tcW w:w="1308" w:type="dxa"/>
            <w:noWrap/>
            <w:vAlign w:val="center"/>
            <w:hideMark/>
          </w:tcPr>
          <w:p w14:paraId="1259BA5A" w14:textId="77777777" w:rsidR="00B01173" w:rsidRPr="00F7157A" w:rsidRDefault="00B01173" w:rsidP="009A71F6">
            <w:pPr>
              <w:pStyle w:val="DICTA-TEXTO"/>
              <w:spacing w:after="0" w:line="240" w:lineRule="auto"/>
              <w:jc w:val="right"/>
              <w:rPr>
                <w:lang w:val="es-ES_tradnl"/>
              </w:rPr>
            </w:pPr>
            <w:r w:rsidRPr="00F7157A">
              <w:rPr>
                <w:lang w:val="es-ES_tradnl"/>
              </w:rPr>
              <w:t>1.070</w:t>
            </w:r>
          </w:p>
        </w:tc>
      </w:tr>
      <w:tr w:rsidR="00F7157A" w:rsidRPr="00F7157A" w14:paraId="2C97CA21" w14:textId="77777777" w:rsidTr="00CE2315">
        <w:trPr>
          <w:trHeight w:val="330"/>
        </w:trPr>
        <w:tc>
          <w:tcPr>
            <w:tcW w:w="6112" w:type="dxa"/>
            <w:noWrap/>
            <w:vAlign w:val="center"/>
            <w:hideMark/>
          </w:tcPr>
          <w:p w14:paraId="4492B71D" w14:textId="77777777" w:rsidR="00B01173" w:rsidRPr="00F7157A" w:rsidRDefault="00B01173" w:rsidP="009A71F6">
            <w:pPr>
              <w:pStyle w:val="DICTA-TEXTO"/>
              <w:spacing w:after="0" w:line="240" w:lineRule="auto"/>
              <w:ind w:firstLine="0"/>
              <w:rPr>
                <w:lang w:val="es-ES_tradnl"/>
              </w:rPr>
            </w:pPr>
            <w:r w:rsidRPr="00F7157A">
              <w:rPr>
                <w:lang w:val="es-ES_tradnl"/>
              </w:rPr>
              <w:t>Meteorología-Termopluviométrica</w:t>
            </w:r>
          </w:p>
        </w:tc>
        <w:tc>
          <w:tcPr>
            <w:tcW w:w="1308" w:type="dxa"/>
            <w:noWrap/>
            <w:vAlign w:val="center"/>
            <w:hideMark/>
          </w:tcPr>
          <w:p w14:paraId="4B879CD1" w14:textId="77777777" w:rsidR="00B01173" w:rsidRPr="00F7157A" w:rsidRDefault="00B01173" w:rsidP="009A71F6">
            <w:pPr>
              <w:pStyle w:val="DICTA-TEXTO"/>
              <w:spacing w:after="0" w:line="240" w:lineRule="auto"/>
              <w:jc w:val="right"/>
              <w:rPr>
                <w:lang w:val="es-ES_tradnl"/>
              </w:rPr>
            </w:pPr>
            <w:r w:rsidRPr="00F7157A">
              <w:rPr>
                <w:lang w:val="es-ES_tradnl"/>
              </w:rPr>
              <w:t>820</w:t>
            </w:r>
          </w:p>
        </w:tc>
      </w:tr>
      <w:tr w:rsidR="00F7157A" w:rsidRPr="00F7157A" w14:paraId="04008D87" w14:textId="77777777" w:rsidTr="00CE2315">
        <w:trPr>
          <w:trHeight w:val="330"/>
        </w:trPr>
        <w:tc>
          <w:tcPr>
            <w:tcW w:w="6112" w:type="dxa"/>
            <w:noWrap/>
            <w:vAlign w:val="center"/>
            <w:hideMark/>
          </w:tcPr>
          <w:p w14:paraId="56322369" w14:textId="77777777" w:rsidR="00B01173" w:rsidRPr="00F7157A" w:rsidRDefault="00B01173" w:rsidP="009A71F6">
            <w:pPr>
              <w:pStyle w:val="DICTA-TEXTO"/>
              <w:spacing w:after="0" w:line="240" w:lineRule="auto"/>
              <w:ind w:firstLine="0"/>
              <w:rPr>
                <w:lang w:val="es-ES_tradnl"/>
              </w:rPr>
            </w:pPr>
            <w:r w:rsidRPr="00F7157A">
              <w:rPr>
                <w:lang w:val="es-ES_tradnl"/>
              </w:rPr>
              <w:t>Meteorología-Pluviométrica</w:t>
            </w:r>
          </w:p>
        </w:tc>
        <w:tc>
          <w:tcPr>
            <w:tcW w:w="1308" w:type="dxa"/>
            <w:noWrap/>
            <w:vAlign w:val="center"/>
            <w:hideMark/>
          </w:tcPr>
          <w:p w14:paraId="5C8561AA" w14:textId="77777777" w:rsidR="00B01173" w:rsidRPr="00F7157A" w:rsidRDefault="00B01173" w:rsidP="009A71F6">
            <w:pPr>
              <w:pStyle w:val="DICTA-TEXTO"/>
              <w:spacing w:after="0" w:line="240" w:lineRule="auto"/>
              <w:jc w:val="right"/>
              <w:rPr>
                <w:lang w:val="es-ES_tradnl"/>
              </w:rPr>
            </w:pPr>
            <w:r w:rsidRPr="00F7157A">
              <w:rPr>
                <w:lang w:val="es-ES_tradnl"/>
              </w:rPr>
              <w:t>725</w:t>
            </w:r>
          </w:p>
        </w:tc>
      </w:tr>
      <w:tr w:rsidR="00B01173" w:rsidRPr="00F7157A" w14:paraId="2E09BE47" w14:textId="77777777" w:rsidTr="00CE2315">
        <w:trPr>
          <w:trHeight w:val="330"/>
        </w:trPr>
        <w:tc>
          <w:tcPr>
            <w:tcW w:w="6112" w:type="dxa"/>
            <w:noWrap/>
            <w:vAlign w:val="center"/>
            <w:hideMark/>
          </w:tcPr>
          <w:p w14:paraId="2442348F" w14:textId="77777777" w:rsidR="00B01173" w:rsidRPr="00F7157A" w:rsidRDefault="00B01173" w:rsidP="009A71F6">
            <w:pPr>
              <w:pStyle w:val="DICTA-TEXTO"/>
              <w:spacing w:after="0" w:line="240" w:lineRule="auto"/>
              <w:ind w:firstLine="0"/>
              <w:rPr>
                <w:lang w:val="es-ES_tradnl"/>
              </w:rPr>
            </w:pPr>
            <w:r w:rsidRPr="00F7157A">
              <w:rPr>
                <w:lang w:val="es-ES_tradnl"/>
              </w:rPr>
              <w:t>Meteorología-Semicompleta con información de nieve</w:t>
            </w:r>
          </w:p>
        </w:tc>
        <w:tc>
          <w:tcPr>
            <w:tcW w:w="1308" w:type="dxa"/>
            <w:noWrap/>
            <w:vAlign w:val="center"/>
            <w:hideMark/>
          </w:tcPr>
          <w:p w14:paraId="1AE7147D" w14:textId="77777777" w:rsidR="00B01173" w:rsidRPr="00F7157A" w:rsidRDefault="00B01173" w:rsidP="009A71F6">
            <w:pPr>
              <w:pStyle w:val="DICTA-TEXTO"/>
              <w:spacing w:after="0" w:line="240" w:lineRule="auto"/>
              <w:jc w:val="right"/>
              <w:rPr>
                <w:lang w:val="es-ES_tradnl"/>
              </w:rPr>
            </w:pPr>
            <w:r w:rsidRPr="00F7157A">
              <w:rPr>
                <w:lang w:val="es-ES_tradnl"/>
              </w:rPr>
              <w:t>1.525</w:t>
            </w:r>
          </w:p>
        </w:tc>
      </w:tr>
    </w:tbl>
    <w:p w14:paraId="46D56C7B" w14:textId="77777777" w:rsidR="00C81786" w:rsidRPr="00F7157A" w:rsidRDefault="00C81786" w:rsidP="00E3153F">
      <w:pPr>
        <w:shd w:val="clear" w:color="auto" w:fill="FFFFFF"/>
        <w:spacing w:after="300" w:line="340" w:lineRule="exact"/>
        <w:jc w:val="both"/>
        <w:rPr>
          <w:rFonts w:ascii="Arial" w:eastAsia="Times New Roman" w:hAnsi="Arial" w:cs="Arial"/>
          <w:sz w:val="24"/>
          <w:szCs w:val="24"/>
          <w:lang w:val="es-ES" w:eastAsia="es-ES"/>
        </w:rPr>
      </w:pPr>
    </w:p>
    <w:p w14:paraId="04AF777D" w14:textId="77777777" w:rsidR="00E3153F" w:rsidRPr="00F7157A" w:rsidRDefault="00E3153F" w:rsidP="00E3153F">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Disposición adicional octava.</w:t>
      </w:r>
      <w:r w:rsidR="00C70686" w:rsidRPr="00F7157A">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Contratos de servicios y encargos para el control de ayudas provenientes del Fondo Europeo Agrícola de Garantía (FEAGA) y del Fondo Europeo Agrícola de Desarrollo Rural (FEADER).</w:t>
      </w:r>
    </w:p>
    <w:p w14:paraId="5A87B0DA" w14:textId="77777777" w:rsidR="00E3153F" w:rsidRPr="00F7157A" w:rsidRDefault="00E3153F" w:rsidP="00E3153F">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efectos de garantizar el cumplimiento de las obligaciones derivadas del Reglamento Delegado (UE) 2022/127 de la Comisión de 7 de diciembre de 2021 que completa el Reglamento (UE) 2021/2116 del Parlamento Europeo y del Consejo con normas relativas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servicios, con objeto de controlar y verificar los hechos en base a los cuales se realizan los pagos a quienes solicitan las ayudas provenientes de los citados fondos europeos, o de apoyar la ejecución de las funciones del Organismo Pagador de la Comunidad Foral de Navarra. Asimismo, podrá encargar la realización de estas tareas a los entes instrumentales de la Administración de la Comunidad Foral de Navarra.</w:t>
      </w:r>
    </w:p>
    <w:p w14:paraId="22988F1D" w14:textId="77777777" w:rsidR="003A7F2C" w:rsidRPr="00F7157A" w:rsidRDefault="003A7F2C" w:rsidP="003A7F2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
          <w:sz w:val="24"/>
          <w:szCs w:val="24"/>
          <w:lang w:val="es-ES" w:eastAsia="es-ES"/>
        </w:rPr>
        <w:t>Disposición adicional novena. Habilitación para la participación en acciones docentes o investigadoras del personal sanitario adscrito al Departamento de Salud y sus organi</w:t>
      </w:r>
      <w:r w:rsidR="00CE2315" w:rsidRPr="00F7157A">
        <w:rPr>
          <w:rFonts w:ascii="Arial" w:eastAsia="Times New Roman" w:hAnsi="Arial" w:cs="Arial"/>
          <w:b/>
          <w:sz w:val="24"/>
          <w:szCs w:val="24"/>
          <w:lang w:val="es-ES" w:eastAsia="es-ES"/>
        </w:rPr>
        <w:t>smos autónomos.</w:t>
      </w:r>
    </w:p>
    <w:p w14:paraId="51B6FEEF" w14:textId="77777777" w:rsidR="003A7F2C" w:rsidRPr="00F7157A" w:rsidRDefault="003A7F2C" w:rsidP="003A7F2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w:t>
      </w:r>
      <w:r w:rsidR="00A87AE9" w:rsidRPr="00F7157A">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Departamento de Salud y la citada Universidad Pública de Navarra.</w:t>
      </w:r>
    </w:p>
    <w:p w14:paraId="745F07E3" w14:textId="77777777" w:rsidR="003A7F2C" w:rsidRPr="00F7157A" w:rsidRDefault="003A7F2C" w:rsidP="003A7F2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w:t>
      </w:r>
      <w:r w:rsidR="00A87AE9" w:rsidRPr="00F7157A">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Asimismo se habilita al personal sanitario adscrito al Departamento de Salud y sus organismos autónomos para realizar, dentro del ámbito de sus funciones, acciones investigadoras en entidades integrantes del Sector Público Institucional Foral que resulten de interés para el Gobierno de Navarra.</w:t>
      </w:r>
    </w:p>
    <w:p w14:paraId="7CBE9356" w14:textId="77777777" w:rsidR="003A7F2C" w:rsidRPr="00F7157A" w:rsidRDefault="00A87AE9" w:rsidP="003A7F2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3. </w:t>
      </w:r>
      <w:r w:rsidR="003A7F2C" w:rsidRPr="00F7157A">
        <w:rPr>
          <w:rFonts w:ascii="Arial" w:eastAsia="Times New Roman" w:hAnsi="Arial" w:cs="Arial"/>
          <w:sz w:val="24"/>
          <w:szCs w:val="24"/>
          <w:lang w:val="es-ES" w:eastAsia="es-ES"/>
        </w:rPr>
        <w:t>La autorización para realizar las actividades señaladas en los apartados anteriores será concedida previa resolución de la Dirección General de Salud, la Dirección Gerencia del Servicio Navarro de Salud-Osasunbidea o de la Dirección Gerencia del Instituto de Salud Pública y Laboral de Navarra en virtud de la adscripción orgánica de la persona interesada.</w:t>
      </w:r>
    </w:p>
    <w:p w14:paraId="36273E75" w14:textId="77777777" w:rsidR="00EA6E16" w:rsidRPr="00F7157A" w:rsidRDefault="003A7F2C" w:rsidP="003A7F2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4.</w:t>
      </w:r>
      <w:r w:rsidR="00A87AE9" w:rsidRPr="00F7157A">
        <w:rPr>
          <w:rFonts w:ascii="Arial" w:eastAsia="Times New Roman" w:hAnsi="Arial" w:cs="Arial"/>
          <w:sz w:val="24"/>
          <w:szCs w:val="24"/>
          <w:lang w:val="es-ES" w:eastAsia="es-ES"/>
        </w:rPr>
        <w:t xml:space="preserve"> </w:t>
      </w:r>
      <w:r w:rsidRPr="00F7157A">
        <w:rPr>
          <w:rFonts w:ascii="Arial" w:eastAsia="Times New Roman" w:hAnsi="Arial" w:cs="Arial"/>
          <w:sz w:val="24"/>
          <w:szCs w:val="24"/>
          <w:lang w:val="es-ES" w:eastAsia="es-ES"/>
        </w:rPr>
        <w:t>Mediante concierto entre el Gobierno de Navarra y la Universidad Pública de Navarra, se podrá establecer la vinculación de plazas de personal docente e investigador de la Universidad a los servicios asistenciales o de salud pública de instituciones sanitarias públicas, conforme a lo dispuesto en la Ley General de Sanidad, en la Ley Orgánica del Sistema Universitario y sus disposiciones de desarrollo. Dichas plazas podrán pertenecer a los cuerpos docentes universitarios, profesorado permanente laboral y profesorado ayudante doctor y se podrán vincular a plazas de personal sanitario adscrito al departamento de Salud y a sus Organismos Públicos y supondrán, para quien las ocupe, el cumplimiento de funciones docentes y asistenciales. Las condiciones y la dedicación horaria de estas plazas se desarrollarán en el concierto.</w:t>
      </w:r>
    </w:p>
    <w:p w14:paraId="1A93DDDB" w14:textId="77777777" w:rsidR="00A87AE9" w:rsidRPr="00F7157A" w:rsidRDefault="00A87AE9" w:rsidP="00A87AE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
          <w:sz w:val="24"/>
          <w:szCs w:val="24"/>
          <w:lang w:val="es-ES" w:eastAsia="es-ES"/>
        </w:rPr>
        <w:t>Disposición adicional décima</w:t>
      </w:r>
      <w:r w:rsidR="00C70686" w:rsidRPr="00F7157A">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Ampliación del ámbito de aplicación del complemento de productividad fija del personal facultativo.</w:t>
      </w:r>
    </w:p>
    <w:p w14:paraId="35B2DBBF" w14:textId="77777777" w:rsidR="00A87AE9" w:rsidRPr="00F7157A" w:rsidRDefault="00A87AE9" w:rsidP="00A87AE9">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 amplía el ámbito de aplicación del complemento de productividad fija previsto en el artículo 6.3.i) de la Ley Foral 11/1992, de 20 de octubre, reguladora del régimen específico del personal adscrito al Servicio Navarro de Salud-Osasunbidea, al personal facultativo sanitario de todos los Departamentos de la Administración de la Comunidad Foral de Navarra y de sus organismos autónomos con nombramiento correspondiente a los estamentos sanitarios A.1, A.2.5.1 a A.2.5.6 y A.2.5.8 del Anexo de la citada Ley Foral, a los que expresamente remite el artículo 15 ter de dicha Ley Foral.</w:t>
      </w:r>
    </w:p>
    <w:p w14:paraId="29A50947" w14:textId="77777777" w:rsidR="00B018CA" w:rsidRPr="00F7157A" w:rsidRDefault="00B018CA" w:rsidP="00B018CA">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Disposición final primera. Modificación Ley Foral 13/2007, de 4 de abril, de la Hacienda Pública de Navarra.</w:t>
      </w:r>
    </w:p>
    <w:p w14:paraId="3B61A8EF" w14:textId="77777777" w:rsidR="00B018CA" w:rsidRPr="00F7157A" w:rsidRDefault="00CA2757"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Uno</w:t>
      </w:r>
      <w:r w:rsidR="00B018CA" w:rsidRPr="00F7157A">
        <w:rPr>
          <w:rFonts w:ascii="Arial" w:eastAsia="Times New Roman" w:hAnsi="Arial" w:cs="Arial"/>
          <w:sz w:val="24"/>
          <w:szCs w:val="24"/>
          <w:lang w:val="es-ES" w:eastAsia="es-ES"/>
        </w:rPr>
        <w:t>. Se modifica el apartado 3 del artículo 36, que queda redactado en los siguientes términos:</w:t>
      </w:r>
    </w:p>
    <w:p w14:paraId="2C9A9EE2"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“3. Antes del primero de noviembre de cada año, el Gobierno de Navarra remitirá al Parlamento el proyecto de Ley Foral de Presupuestos Generales, para su examen, enmienda y aprobación, en su caso.</w:t>
      </w:r>
    </w:p>
    <w:p w14:paraId="42CE1792"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Las enmiendas que se presenten al referido proyecto de Ley Foral en ningún caso podrán proponer una reducción en la consignación prevista para los créditos ampliables contemplados en las letras a), b), c) y d) del apartado 1 del artículo 47 de la presente Ley Foral. Asimismo, tampoco podrán </w:t>
      </w:r>
      <w:r w:rsidR="000C320C" w:rsidRPr="00F7157A">
        <w:rPr>
          <w:rFonts w:ascii="Arial" w:eastAsia="Times New Roman" w:hAnsi="Arial" w:cs="Arial"/>
          <w:sz w:val="24"/>
          <w:szCs w:val="24"/>
          <w:lang w:val="es-ES" w:eastAsia="es-ES"/>
        </w:rPr>
        <w:t>proponer</w:t>
      </w:r>
      <w:r w:rsidRPr="00F7157A">
        <w:rPr>
          <w:rFonts w:ascii="Arial" w:eastAsia="Times New Roman" w:hAnsi="Arial" w:cs="Arial"/>
          <w:sz w:val="24"/>
          <w:szCs w:val="24"/>
          <w:lang w:val="es-ES" w:eastAsia="es-ES"/>
        </w:rPr>
        <w:t xml:space="preserve"> ni aumento ni disminución de los créditos </w:t>
      </w:r>
      <w:r w:rsidR="000C320C" w:rsidRPr="00F7157A">
        <w:rPr>
          <w:rFonts w:ascii="Arial" w:eastAsia="Times New Roman" w:hAnsi="Arial" w:cs="Arial"/>
          <w:sz w:val="24"/>
          <w:szCs w:val="24"/>
          <w:lang w:val="es-ES" w:eastAsia="es-ES"/>
        </w:rPr>
        <w:t>previstos en aquellas partidas que cuenten con financiación afectada mediante ley foral</w:t>
      </w:r>
      <w:r w:rsidR="0074289E">
        <w:rPr>
          <w:rFonts w:ascii="Arial" w:eastAsia="Times New Roman" w:hAnsi="Arial" w:cs="Arial"/>
          <w:sz w:val="24"/>
          <w:szCs w:val="24"/>
          <w:lang w:val="es-ES" w:eastAsia="es-ES"/>
        </w:rPr>
        <w:t>”</w:t>
      </w:r>
      <w:r w:rsidR="000C320C" w:rsidRPr="00F7157A">
        <w:rPr>
          <w:rFonts w:ascii="Arial" w:eastAsia="Times New Roman" w:hAnsi="Arial" w:cs="Arial"/>
          <w:sz w:val="24"/>
          <w:szCs w:val="24"/>
          <w:lang w:val="es-ES" w:eastAsia="es-ES"/>
        </w:rPr>
        <w:t>.</w:t>
      </w:r>
    </w:p>
    <w:p w14:paraId="776B2336" w14:textId="77777777" w:rsidR="00B018CA" w:rsidRPr="00F7157A" w:rsidRDefault="00CA2757"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hAnsi="Arial" w:cs="Arial"/>
          <w:iCs/>
          <w:sz w:val="24"/>
          <w:szCs w:val="24"/>
        </w:rPr>
        <w:lastRenderedPageBreak/>
        <w:t>Dos</w:t>
      </w:r>
      <w:r w:rsidR="00B018CA" w:rsidRPr="00F7157A">
        <w:rPr>
          <w:rFonts w:ascii="Arial" w:hAnsi="Arial" w:cs="Arial"/>
          <w:iCs/>
          <w:sz w:val="24"/>
          <w:szCs w:val="24"/>
        </w:rPr>
        <w:t>.</w:t>
      </w:r>
      <w:r w:rsidR="00B018CA" w:rsidRPr="00F7157A">
        <w:rPr>
          <w:rFonts w:ascii="Arial" w:hAnsi="Arial" w:cs="Arial"/>
          <w:i/>
          <w:iCs/>
          <w:sz w:val="24"/>
          <w:szCs w:val="24"/>
        </w:rPr>
        <w:t xml:space="preserve"> </w:t>
      </w:r>
      <w:r w:rsidR="00B018CA" w:rsidRPr="00F7157A">
        <w:rPr>
          <w:rFonts w:ascii="Arial" w:eastAsia="Times New Roman" w:hAnsi="Arial" w:cs="Arial"/>
          <w:sz w:val="24"/>
          <w:szCs w:val="24"/>
          <w:lang w:val="es-ES" w:eastAsia="es-ES"/>
        </w:rPr>
        <w:t xml:space="preserve">Se </w:t>
      </w:r>
      <w:r w:rsidR="00022DFE" w:rsidRPr="00F7157A">
        <w:rPr>
          <w:rFonts w:ascii="Arial" w:eastAsia="Times New Roman" w:hAnsi="Arial" w:cs="Arial"/>
          <w:sz w:val="24"/>
          <w:szCs w:val="24"/>
          <w:lang w:val="es-ES" w:eastAsia="es-ES"/>
        </w:rPr>
        <w:t xml:space="preserve">modifica el </w:t>
      </w:r>
      <w:r w:rsidR="00B018CA" w:rsidRPr="00F7157A">
        <w:rPr>
          <w:rFonts w:ascii="Arial" w:eastAsia="Times New Roman" w:hAnsi="Arial" w:cs="Arial"/>
          <w:sz w:val="24"/>
          <w:szCs w:val="24"/>
          <w:lang w:val="es-ES" w:eastAsia="es-ES"/>
        </w:rPr>
        <w:t xml:space="preserve">apartado </w:t>
      </w:r>
      <w:r w:rsidR="0041463A" w:rsidRPr="00F7157A">
        <w:rPr>
          <w:rFonts w:ascii="Arial" w:eastAsia="Times New Roman" w:hAnsi="Arial" w:cs="Arial"/>
          <w:sz w:val="24"/>
          <w:szCs w:val="24"/>
          <w:lang w:val="es-ES" w:eastAsia="es-ES"/>
        </w:rPr>
        <w:t>2</w:t>
      </w:r>
      <w:r w:rsidR="00B018CA" w:rsidRPr="00F7157A">
        <w:rPr>
          <w:rFonts w:ascii="Arial" w:eastAsia="Times New Roman" w:hAnsi="Arial" w:cs="Arial"/>
          <w:sz w:val="24"/>
          <w:szCs w:val="24"/>
          <w:lang w:val="es-ES" w:eastAsia="es-ES"/>
        </w:rPr>
        <w:t xml:space="preserve"> del artículo </w:t>
      </w:r>
      <w:r w:rsidR="0041463A" w:rsidRPr="00F7157A">
        <w:rPr>
          <w:rFonts w:ascii="Arial" w:eastAsia="Times New Roman" w:hAnsi="Arial" w:cs="Arial"/>
          <w:sz w:val="24"/>
          <w:szCs w:val="24"/>
          <w:lang w:val="es-ES" w:eastAsia="es-ES"/>
        </w:rPr>
        <w:t>40</w:t>
      </w:r>
      <w:r w:rsidR="00B018CA" w:rsidRPr="00F7157A">
        <w:rPr>
          <w:rFonts w:ascii="Arial" w:eastAsia="Times New Roman" w:hAnsi="Arial" w:cs="Arial"/>
          <w:sz w:val="24"/>
          <w:szCs w:val="24"/>
          <w:lang w:val="es-ES" w:eastAsia="es-ES"/>
        </w:rPr>
        <w:t>, que queda redactado en los siguientes términos:</w:t>
      </w:r>
    </w:p>
    <w:p w14:paraId="6432D363" w14:textId="77777777" w:rsidR="00022DFE" w:rsidRPr="00F7157A" w:rsidRDefault="00B018CA" w:rsidP="00B018CA">
      <w:pPr>
        <w:shd w:val="clear" w:color="auto" w:fill="FFFFFF"/>
        <w:spacing w:after="300" w:line="340" w:lineRule="exact"/>
        <w:jc w:val="both"/>
        <w:rPr>
          <w:rFonts w:ascii="Arial" w:hAnsi="Arial" w:cs="Arial"/>
          <w:iCs/>
          <w:sz w:val="24"/>
          <w:szCs w:val="24"/>
        </w:rPr>
      </w:pPr>
      <w:r w:rsidRPr="00F7157A">
        <w:rPr>
          <w:rFonts w:ascii="Arial" w:eastAsia="Times New Roman" w:hAnsi="Arial" w:cs="Arial"/>
          <w:sz w:val="24"/>
          <w:szCs w:val="24"/>
          <w:lang w:val="es-ES" w:eastAsia="es-ES"/>
        </w:rPr>
        <w:t>“</w:t>
      </w:r>
      <w:r w:rsidR="00CA2757" w:rsidRPr="00F7157A">
        <w:rPr>
          <w:rFonts w:ascii="Arial" w:eastAsia="Times New Roman" w:hAnsi="Arial" w:cs="Arial"/>
          <w:sz w:val="24"/>
          <w:szCs w:val="24"/>
          <w:lang w:val="es-ES" w:eastAsia="es-ES"/>
        </w:rPr>
        <w:t xml:space="preserve">2. </w:t>
      </w:r>
      <w:r w:rsidR="00022DFE" w:rsidRPr="00F7157A">
        <w:rPr>
          <w:rFonts w:ascii="Arial" w:eastAsia="Times New Roman" w:hAnsi="Arial" w:cs="Arial"/>
          <w:sz w:val="24"/>
          <w:szCs w:val="24"/>
          <w:lang w:val="es-ES" w:eastAsia="es-ES"/>
        </w:rPr>
        <w:t>El número de ejercicios al que pueden imputarse los gastos no será superior a cinco, salvo en los casos autorizados por una norma con rango de ley. El gasto que se impute a cada uno de los ejercicios posteriores no podrá exceder de la cantidad que resulte de aplicar al volumen de los créditos iniciales de cada capítulo los siguientes porcentajes: en el ejercicio inmediato siguiente, el 70 por ciento, en el segundo ejercicio, el 60 por ciento, y en los siguientes, el 50 por ciento</w:t>
      </w:r>
      <w:r w:rsidR="00022DFE" w:rsidRPr="00F7157A">
        <w:rPr>
          <w:rFonts w:ascii="Arial" w:hAnsi="Arial" w:cs="Arial"/>
          <w:sz w:val="19"/>
          <w:szCs w:val="19"/>
          <w:shd w:val="clear" w:color="auto" w:fill="FFFFFF"/>
        </w:rPr>
        <w:t>.</w:t>
      </w:r>
      <w:r w:rsidR="00022DFE" w:rsidRPr="00F7157A">
        <w:rPr>
          <w:rFonts w:ascii="Arial" w:hAnsi="Arial" w:cs="Arial"/>
          <w:iCs/>
          <w:sz w:val="24"/>
          <w:szCs w:val="24"/>
        </w:rPr>
        <w:t xml:space="preserve"> </w:t>
      </w:r>
    </w:p>
    <w:p w14:paraId="0CE47813" w14:textId="77777777" w:rsidR="00B018CA" w:rsidRPr="00F7157A" w:rsidRDefault="00B018CA" w:rsidP="00B018CA">
      <w:pPr>
        <w:shd w:val="clear" w:color="auto" w:fill="FFFFFF"/>
        <w:spacing w:after="300" w:line="340" w:lineRule="exact"/>
        <w:jc w:val="both"/>
        <w:rPr>
          <w:rFonts w:ascii="Arial" w:hAnsi="Arial" w:cs="Arial"/>
          <w:iCs/>
          <w:sz w:val="24"/>
          <w:szCs w:val="24"/>
        </w:rPr>
      </w:pPr>
      <w:r w:rsidRPr="00F7157A">
        <w:rPr>
          <w:rFonts w:ascii="Arial" w:hAnsi="Arial" w:cs="Arial"/>
          <w:iCs/>
          <w:sz w:val="24"/>
          <w:szCs w:val="24"/>
        </w:rPr>
        <w:t>Estos límites y anualidades no serán de aplicación a los compromisos derivados de la carga financiera del endeudamiento”</w:t>
      </w:r>
      <w:r w:rsidR="0074289E">
        <w:rPr>
          <w:rFonts w:ascii="Arial" w:hAnsi="Arial" w:cs="Arial"/>
          <w:iCs/>
          <w:sz w:val="24"/>
          <w:szCs w:val="24"/>
        </w:rPr>
        <w:t>.</w:t>
      </w:r>
    </w:p>
    <w:p w14:paraId="33DF3517" w14:textId="77777777" w:rsidR="0041463A" w:rsidRPr="00F7157A" w:rsidRDefault="00CA2757"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hAnsi="Arial" w:cs="Arial"/>
          <w:iCs/>
          <w:sz w:val="24"/>
          <w:szCs w:val="24"/>
        </w:rPr>
        <w:t>Tres</w:t>
      </w:r>
      <w:r w:rsidR="0041463A" w:rsidRPr="00F7157A">
        <w:rPr>
          <w:rFonts w:ascii="Arial" w:hAnsi="Arial" w:cs="Arial"/>
          <w:iCs/>
          <w:sz w:val="24"/>
          <w:szCs w:val="24"/>
        </w:rPr>
        <w:t xml:space="preserve">. </w:t>
      </w:r>
      <w:r w:rsidR="0041463A" w:rsidRPr="00F7157A">
        <w:rPr>
          <w:rFonts w:ascii="Arial" w:eastAsia="Times New Roman" w:hAnsi="Arial" w:cs="Arial"/>
          <w:sz w:val="24"/>
          <w:szCs w:val="24"/>
          <w:lang w:val="es-ES" w:eastAsia="es-ES"/>
        </w:rPr>
        <w:t>Se modifica el apartado 1 del artículo 66, que queda redactado en los siguientes términos:</w:t>
      </w:r>
    </w:p>
    <w:p w14:paraId="15047213" w14:textId="77777777" w:rsidR="0041463A" w:rsidRPr="00F7157A" w:rsidRDefault="0041463A"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w:t>
      </w:r>
      <w:r w:rsidR="00CA2757" w:rsidRPr="00F7157A">
        <w:rPr>
          <w:rFonts w:ascii="Arial" w:eastAsia="Times New Roman" w:hAnsi="Arial" w:cs="Arial"/>
          <w:sz w:val="24"/>
          <w:szCs w:val="24"/>
          <w:lang w:val="es-ES" w:eastAsia="es-ES"/>
        </w:rPr>
        <w:t xml:space="preserve">1. </w:t>
      </w:r>
      <w:r w:rsidRPr="00F7157A">
        <w:rPr>
          <w:rFonts w:ascii="Arial" w:eastAsia="Times New Roman" w:hAnsi="Arial" w:cs="Arial"/>
          <w:sz w:val="24"/>
          <w:szCs w:val="24"/>
          <w:lang w:val="es-ES" w:eastAsia="es-ES"/>
        </w:rPr>
        <w:t>En los términos de la autorización legal a que se refiere el artículo 64, corresponde al Gobierno de Navarra, a propuesta del Consejero de Economía y Hacienda:</w:t>
      </w:r>
    </w:p>
    <w:p w14:paraId="6698F7A6" w14:textId="77777777" w:rsidR="0041463A" w:rsidRPr="00F7157A" w:rsidRDefault="0041463A"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a) Acordar las operaciones de endeudamiento contenidas en el artículo 61.</w:t>
      </w:r>
    </w:p>
    <w:p w14:paraId="156196B7" w14:textId="77777777" w:rsidR="0041463A" w:rsidRPr="00F7157A" w:rsidRDefault="0041463A"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b) Establecer el importe máximo a formalizar.</w:t>
      </w:r>
    </w:p>
    <w:p w14:paraId="5BDFA42D" w14:textId="77777777" w:rsidR="0041463A" w:rsidRPr="00F7157A" w:rsidRDefault="0041463A"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c) Fijar el tipo de interés.</w:t>
      </w:r>
    </w:p>
    <w:p w14:paraId="2DAA26F1" w14:textId="77777777" w:rsidR="0041463A" w:rsidRPr="00F7157A" w:rsidRDefault="0041463A"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 Señalar el plazo</w:t>
      </w:r>
    </w:p>
    <w:p w14:paraId="73A4C829" w14:textId="77777777" w:rsidR="0041463A" w:rsidRPr="00F7157A" w:rsidRDefault="0041463A"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 Determinar el importe de cada operación</w:t>
      </w:r>
      <w:r w:rsidR="00022DFE" w:rsidRPr="00F7157A">
        <w:rPr>
          <w:rFonts w:ascii="Arial" w:eastAsia="Times New Roman" w:hAnsi="Arial" w:cs="Arial"/>
          <w:sz w:val="24"/>
          <w:szCs w:val="24"/>
          <w:lang w:val="es-ES" w:eastAsia="es-ES"/>
        </w:rPr>
        <w:t>”</w:t>
      </w:r>
      <w:r w:rsidR="0074289E">
        <w:rPr>
          <w:rFonts w:ascii="Arial" w:eastAsia="Times New Roman" w:hAnsi="Arial" w:cs="Arial"/>
          <w:sz w:val="24"/>
          <w:szCs w:val="24"/>
          <w:lang w:val="es-ES" w:eastAsia="es-ES"/>
        </w:rPr>
        <w:t>.</w:t>
      </w:r>
    </w:p>
    <w:p w14:paraId="139FBA38" w14:textId="77777777" w:rsidR="0041463A" w:rsidRPr="00F7157A" w:rsidRDefault="00CA2757" w:rsidP="0041463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hAnsi="Arial" w:cs="Arial"/>
          <w:iCs/>
          <w:sz w:val="24"/>
          <w:szCs w:val="24"/>
        </w:rPr>
        <w:t>Cuatro</w:t>
      </w:r>
      <w:r w:rsidR="0041463A" w:rsidRPr="00F7157A">
        <w:rPr>
          <w:rFonts w:ascii="Arial" w:hAnsi="Arial" w:cs="Arial"/>
          <w:iCs/>
          <w:sz w:val="24"/>
          <w:szCs w:val="24"/>
        </w:rPr>
        <w:t>.</w:t>
      </w:r>
      <w:r w:rsidR="0041463A" w:rsidRPr="00F7157A">
        <w:rPr>
          <w:rFonts w:ascii="Arial" w:hAnsi="Arial" w:cs="Arial"/>
          <w:i/>
          <w:iCs/>
          <w:sz w:val="24"/>
          <w:szCs w:val="24"/>
        </w:rPr>
        <w:t xml:space="preserve"> </w:t>
      </w:r>
      <w:r w:rsidR="0041463A" w:rsidRPr="00F7157A">
        <w:rPr>
          <w:rFonts w:ascii="Arial" w:eastAsia="Times New Roman" w:hAnsi="Arial" w:cs="Arial"/>
          <w:sz w:val="24"/>
          <w:szCs w:val="24"/>
          <w:lang w:val="es-ES" w:eastAsia="es-ES"/>
        </w:rPr>
        <w:t>Se modifica el apartado 1 del artículo 81, que queda redactado en los siguientes términos:</w:t>
      </w:r>
    </w:p>
    <w:p w14:paraId="71B7AA6B" w14:textId="77777777" w:rsidR="0041463A" w:rsidRPr="00F7157A" w:rsidRDefault="0041463A" w:rsidP="0041463A">
      <w:pPr>
        <w:shd w:val="clear" w:color="auto" w:fill="FFFFFF"/>
        <w:spacing w:after="300" w:line="340" w:lineRule="exact"/>
        <w:jc w:val="both"/>
        <w:rPr>
          <w:rFonts w:ascii="Arial" w:hAnsi="Arial" w:cs="Arial"/>
          <w:iCs/>
          <w:sz w:val="24"/>
          <w:szCs w:val="24"/>
        </w:rPr>
      </w:pPr>
      <w:r w:rsidRPr="00F7157A">
        <w:rPr>
          <w:rFonts w:ascii="Arial" w:hAnsi="Arial" w:cs="Arial"/>
          <w:iCs/>
          <w:sz w:val="24"/>
          <w:szCs w:val="24"/>
        </w:rPr>
        <w:t>“</w:t>
      </w:r>
      <w:r w:rsidR="00CA2757" w:rsidRPr="00F7157A">
        <w:rPr>
          <w:rFonts w:ascii="Arial" w:hAnsi="Arial" w:cs="Arial"/>
          <w:iCs/>
          <w:sz w:val="24"/>
          <w:szCs w:val="24"/>
        </w:rPr>
        <w:t xml:space="preserve">1. </w:t>
      </w:r>
      <w:r w:rsidRPr="00F7157A">
        <w:rPr>
          <w:rFonts w:ascii="Arial" w:hAnsi="Arial" w:cs="Arial"/>
          <w:iCs/>
          <w:sz w:val="24"/>
          <w:szCs w:val="24"/>
        </w:rPr>
        <w:t xml:space="preserve">Las entidades públicas empresariales, las fundaciones públicas, las sociedades públicas, así como otras entidades no incluidas en las anteriores </w:t>
      </w:r>
      <w:r w:rsidR="00022DFE" w:rsidRPr="00F7157A">
        <w:rPr>
          <w:rFonts w:ascii="Arial" w:hAnsi="Arial" w:cs="Arial"/>
          <w:iCs/>
          <w:sz w:val="24"/>
          <w:szCs w:val="24"/>
        </w:rPr>
        <w:t xml:space="preserve">pero </w:t>
      </w:r>
      <w:r w:rsidRPr="00F7157A">
        <w:rPr>
          <w:rFonts w:ascii="Arial" w:hAnsi="Arial" w:cs="Arial"/>
          <w:iCs/>
          <w:sz w:val="24"/>
          <w:szCs w:val="24"/>
        </w:rPr>
        <w:t>que form</w:t>
      </w:r>
      <w:r w:rsidR="00022DFE" w:rsidRPr="00F7157A">
        <w:rPr>
          <w:rFonts w:ascii="Arial" w:hAnsi="Arial" w:cs="Arial"/>
          <w:iCs/>
          <w:sz w:val="24"/>
          <w:szCs w:val="24"/>
        </w:rPr>
        <w:t>e</w:t>
      </w:r>
      <w:r w:rsidRPr="00F7157A">
        <w:rPr>
          <w:rFonts w:ascii="Arial" w:hAnsi="Arial" w:cs="Arial"/>
          <w:iCs/>
          <w:sz w:val="24"/>
          <w:szCs w:val="24"/>
        </w:rPr>
        <w:t>n parte del subsector de Administraciones Públicas o del subsector sociedades no financieras públicas de la Comunidad Foral de Navarra según los criterios del Sistema Europeo de Cuentas</w:t>
      </w:r>
      <w:r w:rsidR="00022DFE" w:rsidRPr="00F7157A">
        <w:rPr>
          <w:rFonts w:ascii="Arial" w:hAnsi="Arial" w:cs="Arial"/>
          <w:iCs/>
          <w:sz w:val="24"/>
          <w:szCs w:val="24"/>
        </w:rPr>
        <w:t>,</w:t>
      </w:r>
      <w:r w:rsidRPr="00F7157A">
        <w:rPr>
          <w:rFonts w:ascii="Arial" w:hAnsi="Arial" w:cs="Arial"/>
          <w:iCs/>
          <w:sz w:val="24"/>
          <w:szCs w:val="24"/>
        </w:rPr>
        <w:t xml:space="preserve"> requerirán autorización del Gobierno de Navarra para emitir deuda o contraer crédito, salvo que se trate de operaciones de crédito que se concierten y se cancelen dentro del mismo ejercicio presupuestario.</w:t>
      </w:r>
    </w:p>
    <w:p w14:paraId="2E11ADED" w14:textId="77777777" w:rsidR="0041463A" w:rsidRPr="00F7157A" w:rsidRDefault="0041463A" w:rsidP="0041463A">
      <w:pPr>
        <w:shd w:val="clear" w:color="auto" w:fill="FFFFFF"/>
        <w:spacing w:after="300" w:line="340" w:lineRule="exact"/>
        <w:jc w:val="both"/>
        <w:rPr>
          <w:rFonts w:ascii="Arial" w:hAnsi="Arial" w:cs="Arial"/>
          <w:iCs/>
          <w:sz w:val="24"/>
          <w:szCs w:val="24"/>
        </w:rPr>
      </w:pPr>
      <w:r w:rsidRPr="00F7157A">
        <w:rPr>
          <w:rFonts w:ascii="Arial" w:hAnsi="Arial" w:cs="Arial"/>
          <w:iCs/>
          <w:sz w:val="24"/>
          <w:szCs w:val="24"/>
        </w:rPr>
        <w:lastRenderedPageBreak/>
        <w:t>La autorización del Gobierno de Navarra se tramitará a propuesta del Consejero de Economía y Hacienda</w:t>
      </w:r>
      <w:r w:rsidR="00022DFE" w:rsidRPr="00F7157A">
        <w:rPr>
          <w:rFonts w:ascii="Arial" w:hAnsi="Arial" w:cs="Arial"/>
          <w:iCs/>
          <w:sz w:val="24"/>
          <w:szCs w:val="24"/>
        </w:rPr>
        <w:t>”</w:t>
      </w:r>
      <w:r w:rsidR="0074289E">
        <w:rPr>
          <w:rFonts w:ascii="Arial" w:hAnsi="Arial" w:cs="Arial"/>
          <w:iCs/>
          <w:sz w:val="24"/>
          <w:szCs w:val="24"/>
        </w:rPr>
        <w:t>.</w:t>
      </w:r>
    </w:p>
    <w:p w14:paraId="774A3C07" w14:textId="77777777" w:rsidR="00B018CA" w:rsidRPr="00F7157A" w:rsidRDefault="00B018CA" w:rsidP="00B018CA">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w:t>
      </w:r>
      <w:r w:rsidR="00022DFE" w:rsidRPr="00F7157A">
        <w:rPr>
          <w:rFonts w:ascii="Arial" w:eastAsia="Times New Roman" w:hAnsi="Arial" w:cs="Arial"/>
          <w:b/>
          <w:sz w:val="24"/>
          <w:szCs w:val="24"/>
          <w:lang w:val="es-ES" w:eastAsia="es-ES"/>
        </w:rPr>
        <w:t>segunda</w:t>
      </w:r>
      <w:r w:rsidRPr="00F7157A">
        <w:rPr>
          <w:rFonts w:ascii="Arial" w:eastAsia="Times New Roman" w:hAnsi="Arial" w:cs="Arial"/>
          <w:b/>
          <w:sz w:val="24"/>
          <w:szCs w:val="24"/>
          <w:lang w:val="es-ES" w:eastAsia="es-ES"/>
        </w:rPr>
        <w:t xml:space="preserve">. Modificación de la Ley Foral 11/2005, de 9 de noviembre, de </w:t>
      </w:r>
      <w:r w:rsidR="00022DFE" w:rsidRPr="00F7157A">
        <w:rPr>
          <w:rFonts w:ascii="Arial" w:eastAsia="Times New Roman" w:hAnsi="Arial" w:cs="Arial"/>
          <w:b/>
          <w:sz w:val="24"/>
          <w:szCs w:val="24"/>
          <w:lang w:val="es-ES" w:eastAsia="es-ES"/>
        </w:rPr>
        <w:t>S</w:t>
      </w:r>
      <w:r w:rsidRPr="00F7157A">
        <w:rPr>
          <w:rFonts w:ascii="Arial" w:eastAsia="Times New Roman" w:hAnsi="Arial" w:cs="Arial"/>
          <w:b/>
          <w:sz w:val="24"/>
          <w:szCs w:val="24"/>
          <w:lang w:val="es-ES" w:eastAsia="es-ES"/>
        </w:rPr>
        <w:t>ubvenciones.</w:t>
      </w:r>
    </w:p>
    <w:p w14:paraId="75EDDE10" w14:textId="77777777" w:rsidR="00B018CA" w:rsidRPr="00F7157A" w:rsidRDefault="006A72F0"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Uno</w:t>
      </w:r>
      <w:r w:rsidR="00022DFE" w:rsidRPr="00F7157A">
        <w:rPr>
          <w:rFonts w:ascii="Arial" w:eastAsia="Times New Roman" w:hAnsi="Arial" w:cs="Arial"/>
          <w:sz w:val="24"/>
          <w:szCs w:val="24"/>
          <w:lang w:val="es-ES" w:eastAsia="es-ES"/>
        </w:rPr>
        <w:t xml:space="preserve">. </w:t>
      </w:r>
      <w:r w:rsidR="00B018CA" w:rsidRPr="00F7157A">
        <w:rPr>
          <w:rFonts w:ascii="Arial" w:eastAsia="Times New Roman" w:hAnsi="Arial" w:cs="Arial"/>
          <w:sz w:val="24"/>
          <w:szCs w:val="24"/>
          <w:lang w:val="es-ES" w:eastAsia="es-ES"/>
        </w:rPr>
        <w:t xml:space="preserve">Se modifica el </w:t>
      </w:r>
      <w:r w:rsidR="007A1210" w:rsidRPr="00F7157A">
        <w:rPr>
          <w:rFonts w:ascii="Arial" w:eastAsia="Times New Roman" w:hAnsi="Arial" w:cs="Arial"/>
          <w:sz w:val="24"/>
          <w:szCs w:val="24"/>
          <w:lang w:val="es-ES" w:eastAsia="es-ES"/>
        </w:rPr>
        <w:t>punto</w:t>
      </w:r>
      <w:r w:rsidR="00B018CA" w:rsidRPr="00F7157A">
        <w:rPr>
          <w:rFonts w:ascii="Arial" w:eastAsia="Times New Roman" w:hAnsi="Arial" w:cs="Arial"/>
          <w:sz w:val="24"/>
          <w:szCs w:val="24"/>
          <w:lang w:val="es-ES" w:eastAsia="es-ES"/>
        </w:rPr>
        <w:t xml:space="preserve"> 2</w:t>
      </w:r>
      <w:r w:rsidR="0074289E">
        <w:rPr>
          <w:rFonts w:ascii="Arial" w:eastAsia="Times New Roman" w:hAnsi="Arial" w:cs="Arial"/>
          <w:sz w:val="24"/>
          <w:szCs w:val="24"/>
          <w:lang w:val="es-ES" w:eastAsia="es-ES"/>
        </w:rPr>
        <w:t>.</w:t>
      </w:r>
      <w:r w:rsidR="00B018CA" w:rsidRPr="00F7157A">
        <w:rPr>
          <w:rFonts w:ascii="Arial" w:eastAsia="Times New Roman" w:hAnsi="Arial" w:cs="Arial"/>
          <w:sz w:val="24"/>
          <w:szCs w:val="24"/>
          <w:lang w:val="es-ES" w:eastAsia="es-ES"/>
        </w:rPr>
        <w:t xml:space="preserve">º de la letra a) del </w:t>
      </w:r>
      <w:r w:rsidR="00022DFE" w:rsidRPr="00F7157A">
        <w:rPr>
          <w:rFonts w:ascii="Arial" w:eastAsia="Times New Roman" w:hAnsi="Arial" w:cs="Arial"/>
          <w:sz w:val="24"/>
          <w:szCs w:val="24"/>
          <w:lang w:val="es-ES" w:eastAsia="es-ES"/>
        </w:rPr>
        <w:t>apartado</w:t>
      </w:r>
      <w:r w:rsidR="00B018CA" w:rsidRPr="00F7157A">
        <w:rPr>
          <w:rFonts w:ascii="Arial" w:eastAsia="Times New Roman" w:hAnsi="Arial" w:cs="Arial"/>
          <w:sz w:val="24"/>
          <w:szCs w:val="24"/>
          <w:lang w:val="es-ES" w:eastAsia="es-ES"/>
        </w:rPr>
        <w:t xml:space="preserve"> 3 del artículo 31, que queda redactado en los siguientes términos:</w:t>
      </w:r>
    </w:p>
    <w:p w14:paraId="416D0007"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“2.º Haberse incrementado el importe del crédito presupuestario disponible como consecuencia de una generación, una ampliación, una incorporación de crédito o una enmienda parlamentaria aprobada durante la tramitación del proyecto de Ley Foral de Presupuestos Generales de Navarra”.</w:t>
      </w:r>
    </w:p>
    <w:p w14:paraId="0DA6DBE5" w14:textId="77777777" w:rsidR="007A1210" w:rsidRPr="00F7157A" w:rsidRDefault="006A72F0" w:rsidP="007A121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hAnsi="Arial" w:cs="Arial"/>
          <w:sz w:val="24"/>
          <w:szCs w:val="24"/>
          <w:lang w:eastAsia="es-ES"/>
        </w:rPr>
        <w:t>Dos</w:t>
      </w:r>
      <w:r w:rsidR="00022DFE" w:rsidRPr="00F7157A">
        <w:rPr>
          <w:rFonts w:ascii="Arial" w:hAnsi="Arial" w:cs="Arial"/>
          <w:sz w:val="24"/>
          <w:szCs w:val="24"/>
          <w:lang w:eastAsia="es-ES"/>
        </w:rPr>
        <w:t xml:space="preserve">. </w:t>
      </w:r>
      <w:r w:rsidR="00B018CA" w:rsidRPr="00F7157A">
        <w:rPr>
          <w:rFonts w:ascii="Arial" w:hAnsi="Arial" w:cs="Arial"/>
          <w:sz w:val="24"/>
          <w:szCs w:val="24"/>
          <w:lang w:eastAsia="es-ES"/>
        </w:rPr>
        <w:t xml:space="preserve">Se añade una letra </w:t>
      </w:r>
      <w:r w:rsidR="00022DFE" w:rsidRPr="00F7157A">
        <w:rPr>
          <w:rFonts w:ascii="Arial" w:hAnsi="Arial" w:cs="Arial"/>
          <w:sz w:val="24"/>
          <w:szCs w:val="24"/>
          <w:lang w:eastAsia="es-ES"/>
        </w:rPr>
        <w:t xml:space="preserve">h) </w:t>
      </w:r>
      <w:r w:rsidR="00B018CA" w:rsidRPr="00F7157A">
        <w:rPr>
          <w:rFonts w:ascii="Arial" w:hAnsi="Arial" w:cs="Arial"/>
          <w:sz w:val="24"/>
          <w:szCs w:val="24"/>
          <w:lang w:eastAsia="es-ES"/>
        </w:rPr>
        <w:t xml:space="preserve">al </w:t>
      </w:r>
      <w:r w:rsidR="00022DFE" w:rsidRPr="00F7157A">
        <w:rPr>
          <w:rFonts w:ascii="Arial" w:hAnsi="Arial" w:cs="Arial"/>
          <w:sz w:val="24"/>
          <w:szCs w:val="24"/>
          <w:lang w:eastAsia="es-ES"/>
        </w:rPr>
        <w:t>apartado</w:t>
      </w:r>
      <w:r w:rsidR="00B018CA" w:rsidRPr="00F7157A">
        <w:rPr>
          <w:rFonts w:ascii="Arial" w:hAnsi="Arial" w:cs="Arial"/>
          <w:sz w:val="24"/>
          <w:szCs w:val="24"/>
          <w:lang w:eastAsia="es-ES"/>
        </w:rPr>
        <w:t xml:space="preserve"> 3 del artículo 2 de la Ley Foral 11/2005, de 9 de noviembre, de Subvenciones, </w:t>
      </w:r>
      <w:r w:rsidR="00154F88" w:rsidRPr="00F7157A">
        <w:rPr>
          <w:rFonts w:ascii="Arial" w:eastAsia="Times New Roman" w:hAnsi="Arial" w:cs="Arial"/>
          <w:sz w:val="24"/>
          <w:szCs w:val="24"/>
          <w:lang w:val="es-ES" w:eastAsia="es-ES"/>
        </w:rPr>
        <w:t>con la siguiente redacción</w:t>
      </w:r>
      <w:r w:rsidR="007A1210" w:rsidRPr="00F7157A">
        <w:rPr>
          <w:rFonts w:ascii="Arial" w:eastAsia="Times New Roman" w:hAnsi="Arial" w:cs="Arial"/>
          <w:sz w:val="24"/>
          <w:szCs w:val="24"/>
          <w:lang w:val="es-ES" w:eastAsia="es-ES"/>
        </w:rPr>
        <w:t>:</w:t>
      </w:r>
    </w:p>
    <w:p w14:paraId="554EA161" w14:textId="77777777" w:rsidR="00B018CA" w:rsidRPr="00366D00" w:rsidRDefault="00CA2757"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w:t>
      </w:r>
      <w:r w:rsidR="00B018CA" w:rsidRPr="00366D00">
        <w:rPr>
          <w:rFonts w:ascii="Arial" w:eastAsia="Times New Roman" w:hAnsi="Arial" w:cs="Arial"/>
          <w:sz w:val="24"/>
          <w:szCs w:val="24"/>
          <w:lang w:val="es-ES" w:eastAsia="es-ES"/>
        </w:rPr>
        <w:t xml:space="preserve">h) Las compensaciones de los gastos de funcionamiento para la actividad propia de las organizaciones sindicales </w:t>
      </w:r>
      <w:r w:rsidR="007A1210" w:rsidRPr="00366D00">
        <w:rPr>
          <w:rFonts w:ascii="Arial" w:eastAsia="Times New Roman" w:hAnsi="Arial" w:cs="Arial"/>
          <w:sz w:val="24"/>
          <w:szCs w:val="24"/>
          <w:lang w:val="es-ES" w:eastAsia="es-ES"/>
        </w:rPr>
        <w:t xml:space="preserve">como órganos de representación de los trabajadores </w:t>
      </w:r>
      <w:r w:rsidR="00B018CA" w:rsidRPr="00366D00">
        <w:rPr>
          <w:rFonts w:ascii="Arial" w:eastAsia="Times New Roman" w:hAnsi="Arial" w:cs="Arial"/>
          <w:sz w:val="24"/>
          <w:szCs w:val="24"/>
          <w:lang w:val="es-ES" w:eastAsia="es-ES"/>
        </w:rPr>
        <w:t>en el ámbito de la</w:t>
      </w:r>
      <w:r w:rsidR="007A1210" w:rsidRPr="00366D00">
        <w:rPr>
          <w:rFonts w:ascii="Arial" w:eastAsia="Times New Roman" w:hAnsi="Arial" w:cs="Arial"/>
          <w:sz w:val="24"/>
          <w:szCs w:val="24"/>
          <w:lang w:val="es-ES" w:eastAsia="es-ES"/>
        </w:rPr>
        <w:t xml:space="preserve"> Administración de la Comunidad Foral de </w:t>
      </w:r>
      <w:r w:rsidR="0074289E">
        <w:rPr>
          <w:rFonts w:ascii="Arial" w:eastAsia="Times New Roman" w:hAnsi="Arial" w:cs="Arial"/>
          <w:sz w:val="24"/>
          <w:szCs w:val="24"/>
          <w:lang w:val="es-ES" w:eastAsia="es-ES"/>
        </w:rPr>
        <w:t>Navarra</w:t>
      </w:r>
      <w:r w:rsidRPr="00366D00">
        <w:rPr>
          <w:rFonts w:ascii="Arial" w:eastAsia="Times New Roman" w:hAnsi="Arial" w:cs="Arial"/>
          <w:sz w:val="24"/>
          <w:szCs w:val="24"/>
          <w:lang w:val="es-ES" w:eastAsia="es-ES"/>
        </w:rPr>
        <w:t>”</w:t>
      </w:r>
      <w:r w:rsidR="0074289E">
        <w:rPr>
          <w:rFonts w:ascii="Arial" w:eastAsia="Times New Roman" w:hAnsi="Arial" w:cs="Arial"/>
          <w:sz w:val="24"/>
          <w:szCs w:val="24"/>
          <w:lang w:val="es-ES" w:eastAsia="es-ES"/>
        </w:rPr>
        <w:t>.</w:t>
      </w:r>
    </w:p>
    <w:p w14:paraId="4491E120" w14:textId="77777777" w:rsidR="007A1210" w:rsidRPr="00F7157A" w:rsidRDefault="00B018CA" w:rsidP="00B018CA">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w:t>
      </w:r>
      <w:r w:rsidR="007A1210" w:rsidRPr="00F7157A">
        <w:rPr>
          <w:rFonts w:ascii="Arial" w:eastAsia="Times New Roman" w:hAnsi="Arial" w:cs="Arial"/>
          <w:b/>
          <w:sz w:val="24"/>
          <w:szCs w:val="24"/>
          <w:lang w:val="es-ES" w:eastAsia="es-ES"/>
        </w:rPr>
        <w:t>tercera</w:t>
      </w:r>
      <w:r w:rsidRPr="00F7157A">
        <w:rPr>
          <w:rFonts w:ascii="Arial" w:eastAsia="Times New Roman" w:hAnsi="Arial" w:cs="Arial"/>
          <w:b/>
          <w:sz w:val="24"/>
          <w:szCs w:val="24"/>
          <w:lang w:val="es-ES" w:eastAsia="es-ES"/>
        </w:rPr>
        <w:t>. Modificación de la Ley Foral 2/2018, de 13 de abril, de Contratos Públicos</w:t>
      </w:r>
      <w:r w:rsidR="007A1210" w:rsidRPr="00F7157A">
        <w:rPr>
          <w:rFonts w:ascii="Arial" w:eastAsia="Times New Roman" w:hAnsi="Arial" w:cs="Arial"/>
          <w:b/>
          <w:sz w:val="24"/>
          <w:szCs w:val="24"/>
          <w:lang w:val="es-ES" w:eastAsia="es-ES"/>
        </w:rPr>
        <w:t>.</w:t>
      </w:r>
    </w:p>
    <w:p w14:paraId="2B766F21" w14:textId="77777777" w:rsidR="007A1210" w:rsidRPr="00F7157A" w:rsidRDefault="006A72F0" w:rsidP="007A121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Uno</w:t>
      </w:r>
      <w:r w:rsidR="007A1210" w:rsidRPr="00F7157A">
        <w:rPr>
          <w:rFonts w:ascii="Arial" w:eastAsia="Times New Roman" w:hAnsi="Arial" w:cs="Arial"/>
          <w:sz w:val="24"/>
          <w:szCs w:val="24"/>
          <w:lang w:val="es-ES" w:eastAsia="es-ES"/>
        </w:rPr>
        <w:t xml:space="preserve">. Se añade un apartado 4 al artículo 13, </w:t>
      </w:r>
      <w:r w:rsidR="00154F88" w:rsidRPr="00F7157A">
        <w:rPr>
          <w:rFonts w:ascii="Arial" w:eastAsia="Times New Roman" w:hAnsi="Arial" w:cs="Arial"/>
          <w:sz w:val="24"/>
          <w:szCs w:val="24"/>
          <w:lang w:val="es-ES" w:eastAsia="es-ES"/>
        </w:rPr>
        <w:t>con la siguiente redacción</w:t>
      </w:r>
      <w:r w:rsidR="007A1210" w:rsidRPr="00F7157A">
        <w:rPr>
          <w:rFonts w:ascii="Arial" w:eastAsia="Times New Roman" w:hAnsi="Arial" w:cs="Arial"/>
          <w:sz w:val="24"/>
          <w:szCs w:val="24"/>
          <w:lang w:val="es-ES" w:eastAsia="es-ES"/>
        </w:rPr>
        <w:t>:</w:t>
      </w:r>
    </w:p>
    <w:p w14:paraId="79920B0B" w14:textId="77777777" w:rsidR="00B018CA" w:rsidRPr="00366D00" w:rsidRDefault="00CA2757"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w:t>
      </w:r>
      <w:r w:rsidR="00B018CA" w:rsidRPr="00366D00">
        <w:rPr>
          <w:rFonts w:ascii="Arial" w:eastAsia="Times New Roman" w:hAnsi="Arial" w:cs="Arial"/>
          <w:sz w:val="24"/>
          <w:szCs w:val="24"/>
          <w:lang w:val="es-ES" w:eastAsia="es-ES"/>
        </w:rPr>
        <w:t xml:space="preserve">4. Durante la licitación del contrato, </w:t>
      </w:r>
      <w:r w:rsidR="007A1210" w:rsidRPr="00366D00">
        <w:rPr>
          <w:rFonts w:ascii="Arial" w:eastAsia="Times New Roman" w:hAnsi="Arial" w:cs="Arial"/>
          <w:sz w:val="24"/>
          <w:szCs w:val="24"/>
          <w:lang w:val="es-ES" w:eastAsia="es-ES"/>
        </w:rPr>
        <w:t>l</w:t>
      </w:r>
      <w:r w:rsidR="00B018CA" w:rsidRPr="00366D00">
        <w:rPr>
          <w:rFonts w:ascii="Arial" w:eastAsia="Times New Roman" w:hAnsi="Arial" w:cs="Arial"/>
          <w:sz w:val="24"/>
          <w:szCs w:val="24"/>
          <w:lang w:val="es-ES" w:eastAsia="es-ES"/>
        </w:rPr>
        <w:t xml:space="preserve">a modificación de la composición en la Unión Temporal de Empresas o en las empresas que han participado conjuntamente será considerada una modificación de la oferta y dará lugar a la exclusión de la misma. </w:t>
      </w:r>
    </w:p>
    <w:p w14:paraId="72BE9ED4"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Tras la adjudicación del contrato, la modificación en la composición de una Unión Temporal de Empresas podrá ser autorizada por el órgano de contratación, con carácter expreso, y previa comprobación de los siguientes requisitos:</w:t>
      </w:r>
    </w:p>
    <w:p w14:paraId="15E01258" w14:textId="030969FD"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a) Que se haya ejecutado al menos un 20</w:t>
      </w:r>
      <w:r w:rsidR="0033095F">
        <w:rPr>
          <w:rFonts w:ascii="Arial" w:eastAsia="Times New Roman" w:hAnsi="Arial" w:cs="Arial"/>
          <w:sz w:val="24"/>
          <w:szCs w:val="24"/>
          <w:lang w:val="es-ES" w:eastAsia="es-ES"/>
        </w:rPr>
        <w:t xml:space="preserve"> %</w:t>
      </w:r>
      <w:r w:rsidRPr="00366D00">
        <w:rPr>
          <w:rFonts w:ascii="Arial" w:eastAsia="Times New Roman" w:hAnsi="Arial" w:cs="Arial"/>
          <w:sz w:val="24"/>
          <w:szCs w:val="24"/>
          <w:lang w:val="es-ES" w:eastAsia="es-ES"/>
        </w:rPr>
        <w:t xml:space="preserve"> de la prestación inicial y haya transcurrido un año desde el inicio de la ejecución. En el caso de contratos de concesión de obras o de servicios, este requisito se entenderá cumplido si se ha explotado al menos la quinta parte del plazo concedido. </w:t>
      </w:r>
    </w:p>
    <w:p w14:paraId="502C8007"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b) Mantenimiento de la solvencia exigida para la adjudicación</w:t>
      </w:r>
    </w:p>
    <w:p w14:paraId="56386003"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lastRenderedPageBreak/>
        <w:t>c) Los nuevos participantes en la Unión Temporal de Empresas, si los hubiera, deberán acreditar su capacidad de obrar y no estar incursos en causa de prohibición para contratar.</w:t>
      </w:r>
    </w:p>
    <w:p w14:paraId="4BC83A44"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La modificación subjetiva, en el caso de las participaciones conjuntas sin constitución de Unión Temporal de Empresas, serán consideradas una cesión de contrato, y deberán respetar lo establecido para las mismas en esta ley foral</w:t>
      </w:r>
      <w:r w:rsidR="00CA2757" w:rsidRPr="00366D00">
        <w:rPr>
          <w:rFonts w:ascii="Arial" w:eastAsia="Times New Roman" w:hAnsi="Arial" w:cs="Arial"/>
          <w:sz w:val="24"/>
          <w:szCs w:val="24"/>
          <w:lang w:val="es-ES" w:eastAsia="es-ES"/>
        </w:rPr>
        <w:t>”</w:t>
      </w:r>
      <w:r w:rsidR="0074289E">
        <w:rPr>
          <w:rFonts w:ascii="Arial" w:eastAsia="Times New Roman" w:hAnsi="Arial" w:cs="Arial"/>
          <w:sz w:val="24"/>
          <w:szCs w:val="24"/>
          <w:lang w:val="es-ES" w:eastAsia="es-ES"/>
        </w:rPr>
        <w:t>.</w:t>
      </w:r>
    </w:p>
    <w:p w14:paraId="5B70211D" w14:textId="77777777" w:rsidR="007A1210" w:rsidRPr="00F7157A" w:rsidRDefault="006A72F0" w:rsidP="00CA2757">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Dos</w:t>
      </w:r>
      <w:r w:rsidR="007A1210" w:rsidRPr="00F7157A">
        <w:rPr>
          <w:rFonts w:ascii="Arial" w:eastAsia="Times New Roman" w:hAnsi="Arial" w:cs="Arial"/>
          <w:sz w:val="24"/>
          <w:szCs w:val="24"/>
          <w:lang w:val="es-ES" w:eastAsia="es-ES"/>
        </w:rPr>
        <w:t xml:space="preserve">. Se </w:t>
      </w:r>
      <w:r w:rsidR="00CA2757" w:rsidRPr="00F7157A">
        <w:rPr>
          <w:rFonts w:ascii="Arial" w:eastAsia="Times New Roman" w:hAnsi="Arial" w:cs="Arial"/>
          <w:sz w:val="24"/>
          <w:szCs w:val="24"/>
          <w:lang w:val="es-ES" w:eastAsia="es-ES"/>
        </w:rPr>
        <w:t>modifica el artículo 15</w:t>
      </w:r>
      <w:r w:rsidR="007A1210" w:rsidRPr="00F7157A">
        <w:rPr>
          <w:rFonts w:ascii="Arial" w:eastAsia="Times New Roman" w:hAnsi="Arial" w:cs="Arial"/>
          <w:sz w:val="24"/>
          <w:szCs w:val="24"/>
          <w:lang w:val="es-ES" w:eastAsia="es-ES"/>
        </w:rPr>
        <w:t>, que queda redactado en los siguientes términos:</w:t>
      </w:r>
    </w:p>
    <w:p w14:paraId="77B32A47" w14:textId="77777777" w:rsidR="00CA2757" w:rsidRPr="00366D00" w:rsidRDefault="00CA2757"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w:t>
      </w:r>
      <w:r w:rsidR="00B018CA" w:rsidRPr="00366D00">
        <w:rPr>
          <w:rFonts w:ascii="Arial" w:eastAsia="Times New Roman" w:hAnsi="Arial" w:cs="Arial"/>
          <w:sz w:val="24"/>
          <w:szCs w:val="24"/>
          <w:lang w:val="es-ES" w:eastAsia="es-ES"/>
        </w:rPr>
        <w:t>Las empresas de Estados no pertenecientes a la Unión Europea o al Espacio Económico Europeo deberán acreditar su capacidad de obrar conforme a la legislación de su Estado de origen y su solvencia económica y financiera, técnica o profesional, de la misma form</w:t>
      </w:r>
      <w:r w:rsidRPr="00366D00">
        <w:rPr>
          <w:rFonts w:ascii="Arial" w:eastAsia="Times New Roman" w:hAnsi="Arial" w:cs="Arial"/>
          <w:sz w:val="24"/>
          <w:szCs w:val="24"/>
          <w:lang w:val="es-ES" w:eastAsia="es-ES"/>
        </w:rPr>
        <w:t xml:space="preserve">a que el resto de licitadoras. </w:t>
      </w:r>
    </w:p>
    <w:p w14:paraId="2F69D058"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 xml:space="preserve">En el caso de empresas procedentes de terceros Estados en contratos que no estén cubiertos por un acuerdo internacional con la Unión Europea que garantice el acceso igual y recíproco a los contratos públicos, el órgano de contratación decidirá, caso por </w:t>
      </w:r>
      <w:r w:rsidR="00CA2757" w:rsidRPr="00366D00">
        <w:rPr>
          <w:rFonts w:ascii="Arial" w:eastAsia="Times New Roman" w:hAnsi="Arial" w:cs="Arial"/>
          <w:sz w:val="24"/>
          <w:szCs w:val="24"/>
          <w:lang w:val="es-ES" w:eastAsia="es-ES"/>
        </w:rPr>
        <w:t>caso, su admisión o inadmisión.</w:t>
      </w:r>
    </w:p>
    <w:p w14:paraId="096A7ED6"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En caso de admitir la participación de alguna de estas empresas, podrá establecer un trato diferenciado, consistente en ajustes de puntuación u otras modalidades objetivas, que deberán constar en los pliegos.</w:t>
      </w:r>
    </w:p>
    <w:p w14:paraId="55909A6D"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En todo caso, las condiciones de admisión, exclusión, o trato diferenciado a que se refieren los apartados anteriores deberán expresarse de forma clara en los pliegos de cláusulas administrativas particulares respetando en todo caso los principios de seguridad jurídica y de protección de la confianza legítima.</w:t>
      </w:r>
    </w:p>
    <w:p w14:paraId="27813AC4" w14:textId="77777777" w:rsidR="00B018CA" w:rsidRPr="00366D00" w:rsidRDefault="00B018CA"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En los contratos de obras será necesario, además, que estas empresas tengan abierta sucursal en España, con designación de apoderados o representantes para sus operaciones y que estén inscritas en el Registro Mercantil</w:t>
      </w:r>
      <w:r w:rsidR="00CA2757" w:rsidRPr="00366D00">
        <w:rPr>
          <w:rFonts w:ascii="Arial" w:eastAsia="Times New Roman" w:hAnsi="Arial" w:cs="Arial"/>
          <w:sz w:val="24"/>
          <w:szCs w:val="24"/>
          <w:lang w:val="es-ES" w:eastAsia="es-ES"/>
        </w:rPr>
        <w:t>”</w:t>
      </w:r>
      <w:r w:rsidR="0074289E">
        <w:rPr>
          <w:rFonts w:ascii="Arial" w:eastAsia="Times New Roman" w:hAnsi="Arial" w:cs="Arial"/>
          <w:sz w:val="24"/>
          <w:szCs w:val="24"/>
          <w:lang w:val="es-ES" w:eastAsia="es-ES"/>
        </w:rPr>
        <w:t>.</w:t>
      </w:r>
    </w:p>
    <w:p w14:paraId="23B82BA6" w14:textId="77777777" w:rsidR="00CA2757" w:rsidRPr="00F7157A" w:rsidRDefault="006A72F0" w:rsidP="00CA2757">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Tres</w:t>
      </w:r>
      <w:r w:rsidR="00CA2757" w:rsidRPr="00F7157A">
        <w:rPr>
          <w:rFonts w:ascii="Arial" w:eastAsia="Times New Roman" w:hAnsi="Arial" w:cs="Arial"/>
          <w:sz w:val="24"/>
          <w:szCs w:val="24"/>
          <w:lang w:val="es-ES" w:eastAsia="es-ES"/>
        </w:rPr>
        <w:t>. Se modifica el apartado 3 del artículo 88, que queda redactado en los siguientes términos:</w:t>
      </w:r>
    </w:p>
    <w:p w14:paraId="6B6F4CDA" w14:textId="77777777" w:rsidR="00B018CA" w:rsidRPr="00366D00" w:rsidRDefault="00CA2757" w:rsidP="00366D00">
      <w:pPr>
        <w:shd w:val="clear" w:color="auto" w:fill="FFFFFF"/>
        <w:spacing w:after="300" w:line="340" w:lineRule="exact"/>
        <w:jc w:val="both"/>
        <w:rPr>
          <w:rFonts w:ascii="Arial" w:eastAsia="Times New Roman" w:hAnsi="Arial" w:cs="Arial"/>
          <w:sz w:val="24"/>
          <w:szCs w:val="24"/>
          <w:lang w:val="es-ES" w:eastAsia="es-ES"/>
        </w:rPr>
      </w:pPr>
      <w:r w:rsidRPr="00366D00">
        <w:rPr>
          <w:rFonts w:ascii="Arial" w:eastAsia="Times New Roman" w:hAnsi="Arial" w:cs="Arial"/>
          <w:sz w:val="24"/>
          <w:szCs w:val="24"/>
          <w:lang w:val="es-ES" w:eastAsia="es-ES"/>
        </w:rPr>
        <w:t xml:space="preserve">“3. </w:t>
      </w:r>
      <w:r w:rsidR="00B018CA" w:rsidRPr="00366D00">
        <w:rPr>
          <w:rFonts w:ascii="Arial" w:eastAsia="Times New Roman" w:hAnsi="Arial" w:cs="Arial"/>
          <w:sz w:val="24"/>
          <w:szCs w:val="24"/>
          <w:lang w:val="es-ES" w:eastAsia="es-ES"/>
        </w:rPr>
        <w:t>La publicación de la información a que se refiere el apartado 2 de este artículo, será obligatoria en todo caso. Excepcionalmente y previa justificación en el expediente, no se llevará a efecto respecto de los contratos declarados secretos o reservados, cuya ejecución deba ir acompañada de medidas de seguridad especiales co</w:t>
      </w:r>
      <w:r w:rsidR="0074289E">
        <w:rPr>
          <w:rFonts w:ascii="Arial" w:eastAsia="Times New Roman" w:hAnsi="Arial" w:cs="Arial"/>
          <w:sz w:val="24"/>
          <w:szCs w:val="24"/>
          <w:lang w:val="es-ES" w:eastAsia="es-ES"/>
        </w:rPr>
        <w:t>nforme a la legislación vigente</w:t>
      </w:r>
      <w:r w:rsidRPr="00366D00">
        <w:rPr>
          <w:rFonts w:ascii="Arial" w:eastAsia="Times New Roman" w:hAnsi="Arial" w:cs="Arial"/>
          <w:sz w:val="24"/>
          <w:szCs w:val="24"/>
          <w:lang w:val="es-ES" w:eastAsia="es-ES"/>
        </w:rPr>
        <w:t>”</w:t>
      </w:r>
      <w:r w:rsidR="0074289E">
        <w:rPr>
          <w:rFonts w:ascii="Arial" w:eastAsia="Times New Roman" w:hAnsi="Arial" w:cs="Arial"/>
          <w:sz w:val="24"/>
          <w:szCs w:val="24"/>
          <w:lang w:val="es-ES" w:eastAsia="es-ES"/>
        </w:rPr>
        <w:t>.</w:t>
      </w:r>
    </w:p>
    <w:p w14:paraId="27E44753" w14:textId="77777777" w:rsidR="00B018CA" w:rsidRPr="00F7157A" w:rsidRDefault="00B018CA" w:rsidP="00B018CA">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 xml:space="preserve">Disposición final </w:t>
      </w:r>
      <w:r w:rsidR="00CA2757" w:rsidRPr="00F7157A">
        <w:rPr>
          <w:rFonts w:ascii="Arial" w:eastAsia="Times New Roman" w:hAnsi="Arial" w:cs="Arial"/>
          <w:b/>
          <w:sz w:val="24"/>
          <w:szCs w:val="24"/>
          <w:lang w:val="es-ES" w:eastAsia="es-ES"/>
        </w:rPr>
        <w:t>cuarta</w:t>
      </w:r>
      <w:r w:rsidRPr="00F7157A">
        <w:rPr>
          <w:rFonts w:ascii="Arial" w:eastAsia="Times New Roman" w:hAnsi="Arial" w:cs="Arial"/>
          <w:b/>
          <w:sz w:val="24"/>
          <w:szCs w:val="24"/>
          <w:lang w:val="es-ES" w:eastAsia="es-ES"/>
        </w:rPr>
        <w:t>. Modificación del Texto Refundido del Estatuto del Personal al servicio de las Administraciones Públicas de Navarra, aprobado por Decreto Foral Legislativo 251/1993, de 30 de agosto.</w:t>
      </w:r>
    </w:p>
    <w:p w14:paraId="7B910601" w14:textId="77777777" w:rsidR="006A72F0" w:rsidRPr="00F7157A" w:rsidRDefault="00B018CA" w:rsidP="006A72F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Uno. Se modifica el párrafo primero de la </w:t>
      </w:r>
      <w:r w:rsidR="006A72F0" w:rsidRPr="00F7157A">
        <w:rPr>
          <w:rFonts w:ascii="Arial" w:eastAsia="Times New Roman" w:hAnsi="Arial" w:cs="Arial"/>
          <w:sz w:val="24"/>
          <w:szCs w:val="24"/>
          <w:lang w:val="es-ES" w:eastAsia="es-ES"/>
        </w:rPr>
        <w:t>d</w:t>
      </w:r>
      <w:r w:rsidRPr="00F7157A">
        <w:rPr>
          <w:rFonts w:ascii="Arial" w:eastAsia="Times New Roman" w:hAnsi="Arial" w:cs="Arial"/>
          <w:sz w:val="24"/>
          <w:szCs w:val="24"/>
          <w:lang w:val="es-ES" w:eastAsia="es-ES"/>
        </w:rPr>
        <w:t xml:space="preserve">isposición </w:t>
      </w:r>
      <w:r w:rsidR="006A72F0" w:rsidRPr="00F7157A">
        <w:rPr>
          <w:rFonts w:ascii="Arial" w:eastAsia="Times New Roman" w:hAnsi="Arial" w:cs="Arial"/>
          <w:sz w:val="24"/>
          <w:szCs w:val="24"/>
          <w:lang w:val="es-ES" w:eastAsia="es-ES"/>
        </w:rPr>
        <w:t>a</w:t>
      </w:r>
      <w:r w:rsidRPr="00F7157A">
        <w:rPr>
          <w:rFonts w:ascii="Arial" w:eastAsia="Times New Roman" w:hAnsi="Arial" w:cs="Arial"/>
          <w:sz w:val="24"/>
          <w:szCs w:val="24"/>
          <w:lang w:val="es-ES" w:eastAsia="es-ES"/>
        </w:rPr>
        <w:t xml:space="preserve">dicional </w:t>
      </w:r>
      <w:r w:rsidR="006A72F0" w:rsidRPr="00F7157A">
        <w:rPr>
          <w:rFonts w:ascii="Arial" w:eastAsia="Times New Roman" w:hAnsi="Arial" w:cs="Arial"/>
          <w:sz w:val="24"/>
          <w:szCs w:val="24"/>
          <w:lang w:val="es-ES" w:eastAsia="es-ES"/>
        </w:rPr>
        <w:t>v</w:t>
      </w:r>
      <w:r w:rsidRPr="00F7157A">
        <w:rPr>
          <w:rFonts w:ascii="Arial" w:eastAsia="Times New Roman" w:hAnsi="Arial" w:cs="Arial"/>
          <w:sz w:val="24"/>
          <w:szCs w:val="24"/>
          <w:lang w:val="es-ES" w:eastAsia="es-ES"/>
        </w:rPr>
        <w:t xml:space="preserve">igésima </w:t>
      </w:r>
      <w:r w:rsidR="006A72F0" w:rsidRPr="00F7157A">
        <w:rPr>
          <w:rFonts w:ascii="Arial" w:eastAsia="Times New Roman" w:hAnsi="Arial" w:cs="Arial"/>
          <w:sz w:val="24"/>
          <w:szCs w:val="24"/>
          <w:lang w:val="es-ES" w:eastAsia="es-ES"/>
        </w:rPr>
        <w:t>s</w:t>
      </w:r>
      <w:r w:rsidRPr="00F7157A">
        <w:rPr>
          <w:rFonts w:ascii="Arial" w:eastAsia="Times New Roman" w:hAnsi="Arial" w:cs="Arial"/>
          <w:sz w:val="24"/>
          <w:szCs w:val="24"/>
          <w:lang w:val="es-ES" w:eastAsia="es-ES"/>
        </w:rPr>
        <w:t>exta</w:t>
      </w:r>
      <w:r w:rsidR="006A72F0" w:rsidRPr="00F7157A">
        <w:rPr>
          <w:rFonts w:ascii="Arial" w:eastAsia="Times New Roman" w:hAnsi="Arial" w:cs="Arial"/>
          <w:sz w:val="24"/>
          <w:szCs w:val="24"/>
          <w:lang w:val="es-ES" w:eastAsia="es-ES"/>
        </w:rPr>
        <w:t>, que queda redactado en los siguientes términos:</w:t>
      </w:r>
    </w:p>
    <w:p w14:paraId="05A03FD0" w14:textId="77777777" w:rsidR="00B018CA" w:rsidRPr="00F7157A" w:rsidRDefault="006A72F0"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w:t>
      </w:r>
      <w:r w:rsidR="00B018CA" w:rsidRPr="00F7157A">
        <w:rPr>
          <w:rFonts w:ascii="Arial" w:eastAsia="Times New Roman" w:hAnsi="Arial" w:cs="Arial"/>
          <w:sz w:val="24"/>
          <w:szCs w:val="24"/>
          <w:lang w:val="es-ES" w:eastAsia="es-ES"/>
        </w:rPr>
        <w:t>El personal empleado público podrá disfrutar de un permiso parental para el cuidado de hijo, hija o menor acogido por tiempo superior a un año, hasta el momento en que el menor cumpla ocho años. Tendrá una duración no superior a ocho semanas, continuas o discontinuas, podrá disfrutarse a tiempo completo, o en régimen de jornada a tiempo parcial, cuando las necesidades del servicio lo permitan y conforme a los términos que reglamentariamente se establezcan. Este permiso no tendrá carácter retribuido</w:t>
      </w:r>
      <w:r w:rsidRPr="00F7157A">
        <w:rPr>
          <w:rFonts w:ascii="Arial" w:eastAsia="Times New Roman" w:hAnsi="Arial" w:cs="Arial"/>
          <w:sz w:val="24"/>
          <w:szCs w:val="24"/>
          <w:lang w:val="es-ES" w:eastAsia="es-ES"/>
        </w:rPr>
        <w:t>”</w:t>
      </w:r>
      <w:r w:rsidR="0074289E">
        <w:rPr>
          <w:rFonts w:ascii="Arial" w:eastAsia="Times New Roman" w:hAnsi="Arial" w:cs="Arial"/>
          <w:sz w:val="24"/>
          <w:szCs w:val="24"/>
          <w:lang w:val="es-ES" w:eastAsia="es-ES"/>
        </w:rPr>
        <w:t>.</w:t>
      </w:r>
    </w:p>
    <w:p w14:paraId="6FBCD451" w14:textId="77777777" w:rsidR="006A72F0" w:rsidRPr="00F7157A" w:rsidRDefault="00B018CA" w:rsidP="006A72F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Dos. Se añade una disposición adicional trigésima, </w:t>
      </w:r>
      <w:r w:rsidR="00154F88" w:rsidRPr="00F7157A">
        <w:rPr>
          <w:rFonts w:ascii="Arial" w:eastAsia="Times New Roman" w:hAnsi="Arial" w:cs="Arial"/>
          <w:sz w:val="24"/>
          <w:szCs w:val="24"/>
          <w:lang w:val="es-ES" w:eastAsia="es-ES"/>
        </w:rPr>
        <w:t>con la siguiente redacción</w:t>
      </w:r>
      <w:r w:rsidR="006A72F0" w:rsidRPr="00F7157A">
        <w:rPr>
          <w:rFonts w:ascii="Arial" w:eastAsia="Times New Roman" w:hAnsi="Arial" w:cs="Arial"/>
          <w:sz w:val="24"/>
          <w:szCs w:val="24"/>
          <w:lang w:val="es-ES" w:eastAsia="es-ES"/>
        </w:rPr>
        <w:t>:</w:t>
      </w:r>
    </w:p>
    <w:p w14:paraId="3A2A2BC0" w14:textId="77777777" w:rsidR="00B018CA" w:rsidRPr="00F7157A" w:rsidRDefault="006A72F0"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w:t>
      </w:r>
      <w:r w:rsidR="00B018CA" w:rsidRPr="00F7157A">
        <w:rPr>
          <w:rFonts w:ascii="Arial" w:eastAsia="Times New Roman" w:hAnsi="Arial" w:cs="Arial"/>
          <w:sz w:val="24"/>
          <w:szCs w:val="24"/>
          <w:lang w:val="es-ES" w:eastAsia="es-ES"/>
        </w:rPr>
        <w:t>Disposición adicional trigésima. Permiso retribuido para la donación de órganos.</w:t>
      </w:r>
    </w:p>
    <w:p w14:paraId="7EDD3632"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 concederá al personal empleado público un permiso retribuido por el tiempo indispensable para la realización de los actos preparatorios de la donación de órganos o tejidos, siempre que deban tener lugar dentro de la jornada de trabajo</w:t>
      </w:r>
      <w:r w:rsidR="006A72F0" w:rsidRPr="00F7157A">
        <w:rPr>
          <w:rFonts w:ascii="Arial" w:eastAsia="Times New Roman" w:hAnsi="Arial" w:cs="Arial"/>
          <w:sz w:val="24"/>
          <w:szCs w:val="24"/>
          <w:lang w:val="es-ES" w:eastAsia="es-ES"/>
        </w:rPr>
        <w:t>”</w:t>
      </w:r>
      <w:r w:rsidR="0074289E">
        <w:rPr>
          <w:rFonts w:ascii="Arial" w:eastAsia="Times New Roman" w:hAnsi="Arial" w:cs="Arial"/>
          <w:sz w:val="24"/>
          <w:szCs w:val="24"/>
          <w:lang w:val="es-ES" w:eastAsia="es-ES"/>
        </w:rPr>
        <w:t>.</w:t>
      </w:r>
    </w:p>
    <w:p w14:paraId="07750704" w14:textId="77777777" w:rsidR="006A72F0" w:rsidRPr="00F7157A" w:rsidRDefault="00B018CA" w:rsidP="006A72F0">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w:t>
      </w:r>
      <w:r w:rsidR="006A72F0" w:rsidRPr="00F7157A">
        <w:rPr>
          <w:rFonts w:ascii="Arial" w:eastAsia="Times New Roman" w:hAnsi="Arial" w:cs="Arial"/>
          <w:b/>
          <w:sz w:val="24"/>
          <w:szCs w:val="24"/>
          <w:lang w:val="es-ES" w:eastAsia="es-ES"/>
        </w:rPr>
        <w:t>quinta.</w:t>
      </w:r>
      <w:r w:rsidRPr="00F7157A">
        <w:rPr>
          <w:rFonts w:ascii="Arial" w:eastAsia="Times New Roman" w:hAnsi="Arial" w:cs="Arial"/>
          <w:b/>
          <w:sz w:val="24"/>
          <w:szCs w:val="24"/>
          <w:lang w:val="es-ES" w:eastAsia="es-ES"/>
        </w:rPr>
        <w:t xml:space="preserve"> </w:t>
      </w:r>
      <w:r w:rsidR="006A72F0" w:rsidRPr="00F7157A">
        <w:rPr>
          <w:rFonts w:ascii="Arial" w:eastAsia="Times New Roman" w:hAnsi="Arial" w:cs="Arial"/>
          <w:b/>
          <w:sz w:val="24"/>
          <w:szCs w:val="24"/>
          <w:lang w:val="es-ES" w:eastAsia="es-ES"/>
        </w:rPr>
        <w:t>Modificación de la Ley Foral 10/2003, de 5 de marzo, sobre régimen transitorio de los derechos pasivos del personal funcionario de los montepíos de las administraciones públicas de Navarra.</w:t>
      </w:r>
    </w:p>
    <w:p w14:paraId="2F9AD8D4" w14:textId="77777777" w:rsidR="006A72F0" w:rsidRPr="00F7157A" w:rsidRDefault="006A72F0" w:rsidP="006A72F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bCs/>
          <w:sz w:val="24"/>
          <w:szCs w:val="24"/>
          <w:lang w:val="es-ES" w:eastAsia="es-ES"/>
        </w:rPr>
        <w:t xml:space="preserve">Se añade una disposición adicional vigésima, </w:t>
      </w:r>
      <w:r w:rsidR="00154F88" w:rsidRPr="00F7157A">
        <w:rPr>
          <w:rFonts w:ascii="Arial" w:eastAsia="Times New Roman" w:hAnsi="Arial" w:cs="Arial"/>
          <w:sz w:val="24"/>
          <w:szCs w:val="24"/>
          <w:lang w:val="es-ES" w:eastAsia="es-ES"/>
        </w:rPr>
        <w:t>con la siguiente redacción</w:t>
      </w:r>
      <w:r w:rsidRPr="00F7157A">
        <w:rPr>
          <w:rFonts w:ascii="Arial" w:eastAsia="Times New Roman" w:hAnsi="Arial" w:cs="Arial"/>
          <w:sz w:val="24"/>
          <w:szCs w:val="24"/>
          <w:lang w:val="es-ES" w:eastAsia="es-ES"/>
        </w:rPr>
        <w:t>:</w:t>
      </w:r>
    </w:p>
    <w:p w14:paraId="627D1594" w14:textId="77777777" w:rsidR="006A72F0" w:rsidRPr="00F7157A" w:rsidRDefault="006A72F0" w:rsidP="006A72F0">
      <w:pPr>
        <w:shd w:val="clear" w:color="auto" w:fill="FFFFFF"/>
        <w:spacing w:after="300" w:line="340" w:lineRule="exact"/>
        <w:jc w:val="both"/>
        <w:rPr>
          <w:rFonts w:ascii="Arial" w:eastAsia="Times New Roman" w:hAnsi="Arial" w:cs="Arial"/>
          <w:bCs/>
          <w:sz w:val="24"/>
          <w:szCs w:val="24"/>
          <w:lang w:val="es-ES" w:eastAsia="es-ES"/>
        </w:rPr>
      </w:pPr>
      <w:r w:rsidRPr="00F7157A">
        <w:rPr>
          <w:rFonts w:ascii="Arial" w:eastAsia="Times New Roman" w:hAnsi="Arial" w:cs="Arial"/>
          <w:bCs/>
          <w:sz w:val="24"/>
          <w:szCs w:val="24"/>
          <w:lang w:val="es-ES" w:eastAsia="es-ES"/>
        </w:rPr>
        <w:t>“Disposición adicional vigésima. Establecimiento del coeficiente reductor de la edad de jubilación del personal del Basozainak/Guarderío de Medio Ambiente.</w:t>
      </w:r>
    </w:p>
    <w:p w14:paraId="73B1C36D" w14:textId="77777777" w:rsidR="006A72F0" w:rsidRPr="00F7157A" w:rsidRDefault="006A72F0" w:rsidP="006A72F0">
      <w:pPr>
        <w:shd w:val="clear" w:color="auto" w:fill="FFFFFF"/>
        <w:spacing w:after="300" w:line="340" w:lineRule="exact"/>
        <w:jc w:val="both"/>
        <w:rPr>
          <w:rFonts w:ascii="Arial" w:eastAsia="Times New Roman" w:hAnsi="Arial" w:cs="Arial"/>
          <w:bCs/>
          <w:sz w:val="24"/>
          <w:szCs w:val="24"/>
          <w:lang w:val="es-ES" w:eastAsia="es-ES"/>
        </w:rPr>
      </w:pPr>
      <w:r w:rsidRPr="00F7157A">
        <w:rPr>
          <w:rFonts w:ascii="Arial" w:eastAsia="Times New Roman" w:hAnsi="Arial" w:cs="Arial"/>
          <w:bCs/>
          <w:sz w:val="24"/>
          <w:szCs w:val="24"/>
          <w:lang w:val="es-ES" w:eastAsia="es-ES"/>
        </w:rPr>
        <w:t>El personal funcionario del Basozainak/Guarderío de Medio Ambiente que se rige por el sistema de Montepíos podrá optar por la no aplicación del coeficiente reductor de la edad de jubilación establecido en la normativa de la Seguridad Social, en el plazo de tres meses desde la entrada en vigor de dicha normativa”</w:t>
      </w:r>
      <w:r w:rsidR="0074289E">
        <w:rPr>
          <w:rFonts w:ascii="Arial" w:eastAsia="Times New Roman" w:hAnsi="Arial" w:cs="Arial"/>
          <w:bCs/>
          <w:sz w:val="24"/>
          <w:szCs w:val="24"/>
          <w:lang w:val="es-ES" w:eastAsia="es-ES"/>
        </w:rPr>
        <w:t>.</w:t>
      </w:r>
    </w:p>
    <w:p w14:paraId="05A325B0" w14:textId="77777777" w:rsidR="00B018CA" w:rsidRPr="00F7157A" w:rsidRDefault="00154F88" w:rsidP="00B018CA">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sexta. </w:t>
      </w:r>
      <w:r w:rsidR="00B018CA" w:rsidRPr="00F7157A">
        <w:rPr>
          <w:rFonts w:ascii="Arial" w:eastAsia="Times New Roman" w:hAnsi="Arial" w:cs="Arial"/>
          <w:b/>
          <w:sz w:val="24"/>
          <w:szCs w:val="24"/>
          <w:lang w:val="es-ES" w:eastAsia="es-ES"/>
        </w:rPr>
        <w:t>Modificación de la Ley Foral 11/1992, de 20 de octubre, reguladora del régimen específico del personal adscrito al Servicio Navarro de Salud-Osasunbidea.</w:t>
      </w:r>
    </w:p>
    <w:p w14:paraId="5EE9726E" w14:textId="77777777" w:rsidR="006A72F0" w:rsidRPr="00F7157A" w:rsidRDefault="00B018CA" w:rsidP="006A72F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Se </w:t>
      </w:r>
      <w:r w:rsidR="006A72F0" w:rsidRPr="00F7157A">
        <w:rPr>
          <w:rFonts w:ascii="Arial" w:eastAsia="Times New Roman" w:hAnsi="Arial" w:cs="Arial"/>
          <w:sz w:val="24"/>
          <w:szCs w:val="24"/>
          <w:lang w:val="es-ES" w:eastAsia="es-ES"/>
        </w:rPr>
        <w:t xml:space="preserve">añade una disposición adicional decimocuarta, </w:t>
      </w:r>
      <w:r w:rsidR="00154F88" w:rsidRPr="00F7157A">
        <w:rPr>
          <w:rFonts w:ascii="Arial" w:eastAsia="Times New Roman" w:hAnsi="Arial" w:cs="Arial"/>
          <w:sz w:val="24"/>
          <w:szCs w:val="24"/>
          <w:lang w:val="es-ES" w:eastAsia="es-ES"/>
        </w:rPr>
        <w:t>con la siguiente redacción</w:t>
      </w:r>
      <w:r w:rsidR="006A72F0" w:rsidRPr="00F7157A">
        <w:rPr>
          <w:rFonts w:ascii="Arial" w:eastAsia="Times New Roman" w:hAnsi="Arial" w:cs="Arial"/>
          <w:sz w:val="24"/>
          <w:szCs w:val="24"/>
          <w:lang w:val="es-ES" w:eastAsia="es-ES"/>
        </w:rPr>
        <w:t>:</w:t>
      </w:r>
    </w:p>
    <w:p w14:paraId="3CD7C738" w14:textId="77777777" w:rsidR="00B018CA" w:rsidRPr="00F7157A" w:rsidRDefault="006A72F0"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w:t>
      </w:r>
      <w:r w:rsidR="00B018CA" w:rsidRPr="00F7157A">
        <w:rPr>
          <w:rFonts w:ascii="Arial" w:eastAsia="Times New Roman" w:hAnsi="Arial" w:cs="Arial"/>
          <w:sz w:val="24"/>
          <w:szCs w:val="24"/>
          <w:lang w:val="es-ES" w:eastAsia="es-ES"/>
        </w:rPr>
        <w:t>Disposición adicional decimocuarta. - Guardias en días especiales.</w:t>
      </w:r>
    </w:p>
    <w:p w14:paraId="3D028057"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El personal del Servicio Navarro de Salud-Osasunbidea y del Instituto de Salud Pública y Laboral de Navarra, que realice guardias en días especiales, podrá percibir un módulo de productividad variable por un importe igual al correspondiente de la guardia. A estos efectos tienen la consideración de días especiales los días 24, 25 y 31 de diciembre y 1, 5 y 6 de enero</w:t>
      </w:r>
      <w:r w:rsidR="006A72F0" w:rsidRPr="00F7157A">
        <w:rPr>
          <w:rFonts w:ascii="Arial" w:eastAsia="Times New Roman" w:hAnsi="Arial" w:cs="Arial"/>
          <w:sz w:val="24"/>
          <w:szCs w:val="24"/>
          <w:lang w:val="es-ES" w:eastAsia="es-ES"/>
        </w:rPr>
        <w:t>”</w:t>
      </w:r>
      <w:r w:rsidR="00477514">
        <w:rPr>
          <w:rFonts w:ascii="Arial" w:eastAsia="Times New Roman" w:hAnsi="Arial" w:cs="Arial"/>
          <w:sz w:val="24"/>
          <w:szCs w:val="24"/>
          <w:lang w:val="es-ES" w:eastAsia="es-ES"/>
        </w:rPr>
        <w:t>.</w:t>
      </w:r>
    </w:p>
    <w:p w14:paraId="24027102" w14:textId="77777777" w:rsidR="00B018CA" w:rsidRPr="00F7157A" w:rsidRDefault="00B018CA" w:rsidP="00B018CA">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w:t>
      </w:r>
      <w:r w:rsidR="006A72F0" w:rsidRPr="00F7157A">
        <w:rPr>
          <w:rFonts w:ascii="Arial" w:eastAsia="Times New Roman" w:hAnsi="Arial" w:cs="Arial"/>
          <w:b/>
          <w:sz w:val="24"/>
          <w:szCs w:val="24"/>
          <w:lang w:val="es-ES" w:eastAsia="es-ES"/>
        </w:rPr>
        <w:t>s</w:t>
      </w:r>
      <w:r w:rsidR="00154F88" w:rsidRPr="00F7157A">
        <w:rPr>
          <w:rFonts w:ascii="Arial" w:eastAsia="Times New Roman" w:hAnsi="Arial" w:cs="Arial"/>
          <w:b/>
          <w:sz w:val="24"/>
          <w:szCs w:val="24"/>
          <w:lang w:val="es-ES" w:eastAsia="es-ES"/>
        </w:rPr>
        <w:t>éptima</w:t>
      </w:r>
      <w:r w:rsidRPr="00F7157A">
        <w:rPr>
          <w:rFonts w:ascii="Arial" w:eastAsia="Times New Roman" w:hAnsi="Arial" w:cs="Arial"/>
          <w:b/>
          <w:sz w:val="24"/>
          <w:szCs w:val="24"/>
          <w:lang w:val="es-ES" w:eastAsia="es-ES"/>
        </w:rPr>
        <w:t>. Modificación de la Ley Foral 11/1999, de 6 de abril, por la que se regula el sistema de carrera profesional del personal facultativo del Servicio Navarro de Salud-Osasunbidea.</w:t>
      </w:r>
    </w:p>
    <w:p w14:paraId="0CB626AE" w14:textId="77777777" w:rsidR="006A72F0" w:rsidRPr="00F7157A" w:rsidRDefault="006A72F0" w:rsidP="006A72F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Se añade una disposición adicional cuarta, </w:t>
      </w:r>
      <w:r w:rsidR="00154F88" w:rsidRPr="00F7157A">
        <w:rPr>
          <w:rFonts w:ascii="Arial" w:eastAsia="Times New Roman" w:hAnsi="Arial" w:cs="Arial"/>
          <w:sz w:val="24"/>
          <w:szCs w:val="24"/>
          <w:lang w:val="es-ES" w:eastAsia="es-ES"/>
        </w:rPr>
        <w:t>con la siguiente redacción</w:t>
      </w:r>
      <w:r w:rsidRPr="00F7157A">
        <w:rPr>
          <w:rFonts w:ascii="Arial" w:eastAsia="Times New Roman" w:hAnsi="Arial" w:cs="Arial"/>
          <w:sz w:val="24"/>
          <w:szCs w:val="24"/>
          <w:lang w:val="es-ES" w:eastAsia="es-ES"/>
        </w:rPr>
        <w:t>:</w:t>
      </w:r>
    </w:p>
    <w:p w14:paraId="42F6A998"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“Disposición adicional cuarta. Aplicación del nivel de carrera profesional reconocido al personal procedente del Sistema Nacional de Salud.</w:t>
      </w:r>
    </w:p>
    <w:p w14:paraId="0BD4F188"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1. 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la legislación foral por la que se regula el sistema de carrera profesional del citado personal del Servicio Navarro de Salud-Osasunbidea, y normativa de desarrollo.</w:t>
      </w:r>
    </w:p>
    <w:p w14:paraId="0342A28F"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2E630B9C" w14:textId="77777777" w:rsidR="00B018CA" w:rsidRPr="00F7157A" w:rsidRDefault="00B018CA" w:rsidP="00B018CA">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w:t>
      </w:r>
      <w:r w:rsidR="00154F88" w:rsidRPr="00F7157A">
        <w:rPr>
          <w:rFonts w:ascii="Arial" w:eastAsia="Times New Roman" w:hAnsi="Arial" w:cs="Arial"/>
          <w:b/>
          <w:sz w:val="24"/>
          <w:szCs w:val="24"/>
          <w:lang w:val="es-ES" w:eastAsia="es-ES"/>
        </w:rPr>
        <w:t>octava</w:t>
      </w:r>
      <w:r w:rsidRPr="00F7157A">
        <w:rPr>
          <w:rFonts w:ascii="Arial" w:eastAsia="Times New Roman" w:hAnsi="Arial" w:cs="Arial"/>
          <w:b/>
          <w:sz w:val="24"/>
          <w:szCs w:val="24"/>
          <w:lang w:val="es-ES" w:eastAsia="es-ES"/>
        </w:rPr>
        <w:t>. Modificación de la Ley Foral 12/2024, de 30 de septiembre, por la que se establece el sistema de carrera profesional del personal sanitario adscrito al Departamento de Salud y sus Organismos Autónomos, excluidos personal facultativo especialista, otro personal facultativo sanitario y personal diplomado sanitario.</w:t>
      </w:r>
    </w:p>
    <w:p w14:paraId="28C13A57" w14:textId="77777777" w:rsidR="006A72F0" w:rsidRPr="00F7157A" w:rsidRDefault="006A72F0" w:rsidP="006A72F0">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Se añade una disposición adicional sexta, </w:t>
      </w:r>
      <w:r w:rsidR="00154F88" w:rsidRPr="00F7157A">
        <w:rPr>
          <w:rFonts w:ascii="Arial" w:eastAsia="Times New Roman" w:hAnsi="Arial" w:cs="Arial"/>
          <w:sz w:val="24"/>
          <w:szCs w:val="24"/>
          <w:lang w:val="es-ES" w:eastAsia="es-ES"/>
        </w:rPr>
        <w:t>con la siguiente redacción</w:t>
      </w:r>
      <w:r w:rsidRPr="00F7157A">
        <w:rPr>
          <w:rFonts w:ascii="Arial" w:eastAsia="Times New Roman" w:hAnsi="Arial" w:cs="Arial"/>
          <w:sz w:val="24"/>
          <w:szCs w:val="24"/>
          <w:lang w:val="es-ES" w:eastAsia="es-ES"/>
        </w:rPr>
        <w:t>:</w:t>
      </w:r>
    </w:p>
    <w:p w14:paraId="17E7DDD8"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“Disposición adicional sexta. Aplicación del nivel de carrera profesional reconocido al personal procedente del Sistema Nacional de Salud.</w:t>
      </w:r>
    </w:p>
    <w:p w14:paraId="353670D3"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lastRenderedPageBreak/>
        <w:t xml:space="preserve">1. Se reconoce al personal sanitario de los niveles C y D que acceda a plaza fija en el Departamento de Salud y sus </w:t>
      </w:r>
      <w:r w:rsidR="006A72F0" w:rsidRPr="00F7157A">
        <w:rPr>
          <w:rFonts w:ascii="Arial" w:eastAsia="Times New Roman" w:hAnsi="Arial" w:cs="Arial"/>
          <w:sz w:val="24"/>
          <w:szCs w:val="24"/>
          <w:lang w:val="es-ES" w:eastAsia="es-ES"/>
        </w:rPr>
        <w:t>o</w:t>
      </w:r>
      <w:r w:rsidRPr="00F7157A">
        <w:rPr>
          <w:rFonts w:ascii="Arial" w:eastAsia="Times New Roman" w:hAnsi="Arial" w:cs="Arial"/>
          <w:sz w:val="24"/>
          <w:szCs w:val="24"/>
          <w:lang w:val="es-ES" w:eastAsia="es-ES"/>
        </w:rPr>
        <w:t xml:space="preserve">rganismos </w:t>
      </w:r>
      <w:r w:rsidR="006A72F0" w:rsidRPr="00F7157A">
        <w:rPr>
          <w:rFonts w:ascii="Arial" w:eastAsia="Times New Roman" w:hAnsi="Arial" w:cs="Arial"/>
          <w:sz w:val="24"/>
          <w:szCs w:val="24"/>
          <w:lang w:val="es-ES" w:eastAsia="es-ES"/>
        </w:rPr>
        <w:t>a</w:t>
      </w:r>
      <w:r w:rsidRPr="00F7157A">
        <w:rPr>
          <w:rFonts w:ascii="Arial" w:eastAsia="Times New Roman" w:hAnsi="Arial" w:cs="Arial"/>
          <w:sz w:val="24"/>
          <w:szCs w:val="24"/>
          <w:lang w:val="es-ES" w:eastAsia="es-ES"/>
        </w:rPr>
        <w:t xml:space="preserve">utónomos los grados de carrera acreditados en otro servicio de salud del Sistema Nacional de Salud, referidos a la misma especialidad, categoría profesional o grupo de titulación. Dichos grados se retribuirán conforme a lo establecido en la legislación foral por la que se regula el sistema de carrera profesional del citado personal del Servicio Navarro de Salud-Osasunbidea, y </w:t>
      </w:r>
      <w:r w:rsidR="006A72F0" w:rsidRPr="00F7157A">
        <w:rPr>
          <w:rFonts w:ascii="Arial" w:eastAsia="Times New Roman" w:hAnsi="Arial" w:cs="Arial"/>
          <w:sz w:val="24"/>
          <w:szCs w:val="24"/>
          <w:lang w:val="es-ES" w:eastAsia="es-ES"/>
        </w:rPr>
        <w:t xml:space="preserve">su </w:t>
      </w:r>
      <w:r w:rsidRPr="00F7157A">
        <w:rPr>
          <w:rFonts w:ascii="Arial" w:eastAsia="Times New Roman" w:hAnsi="Arial" w:cs="Arial"/>
          <w:sz w:val="24"/>
          <w:szCs w:val="24"/>
          <w:lang w:val="es-ES" w:eastAsia="es-ES"/>
        </w:rPr>
        <w:t>normativa de desarrollo.</w:t>
      </w:r>
    </w:p>
    <w:p w14:paraId="049321D4" w14:textId="77777777" w:rsidR="00B018CA" w:rsidRPr="00F7157A" w:rsidRDefault="00B018CA" w:rsidP="00B018CA">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2. 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Salud-Osasunbidea”.</w:t>
      </w:r>
    </w:p>
    <w:p w14:paraId="1B8566F5" w14:textId="77777777" w:rsidR="00B018CA" w:rsidRPr="00F7157A" w:rsidRDefault="00B018CA" w:rsidP="000C320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w:t>
      </w:r>
      <w:r w:rsidR="00154F88" w:rsidRPr="00F7157A">
        <w:rPr>
          <w:rFonts w:ascii="Arial" w:eastAsia="Times New Roman" w:hAnsi="Arial" w:cs="Arial"/>
          <w:b/>
          <w:sz w:val="24"/>
          <w:szCs w:val="24"/>
          <w:lang w:val="es-ES" w:eastAsia="es-ES"/>
        </w:rPr>
        <w:t>novena.</w:t>
      </w:r>
      <w:r w:rsidRPr="00F7157A">
        <w:rPr>
          <w:rFonts w:ascii="Arial" w:eastAsia="Times New Roman" w:hAnsi="Arial" w:cs="Arial"/>
          <w:b/>
          <w:sz w:val="24"/>
          <w:szCs w:val="24"/>
          <w:lang w:val="es-ES" w:eastAsia="es-ES"/>
        </w:rPr>
        <w:t xml:space="preserve"> Modificación de la Ley Foral 14/2015, de 10 de abril, para actuar contra la violencia hacia las mujeres</w:t>
      </w:r>
      <w:r w:rsidR="00154F88" w:rsidRPr="00F7157A">
        <w:rPr>
          <w:rFonts w:ascii="Arial" w:eastAsia="Times New Roman" w:hAnsi="Arial" w:cs="Arial"/>
          <w:b/>
          <w:sz w:val="24"/>
          <w:szCs w:val="24"/>
          <w:lang w:val="es-ES" w:eastAsia="es-ES"/>
        </w:rPr>
        <w:t>.</w:t>
      </w:r>
    </w:p>
    <w:p w14:paraId="67CB8D88" w14:textId="77777777" w:rsidR="00B018CA" w:rsidRPr="00F7157A" w:rsidRDefault="00B018CA" w:rsidP="000C320C">
      <w:pPr>
        <w:shd w:val="clear" w:color="auto" w:fill="FFFFFF"/>
        <w:spacing w:after="300" w:line="340" w:lineRule="exact"/>
        <w:ind w:right="75"/>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Se modifica el artículo 55, que queda redactado en los siguientes términos:</w:t>
      </w:r>
    </w:p>
    <w:p w14:paraId="07019405" w14:textId="77777777" w:rsidR="00B018CA" w:rsidRPr="00F7157A" w:rsidRDefault="00154F88" w:rsidP="000C320C">
      <w:pPr>
        <w:shd w:val="clear" w:color="auto" w:fill="FFFFFF"/>
        <w:spacing w:after="300" w:line="340" w:lineRule="exact"/>
        <w:ind w:right="75"/>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w:t>
      </w:r>
      <w:r w:rsidR="00B018CA" w:rsidRPr="00F7157A">
        <w:rPr>
          <w:rFonts w:ascii="Arial" w:eastAsia="Times New Roman" w:hAnsi="Arial" w:cs="Arial"/>
          <w:sz w:val="24"/>
          <w:szCs w:val="24"/>
          <w:lang w:val="es-ES" w:eastAsia="es-ES"/>
        </w:rPr>
        <w:t>Además de las ayudas previstas en los artículos anteriores, la Administración de la Comunidad Foral de Navarra podrá establecer, mediante desarrollo reglamentario, otras prestaciones económicas específicas compatibles con las anteriores, o modificar los requisitos de acceso de las ya existentes, para garantizar la recuperación de las mujeres víctimas y/o supervivientes de la violencia, así como de sus hijas e hijos. De forma específica, se desarrollarán reglamentariamente ayudas económicas para la reparación y atención de las hijas e hijos huérfanos de víctimas mortales de violencia contra l</w:t>
      </w:r>
      <w:r w:rsidR="00477514">
        <w:rPr>
          <w:rFonts w:ascii="Arial" w:eastAsia="Times New Roman" w:hAnsi="Arial" w:cs="Arial"/>
          <w:sz w:val="24"/>
          <w:szCs w:val="24"/>
          <w:lang w:val="es-ES" w:eastAsia="es-ES"/>
        </w:rPr>
        <w:t>as mujeres</w:t>
      </w:r>
      <w:r w:rsidRPr="00F7157A">
        <w:rPr>
          <w:rFonts w:ascii="Arial" w:eastAsia="Times New Roman" w:hAnsi="Arial" w:cs="Arial"/>
          <w:sz w:val="24"/>
          <w:szCs w:val="24"/>
          <w:lang w:val="es-ES" w:eastAsia="es-ES"/>
        </w:rPr>
        <w:t>”</w:t>
      </w:r>
      <w:r w:rsidR="00477514">
        <w:rPr>
          <w:rFonts w:ascii="Arial" w:eastAsia="Times New Roman" w:hAnsi="Arial" w:cs="Arial"/>
          <w:sz w:val="24"/>
          <w:szCs w:val="24"/>
          <w:lang w:val="es-ES" w:eastAsia="es-ES"/>
        </w:rPr>
        <w:t>.</w:t>
      </w:r>
    </w:p>
    <w:p w14:paraId="62982FB9" w14:textId="77777777" w:rsidR="00154F88" w:rsidRPr="00F7157A" w:rsidRDefault="00B018CA" w:rsidP="000C320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t xml:space="preserve">Disposición final </w:t>
      </w:r>
      <w:r w:rsidR="00154F88" w:rsidRPr="00F7157A">
        <w:rPr>
          <w:rFonts w:ascii="Arial" w:eastAsia="Times New Roman" w:hAnsi="Arial" w:cs="Arial"/>
          <w:b/>
          <w:sz w:val="24"/>
          <w:szCs w:val="24"/>
          <w:lang w:val="es-ES" w:eastAsia="es-ES"/>
        </w:rPr>
        <w:t>décima</w:t>
      </w:r>
      <w:r w:rsidRPr="00F7157A">
        <w:rPr>
          <w:rFonts w:ascii="Arial" w:eastAsia="Times New Roman" w:hAnsi="Arial" w:cs="Arial"/>
          <w:b/>
          <w:sz w:val="24"/>
          <w:szCs w:val="24"/>
          <w:lang w:val="es-ES" w:eastAsia="es-ES"/>
        </w:rPr>
        <w:t>. Modificación de la Ley Foral 14/2018, de 18 de juni</w:t>
      </w:r>
      <w:r w:rsidR="00154F88" w:rsidRPr="00F7157A">
        <w:rPr>
          <w:rFonts w:ascii="Arial" w:eastAsia="Times New Roman" w:hAnsi="Arial" w:cs="Arial"/>
          <w:b/>
          <w:sz w:val="24"/>
          <w:szCs w:val="24"/>
          <w:lang w:val="es-ES" w:eastAsia="es-ES"/>
        </w:rPr>
        <w:t>o, de residuos y su fiscalidad.</w:t>
      </w:r>
    </w:p>
    <w:p w14:paraId="036BB6FC" w14:textId="77777777" w:rsidR="00B018CA" w:rsidRPr="00F7157A" w:rsidRDefault="00B018CA" w:rsidP="000C320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 xml:space="preserve">Se añade una letra m) al artículo </w:t>
      </w:r>
      <w:r w:rsidR="00154F88" w:rsidRPr="00F7157A">
        <w:rPr>
          <w:rFonts w:ascii="Arial" w:eastAsia="Times New Roman" w:hAnsi="Arial" w:cs="Arial"/>
          <w:sz w:val="24"/>
          <w:szCs w:val="24"/>
          <w:lang w:val="es-ES" w:eastAsia="es-ES"/>
        </w:rPr>
        <w:t>43, con la siguiente redacción:</w:t>
      </w:r>
    </w:p>
    <w:p w14:paraId="56578ECD" w14:textId="77777777" w:rsidR="00B018CA" w:rsidRPr="00F7157A" w:rsidRDefault="00B018CA" w:rsidP="000C320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“m) Apoyo para la planificación, retirada y correcta gestión del amianto, vinculado a actuaciones de urgencia ambiental. El departamento competente en materia de residuos, podrá destinar recursos del fondo de residuos a esta materia, siempre y cuando existe Remanente de Tesorería en el fondo de residuos, procedentes del flujo otros residuos, de ejercicios anteriores. El importe máximo anual a destinar a este concepto se obtendrá como resultado de aplicar un factor 0,1 a la Composición anual del fondo de residuos de ese mismo ejercicio, conform</w:t>
      </w:r>
      <w:r w:rsidR="00477514">
        <w:rPr>
          <w:rFonts w:ascii="Arial" w:eastAsia="Times New Roman" w:hAnsi="Arial" w:cs="Arial"/>
          <w:sz w:val="24"/>
          <w:szCs w:val="24"/>
          <w:lang w:val="es-ES" w:eastAsia="es-ES"/>
        </w:rPr>
        <w:t>e a su definición reglamentaria</w:t>
      </w:r>
      <w:r w:rsidRPr="00F7157A">
        <w:rPr>
          <w:rFonts w:ascii="Arial" w:eastAsia="Times New Roman" w:hAnsi="Arial" w:cs="Arial"/>
          <w:sz w:val="24"/>
          <w:szCs w:val="24"/>
          <w:lang w:val="es-ES" w:eastAsia="es-ES"/>
        </w:rPr>
        <w:t>”</w:t>
      </w:r>
      <w:r w:rsidR="00477514">
        <w:rPr>
          <w:rFonts w:ascii="Arial" w:eastAsia="Times New Roman" w:hAnsi="Arial" w:cs="Arial"/>
          <w:sz w:val="24"/>
          <w:szCs w:val="24"/>
          <w:lang w:val="es-ES" w:eastAsia="es-ES"/>
        </w:rPr>
        <w:t>.</w:t>
      </w:r>
    </w:p>
    <w:p w14:paraId="780E4395" w14:textId="77777777" w:rsidR="00E3153F" w:rsidRPr="00F7157A" w:rsidRDefault="00E3153F" w:rsidP="000C320C">
      <w:pPr>
        <w:shd w:val="clear" w:color="auto" w:fill="FFFFFF"/>
        <w:spacing w:after="300" w:line="340" w:lineRule="exact"/>
        <w:jc w:val="both"/>
        <w:rPr>
          <w:rFonts w:ascii="Arial" w:eastAsia="Times New Roman" w:hAnsi="Arial" w:cs="Arial"/>
          <w:b/>
          <w:sz w:val="24"/>
          <w:szCs w:val="24"/>
          <w:lang w:val="es-ES" w:eastAsia="es-ES"/>
        </w:rPr>
      </w:pPr>
      <w:r w:rsidRPr="00F7157A">
        <w:rPr>
          <w:rFonts w:ascii="Arial" w:eastAsia="Times New Roman" w:hAnsi="Arial" w:cs="Arial"/>
          <w:b/>
          <w:sz w:val="24"/>
          <w:szCs w:val="24"/>
          <w:lang w:val="es-ES" w:eastAsia="es-ES"/>
        </w:rPr>
        <w:lastRenderedPageBreak/>
        <w:t xml:space="preserve">Disposición final </w:t>
      </w:r>
      <w:r w:rsidR="00154F88" w:rsidRPr="00F7157A">
        <w:rPr>
          <w:rFonts w:ascii="Arial" w:eastAsia="Times New Roman" w:hAnsi="Arial" w:cs="Arial"/>
          <w:b/>
          <w:sz w:val="24"/>
          <w:szCs w:val="24"/>
          <w:lang w:val="es-ES" w:eastAsia="es-ES"/>
        </w:rPr>
        <w:t>décima primera</w:t>
      </w:r>
      <w:r w:rsidRPr="00F7157A">
        <w:rPr>
          <w:rFonts w:ascii="Arial" w:eastAsia="Times New Roman" w:hAnsi="Arial" w:cs="Arial"/>
          <w:b/>
          <w:sz w:val="24"/>
          <w:szCs w:val="24"/>
          <w:lang w:val="es-ES" w:eastAsia="es-ES"/>
        </w:rPr>
        <w:t>.</w:t>
      </w:r>
      <w:r w:rsidR="00154F88" w:rsidRPr="00F7157A">
        <w:rPr>
          <w:rFonts w:ascii="Arial" w:eastAsia="Times New Roman" w:hAnsi="Arial" w:cs="Arial"/>
          <w:b/>
          <w:sz w:val="24"/>
          <w:szCs w:val="24"/>
          <w:lang w:val="es-ES" w:eastAsia="es-ES"/>
        </w:rPr>
        <w:t xml:space="preserve"> </w:t>
      </w:r>
      <w:r w:rsidRPr="00F7157A">
        <w:rPr>
          <w:rFonts w:ascii="Arial" w:eastAsia="Times New Roman" w:hAnsi="Arial" w:cs="Arial"/>
          <w:b/>
          <w:sz w:val="24"/>
          <w:szCs w:val="24"/>
          <w:lang w:val="es-ES" w:eastAsia="es-ES"/>
        </w:rPr>
        <w:t>Entrada en vigor.</w:t>
      </w:r>
    </w:p>
    <w:p w14:paraId="5643A7A9" w14:textId="77777777" w:rsidR="00E3153F" w:rsidRDefault="00E3153F" w:rsidP="000C320C">
      <w:pPr>
        <w:shd w:val="clear" w:color="auto" w:fill="FFFFFF"/>
        <w:spacing w:after="300" w:line="340" w:lineRule="exact"/>
        <w:jc w:val="both"/>
        <w:rPr>
          <w:rFonts w:ascii="Arial" w:eastAsia="Times New Roman" w:hAnsi="Arial" w:cs="Arial"/>
          <w:sz w:val="24"/>
          <w:szCs w:val="24"/>
          <w:lang w:val="es-ES" w:eastAsia="es-ES"/>
        </w:rPr>
      </w:pPr>
      <w:r w:rsidRPr="00F7157A">
        <w:rPr>
          <w:rFonts w:ascii="Arial" w:eastAsia="Times New Roman" w:hAnsi="Arial" w:cs="Arial"/>
          <w:sz w:val="24"/>
          <w:szCs w:val="24"/>
          <w:lang w:val="es-ES" w:eastAsia="es-ES"/>
        </w:rPr>
        <w:t>Esta ley foral entrará en vigor el día siguiente al de su publicación en el Boletín Oficial de Navarra.</w:t>
      </w:r>
    </w:p>
    <w:p w14:paraId="7C83D409" w14:textId="77777777" w:rsidR="00032DCE" w:rsidRDefault="00032DCE" w:rsidP="000C320C">
      <w:pPr>
        <w:shd w:val="clear" w:color="auto" w:fill="FFFFFF"/>
        <w:spacing w:after="300" w:line="340" w:lineRule="exact"/>
        <w:jc w:val="both"/>
        <w:rPr>
          <w:rFonts w:ascii="Arial" w:eastAsia="Times New Roman" w:hAnsi="Arial" w:cs="Arial"/>
          <w:sz w:val="24"/>
          <w:szCs w:val="24"/>
          <w:lang w:val="es-ES" w:eastAsia="es-ES"/>
        </w:rPr>
      </w:pPr>
    </w:p>
    <w:p w14:paraId="02D5B2CE" w14:textId="77777777" w:rsidR="00032DCE" w:rsidRDefault="00032DCE" w:rsidP="000C320C">
      <w:pPr>
        <w:shd w:val="clear" w:color="auto" w:fill="FFFFFF"/>
        <w:spacing w:after="300" w:line="340" w:lineRule="exact"/>
        <w:jc w:val="both"/>
        <w:rPr>
          <w:rFonts w:ascii="Arial" w:eastAsia="Times New Roman" w:hAnsi="Arial" w:cs="Arial"/>
          <w:sz w:val="24"/>
          <w:szCs w:val="24"/>
          <w:lang w:val="es-ES" w:eastAsia="es-ES"/>
        </w:rPr>
        <w:sectPr w:rsidR="00032DCE">
          <w:footerReference w:type="default" r:id="rId11"/>
          <w:pgSz w:w="11906" w:h="16838"/>
          <w:pgMar w:top="1417" w:right="1701" w:bottom="1417" w:left="1701" w:header="708" w:footer="708" w:gutter="0"/>
          <w:cols w:space="708"/>
          <w:docGrid w:linePitch="360"/>
        </w:sectPr>
      </w:pPr>
    </w:p>
    <w:p w14:paraId="5B393232" w14:textId="77777777" w:rsidR="00032DCE" w:rsidRDefault="00032DCE" w:rsidP="00032DCE">
      <w:pPr>
        <w:pStyle w:val="DICTA-TEXTO"/>
        <w:spacing w:after="0" w:line="240" w:lineRule="auto"/>
        <w:ind w:firstLine="0"/>
        <w:jc w:val="center"/>
        <w:rPr>
          <w:rFonts w:cs="Arial"/>
          <w:b/>
          <w:szCs w:val="24"/>
          <w:lang w:val="es-ES_tradnl"/>
        </w:rPr>
      </w:pPr>
      <w:bookmarkStart w:id="3" w:name="_Hlk118455792"/>
      <w:r>
        <w:rPr>
          <w:rFonts w:cs="Arial"/>
          <w:b/>
          <w:szCs w:val="24"/>
          <w:lang w:val="es-ES_tradnl"/>
        </w:rPr>
        <w:lastRenderedPageBreak/>
        <w:t>ANEXO I</w:t>
      </w:r>
    </w:p>
    <w:p w14:paraId="3C478C32" w14:textId="77777777" w:rsidR="00032DCE" w:rsidRPr="00F114F6" w:rsidRDefault="00032DCE" w:rsidP="00032DCE">
      <w:pPr>
        <w:pStyle w:val="DICTA-TEXTO"/>
        <w:spacing w:after="0" w:line="240" w:lineRule="auto"/>
        <w:ind w:firstLine="0"/>
        <w:jc w:val="left"/>
        <w:rPr>
          <w:rFonts w:cs="Arial"/>
          <w:b/>
          <w:szCs w:val="24"/>
          <w:lang w:val="es-ES_tradnl"/>
        </w:rPr>
      </w:pPr>
    </w:p>
    <w:tbl>
      <w:tblPr>
        <w:tblW w:w="16014" w:type="dxa"/>
        <w:tblCellMar>
          <w:left w:w="70" w:type="dxa"/>
          <w:right w:w="70" w:type="dxa"/>
        </w:tblCellMar>
        <w:tblLook w:val="04A0" w:firstRow="1" w:lastRow="0" w:firstColumn="1" w:lastColumn="0" w:noHBand="0" w:noVBand="1"/>
      </w:tblPr>
      <w:tblGrid>
        <w:gridCol w:w="3685"/>
        <w:gridCol w:w="1292"/>
        <w:gridCol w:w="1292"/>
        <w:gridCol w:w="1134"/>
        <w:gridCol w:w="1331"/>
        <w:gridCol w:w="1191"/>
        <w:gridCol w:w="1191"/>
        <w:gridCol w:w="1331"/>
        <w:gridCol w:w="1134"/>
        <w:gridCol w:w="1141"/>
        <w:gridCol w:w="1292"/>
      </w:tblGrid>
      <w:tr w:rsidR="00032DCE" w14:paraId="4A4C8084" w14:textId="77777777" w:rsidTr="00032DCE">
        <w:trPr>
          <w:trHeight w:val="720"/>
        </w:trPr>
        <w:tc>
          <w:tcPr>
            <w:tcW w:w="36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FDA3774" w14:textId="77777777" w:rsidR="00032DCE" w:rsidRDefault="00032DCE" w:rsidP="00B01115">
            <w:pPr>
              <w:spacing w:after="0"/>
              <w:jc w:val="center"/>
              <w:rPr>
                <w:rFonts w:ascii="Arial" w:hAnsi="Arial" w:cs="Arial"/>
                <w:color w:val="000000"/>
                <w:sz w:val="18"/>
                <w:szCs w:val="18"/>
                <w:lang w:val="es-ES"/>
              </w:rPr>
            </w:pPr>
            <w:bookmarkStart w:id="4" w:name="RANGE!B2:L19"/>
            <w:bookmarkEnd w:id="3"/>
            <w:r>
              <w:rPr>
                <w:rFonts w:ascii="Arial" w:hAnsi="Arial" w:cs="Arial"/>
                <w:color w:val="000000"/>
                <w:sz w:val="18"/>
                <w:szCs w:val="18"/>
              </w:rPr>
              <w:t>EXPLICACIÓN DEL GASTO</w:t>
            </w:r>
            <w:bookmarkEnd w:id="4"/>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118E1617"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1 Gastos de personal</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12F225A2"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2 Gastos en bienes corrientes y servicios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E9A70F2"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3 Gastos financieros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35EBDD7D"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4 Transferencias corrientes</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349CDBB4"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5 Fondo de Contingencia</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00A55353"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6 Inversiones reales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617A3CD7"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7 Transferencias de capital</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297CEBF5"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8 Activos financieros</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3874F1DE"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9 Pasivos financieros</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796F9FA5"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TOTAL</w:t>
            </w:r>
          </w:p>
        </w:tc>
      </w:tr>
      <w:tr w:rsidR="00032DCE" w14:paraId="555E00B5"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73EB204A"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Presidencia e Igualdad</w:t>
            </w:r>
          </w:p>
        </w:tc>
        <w:tc>
          <w:tcPr>
            <w:tcW w:w="1292" w:type="dxa"/>
            <w:tcBorders>
              <w:top w:val="nil"/>
              <w:left w:val="nil"/>
              <w:bottom w:val="single" w:sz="4" w:space="0" w:color="auto"/>
              <w:right w:val="single" w:sz="4" w:space="0" w:color="auto"/>
            </w:tcBorders>
            <w:noWrap/>
            <w:vAlign w:val="center"/>
            <w:hideMark/>
          </w:tcPr>
          <w:p w14:paraId="1E42BD0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15.506.106 </w:t>
            </w:r>
          </w:p>
        </w:tc>
        <w:tc>
          <w:tcPr>
            <w:tcW w:w="1292" w:type="dxa"/>
            <w:tcBorders>
              <w:top w:val="nil"/>
              <w:left w:val="nil"/>
              <w:bottom w:val="single" w:sz="4" w:space="0" w:color="auto"/>
              <w:right w:val="single" w:sz="4" w:space="0" w:color="auto"/>
            </w:tcBorders>
            <w:noWrap/>
            <w:vAlign w:val="center"/>
            <w:hideMark/>
          </w:tcPr>
          <w:p w14:paraId="0159AE9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11.719.888 </w:t>
            </w:r>
          </w:p>
        </w:tc>
        <w:tc>
          <w:tcPr>
            <w:tcW w:w="1134" w:type="dxa"/>
            <w:tcBorders>
              <w:top w:val="nil"/>
              <w:left w:val="nil"/>
              <w:bottom w:val="single" w:sz="4" w:space="0" w:color="auto"/>
              <w:right w:val="single" w:sz="4" w:space="0" w:color="auto"/>
            </w:tcBorders>
            <w:noWrap/>
            <w:vAlign w:val="center"/>
            <w:hideMark/>
          </w:tcPr>
          <w:p w14:paraId="688BF840"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5CBF92D4"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4.672.967 </w:t>
            </w:r>
          </w:p>
        </w:tc>
        <w:tc>
          <w:tcPr>
            <w:tcW w:w="1191" w:type="dxa"/>
            <w:tcBorders>
              <w:top w:val="nil"/>
              <w:left w:val="nil"/>
              <w:bottom w:val="single" w:sz="4" w:space="0" w:color="auto"/>
              <w:right w:val="single" w:sz="4" w:space="0" w:color="auto"/>
            </w:tcBorders>
            <w:noWrap/>
            <w:vAlign w:val="center"/>
            <w:hideMark/>
          </w:tcPr>
          <w:p w14:paraId="3C70C3A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4D0FBCE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1.163.805 </w:t>
            </w:r>
          </w:p>
        </w:tc>
        <w:tc>
          <w:tcPr>
            <w:tcW w:w="1331" w:type="dxa"/>
            <w:tcBorders>
              <w:top w:val="nil"/>
              <w:left w:val="nil"/>
              <w:bottom w:val="single" w:sz="4" w:space="0" w:color="auto"/>
              <w:right w:val="single" w:sz="4" w:space="0" w:color="auto"/>
            </w:tcBorders>
            <w:noWrap/>
            <w:vAlign w:val="center"/>
            <w:hideMark/>
          </w:tcPr>
          <w:p w14:paraId="6FCFE4A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1584C87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220B74B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C8A6C00"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33.062.766 </w:t>
            </w:r>
          </w:p>
        </w:tc>
      </w:tr>
      <w:tr w:rsidR="00032DCE" w14:paraId="522BC827"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124E0F40"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Economía y Hacienda</w:t>
            </w:r>
          </w:p>
        </w:tc>
        <w:tc>
          <w:tcPr>
            <w:tcW w:w="1292" w:type="dxa"/>
            <w:tcBorders>
              <w:top w:val="nil"/>
              <w:left w:val="nil"/>
              <w:bottom w:val="single" w:sz="4" w:space="0" w:color="auto"/>
              <w:right w:val="single" w:sz="4" w:space="0" w:color="auto"/>
            </w:tcBorders>
            <w:noWrap/>
            <w:vAlign w:val="center"/>
            <w:hideMark/>
          </w:tcPr>
          <w:p w14:paraId="57ABC884"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32.975.645 </w:t>
            </w:r>
          </w:p>
        </w:tc>
        <w:tc>
          <w:tcPr>
            <w:tcW w:w="1292" w:type="dxa"/>
            <w:tcBorders>
              <w:top w:val="nil"/>
              <w:left w:val="nil"/>
              <w:bottom w:val="single" w:sz="4" w:space="0" w:color="auto"/>
              <w:right w:val="single" w:sz="4" w:space="0" w:color="auto"/>
            </w:tcBorders>
            <w:noWrap/>
            <w:vAlign w:val="center"/>
            <w:hideMark/>
          </w:tcPr>
          <w:p w14:paraId="7438479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26.744.106 </w:t>
            </w:r>
          </w:p>
        </w:tc>
        <w:tc>
          <w:tcPr>
            <w:tcW w:w="1134" w:type="dxa"/>
            <w:tcBorders>
              <w:top w:val="nil"/>
              <w:left w:val="nil"/>
              <w:bottom w:val="single" w:sz="4" w:space="0" w:color="auto"/>
              <w:right w:val="single" w:sz="4" w:space="0" w:color="auto"/>
            </w:tcBorders>
            <w:noWrap/>
            <w:vAlign w:val="center"/>
            <w:hideMark/>
          </w:tcPr>
          <w:p w14:paraId="2E20662B"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51.384.344 </w:t>
            </w:r>
          </w:p>
        </w:tc>
        <w:tc>
          <w:tcPr>
            <w:tcW w:w="1331" w:type="dxa"/>
            <w:tcBorders>
              <w:top w:val="nil"/>
              <w:left w:val="nil"/>
              <w:bottom w:val="single" w:sz="4" w:space="0" w:color="auto"/>
              <w:right w:val="single" w:sz="4" w:space="0" w:color="auto"/>
            </w:tcBorders>
            <w:noWrap/>
            <w:vAlign w:val="center"/>
            <w:hideMark/>
          </w:tcPr>
          <w:p w14:paraId="2BFC5D8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963.542.060 </w:t>
            </w:r>
          </w:p>
        </w:tc>
        <w:tc>
          <w:tcPr>
            <w:tcW w:w="1191" w:type="dxa"/>
            <w:tcBorders>
              <w:top w:val="nil"/>
              <w:left w:val="nil"/>
              <w:bottom w:val="single" w:sz="4" w:space="0" w:color="auto"/>
              <w:right w:val="single" w:sz="4" w:space="0" w:color="auto"/>
            </w:tcBorders>
            <w:noWrap/>
            <w:vAlign w:val="center"/>
            <w:hideMark/>
          </w:tcPr>
          <w:p w14:paraId="0B9C0E8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35.824.322 </w:t>
            </w:r>
          </w:p>
        </w:tc>
        <w:tc>
          <w:tcPr>
            <w:tcW w:w="1191" w:type="dxa"/>
            <w:tcBorders>
              <w:top w:val="nil"/>
              <w:left w:val="nil"/>
              <w:bottom w:val="single" w:sz="4" w:space="0" w:color="auto"/>
              <w:right w:val="single" w:sz="4" w:space="0" w:color="auto"/>
            </w:tcBorders>
            <w:noWrap/>
            <w:vAlign w:val="center"/>
            <w:hideMark/>
          </w:tcPr>
          <w:p w14:paraId="7CE73E9D"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6.783.493 </w:t>
            </w:r>
          </w:p>
        </w:tc>
        <w:tc>
          <w:tcPr>
            <w:tcW w:w="1331" w:type="dxa"/>
            <w:tcBorders>
              <w:top w:val="nil"/>
              <w:left w:val="nil"/>
              <w:bottom w:val="single" w:sz="4" w:space="0" w:color="auto"/>
              <w:right w:val="single" w:sz="4" w:space="0" w:color="auto"/>
            </w:tcBorders>
            <w:noWrap/>
            <w:vAlign w:val="center"/>
            <w:hideMark/>
          </w:tcPr>
          <w:p w14:paraId="4E5A15DB"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 </w:t>
            </w:r>
          </w:p>
        </w:tc>
        <w:tc>
          <w:tcPr>
            <w:tcW w:w="1134" w:type="dxa"/>
            <w:tcBorders>
              <w:top w:val="nil"/>
              <w:left w:val="nil"/>
              <w:bottom w:val="single" w:sz="4" w:space="0" w:color="auto"/>
              <w:right w:val="single" w:sz="4" w:space="0" w:color="auto"/>
            </w:tcBorders>
            <w:noWrap/>
            <w:vAlign w:val="center"/>
            <w:hideMark/>
          </w:tcPr>
          <w:p w14:paraId="7105401B"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34.350.020 </w:t>
            </w:r>
          </w:p>
        </w:tc>
        <w:tc>
          <w:tcPr>
            <w:tcW w:w="1141" w:type="dxa"/>
            <w:tcBorders>
              <w:top w:val="nil"/>
              <w:left w:val="nil"/>
              <w:bottom w:val="single" w:sz="4" w:space="0" w:color="auto"/>
              <w:right w:val="single" w:sz="4" w:space="0" w:color="auto"/>
            </w:tcBorders>
            <w:noWrap/>
            <w:vAlign w:val="center"/>
            <w:hideMark/>
          </w:tcPr>
          <w:p w14:paraId="71794BE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363.760.000 </w:t>
            </w:r>
          </w:p>
        </w:tc>
        <w:tc>
          <w:tcPr>
            <w:tcW w:w="1292" w:type="dxa"/>
            <w:tcBorders>
              <w:top w:val="nil"/>
              <w:left w:val="nil"/>
              <w:bottom w:val="single" w:sz="4" w:space="0" w:color="auto"/>
              <w:right w:val="single" w:sz="4" w:space="0" w:color="auto"/>
            </w:tcBorders>
            <w:noWrap/>
            <w:vAlign w:val="center"/>
            <w:hideMark/>
          </w:tcPr>
          <w:p w14:paraId="5563010A"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1.515.364.010 </w:t>
            </w:r>
          </w:p>
        </w:tc>
      </w:tr>
      <w:tr w:rsidR="00032DCE" w14:paraId="7DBDF79D"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74AA731B"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Cohesión Territorial</w:t>
            </w:r>
          </w:p>
        </w:tc>
        <w:tc>
          <w:tcPr>
            <w:tcW w:w="1292" w:type="dxa"/>
            <w:tcBorders>
              <w:top w:val="nil"/>
              <w:left w:val="nil"/>
              <w:bottom w:val="single" w:sz="4" w:space="0" w:color="auto"/>
              <w:right w:val="single" w:sz="4" w:space="0" w:color="auto"/>
            </w:tcBorders>
            <w:noWrap/>
            <w:vAlign w:val="center"/>
            <w:hideMark/>
          </w:tcPr>
          <w:p w14:paraId="4A0EC51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16.950.351 </w:t>
            </w:r>
          </w:p>
        </w:tc>
        <w:tc>
          <w:tcPr>
            <w:tcW w:w="1292" w:type="dxa"/>
            <w:tcBorders>
              <w:top w:val="nil"/>
              <w:left w:val="nil"/>
              <w:bottom w:val="single" w:sz="4" w:space="0" w:color="auto"/>
              <w:right w:val="single" w:sz="4" w:space="0" w:color="auto"/>
            </w:tcBorders>
            <w:noWrap/>
            <w:vAlign w:val="center"/>
            <w:hideMark/>
          </w:tcPr>
          <w:p w14:paraId="33AB43E4"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110.000.239 </w:t>
            </w:r>
          </w:p>
        </w:tc>
        <w:tc>
          <w:tcPr>
            <w:tcW w:w="1134" w:type="dxa"/>
            <w:tcBorders>
              <w:top w:val="nil"/>
              <w:left w:val="nil"/>
              <w:bottom w:val="single" w:sz="4" w:space="0" w:color="auto"/>
              <w:right w:val="single" w:sz="4" w:space="0" w:color="auto"/>
            </w:tcBorders>
            <w:noWrap/>
            <w:vAlign w:val="center"/>
            <w:hideMark/>
          </w:tcPr>
          <w:p w14:paraId="4C58617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110 </w:t>
            </w:r>
          </w:p>
        </w:tc>
        <w:tc>
          <w:tcPr>
            <w:tcW w:w="1331" w:type="dxa"/>
            <w:tcBorders>
              <w:top w:val="nil"/>
              <w:left w:val="nil"/>
              <w:bottom w:val="single" w:sz="4" w:space="0" w:color="auto"/>
              <w:right w:val="single" w:sz="4" w:space="0" w:color="auto"/>
            </w:tcBorders>
            <w:noWrap/>
            <w:vAlign w:val="center"/>
            <w:hideMark/>
          </w:tcPr>
          <w:p w14:paraId="759ED6D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394.911.179 </w:t>
            </w:r>
          </w:p>
        </w:tc>
        <w:tc>
          <w:tcPr>
            <w:tcW w:w="1191" w:type="dxa"/>
            <w:tcBorders>
              <w:top w:val="nil"/>
              <w:left w:val="nil"/>
              <w:bottom w:val="single" w:sz="4" w:space="0" w:color="auto"/>
              <w:right w:val="single" w:sz="4" w:space="0" w:color="auto"/>
            </w:tcBorders>
            <w:noWrap/>
            <w:vAlign w:val="center"/>
            <w:hideMark/>
          </w:tcPr>
          <w:p w14:paraId="69A49EB7"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6B69BDB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121.237.287 </w:t>
            </w:r>
          </w:p>
        </w:tc>
        <w:tc>
          <w:tcPr>
            <w:tcW w:w="1331" w:type="dxa"/>
            <w:tcBorders>
              <w:top w:val="nil"/>
              <w:left w:val="nil"/>
              <w:bottom w:val="single" w:sz="4" w:space="0" w:color="auto"/>
              <w:right w:val="single" w:sz="4" w:space="0" w:color="auto"/>
            </w:tcBorders>
            <w:noWrap/>
            <w:vAlign w:val="center"/>
            <w:hideMark/>
          </w:tcPr>
          <w:p w14:paraId="529F797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50.394.845 </w:t>
            </w:r>
          </w:p>
        </w:tc>
        <w:tc>
          <w:tcPr>
            <w:tcW w:w="1134" w:type="dxa"/>
            <w:tcBorders>
              <w:top w:val="nil"/>
              <w:left w:val="nil"/>
              <w:bottom w:val="single" w:sz="4" w:space="0" w:color="auto"/>
              <w:right w:val="single" w:sz="4" w:space="0" w:color="auto"/>
            </w:tcBorders>
            <w:noWrap/>
            <w:vAlign w:val="center"/>
            <w:hideMark/>
          </w:tcPr>
          <w:p w14:paraId="4B035A0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1.500.000 </w:t>
            </w:r>
          </w:p>
        </w:tc>
        <w:tc>
          <w:tcPr>
            <w:tcW w:w="1141" w:type="dxa"/>
            <w:tcBorders>
              <w:top w:val="nil"/>
              <w:left w:val="nil"/>
              <w:bottom w:val="single" w:sz="4" w:space="0" w:color="auto"/>
              <w:right w:val="single" w:sz="4" w:space="0" w:color="auto"/>
            </w:tcBorders>
            <w:noWrap/>
            <w:vAlign w:val="center"/>
            <w:hideMark/>
          </w:tcPr>
          <w:p w14:paraId="5AA217F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77EFD09"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694.994.011 </w:t>
            </w:r>
          </w:p>
        </w:tc>
      </w:tr>
      <w:tr w:rsidR="00032DCE" w14:paraId="5FA709D7"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7BD14ED2"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Vivienda, Juventud y Políticas Migratorias</w:t>
            </w:r>
          </w:p>
        </w:tc>
        <w:tc>
          <w:tcPr>
            <w:tcW w:w="1292" w:type="dxa"/>
            <w:tcBorders>
              <w:top w:val="nil"/>
              <w:left w:val="nil"/>
              <w:bottom w:val="single" w:sz="4" w:space="0" w:color="auto"/>
              <w:right w:val="single" w:sz="4" w:space="0" w:color="auto"/>
            </w:tcBorders>
            <w:noWrap/>
            <w:vAlign w:val="center"/>
            <w:hideMark/>
          </w:tcPr>
          <w:p w14:paraId="27C9DA2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5.967.471 </w:t>
            </w:r>
          </w:p>
        </w:tc>
        <w:tc>
          <w:tcPr>
            <w:tcW w:w="1292" w:type="dxa"/>
            <w:tcBorders>
              <w:top w:val="nil"/>
              <w:left w:val="nil"/>
              <w:bottom w:val="single" w:sz="4" w:space="0" w:color="auto"/>
              <w:right w:val="single" w:sz="4" w:space="0" w:color="auto"/>
            </w:tcBorders>
            <w:noWrap/>
            <w:vAlign w:val="center"/>
            <w:hideMark/>
          </w:tcPr>
          <w:p w14:paraId="05C3F55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7.534.011 </w:t>
            </w:r>
          </w:p>
        </w:tc>
        <w:tc>
          <w:tcPr>
            <w:tcW w:w="1134" w:type="dxa"/>
            <w:tcBorders>
              <w:top w:val="nil"/>
              <w:left w:val="nil"/>
              <w:bottom w:val="single" w:sz="4" w:space="0" w:color="auto"/>
              <w:right w:val="single" w:sz="4" w:space="0" w:color="auto"/>
            </w:tcBorders>
            <w:noWrap/>
            <w:vAlign w:val="center"/>
            <w:hideMark/>
          </w:tcPr>
          <w:p w14:paraId="49A81A9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5111FD9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21.548.454 </w:t>
            </w:r>
          </w:p>
        </w:tc>
        <w:tc>
          <w:tcPr>
            <w:tcW w:w="1191" w:type="dxa"/>
            <w:tcBorders>
              <w:top w:val="nil"/>
              <w:left w:val="nil"/>
              <w:bottom w:val="single" w:sz="4" w:space="0" w:color="auto"/>
              <w:right w:val="single" w:sz="4" w:space="0" w:color="auto"/>
            </w:tcBorders>
            <w:noWrap/>
            <w:vAlign w:val="center"/>
            <w:hideMark/>
          </w:tcPr>
          <w:p w14:paraId="3A3A2355"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636A446D"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9.817.220 </w:t>
            </w:r>
          </w:p>
        </w:tc>
        <w:tc>
          <w:tcPr>
            <w:tcW w:w="1331" w:type="dxa"/>
            <w:tcBorders>
              <w:top w:val="nil"/>
              <w:left w:val="nil"/>
              <w:bottom w:val="single" w:sz="4" w:space="0" w:color="auto"/>
              <w:right w:val="single" w:sz="4" w:space="0" w:color="auto"/>
            </w:tcBorders>
            <w:noWrap/>
            <w:vAlign w:val="center"/>
            <w:hideMark/>
          </w:tcPr>
          <w:p w14:paraId="7ECFED8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85.422.355 </w:t>
            </w:r>
          </w:p>
        </w:tc>
        <w:tc>
          <w:tcPr>
            <w:tcW w:w="1134" w:type="dxa"/>
            <w:tcBorders>
              <w:top w:val="nil"/>
              <w:left w:val="nil"/>
              <w:bottom w:val="single" w:sz="4" w:space="0" w:color="auto"/>
              <w:right w:val="single" w:sz="4" w:space="0" w:color="auto"/>
            </w:tcBorders>
            <w:noWrap/>
            <w:vAlign w:val="center"/>
            <w:hideMark/>
          </w:tcPr>
          <w:p w14:paraId="09D91FE7"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69A9A720"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C7D5809"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130.289.511 </w:t>
            </w:r>
          </w:p>
        </w:tc>
      </w:tr>
      <w:tr w:rsidR="00032DCE" w14:paraId="056834C8"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26315C44"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Educación</w:t>
            </w:r>
          </w:p>
        </w:tc>
        <w:tc>
          <w:tcPr>
            <w:tcW w:w="1292" w:type="dxa"/>
            <w:tcBorders>
              <w:top w:val="nil"/>
              <w:left w:val="nil"/>
              <w:bottom w:val="single" w:sz="4" w:space="0" w:color="auto"/>
              <w:right w:val="single" w:sz="4" w:space="0" w:color="auto"/>
            </w:tcBorders>
            <w:noWrap/>
            <w:vAlign w:val="center"/>
            <w:hideMark/>
          </w:tcPr>
          <w:p w14:paraId="4EAD6A6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613.546.589 </w:t>
            </w:r>
          </w:p>
        </w:tc>
        <w:tc>
          <w:tcPr>
            <w:tcW w:w="1292" w:type="dxa"/>
            <w:tcBorders>
              <w:top w:val="nil"/>
              <w:left w:val="nil"/>
              <w:bottom w:val="single" w:sz="4" w:space="0" w:color="auto"/>
              <w:right w:val="single" w:sz="4" w:space="0" w:color="auto"/>
            </w:tcBorders>
            <w:noWrap/>
            <w:vAlign w:val="center"/>
            <w:hideMark/>
          </w:tcPr>
          <w:p w14:paraId="6DD7D91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76.326.662 </w:t>
            </w:r>
          </w:p>
        </w:tc>
        <w:tc>
          <w:tcPr>
            <w:tcW w:w="1134" w:type="dxa"/>
            <w:tcBorders>
              <w:top w:val="nil"/>
              <w:left w:val="nil"/>
              <w:bottom w:val="single" w:sz="4" w:space="0" w:color="auto"/>
              <w:right w:val="single" w:sz="4" w:space="0" w:color="auto"/>
            </w:tcBorders>
            <w:noWrap/>
            <w:vAlign w:val="center"/>
            <w:hideMark/>
          </w:tcPr>
          <w:p w14:paraId="0CB13CB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hideMark/>
          </w:tcPr>
          <w:p w14:paraId="0673638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229.620.486 </w:t>
            </w:r>
          </w:p>
        </w:tc>
        <w:tc>
          <w:tcPr>
            <w:tcW w:w="1191" w:type="dxa"/>
            <w:tcBorders>
              <w:top w:val="nil"/>
              <w:left w:val="nil"/>
              <w:bottom w:val="single" w:sz="4" w:space="0" w:color="auto"/>
              <w:right w:val="single" w:sz="4" w:space="0" w:color="auto"/>
            </w:tcBorders>
            <w:noWrap/>
            <w:vAlign w:val="center"/>
            <w:hideMark/>
          </w:tcPr>
          <w:p w14:paraId="13BE994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120ADABD"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25.613.991 </w:t>
            </w:r>
          </w:p>
        </w:tc>
        <w:tc>
          <w:tcPr>
            <w:tcW w:w="1331" w:type="dxa"/>
            <w:tcBorders>
              <w:top w:val="nil"/>
              <w:left w:val="nil"/>
              <w:bottom w:val="single" w:sz="4" w:space="0" w:color="auto"/>
              <w:right w:val="single" w:sz="4" w:space="0" w:color="auto"/>
            </w:tcBorders>
            <w:noWrap/>
            <w:vAlign w:val="center"/>
            <w:hideMark/>
          </w:tcPr>
          <w:p w14:paraId="4576430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5.402.771 </w:t>
            </w:r>
          </w:p>
        </w:tc>
        <w:tc>
          <w:tcPr>
            <w:tcW w:w="1134" w:type="dxa"/>
            <w:tcBorders>
              <w:top w:val="nil"/>
              <w:left w:val="nil"/>
              <w:bottom w:val="single" w:sz="4" w:space="0" w:color="auto"/>
              <w:right w:val="single" w:sz="4" w:space="0" w:color="auto"/>
            </w:tcBorders>
            <w:noWrap/>
            <w:vAlign w:val="center"/>
            <w:hideMark/>
          </w:tcPr>
          <w:p w14:paraId="64F535A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2E177180"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46A19AF"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950.510.509 </w:t>
            </w:r>
          </w:p>
        </w:tc>
      </w:tr>
      <w:tr w:rsidR="00032DCE" w14:paraId="4EF1F319"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09BD86D8"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Salud</w:t>
            </w:r>
          </w:p>
        </w:tc>
        <w:tc>
          <w:tcPr>
            <w:tcW w:w="1292" w:type="dxa"/>
            <w:tcBorders>
              <w:top w:val="nil"/>
              <w:left w:val="nil"/>
              <w:bottom w:val="single" w:sz="4" w:space="0" w:color="auto"/>
              <w:right w:val="single" w:sz="4" w:space="0" w:color="auto"/>
            </w:tcBorders>
            <w:noWrap/>
            <w:vAlign w:val="center"/>
            <w:hideMark/>
          </w:tcPr>
          <w:p w14:paraId="46EACA0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811.272.800 </w:t>
            </w:r>
          </w:p>
        </w:tc>
        <w:tc>
          <w:tcPr>
            <w:tcW w:w="1292" w:type="dxa"/>
            <w:tcBorders>
              <w:top w:val="nil"/>
              <w:left w:val="nil"/>
              <w:bottom w:val="single" w:sz="4" w:space="0" w:color="auto"/>
              <w:right w:val="single" w:sz="4" w:space="0" w:color="auto"/>
            </w:tcBorders>
            <w:noWrap/>
            <w:vAlign w:val="center"/>
            <w:hideMark/>
          </w:tcPr>
          <w:p w14:paraId="3856872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501.375.363 </w:t>
            </w:r>
          </w:p>
        </w:tc>
        <w:tc>
          <w:tcPr>
            <w:tcW w:w="1134" w:type="dxa"/>
            <w:tcBorders>
              <w:top w:val="nil"/>
              <w:left w:val="nil"/>
              <w:bottom w:val="single" w:sz="4" w:space="0" w:color="auto"/>
              <w:right w:val="single" w:sz="4" w:space="0" w:color="auto"/>
            </w:tcBorders>
            <w:noWrap/>
            <w:vAlign w:val="center"/>
            <w:hideMark/>
          </w:tcPr>
          <w:p w14:paraId="6A8AC31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 </w:t>
            </w:r>
          </w:p>
        </w:tc>
        <w:tc>
          <w:tcPr>
            <w:tcW w:w="1331" w:type="dxa"/>
            <w:tcBorders>
              <w:top w:val="nil"/>
              <w:left w:val="nil"/>
              <w:bottom w:val="single" w:sz="4" w:space="0" w:color="auto"/>
              <w:right w:val="single" w:sz="4" w:space="0" w:color="auto"/>
            </w:tcBorders>
            <w:noWrap/>
            <w:vAlign w:val="center"/>
            <w:hideMark/>
          </w:tcPr>
          <w:p w14:paraId="686C56B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205.921.088 </w:t>
            </w:r>
          </w:p>
        </w:tc>
        <w:tc>
          <w:tcPr>
            <w:tcW w:w="1191" w:type="dxa"/>
            <w:tcBorders>
              <w:top w:val="nil"/>
              <w:left w:val="nil"/>
              <w:bottom w:val="single" w:sz="4" w:space="0" w:color="auto"/>
              <w:right w:val="single" w:sz="4" w:space="0" w:color="auto"/>
            </w:tcBorders>
            <w:noWrap/>
            <w:vAlign w:val="center"/>
            <w:hideMark/>
          </w:tcPr>
          <w:p w14:paraId="1F46F41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000EA86B"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40.111.934 </w:t>
            </w:r>
          </w:p>
        </w:tc>
        <w:tc>
          <w:tcPr>
            <w:tcW w:w="1331" w:type="dxa"/>
            <w:tcBorders>
              <w:top w:val="nil"/>
              <w:left w:val="nil"/>
              <w:bottom w:val="single" w:sz="4" w:space="0" w:color="auto"/>
              <w:right w:val="single" w:sz="4" w:space="0" w:color="auto"/>
            </w:tcBorders>
            <w:noWrap/>
            <w:vAlign w:val="center"/>
            <w:hideMark/>
          </w:tcPr>
          <w:p w14:paraId="4D5FBBBB"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2.504.318 </w:t>
            </w:r>
          </w:p>
        </w:tc>
        <w:tc>
          <w:tcPr>
            <w:tcW w:w="1134" w:type="dxa"/>
            <w:tcBorders>
              <w:top w:val="nil"/>
              <w:left w:val="nil"/>
              <w:bottom w:val="single" w:sz="4" w:space="0" w:color="auto"/>
              <w:right w:val="single" w:sz="4" w:space="0" w:color="auto"/>
            </w:tcBorders>
            <w:noWrap/>
            <w:vAlign w:val="center"/>
            <w:hideMark/>
          </w:tcPr>
          <w:p w14:paraId="6CB1CAE0"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7BC0E7F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28FBA7C"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1.561.185.523 </w:t>
            </w:r>
          </w:p>
        </w:tc>
      </w:tr>
      <w:tr w:rsidR="00032DCE" w14:paraId="523EC7B6"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3307EDEF"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Desarrollo Rural y Medio Ambiente</w:t>
            </w:r>
          </w:p>
        </w:tc>
        <w:tc>
          <w:tcPr>
            <w:tcW w:w="1292" w:type="dxa"/>
            <w:tcBorders>
              <w:top w:val="nil"/>
              <w:left w:val="nil"/>
              <w:bottom w:val="single" w:sz="4" w:space="0" w:color="auto"/>
              <w:right w:val="single" w:sz="4" w:space="0" w:color="auto"/>
            </w:tcBorders>
            <w:noWrap/>
            <w:vAlign w:val="center"/>
            <w:hideMark/>
          </w:tcPr>
          <w:p w14:paraId="523FBA3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30.720.114 </w:t>
            </w:r>
          </w:p>
        </w:tc>
        <w:tc>
          <w:tcPr>
            <w:tcW w:w="1292" w:type="dxa"/>
            <w:tcBorders>
              <w:top w:val="nil"/>
              <w:left w:val="nil"/>
              <w:bottom w:val="single" w:sz="4" w:space="0" w:color="auto"/>
              <w:right w:val="single" w:sz="4" w:space="0" w:color="auto"/>
            </w:tcBorders>
            <w:noWrap/>
            <w:vAlign w:val="center"/>
            <w:hideMark/>
          </w:tcPr>
          <w:p w14:paraId="71D7F2B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25.996.673 </w:t>
            </w:r>
          </w:p>
        </w:tc>
        <w:tc>
          <w:tcPr>
            <w:tcW w:w="1134" w:type="dxa"/>
            <w:tcBorders>
              <w:top w:val="nil"/>
              <w:left w:val="nil"/>
              <w:bottom w:val="single" w:sz="4" w:space="0" w:color="auto"/>
              <w:right w:val="single" w:sz="4" w:space="0" w:color="auto"/>
            </w:tcBorders>
            <w:noWrap/>
            <w:vAlign w:val="center"/>
            <w:hideMark/>
          </w:tcPr>
          <w:p w14:paraId="0487912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hideMark/>
          </w:tcPr>
          <w:p w14:paraId="5FD7647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59.809.842 </w:t>
            </w:r>
          </w:p>
        </w:tc>
        <w:tc>
          <w:tcPr>
            <w:tcW w:w="1191" w:type="dxa"/>
            <w:tcBorders>
              <w:top w:val="nil"/>
              <w:left w:val="nil"/>
              <w:bottom w:val="single" w:sz="4" w:space="0" w:color="auto"/>
              <w:right w:val="single" w:sz="4" w:space="0" w:color="auto"/>
            </w:tcBorders>
            <w:noWrap/>
            <w:vAlign w:val="center"/>
            <w:hideMark/>
          </w:tcPr>
          <w:p w14:paraId="653551DD"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49926D1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16.286.038 </w:t>
            </w:r>
          </w:p>
        </w:tc>
        <w:tc>
          <w:tcPr>
            <w:tcW w:w="1331" w:type="dxa"/>
            <w:tcBorders>
              <w:top w:val="nil"/>
              <w:left w:val="nil"/>
              <w:bottom w:val="single" w:sz="4" w:space="0" w:color="auto"/>
              <w:right w:val="single" w:sz="4" w:space="0" w:color="auto"/>
            </w:tcBorders>
            <w:noWrap/>
            <w:vAlign w:val="center"/>
            <w:hideMark/>
          </w:tcPr>
          <w:p w14:paraId="116F009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50.592.507 </w:t>
            </w:r>
          </w:p>
        </w:tc>
        <w:tc>
          <w:tcPr>
            <w:tcW w:w="1134" w:type="dxa"/>
            <w:tcBorders>
              <w:top w:val="nil"/>
              <w:left w:val="nil"/>
              <w:bottom w:val="single" w:sz="4" w:space="0" w:color="auto"/>
              <w:right w:val="single" w:sz="4" w:space="0" w:color="auto"/>
            </w:tcBorders>
            <w:noWrap/>
            <w:vAlign w:val="center"/>
            <w:hideMark/>
          </w:tcPr>
          <w:p w14:paraId="6A766B68"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5C036AB8"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A21EAF1"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183.405.184 </w:t>
            </w:r>
          </w:p>
        </w:tc>
      </w:tr>
      <w:tr w:rsidR="00032DCE" w14:paraId="719D6659"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4D8078BE"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Industria y de Transición Ecológica y Digital Empresarial</w:t>
            </w:r>
          </w:p>
        </w:tc>
        <w:tc>
          <w:tcPr>
            <w:tcW w:w="1292" w:type="dxa"/>
            <w:tcBorders>
              <w:top w:val="nil"/>
              <w:left w:val="nil"/>
              <w:bottom w:val="single" w:sz="4" w:space="0" w:color="auto"/>
              <w:right w:val="single" w:sz="4" w:space="0" w:color="auto"/>
            </w:tcBorders>
            <w:noWrap/>
            <w:vAlign w:val="center"/>
            <w:hideMark/>
          </w:tcPr>
          <w:p w14:paraId="54A4F2E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8.879.881 </w:t>
            </w:r>
          </w:p>
        </w:tc>
        <w:tc>
          <w:tcPr>
            <w:tcW w:w="1292" w:type="dxa"/>
            <w:tcBorders>
              <w:top w:val="nil"/>
              <w:left w:val="nil"/>
              <w:bottom w:val="single" w:sz="4" w:space="0" w:color="auto"/>
              <w:right w:val="single" w:sz="4" w:space="0" w:color="auto"/>
            </w:tcBorders>
            <w:noWrap/>
            <w:vAlign w:val="center"/>
            <w:hideMark/>
          </w:tcPr>
          <w:p w14:paraId="5706841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9.938.897 </w:t>
            </w:r>
          </w:p>
        </w:tc>
        <w:tc>
          <w:tcPr>
            <w:tcW w:w="1134" w:type="dxa"/>
            <w:tcBorders>
              <w:top w:val="nil"/>
              <w:left w:val="nil"/>
              <w:bottom w:val="single" w:sz="4" w:space="0" w:color="auto"/>
              <w:right w:val="single" w:sz="4" w:space="0" w:color="auto"/>
            </w:tcBorders>
            <w:noWrap/>
            <w:vAlign w:val="center"/>
            <w:hideMark/>
          </w:tcPr>
          <w:p w14:paraId="30075FB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25EEFF9D"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12.174.502 </w:t>
            </w:r>
          </w:p>
        </w:tc>
        <w:tc>
          <w:tcPr>
            <w:tcW w:w="1191" w:type="dxa"/>
            <w:tcBorders>
              <w:top w:val="nil"/>
              <w:left w:val="nil"/>
              <w:bottom w:val="single" w:sz="4" w:space="0" w:color="auto"/>
              <w:right w:val="single" w:sz="4" w:space="0" w:color="auto"/>
            </w:tcBorders>
            <w:noWrap/>
            <w:vAlign w:val="center"/>
            <w:hideMark/>
          </w:tcPr>
          <w:p w14:paraId="5CD0FC9B"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5877A69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2.476.992 </w:t>
            </w:r>
          </w:p>
        </w:tc>
        <w:tc>
          <w:tcPr>
            <w:tcW w:w="1331" w:type="dxa"/>
            <w:tcBorders>
              <w:top w:val="nil"/>
              <w:left w:val="nil"/>
              <w:bottom w:val="single" w:sz="4" w:space="0" w:color="auto"/>
              <w:right w:val="single" w:sz="4" w:space="0" w:color="auto"/>
            </w:tcBorders>
            <w:noWrap/>
            <w:vAlign w:val="center"/>
            <w:hideMark/>
          </w:tcPr>
          <w:p w14:paraId="013ED85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102.873.369 </w:t>
            </w:r>
          </w:p>
        </w:tc>
        <w:tc>
          <w:tcPr>
            <w:tcW w:w="1134" w:type="dxa"/>
            <w:tcBorders>
              <w:top w:val="nil"/>
              <w:left w:val="nil"/>
              <w:bottom w:val="single" w:sz="4" w:space="0" w:color="auto"/>
              <w:right w:val="single" w:sz="4" w:space="0" w:color="auto"/>
            </w:tcBorders>
            <w:noWrap/>
            <w:vAlign w:val="center"/>
            <w:hideMark/>
          </w:tcPr>
          <w:p w14:paraId="62FEEB4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200.000 </w:t>
            </w:r>
          </w:p>
        </w:tc>
        <w:tc>
          <w:tcPr>
            <w:tcW w:w="1141" w:type="dxa"/>
            <w:tcBorders>
              <w:top w:val="nil"/>
              <w:left w:val="nil"/>
              <w:bottom w:val="single" w:sz="4" w:space="0" w:color="auto"/>
              <w:right w:val="single" w:sz="4" w:space="0" w:color="auto"/>
            </w:tcBorders>
            <w:noWrap/>
            <w:vAlign w:val="center"/>
            <w:hideMark/>
          </w:tcPr>
          <w:p w14:paraId="6895FDC7"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D35BCEB"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136.543.641 </w:t>
            </w:r>
          </w:p>
        </w:tc>
      </w:tr>
      <w:tr w:rsidR="00032DCE" w14:paraId="47464F82"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3E6C6283"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Derechos Sociales, Economía Social y Empleo</w:t>
            </w:r>
          </w:p>
        </w:tc>
        <w:tc>
          <w:tcPr>
            <w:tcW w:w="1292" w:type="dxa"/>
            <w:tcBorders>
              <w:top w:val="nil"/>
              <w:left w:val="nil"/>
              <w:bottom w:val="single" w:sz="4" w:space="0" w:color="auto"/>
              <w:right w:val="single" w:sz="4" w:space="0" w:color="auto"/>
            </w:tcBorders>
            <w:noWrap/>
            <w:vAlign w:val="center"/>
            <w:hideMark/>
          </w:tcPr>
          <w:p w14:paraId="5F0C10E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47.639.122 </w:t>
            </w:r>
          </w:p>
        </w:tc>
        <w:tc>
          <w:tcPr>
            <w:tcW w:w="1292" w:type="dxa"/>
            <w:tcBorders>
              <w:top w:val="nil"/>
              <w:left w:val="nil"/>
              <w:bottom w:val="single" w:sz="4" w:space="0" w:color="auto"/>
              <w:right w:val="single" w:sz="4" w:space="0" w:color="auto"/>
            </w:tcBorders>
            <w:noWrap/>
            <w:vAlign w:val="center"/>
            <w:hideMark/>
          </w:tcPr>
          <w:p w14:paraId="6CF27664"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252.953.489 </w:t>
            </w:r>
          </w:p>
        </w:tc>
        <w:tc>
          <w:tcPr>
            <w:tcW w:w="1134" w:type="dxa"/>
            <w:tcBorders>
              <w:top w:val="nil"/>
              <w:left w:val="nil"/>
              <w:bottom w:val="single" w:sz="4" w:space="0" w:color="auto"/>
              <w:right w:val="single" w:sz="4" w:space="0" w:color="auto"/>
            </w:tcBorders>
            <w:noWrap/>
            <w:vAlign w:val="center"/>
            <w:hideMark/>
          </w:tcPr>
          <w:p w14:paraId="2CB4C4C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hideMark/>
          </w:tcPr>
          <w:p w14:paraId="2DEECAA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397.853.284 </w:t>
            </w:r>
          </w:p>
        </w:tc>
        <w:tc>
          <w:tcPr>
            <w:tcW w:w="1191" w:type="dxa"/>
            <w:tcBorders>
              <w:top w:val="nil"/>
              <w:left w:val="nil"/>
              <w:bottom w:val="single" w:sz="4" w:space="0" w:color="auto"/>
              <w:right w:val="single" w:sz="4" w:space="0" w:color="auto"/>
            </w:tcBorders>
            <w:noWrap/>
            <w:vAlign w:val="center"/>
            <w:hideMark/>
          </w:tcPr>
          <w:p w14:paraId="3CE1753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305B4F5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8.213.074 </w:t>
            </w:r>
          </w:p>
        </w:tc>
        <w:tc>
          <w:tcPr>
            <w:tcW w:w="1331" w:type="dxa"/>
            <w:tcBorders>
              <w:top w:val="nil"/>
              <w:left w:val="nil"/>
              <w:bottom w:val="single" w:sz="4" w:space="0" w:color="auto"/>
              <w:right w:val="single" w:sz="4" w:space="0" w:color="auto"/>
            </w:tcBorders>
            <w:noWrap/>
            <w:vAlign w:val="center"/>
            <w:hideMark/>
          </w:tcPr>
          <w:p w14:paraId="39FFC6E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3.597.030 </w:t>
            </w:r>
          </w:p>
        </w:tc>
        <w:tc>
          <w:tcPr>
            <w:tcW w:w="1134" w:type="dxa"/>
            <w:tcBorders>
              <w:top w:val="nil"/>
              <w:left w:val="nil"/>
              <w:bottom w:val="single" w:sz="4" w:space="0" w:color="auto"/>
              <w:right w:val="single" w:sz="4" w:space="0" w:color="auto"/>
            </w:tcBorders>
            <w:noWrap/>
            <w:vAlign w:val="center"/>
            <w:hideMark/>
          </w:tcPr>
          <w:p w14:paraId="247F316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3E9775A4"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388EF04"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710.256.009 </w:t>
            </w:r>
          </w:p>
        </w:tc>
      </w:tr>
      <w:tr w:rsidR="00032DCE" w14:paraId="1B1EA7D3"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6F650D02"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Cultura, Deporte y Turismo</w:t>
            </w:r>
          </w:p>
        </w:tc>
        <w:tc>
          <w:tcPr>
            <w:tcW w:w="1292" w:type="dxa"/>
            <w:tcBorders>
              <w:top w:val="nil"/>
              <w:left w:val="nil"/>
              <w:bottom w:val="single" w:sz="4" w:space="0" w:color="auto"/>
              <w:right w:val="single" w:sz="4" w:space="0" w:color="auto"/>
            </w:tcBorders>
            <w:noWrap/>
            <w:vAlign w:val="center"/>
            <w:hideMark/>
          </w:tcPr>
          <w:p w14:paraId="12B0FD5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19.873.914 </w:t>
            </w:r>
          </w:p>
        </w:tc>
        <w:tc>
          <w:tcPr>
            <w:tcW w:w="1292" w:type="dxa"/>
            <w:tcBorders>
              <w:top w:val="nil"/>
              <w:left w:val="nil"/>
              <w:bottom w:val="single" w:sz="4" w:space="0" w:color="auto"/>
              <w:right w:val="single" w:sz="4" w:space="0" w:color="auto"/>
            </w:tcBorders>
            <w:noWrap/>
            <w:vAlign w:val="center"/>
            <w:hideMark/>
          </w:tcPr>
          <w:p w14:paraId="2AF2BC0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18.899.359 </w:t>
            </w:r>
          </w:p>
        </w:tc>
        <w:tc>
          <w:tcPr>
            <w:tcW w:w="1134" w:type="dxa"/>
            <w:tcBorders>
              <w:top w:val="nil"/>
              <w:left w:val="nil"/>
              <w:bottom w:val="single" w:sz="4" w:space="0" w:color="auto"/>
              <w:right w:val="single" w:sz="4" w:space="0" w:color="auto"/>
            </w:tcBorders>
            <w:noWrap/>
            <w:vAlign w:val="center"/>
            <w:hideMark/>
          </w:tcPr>
          <w:p w14:paraId="3D23595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30 </w:t>
            </w:r>
          </w:p>
        </w:tc>
        <w:tc>
          <w:tcPr>
            <w:tcW w:w="1331" w:type="dxa"/>
            <w:tcBorders>
              <w:top w:val="nil"/>
              <w:left w:val="nil"/>
              <w:bottom w:val="single" w:sz="4" w:space="0" w:color="auto"/>
              <w:right w:val="single" w:sz="4" w:space="0" w:color="auto"/>
            </w:tcBorders>
            <w:noWrap/>
            <w:vAlign w:val="center"/>
            <w:hideMark/>
          </w:tcPr>
          <w:p w14:paraId="102641E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31.050.951 </w:t>
            </w:r>
          </w:p>
        </w:tc>
        <w:tc>
          <w:tcPr>
            <w:tcW w:w="1191" w:type="dxa"/>
            <w:tcBorders>
              <w:top w:val="nil"/>
              <w:left w:val="nil"/>
              <w:bottom w:val="single" w:sz="4" w:space="0" w:color="auto"/>
              <w:right w:val="single" w:sz="4" w:space="0" w:color="auto"/>
            </w:tcBorders>
            <w:noWrap/>
            <w:vAlign w:val="center"/>
            <w:hideMark/>
          </w:tcPr>
          <w:p w14:paraId="26BC289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1B6D2C1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13.032.131 </w:t>
            </w:r>
          </w:p>
        </w:tc>
        <w:tc>
          <w:tcPr>
            <w:tcW w:w="1331" w:type="dxa"/>
            <w:tcBorders>
              <w:top w:val="nil"/>
              <w:left w:val="nil"/>
              <w:bottom w:val="single" w:sz="4" w:space="0" w:color="auto"/>
              <w:right w:val="single" w:sz="4" w:space="0" w:color="auto"/>
            </w:tcBorders>
            <w:noWrap/>
            <w:vAlign w:val="center"/>
            <w:hideMark/>
          </w:tcPr>
          <w:p w14:paraId="4641AAB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7.538.969 </w:t>
            </w:r>
          </w:p>
        </w:tc>
        <w:tc>
          <w:tcPr>
            <w:tcW w:w="1134" w:type="dxa"/>
            <w:tcBorders>
              <w:top w:val="nil"/>
              <w:left w:val="nil"/>
              <w:bottom w:val="single" w:sz="4" w:space="0" w:color="auto"/>
              <w:right w:val="single" w:sz="4" w:space="0" w:color="auto"/>
            </w:tcBorders>
            <w:noWrap/>
            <w:vAlign w:val="center"/>
            <w:hideMark/>
          </w:tcPr>
          <w:p w14:paraId="603F6DC5"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7C63145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010AF38"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90.395.354 </w:t>
            </w:r>
          </w:p>
        </w:tc>
      </w:tr>
      <w:tr w:rsidR="00032DCE" w14:paraId="737B3A04"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02191124"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Memoria y Convivencia, Acción Exterior y Euskera</w:t>
            </w:r>
          </w:p>
        </w:tc>
        <w:tc>
          <w:tcPr>
            <w:tcW w:w="1292" w:type="dxa"/>
            <w:tcBorders>
              <w:top w:val="nil"/>
              <w:left w:val="nil"/>
              <w:bottom w:val="single" w:sz="4" w:space="0" w:color="auto"/>
              <w:right w:val="single" w:sz="4" w:space="0" w:color="auto"/>
            </w:tcBorders>
            <w:noWrap/>
            <w:vAlign w:val="center"/>
            <w:hideMark/>
          </w:tcPr>
          <w:p w14:paraId="16B337C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7.320.014 </w:t>
            </w:r>
          </w:p>
        </w:tc>
        <w:tc>
          <w:tcPr>
            <w:tcW w:w="1292" w:type="dxa"/>
            <w:tcBorders>
              <w:top w:val="nil"/>
              <w:left w:val="nil"/>
              <w:bottom w:val="single" w:sz="4" w:space="0" w:color="auto"/>
              <w:right w:val="single" w:sz="4" w:space="0" w:color="auto"/>
            </w:tcBorders>
            <w:noWrap/>
            <w:vAlign w:val="center"/>
            <w:hideMark/>
          </w:tcPr>
          <w:p w14:paraId="746F420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4.013.800 </w:t>
            </w:r>
          </w:p>
        </w:tc>
        <w:tc>
          <w:tcPr>
            <w:tcW w:w="1134" w:type="dxa"/>
            <w:tcBorders>
              <w:top w:val="nil"/>
              <w:left w:val="nil"/>
              <w:bottom w:val="single" w:sz="4" w:space="0" w:color="auto"/>
              <w:right w:val="single" w:sz="4" w:space="0" w:color="auto"/>
            </w:tcBorders>
            <w:noWrap/>
            <w:vAlign w:val="center"/>
            <w:hideMark/>
          </w:tcPr>
          <w:p w14:paraId="6B45FA7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76A75A5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10.742.040 </w:t>
            </w:r>
          </w:p>
        </w:tc>
        <w:tc>
          <w:tcPr>
            <w:tcW w:w="1191" w:type="dxa"/>
            <w:tcBorders>
              <w:top w:val="nil"/>
              <w:left w:val="nil"/>
              <w:bottom w:val="single" w:sz="4" w:space="0" w:color="auto"/>
              <w:right w:val="single" w:sz="4" w:space="0" w:color="auto"/>
            </w:tcBorders>
            <w:noWrap/>
            <w:vAlign w:val="center"/>
            <w:hideMark/>
          </w:tcPr>
          <w:p w14:paraId="0D426A3F"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47F298E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284.910 </w:t>
            </w:r>
          </w:p>
        </w:tc>
        <w:tc>
          <w:tcPr>
            <w:tcW w:w="1331" w:type="dxa"/>
            <w:tcBorders>
              <w:top w:val="nil"/>
              <w:left w:val="nil"/>
              <w:bottom w:val="single" w:sz="4" w:space="0" w:color="auto"/>
              <w:right w:val="single" w:sz="4" w:space="0" w:color="auto"/>
            </w:tcBorders>
            <w:noWrap/>
            <w:vAlign w:val="center"/>
            <w:hideMark/>
          </w:tcPr>
          <w:p w14:paraId="40DFA6B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148.000 </w:t>
            </w:r>
          </w:p>
        </w:tc>
        <w:tc>
          <w:tcPr>
            <w:tcW w:w="1134" w:type="dxa"/>
            <w:tcBorders>
              <w:top w:val="nil"/>
              <w:left w:val="nil"/>
              <w:bottom w:val="single" w:sz="4" w:space="0" w:color="auto"/>
              <w:right w:val="single" w:sz="4" w:space="0" w:color="auto"/>
            </w:tcBorders>
            <w:noWrap/>
            <w:vAlign w:val="center"/>
            <w:hideMark/>
          </w:tcPr>
          <w:p w14:paraId="5F0C609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78E1BEE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7661D35"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22.508.764 </w:t>
            </w:r>
          </w:p>
        </w:tc>
      </w:tr>
      <w:tr w:rsidR="00032DCE" w14:paraId="16BE1ECD"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596D9B65"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Interior, Función Pública y Justicia</w:t>
            </w:r>
          </w:p>
        </w:tc>
        <w:tc>
          <w:tcPr>
            <w:tcW w:w="1292" w:type="dxa"/>
            <w:tcBorders>
              <w:top w:val="nil"/>
              <w:left w:val="nil"/>
              <w:bottom w:val="single" w:sz="4" w:space="0" w:color="auto"/>
              <w:right w:val="single" w:sz="4" w:space="0" w:color="auto"/>
            </w:tcBorders>
            <w:noWrap/>
            <w:vAlign w:val="center"/>
            <w:hideMark/>
          </w:tcPr>
          <w:p w14:paraId="5CEF59E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407.804.635 </w:t>
            </w:r>
          </w:p>
        </w:tc>
        <w:tc>
          <w:tcPr>
            <w:tcW w:w="1292" w:type="dxa"/>
            <w:tcBorders>
              <w:top w:val="nil"/>
              <w:left w:val="nil"/>
              <w:bottom w:val="single" w:sz="4" w:space="0" w:color="auto"/>
              <w:right w:val="single" w:sz="4" w:space="0" w:color="auto"/>
            </w:tcBorders>
            <w:noWrap/>
            <w:vAlign w:val="center"/>
            <w:hideMark/>
          </w:tcPr>
          <w:p w14:paraId="6559593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23.172.514 </w:t>
            </w:r>
          </w:p>
        </w:tc>
        <w:tc>
          <w:tcPr>
            <w:tcW w:w="1134" w:type="dxa"/>
            <w:tcBorders>
              <w:top w:val="nil"/>
              <w:left w:val="nil"/>
              <w:bottom w:val="single" w:sz="4" w:space="0" w:color="auto"/>
              <w:right w:val="single" w:sz="4" w:space="0" w:color="auto"/>
            </w:tcBorders>
            <w:noWrap/>
            <w:vAlign w:val="center"/>
            <w:hideMark/>
          </w:tcPr>
          <w:p w14:paraId="2FC1ADA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34301C3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28.932.774 </w:t>
            </w:r>
          </w:p>
        </w:tc>
        <w:tc>
          <w:tcPr>
            <w:tcW w:w="1191" w:type="dxa"/>
            <w:tcBorders>
              <w:top w:val="nil"/>
              <w:left w:val="nil"/>
              <w:bottom w:val="single" w:sz="4" w:space="0" w:color="auto"/>
              <w:right w:val="single" w:sz="4" w:space="0" w:color="auto"/>
            </w:tcBorders>
            <w:noWrap/>
            <w:vAlign w:val="center"/>
            <w:hideMark/>
          </w:tcPr>
          <w:p w14:paraId="34B63794"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4D7EEFF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9.856.762 </w:t>
            </w:r>
          </w:p>
        </w:tc>
        <w:tc>
          <w:tcPr>
            <w:tcW w:w="1331" w:type="dxa"/>
            <w:tcBorders>
              <w:top w:val="nil"/>
              <w:left w:val="nil"/>
              <w:bottom w:val="single" w:sz="4" w:space="0" w:color="auto"/>
              <w:right w:val="single" w:sz="4" w:space="0" w:color="auto"/>
            </w:tcBorders>
            <w:noWrap/>
            <w:vAlign w:val="center"/>
            <w:hideMark/>
          </w:tcPr>
          <w:p w14:paraId="19C8062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93.010 </w:t>
            </w:r>
          </w:p>
        </w:tc>
        <w:tc>
          <w:tcPr>
            <w:tcW w:w="1134" w:type="dxa"/>
            <w:tcBorders>
              <w:top w:val="nil"/>
              <w:left w:val="nil"/>
              <w:bottom w:val="single" w:sz="4" w:space="0" w:color="auto"/>
              <w:right w:val="single" w:sz="4" w:space="0" w:color="auto"/>
            </w:tcBorders>
            <w:noWrap/>
            <w:vAlign w:val="center"/>
            <w:hideMark/>
          </w:tcPr>
          <w:p w14:paraId="29A208CD"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23.052.750 </w:t>
            </w:r>
          </w:p>
        </w:tc>
        <w:tc>
          <w:tcPr>
            <w:tcW w:w="1141" w:type="dxa"/>
            <w:tcBorders>
              <w:top w:val="nil"/>
              <w:left w:val="nil"/>
              <w:bottom w:val="single" w:sz="4" w:space="0" w:color="auto"/>
              <w:right w:val="single" w:sz="4" w:space="0" w:color="auto"/>
            </w:tcBorders>
            <w:noWrap/>
            <w:vAlign w:val="center"/>
            <w:hideMark/>
          </w:tcPr>
          <w:p w14:paraId="48385E2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580515D"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492.912.445 </w:t>
            </w:r>
          </w:p>
        </w:tc>
      </w:tr>
      <w:tr w:rsidR="00032DCE" w14:paraId="2B29FFE0"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16B052ED"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Universidad, Innovación y Transformación Digital</w:t>
            </w:r>
          </w:p>
        </w:tc>
        <w:tc>
          <w:tcPr>
            <w:tcW w:w="1292" w:type="dxa"/>
            <w:tcBorders>
              <w:top w:val="nil"/>
              <w:left w:val="nil"/>
              <w:bottom w:val="single" w:sz="4" w:space="0" w:color="auto"/>
              <w:right w:val="single" w:sz="4" w:space="0" w:color="auto"/>
            </w:tcBorders>
            <w:noWrap/>
            <w:vAlign w:val="center"/>
            <w:hideMark/>
          </w:tcPr>
          <w:p w14:paraId="056A0746"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9.765.818 </w:t>
            </w:r>
          </w:p>
        </w:tc>
        <w:tc>
          <w:tcPr>
            <w:tcW w:w="1292" w:type="dxa"/>
            <w:tcBorders>
              <w:top w:val="nil"/>
              <w:left w:val="nil"/>
              <w:bottom w:val="single" w:sz="4" w:space="0" w:color="auto"/>
              <w:right w:val="single" w:sz="4" w:space="0" w:color="auto"/>
            </w:tcBorders>
            <w:noWrap/>
            <w:vAlign w:val="center"/>
            <w:hideMark/>
          </w:tcPr>
          <w:p w14:paraId="4FA5AC3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45.521.870 </w:t>
            </w:r>
          </w:p>
        </w:tc>
        <w:tc>
          <w:tcPr>
            <w:tcW w:w="1134" w:type="dxa"/>
            <w:tcBorders>
              <w:top w:val="nil"/>
              <w:left w:val="nil"/>
              <w:bottom w:val="single" w:sz="4" w:space="0" w:color="auto"/>
              <w:right w:val="single" w:sz="4" w:space="0" w:color="auto"/>
            </w:tcBorders>
            <w:noWrap/>
            <w:vAlign w:val="center"/>
            <w:hideMark/>
          </w:tcPr>
          <w:p w14:paraId="21CDBFF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6D4AEAE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117.062.231 </w:t>
            </w:r>
          </w:p>
        </w:tc>
        <w:tc>
          <w:tcPr>
            <w:tcW w:w="1191" w:type="dxa"/>
            <w:tcBorders>
              <w:top w:val="nil"/>
              <w:left w:val="nil"/>
              <w:bottom w:val="single" w:sz="4" w:space="0" w:color="auto"/>
              <w:right w:val="single" w:sz="4" w:space="0" w:color="auto"/>
            </w:tcBorders>
            <w:noWrap/>
            <w:vAlign w:val="center"/>
            <w:hideMark/>
          </w:tcPr>
          <w:p w14:paraId="6E21ACC0"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1CED3B1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11.544.065 </w:t>
            </w:r>
          </w:p>
        </w:tc>
        <w:tc>
          <w:tcPr>
            <w:tcW w:w="1331" w:type="dxa"/>
            <w:tcBorders>
              <w:top w:val="nil"/>
              <w:left w:val="nil"/>
              <w:bottom w:val="single" w:sz="4" w:space="0" w:color="auto"/>
              <w:right w:val="single" w:sz="4" w:space="0" w:color="auto"/>
            </w:tcBorders>
            <w:noWrap/>
            <w:vAlign w:val="center"/>
            <w:hideMark/>
          </w:tcPr>
          <w:p w14:paraId="53FF8B4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12.369.354 </w:t>
            </w:r>
          </w:p>
        </w:tc>
        <w:tc>
          <w:tcPr>
            <w:tcW w:w="1134" w:type="dxa"/>
            <w:tcBorders>
              <w:top w:val="nil"/>
              <w:left w:val="nil"/>
              <w:bottom w:val="single" w:sz="4" w:space="0" w:color="auto"/>
              <w:right w:val="single" w:sz="4" w:space="0" w:color="auto"/>
            </w:tcBorders>
            <w:noWrap/>
            <w:vAlign w:val="center"/>
            <w:hideMark/>
          </w:tcPr>
          <w:p w14:paraId="0D8F4B6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4D4BBC9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6D8F3D27"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196.263.338 </w:t>
            </w:r>
          </w:p>
        </w:tc>
      </w:tr>
      <w:tr w:rsidR="00032DCE" w14:paraId="0373FE7B"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0549EDD9"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Consejo de Navarra</w:t>
            </w:r>
          </w:p>
        </w:tc>
        <w:tc>
          <w:tcPr>
            <w:tcW w:w="1292" w:type="dxa"/>
            <w:tcBorders>
              <w:top w:val="nil"/>
              <w:left w:val="nil"/>
              <w:bottom w:val="single" w:sz="4" w:space="0" w:color="auto"/>
              <w:right w:val="single" w:sz="4" w:space="0" w:color="auto"/>
            </w:tcBorders>
            <w:noWrap/>
            <w:vAlign w:val="center"/>
            <w:hideMark/>
          </w:tcPr>
          <w:p w14:paraId="00365D8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0AEA04B"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0648231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1876A99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531.816 </w:t>
            </w:r>
          </w:p>
        </w:tc>
        <w:tc>
          <w:tcPr>
            <w:tcW w:w="1191" w:type="dxa"/>
            <w:tcBorders>
              <w:top w:val="nil"/>
              <w:left w:val="nil"/>
              <w:bottom w:val="single" w:sz="4" w:space="0" w:color="auto"/>
              <w:right w:val="single" w:sz="4" w:space="0" w:color="auto"/>
            </w:tcBorders>
            <w:noWrap/>
            <w:vAlign w:val="center"/>
            <w:hideMark/>
          </w:tcPr>
          <w:p w14:paraId="1B54818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13F943E7"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5CAEA91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38.000 </w:t>
            </w:r>
          </w:p>
        </w:tc>
        <w:tc>
          <w:tcPr>
            <w:tcW w:w="1134" w:type="dxa"/>
            <w:tcBorders>
              <w:top w:val="nil"/>
              <w:left w:val="nil"/>
              <w:bottom w:val="single" w:sz="4" w:space="0" w:color="auto"/>
              <w:right w:val="single" w:sz="4" w:space="0" w:color="auto"/>
            </w:tcBorders>
            <w:noWrap/>
            <w:vAlign w:val="center"/>
            <w:hideMark/>
          </w:tcPr>
          <w:p w14:paraId="3398DB3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0A1E0E3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3E133F66"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569.816 </w:t>
            </w:r>
          </w:p>
        </w:tc>
      </w:tr>
      <w:tr w:rsidR="00032DCE" w14:paraId="2208C155"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13F660AB"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Oficina de Buenas Prácticas y Anticorrupción</w:t>
            </w:r>
          </w:p>
        </w:tc>
        <w:tc>
          <w:tcPr>
            <w:tcW w:w="1292" w:type="dxa"/>
            <w:tcBorders>
              <w:top w:val="nil"/>
              <w:left w:val="nil"/>
              <w:bottom w:val="single" w:sz="4" w:space="0" w:color="auto"/>
              <w:right w:val="single" w:sz="4" w:space="0" w:color="auto"/>
            </w:tcBorders>
            <w:noWrap/>
            <w:vAlign w:val="center"/>
            <w:hideMark/>
          </w:tcPr>
          <w:p w14:paraId="6DE74B7F"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D483CFF"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3758F83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6B369624"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909.464 </w:t>
            </w:r>
          </w:p>
        </w:tc>
        <w:tc>
          <w:tcPr>
            <w:tcW w:w="1191" w:type="dxa"/>
            <w:tcBorders>
              <w:top w:val="nil"/>
              <w:left w:val="nil"/>
              <w:bottom w:val="single" w:sz="4" w:space="0" w:color="auto"/>
              <w:right w:val="single" w:sz="4" w:space="0" w:color="auto"/>
            </w:tcBorders>
            <w:noWrap/>
            <w:vAlign w:val="center"/>
            <w:hideMark/>
          </w:tcPr>
          <w:p w14:paraId="282AC63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0C02C51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614F8AB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87.500 </w:t>
            </w:r>
          </w:p>
        </w:tc>
        <w:tc>
          <w:tcPr>
            <w:tcW w:w="1134" w:type="dxa"/>
            <w:tcBorders>
              <w:top w:val="nil"/>
              <w:left w:val="nil"/>
              <w:bottom w:val="single" w:sz="4" w:space="0" w:color="auto"/>
              <w:right w:val="single" w:sz="4" w:space="0" w:color="auto"/>
            </w:tcBorders>
            <w:noWrap/>
            <w:vAlign w:val="center"/>
            <w:hideMark/>
          </w:tcPr>
          <w:p w14:paraId="4388C73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714FB98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A8CAE55"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996.964 </w:t>
            </w:r>
          </w:p>
        </w:tc>
      </w:tr>
      <w:tr w:rsidR="00032DCE" w14:paraId="4C80FA60" w14:textId="77777777" w:rsidTr="00032DCE">
        <w:trPr>
          <w:trHeight w:val="454"/>
        </w:trPr>
        <w:tc>
          <w:tcPr>
            <w:tcW w:w="3685" w:type="dxa"/>
            <w:tcBorders>
              <w:top w:val="nil"/>
              <w:left w:val="single" w:sz="4" w:space="0" w:color="auto"/>
              <w:bottom w:val="single" w:sz="4" w:space="0" w:color="auto"/>
              <w:right w:val="single" w:sz="4" w:space="0" w:color="auto"/>
            </w:tcBorders>
            <w:noWrap/>
            <w:vAlign w:val="center"/>
            <w:hideMark/>
          </w:tcPr>
          <w:p w14:paraId="44ED942C"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Parlamento de Navarra</w:t>
            </w:r>
          </w:p>
        </w:tc>
        <w:tc>
          <w:tcPr>
            <w:tcW w:w="1292" w:type="dxa"/>
            <w:tcBorders>
              <w:top w:val="nil"/>
              <w:left w:val="nil"/>
              <w:bottom w:val="single" w:sz="4" w:space="0" w:color="auto"/>
              <w:right w:val="single" w:sz="4" w:space="0" w:color="auto"/>
            </w:tcBorders>
            <w:noWrap/>
            <w:vAlign w:val="center"/>
            <w:hideMark/>
          </w:tcPr>
          <w:p w14:paraId="695A41F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6A15C60"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376198D4"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3630E19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21.189.168 </w:t>
            </w:r>
          </w:p>
        </w:tc>
        <w:tc>
          <w:tcPr>
            <w:tcW w:w="1191" w:type="dxa"/>
            <w:tcBorders>
              <w:top w:val="nil"/>
              <w:left w:val="nil"/>
              <w:bottom w:val="single" w:sz="4" w:space="0" w:color="auto"/>
              <w:right w:val="single" w:sz="4" w:space="0" w:color="auto"/>
            </w:tcBorders>
            <w:noWrap/>
            <w:vAlign w:val="center"/>
            <w:hideMark/>
          </w:tcPr>
          <w:p w14:paraId="0C4A6EB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1E871431"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3F1E52E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1.067.940 </w:t>
            </w:r>
          </w:p>
        </w:tc>
        <w:tc>
          <w:tcPr>
            <w:tcW w:w="1134" w:type="dxa"/>
            <w:tcBorders>
              <w:top w:val="nil"/>
              <w:left w:val="nil"/>
              <w:bottom w:val="single" w:sz="4" w:space="0" w:color="auto"/>
              <w:right w:val="single" w:sz="4" w:space="0" w:color="auto"/>
            </w:tcBorders>
            <w:noWrap/>
            <w:vAlign w:val="center"/>
            <w:hideMark/>
          </w:tcPr>
          <w:p w14:paraId="095E224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7B55115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98849B9"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22.257.108 </w:t>
            </w:r>
          </w:p>
        </w:tc>
      </w:tr>
      <w:tr w:rsidR="00032DCE" w14:paraId="3F79F597" w14:textId="77777777" w:rsidTr="00032DCE">
        <w:trPr>
          <w:trHeight w:val="454"/>
        </w:trPr>
        <w:tc>
          <w:tcPr>
            <w:tcW w:w="3685" w:type="dxa"/>
            <w:tcBorders>
              <w:top w:val="nil"/>
              <w:left w:val="single" w:sz="4" w:space="0" w:color="auto"/>
              <w:bottom w:val="single" w:sz="4" w:space="0" w:color="auto"/>
              <w:right w:val="single" w:sz="4" w:space="0" w:color="auto"/>
            </w:tcBorders>
            <w:vAlign w:val="center"/>
            <w:hideMark/>
          </w:tcPr>
          <w:p w14:paraId="0B12093F" w14:textId="77777777" w:rsidR="00032DCE" w:rsidRDefault="00032DCE" w:rsidP="00B01115">
            <w:pPr>
              <w:spacing w:after="0"/>
              <w:rPr>
                <w:rFonts w:ascii="Arial" w:hAnsi="Arial" w:cs="Arial"/>
                <w:b/>
                <w:bCs/>
                <w:sz w:val="18"/>
                <w:szCs w:val="18"/>
              </w:rPr>
            </w:pPr>
            <w:r>
              <w:rPr>
                <w:rFonts w:ascii="Arial" w:hAnsi="Arial" w:cs="Arial"/>
                <w:b/>
                <w:bCs/>
                <w:sz w:val="18"/>
                <w:szCs w:val="18"/>
              </w:rPr>
              <w:t>TOTAL PRESUPUESTO</w:t>
            </w:r>
          </w:p>
        </w:tc>
        <w:tc>
          <w:tcPr>
            <w:tcW w:w="1292" w:type="dxa"/>
            <w:tcBorders>
              <w:top w:val="nil"/>
              <w:left w:val="nil"/>
              <w:bottom w:val="single" w:sz="4" w:space="0" w:color="auto"/>
              <w:right w:val="single" w:sz="4" w:space="0" w:color="auto"/>
            </w:tcBorders>
            <w:noWrap/>
            <w:vAlign w:val="center"/>
            <w:hideMark/>
          </w:tcPr>
          <w:p w14:paraId="4DF97D98"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2.028.222.460 </w:t>
            </w:r>
          </w:p>
        </w:tc>
        <w:tc>
          <w:tcPr>
            <w:tcW w:w="1292" w:type="dxa"/>
            <w:tcBorders>
              <w:top w:val="nil"/>
              <w:left w:val="nil"/>
              <w:bottom w:val="single" w:sz="4" w:space="0" w:color="auto"/>
              <w:right w:val="single" w:sz="4" w:space="0" w:color="auto"/>
            </w:tcBorders>
            <w:noWrap/>
            <w:vAlign w:val="center"/>
            <w:hideMark/>
          </w:tcPr>
          <w:p w14:paraId="77540389"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1.114.196.871 </w:t>
            </w:r>
          </w:p>
        </w:tc>
        <w:tc>
          <w:tcPr>
            <w:tcW w:w="1134" w:type="dxa"/>
            <w:tcBorders>
              <w:top w:val="nil"/>
              <w:left w:val="nil"/>
              <w:bottom w:val="single" w:sz="4" w:space="0" w:color="auto"/>
              <w:right w:val="single" w:sz="4" w:space="0" w:color="auto"/>
            </w:tcBorders>
            <w:noWrap/>
            <w:vAlign w:val="center"/>
            <w:hideMark/>
          </w:tcPr>
          <w:p w14:paraId="6D189E5F"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51.384.534 </w:t>
            </w:r>
          </w:p>
        </w:tc>
        <w:tc>
          <w:tcPr>
            <w:tcW w:w="1331" w:type="dxa"/>
            <w:tcBorders>
              <w:top w:val="nil"/>
              <w:left w:val="nil"/>
              <w:bottom w:val="single" w:sz="4" w:space="0" w:color="auto"/>
              <w:right w:val="single" w:sz="4" w:space="0" w:color="auto"/>
            </w:tcBorders>
            <w:noWrap/>
            <w:vAlign w:val="center"/>
            <w:hideMark/>
          </w:tcPr>
          <w:p w14:paraId="6480893D"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2.500.472.306 </w:t>
            </w:r>
          </w:p>
        </w:tc>
        <w:tc>
          <w:tcPr>
            <w:tcW w:w="1191" w:type="dxa"/>
            <w:tcBorders>
              <w:top w:val="nil"/>
              <w:left w:val="nil"/>
              <w:bottom w:val="single" w:sz="4" w:space="0" w:color="auto"/>
              <w:right w:val="single" w:sz="4" w:space="0" w:color="auto"/>
            </w:tcBorders>
            <w:noWrap/>
            <w:vAlign w:val="center"/>
            <w:hideMark/>
          </w:tcPr>
          <w:p w14:paraId="321DC433"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35.824.322 </w:t>
            </w:r>
          </w:p>
        </w:tc>
        <w:tc>
          <w:tcPr>
            <w:tcW w:w="1191" w:type="dxa"/>
            <w:tcBorders>
              <w:top w:val="nil"/>
              <w:left w:val="nil"/>
              <w:bottom w:val="single" w:sz="4" w:space="0" w:color="auto"/>
              <w:right w:val="single" w:sz="4" w:space="0" w:color="auto"/>
            </w:tcBorders>
            <w:noWrap/>
            <w:vAlign w:val="center"/>
            <w:hideMark/>
          </w:tcPr>
          <w:p w14:paraId="3AFCA69A"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266.421.702 </w:t>
            </w:r>
          </w:p>
        </w:tc>
        <w:tc>
          <w:tcPr>
            <w:tcW w:w="1331" w:type="dxa"/>
            <w:tcBorders>
              <w:top w:val="nil"/>
              <w:left w:val="nil"/>
              <w:bottom w:val="single" w:sz="4" w:space="0" w:color="auto"/>
              <w:right w:val="single" w:sz="4" w:space="0" w:color="auto"/>
            </w:tcBorders>
            <w:noWrap/>
            <w:vAlign w:val="center"/>
            <w:hideMark/>
          </w:tcPr>
          <w:p w14:paraId="09904621"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322.129.988 </w:t>
            </w:r>
          </w:p>
        </w:tc>
        <w:tc>
          <w:tcPr>
            <w:tcW w:w="1134" w:type="dxa"/>
            <w:tcBorders>
              <w:top w:val="nil"/>
              <w:left w:val="nil"/>
              <w:bottom w:val="single" w:sz="4" w:space="0" w:color="auto"/>
              <w:right w:val="single" w:sz="4" w:space="0" w:color="auto"/>
            </w:tcBorders>
            <w:noWrap/>
            <w:vAlign w:val="center"/>
            <w:hideMark/>
          </w:tcPr>
          <w:p w14:paraId="7EDF0DD7"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59.102.770 </w:t>
            </w:r>
          </w:p>
        </w:tc>
        <w:tc>
          <w:tcPr>
            <w:tcW w:w="1141" w:type="dxa"/>
            <w:tcBorders>
              <w:top w:val="nil"/>
              <w:left w:val="nil"/>
              <w:bottom w:val="single" w:sz="4" w:space="0" w:color="auto"/>
              <w:right w:val="single" w:sz="4" w:space="0" w:color="auto"/>
            </w:tcBorders>
            <w:noWrap/>
            <w:vAlign w:val="center"/>
            <w:hideMark/>
          </w:tcPr>
          <w:p w14:paraId="4E22F79A"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363.760.000 </w:t>
            </w:r>
          </w:p>
        </w:tc>
        <w:tc>
          <w:tcPr>
            <w:tcW w:w="1292" w:type="dxa"/>
            <w:tcBorders>
              <w:top w:val="nil"/>
              <w:left w:val="nil"/>
              <w:bottom w:val="single" w:sz="4" w:space="0" w:color="auto"/>
              <w:right w:val="single" w:sz="4" w:space="0" w:color="auto"/>
            </w:tcBorders>
            <w:noWrap/>
            <w:vAlign w:val="center"/>
            <w:hideMark/>
          </w:tcPr>
          <w:p w14:paraId="2E81AA96"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6.741.514.953 </w:t>
            </w:r>
          </w:p>
        </w:tc>
      </w:tr>
    </w:tbl>
    <w:p w14:paraId="44CF6511" w14:textId="77777777" w:rsidR="00BB3DD1" w:rsidRDefault="00BB3DD1" w:rsidP="00032DCE">
      <w:pPr>
        <w:rPr>
          <w:rFonts w:ascii="Arial" w:hAnsi="Arial" w:cs="Arial"/>
          <w:sz w:val="20"/>
        </w:rPr>
      </w:pPr>
    </w:p>
    <w:p w14:paraId="63651464" w14:textId="77777777" w:rsidR="00BB3DD1" w:rsidRDefault="00BB3DD1">
      <w:pPr>
        <w:rPr>
          <w:rFonts w:ascii="Arial" w:hAnsi="Arial" w:cs="Arial"/>
          <w:sz w:val="20"/>
        </w:rPr>
      </w:pPr>
      <w:r>
        <w:rPr>
          <w:rFonts w:ascii="Arial" w:hAnsi="Arial" w:cs="Arial"/>
          <w:sz w:val="20"/>
        </w:rPr>
        <w:br w:type="page"/>
      </w:r>
    </w:p>
    <w:p w14:paraId="37CC2AA7" w14:textId="77777777" w:rsidR="00032DCE" w:rsidRDefault="00032DCE" w:rsidP="00032DCE">
      <w:pPr>
        <w:rPr>
          <w:rFonts w:ascii="Arial" w:hAnsi="Arial" w:cs="Arial"/>
          <w:sz w:val="20"/>
        </w:rPr>
      </w:pPr>
    </w:p>
    <w:tbl>
      <w:tblPr>
        <w:tblW w:w="16041" w:type="dxa"/>
        <w:tblCellMar>
          <w:left w:w="70" w:type="dxa"/>
          <w:right w:w="70" w:type="dxa"/>
        </w:tblCellMar>
        <w:tblLook w:val="04A0" w:firstRow="1" w:lastRow="0" w:firstColumn="1" w:lastColumn="0" w:noHBand="0" w:noVBand="1"/>
      </w:tblPr>
      <w:tblGrid>
        <w:gridCol w:w="3685"/>
        <w:gridCol w:w="1292"/>
        <w:gridCol w:w="1292"/>
        <w:gridCol w:w="1141"/>
        <w:gridCol w:w="1331"/>
        <w:gridCol w:w="1211"/>
        <w:gridCol w:w="1191"/>
        <w:gridCol w:w="1331"/>
        <w:gridCol w:w="1141"/>
        <w:gridCol w:w="1141"/>
        <w:gridCol w:w="1292"/>
      </w:tblGrid>
      <w:tr w:rsidR="00032DCE" w14:paraId="3C92F025" w14:textId="77777777" w:rsidTr="00032DCE">
        <w:trPr>
          <w:trHeight w:val="397"/>
        </w:trPr>
        <w:tc>
          <w:tcPr>
            <w:tcW w:w="368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E8D18D8" w14:textId="77777777" w:rsidR="00032DCE" w:rsidRDefault="00032DCE" w:rsidP="00B01115">
            <w:pPr>
              <w:spacing w:after="0"/>
              <w:jc w:val="center"/>
              <w:rPr>
                <w:rFonts w:ascii="Arial" w:hAnsi="Arial" w:cs="Arial"/>
                <w:color w:val="000000"/>
                <w:sz w:val="18"/>
                <w:szCs w:val="18"/>
                <w:lang w:val="es-ES"/>
              </w:rPr>
            </w:pPr>
            <w:bookmarkStart w:id="5" w:name="RANGE!B2:L16"/>
            <w:r>
              <w:rPr>
                <w:rFonts w:ascii="Arial" w:hAnsi="Arial" w:cs="Arial"/>
                <w:color w:val="000000"/>
                <w:sz w:val="18"/>
                <w:szCs w:val="18"/>
              </w:rPr>
              <w:t>EXPLICACIÓN DEL INGRESO</w:t>
            </w:r>
            <w:bookmarkEnd w:id="5"/>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75FED794" w14:textId="77777777" w:rsidR="00032DCE" w:rsidRDefault="00032DCE" w:rsidP="00B01115">
            <w:pPr>
              <w:spacing w:after="0"/>
              <w:jc w:val="center"/>
              <w:rPr>
                <w:rFonts w:ascii="Arial" w:hAnsi="Arial" w:cs="Arial"/>
                <w:sz w:val="18"/>
                <w:szCs w:val="18"/>
              </w:rPr>
            </w:pPr>
            <w:r>
              <w:rPr>
                <w:rFonts w:ascii="Arial" w:hAnsi="Arial" w:cs="Arial"/>
                <w:sz w:val="18"/>
                <w:szCs w:val="18"/>
              </w:rPr>
              <w:t>1 Impuestos directos</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4CA1430C" w14:textId="77777777" w:rsidR="00032DCE" w:rsidRDefault="00032DCE" w:rsidP="00B01115">
            <w:pPr>
              <w:spacing w:after="0"/>
              <w:jc w:val="center"/>
              <w:rPr>
                <w:rFonts w:ascii="Arial" w:hAnsi="Arial" w:cs="Arial"/>
                <w:sz w:val="18"/>
                <w:szCs w:val="18"/>
              </w:rPr>
            </w:pPr>
            <w:r>
              <w:rPr>
                <w:rFonts w:ascii="Arial" w:hAnsi="Arial" w:cs="Arial"/>
                <w:sz w:val="18"/>
                <w:szCs w:val="18"/>
              </w:rPr>
              <w:t>2 Impuestos indirectos</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14:paraId="61960DFB" w14:textId="77777777" w:rsidR="00032DCE" w:rsidRDefault="00032DCE" w:rsidP="00B01115">
            <w:pPr>
              <w:spacing w:after="0"/>
              <w:jc w:val="center"/>
              <w:rPr>
                <w:rFonts w:ascii="Arial" w:hAnsi="Arial" w:cs="Arial"/>
                <w:sz w:val="18"/>
                <w:szCs w:val="18"/>
              </w:rPr>
            </w:pPr>
            <w:r>
              <w:rPr>
                <w:rFonts w:ascii="Arial" w:hAnsi="Arial" w:cs="Arial"/>
                <w:sz w:val="18"/>
                <w:szCs w:val="18"/>
              </w:rPr>
              <w:t>3 Tasas, precios públicos y otros ingresos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54A3423B"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4 Transferencias corrientes</w:t>
            </w:r>
          </w:p>
        </w:tc>
        <w:tc>
          <w:tcPr>
            <w:tcW w:w="1211" w:type="dxa"/>
            <w:tcBorders>
              <w:top w:val="single" w:sz="4" w:space="0" w:color="auto"/>
              <w:left w:val="nil"/>
              <w:bottom w:val="single" w:sz="4" w:space="0" w:color="auto"/>
              <w:right w:val="single" w:sz="4" w:space="0" w:color="auto"/>
            </w:tcBorders>
            <w:shd w:val="clear" w:color="000000" w:fill="BFBFBF"/>
            <w:vAlign w:val="center"/>
            <w:hideMark/>
          </w:tcPr>
          <w:p w14:paraId="1630A86E" w14:textId="77777777" w:rsidR="00032DCE" w:rsidRDefault="00032DCE" w:rsidP="00B01115">
            <w:pPr>
              <w:spacing w:after="0"/>
              <w:jc w:val="center"/>
              <w:rPr>
                <w:rFonts w:ascii="Arial" w:hAnsi="Arial" w:cs="Arial"/>
                <w:sz w:val="18"/>
                <w:szCs w:val="18"/>
              </w:rPr>
            </w:pPr>
            <w:r>
              <w:rPr>
                <w:rFonts w:ascii="Arial" w:hAnsi="Arial" w:cs="Arial"/>
                <w:sz w:val="18"/>
                <w:szCs w:val="18"/>
              </w:rPr>
              <w:t>5 Ingresos patrimoniales</w:t>
            </w:r>
          </w:p>
        </w:tc>
        <w:tc>
          <w:tcPr>
            <w:tcW w:w="1191" w:type="dxa"/>
            <w:tcBorders>
              <w:top w:val="single" w:sz="4" w:space="0" w:color="auto"/>
              <w:left w:val="nil"/>
              <w:bottom w:val="single" w:sz="4" w:space="0" w:color="auto"/>
              <w:right w:val="single" w:sz="4" w:space="0" w:color="auto"/>
            </w:tcBorders>
            <w:shd w:val="clear" w:color="000000" w:fill="BFBFBF"/>
            <w:vAlign w:val="center"/>
            <w:hideMark/>
          </w:tcPr>
          <w:p w14:paraId="63BA3304" w14:textId="77777777" w:rsidR="00032DCE" w:rsidRDefault="00032DCE" w:rsidP="00B01115">
            <w:pPr>
              <w:spacing w:after="0"/>
              <w:jc w:val="center"/>
              <w:rPr>
                <w:rFonts w:ascii="Arial" w:hAnsi="Arial" w:cs="Arial"/>
                <w:sz w:val="18"/>
                <w:szCs w:val="18"/>
              </w:rPr>
            </w:pPr>
            <w:r>
              <w:rPr>
                <w:rFonts w:ascii="Arial" w:hAnsi="Arial" w:cs="Arial"/>
                <w:sz w:val="18"/>
                <w:szCs w:val="18"/>
              </w:rPr>
              <w:t>6 Enajenación de inversiones reales</w:t>
            </w:r>
          </w:p>
        </w:tc>
        <w:tc>
          <w:tcPr>
            <w:tcW w:w="1331" w:type="dxa"/>
            <w:tcBorders>
              <w:top w:val="single" w:sz="4" w:space="0" w:color="auto"/>
              <w:left w:val="nil"/>
              <w:bottom w:val="single" w:sz="4" w:space="0" w:color="auto"/>
              <w:right w:val="single" w:sz="4" w:space="0" w:color="auto"/>
            </w:tcBorders>
            <w:shd w:val="clear" w:color="000000" w:fill="BFBFBF"/>
            <w:vAlign w:val="center"/>
            <w:hideMark/>
          </w:tcPr>
          <w:p w14:paraId="7943FCFD"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7 Transferencias de capital</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404D5C43"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8 Activos financieros</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72D954F9"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9 Pasivos financieros</w:t>
            </w:r>
          </w:p>
        </w:tc>
        <w:tc>
          <w:tcPr>
            <w:tcW w:w="1292" w:type="dxa"/>
            <w:tcBorders>
              <w:top w:val="single" w:sz="4" w:space="0" w:color="auto"/>
              <w:left w:val="nil"/>
              <w:bottom w:val="single" w:sz="4" w:space="0" w:color="auto"/>
              <w:right w:val="single" w:sz="4" w:space="0" w:color="auto"/>
            </w:tcBorders>
            <w:shd w:val="clear" w:color="000000" w:fill="BFBFBF"/>
            <w:vAlign w:val="center"/>
            <w:hideMark/>
          </w:tcPr>
          <w:p w14:paraId="169DBE1C" w14:textId="77777777" w:rsidR="00032DCE" w:rsidRDefault="00032DCE" w:rsidP="00B01115">
            <w:pPr>
              <w:spacing w:after="0"/>
              <w:jc w:val="center"/>
              <w:rPr>
                <w:rFonts w:ascii="Arial" w:hAnsi="Arial" w:cs="Arial"/>
                <w:color w:val="000000"/>
                <w:sz w:val="18"/>
                <w:szCs w:val="18"/>
              </w:rPr>
            </w:pPr>
            <w:r>
              <w:rPr>
                <w:rFonts w:ascii="Arial" w:hAnsi="Arial" w:cs="Arial"/>
                <w:color w:val="000000"/>
                <w:sz w:val="18"/>
                <w:szCs w:val="18"/>
              </w:rPr>
              <w:t>TOTAL</w:t>
            </w:r>
          </w:p>
        </w:tc>
      </w:tr>
      <w:tr w:rsidR="00032DCE" w14:paraId="15151F74"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6C138937"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Presidencia e Igualdad</w:t>
            </w:r>
          </w:p>
        </w:tc>
        <w:tc>
          <w:tcPr>
            <w:tcW w:w="1292" w:type="dxa"/>
            <w:tcBorders>
              <w:top w:val="nil"/>
              <w:left w:val="nil"/>
              <w:bottom w:val="single" w:sz="4" w:space="0" w:color="auto"/>
              <w:right w:val="single" w:sz="4" w:space="0" w:color="auto"/>
            </w:tcBorders>
            <w:noWrap/>
            <w:vAlign w:val="center"/>
            <w:hideMark/>
          </w:tcPr>
          <w:p w14:paraId="4483F1A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4DA521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168BD53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660.530 </w:t>
            </w:r>
          </w:p>
        </w:tc>
        <w:tc>
          <w:tcPr>
            <w:tcW w:w="1331" w:type="dxa"/>
            <w:tcBorders>
              <w:top w:val="nil"/>
              <w:left w:val="nil"/>
              <w:bottom w:val="single" w:sz="4" w:space="0" w:color="auto"/>
              <w:right w:val="single" w:sz="4" w:space="0" w:color="auto"/>
            </w:tcBorders>
            <w:noWrap/>
            <w:vAlign w:val="center"/>
            <w:hideMark/>
          </w:tcPr>
          <w:p w14:paraId="0D801DF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376.939 </w:t>
            </w:r>
          </w:p>
        </w:tc>
        <w:tc>
          <w:tcPr>
            <w:tcW w:w="1211" w:type="dxa"/>
            <w:tcBorders>
              <w:top w:val="nil"/>
              <w:left w:val="nil"/>
              <w:bottom w:val="single" w:sz="4" w:space="0" w:color="auto"/>
              <w:right w:val="single" w:sz="4" w:space="0" w:color="auto"/>
            </w:tcBorders>
            <w:noWrap/>
            <w:vAlign w:val="center"/>
            <w:hideMark/>
          </w:tcPr>
          <w:p w14:paraId="070A44E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3.959 </w:t>
            </w:r>
          </w:p>
        </w:tc>
        <w:tc>
          <w:tcPr>
            <w:tcW w:w="1191" w:type="dxa"/>
            <w:tcBorders>
              <w:top w:val="nil"/>
              <w:left w:val="nil"/>
              <w:bottom w:val="single" w:sz="4" w:space="0" w:color="auto"/>
              <w:right w:val="single" w:sz="4" w:space="0" w:color="auto"/>
            </w:tcBorders>
            <w:noWrap/>
            <w:vAlign w:val="center"/>
            <w:hideMark/>
          </w:tcPr>
          <w:p w14:paraId="30031AC8"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0227269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3300A16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3A3D0D38"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330E02E"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1.041.428 </w:t>
            </w:r>
          </w:p>
        </w:tc>
      </w:tr>
      <w:tr w:rsidR="00032DCE" w14:paraId="59A0A64E"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66645757"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Economía y Hacienda</w:t>
            </w:r>
          </w:p>
        </w:tc>
        <w:tc>
          <w:tcPr>
            <w:tcW w:w="1292" w:type="dxa"/>
            <w:tcBorders>
              <w:top w:val="nil"/>
              <w:left w:val="nil"/>
              <w:bottom w:val="single" w:sz="4" w:space="0" w:color="auto"/>
              <w:right w:val="single" w:sz="4" w:space="0" w:color="auto"/>
            </w:tcBorders>
            <w:noWrap/>
            <w:vAlign w:val="center"/>
            <w:hideMark/>
          </w:tcPr>
          <w:p w14:paraId="3277994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3.084.708.750 </w:t>
            </w:r>
          </w:p>
        </w:tc>
        <w:tc>
          <w:tcPr>
            <w:tcW w:w="1292" w:type="dxa"/>
            <w:tcBorders>
              <w:top w:val="nil"/>
              <w:left w:val="nil"/>
              <w:bottom w:val="single" w:sz="4" w:space="0" w:color="auto"/>
              <w:right w:val="single" w:sz="4" w:space="0" w:color="auto"/>
            </w:tcBorders>
            <w:noWrap/>
            <w:vAlign w:val="center"/>
            <w:hideMark/>
          </w:tcPr>
          <w:p w14:paraId="313FBEC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2.694.377.010 </w:t>
            </w:r>
          </w:p>
        </w:tc>
        <w:tc>
          <w:tcPr>
            <w:tcW w:w="1134" w:type="dxa"/>
            <w:tcBorders>
              <w:top w:val="nil"/>
              <w:left w:val="nil"/>
              <w:bottom w:val="single" w:sz="4" w:space="0" w:color="auto"/>
              <w:right w:val="single" w:sz="4" w:space="0" w:color="auto"/>
            </w:tcBorders>
            <w:noWrap/>
            <w:vAlign w:val="center"/>
            <w:hideMark/>
          </w:tcPr>
          <w:p w14:paraId="7587133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28.806.630 </w:t>
            </w:r>
          </w:p>
        </w:tc>
        <w:tc>
          <w:tcPr>
            <w:tcW w:w="1331" w:type="dxa"/>
            <w:tcBorders>
              <w:top w:val="nil"/>
              <w:left w:val="nil"/>
              <w:bottom w:val="single" w:sz="4" w:space="0" w:color="auto"/>
              <w:right w:val="single" w:sz="4" w:space="0" w:color="auto"/>
            </w:tcBorders>
            <w:noWrap/>
            <w:vAlign w:val="center"/>
            <w:hideMark/>
          </w:tcPr>
          <w:p w14:paraId="59F9EC6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3.010.010 </w:t>
            </w:r>
          </w:p>
        </w:tc>
        <w:tc>
          <w:tcPr>
            <w:tcW w:w="1211" w:type="dxa"/>
            <w:tcBorders>
              <w:top w:val="nil"/>
              <w:left w:val="nil"/>
              <w:bottom w:val="single" w:sz="4" w:space="0" w:color="auto"/>
              <w:right w:val="single" w:sz="4" w:space="0" w:color="auto"/>
            </w:tcBorders>
            <w:noWrap/>
            <w:vAlign w:val="center"/>
            <w:hideMark/>
          </w:tcPr>
          <w:p w14:paraId="63EF9604"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6.255.521 </w:t>
            </w:r>
          </w:p>
        </w:tc>
        <w:tc>
          <w:tcPr>
            <w:tcW w:w="1191" w:type="dxa"/>
            <w:tcBorders>
              <w:top w:val="nil"/>
              <w:left w:val="nil"/>
              <w:bottom w:val="single" w:sz="4" w:space="0" w:color="auto"/>
              <w:right w:val="single" w:sz="4" w:space="0" w:color="auto"/>
            </w:tcBorders>
            <w:noWrap/>
            <w:vAlign w:val="center"/>
            <w:hideMark/>
          </w:tcPr>
          <w:p w14:paraId="795B0CC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1.100.618 </w:t>
            </w:r>
          </w:p>
        </w:tc>
        <w:tc>
          <w:tcPr>
            <w:tcW w:w="1331" w:type="dxa"/>
            <w:tcBorders>
              <w:top w:val="nil"/>
              <w:left w:val="nil"/>
              <w:bottom w:val="single" w:sz="4" w:space="0" w:color="auto"/>
              <w:right w:val="single" w:sz="4" w:space="0" w:color="auto"/>
            </w:tcBorders>
            <w:noWrap/>
            <w:vAlign w:val="center"/>
            <w:hideMark/>
          </w:tcPr>
          <w:p w14:paraId="35068C7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57472DB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141.718.815 </w:t>
            </w:r>
          </w:p>
        </w:tc>
        <w:tc>
          <w:tcPr>
            <w:tcW w:w="1141" w:type="dxa"/>
            <w:tcBorders>
              <w:top w:val="nil"/>
              <w:left w:val="nil"/>
              <w:bottom w:val="single" w:sz="4" w:space="0" w:color="auto"/>
              <w:right w:val="single" w:sz="4" w:space="0" w:color="auto"/>
            </w:tcBorders>
            <w:noWrap/>
            <w:vAlign w:val="center"/>
            <w:hideMark/>
          </w:tcPr>
          <w:p w14:paraId="60B1645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431.520.984 </w:t>
            </w:r>
          </w:p>
        </w:tc>
        <w:tc>
          <w:tcPr>
            <w:tcW w:w="1292" w:type="dxa"/>
            <w:tcBorders>
              <w:top w:val="nil"/>
              <w:left w:val="nil"/>
              <w:bottom w:val="single" w:sz="4" w:space="0" w:color="auto"/>
              <w:right w:val="single" w:sz="4" w:space="0" w:color="auto"/>
            </w:tcBorders>
            <w:noWrap/>
            <w:vAlign w:val="center"/>
            <w:hideMark/>
          </w:tcPr>
          <w:p w14:paraId="1063A43E"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6.391.498.348 </w:t>
            </w:r>
          </w:p>
        </w:tc>
      </w:tr>
      <w:tr w:rsidR="00032DCE" w14:paraId="5E7D94B1"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0318D8A1"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Cohesión Territorial</w:t>
            </w:r>
          </w:p>
        </w:tc>
        <w:tc>
          <w:tcPr>
            <w:tcW w:w="1292" w:type="dxa"/>
            <w:tcBorders>
              <w:top w:val="nil"/>
              <w:left w:val="nil"/>
              <w:bottom w:val="single" w:sz="4" w:space="0" w:color="auto"/>
              <w:right w:val="single" w:sz="4" w:space="0" w:color="auto"/>
            </w:tcBorders>
            <w:noWrap/>
            <w:vAlign w:val="center"/>
            <w:hideMark/>
          </w:tcPr>
          <w:p w14:paraId="6B3B473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C28FC8D"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2B6D94B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2.663.870 </w:t>
            </w:r>
          </w:p>
        </w:tc>
        <w:tc>
          <w:tcPr>
            <w:tcW w:w="1331" w:type="dxa"/>
            <w:tcBorders>
              <w:top w:val="nil"/>
              <w:left w:val="nil"/>
              <w:bottom w:val="single" w:sz="4" w:space="0" w:color="auto"/>
              <w:right w:val="single" w:sz="4" w:space="0" w:color="auto"/>
            </w:tcBorders>
            <w:noWrap/>
            <w:vAlign w:val="center"/>
            <w:hideMark/>
          </w:tcPr>
          <w:p w14:paraId="25EE6AF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195.309 </w:t>
            </w:r>
          </w:p>
        </w:tc>
        <w:tc>
          <w:tcPr>
            <w:tcW w:w="1211" w:type="dxa"/>
            <w:tcBorders>
              <w:top w:val="nil"/>
              <w:left w:val="nil"/>
              <w:bottom w:val="single" w:sz="4" w:space="0" w:color="auto"/>
              <w:right w:val="single" w:sz="4" w:space="0" w:color="auto"/>
            </w:tcBorders>
            <w:noWrap/>
            <w:vAlign w:val="center"/>
            <w:hideMark/>
          </w:tcPr>
          <w:p w14:paraId="4689B08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144.760 </w:t>
            </w:r>
          </w:p>
        </w:tc>
        <w:tc>
          <w:tcPr>
            <w:tcW w:w="1191" w:type="dxa"/>
            <w:tcBorders>
              <w:top w:val="nil"/>
              <w:left w:val="nil"/>
              <w:bottom w:val="single" w:sz="4" w:space="0" w:color="auto"/>
              <w:right w:val="single" w:sz="4" w:space="0" w:color="auto"/>
            </w:tcBorders>
            <w:noWrap/>
            <w:vAlign w:val="center"/>
            <w:hideMark/>
          </w:tcPr>
          <w:p w14:paraId="2B4663D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30 </w:t>
            </w:r>
          </w:p>
        </w:tc>
        <w:tc>
          <w:tcPr>
            <w:tcW w:w="1331" w:type="dxa"/>
            <w:tcBorders>
              <w:top w:val="nil"/>
              <w:left w:val="nil"/>
              <w:bottom w:val="single" w:sz="4" w:space="0" w:color="auto"/>
              <w:right w:val="single" w:sz="4" w:space="0" w:color="auto"/>
            </w:tcBorders>
            <w:noWrap/>
            <w:vAlign w:val="center"/>
            <w:hideMark/>
          </w:tcPr>
          <w:p w14:paraId="46701FEB"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20.000.040 </w:t>
            </w:r>
          </w:p>
        </w:tc>
        <w:tc>
          <w:tcPr>
            <w:tcW w:w="1141" w:type="dxa"/>
            <w:tcBorders>
              <w:top w:val="nil"/>
              <w:left w:val="nil"/>
              <w:bottom w:val="single" w:sz="4" w:space="0" w:color="auto"/>
              <w:right w:val="single" w:sz="4" w:space="0" w:color="auto"/>
            </w:tcBorders>
            <w:noWrap/>
            <w:vAlign w:val="center"/>
            <w:hideMark/>
          </w:tcPr>
          <w:p w14:paraId="56854FC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5352D4EB"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BBF21BA"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23.004.009 </w:t>
            </w:r>
          </w:p>
        </w:tc>
      </w:tr>
      <w:tr w:rsidR="00032DCE" w14:paraId="7D59F9AF"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12BE2604"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Vivienda, Juventud y Políticas Migratorias</w:t>
            </w:r>
          </w:p>
        </w:tc>
        <w:tc>
          <w:tcPr>
            <w:tcW w:w="1292" w:type="dxa"/>
            <w:tcBorders>
              <w:top w:val="nil"/>
              <w:left w:val="nil"/>
              <w:bottom w:val="single" w:sz="4" w:space="0" w:color="auto"/>
              <w:right w:val="single" w:sz="4" w:space="0" w:color="auto"/>
            </w:tcBorders>
            <w:noWrap/>
            <w:vAlign w:val="center"/>
            <w:hideMark/>
          </w:tcPr>
          <w:p w14:paraId="23C52785"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D89D868"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0C3FE56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381.502 </w:t>
            </w:r>
          </w:p>
        </w:tc>
        <w:tc>
          <w:tcPr>
            <w:tcW w:w="1331" w:type="dxa"/>
            <w:tcBorders>
              <w:top w:val="nil"/>
              <w:left w:val="nil"/>
              <w:bottom w:val="single" w:sz="4" w:space="0" w:color="auto"/>
              <w:right w:val="single" w:sz="4" w:space="0" w:color="auto"/>
            </w:tcBorders>
            <w:noWrap/>
            <w:vAlign w:val="center"/>
            <w:hideMark/>
          </w:tcPr>
          <w:p w14:paraId="0A4F545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1.389.748 </w:t>
            </w:r>
          </w:p>
        </w:tc>
        <w:tc>
          <w:tcPr>
            <w:tcW w:w="1211" w:type="dxa"/>
            <w:tcBorders>
              <w:top w:val="nil"/>
              <w:left w:val="nil"/>
              <w:bottom w:val="single" w:sz="4" w:space="0" w:color="auto"/>
              <w:right w:val="single" w:sz="4" w:space="0" w:color="auto"/>
            </w:tcBorders>
            <w:noWrap/>
            <w:vAlign w:val="center"/>
            <w:hideMark/>
          </w:tcPr>
          <w:p w14:paraId="206262F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41.020 </w:t>
            </w:r>
          </w:p>
        </w:tc>
        <w:tc>
          <w:tcPr>
            <w:tcW w:w="1191" w:type="dxa"/>
            <w:tcBorders>
              <w:top w:val="nil"/>
              <w:left w:val="nil"/>
              <w:bottom w:val="single" w:sz="4" w:space="0" w:color="auto"/>
              <w:right w:val="single" w:sz="4" w:space="0" w:color="auto"/>
            </w:tcBorders>
            <w:noWrap/>
            <w:vAlign w:val="center"/>
            <w:hideMark/>
          </w:tcPr>
          <w:p w14:paraId="797C939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hideMark/>
          </w:tcPr>
          <w:p w14:paraId="3B38237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 </w:t>
            </w:r>
          </w:p>
        </w:tc>
        <w:tc>
          <w:tcPr>
            <w:tcW w:w="1141" w:type="dxa"/>
            <w:tcBorders>
              <w:top w:val="nil"/>
              <w:left w:val="nil"/>
              <w:bottom w:val="single" w:sz="4" w:space="0" w:color="auto"/>
              <w:right w:val="single" w:sz="4" w:space="0" w:color="auto"/>
            </w:tcBorders>
            <w:noWrap/>
            <w:vAlign w:val="center"/>
            <w:hideMark/>
          </w:tcPr>
          <w:p w14:paraId="73B4501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68.000 </w:t>
            </w:r>
          </w:p>
        </w:tc>
        <w:tc>
          <w:tcPr>
            <w:tcW w:w="1141" w:type="dxa"/>
            <w:tcBorders>
              <w:top w:val="nil"/>
              <w:left w:val="nil"/>
              <w:bottom w:val="single" w:sz="4" w:space="0" w:color="auto"/>
              <w:right w:val="single" w:sz="4" w:space="0" w:color="auto"/>
            </w:tcBorders>
            <w:noWrap/>
            <w:vAlign w:val="center"/>
            <w:hideMark/>
          </w:tcPr>
          <w:p w14:paraId="6771320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7C9864A5"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1.880.300 </w:t>
            </w:r>
          </w:p>
        </w:tc>
      </w:tr>
      <w:tr w:rsidR="00032DCE" w14:paraId="4BE97F63"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7FCCB691"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Educación</w:t>
            </w:r>
          </w:p>
        </w:tc>
        <w:tc>
          <w:tcPr>
            <w:tcW w:w="1292" w:type="dxa"/>
            <w:tcBorders>
              <w:top w:val="nil"/>
              <w:left w:val="nil"/>
              <w:bottom w:val="single" w:sz="4" w:space="0" w:color="auto"/>
              <w:right w:val="single" w:sz="4" w:space="0" w:color="auto"/>
            </w:tcBorders>
            <w:noWrap/>
            <w:vAlign w:val="center"/>
            <w:hideMark/>
          </w:tcPr>
          <w:p w14:paraId="6B84CC9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60A996B1"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6506FC6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2.288.450 </w:t>
            </w:r>
          </w:p>
        </w:tc>
        <w:tc>
          <w:tcPr>
            <w:tcW w:w="1331" w:type="dxa"/>
            <w:tcBorders>
              <w:top w:val="nil"/>
              <w:left w:val="nil"/>
              <w:bottom w:val="single" w:sz="4" w:space="0" w:color="auto"/>
              <w:right w:val="single" w:sz="4" w:space="0" w:color="auto"/>
            </w:tcBorders>
            <w:noWrap/>
            <w:vAlign w:val="center"/>
            <w:hideMark/>
          </w:tcPr>
          <w:p w14:paraId="580E288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13.872.499 </w:t>
            </w:r>
          </w:p>
        </w:tc>
        <w:tc>
          <w:tcPr>
            <w:tcW w:w="1211" w:type="dxa"/>
            <w:tcBorders>
              <w:top w:val="nil"/>
              <w:left w:val="nil"/>
              <w:bottom w:val="single" w:sz="4" w:space="0" w:color="auto"/>
              <w:right w:val="single" w:sz="4" w:space="0" w:color="auto"/>
            </w:tcBorders>
            <w:noWrap/>
            <w:vAlign w:val="center"/>
            <w:hideMark/>
          </w:tcPr>
          <w:p w14:paraId="3234A6F8"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38.080 </w:t>
            </w:r>
          </w:p>
        </w:tc>
        <w:tc>
          <w:tcPr>
            <w:tcW w:w="1191" w:type="dxa"/>
            <w:tcBorders>
              <w:top w:val="nil"/>
              <w:left w:val="nil"/>
              <w:bottom w:val="single" w:sz="4" w:space="0" w:color="auto"/>
              <w:right w:val="single" w:sz="4" w:space="0" w:color="auto"/>
            </w:tcBorders>
            <w:noWrap/>
            <w:vAlign w:val="center"/>
            <w:hideMark/>
          </w:tcPr>
          <w:p w14:paraId="28F6443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0AA4072B"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51B3A28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736F382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CCA674C"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16.199.029 </w:t>
            </w:r>
          </w:p>
        </w:tc>
      </w:tr>
      <w:tr w:rsidR="00032DCE" w14:paraId="01B08FA3"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57C8DC52"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Salud</w:t>
            </w:r>
          </w:p>
        </w:tc>
        <w:tc>
          <w:tcPr>
            <w:tcW w:w="1292" w:type="dxa"/>
            <w:tcBorders>
              <w:top w:val="nil"/>
              <w:left w:val="nil"/>
              <w:bottom w:val="single" w:sz="4" w:space="0" w:color="auto"/>
              <w:right w:val="single" w:sz="4" w:space="0" w:color="auto"/>
            </w:tcBorders>
            <w:noWrap/>
            <w:vAlign w:val="center"/>
            <w:hideMark/>
          </w:tcPr>
          <w:p w14:paraId="4FB90A15"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08C4AEB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7C70135F"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13.268.706 </w:t>
            </w:r>
          </w:p>
        </w:tc>
        <w:tc>
          <w:tcPr>
            <w:tcW w:w="1331" w:type="dxa"/>
            <w:tcBorders>
              <w:top w:val="nil"/>
              <w:left w:val="nil"/>
              <w:bottom w:val="single" w:sz="4" w:space="0" w:color="auto"/>
              <w:right w:val="single" w:sz="4" w:space="0" w:color="auto"/>
            </w:tcBorders>
            <w:noWrap/>
            <w:vAlign w:val="center"/>
            <w:hideMark/>
          </w:tcPr>
          <w:p w14:paraId="72A422BD"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50.120 </w:t>
            </w:r>
          </w:p>
        </w:tc>
        <w:tc>
          <w:tcPr>
            <w:tcW w:w="1211" w:type="dxa"/>
            <w:tcBorders>
              <w:top w:val="nil"/>
              <w:left w:val="nil"/>
              <w:bottom w:val="single" w:sz="4" w:space="0" w:color="auto"/>
              <w:right w:val="single" w:sz="4" w:space="0" w:color="auto"/>
            </w:tcBorders>
            <w:noWrap/>
            <w:vAlign w:val="center"/>
            <w:hideMark/>
          </w:tcPr>
          <w:p w14:paraId="1DD596F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302.020 </w:t>
            </w:r>
          </w:p>
        </w:tc>
        <w:tc>
          <w:tcPr>
            <w:tcW w:w="1191" w:type="dxa"/>
            <w:tcBorders>
              <w:top w:val="nil"/>
              <w:left w:val="nil"/>
              <w:bottom w:val="single" w:sz="4" w:space="0" w:color="auto"/>
              <w:right w:val="single" w:sz="4" w:space="0" w:color="auto"/>
            </w:tcBorders>
            <w:noWrap/>
            <w:vAlign w:val="center"/>
            <w:hideMark/>
          </w:tcPr>
          <w:p w14:paraId="260E11C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04CD873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2.931.636 </w:t>
            </w:r>
          </w:p>
        </w:tc>
        <w:tc>
          <w:tcPr>
            <w:tcW w:w="1141" w:type="dxa"/>
            <w:tcBorders>
              <w:top w:val="nil"/>
              <w:left w:val="nil"/>
              <w:bottom w:val="single" w:sz="4" w:space="0" w:color="auto"/>
              <w:right w:val="single" w:sz="4" w:space="0" w:color="auto"/>
            </w:tcBorders>
            <w:noWrap/>
            <w:vAlign w:val="center"/>
            <w:hideMark/>
          </w:tcPr>
          <w:p w14:paraId="5BC8329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2A4A0295"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7451D04A"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16.552.482 </w:t>
            </w:r>
          </w:p>
        </w:tc>
      </w:tr>
      <w:tr w:rsidR="00032DCE" w14:paraId="2392BA5C"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6D83114A"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Desarrollo Rural y Medio Ambiente</w:t>
            </w:r>
          </w:p>
        </w:tc>
        <w:tc>
          <w:tcPr>
            <w:tcW w:w="1292" w:type="dxa"/>
            <w:tcBorders>
              <w:top w:val="nil"/>
              <w:left w:val="nil"/>
              <w:bottom w:val="single" w:sz="4" w:space="0" w:color="auto"/>
              <w:right w:val="single" w:sz="4" w:space="0" w:color="auto"/>
            </w:tcBorders>
            <w:noWrap/>
            <w:vAlign w:val="center"/>
            <w:hideMark/>
          </w:tcPr>
          <w:p w14:paraId="583B431D"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748A8A6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01ED37B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2.366.595 </w:t>
            </w:r>
          </w:p>
        </w:tc>
        <w:tc>
          <w:tcPr>
            <w:tcW w:w="1331" w:type="dxa"/>
            <w:tcBorders>
              <w:top w:val="nil"/>
              <w:left w:val="nil"/>
              <w:bottom w:val="single" w:sz="4" w:space="0" w:color="auto"/>
              <w:right w:val="single" w:sz="4" w:space="0" w:color="auto"/>
            </w:tcBorders>
            <w:noWrap/>
            <w:vAlign w:val="center"/>
            <w:hideMark/>
          </w:tcPr>
          <w:p w14:paraId="048013B9"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9.979.423 </w:t>
            </w:r>
          </w:p>
        </w:tc>
        <w:tc>
          <w:tcPr>
            <w:tcW w:w="1211" w:type="dxa"/>
            <w:tcBorders>
              <w:top w:val="nil"/>
              <w:left w:val="nil"/>
              <w:bottom w:val="single" w:sz="4" w:space="0" w:color="auto"/>
              <w:right w:val="single" w:sz="4" w:space="0" w:color="auto"/>
            </w:tcBorders>
            <w:noWrap/>
            <w:vAlign w:val="center"/>
            <w:hideMark/>
          </w:tcPr>
          <w:p w14:paraId="40814D5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 </w:t>
            </w:r>
          </w:p>
        </w:tc>
        <w:tc>
          <w:tcPr>
            <w:tcW w:w="1191" w:type="dxa"/>
            <w:tcBorders>
              <w:top w:val="nil"/>
              <w:left w:val="nil"/>
              <w:bottom w:val="single" w:sz="4" w:space="0" w:color="auto"/>
              <w:right w:val="single" w:sz="4" w:space="0" w:color="auto"/>
            </w:tcBorders>
            <w:noWrap/>
            <w:vAlign w:val="center"/>
            <w:hideMark/>
          </w:tcPr>
          <w:p w14:paraId="3B7FF43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36C967DB"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18.744.096 </w:t>
            </w:r>
          </w:p>
        </w:tc>
        <w:tc>
          <w:tcPr>
            <w:tcW w:w="1141" w:type="dxa"/>
            <w:tcBorders>
              <w:top w:val="nil"/>
              <w:left w:val="nil"/>
              <w:bottom w:val="single" w:sz="4" w:space="0" w:color="auto"/>
              <w:right w:val="single" w:sz="4" w:space="0" w:color="auto"/>
            </w:tcBorders>
            <w:noWrap/>
            <w:vAlign w:val="center"/>
            <w:hideMark/>
          </w:tcPr>
          <w:p w14:paraId="67A2100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4F4DC3B8"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755A4840"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31.090.144 </w:t>
            </w:r>
          </w:p>
        </w:tc>
      </w:tr>
      <w:tr w:rsidR="00032DCE" w14:paraId="5FF06971"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4F041FAE"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Industria y de Transición Ecológica y Digital Empresarial</w:t>
            </w:r>
          </w:p>
        </w:tc>
        <w:tc>
          <w:tcPr>
            <w:tcW w:w="1292" w:type="dxa"/>
            <w:tcBorders>
              <w:top w:val="nil"/>
              <w:left w:val="nil"/>
              <w:bottom w:val="single" w:sz="4" w:space="0" w:color="auto"/>
              <w:right w:val="single" w:sz="4" w:space="0" w:color="auto"/>
            </w:tcBorders>
            <w:noWrap/>
            <w:vAlign w:val="center"/>
            <w:hideMark/>
          </w:tcPr>
          <w:p w14:paraId="6C404241"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783AB4F7"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7F3D639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552.620 </w:t>
            </w:r>
          </w:p>
        </w:tc>
        <w:tc>
          <w:tcPr>
            <w:tcW w:w="1331" w:type="dxa"/>
            <w:tcBorders>
              <w:top w:val="nil"/>
              <w:left w:val="nil"/>
              <w:bottom w:val="single" w:sz="4" w:space="0" w:color="auto"/>
              <w:right w:val="single" w:sz="4" w:space="0" w:color="auto"/>
            </w:tcBorders>
            <w:noWrap/>
            <w:vAlign w:val="center"/>
            <w:hideMark/>
          </w:tcPr>
          <w:p w14:paraId="7122551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2.258.489 </w:t>
            </w:r>
          </w:p>
        </w:tc>
        <w:tc>
          <w:tcPr>
            <w:tcW w:w="1211" w:type="dxa"/>
            <w:tcBorders>
              <w:top w:val="nil"/>
              <w:left w:val="nil"/>
              <w:bottom w:val="single" w:sz="4" w:space="0" w:color="auto"/>
              <w:right w:val="single" w:sz="4" w:space="0" w:color="auto"/>
            </w:tcBorders>
            <w:noWrap/>
            <w:vAlign w:val="center"/>
            <w:hideMark/>
          </w:tcPr>
          <w:p w14:paraId="4D267CD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30 </w:t>
            </w:r>
          </w:p>
        </w:tc>
        <w:tc>
          <w:tcPr>
            <w:tcW w:w="1191" w:type="dxa"/>
            <w:tcBorders>
              <w:top w:val="nil"/>
              <w:left w:val="nil"/>
              <w:bottom w:val="single" w:sz="4" w:space="0" w:color="auto"/>
              <w:right w:val="single" w:sz="4" w:space="0" w:color="auto"/>
            </w:tcBorders>
            <w:noWrap/>
            <w:vAlign w:val="center"/>
            <w:hideMark/>
          </w:tcPr>
          <w:p w14:paraId="588F1958"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331" w:type="dxa"/>
            <w:tcBorders>
              <w:top w:val="nil"/>
              <w:left w:val="nil"/>
              <w:bottom w:val="single" w:sz="4" w:space="0" w:color="auto"/>
              <w:right w:val="single" w:sz="4" w:space="0" w:color="auto"/>
            </w:tcBorders>
            <w:noWrap/>
            <w:vAlign w:val="center"/>
            <w:hideMark/>
          </w:tcPr>
          <w:p w14:paraId="04CC206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15.825.418 </w:t>
            </w:r>
          </w:p>
        </w:tc>
        <w:tc>
          <w:tcPr>
            <w:tcW w:w="1141" w:type="dxa"/>
            <w:tcBorders>
              <w:top w:val="nil"/>
              <w:left w:val="nil"/>
              <w:bottom w:val="single" w:sz="4" w:space="0" w:color="auto"/>
              <w:right w:val="single" w:sz="4" w:space="0" w:color="auto"/>
            </w:tcBorders>
            <w:noWrap/>
            <w:vAlign w:val="center"/>
            <w:hideMark/>
          </w:tcPr>
          <w:p w14:paraId="26031A28"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600F401A"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41B21E7"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18.636.577 </w:t>
            </w:r>
          </w:p>
        </w:tc>
      </w:tr>
      <w:tr w:rsidR="00032DCE" w14:paraId="7293F3B4"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2509FBAE"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Derechos Sociales, Economía Social y Empleo</w:t>
            </w:r>
          </w:p>
        </w:tc>
        <w:tc>
          <w:tcPr>
            <w:tcW w:w="1292" w:type="dxa"/>
            <w:tcBorders>
              <w:top w:val="nil"/>
              <w:left w:val="nil"/>
              <w:bottom w:val="single" w:sz="4" w:space="0" w:color="auto"/>
              <w:right w:val="single" w:sz="4" w:space="0" w:color="auto"/>
            </w:tcBorders>
            <w:noWrap/>
            <w:vAlign w:val="center"/>
            <w:hideMark/>
          </w:tcPr>
          <w:p w14:paraId="0B08FDB5"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72F9C4C5"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72FEA65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67.485.114 </w:t>
            </w:r>
          </w:p>
        </w:tc>
        <w:tc>
          <w:tcPr>
            <w:tcW w:w="1331" w:type="dxa"/>
            <w:tcBorders>
              <w:top w:val="nil"/>
              <w:left w:val="nil"/>
              <w:bottom w:val="single" w:sz="4" w:space="0" w:color="auto"/>
              <w:right w:val="single" w:sz="4" w:space="0" w:color="auto"/>
            </w:tcBorders>
            <w:noWrap/>
            <w:vAlign w:val="center"/>
            <w:hideMark/>
          </w:tcPr>
          <w:p w14:paraId="2E410DBC"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138.123.276 </w:t>
            </w:r>
          </w:p>
        </w:tc>
        <w:tc>
          <w:tcPr>
            <w:tcW w:w="1211" w:type="dxa"/>
            <w:tcBorders>
              <w:top w:val="nil"/>
              <w:left w:val="nil"/>
              <w:bottom w:val="single" w:sz="4" w:space="0" w:color="auto"/>
              <w:right w:val="single" w:sz="4" w:space="0" w:color="auto"/>
            </w:tcBorders>
            <w:noWrap/>
            <w:vAlign w:val="center"/>
            <w:hideMark/>
          </w:tcPr>
          <w:p w14:paraId="10B8B7F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59.913 </w:t>
            </w:r>
          </w:p>
        </w:tc>
        <w:tc>
          <w:tcPr>
            <w:tcW w:w="1191" w:type="dxa"/>
            <w:tcBorders>
              <w:top w:val="nil"/>
              <w:left w:val="nil"/>
              <w:bottom w:val="single" w:sz="4" w:space="0" w:color="auto"/>
              <w:right w:val="single" w:sz="4" w:space="0" w:color="auto"/>
            </w:tcBorders>
            <w:noWrap/>
            <w:vAlign w:val="center"/>
            <w:hideMark/>
          </w:tcPr>
          <w:p w14:paraId="19757FC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4BB4C0DA"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 </w:t>
            </w:r>
          </w:p>
        </w:tc>
        <w:tc>
          <w:tcPr>
            <w:tcW w:w="1141" w:type="dxa"/>
            <w:tcBorders>
              <w:top w:val="nil"/>
              <w:left w:val="nil"/>
              <w:bottom w:val="single" w:sz="4" w:space="0" w:color="auto"/>
              <w:right w:val="single" w:sz="4" w:space="0" w:color="auto"/>
            </w:tcBorders>
            <w:noWrap/>
            <w:vAlign w:val="center"/>
            <w:hideMark/>
          </w:tcPr>
          <w:p w14:paraId="70573BD1"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5D9EABD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B338577"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205.668.323 </w:t>
            </w:r>
          </w:p>
        </w:tc>
      </w:tr>
      <w:tr w:rsidR="00032DCE" w14:paraId="51DA9B6D"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30F9398D"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Cultura, Deporte y Turismo</w:t>
            </w:r>
          </w:p>
        </w:tc>
        <w:tc>
          <w:tcPr>
            <w:tcW w:w="1292" w:type="dxa"/>
            <w:tcBorders>
              <w:top w:val="nil"/>
              <w:left w:val="nil"/>
              <w:bottom w:val="single" w:sz="4" w:space="0" w:color="auto"/>
              <w:right w:val="single" w:sz="4" w:space="0" w:color="auto"/>
            </w:tcBorders>
            <w:noWrap/>
            <w:vAlign w:val="center"/>
            <w:hideMark/>
          </w:tcPr>
          <w:p w14:paraId="6421A51F"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79C87A5D"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1B0B356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789.010 </w:t>
            </w:r>
          </w:p>
        </w:tc>
        <w:tc>
          <w:tcPr>
            <w:tcW w:w="1331" w:type="dxa"/>
            <w:tcBorders>
              <w:top w:val="nil"/>
              <w:left w:val="nil"/>
              <w:bottom w:val="single" w:sz="4" w:space="0" w:color="auto"/>
              <w:right w:val="single" w:sz="4" w:space="0" w:color="auto"/>
            </w:tcBorders>
            <w:noWrap/>
            <w:vAlign w:val="center"/>
            <w:hideMark/>
          </w:tcPr>
          <w:p w14:paraId="180C6E6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297.494 </w:t>
            </w:r>
          </w:p>
        </w:tc>
        <w:tc>
          <w:tcPr>
            <w:tcW w:w="1211" w:type="dxa"/>
            <w:tcBorders>
              <w:top w:val="nil"/>
              <w:left w:val="nil"/>
              <w:bottom w:val="single" w:sz="4" w:space="0" w:color="auto"/>
              <w:right w:val="single" w:sz="4" w:space="0" w:color="auto"/>
            </w:tcBorders>
            <w:noWrap/>
            <w:vAlign w:val="center"/>
            <w:hideMark/>
          </w:tcPr>
          <w:p w14:paraId="2FF387C2"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258.364 </w:t>
            </w:r>
          </w:p>
        </w:tc>
        <w:tc>
          <w:tcPr>
            <w:tcW w:w="1191" w:type="dxa"/>
            <w:tcBorders>
              <w:top w:val="nil"/>
              <w:left w:val="nil"/>
              <w:bottom w:val="single" w:sz="4" w:space="0" w:color="auto"/>
              <w:right w:val="single" w:sz="4" w:space="0" w:color="auto"/>
            </w:tcBorders>
            <w:noWrap/>
            <w:vAlign w:val="center"/>
            <w:hideMark/>
          </w:tcPr>
          <w:p w14:paraId="2CABF55E"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5BF0F375"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8.520 </w:t>
            </w:r>
          </w:p>
        </w:tc>
        <w:tc>
          <w:tcPr>
            <w:tcW w:w="1141" w:type="dxa"/>
            <w:tcBorders>
              <w:top w:val="nil"/>
              <w:left w:val="nil"/>
              <w:bottom w:val="single" w:sz="4" w:space="0" w:color="auto"/>
              <w:right w:val="single" w:sz="4" w:space="0" w:color="auto"/>
            </w:tcBorders>
            <w:noWrap/>
            <w:vAlign w:val="center"/>
            <w:hideMark/>
          </w:tcPr>
          <w:p w14:paraId="45B8C75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320.834 </w:t>
            </w:r>
          </w:p>
        </w:tc>
        <w:tc>
          <w:tcPr>
            <w:tcW w:w="1141" w:type="dxa"/>
            <w:tcBorders>
              <w:top w:val="nil"/>
              <w:left w:val="nil"/>
              <w:bottom w:val="single" w:sz="4" w:space="0" w:color="auto"/>
              <w:right w:val="single" w:sz="4" w:space="0" w:color="auto"/>
            </w:tcBorders>
            <w:noWrap/>
            <w:vAlign w:val="center"/>
            <w:hideMark/>
          </w:tcPr>
          <w:p w14:paraId="5CC332E9"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4784EF3C"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1.674.222 </w:t>
            </w:r>
          </w:p>
        </w:tc>
      </w:tr>
      <w:tr w:rsidR="00032DCE" w14:paraId="75A06F93"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4A897B24"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Memoria y Convivencia, Acción Exterior y Euskera</w:t>
            </w:r>
          </w:p>
        </w:tc>
        <w:tc>
          <w:tcPr>
            <w:tcW w:w="1292" w:type="dxa"/>
            <w:tcBorders>
              <w:top w:val="nil"/>
              <w:left w:val="nil"/>
              <w:bottom w:val="single" w:sz="4" w:space="0" w:color="auto"/>
              <w:right w:val="single" w:sz="4" w:space="0" w:color="auto"/>
            </w:tcBorders>
            <w:noWrap/>
            <w:vAlign w:val="center"/>
            <w:hideMark/>
          </w:tcPr>
          <w:p w14:paraId="1745E60D"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6F974F9F"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1AD66AD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17.000 </w:t>
            </w:r>
          </w:p>
        </w:tc>
        <w:tc>
          <w:tcPr>
            <w:tcW w:w="1331" w:type="dxa"/>
            <w:tcBorders>
              <w:top w:val="nil"/>
              <w:left w:val="nil"/>
              <w:bottom w:val="single" w:sz="4" w:space="0" w:color="auto"/>
              <w:right w:val="single" w:sz="4" w:space="0" w:color="auto"/>
            </w:tcBorders>
            <w:noWrap/>
            <w:vAlign w:val="center"/>
            <w:hideMark/>
          </w:tcPr>
          <w:p w14:paraId="2ECE93E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208.367 </w:t>
            </w:r>
          </w:p>
        </w:tc>
        <w:tc>
          <w:tcPr>
            <w:tcW w:w="1211" w:type="dxa"/>
            <w:tcBorders>
              <w:top w:val="nil"/>
              <w:left w:val="nil"/>
              <w:bottom w:val="single" w:sz="4" w:space="0" w:color="auto"/>
              <w:right w:val="single" w:sz="4" w:space="0" w:color="auto"/>
            </w:tcBorders>
            <w:noWrap/>
            <w:vAlign w:val="center"/>
            <w:hideMark/>
          </w:tcPr>
          <w:p w14:paraId="460CC2CF"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91" w:type="dxa"/>
            <w:tcBorders>
              <w:top w:val="nil"/>
              <w:left w:val="nil"/>
              <w:bottom w:val="single" w:sz="4" w:space="0" w:color="auto"/>
              <w:right w:val="single" w:sz="4" w:space="0" w:color="auto"/>
            </w:tcBorders>
            <w:noWrap/>
            <w:vAlign w:val="center"/>
            <w:hideMark/>
          </w:tcPr>
          <w:p w14:paraId="729A5A6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268A63FB"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262A49C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3F5C6C7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57B92A81"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225.367 </w:t>
            </w:r>
          </w:p>
        </w:tc>
      </w:tr>
      <w:tr w:rsidR="00032DCE" w14:paraId="535C3FE9"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26E55D01"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Interior, Función Pública y Justicia</w:t>
            </w:r>
          </w:p>
        </w:tc>
        <w:tc>
          <w:tcPr>
            <w:tcW w:w="1292" w:type="dxa"/>
            <w:tcBorders>
              <w:top w:val="nil"/>
              <w:left w:val="nil"/>
              <w:bottom w:val="single" w:sz="4" w:space="0" w:color="auto"/>
              <w:right w:val="single" w:sz="4" w:space="0" w:color="auto"/>
            </w:tcBorders>
            <w:noWrap/>
            <w:vAlign w:val="center"/>
            <w:hideMark/>
          </w:tcPr>
          <w:p w14:paraId="482DB9EB"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D423BF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11028903"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5.439.900 </w:t>
            </w:r>
          </w:p>
        </w:tc>
        <w:tc>
          <w:tcPr>
            <w:tcW w:w="1331" w:type="dxa"/>
            <w:tcBorders>
              <w:top w:val="nil"/>
              <w:left w:val="nil"/>
              <w:bottom w:val="single" w:sz="4" w:space="0" w:color="auto"/>
              <w:right w:val="single" w:sz="4" w:space="0" w:color="auto"/>
            </w:tcBorders>
            <w:noWrap/>
            <w:vAlign w:val="center"/>
            <w:hideMark/>
          </w:tcPr>
          <w:p w14:paraId="294EE04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3.911.098 </w:t>
            </w:r>
          </w:p>
        </w:tc>
        <w:tc>
          <w:tcPr>
            <w:tcW w:w="1211" w:type="dxa"/>
            <w:tcBorders>
              <w:top w:val="nil"/>
              <w:left w:val="nil"/>
              <w:bottom w:val="single" w:sz="4" w:space="0" w:color="auto"/>
              <w:right w:val="single" w:sz="4" w:space="0" w:color="auto"/>
            </w:tcBorders>
            <w:noWrap/>
            <w:vAlign w:val="center"/>
            <w:hideMark/>
          </w:tcPr>
          <w:p w14:paraId="51FDDEE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20 </w:t>
            </w:r>
          </w:p>
        </w:tc>
        <w:tc>
          <w:tcPr>
            <w:tcW w:w="1191" w:type="dxa"/>
            <w:tcBorders>
              <w:top w:val="nil"/>
              <w:left w:val="nil"/>
              <w:bottom w:val="single" w:sz="4" w:space="0" w:color="auto"/>
              <w:right w:val="single" w:sz="4" w:space="0" w:color="auto"/>
            </w:tcBorders>
            <w:noWrap/>
            <w:vAlign w:val="center"/>
            <w:hideMark/>
          </w:tcPr>
          <w:p w14:paraId="135C193C"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4F40CED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7.699 </w:t>
            </w:r>
          </w:p>
        </w:tc>
        <w:tc>
          <w:tcPr>
            <w:tcW w:w="1141" w:type="dxa"/>
            <w:tcBorders>
              <w:top w:val="nil"/>
              <w:left w:val="nil"/>
              <w:bottom w:val="single" w:sz="4" w:space="0" w:color="auto"/>
              <w:right w:val="single" w:sz="4" w:space="0" w:color="auto"/>
            </w:tcBorders>
            <w:noWrap/>
            <w:vAlign w:val="center"/>
            <w:hideMark/>
          </w:tcPr>
          <w:p w14:paraId="044AEE5D"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22.182.106 </w:t>
            </w:r>
          </w:p>
        </w:tc>
        <w:tc>
          <w:tcPr>
            <w:tcW w:w="1141" w:type="dxa"/>
            <w:tcBorders>
              <w:top w:val="nil"/>
              <w:left w:val="nil"/>
              <w:bottom w:val="single" w:sz="4" w:space="0" w:color="auto"/>
              <w:right w:val="single" w:sz="4" w:space="0" w:color="auto"/>
            </w:tcBorders>
            <w:noWrap/>
            <w:vAlign w:val="center"/>
            <w:hideMark/>
          </w:tcPr>
          <w:p w14:paraId="49A70F5F"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29058216"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31.540.823 </w:t>
            </w:r>
          </w:p>
        </w:tc>
      </w:tr>
      <w:tr w:rsidR="00032DCE" w14:paraId="5D63FF73" w14:textId="77777777" w:rsidTr="00032DCE">
        <w:trPr>
          <w:trHeight w:val="397"/>
        </w:trPr>
        <w:tc>
          <w:tcPr>
            <w:tcW w:w="3685" w:type="dxa"/>
            <w:tcBorders>
              <w:top w:val="nil"/>
              <w:left w:val="single" w:sz="4" w:space="0" w:color="auto"/>
              <w:bottom w:val="single" w:sz="4" w:space="0" w:color="auto"/>
              <w:right w:val="single" w:sz="4" w:space="0" w:color="auto"/>
            </w:tcBorders>
            <w:noWrap/>
            <w:vAlign w:val="center"/>
            <w:hideMark/>
          </w:tcPr>
          <w:p w14:paraId="150CB726" w14:textId="77777777" w:rsidR="00032DCE" w:rsidRDefault="00032DCE" w:rsidP="00B01115">
            <w:pPr>
              <w:spacing w:after="0"/>
              <w:rPr>
                <w:rFonts w:ascii="Arial" w:hAnsi="Arial" w:cs="Arial"/>
                <w:color w:val="000000"/>
                <w:sz w:val="18"/>
                <w:szCs w:val="18"/>
              </w:rPr>
            </w:pPr>
            <w:r>
              <w:rPr>
                <w:rFonts w:ascii="Arial" w:hAnsi="Arial" w:cs="Arial"/>
                <w:color w:val="000000"/>
                <w:sz w:val="18"/>
                <w:szCs w:val="18"/>
              </w:rPr>
              <w:t>Universidad, Innovación y Transformación Digital</w:t>
            </w:r>
          </w:p>
        </w:tc>
        <w:tc>
          <w:tcPr>
            <w:tcW w:w="1292" w:type="dxa"/>
            <w:tcBorders>
              <w:top w:val="nil"/>
              <w:left w:val="nil"/>
              <w:bottom w:val="single" w:sz="4" w:space="0" w:color="auto"/>
              <w:right w:val="single" w:sz="4" w:space="0" w:color="auto"/>
            </w:tcBorders>
            <w:noWrap/>
            <w:vAlign w:val="center"/>
            <w:hideMark/>
          </w:tcPr>
          <w:p w14:paraId="23DAD6B1"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D6B0C62"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34" w:type="dxa"/>
            <w:tcBorders>
              <w:top w:val="nil"/>
              <w:left w:val="nil"/>
              <w:bottom w:val="single" w:sz="4" w:space="0" w:color="auto"/>
              <w:right w:val="single" w:sz="4" w:space="0" w:color="auto"/>
            </w:tcBorders>
            <w:noWrap/>
            <w:vAlign w:val="center"/>
            <w:hideMark/>
          </w:tcPr>
          <w:p w14:paraId="2EC6DB67"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53.020 </w:t>
            </w:r>
          </w:p>
        </w:tc>
        <w:tc>
          <w:tcPr>
            <w:tcW w:w="1331" w:type="dxa"/>
            <w:tcBorders>
              <w:top w:val="nil"/>
              <w:left w:val="nil"/>
              <w:bottom w:val="single" w:sz="4" w:space="0" w:color="auto"/>
              <w:right w:val="single" w:sz="4" w:space="0" w:color="auto"/>
            </w:tcBorders>
            <w:noWrap/>
            <w:vAlign w:val="center"/>
            <w:hideMark/>
          </w:tcPr>
          <w:p w14:paraId="1DDBC30E"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2.449.851 </w:t>
            </w:r>
          </w:p>
        </w:tc>
        <w:tc>
          <w:tcPr>
            <w:tcW w:w="1211" w:type="dxa"/>
            <w:tcBorders>
              <w:top w:val="nil"/>
              <w:left w:val="nil"/>
              <w:bottom w:val="single" w:sz="4" w:space="0" w:color="auto"/>
              <w:right w:val="single" w:sz="4" w:space="0" w:color="auto"/>
            </w:tcBorders>
            <w:noWrap/>
            <w:vAlign w:val="center"/>
            <w:hideMark/>
          </w:tcPr>
          <w:p w14:paraId="12D6B240"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1.020 </w:t>
            </w:r>
          </w:p>
        </w:tc>
        <w:tc>
          <w:tcPr>
            <w:tcW w:w="1191" w:type="dxa"/>
            <w:tcBorders>
              <w:top w:val="nil"/>
              <w:left w:val="nil"/>
              <w:bottom w:val="single" w:sz="4" w:space="0" w:color="auto"/>
              <w:right w:val="single" w:sz="4" w:space="0" w:color="auto"/>
            </w:tcBorders>
            <w:noWrap/>
            <w:vAlign w:val="center"/>
            <w:hideMark/>
          </w:tcPr>
          <w:p w14:paraId="518103A3"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331" w:type="dxa"/>
            <w:tcBorders>
              <w:top w:val="nil"/>
              <w:left w:val="nil"/>
              <w:bottom w:val="single" w:sz="4" w:space="0" w:color="auto"/>
              <w:right w:val="single" w:sz="4" w:space="0" w:color="auto"/>
            </w:tcBorders>
            <w:noWrap/>
            <w:vAlign w:val="center"/>
            <w:hideMark/>
          </w:tcPr>
          <w:p w14:paraId="5D755B81" w14:textId="77777777" w:rsidR="00032DCE" w:rsidRDefault="00032DCE" w:rsidP="00B01115">
            <w:pPr>
              <w:spacing w:after="0"/>
              <w:jc w:val="right"/>
              <w:rPr>
                <w:rFonts w:ascii="Arial" w:hAnsi="Arial" w:cs="Arial"/>
                <w:sz w:val="18"/>
                <w:szCs w:val="18"/>
              </w:rPr>
            </w:pPr>
            <w:r>
              <w:rPr>
                <w:rFonts w:ascii="Arial" w:hAnsi="Arial" w:cs="Arial"/>
                <w:sz w:val="18"/>
                <w:szCs w:val="18"/>
              </w:rPr>
              <w:t xml:space="preserve">10 </w:t>
            </w:r>
          </w:p>
        </w:tc>
        <w:tc>
          <w:tcPr>
            <w:tcW w:w="1141" w:type="dxa"/>
            <w:tcBorders>
              <w:top w:val="nil"/>
              <w:left w:val="nil"/>
              <w:bottom w:val="single" w:sz="4" w:space="0" w:color="auto"/>
              <w:right w:val="single" w:sz="4" w:space="0" w:color="auto"/>
            </w:tcBorders>
            <w:noWrap/>
            <w:vAlign w:val="center"/>
            <w:hideMark/>
          </w:tcPr>
          <w:p w14:paraId="7A445527"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141" w:type="dxa"/>
            <w:tcBorders>
              <w:top w:val="nil"/>
              <w:left w:val="nil"/>
              <w:bottom w:val="single" w:sz="4" w:space="0" w:color="auto"/>
              <w:right w:val="single" w:sz="4" w:space="0" w:color="auto"/>
            </w:tcBorders>
            <w:noWrap/>
            <w:vAlign w:val="center"/>
            <w:hideMark/>
          </w:tcPr>
          <w:p w14:paraId="2A83AB96" w14:textId="77777777" w:rsidR="00032DCE" w:rsidRDefault="00032DCE" w:rsidP="00B01115">
            <w:pPr>
              <w:spacing w:after="0"/>
              <w:rPr>
                <w:rFonts w:ascii="Arial" w:hAnsi="Arial" w:cs="Arial"/>
                <w:sz w:val="18"/>
                <w:szCs w:val="18"/>
              </w:rPr>
            </w:pPr>
            <w:r>
              <w:rPr>
                <w:rFonts w:ascii="Arial" w:hAnsi="Arial" w:cs="Arial"/>
                <w:sz w:val="18"/>
                <w:szCs w:val="18"/>
              </w:rPr>
              <w:t> </w:t>
            </w:r>
          </w:p>
        </w:tc>
        <w:tc>
          <w:tcPr>
            <w:tcW w:w="1292" w:type="dxa"/>
            <w:tcBorders>
              <w:top w:val="nil"/>
              <w:left w:val="nil"/>
              <w:bottom w:val="single" w:sz="4" w:space="0" w:color="auto"/>
              <w:right w:val="single" w:sz="4" w:space="0" w:color="auto"/>
            </w:tcBorders>
            <w:noWrap/>
            <w:vAlign w:val="center"/>
            <w:hideMark/>
          </w:tcPr>
          <w:p w14:paraId="185A5B0F"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2.503.901 </w:t>
            </w:r>
          </w:p>
        </w:tc>
      </w:tr>
      <w:tr w:rsidR="00032DCE" w14:paraId="66D6D2FF" w14:textId="77777777" w:rsidTr="00032DCE">
        <w:trPr>
          <w:trHeight w:val="397"/>
        </w:trPr>
        <w:tc>
          <w:tcPr>
            <w:tcW w:w="3685" w:type="dxa"/>
            <w:tcBorders>
              <w:top w:val="nil"/>
              <w:left w:val="single" w:sz="4" w:space="0" w:color="auto"/>
              <w:bottom w:val="single" w:sz="4" w:space="0" w:color="auto"/>
              <w:right w:val="single" w:sz="4" w:space="0" w:color="auto"/>
            </w:tcBorders>
            <w:vAlign w:val="center"/>
            <w:hideMark/>
          </w:tcPr>
          <w:p w14:paraId="604BD709" w14:textId="77777777" w:rsidR="00032DCE" w:rsidRDefault="00032DCE" w:rsidP="00B01115">
            <w:pPr>
              <w:spacing w:after="0"/>
              <w:rPr>
                <w:rFonts w:ascii="Arial" w:hAnsi="Arial" w:cs="Arial"/>
                <w:b/>
                <w:bCs/>
                <w:sz w:val="18"/>
                <w:szCs w:val="18"/>
              </w:rPr>
            </w:pPr>
            <w:r>
              <w:rPr>
                <w:rFonts w:ascii="Arial" w:hAnsi="Arial" w:cs="Arial"/>
                <w:b/>
                <w:bCs/>
                <w:sz w:val="18"/>
                <w:szCs w:val="18"/>
              </w:rPr>
              <w:t>TOTAL PRESUPUESTO</w:t>
            </w:r>
          </w:p>
        </w:tc>
        <w:tc>
          <w:tcPr>
            <w:tcW w:w="1292" w:type="dxa"/>
            <w:tcBorders>
              <w:top w:val="nil"/>
              <w:left w:val="nil"/>
              <w:bottom w:val="single" w:sz="4" w:space="0" w:color="auto"/>
              <w:right w:val="single" w:sz="4" w:space="0" w:color="auto"/>
            </w:tcBorders>
            <w:noWrap/>
            <w:vAlign w:val="center"/>
            <w:hideMark/>
          </w:tcPr>
          <w:p w14:paraId="58856290"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3.084.708.750 </w:t>
            </w:r>
          </w:p>
        </w:tc>
        <w:tc>
          <w:tcPr>
            <w:tcW w:w="1292" w:type="dxa"/>
            <w:tcBorders>
              <w:top w:val="nil"/>
              <w:left w:val="nil"/>
              <w:bottom w:val="single" w:sz="4" w:space="0" w:color="auto"/>
              <w:right w:val="single" w:sz="4" w:space="0" w:color="auto"/>
            </w:tcBorders>
            <w:noWrap/>
            <w:vAlign w:val="center"/>
            <w:hideMark/>
          </w:tcPr>
          <w:p w14:paraId="1023168A"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2.694.377.010 </w:t>
            </w:r>
          </w:p>
        </w:tc>
        <w:tc>
          <w:tcPr>
            <w:tcW w:w="1134" w:type="dxa"/>
            <w:tcBorders>
              <w:top w:val="nil"/>
              <w:left w:val="nil"/>
              <w:bottom w:val="single" w:sz="4" w:space="0" w:color="auto"/>
              <w:right w:val="single" w:sz="4" w:space="0" w:color="auto"/>
            </w:tcBorders>
            <w:noWrap/>
            <w:vAlign w:val="center"/>
            <w:hideMark/>
          </w:tcPr>
          <w:p w14:paraId="2D247903"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124.772.947 </w:t>
            </w:r>
          </w:p>
        </w:tc>
        <w:tc>
          <w:tcPr>
            <w:tcW w:w="1331" w:type="dxa"/>
            <w:tcBorders>
              <w:top w:val="nil"/>
              <w:left w:val="nil"/>
              <w:bottom w:val="single" w:sz="4" w:space="0" w:color="auto"/>
              <w:right w:val="single" w:sz="4" w:space="0" w:color="auto"/>
            </w:tcBorders>
            <w:noWrap/>
            <w:vAlign w:val="center"/>
            <w:hideMark/>
          </w:tcPr>
          <w:p w14:paraId="6B432980"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176.122.623 </w:t>
            </w:r>
          </w:p>
        </w:tc>
        <w:tc>
          <w:tcPr>
            <w:tcW w:w="1211" w:type="dxa"/>
            <w:tcBorders>
              <w:top w:val="nil"/>
              <w:left w:val="nil"/>
              <w:bottom w:val="single" w:sz="4" w:space="0" w:color="auto"/>
              <w:right w:val="single" w:sz="4" w:space="0" w:color="auto"/>
            </w:tcBorders>
            <w:noWrap/>
            <w:vAlign w:val="center"/>
            <w:hideMark/>
          </w:tcPr>
          <w:p w14:paraId="0A9C034C"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7.104.727 </w:t>
            </w:r>
          </w:p>
        </w:tc>
        <w:tc>
          <w:tcPr>
            <w:tcW w:w="1191" w:type="dxa"/>
            <w:tcBorders>
              <w:top w:val="nil"/>
              <w:left w:val="nil"/>
              <w:bottom w:val="single" w:sz="4" w:space="0" w:color="auto"/>
              <w:right w:val="single" w:sz="4" w:space="0" w:color="auto"/>
            </w:tcBorders>
            <w:noWrap/>
            <w:vAlign w:val="center"/>
            <w:hideMark/>
          </w:tcPr>
          <w:p w14:paraId="1E372E63"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1.100.668 </w:t>
            </w:r>
          </w:p>
        </w:tc>
        <w:tc>
          <w:tcPr>
            <w:tcW w:w="1331" w:type="dxa"/>
            <w:tcBorders>
              <w:top w:val="nil"/>
              <w:left w:val="nil"/>
              <w:bottom w:val="single" w:sz="4" w:space="0" w:color="auto"/>
              <w:right w:val="single" w:sz="4" w:space="0" w:color="auto"/>
            </w:tcBorders>
            <w:noWrap/>
            <w:vAlign w:val="center"/>
            <w:hideMark/>
          </w:tcPr>
          <w:p w14:paraId="45FB5326"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57.517.469 </w:t>
            </w:r>
          </w:p>
        </w:tc>
        <w:tc>
          <w:tcPr>
            <w:tcW w:w="1141" w:type="dxa"/>
            <w:tcBorders>
              <w:top w:val="nil"/>
              <w:left w:val="nil"/>
              <w:bottom w:val="single" w:sz="4" w:space="0" w:color="auto"/>
              <w:right w:val="single" w:sz="4" w:space="0" w:color="auto"/>
            </w:tcBorders>
            <w:noWrap/>
            <w:vAlign w:val="center"/>
            <w:hideMark/>
          </w:tcPr>
          <w:p w14:paraId="55B1A1B5"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164.289.775 </w:t>
            </w:r>
          </w:p>
        </w:tc>
        <w:tc>
          <w:tcPr>
            <w:tcW w:w="1141" w:type="dxa"/>
            <w:tcBorders>
              <w:top w:val="nil"/>
              <w:left w:val="nil"/>
              <w:bottom w:val="single" w:sz="4" w:space="0" w:color="auto"/>
              <w:right w:val="single" w:sz="4" w:space="0" w:color="auto"/>
            </w:tcBorders>
            <w:noWrap/>
            <w:vAlign w:val="center"/>
            <w:hideMark/>
          </w:tcPr>
          <w:p w14:paraId="1A9592D8"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431.520.984 </w:t>
            </w:r>
          </w:p>
        </w:tc>
        <w:tc>
          <w:tcPr>
            <w:tcW w:w="1292" w:type="dxa"/>
            <w:tcBorders>
              <w:top w:val="nil"/>
              <w:left w:val="nil"/>
              <w:bottom w:val="single" w:sz="4" w:space="0" w:color="auto"/>
              <w:right w:val="single" w:sz="4" w:space="0" w:color="auto"/>
            </w:tcBorders>
            <w:noWrap/>
            <w:vAlign w:val="center"/>
            <w:hideMark/>
          </w:tcPr>
          <w:p w14:paraId="772F2622" w14:textId="77777777" w:rsidR="00032DCE" w:rsidRDefault="00032DCE" w:rsidP="00B01115">
            <w:pPr>
              <w:spacing w:after="0"/>
              <w:jc w:val="right"/>
              <w:rPr>
                <w:rFonts w:ascii="Arial" w:hAnsi="Arial" w:cs="Arial"/>
                <w:b/>
                <w:bCs/>
                <w:color w:val="000000"/>
                <w:sz w:val="18"/>
                <w:szCs w:val="18"/>
              </w:rPr>
            </w:pPr>
            <w:r>
              <w:rPr>
                <w:rFonts w:ascii="Arial" w:hAnsi="Arial" w:cs="Arial"/>
                <w:b/>
                <w:bCs/>
                <w:color w:val="000000"/>
                <w:sz w:val="18"/>
                <w:szCs w:val="18"/>
              </w:rPr>
              <w:t xml:space="preserve">6.741.514.953 </w:t>
            </w:r>
          </w:p>
        </w:tc>
      </w:tr>
    </w:tbl>
    <w:p w14:paraId="5A696929" w14:textId="77777777" w:rsidR="00032DCE" w:rsidRDefault="00032DCE" w:rsidP="00032DCE">
      <w:pPr>
        <w:rPr>
          <w:rFonts w:ascii="Arial" w:hAnsi="Arial" w:cs="Arial"/>
          <w:sz w:val="20"/>
        </w:rPr>
      </w:pPr>
    </w:p>
    <w:p w14:paraId="18F432A6" w14:textId="77777777" w:rsidR="00BB3DD1" w:rsidRDefault="00BB3DD1">
      <w:pPr>
        <w:rPr>
          <w:rFonts w:ascii="Arial" w:eastAsia="Times New Roman" w:hAnsi="Arial" w:cs="Arial"/>
          <w:sz w:val="24"/>
          <w:szCs w:val="24"/>
          <w:lang w:val="es-ES" w:eastAsia="es-ES"/>
        </w:rPr>
      </w:pPr>
      <w:r>
        <w:rPr>
          <w:rFonts w:ascii="Arial" w:eastAsia="Times New Roman" w:hAnsi="Arial" w:cs="Arial"/>
          <w:sz w:val="24"/>
          <w:szCs w:val="24"/>
          <w:lang w:val="es-ES" w:eastAsia="es-ES"/>
        </w:rPr>
        <w:br w:type="page"/>
      </w:r>
    </w:p>
    <w:p w14:paraId="6B47BB3B" w14:textId="77777777" w:rsidR="00BB3DD1" w:rsidRPr="00BB3DD1" w:rsidRDefault="00BB3DD1" w:rsidP="00BB3DD1">
      <w:pPr>
        <w:tabs>
          <w:tab w:val="left" w:pos="992"/>
        </w:tabs>
        <w:spacing w:after="0" w:line="240" w:lineRule="auto"/>
        <w:jc w:val="center"/>
        <w:rPr>
          <w:rFonts w:ascii="Arial" w:eastAsia="Times New Roman" w:hAnsi="Arial" w:cs="Arial"/>
          <w:b/>
          <w:sz w:val="24"/>
          <w:szCs w:val="24"/>
          <w:lang w:val="es-ES" w:eastAsia="es-ES"/>
        </w:rPr>
      </w:pPr>
      <w:r w:rsidRPr="00BB3DD1">
        <w:rPr>
          <w:rFonts w:ascii="Arial" w:eastAsia="Times New Roman" w:hAnsi="Arial" w:cs="Arial"/>
          <w:b/>
          <w:sz w:val="24"/>
          <w:szCs w:val="24"/>
          <w:lang w:val="es-ES" w:eastAsia="es-ES"/>
        </w:rPr>
        <w:lastRenderedPageBreak/>
        <w:t xml:space="preserve">ANEXO II. </w:t>
      </w:r>
      <w:r w:rsidRPr="00BB3DD1">
        <w:rPr>
          <w:rFonts w:ascii="Arial" w:eastAsia="Times New Roman" w:hAnsi="Arial" w:cs="Arial"/>
          <w:sz w:val="24"/>
          <w:szCs w:val="24"/>
          <w:lang w:val="es-ES" w:eastAsia="es-ES"/>
        </w:rPr>
        <w:t>Módulos anuales y ratios de los diferentes niveles educativos 2026</w:t>
      </w:r>
    </w:p>
    <w:p w14:paraId="39E6B7BA"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p w14:paraId="6323269F"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p w14:paraId="568D899C"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tbl>
      <w:tblPr>
        <w:tblW w:w="13620" w:type="dxa"/>
        <w:tblCellMar>
          <w:left w:w="70" w:type="dxa"/>
          <w:right w:w="70" w:type="dxa"/>
        </w:tblCellMar>
        <w:tblLook w:val="04A0" w:firstRow="1" w:lastRow="0" w:firstColumn="1" w:lastColumn="0" w:noHBand="0" w:noVBand="1"/>
      </w:tblPr>
      <w:tblGrid>
        <w:gridCol w:w="3760"/>
        <w:gridCol w:w="847"/>
        <w:gridCol w:w="1153"/>
        <w:gridCol w:w="1200"/>
        <w:gridCol w:w="1020"/>
        <w:gridCol w:w="1200"/>
        <w:gridCol w:w="1020"/>
        <w:gridCol w:w="1200"/>
        <w:gridCol w:w="1020"/>
        <w:gridCol w:w="1200"/>
      </w:tblGrid>
      <w:tr w:rsidR="00BB3DD1" w:rsidRPr="00BB3DD1" w14:paraId="3336990A" w14:textId="77777777" w:rsidTr="00BB0DB8">
        <w:trPr>
          <w:trHeight w:val="319"/>
        </w:trPr>
        <w:tc>
          <w:tcPr>
            <w:tcW w:w="3760" w:type="dxa"/>
            <w:vMerge w:val="restart"/>
            <w:tcBorders>
              <w:top w:val="single" w:sz="4" w:space="0" w:color="auto"/>
              <w:left w:val="single" w:sz="4" w:space="0" w:color="auto"/>
              <w:bottom w:val="single" w:sz="4" w:space="0" w:color="auto"/>
              <w:right w:val="single" w:sz="4" w:space="0" w:color="auto"/>
            </w:tcBorders>
            <w:noWrap/>
            <w:vAlign w:val="center"/>
            <w:hideMark/>
          </w:tcPr>
          <w:p w14:paraId="0EE51C70" w14:textId="77777777" w:rsidR="00BB3DD1" w:rsidRPr="00BB3DD1" w:rsidRDefault="00BB3DD1" w:rsidP="00BB3DD1">
            <w:pPr>
              <w:spacing w:after="0" w:line="240" w:lineRule="auto"/>
              <w:jc w:val="both"/>
              <w:rPr>
                <w:rFonts w:ascii="Arial" w:eastAsia="Times New Roman" w:hAnsi="Arial" w:cs="Arial"/>
                <w:b/>
                <w:bCs/>
                <w:color w:val="000000"/>
                <w:sz w:val="16"/>
                <w:szCs w:val="16"/>
                <w:lang w:val="es-ES" w:eastAsia="es-ES"/>
              </w:rPr>
            </w:pPr>
            <w:r w:rsidRPr="00BB3DD1">
              <w:rPr>
                <w:rFonts w:ascii="Arial" w:eastAsia="Times New Roman" w:hAnsi="Arial" w:cs="Arial"/>
                <w:b/>
                <w:bCs/>
                <w:color w:val="000000"/>
                <w:sz w:val="16"/>
                <w:szCs w:val="16"/>
                <w:lang w:val="es-ES" w:eastAsia="es-ES"/>
              </w:rPr>
              <w:t> </w:t>
            </w:r>
          </w:p>
        </w:tc>
        <w:tc>
          <w:tcPr>
            <w:tcW w:w="2000" w:type="dxa"/>
            <w:gridSpan w:val="2"/>
            <w:tcBorders>
              <w:top w:val="single" w:sz="4" w:space="0" w:color="auto"/>
              <w:left w:val="nil"/>
              <w:bottom w:val="single" w:sz="4" w:space="0" w:color="auto"/>
              <w:right w:val="single" w:sz="4" w:space="0" w:color="auto"/>
            </w:tcBorders>
            <w:vAlign w:val="center"/>
            <w:hideMark/>
          </w:tcPr>
          <w:p w14:paraId="0680A459"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RATIO PROFESOR</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102D8B87"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SALARIOS PERSONAL</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3E4E7F6D"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647B5A14"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GASTOS VARIABLES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B3B972A"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682327A8"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OTROS GASTOS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27B54C8C"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71465BA4"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TOTAL MÓDULO</w:t>
            </w:r>
          </w:p>
        </w:tc>
      </w:tr>
      <w:tr w:rsidR="00BB3DD1" w:rsidRPr="00BB3DD1" w14:paraId="680B1FE3" w14:textId="77777777" w:rsidTr="00BB0DB8">
        <w:trPr>
          <w:trHeight w:val="319"/>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5099F537" w14:textId="77777777" w:rsidR="00BB3DD1" w:rsidRPr="00BB3DD1" w:rsidRDefault="00BB3DD1" w:rsidP="00BB3DD1">
            <w:pPr>
              <w:spacing w:after="0" w:line="240" w:lineRule="auto"/>
              <w:rPr>
                <w:rFonts w:ascii="Arial" w:eastAsia="Times New Roman" w:hAnsi="Arial" w:cs="Arial"/>
                <w:b/>
                <w:bCs/>
                <w:color w:val="000000"/>
                <w:sz w:val="16"/>
                <w:szCs w:val="16"/>
                <w:lang w:val="es-ES" w:eastAsia="es-ES"/>
              </w:rPr>
            </w:pPr>
          </w:p>
        </w:tc>
        <w:tc>
          <w:tcPr>
            <w:tcW w:w="847" w:type="dxa"/>
            <w:tcBorders>
              <w:top w:val="nil"/>
              <w:left w:val="nil"/>
              <w:bottom w:val="single" w:sz="4" w:space="0" w:color="auto"/>
              <w:right w:val="single" w:sz="4" w:space="0" w:color="auto"/>
            </w:tcBorders>
            <w:noWrap/>
            <w:vAlign w:val="center"/>
            <w:hideMark/>
          </w:tcPr>
          <w:p w14:paraId="3D611DFD"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TITULAR</w:t>
            </w:r>
          </w:p>
        </w:tc>
        <w:tc>
          <w:tcPr>
            <w:tcW w:w="1153" w:type="dxa"/>
            <w:tcBorders>
              <w:top w:val="nil"/>
              <w:left w:val="nil"/>
              <w:bottom w:val="single" w:sz="4" w:space="0" w:color="auto"/>
              <w:right w:val="single" w:sz="4" w:space="0" w:color="auto"/>
            </w:tcBorders>
            <w:noWrap/>
            <w:vAlign w:val="center"/>
            <w:hideMark/>
          </w:tcPr>
          <w:p w14:paraId="51C85909"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AGREGADO</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E0C9E37"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51E65B2"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4A301C9B"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2C62FF7"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782ADF68"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FC9A054"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1518809F"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r>
      <w:tr w:rsidR="00BB3DD1" w:rsidRPr="00BB3DD1" w14:paraId="24620479"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0DD3364A"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2º CICLO DE INFANTIL</w:t>
            </w:r>
          </w:p>
        </w:tc>
        <w:tc>
          <w:tcPr>
            <w:tcW w:w="847" w:type="dxa"/>
            <w:tcBorders>
              <w:top w:val="nil"/>
              <w:left w:val="nil"/>
              <w:bottom w:val="single" w:sz="4" w:space="0" w:color="auto"/>
              <w:right w:val="single" w:sz="4" w:space="0" w:color="auto"/>
            </w:tcBorders>
            <w:noWrap/>
            <w:vAlign w:val="center"/>
            <w:hideMark/>
          </w:tcPr>
          <w:p w14:paraId="7AD65AC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1,217</w:t>
            </w:r>
          </w:p>
        </w:tc>
        <w:tc>
          <w:tcPr>
            <w:tcW w:w="1153" w:type="dxa"/>
            <w:tcBorders>
              <w:top w:val="nil"/>
              <w:left w:val="nil"/>
              <w:bottom w:val="single" w:sz="4" w:space="0" w:color="auto"/>
              <w:right w:val="single" w:sz="4" w:space="0" w:color="auto"/>
            </w:tcBorders>
            <w:noWrap/>
            <w:vAlign w:val="center"/>
            <w:hideMark/>
          </w:tcPr>
          <w:p w14:paraId="0C661A8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44138AF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53.928,19</w:t>
            </w:r>
          </w:p>
        </w:tc>
        <w:tc>
          <w:tcPr>
            <w:tcW w:w="1020" w:type="dxa"/>
            <w:tcBorders>
              <w:top w:val="nil"/>
              <w:left w:val="nil"/>
              <w:bottom w:val="single" w:sz="4" w:space="0" w:color="auto"/>
              <w:right w:val="single" w:sz="4" w:space="0" w:color="auto"/>
            </w:tcBorders>
            <w:noWrap/>
            <w:vAlign w:val="center"/>
            <w:hideMark/>
          </w:tcPr>
          <w:p w14:paraId="3CC750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71,37</w:t>
            </w:r>
          </w:p>
        </w:tc>
        <w:tc>
          <w:tcPr>
            <w:tcW w:w="1200" w:type="dxa"/>
            <w:tcBorders>
              <w:top w:val="nil"/>
              <w:left w:val="nil"/>
              <w:bottom w:val="single" w:sz="4" w:space="0" w:color="auto"/>
              <w:right w:val="single" w:sz="4" w:space="0" w:color="auto"/>
            </w:tcBorders>
            <w:noWrap/>
            <w:vAlign w:val="center"/>
            <w:hideMark/>
          </w:tcPr>
          <w:p w14:paraId="456AA9E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9.593,18</w:t>
            </w:r>
          </w:p>
        </w:tc>
        <w:tc>
          <w:tcPr>
            <w:tcW w:w="1020" w:type="dxa"/>
            <w:tcBorders>
              <w:top w:val="nil"/>
              <w:left w:val="nil"/>
              <w:bottom w:val="single" w:sz="4" w:space="0" w:color="auto"/>
              <w:right w:val="single" w:sz="4" w:space="0" w:color="auto"/>
            </w:tcBorders>
            <w:noWrap/>
            <w:vAlign w:val="center"/>
            <w:hideMark/>
          </w:tcPr>
          <w:p w14:paraId="2805245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12,70</w:t>
            </w:r>
          </w:p>
        </w:tc>
        <w:tc>
          <w:tcPr>
            <w:tcW w:w="1200" w:type="dxa"/>
            <w:tcBorders>
              <w:top w:val="nil"/>
              <w:left w:val="nil"/>
              <w:bottom w:val="single" w:sz="4" w:space="0" w:color="auto"/>
              <w:right w:val="single" w:sz="4" w:space="0" w:color="auto"/>
            </w:tcBorders>
            <w:noWrap/>
            <w:vAlign w:val="center"/>
            <w:hideMark/>
          </w:tcPr>
          <w:p w14:paraId="684EF4A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12.039,72</w:t>
            </w:r>
          </w:p>
        </w:tc>
        <w:tc>
          <w:tcPr>
            <w:tcW w:w="1020" w:type="dxa"/>
            <w:tcBorders>
              <w:top w:val="nil"/>
              <w:left w:val="nil"/>
              <w:bottom w:val="single" w:sz="4" w:space="0" w:color="auto"/>
              <w:right w:val="single" w:sz="4" w:space="0" w:color="auto"/>
            </w:tcBorders>
            <w:noWrap/>
            <w:vAlign w:val="center"/>
            <w:hideMark/>
          </w:tcPr>
          <w:p w14:paraId="380C20C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15,93</w:t>
            </w:r>
          </w:p>
        </w:tc>
        <w:tc>
          <w:tcPr>
            <w:tcW w:w="1200" w:type="dxa"/>
            <w:tcBorders>
              <w:top w:val="nil"/>
              <w:left w:val="nil"/>
              <w:bottom w:val="single" w:sz="4" w:space="0" w:color="auto"/>
              <w:right w:val="single" w:sz="4" w:space="0" w:color="auto"/>
            </w:tcBorders>
            <w:noWrap/>
            <w:vAlign w:val="center"/>
            <w:hideMark/>
          </w:tcPr>
          <w:p w14:paraId="44524D0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75.561,09</w:t>
            </w:r>
          </w:p>
        </w:tc>
      </w:tr>
      <w:tr w:rsidR="00BB3DD1" w:rsidRPr="00BB3DD1" w14:paraId="20DDEB7D"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5F526441"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EDUCACIÓN PRIMARIA</w:t>
            </w:r>
          </w:p>
        </w:tc>
        <w:tc>
          <w:tcPr>
            <w:tcW w:w="847" w:type="dxa"/>
            <w:tcBorders>
              <w:top w:val="nil"/>
              <w:left w:val="nil"/>
              <w:bottom w:val="single" w:sz="4" w:space="0" w:color="auto"/>
              <w:right w:val="single" w:sz="4" w:space="0" w:color="auto"/>
            </w:tcBorders>
            <w:noWrap/>
            <w:vAlign w:val="center"/>
            <w:hideMark/>
          </w:tcPr>
          <w:p w14:paraId="76DD0AB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1,391</w:t>
            </w:r>
          </w:p>
        </w:tc>
        <w:tc>
          <w:tcPr>
            <w:tcW w:w="1153" w:type="dxa"/>
            <w:tcBorders>
              <w:top w:val="nil"/>
              <w:left w:val="nil"/>
              <w:bottom w:val="single" w:sz="4" w:space="0" w:color="auto"/>
              <w:right w:val="single" w:sz="4" w:space="0" w:color="auto"/>
            </w:tcBorders>
            <w:noWrap/>
            <w:vAlign w:val="center"/>
            <w:hideMark/>
          </w:tcPr>
          <w:p w14:paraId="18F03CE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535C8B6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61.638,55</w:t>
            </w:r>
          </w:p>
        </w:tc>
        <w:tc>
          <w:tcPr>
            <w:tcW w:w="1020" w:type="dxa"/>
            <w:tcBorders>
              <w:top w:val="nil"/>
              <w:left w:val="nil"/>
              <w:bottom w:val="single" w:sz="4" w:space="0" w:color="auto"/>
              <w:right w:val="single" w:sz="4" w:space="0" w:color="auto"/>
            </w:tcBorders>
            <w:noWrap/>
            <w:vAlign w:val="center"/>
            <w:hideMark/>
          </w:tcPr>
          <w:p w14:paraId="205DF94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70,48</w:t>
            </w:r>
          </w:p>
        </w:tc>
        <w:tc>
          <w:tcPr>
            <w:tcW w:w="1200" w:type="dxa"/>
            <w:tcBorders>
              <w:top w:val="nil"/>
              <w:left w:val="nil"/>
              <w:bottom w:val="single" w:sz="4" w:space="0" w:color="auto"/>
              <w:right w:val="single" w:sz="4" w:space="0" w:color="auto"/>
            </w:tcBorders>
            <w:noWrap/>
            <w:vAlign w:val="center"/>
            <w:hideMark/>
          </w:tcPr>
          <w:p w14:paraId="50316F2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13.059,73</w:t>
            </w:r>
          </w:p>
        </w:tc>
        <w:tc>
          <w:tcPr>
            <w:tcW w:w="1020" w:type="dxa"/>
            <w:tcBorders>
              <w:top w:val="nil"/>
              <w:left w:val="nil"/>
              <w:bottom w:val="single" w:sz="4" w:space="0" w:color="auto"/>
              <w:right w:val="single" w:sz="4" w:space="0" w:color="auto"/>
            </w:tcBorders>
            <w:noWrap/>
            <w:vAlign w:val="center"/>
            <w:hideMark/>
          </w:tcPr>
          <w:p w14:paraId="13826B9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14,93</w:t>
            </w:r>
          </w:p>
        </w:tc>
        <w:tc>
          <w:tcPr>
            <w:tcW w:w="1200" w:type="dxa"/>
            <w:tcBorders>
              <w:top w:val="nil"/>
              <w:left w:val="nil"/>
              <w:bottom w:val="single" w:sz="4" w:space="0" w:color="auto"/>
              <w:right w:val="single" w:sz="4" w:space="0" w:color="auto"/>
            </w:tcBorders>
            <w:noWrap/>
            <w:vAlign w:val="center"/>
            <w:hideMark/>
          </w:tcPr>
          <w:p w14:paraId="0D661E5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12.762,20</w:t>
            </w:r>
          </w:p>
        </w:tc>
        <w:tc>
          <w:tcPr>
            <w:tcW w:w="1020" w:type="dxa"/>
            <w:tcBorders>
              <w:top w:val="nil"/>
              <w:left w:val="nil"/>
              <w:bottom w:val="single" w:sz="4" w:space="0" w:color="auto"/>
              <w:right w:val="single" w:sz="4" w:space="0" w:color="auto"/>
            </w:tcBorders>
            <w:noWrap/>
            <w:vAlign w:val="center"/>
            <w:hideMark/>
          </w:tcPr>
          <w:p w14:paraId="21A739C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14,59</w:t>
            </w:r>
          </w:p>
        </w:tc>
        <w:tc>
          <w:tcPr>
            <w:tcW w:w="1200" w:type="dxa"/>
            <w:tcBorders>
              <w:top w:val="nil"/>
              <w:left w:val="nil"/>
              <w:bottom w:val="single" w:sz="4" w:space="0" w:color="auto"/>
              <w:right w:val="single" w:sz="4" w:space="0" w:color="auto"/>
            </w:tcBorders>
            <w:noWrap/>
            <w:vAlign w:val="center"/>
            <w:hideMark/>
          </w:tcPr>
          <w:p w14:paraId="275FCA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87.460,48</w:t>
            </w:r>
          </w:p>
        </w:tc>
      </w:tr>
      <w:tr w:rsidR="00BB3DD1" w:rsidRPr="00BB3DD1" w14:paraId="359ECE98"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7C9FDAC5"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E.S.O. PRIMER Y SEGUNDO CURSO</w:t>
            </w:r>
          </w:p>
        </w:tc>
        <w:tc>
          <w:tcPr>
            <w:tcW w:w="847" w:type="dxa"/>
            <w:tcBorders>
              <w:top w:val="nil"/>
              <w:left w:val="nil"/>
              <w:bottom w:val="single" w:sz="4" w:space="0" w:color="auto"/>
              <w:right w:val="single" w:sz="4" w:space="0" w:color="auto"/>
            </w:tcBorders>
            <w:noWrap/>
            <w:vAlign w:val="center"/>
            <w:hideMark/>
          </w:tcPr>
          <w:p w14:paraId="1B98B8E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1,652</w:t>
            </w:r>
          </w:p>
        </w:tc>
        <w:tc>
          <w:tcPr>
            <w:tcW w:w="1153" w:type="dxa"/>
            <w:tcBorders>
              <w:top w:val="nil"/>
              <w:left w:val="nil"/>
              <w:bottom w:val="single" w:sz="4" w:space="0" w:color="auto"/>
              <w:right w:val="single" w:sz="4" w:space="0" w:color="auto"/>
            </w:tcBorders>
            <w:noWrap/>
            <w:vAlign w:val="center"/>
            <w:hideMark/>
          </w:tcPr>
          <w:p w14:paraId="4CF9F07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2B8A3BA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77.424,52</w:t>
            </w:r>
          </w:p>
        </w:tc>
        <w:tc>
          <w:tcPr>
            <w:tcW w:w="1020" w:type="dxa"/>
            <w:tcBorders>
              <w:top w:val="nil"/>
              <w:left w:val="nil"/>
              <w:bottom w:val="single" w:sz="4" w:space="0" w:color="auto"/>
              <w:right w:val="single" w:sz="4" w:space="0" w:color="auto"/>
            </w:tcBorders>
            <w:noWrap/>
            <w:vAlign w:val="center"/>
            <w:hideMark/>
          </w:tcPr>
          <w:p w14:paraId="711F414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72,81</w:t>
            </w:r>
          </w:p>
        </w:tc>
        <w:tc>
          <w:tcPr>
            <w:tcW w:w="1200" w:type="dxa"/>
            <w:tcBorders>
              <w:top w:val="nil"/>
              <w:left w:val="nil"/>
              <w:bottom w:val="single" w:sz="4" w:space="0" w:color="auto"/>
              <w:right w:val="single" w:sz="4" w:space="0" w:color="auto"/>
            </w:tcBorders>
            <w:noWrap/>
            <w:vAlign w:val="center"/>
            <w:hideMark/>
          </w:tcPr>
          <w:p w14:paraId="5717D87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13.786,77</w:t>
            </w:r>
          </w:p>
        </w:tc>
        <w:tc>
          <w:tcPr>
            <w:tcW w:w="1020" w:type="dxa"/>
            <w:tcBorders>
              <w:top w:val="nil"/>
              <w:left w:val="nil"/>
              <w:bottom w:val="single" w:sz="4" w:space="0" w:color="auto"/>
              <w:right w:val="single" w:sz="4" w:space="0" w:color="auto"/>
            </w:tcBorders>
            <w:noWrap/>
            <w:vAlign w:val="center"/>
            <w:hideMark/>
          </w:tcPr>
          <w:p w14:paraId="48D85CB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12,97</w:t>
            </w:r>
          </w:p>
        </w:tc>
        <w:tc>
          <w:tcPr>
            <w:tcW w:w="1200" w:type="dxa"/>
            <w:tcBorders>
              <w:top w:val="nil"/>
              <w:left w:val="nil"/>
              <w:bottom w:val="single" w:sz="4" w:space="0" w:color="auto"/>
              <w:right w:val="single" w:sz="4" w:space="0" w:color="auto"/>
            </w:tcBorders>
            <w:noWrap/>
            <w:vAlign w:val="center"/>
            <w:hideMark/>
          </w:tcPr>
          <w:p w14:paraId="2F69D29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15.126,55</w:t>
            </w:r>
          </w:p>
        </w:tc>
        <w:tc>
          <w:tcPr>
            <w:tcW w:w="1020" w:type="dxa"/>
            <w:tcBorders>
              <w:top w:val="nil"/>
              <w:left w:val="nil"/>
              <w:bottom w:val="single" w:sz="4" w:space="0" w:color="auto"/>
              <w:right w:val="single" w:sz="4" w:space="0" w:color="auto"/>
            </w:tcBorders>
            <w:noWrap/>
            <w:vAlign w:val="center"/>
            <w:hideMark/>
          </w:tcPr>
          <w:p w14:paraId="09C1ADB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14,22</w:t>
            </w:r>
          </w:p>
        </w:tc>
        <w:tc>
          <w:tcPr>
            <w:tcW w:w="1200" w:type="dxa"/>
            <w:tcBorders>
              <w:top w:val="nil"/>
              <w:left w:val="nil"/>
              <w:bottom w:val="single" w:sz="4" w:space="0" w:color="auto"/>
              <w:right w:val="single" w:sz="4" w:space="0" w:color="auto"/>
            </w:tcBorders>
            <w:noWrap/>
            <w:vAlign w:val="center"/>
            <w:hideMark/>
          </w:tcPr>
          <w:p w14:paraId="6632602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106.337,84</w:t>
            </w:r>
          </w:p>
        </w:tc>
      </w:tr>
      <w:tr w:rsidR="00BB3DD1" w:rsidRPr="00BB3DD1" w14:paraId="5E6C8834"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286879AF"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E.S.O. TERCER Y CUARTO CURSO</w:t>
            </w:r>
          </w:p>
        </w:tc>
        <w:tc>
          <w:tcPr>
            <w:tcW w:w="847" w:type="dxa"/>
            <w:tcBorders>
              <w:top w:val="nil"/>
              <w:left w:val="nil"/>
              <w:bottom w:val="single" w:sz="4" w:space="0" w:color="auto"/>
              <w:right w:val="single" w:sz="4" w:space="0" w:color="auto"/>
            </w:tcBorders>
            <w:noWrap/>
            <w:vAlign w:val="center"/>
            <w:hideMark/>
          </w:tcPr>
          <w:p w14:paraId="4B10E79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1,728</w:t>
            </w:r>
          </w:p>
        </w:tc>
        <w:tc>
          <w:tcPr>
            <w:tcW w:w="1153" w:type="dxa"/>
            <w:tcBorders>
              <w:top w:val="nil"/>
              <w:left w:val="nil"/>
              <w:bottom w:val="single" w:sz="4" w:space="0" w:color="auto"/>
              <w:right w:val="single" w:sz="4" w:space="0" w:color="auto"/>
            </w:tcBorders>
            <w:noWrap/>
            <w:vAlign w:val="center"/>
            <w:hideMark/>
          </w:tcPr>
          <w:p w14:paraId="629194D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06073DF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87.993,18</w:t>
            </w:r>
          </w:p>
        </w:tc>
        <w:tc>
          <w:tcPr>
            <w:tcW w:w="1020" w:type="dxa"/>
            <w:tcBorders>
              <w:top w:val="nil"/>
              <w:left w:val="nil"/>
              <w:bottom w:val="single" w:sz="4" w:space="0" w:color="auto"/>
              <w:right w:val="single" w:sz="4" w:space="0" w:color="auto"/>
            </w:tcBorders>
            <w:noWrap/>
            <w:vAlign w:val="center"/>
            <w:hideMark/>
          </w:tcPr>
          <w:p w14:paraId="5EE1FCD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72,67</w:t>
            </w:r>
          </w:p>
        </w:tc>
        <w:tc>
          <w:tcPr>
            <w:tcW w:w="1200" w:type="dxa"/>
            <w:tcBorders>
              <w:top w:val="nil"/>
              <w:left w:val="nil"/>
              <w:bottom w:val="single" w:sz="4" w:space="0" w:color="auto"/>
              <w:right w:val="single" w:sz="4" w:space="0" w:color="auto"/>
            </w:tcBorders>
            <w:noWrap/>
            <w:vAlign w:val="center"/>
            <w:hideMark/>
          </w:tcPr>
          <w:p w14:paraId="1EAE579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16.106,67</w:t>
            </w:r>
          </w:p>
        </w:tc>
        <w:tc>
          <w:tcPr>
            <w:tcW w:w="1020" w:type="dxa"/>
            <w:tcBorders>
              <w:top w:val="nil"/>
              <w:left w:val="nil"/>
              <w:bottom w:val="single" w:sz="4" w:space="0" w:color="auto"/>
              <w:right w:val="single" w:sz="4" w:space="0" w:color="auto"/>
            </w:tcBorders>
            <w:noWrap/>
            <w:vAlign w:val="center"/>
            <w:hideMark/>
          </w:tcPr>
          <w:p w14:paraId="21641E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13,30</w:t>
            </w:r>
          </w:p>
        </w:tc>
        <w:tc>
          <w:tcPr>
            <w:tcW w:w="1200" w:type="dxa"/>
            <w:tcBorders>
              <w:top w:val="nil"/>
              <w:left w:val="nil"/>
              <w:bottom w:val="single" w:sz="4" w:space="0" w:color="auto"/>
              <w:right w:val="single" w:sz="4" w:space="0" w:color="auto"/>
            </w:tcBorders>
            <w:noWrap/>
            <w:vAlign w:val="center"/>
            <w:hideMark/>
          </w:tcPr>
          <w:p w14:paraId="18E436F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16.979,07</w:t>
            </w:r>
          </w:p>
        </w:tc>
        <w:tc>
          <w:tcPr>
            <w:tcW w:w="1020" w:type="dxa"/>
            <w:tcBorders>
              <w:top w:val="nil"/>
              <w:left w:val="nil"/>
              <w:bottom w:val="single" w:sz="4" w:space="0" w:color="auto"/>
              <w:right w:val="single" w:sz="4" w:space="0" w:color="auto"/>
            </w:tcBorders>
            <w:noWrap/>
            <w:vAlign w:val="center"/>
            <w:hideMark/>
          </w:tcPr>
          <w:p w14:paraId="061CB7C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14,02</w:t>
            </w:r>
          </w:p>
        </w:tc>
        <w:tc>
          <w:tcPr>
            <w:tcW w:w="1200" w:type="dxa"/>
            <w:tcBorders>
              <w:top w:val="nil"/>
              <w:left w:val="nil"/>
              <w:bottom w:val="single" w:sz="4" w:space="0" w:color="auto"/>
              <w:right w:val="single" w:sz="4" w:space="0" w:color="auto"/>
            </w:tcBorders>
            <w:noWrap/>
            <w:vAlign w:val="center"/>
            <w:hideMark/>
          </w:tcPr>
          <w:p w14:paraId="16C353A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121.078,92</w:t>
            </w:r>
          </w:p>
        </w:tc>
      </w:tr>
      <w:tr w:rsidR="00BB3DD1" w:rsidRPr="00BB3DD1" w14:paraId="6D431B60"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04B213A1"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E.S.O. PMAR. 2º Y 3º</w:t>
            </w:r>
          </w:p>
        </w:tc>
        <w:tc>
          <w:tcPr>
            <w:tcW w:w="847" w:type="dxa"/>
            <w:tcBorders>
              <w:top w:val="nil"/>
              <w:left w:val="nil"/>
              <w:bottom w:val="single" w:sz="4" w:space="0" w:color="auto"/>
              <w:right w:val="single" w:sz="4" w:space="0" w:color="auto"/>
            </w:tcBorders>
            <w:noWrap/>
            <w:vAlign w:val="center"/>
            <w:hideMark/>
          </w:tcPr>
          <w:p w14:paraId="3EA7A7B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1,391</w:t>
            </w:r>
          </w:p>
        </w:tc>
        <w:tc>
          <w:tcPr>
            <w:tcW w:w="1153" w:type="dxa"/>
            <w:tcBorders>
              <w:top w:val="nil"/>
              <w:left w:val="nil"/>
              <w:bottom w:val="single" w:sz="4" w:space="0" w:color="auto"/>
              <w:right w:val="single" w:sz="4" w:space="0" w:color="auto"/>
            </w:tcBorders>
            <w:noWrap/>
            <w:vAlign w:val="center"/>
            <w:hideMark/>
          </w:tcPr>
          <w:p w14:paraId="40D9A8A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792765E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70.832,47</w:t>
            </w:r>
          </w:p>
        </w:tc>
        <w:tc>
          <w:tcPr>
            <w:tcW w:w="1020" w:type="dxa"/>
            <w:tcBorders>
              <w:top w:val="nil"/>
              <w:left w:val="nil"/>
              <w:bottom w:val="single" w:sz="4" w:space="0" w:color="auto"/>
              <w:right w:val="single" w:sz="4" w:space="0" w:color="auto"/>
            </w:tcBorders>
            <w:noWrap/>
            <w:vAlign w:val="center"/>
            <w:hideMark/>
          </w:tcPr>
          <w:p w14:paraId="777D564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70,17</w:t>
            </w:r>
          </w:p>
        </w:tc>
        <w:tc>
          <w:tcPr>
            <w:tcW w:w="1200" w:type="dxa"/>
            <w:tcBorders>
              <w:top w:val="nil"/>
              <w:left w:val="nil"/>
              <w:bottom w:val="single" w:sz="4" w:space="0" w:color="auto"/>
              <w:right w:val="single" w:sz="4" w:space="0" w:color="auto"/>
            </w:tcBorders>
            <w:noWrap/>
            <w:vAlign w:val="center"/>
            <w:hideMark/>
          </w:tcPr>
          <w:p w14:paraId="1E651D9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13.134,56</w:t>
            </w:r>
          </w:p>
        </w:tc>
        <w:tc>
          <w:tcPr>
            <w:tcW w:w="1020" w:type="dxa"/>
            <w:tcBorders>
              <w:top w:val="nil"/>
              <w:left w:val="nil"/>
              <w:bottom w:val="single" w:sz="4" w:space="0" w:color="auto"/>
              <w:right w:val="single" w:sz="4" w:space="0" w:color="auto"/>
            </w:tcBorders>
            <w:noWrap/>
            <w:vAlign w:val="center"/>
            <w:hideMark/>
          </w:tcPr>
          <w:p w14:paraId="282D24A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13,01</w:t>
            </w:r>
          </w:p>
        </w:tc>
        <w:tc>
          <w:tcPr>
            <w:tcW w:w="1200" w:type="dxa"/>
            <w:tcBorders>
              <w:top w:val="nil"/>
              <w:left w:val="nil"/>
              <w:bottom w:val="single" w:sz="4" w:space="0" w:color="auto"/>
              <w:right w:val="single" w:sz="4" w:space="0" w:color="auto"/>
            </w:tcBorders>
            <w:noWrap/>
            <w:vAlign w:val="center"/>
            <w:hideMark/>
          </w:tcPr>
          <w:p w14:paraId="66E45C6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16.979,07</w:t>
            </w:r>
          </w:p>
        </w:tc>
        <w:tc>
          <w:tcPr>
            <w:tcW w:w="1020" w:type="dxa"/>
            <w:tcBorders>
              <w:top w:val="nil"/>
              <w:left w:val="nil"/>
              <w:bottom w:val="single" w:sz="4" w:space="0" w:color="auto"/>
              <w:right w:val="single" w:sz="4" w:space="0" w:color="auto"/>
            </w:tcBorders>
            <w:noWrap/>
            <w:vAlign w:val="center"/>
            <w:hideMark/>
          </w:tcPr>
          <w:p w14:paraId="61BADD8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16,82</w:t>
            </w:r>
          </w:p>
        </w:tc>
        <w:tc>
          <w:tcPr>
            <w:tcW w:w="1200" w:type="dxa"/>
            <w:tcBorders>
              <w:top w:val="nil"/>
              <w:left w:val="nil"/>
              <w:bottom w:val="single" w:sz="4" w:space="0" w:color="auto"/>
              <w:right w:val="single" w:sz="4" w:space="0" w:color="auto"/>
            </w:tcBorders>
            <w:noWrap/>
            <w:vAlign w:val="center"/>
            <w:hideMark/>
          </w:tcPr>
          <w:p w14:paraId="58D1374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100.946,10</w:t>
            </w:r>
          </w:p>
        </w:tc>
      </w:tr>
      <w:tr w:rsidR="00BB3DD1" w:rsidRPr="00BB3DD1" w14:paraId="43D8142C"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427E17A1"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E.S.O. PROGRAMA CURRICULO ADAPTADO</w:t>
            </w:r>
          </w:p>
        </w:tc>
        <w:tc>
          <w:tcPr>
            <w:tcW w:w="847" w:type="dxa"/>
            <w:tcBorders>
              <w:top w:val="nil"/>
              <w:left w:val="nil"/>
              <w:bottom w:val="single" w:sz="4" w:space="0" w:color="auto"/>
              <w:right w:val="single" w:sz="4" w:space="0" w:color="auto"/>
            </w:tcBorders>
            <w:noWrap/>
            <w:vAlign w:val="center"/>
            <w:hideMark/>
          </w:tcPr>
          <w:p w14:paraId="7A5D48B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0,957</w:t>
            </w:r>
          </w:p>
        </w:tc>
        <w:tc>
          <w:tcPr>
            <w:tcW w:w="1153" w:type="dxa"/>
            <w:tcBorders>
              <w:top w:val="nil"/>
              <w:left w:val="nil"/>
              <w:bottom w:val="single" w:sz="4" w:space="0" w:color="auto"/>
              <w:right w:val="single" w:sz="4" w:space="0" w:color="auto"/>
            </w:tcBorders>
            <w:noWrap/>
            <w:vAlign w:val="center"/>
            <w:hideMark/>
          </w:tcPr>
          <w:p w14:paraId="67BC5EE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0,652</w:t>
            </w:r>
          </w:p>
        </w:tc>
        <w:tc>
          <w:tcPr>
            <w:tcW w:w="1200" w:type="dxa"/>
            <w:tcBorders>
              <w:top w:val="nil"/>
              <w:left w:val="nil"/>
              <w:bottom w:val="single" w:sz="4" w:space="0" w:color="auto"/>
              <w:right w:val="single" w:sz="4" w:space="0" w:color="auto"/>
            </w:tcBorders>
            <w:noWrap/>
            <w:vAlign w:val="center"/>
            <w:hideMark/>
          </w:tcPr>
          <w:p w14:paraId="4092125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79.109,65</w:t>
            </w:r>
          </w:p>
        </w:tc>
        <w:tc>
          <w:tcPr>
            <w:tcW w:w="1020" w:type="dxa"/>
            <w:tcBorders>
              <w:top w:val="nil"/>
              <w:left w:val="nil"/>
              <w:bottom w:val="single" w:sz="4" w:space="0" w:color="auto"/>
              <w:right w:val="single" w:sz="4" w:space="0" w:color="auto"/>
            </w:tcBorders>
            <w:noWrap/>
            <w:vAlign w:val="center"/>
            <w:hideMark/>
          </w:tcPr>
          <w:p w14:paraId="3ED6A3E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70,89</w:t>
            </w:r>
          </w:p>
        </w:tc>
        <w:tc>
          <w:tcPr>
            <w:tcW w:w="1200" w:type="dxa"/>
            <w:tcBorders>
              <w:top w:val="nil"/>
              <w:left w:val="nil"/>
              <w:bottom w:val="single" w:sz="4" w:space="0" w:color="auto"/>
              <w:right w:val="single" w:sz="4" w:space="0" w:color="auto"/>
            </w:tcBorders>
            <w:noWrap/>
            <w:vAlign w:val="center"/>
            <w:hideMark/>
          </w:tcPr>
          <w:p w14:paraId="4B5B421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15.506,07</w:t>
            </w:r>
          </w:p>
        </w:tc>
        <w:tc>
          <w:tcPr>
            <w:tcW w:w="1020" w:type="dxa"/>
            <w:tcBorders>
              <w:top w:val="nil"/>
              <w:left w:val="nil"/>
              <w:bottom w:val="single" w:sz="4" w:space="0" w:color="auto"/>
              <w:right w:val="single" w:sz="4" w:space="0" w:color="auto"/>
            </w:tcBorders>
            <w:noWrap/>
            <w:vAlign w:val="center"/>
            <w:hideMark/>
          </w:tcPr>
          <w:p w14:paraId="07025BE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13,90</w:t>
            </w:r>
          </w:p>
        </w:tc>
        <w:tc>
          <w:tcPr>
            <w:tcW w:w="1200" w:type="dxa"/>
            <w:tcBorders>
              <w:top w:val="nil"/>
              <w:left w:val="nil"/>
              <w:bottom w:val="single" w:sz="4" w:space="0" w:color="auto"/>
              <w:right w:val="single" w:sz="4" w:space="0" w:color="auto"/>
            </w:tcBorders>
            <w:noWrap/>
            <w:vAlign w:val="center"/>
            <w:hideMark/>
          </w:tcPr>
          <w:p w14:paraId="008C323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16.979,07</w:t>
            </w:r>
          </w:p>
        </w:tc>
        <w:tc>
          <w:tcPr>
            <w:tcW w:w="1020" w:type="dxa"/>
            <w:tcBorders>
              <w:top w:val="nil"/>
              <w:left w:val="nil"/>
              <w:bottom w:val="single" w:sz="4" w:space="0" w:color="auto"/>
              <w:right w:val="single" w:sz="4" w:space="0" w:color="auto"/>
            </w:tcBorders>
            <w:noWrap/>
            <w:vAlign w:val="center"/>
            <w:hideMark/>
          </w:tcPr>
          <w:p w14:paraId="1D70240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15,21</w:t>
            </w:r>
          </w:p>
        </w:tc>
        <w:tc>
          <w:tcPr>
            <w:tcW w:w="1200" w:type="dxa"/>
            <w:tcBorders>
              <w:top w:val="nil"/>
              <w:left w:val="nil"/>
              <w:bottom w:val="single" w:sz="4" w:space="0" w:color="auto"/>
              <w:right w:val="single" w:sz="4" w:space="0" w:color="auto"/>
            </w:tcBorders>
            <w:noWrap/>
            <w:vAlign w:val="center"/>
            <w:hideMark/>
          </w:tcPr>
          <w:p w14:paraId="7223008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111.594,79</w:t>
            </w:r>
          </w:p>
        </w:tc>
      </w:tr>
      <w:tr w:rsidR="00BB3DD1" w:rsidRPr="00BB3DD1" w14:paraId="48794627"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538AA50A"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BACHILLERATO</w:t>
            </w:r>
          </w:p>
        </w:tc>
        <w:tc>
          <w:tcPr>
            <w:tcW w:w="847" w:type="dxa"/>
            <w:tcBorders>
              <w:top w:val="nil"/>
              <w:left w:val="nil"/>
              <w:bottom w:val="single" w:sz="4" w:space="0" w:color="auto"/>
              <w:right w:val="single" w:sz="4" w:space="0" w:color="auto"/>
            </w:tcBorders>
            <w:noWrap/>
            <w:vAlign w:val="center"/>
            <w:hideMark/>
          </w:tcPr>
          <w:p w14:paraId="08EA4E4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1,652</w:t>
            </w:r>
          </w:p>
        </w:tc>
        <w:tc>
          <w:tcPr>
            <w:tcW w:w="1153" w:type="dxa"/>
            <w:tcBorders>
              <w:top w:val="nil"/>
              <w:left w:val="nil"/>
              <w:bottom w:val="single" w:sz="4" w:space="0" w:color="auto"/>
              <w:right w:val="single" w:sz="4" w:space="0" w:color="auto"/>
            </w:tcBorders>
            <w:noWrap/>
            <w:vAlign w:val="center"/>
            <w:hideMark/>
          </w:tcPr>
          <w:p w14:paraId="1FCA6F0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341273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84.123,11</w:t>
            </w:r>
          </w:p>
        </w:tc>
        <w:tc>
          <w:tcPr>
            <w:tcW w:w="1020" w:type="dxa"/>
            <w:tcBorders>
              <w:top w:val="nil"/>
              <w:left w:val="nil"/>
              <w:bottom w:val="single" w:sz="4" w:space="0" w:color="auto"/>
              <w:right w:val="single" w:sz="4" w:space="0" w:color="auto"/>
            </w:tcBorders>
            <w:noWrap/>
            <w:vAlign w:val="center"/>
            <w:hideMark/>
          </w:tcPr>
          <w:p w14:paraId="42DE324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70,95</w:t>
            </w:r>
          </w:p>
        </w:tc>
        <w:tc>
          <w:tcPr>
            <w:tcW w:w="1200" w:type="dxa"/>
            <w:tcBorders>
              <w:top w:val="nil"/>
              <w:left w:val="nil"/>
              <w:bottom w:val="single" w:sz="4" w:space="0" w:color="auto"/>
              <w:right w:val="single" w:sz="4" w:space="0" w:color="auto"/>
            </w:tcBorders>
            <w:noWrap/>
            <w:vAlign w:val="center"/>
            <w:hideMark/>
          </w:tcPr>
          <w:p w14:paraId="613CB2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17.466,38</w:t>
            </w:r>
          </w:p>
        </w:tc>
        <w:tc>
          <w:tcPr>
            <w:tcW w:w="1020" w:type="dxa"/>
            <w:tcBorders>
              <w:top w:val="nil"/>
              <w:left w:val="nil"/>
              <w:bottom w:val="single" w:sz="4" w:space="0" w:color="auto"/>
              <w:right w:val="single" w:sz="4" w:space="0" w:color="auto"/>
            </w:tcBorders>
            <w:noWrap/>
            <w:vAlign w:val="center"/>
            <w:hideMark/>
          </w:tcPr>
          <w:p w14:paraId="7091174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14,73</w:t>
            </w:r>
          </w:p>
        </w:tc>
        <w:tc>
          <w:tcPr>
            <w:tcW w:w="1200" w:type="dxa"/>
            <w:tcBorders>
              <w:top w:val="nil"/>
              <w:left w:val="nil"/>
              <w:bottom w:val="single" w:sz="4" w:space="0" w:color="auto"/>
              <w:right w:val="single" w:sz="4" w:space="0" w:color="auto"/>
            </w:tcBorders>
            <w:noWrap/>
            <w:vAlign w:val="center"/>
            <w:hideMark/>
          </w:tcPr>
          <w:p w14:paraId="0935E5F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16.979,07</w:t>
            </w:r>
          </w:p>
        </w:tc>
        <w:tc>
          <w:tcPr>
            <w:tcW w:w="1020" w:type="dxa"/>
            <w:tcBorders>
              <w:top w:val="nil"/>
              <w:left w:val="nil"/>
              <w:bottom w:val="single" w:sz="4" w:space="0" w:color="auto"/>
              <w:right w:val="single" w:sz="4" w:space="0" w:color="auto"/>
            </w:tcBorders>
            <w:noWrap/>
            <w:vAlign w:val="center"/>
            <w:hideMark/>
          </w:tcPr>
          <w:p w14:paraId="73C3136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14,32</w:t>
            </w:r>
          </w:p>
        </w:tc>
        <w:tc>
          <w:tcPr>
            <w:tcW w:w="1200" w:type="dxa"/>
            <w:tcBorders>
              <w:top w:val="nil"/>
              <w:left w:val="nil"/>
              <w:bottom w:val="single" w:sz="4" w:space="0" w:color="auto"/>
              <w:right w:val="single" w:sz="4" w:space="0" w:color="auto"/>
            </w:tcBorders>
            <w:noWrap/>
            <w:vAlign w:val="center"/>
            <w:hideMark/>
          </w:tcPr>
          <w:p w14:paraId="1DCC7A3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118.568,56</w:t>
            </w:r>
          </w:p>
        </w:tc>
      </w:tr>
    </w:tbl>
    <w:p w14:paraId="6F852C84"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p w14:paraId="6309C8CD"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p w14:paraId="09693C43"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tbl>
      <w:tblPr>
        <w:tblW w:w="15840" w:type="dxa"/>
        <w:tblCellMar>
          <w:left w:w="70" w:type="dxa"/>
          <w:right w:w="70" w:type="dxa"/>
        </w:tblCellMar>
        <w:tblLook w:val="04A0" w:firstRow="1" w:lastRow="0" w:firstColumn="1" w:lastColumn="0" w:noHBand="0" w:noVBand="1"/>
      </w:tblPr>
      <w:tblGrid>
        <w:gridCol w:w="3760"/>
        <w:gridCol w:w="847"/>
        <w:gridCol w:w="1153"/>
        <w:gridCol w:w="1200"/>
        <w:gridCol w:w="1020"/>
        <w:gridCol w:w="1200"/>
        <w:gridCol w:w="1020"/>
        <w:gridCol w:w="1200"/>
        <w:gridCol w:w="1020"/>
        <w:gridCol w:w="1216"/>
        <w:gridCol w:w="1020"/>
        <w:gridCol w:w="1200"/>
      </w:tblGrid>
      <w:tr w:rsidR="00BB3DD1" w:rsidRPr="00BB3DD1" w14:paraId="54A3393C" w14:textId="77777777" w:rsidTr="00BB0DB8">
        <w:trPr>
          <w:trHeight w:val="319"/>
        </w:trPr>
        <w:tc>
          <w:tcPr>
            <w:tcW w:w="3760" w:type="dxa"/>
            <w:vMerge w:val="restart"/>
            <w:tcBorders>
              <w:top w:val="single" w:sz="4" w:space="0" w:color="auto"/>
              <w:left w:val="single" w:sz="4" w:space="0" w:color="auto"/>
              <w:bottom w:val="single" w:sz="4" w:space="0" w:color="auto"/>
              <w:right w:val="single" w:sz="4" w:space="0" w:color="auto"/>
            </w:tcBorders>
            <w:noWrap/>
            <w:vAlign w:val="center"/>
            <w:hideMark/>
          </w:tcPr>
          <w:p w14:paraId="25399D60" w14:textId="77777777" w:rsidR="00BB3DD1" w:rsidRPr="00BB3DD1" w:rsidRDefault="00BB3DD1" w:rsidP="00BB3DD1">
            <w:pPr>
              <w:spacing w:after="0" w:line="240" w:lineRule="auto"/>
              <w:jc w:val="both"/>
              <w:rPr>
                <w:rFonts w:ascii="Arial" w:eastAsia="Times New Roman" w:hAnsi="Arial" w:cs="Arial"/>
                <w:b/>
                <w:bCs/>
                <w:color w:val="000000"/>
                <w:sz w:val="16"/>
                <w:szCs w:val="16"/>
                <w:lang w:val="es-ES" w:eastAsia="es-ES"/>
              </w:rPr>
            </w:pPr>
            <w:r w:rsidRPr="00BB3DD1">
              <w:rPr>
                <w:rFonts w:ascii="Arial" w:eastAsia="Times New Roman" w:hAnsi="Arial" w:cs="Arial"/>
                <w:b/>
                <w:bCs/>
                <w:color w:val="000000"/>
                <w:sz w:val="16"/>
                <w:szCs w:val="16"/>
                <w:lang w:val="es-ES" w:eastAsia="es-ES"/>
              </w:rPr>
              <w:t> </w:t>
            </w:r>
          </w:p>
        </w:tc>
        <w:tc>
          <w:tcPr>
            <w:tcW w:w="2000" w:type="dxa"/>
            <w:gridSpan w:val="2"/>
            <w:tcBorders>
              <w:top w:val="single" w:sz="4" w:space="0" w:color="auto"/>
              <w:left w:val="nil"/>
              <w:bottom w:val="single" w:sz="4" w:space="0" w:color="auto"/>
              <w:right w:val="single" w:sz="4" w:space="0" w:color="auto"/>
            </w:tcBorders>
            <w:vAlign w:val="center"/>
            <w:hideMark/>
          </w:tcPr>
          <w:p w14:paraId="2E5726D8"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RATIO PROFESOR</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607A046F"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SALARIOS PERSONAL</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4408F99B"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275C7CA3"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GASTOS VARIABLES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22263E13"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 </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302835F8"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OTROS GASTOS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1AB477C"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72E21219"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PERSONAL Y GASTOS ESPECÍFICOS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65DD2FCF"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717FF33C"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TOTAL MÓDULO</w:t>
            </w:r>
          </w:p>
        </w:tc>
      </w:tr>
      <w:tr w:rsidR="00BB3DD1" w:rsidRPr="00BB3DD1" w14:paraId="570FE96C" w14:textId="77777777" w:rsidTr="00BB0DB8">
        <w:trPr>
          <w:trHeight w:val="319"/>
        </w:trPr>
        <w:tc>
          <w:tcPr>
            <w:tcW w:w="3760" w:type="dxa"/>
            <w:vMerge/>
            <w:tcBorders>
              <w:top w:val="single" w:sz="4" w:space="0" w:color="auto"/>
              <w:left w:val="single" w:sz="4" w:space="0" w:color="auto"/>
              <w:bottom w:val="single" w:sz="4" w:space="0" w:color="auto"/>
              <w:right w:val="single" w:sz="4" w:space="0" w:color="auto"/>
            </w:tcBorders>
            <w:vAlign w:val="center"/>
            <w:hideMark/>
          </w:tcPr>
          <w:p w14:paraId="14D79721" w14:textId="77777777" w:rsidR="00BB3DD1" w:rsidRPr="00BB3DD1" w:rsidRDefault="00BB3DD1" w:rsidP="00BB3DD1">
            <w:pPr>
              <w:spacing w:after="0" w:line="240" w:lineRule="auto"/>
              <w:rPr>
                <w:rFonts w:ascii="Arial" w:eastAsia="Times New Roman" w:hAnsi="Arial" w:cs="Arial"/>
                <w:b/>
                <w:bCs/>
                <w:color w:val="000000"/>
                <w:sz w:val="16"/>
                <w:szCs w:val="16"/>
                <w:lang w:val="es-ES" w:eastAsia="es-ES"/>
              </w:rPr>
            </w:pPr>
          </w:p>
        </w:tc>
        <w:tc>
          <w:tcPr>
            <w:tcW w:w="847" w:type="dxa"/>
            <w:tcBorders>
              <w:top w:val="nil"/>
              <w:left w:val="nil"/>
              <w:bottom w:val="single" w:sz="4" w:space="0" w:color="auto"/>
              <w:right w:val="single" w:sz="4" w:space="0" w:color="auto"/>
            </w:tcBorders>
            <w:noWrap/>
            <w:vAlign w:val="center"/>
            <w:hideMark/>
          </w:tcPr>
          <w:p w14:paraId="2DCD88C8"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TITULAR</w:t>
            </w:r>
          </w:p>
        </w:tc>
        <w:tc>
          <w:tcPr>
            <w:tcW w:w="1153" w:type="dxa"/>
            <w:tcBorders>
              <w:top w:val="nil"/>
              <w:left w:val="nil"/>
              <w:bottom w:val="single" w:sz="4" w:space="0" w:color="auto"/>
              <w:right w:val="single" w:sz="4" w:space="0" w:color="auto"/>
            </w:tcBorders>
            <w:noWrap/>
            <w:vAlign w:val="center"/>
            <w:hideMark/>
          </w:tcPr>
          <w:p w14:paraId="4105388C"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AGREGADO</w:t>
            </w: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0572F2D"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BB97C6F"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5E772D0"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B2C582D"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F3F7C2F"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18BD5A4"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3C8FC1C1"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208E665"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A7BB65D"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r>
      <w:tr w:rsidR="00BB3DD1" w:rsidRPr="00BB3DD1" w14:paraId="541EB916"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187AB3B2"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ED. ESPECIAL E.B.O. 1</w:t>
            </w:r>
          </w:p>
        </w:tc>
        <w:tc>
          <w:tcPr>
            <w:tcW w:w="847" w:type="dxa"/>
            <w:tcBorders>
              <w:top w:val="nil"/>
              <w:left w:val="nil"/>
              <w:bottom w:val="single" w:sz="4" w:space="0" w:color="auto"/>
              <w:right w:val="single" w:sz="4" w:space="0" w:color="auto"/>
            </w:tcBorders>
            <w:noWrap/>
            <w:vAlign w:val="center"/>
            <w:hideMark/>
          </w:tcPr>
          <w:p w14:paraId="364C76E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1,087</w:t>
            </w:r>
          </w:p>
        </w:tc>
        <w:tc>
          <w:tcPr>
            <w:tcW w:w="1153" w:type="dxa"/>
            <w:tcBorders>
              <w:top w:val="nil"/>
              <w:left w:val="nil"/>
              <w:bottom w:val="single" w:sz="4" w:space="0" w:color="auto"/>
              <w:right w:val="single" w:sz="4" w:space="0" w:color="auto"/>
            </w:tcBorders>
            <w:noWrap/>
            <w:vAlign w:val="center"/>
            <w:hideMark/>
          </w:tcPr>
          <w:p w14:paraId="2E79469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7D95F92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48.167,58</w:t>
            </w:r>
          </w:p>
        </w:tc>
        <w:tc>
          <w:tcPr>
            <w:tcW w:w="1020" w:type="dxa"/>
            <w:tcBorders>
              <w:top w:val="nil"/>
              <w:left w:val="nil"/>
              <w:bottom w:val="single" w:sz="4" w:space="0" w:color="auto"/>
              <w:right w:val="single" w:sz="4" w:space="0" w:color="auto"/>
            </w:tcBorders>
            <w:noWrap/>
            <w:vAlign w:val="center"/>
            <w:hideMark/>
          </w:tcPr>
          <w:p w14:paraId="7D8529E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43,71</w:t>
            </w:r>
          </w:p>
        </w:tc>
        <w:tc>
          <w:tcPr>
            <w:tcW w:w="1200" w:type="dxa"/>
            <w:tcBorders>
              <w:top w:val="nil"/>
              <w:left w:val="nil"/>
              <w:bottom w:val="single" w:sz="4" w:space="0" w:color="auto"/>
              <w:right w:val="single" w:sz="4" w:space="0" w:color="auto"/>
            </w:tcBorders>
            <w:noWrap/>
            <w:vAlign w:val="center"/>
            <w:hideMark/>
          </w:tcPr>
          <w:p w14:paraId="78A4AAB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8.398,72</w:t>
            </w:r>
          </w:p>
        </w:tc>
        <w:tc>
          <w:tcPr>
            <w:tcW w:w="1020" w:type="dxa"/>
            <w:tcBorders>
              <w:top w:val="nil"/>
              <w:left w:val="nil"/>
              <w:bottom w:val="single" w:sz="4" w:space="0" w:color="auto"/>
              <w:right w:val="single" w:sz="4" w:space="0" w:color="auto"/>
            </w:tcBorders>
            <w:noWrap/>
            <w:vAlign w:val="center"/>
            <w:hideMark/>
          </w:tcPr>
          <w:p w14:paraId="6036838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7,62</w:t>
            </w:r>
          </w:p>
        </w:tc>
        <w:tc>
          <w:tcPr>
            <w:tcW w:w="1200" w:type="dxa"/>
            <w:tcBorders>
              <w:top w:val="nil"/>
              <w:left w:val="nil"/>
              <w:bottom w:val="single" w:sz="4" w:space="0" w:color="auto"/>
              <w:right w:val="single" w:sz="4" w:space="0" w:color="auto"/>
            </w:tcBorders>
            <w:noWrap/>
            <w:vAlign w:val="center"/>
            <w:hideMark/>
          </w:tcPr>
          <w:p w14:paraId="265FAEE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12.762,20</w:t>
            </w:r>
          </w:p>
        </w:tc>
        <w:tc>
          <w:tcPr>
            <w:tcW w:w="1020" w:type="dxa"/>
            <w:tcBorders>
              <w:top w:val="nil"/>
              <w:left w:val="nil"/>
              <w:bottom w:val="single" w:sz="4" w:space="0" w:color="auto"/>
              <w:right w:val="single" w:sz="4" w:space="0" w:color="auto"/>
            </w:tcBorders>
            <w:noWrap/>
            <w:vAlign w:val="center"/>
            <w:hideMark/>
          </w:tcPr>
          <w:p w14:paraId="3FC683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11,58</w:t>
            </w:r>
          </w:p>
        </w:tc>
        <w:tc>
          <w:tcPr>
            <w:tcW w:w="1200" w:type="dxa"/>
            <w:tcBorders>
              <w:top w:val="nil"/>
              <w:left w:val="nil"/>
              <w:bottom w:val="single" w:sz="4" w:space="0" w:color="auto"/>
              <w:right w:val="single" w:sz="4" w:space="0" w:color="auto"/>
            </w:tcBorders>
            <w:noWrap/>
            <w:vAlign w:val="center"/>
            <w:hideMark/>
          </w:tcPr>
          <w:p w14:paraId="3DAAEC7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40.858,35</w:t>
            </w:r>
          </w:p>
        </w:tc>
        <w:tc>
          <w:tcPr>
            <w:tcW w:w="1020" w:type="dxa"/>
            <w:tcBorders>
              <w:top w:val="nil"/>
              <w:left w:val="nil"/>
              <w:bottom w:val="single" w:sz="4" w:space="0" w:color="auto"/>
              <w:right w:val="single" w:sz="4" w:space="0" w:color="auto"/>
            </w:tcBorders>
            <w:noWrap/>
            <w:vAlign w:val="center"/>
            <w:hideMark/>
          </w:tcPr>
          <w:p w14:paraId="613D7A7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37,08</w:t>
            </w:r>
          </w:p>
        </w:tc>
        <w:tc>
          <w:tcPr>
            <w:tcW w:w="1200" w:type="dxa"/>
            <w:tcBorders>
              <w:top w:val="nil"/>
              <w:left w:val="nil"/>
              <w:bottom w:val="single" w:sz="4" w:space="0" w:color="auto"/>
              <w:right w:val="single" w:sz="4" w:space="0" w:color="auto"/>
            </w:tcBorders>
            <w:noWrap/>
            <w:vAlign w:val="center"/>
            <w:hideMark/>
          </w:tcPr>
          <w:p w14:paraId="0E90627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110.186,85</w:t>
            </w:r>
          </w:p>
        </w:tc>
      </w:tr>
      <w:tr w:rsidR="00BB3DD1" w:rsidRPr="00BB3DD1" w14:paraId="36B60DC9"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39AF67DF"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Estructuras Específicas (Primaria)</w:t>
            </w:r>
          </w:p>
        </w:tc>
        <w:tc>
          <w:tcPr>
            <w:tcW w:w="847" w:type="dxa"/>
            <w:tcBorders>
              <w:top w:val="nil"/>
              <w:left w:val="nil"/>
              <w:bottom w:val="single" w:sz="4" w:space="0" w:color="auto"/>
              <w:right w:val="single" w:sz="4" w:space="0" w:color="auto"/>
            </w:tcBorders>
            <w:noWrap/>
            <w:vAlign w:val="center"/>
            <w:hideMark/>
          </w:tcPr>
          <w:p w14:paraId="1930988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1,087</w:t>
            </w:r>
          </w:p>
        </w:tc>
        <w:tc>
          <w:tcPr>
            <w:tcW w:w="1153" w:type="dxa"/>
            <w:tcBorders>
              <w:top w:val="nil"/>
              <w:left w:val="nil"/>
              <w:bottom w:val="single" w:sz="4" w:space="0" w:color="auto"/>
              <w:right w:val="single" w:sz="4" w:space="0" w:color="auto"/>
            </w:tcBorders>
            <w:noWrap/>
            <w:vAlign w:val="center"/>
            <w:hideMark/>
          </w:tcPr>
          <w:p w14:paraId="7859181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0CFDED0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48.167,58</w:t>
            </w:r>
          </w:p>
        </w:tc>
        <w:tc>
          <w:tcPr>
            <w:tcW w:w="1020" w:type="dxa"/>
            <w:tcBorders>
              <w:top w:val="nil"/>
              <w:left w:val="nil"/>
              <w:bottom w:val="single" w:sz="4" w:space="0" w:color="auto"/>
              <w:right w:val="single" w:sz="4" w:space="0" w:color="auto"/>
            </w:tcBorders>
            <w:noWrap/>
            <w:vAlign w:val="center"/>
            <w:hideMark/>
          </w:tcPr>
          <w:p w14:paraId="047B8BF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47,33</w:t>
            </w:r>
          </w:p>
        </w:tc>
        <w:tc>
          <w:tcPr>
            <w:tcW w:w="1200" w:type="dxa"/>
            <w:tcBorders>
              <w:top w:val="nil"/>
              <w:left w:val="nil"/>
              <w:bottom w:val="single" w:sz="4" w:space="0" w:color="auto"/>
              <w:right w:val="single" w:sz="4" w:space="0" w:color="auto"/>
            </w:tcBorders>
            <w:noWrap/>
            <w:vAlign w:val="center"/>
            <w:hideMark/>
          </w:tcPr>
          <w:p w14:paraId="12B4B1A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8.398,72</w:t>
            </w:r>
          </w:p>
        </w:tc>
        <w:tc>
          <w:tcPr>
            <w:tcW w:w="1020" w:type="dxa"/>
            <w:tcBorders>
              <w:top w:val="nil"/>
              <w:left w:val="nil"/>
              <w:bottom w:val="single" w:sz="4" w:space="0" w:color="auto"/>
              <w:right w:val="single" w:sz="4" w:space="0" w:color="auto"/>
            </w:tcBorders>
            <w:noWrap/>
            <w:vAlign w:val="center"/>
            <w:hideMark/>
          </w:tcPr>
          <w:p w14:paraId="391065B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8,25</w:t>
            </w:r>
          </w:p>
        </w:tc>
        <w:tc>
          <w:tcPr>
            <w:tcW w:w="1200" w:type="dxa"/>
            <w:tcBorders>
              <w:top w:val="nil"/>
              <w:left w:val="nil"/>
              <w:bottom w:val="single" w:sz="4" w:space="0" w:color="auto"/>
              <w:right w:val="single" w:sz="4" w:space="0" w:color="auto"/>
            </w:tcBorders>
            <w:noWrap/>
            <w:vAlign w:val="center"/>
            <w:hideMark/>
          </w:tcPr>
          <w:p w14:paraId="451A84E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12.762,20</w:t>
            </w:r>
          </w:p>
        </w:tc>
        <w:tc>
          <w:tcPr>
            <w:tcW w:w="1020" w:type="dxa"/>
            <w:tcBorders>
              <w:top w:val="nil"/>
              <w:left w:val="nil"/>
              <w:bottom w:val="single" w:sz="4" w:space="0" w:color="auto"/>
              <w:right w:val="single" w:sz="4" w:space="0" w:color="auto"/>
            </w:tcBorders>
            <w:noWrap/>
            <w:vAlign w:val="center"/>
            <w:hideMark/>
          </w:tcPr>
          <w:p w14:paraId="25697BF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12,54</w:t>
            </w:r>
          </w:p>
        </w:tc>
        <w:tc>
          <w:tcPr>
            <w:tcW w:w="1200" w:type="dxa"/>
            <w:tcBorders>
              <w:top w:val="nil"/>
              <w:left w:val="nil"/>
              <w:bottom w:val="single" w:sz="4" w:space="0" w:color="auto"/>
              <w:right w:val="single" w:sz="4" w:space="0" w:color="auto"/>
            </w:tcBorders>
            <w:noWrap/>
            <w:vAlign w:val="center"/>
            <w:hideMark/>
          </w:tcPr>
          <w:p w14:paraId="5AC4A73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32.441,31</w:t>
            </w:r>
          </w:p>
        </w:tc>
        <w:tc>
          <w:tcPr>
            <w:tcW w:w="1020" w:type="dxa"/>
            <w:tcBorders>
              <w:top w:val="nil"/>
              <w:left w:val="nil"/>
              <w:bottom w:val="single" w:sz="4" w:space="0" w:color="auto"/>
              <w:right w:val="single" w:sz="4" w:space="0" w:color="auto"/>
            </w:tcBorders>
            <w:noWrap/>
            <w:vAlign w:val="center"/>
            <w:hideMark/>
          </w:tcPr>
          <w:p w14:paraId="454FBA9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31,88</w:t>
            </w:r>
          </w:p>
        </w:tc>
        <w:tc>
          <w:tcPr>
            <w:tcW w:w="1200" w:type="dxa"/>
            <w:tcBorders>
              <w:top w:val="nil"/>
              <w:left w:val="nil"/>
              <w:bottom w:val="single" w:sz="4" w:space="0" w:color="auto"/>
              <w:right w:val="single" w:sz="4" w:space="0" w:color="auto"/>
            </w:tcBorders>
            <w:noWrap/>
            <w:vAlign w:val="center"/>
            <w:hideMark/>
          </w:tcPr>
          <w:p w14:paraId="1EB5923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101.769,81</w:t>
            </w:r>
          </w:p>
        </w:tc>
      </w:tr>
      <w:tr w:rsidR="00BB3DD1" w:rsidRPr="00BB3DD1" w14:paraId="53B8CC7B"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013BA367"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ED. ESPECIAL E.B.O. 2</w:t>
            </w:r>
          </w:p>
        </w:tc>
        <w:tc>
          <w:tcPr>
            <w:tcW w:w="847" w:type="dxa"/>
            <w:tcBorders>
              <w:top w:val="nil"/>
              <w:left w:val="nil"/>
              <w:bottom w:val="single" w:sz="4" w:space="0" w:color="auto"/>
              <w:right w:val="single" w:sz="4" w:space="0" w:color="auto"/>
            </w:tcBorders>
            <w:noWrap/>
            <w:vAlign w:val="center"/>
            <w:hideMark/>
          </w:tcPr>
          <w:p w14:paraId="67F84F8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1,391</w:t>
            </w:r>
          </w:p>
        </w:tc>
        <w:tc>
          <w:tcPr>
            <w:tcW w:w="1153" w:type="dxa"/>
            <w:tcBorders>
              <w:top w:val="nil"/>
              <w:left w:val="nil"/>
              <w:bottom w:val="single" w:sz="4" w:space="0" w:color="auto"/>
              <w:right w:val="single" w:sz="4" w:space="0" w:color="auto"/>
            </w:tcBorders>
            <w:noWrap/>
            <w:vAlign w:val="center"/>
            <w:hideMark/>
          </w:tcPr>
          <w:p w14:paraId="3C10C9B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6B1729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61.638,55</w:t>
            </w:r>
          </w:p>
        </w:tc>
        <w:tc>
          <w:tcPr>
            <w:tcW w:w="1020" w:type="dxa"/>
            <w:tcBorders>
              <w:top w:val="nil"/>
              <w:left w:val="nil"/>
              <w:bottom w:val="single" w:sz="4" w:space="0" w:color="auto"/>
              <w:right w:val="single" w:sz="4" w:space="0" w:color="auto"/>
            </w:tcBorders>
            <w:noWrap/>
            <w:vAlign w:val="center"/>
            <w:hideMark/>
          </w:tcPr>
          <w:p w14:paraId="729575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47,17</w:t>
            </w:r>
          </w:p>
        </w:tc>
        <w:tc>
          <w:tcPr>
            <w:tcW w:w="1200" w:type="dxa"/>
            <w:tcBorders>
              <w:top w:val="nil"/>
              <w:left w:val="nil"/>
              <w:bottom w:val="single" w:sz="4" w:space="0" w:color="auto"/>
              <w:right w:val="single" w:sz="4" w:space="0" w:color="auto"/>
            </w:tcBorders>
            <w:noWrap/>
            <w:vAlign w:val="center"/>
            <w:hideMark/>
          </w:tcPr>
          <w:p w14:paraId="6AC2061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8.380,02</w:t>
            </w:r>
          </w:p>
        </w:tc>
        <w:tc>
          <w:tcPr>
            <w:tcW w:w="1020" w:type="dxa"/>
            <w:tcBorders>
              <w:top w:val="nil"/>
              <w:left w:val="nil"/>
              <w:bottom w:val="single" w:sz="4" w:space="0" w:color="auto"/>
              <w:right w:val="single" w:sz="4" w:space="0" w:color="auto"/>
            </w:tcBorders>
            <w:noWrap/>
            <w:vAlign w:val="center"/>
            <w:hideMark/>
          </w:tcPr>
          <w:p w14:paraId="307017E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6,41</w:t>
            </w:r>
          </w:p>
        </w:tc>
        <w:tc>
          <w:tcPr>
            <w:tcW w:w="1200" w:type="dxa"/>
            <w:tcBorders>
              <w:top w:val="nil"/>
              <w:left w:val="nil"/>
              <w:bottom w:val="single" w:sz="4" w:space="0" w:color="auto"/>
              <w:right w:val="single" w:sz="4" w:space="0" w:color="auto"/>
            </w:tcBorders>
            <w:noWrap/>
            <w:vAlign w:val="center"/>
            <w:hideMark/>
          </w:tcPr>
          <w:p w14:paraId="57514B8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12.762,20</w:t>
            </w:r>
          </w:p>
        </w:tc>
        <w:tc>
          <w:tcPr>
            <w:tcW w:w="1020" w:type="dxa"/>
            <w:tcBorders>
              <w:top w:val="nil"/>
              <w:left w:val="nil"/>
              <w:bottom w:val="single" w:sz="4" w:space="0" w:color="auto"/>
              <w:right w:val="single" w:sz="4" w:space="0" w:color="auto"/>
            </w:tcBorders>
            <w:noWrap/>
            <w:vAlign w:val="center"/>
            <w:hideMark/>
          </w:tcPr>
          <w:p w14:paraId="64CAB79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9,77</w:t>
            </w:r>
          </w:p>
        </w:tc>
        <w:tc>
          <w:tcPr>
            <w:tcW w:w="1200" w:type="dxa"/>
            <w:tcBorders>
              <w:top w:val="nil"/>
              <w:left w:val="nil"/>
              <w:bottom w:val="single" w:sz="4" w:space="0" w:color="auto"/>
              <w:right w:val="single" w:sz="4" w:space="0" w:color="auto"/>
            </w:tcBorders>
            <w:noWrap/>
            <w:vAlign w:val="center"/>
            <w:hideMark/>
          </w:tcPr>
          <w:p w14:paraId="4FF1A48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47.897,51</w:t>
            </w:r>
          </w:p>
        </w:tc>
        <w:tc>
          <w:tcPr>
            <w:tcW w:w="1020" w:type="dxa"/>
            <w:tcBorders>
              <w:top w:val="nil"/>
              <w:left w:val="nil"/>
              <w:bottom w:val="single" w:sz="4" w:space="0" w:color="auto"/>
              <w:right w:val="single" w:sz="4" w:space="0" w:color="auto"/>
            </w:tcBorders>
            <w:noWrap/>
            <w:vAlign w:val="center"/>
            <w:hideMark/>
          </w:tcPr>
          <w:p w14:paraId="04426B6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36,65</w:t>
            </w:r>
          </w:p>
        </w:tc>
        <w:tc>
          <w:tcPr>
            <w:tcW w:w="1200" w:type="dxa"/>
            <w:tcBorders>
              <w:top w:val="nil"/>
              <w:left w:val="nil"/>
              <w:bottom w:val="single" w:sz="4" w:space="0" w:color="auto"/>
              <w:right w:val="single" w:sz="4" w:space="0" w:color="auto"/>
            </w:tcBorders>
            <w:noWrap/>
            <w:vAlign w:val="center"/>
            <w:hideMark/>
          </w:tcPr>
          <w:p w14:paraId="031EE80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130.678,28</w:t>
            </w:r>
          </w:p>
        </w:tc>
      </w:tr>
      <w:tr w:rsidR="00BB3DD1" w:rsidRPr="00BB3DD1" w14:paraId="4E8A443B"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73896665"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Estructuras Específicas (Secundaria)</w:t>
            </w:r>
          </w:p>
        </w:tc>
        <w:tc>
          <w:tcPr>
            <w:tcW w:w="847" w:type="dxa"/>
            <w:tcBorders>
              <w:top w:val="nil"/>
              <w:left w:val="nil"/>
              <w:bottom w:val="single" w:sz="4" w:space="0" w:color="auto"/>
              <w:right w:val="single" w:sz="4" w:space="0" w:color="auto"/>
            </w:tcBorders>
            <w:noWrap/>
            <w:vAlign w:val="center"/>
            <w:hideMark/>
          </w:tcPr>
          <w:p w14:paraId="792A2E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1,391</w:t>
            </w:r>
          </w:p>
        </w:tc>
        <w:tc>
          <w:tcPr>
            <w:tcW w:w="1153" w:type="dxa"/>
            <w:tcBorders>
              <w:top w:val="nil"/>
              <w:left w:val="nil"/>
              <w:bottom w:val="single" w:sz="4" w:space="0" w:color="auto"/>
              <w:right w:val="single" w:sz="4" w:space="0" w:color="auto"/>
            </w:tcBorders>
            <w:noWrap/>
            <w:vAlign w:val="center"/>
            <w:hideMark/>
          </w:tcPr>
          <w:p w14:paraId="623837C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21C1738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61.638,55</w:t>
            </w:r>
          </w:p>
        </w:tc>
        <w:tc>
          <w:tcPr>
            <w:tcW w:w="1020" w:type="dxa"/>
            <w:tcBorders>
              <w:top w:val="nil"/>
              <w:left w:val="nil"/>
              <w:bottom w:val="single" w:sz="4" w:space="0" w:color="auto"/>
              <w:right w:val="single" w:sz="4" w:space="0" w:color="auto"/>
            </w:tcBorders>
            <w:noWrap/>
            <w:vAlign w:val="center"/>
            <w:hideMark/>
          </w:tcPr>
          <w:p w14:paraId="157A34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47,17</w:t>
            </w:r>
          </w:p>
        </w:tc>
        <w:tc>
          <w:tcPr>
            <w:tcW w:w="1200" w:type="dxa"/>
            <w:tcBorders>
              <w:top w:val="nil"/>
              <w:left w:val="nil"/>
              <w:bottom w:val="single" w:sz="4" w:space="0" w:color="auto"/>
              <w:right w:val="single" w:sz="4" w:space="0" w:color="auto"/>
            </w:tcBorders>
            <w:noWrap/>
            <w:vAlign w:val="center"/>
            <w:hideMark/>
          </w:tcPr>
          <w:p w14:paraId="0C3246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8.380,02</w:t>
            </w:r>
          </w:p>
        </w:tc>
        <w:tc>
          <w:tcPr>
            <w:tcW w:w="1020" w:type="dxa"/>
            <w:tcBorders>
              <w:top w:val="nil"/>
              <w:left w:val="nil"/>
              <w:bottom w:val="single" w:sz="4" w:space="0" w:color="auto"/>
              <w:right w:val="single" w:sz="4" w:space="0" w:color="auto"/>
            </w:tcBorders>
            <w:noWrap/>
            <w:vAlign w:val="center"/>
            <w:hideMark/>
          </w:tcPr>
          <w:p w14:paraId="7FBFB86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6,41</w:t>
            </w:r>
          </w:p>
        </w:tc>
        <w:tc>
          <w:tcPr>
            <w:tcW w:w="1200" w:type="dxa"/>
            <w:tcBorders>
              <w:top w:val="nil"/>
              <w:left w:val="nil"/>
              <w:bottom w:val="single" w:sz="4" w:space="0" w:color="auto"/>
              <w:right w:val="single" w:sz="4" w:space="0" w:color="auto"/>
            </w:tcBorders>
            <w:noWrap/>
            <w:vAlign w:val="center"/>
            <w:hideMark/>
          </w:tcPr>
          <w:p w14:paraId="7912761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12.762,20</w:t>
            </w:r>
          </w:p>
        </w:tc>
        <w:tc>
          <w:tcPr>
            <w:tcW w:w="1020" w:type="dxa"/>
            <w:tcBorders>
              <w:top w:val="nil"/>
              <w:left w:val="nil"/>
              <w:bottom w:val="single" w:sz="4" w:space="0" w:color="auto"/>
              <w:right w:val="single" w:sz="4" w:space="0" w:color="auto"/>
            </w:tcBorders>
            <w:noWrap/>
            <w:vAlign w:val="center"/>
            <w:hideMark/>
          </w:tcPr>
          <w:p w14:paraId="5448A05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9,77</w:t>
            </w:r>
          </w:p>
        </w:tc>
        <w:tc>
          <w:tcPr>
            <w:tcW w:w="1200" w:type="dxa"/>
            <w:tcBorders>
              <w:top w:val="nil"/>
              <w:left w:val="nil"/>
              <w:bottom w:val="single" w:sz="4" w:space="0" w:color="auto"/>
              <w:right w:val="single" w:sz="4" w:space="0" w:color="auto"/>
            </w:tcBorders>
            <w:noWrap/>
            <w:vAlign w:val="center"/>
            <w:hideMark/>
          </w:tcPr>
          <w:p w14:paraId="013B7FE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47.897,51</w:t>
            </w:r>
          </w:p>
        </w:tc>
        <w:tc>
          <w:tcPr>
            <w:tcW w:w="1020" w:type="dxa"/>
            <w:tcBorders>
              <w:top w:val="nil"/>
              <w:left w:val="nil"/>
              <w:bottom w:val="single" w:sz="4" w:space="0" w:color="auto"/>
              <w:right w:val="single" w:sz="4" w:space="0" w:color="auto"/>
            </w:tcBorders>
            <w:noWrap/>
            <w:vAlign w:val="center"/>
            <w:hideMark/>
          </w:tcPr>
          <w:p w14:paraId="62A5612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36,65</w:t>
            </w:r>
          </w:p>
        </w:tc>
        <w:tc>
          <w:tcPr>
            <w:tcW w:w="1200" w:type="dxa"/>
            <w:tcBorders>
              <w:top w:val="nil"/>
              <w:left w:val="nil"/>
              <w:bottom w:val="single" w:sz="4" w:space="0" w:color="auto"/>
              <w:right w:val="single" w:sz="4" w:space="0" w:color="auto"/>
            </w:tcBorders>
            <w:noWrap/>
            <w:vAlign w:val="center"/>
            <w:hideMark/>
          </w:tcPr>
          <w:p w14:paraId="7D8E136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130.678,28</w:t>
            </w:r>
          </w:p>
        </w:tc>
      </w:tr>
      <w:tr w:rsidR="00BB3DD1" w:rsidRPr="00BB3DD1" w14:paraId="67E92CD3"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29687D1A"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C.F.P.E.</w:t>
            </w:r>
          </w:p>
        </w:tc>
        <w:tc>
          <w:tcPr>
            <w:tcW w:w="847" w:type="dxa"/>
            <w:tcBorders>
              <w:top w:val="nil"/>
              <w:left w:val="nil"/>
              <w:bottom w:val="single" w:sz="4" w:space="0" w:color="auto"/>
              <w:right w:val="single" w:sz="4" w:space="0" w:color="auto"/>
            </w:tcBorders>
            <w:noWrap/>
            <w:vAlign w:val="center"/>
            <w:hideMark/>
          </w:tcPr>
          <w:p w14:paraId="289416F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1,087</w:t>
            </w:r>
          </w:p>
        </w:tc>
        <w:tc>
          <w:tcPr>
            <w:tcW w:w="1153" w:type="dxa"/>
            <w:tcBorders>
              <w:top w:val="nil"/>
              <w:left w:val="nil"/>
              <w:bottom w:val="single" w:sz="4" w:space="0" w:color="auto"/>
              <w:right w:val="single" w:sz="4" w:space="0" w:color="auto"/>
            </w:tcBorders>
            <w:noWrap/>
            <w:vAlign w:val="center"/>
            <w:hideMark/>
          </w:tcPr>
          <w:p w14:paraId="5442481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1,087</w:t>
            </w:r>
          </w:p>
        </w:tc>
        <w:tc>
          <w:tcPr>
            <w:tcW w:w="1200" w:type="dxa"/>
            <w:tcBorders>
              <w:top w:val="nil"/>
              <w:left w:val="nil"/>
              <w:bottom w:val="single" w:sz="4" w:space="0" w:color="auto"/>
              <w:right w:val="single" w:sz="4" w:space="0" w:color="auto"/>
            </w:tcBorders>
            <w:noWrap/>
            <w:vAlign w:val="center"/>
            <w:hideMark/>
          </w:tcPr>
          <w:p w14:paraId="0DD3867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98.811,97</w:t>
            </w:r>
          </w:p>
        </w:tc>
        <w:tc>
          <w:tcPr>
            <w:tcW w:w="1020" w:type="dxa"/>
            <w:tcBorders>
              <w:top w:val="nil"/>
              <w:left w:val="nil"/>
              <w:bottom w:val="single" w:sz="4" w:space="0" w:color="auto"/>
              <w:right w:val="single" w:sz="4" w:space="0" w:color="auto"/>
            </w:tcBorders>
            <w:noWrap/>
            <w:vAlign w:val="center"/>
            <w:hideMark/>
          </w:tcPr>
          <w:p w14:paraId="06D9AE3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50,79</w:t>
            </w:r>
          </w:p>
        </w:tc>
        <w:tc>
          <w:tcPr>
            <w:tcW w:w="1200" w:type="dxa"/>
            <w:tcBorders>
              <w:top w:val="nil"/>
              <w:left w:val="nil"/>
              <w:bottom w:val="single" w:sz="4" w:space="0" w:color="auto"/>
              <w:right w:val="single" w:sz="4" w:space="0" w:color="auto"/>
            </w:tcBorders>
            <w:noWrap/>
            <w:vAlign w:val="center"/>
            <w:hideMark/>
          </w:tcPr>
          <w:p w14:paraId="67FC3B0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19.108,73</w:t>
            </w:r>
          </w:p>
        </w:tc>
        <w:tc>
          <w:tcPr>
            <w:tcW w:w="1020" w:type="dxa"/>
            <w:tcBorders>
              <w:top w:val="nil"/>
              <w:left w:val="nil"/>
              <w:bottom w:val="single" w:sz="4" w:space="0" w:color="auto"/>
              <w:right w:val="single" w:sz="4" w:space="0" w:color="auto"/>
            </w:tcBorders>
            <w:noWrap/>
            <w:vAlign w:val="center"/>
            <w:hideMark/>
          </w:tcPr>
          <w:p w14:paraId="52727D3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9,82</w:t>
            </w:r>
          </w:p>
        </w:tc>
        <w:tc>
          <w:tcPr>
            <w:tcW w:w="1200" w:type="dxa"/>
            <w:tcBorders>
              <w:top w:val="nil"/>
              <w:left w:val="nil"/>
              <w:bottom w:val="single" w:sz="4" w:space="0" w:color="auto"/>
              <w:right w:val="single" w:sz="4" w:space="0" w:color="auto"/>
            </w:tcBorders>
            <w:noWrap/>
            <w:vAlign w:val="center"/>
            <w:hideMark/>
          </w:tcPr>
          <w:p w14:paraId="0D39E3B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16.979,07</w:t>
            </w:r>
          </w:p>
        </w:tc>
        <w:tc>
          <w:tcPr>
            <w:tcW w:w="1020" w:type="dxa"/>
            <w:tcBorders>
              <w:top w:val="nil"/>
              <w:left w:val="nil"/>
              <w:bottom w:val="single" w:sz="4" w:space="0" w:color="auto"/>
              <w:right w:val="single" w:sz="4" w:space="0" w:color="auto"/>
            </w:tcBorders>
            <w:noWrap/>
            <w:vAlign w:val="center"/>
            <w:hideMark/>
          </w:tcPr>
          <w:p w14:paraId="00E0F92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8,73</w:t>
            </w:r>
          </w:p>
        </w:tc>
        <w:tc>
          <w:tcPr>
            <w:tcW w:w="1200" w:type="dxa"/>
            <w:tcBorders>
              <w:top w:val="nil"/>
              <w:left w:val="nil"/>
              <w:bottom w:val="single" w:sz="4" w:space="0" w:color="auto"/>
              <w:right w:val="single" w:sz="4" w:space="0" w:color="auto"/>
            </w:tcBorders>
            <w:noWrap/>
            <w:vAlign w:val="center"/>
            <w:hideMark/>
          </w:tcPr>
          <w:p w14:paraId="51C3570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59.633,83</w:t>
            </w:r>
          </w:p>
        </w:tc>
        <w:tc>
          <w:tcPr>
            <w:tcW w:w="1020" w:type="dxa"/>
            <w:tcBorders>
              <w:top w:val="nil"/>
              <w:left w:val="nil"/>
              <w:bottom w:val="single" w:sz="4" w:space="0" w:color="auto"/>
              <w:right w:val="single" w:sz="4" w:space="0" w:color="auto"/>
            </w:tcBorders>
            <w:noWrap/>
            <w:vAlign w:val="center"/>
            <w:hideMark/>
          </w:tcPr>
          <w:p w14:paraId="4DEED68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30,65</w:t>
            </w:r>
          </w:p>
        </w:tc>
        <w:tc>
          <w:tcPr>
            <w:tcW w:w="1200" w:type="dxa"/>
            <w:tcBorders>
              <w:top w:val="nil"/>
              <w:left w:val="nil"/>
              <w:bottom w:val="single" w:sz="4" w:space="0" w:color="auto"/>
              <w:right w:val="single" w:sz="4" w:space="0" w:color="auto"/>
            </w:tcBorders>
            <w:noWrap/>
            <w:vAlign w:val="center"/>
            <w:hideMark/>
          </w:tcPr>
          <w:p w14:paraId="5EA7D6D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194.533,60</w:t>
            </w:r>
          </w:p>
        </w:tc>
      </w:tr>
      <w:tr w:rsidR="00BB3DD1" w:rsidRPr="00BB3DD1" w14:paraId="37A87939"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77698220"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bookmarkStart w:id="6" w:name="RANGE!A21"/>
            <w:r w:rsidRPr="00BB3DD1">
              <w:rPr>
                <w:rFonts w:ascii="Arial" w:eastAsia="Times New Roman" w:hAnsi="Arial" w:cs="Arial"/>
                <w:color w:val="000000"/>
                <w:sz w:val="16"/>
                <w:szCs w:val="16"/>
                <w:lang w:val="es-ES" w:eastAsia="es-ES"/>
              </w:rPr>
              <w:t>P. T.V.A.</w:t>
            </w:r>
            <w:bookmarkEnd w:id="6"/>
          </w:p>
        </w:tc>
        <w:tc>
          <w:tcPr>
            <w:tcW w:w="847" w:type="dxa"/>
            <w:tcBorders>
              <w:top w:val="nil"/>
              <w:left w:val="nil"/>
              <w:bottom w:val="single" w:sz="4" w:space="0" w:color="auto"/>
              <w:right w:val="single" w:sz="4" w:space="0" w:color="auto"/>
            </w:tcBorders>
            <w:noWrap/>
            <w:vAlign w:val="center"/>
            <w:hideMark/>
          </w:tcPr>
          <w:p w14:paraId="25B1FFE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0,696</w:t>
            </w:r>
          </w:p>
        </w:tc>
        <w:tc>
          <w:tcPr>
            <w:tcW w:w="1153" w:type="dxa"/>
            <w:tcBorders>
              <w:top w:val="nil"/>
              <w:left w:val="nil"/>
              <w:bottom w:val="single" w:sz="4" w:space="0" w:color="auto"/>
              <w:right w:val="single" w:sz="4" w:space="0" w:color="auto"/>
            </w:tcBorders>
            <w:noWrap/>
            <w:vAlign w:val="center"/>
            <w:hideMark/>
          </w:tcPr>
          <w:p w14:paraId="38B351E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0,391</w:t>
            </w:r>
          </w:p>
        </w:tc>
        <w:tc>
          <w:tcPr>
            <w:tcW w:w="1200" w:type="dxa"/>
            <w:tcBorders>
              <w:top w:val="nil"/>
              <w:left w:val="nil"/>
              <w:bottom w:val="single" w:sz="4" w:space="0" w:color="auto"/>
              <w:right w:val="single" w:sz="4" w:space="0" w:color="auto"/>
            </w:tcBorders>
            <w:noWrap/>
            <w:vAlign w:val="center"/>
            <w:hideMark/>
          </w:tcPr>
          <w:p w14:paraId="5259F6F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49.058,50</w:t>
            </w:r>
          </w:p>
        </w:tc>
        <w:tc>
          <w:tcPr>
            <w:tcW w:w="1020" w:type="dxa"/>
            <w:tcBorders>
              <w:top w:val="nil"/>
              <w:left w:val="nil"/>
              <w:bottom w:val="single" w:sz="4" w:space="0" w:color="auto"/>
              <w:right w:val="single" w:sz="4" w:space="0" w:color="auto"/>
            </w:tcBorders>
            <w:noWrap/>
            <w:vAlign w:val="center"/>
            <w:hideMark/>
          </w:tcPr>
          <w:p w14:paraId="606438B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47,32</w:t>
            </w:r>
          </w:p>
        </w:tc>
        <w:tc>
          <w:tcPr>
            <w:tcW w:w="1200" w:type="dxa"/>
            <w:tcBorders>
              <w:top w:val="nil"/>
              <w:left w:val="nil"/>
              <w:bottom w:val="single" w:sz="4" w:space="0" w:color="auto"/>
              <w:right w:val="single" w:sz="4" w:space="0" w:color="auto"/>
            </w:tcBorders>
            <w:noWrap/>
            <w:vAlign w:val="center"/>
            <w:hideMark/>
          </w:tcPr>
          <w:p w14:paraId="7FE0E6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9.414,65</w:t>
            </w:r>
          </w:p>
        </w:tc>
        <w:tc>
          <w:tcPr>
            <w:tcW w:w="1020" w:type="dxa"/>
            <w:tcBorders>
              <w:top w:val="nil"/>
              <w:left w:val="nil"/>
              <w:bottom w:val="single" w:sz="4" w:space="0" w:color="auto"/>
              <w:right w:val="single" w:sz="4" w:space="0" w:color="auto"/>
            </w:tcBorders>
            <w:noWrap/>
            <w:vAlign w:val="center"/>
            <w:hideMark/>
          </w:tcPr>
          <w:p w14:paraId="71FC64A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9,08</w:t>
            </w:r>
          </w:p>
        </w:tc>
        <w:tc>
          <w:tcPr>
            <w:tcW w:w="1200" w:type="dxa"/>
            <w:tcBorders>
              <w:top w:val="nil"/>
              <w:left w:val="nil"/>
              <w:bottom w:val="single" w:sz="4" w:space="0" w:color="auto"/>
              <w:right w:val="single" w:sz="4" w:space="0" w:color="auto"/>
            </w:tcBorders>
            <w:noWrap/>
            <w:vAlign w:val="center"/>
            <w:hideMark/>
          </w:tcPr>
          <w:p w14:paraId="7AAE8DD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12.762,20</w:t>
            </w:r>
          </w:p>
        </w:tc>
        <w:tc>
          <w:tcPr>
            <w:tcW w:w="1020" w:type="dxa"/>
            <w:tcBorders>
              <w:top w:val="nil"/>
              <w:left w:val="nil"/>
              <w:bottom w:val="single" w:sz="4" w:space="0" w:color="auto"/>
              <w:right w:val="single" w:sz="4" w:space="0" w:color="auto"/>
            </w:tcBorders>
            <w:noWrap/>
            <w:vAlign w:val="center"/>
            <w:hideMark/>
          </w:tcPr>
          <w:p w14:paraId="158396D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12,31</w:t>
            </w:r>
          </w:p>
        </w:tc>
        <w:tc>
          <w:tcPr>
            <w:tcW w:w="1200" w:type="dxa"/>
            <w:tcBorders>
              <w:top w:val="nil"/>
              <w:left w:val="nil"/>
              <w:bottom w:val="single" w:sz="4" w:space="0" w:color="auto"/>
              <w:right w:val="single" w:sz="4" w:space="0" w:color="auto"/>
            </w:tcBorders>
            <w:noWrap/>
            <w:vAlign w:val="center"/>
            <w:hideMark/>
          </w:tcPr>
          <w:p w14:paraId="743DAE8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32.441,31</w:t>
            </w:r>
          </w:p>
        </w:tc>
        <w:tc>
          <w:tcPr>
            <w:tcW w:w="1020" w:type="dxa"/>
            <w:tcBorders>
              <w:top w:val="nil"/>
              <w:left w:val="nil"/>
              <w:bottom w:val="single" w:sz="4" w:space="0" w:color="auto"/>
              <w:right w:val="single" w:sz="4" w:space="0" w:color="auto"/>
            </w:tcBorders>
            <w:noWrap/>
            <w:vAlign w:val="center"/>
            <w:hideMark/>
          </w:tcPr>
          <w:p w14:paraId="7D5E8D9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31,29</w:t>
            </w:r>
          </w:p>
        </w:tc>
        <w:tc>
          <w:tcPr>
            <w:tcW w:w="1200" w:type="dxa"/>
            <w:tcBorders>
              <w:top w:val="nil"/>
              <w:left w:val="nil"/>
              <w:bottom w:val="single" w:sz="4" w:space="0" w:color="auto"/>
              <w:right w:val="single" w:sz="4" w:space="0" w:color="auto"/>
            </w:tcBorders>
            <w:noWrap/>
            <w:vAlign w:val="center"/>
            <w:hideMark/>
          </w:tcPr>
          <w:p w14:paraId="2F6B04E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103.676,66</w:t>
            </w:r>
          </w:p>
        </w:tc>
      </w:tr>
      <w:tr w:rsidR="00BB3DD1" w:rsidRPr="00BB3DD1" w14:paraId="5D899DC5" w14:textId="77777777" w:rsidTr="00BB0DB8">
        <w:trPr>
          <w:trHeight w:val="319"/>
        </w:trPr>
        <w:tc>
          <w:tcPr>
            <w:tcW w:w="3760" w:type="dxa"/>
            <w:tcBorders>
              <w:top w:val="nil"/>
              <w:left w:val="single" w:sz="4" w:space="0" w:color="auto"/>
              <w:bottom w:val="single" w:sz="4" w:space="0" w:color="auto"/>
              <w:right w:val="single" w:sz="4" w:space="0" w:color="auto"/>
            </w:tcBorders>
            <w:noWrap/>
            <w:vAlign w:val="center"/>
            <w:hideMark/>
          </w:tcPr>
          <w:p w14:paraId="553F4EFB" w14:textId="77777777" w:rsidR="00BB3DD1" w:rsidRPr="00BB3DD1" w:rsidRDefault="00BB3DD1" w:rsidP="00BB3DD1">
            <w:pPr>
              <w:spacing w:after="0" w:line="240" w:lineRule="auto"/>
              <w:rPr>
                <w:rFonts w:ascii="Arial" w:eastAsia="Times New Roman" w:hAnsi="Arial" w:cs="Arial"/>
                <w:color w:val="000000"/>
                <w:sz w:val="16"/>
                <w:szCs w:val="16"/>
                <w:lang w:val="es-ES" w:eastAsia="es-ES"/>
              </w:rPr>
            </w:pPr>
            <w:r w:rsidRPr="00BB3DD1">
              <w:rPr>
                <w:rFonts w:ascii="Arial" w:eastAsia="Times New Roman" w:hAnsi="Arial" w:cs="Arial"/>
                <w:color w:val="000000"/>
                <w:sz w:val="16"/>
                <w:szCs w:val="16"/>
                <w:lang w:val="es-ES" w:eastAsia="es-ES"/>
              </w:rPr>
              <w:t>ED. ESPECIAL U.C.E.  Específica ESO</w:t>
            </w:r>
          </w:p>
        </w:tc>
        <w:tc>
          <w:tcPr>
            <w:tcW w:w="847" w:type="dxa"/>
            <w:tcBorders>
              <w:top w:val="nil"/>
              <w:left w:val="nil"/>
              <w:bottom w:val="single" w:sz="4" w:space="0" w:color="auto"/>
              <w:right w:val="single" w:sz="4" w:space="0" w:color="auto"/>
            </w:tcBorders>
            <w:noWrap/>
            <w:vAlign w:val="center"/>
            <w:hideMark/>
          </w:tcPr>
          <w:p w14:paraId="78C5D3C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1,391</w:t>
            </w:r>
          </w:p>
        </w:tc>
        <w:tc>
          <w:tcPr>
            <w:tcW w:w="1153" w:type="dxa"/>
            <w:tcBorders>
              <w:top w:val="nil"/>
              <w:left w:val="nil"/>
              <w:bottom w:val="single" w:sz="4" w:space="0" w:color="auto"/>
              <w:right w:val="single" w:sz="4" w:space="0" w:color="auto"/>
            </w:tcBorders>
            <w:noWrap/>
            <w:vAlign w:val="center"/>
            <w:hideMark/>
          </w:tcPr>
          <w:p w14:paraId="5859E53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w:t>
            </w:r>
          </w:p>
        </w:tc>
        <w:tc>
          <w:tcPr>
            <w:tcW w:w="1200" w:type="dxa"/>
            <w:tcBorders>
              <w:top w:val="nil"/>
              <w:left w:val="nil"/>
              <w:bottom w:val="single" w:sz="4" w:space="0" w:color="auto"/>
              <w:right w:val="single" w:sz="4" w:space="0" w:color="auto"/>
            </w:tcBorders>
            <w:noWrap/>
            <w:vAlign w:val="center"/>
            <w:hideMark/>
          </w:tcPr>
          <w:p w14:paraId="0BBB2EB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61.638,55</w:t>
            </w:r>
          </w:p>
        </w:tc>
        <w:tc>
          <w:tcPr>
            <w:tcW w:w="1020" w:type="dxa"/>
            <w:tcBorders>
              <w:top w:val="nil"/>
              <w:left w:val="nil"/>
              <w:bottom w:val="single" w:sz="4" w:space="0" w:color="auto"/>
              <w:right w:val="single" w:sz="4" w:space="0" w:color="auto"/>
            </w:tcBorders>
            <w:noWrap/>
            <w:vAlign w:val="center"/>
            <w:hideMark/>
          </w:tcPr>
          <w:p w14:paraId="26FD1EF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74,46</w:t>
            </w:r>
          </w:p>
        </w:tc>
        <w:tc>
          <w:tcPr>
            <w:tcW w:w="1200" w:type="dxa"/>
            <w:tcBorders>
              <w:top w:val="nil"/>
              <w:left w:val="nil"/>
              <w:bottom w:val="single" w:sz="4" w:space="0" w:color="auto"/>
              <w:right w:val="single" w:sz="4" w:space="0" w:color="auto"/>
            </w:tcBorders>
            <w:noWrap/>
            <w:vAlign w:val="center"/>
            <w:hideMark/>
          </w:tcPr>
          <w:p w14:paraId="5799D1C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8.380,02</w:t>
            </w:r>
          </w:p>
        </w:tc>
        <w:tc>
          <w:tcPr>
            <w:tcW w:w="1020" w:type="dxa"/>
            <w:tcBorders>
              <w:top w:val="nil"/>
              <w:left w:val="nil"/>
              <w:bottom w:val="single" w:sz="4" w:space="0" w:color="auto"/>
              <w:right w:val="single" w:sz="4" w:space="0" w:color="auto"/>
            </w:tcBorders>
            <w:noWrap/>
            <w:vAlign w:val="center"/>
            <w:hideMark/>
          </w:tcPr>
          <w:p w14:paraId="4312B12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10,12</w:t>
            </w:r>
          </w:p>
        </w:tc>
        <w:tc>
          <w:tcPr>
            <w:tcW w:w="1200" w:type="dxa"/>
            <w:tcBorders>
              <w:top w:val="nil"/>
              <w:left w:val="nil"/>
              <w:bottom w:val="single" w:sz="4" w:space="0" w:color="auto"/>
              <w:right w:val="single" w:sz="4" w:space="0" w:color="auto"/>
            </w:tcBorders>
            <w:noWrap/>
            <w:vAlign w:val="center"/>
            <w:hideMark/>
          </w:tcPr>
          <w:p w14:paraId="3F227BB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12.762,20</w:t>
            </w:r>
          </w:p>
        </w:tc>
        <w:tc>
          <w:tcPr>
            <w:tcW w:w="1020" w:type="dxa"/>
            <w:tcBorders>
              <w:top w:val="nil"/>
              <w:left w:val="nil"/>
              <w:bottom w:val="single" w:sz="4" w:space="0" w:color="auto"/>
              <w:right w:val="single" w:sz="4" w:space="0" w:color="auto"/>
            </w:tcBorders>
            <w:noWrap/>
            <w:vAlign w:val="center"/>
            <w:hideMark/>
          </w:tcPr>
          <w:p w14:paraId="28F1A3F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15,42</w:t>
            </w:r>
          </w:p>
        </w:tc>
        <w:tc>
          <w:tcPr>
            <w:tcW w:w="1200" w:type="dxa"/>
            <w:tcBorders>
              <w:top w:val="nil"/>
              <w:left w:val="nil"/>
              <w:bottom w:val="single" w:sz="4" w:space="0" w:color="auto"/>
              <w:right w:val="single" w:sz="4" w:space="0" w:color="auto"/>
            </w:tcBorders>
            <w:noWrap/>
            <w:vAlign w:val="center"/>
            <w:hideMark/>
          </w:tcPr>
          <w:p w14:paraId="592C8F0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 </w:t>
            </w:r>
          </w:p>
        </w:tc>
        <w:tc>
          <w:tcPr>
            <w:tcW w:w="1020" w:type="dxa"/>
            <w:tcBorders>
              <w:top w:val="nil"/>
              <w:left w:val="nil"/>
              <w:bottom w:val="single" w:sz="4" w:space="0" w:color="auto"/>
              <w:right w:val="single" w:sz="4" w:space="0" w:color="auto"/>
            </w:tcBorders>
            <w:noWrap/>
            <w:vAlign w:val="center"/>
            <w:hideMark/>
          </w:tcPr>
          <w:p w14:paraId="1D76E36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 </w:t>
            </w:r>
          </w:p>
        </w:tc>
        <w:tc>
          <w:tcPr>
            <w:tcW w:w="1200" w:type="dxa"/>
            <w:tcBorders>
              <w:top w:val="nil"/>
              <w:left w:val="nil"/>
              <w:bottom w:val="single" w:sz="4" w:space="0" w:color="auto"/>
              <w:right w:val="single" w:sz="4" w:space="0" w:color="auto"/>
            </w:tcBorders>
            <w:noWrap/>
            <w:vAlign w:val="center"/>
            <w:hideMark/>
          </w:tcPr>
          <w:p w14:paraId="74FE5ED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82.780,77</w:t>
            </w:r>
          </w:p>
        </w:tc>
      </w:tr>
    </w:tbl>
    <w:p w14:paraId="037680FC"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p w14:paraId="743F0508" w14:textId="77777777" w:rsidR="00BB3DD1" w:rsidRPr="00BB3DD1" w:rsidRDefault="00BB3DD1" w:rsidP="00BB3DD1">
      <w:pPr>
        <w:spacing w:after="0" w:line="240" w:lineRule="auto"/>
        <w:rPr>
          <w:rFonts w:ascii="Arial" w:eastAsia="Times New Roman" w:hAnsi="Arial" w:cs="Arial"/>
          <w:sz w:val="20"/>
          <w:szCs w:val="20"/>
          <w:lang w:val="es-ES" w:eastAsia="es-ES"/>
        </w:rPr>
      </w:pPr>
      <w:r w:rsidRPr="00BB3DD1">
        <w:rPr>
          <w:rFonts w:ascii="Times New Roman" w:eastAsia="Times New Roman" w:hAnsi="Times New Roman" w:cs="Arial"/>
          <w:sz w:val="20"/>
          <w:szCs w:val="20"/>
          <w:lang w:eastAsia="es-ES"/>
        </w:rPr>
        <w:br w:type="page"/>
      </w:r>
    </w:p>
    <w:p w14:paraId="30B0FAAB" w14:textId="77777777" w:rsidR="00BB3DD1" w:rsidRPr="00BB3DD1" w:rsidRDefault="00BB3DD1" w:rsidP="00BB3DD1">
      <w:pPr>
        <w:spacing w:after="300" w:line="240" w:lineRule="auto"/>
        <w:jc w:val="both"/>
        <w:rPr>
          <w:rFonts w:ascii="Arial" w:eastAsia="Times New Roman" w:hAnsi="Arial" w:cs="Arial"/>
          <w:lang w:val="es-ES" w:eastAsia="es-ES"/>
        </w:rPr>
      </w:pPr>
      <w:r w:rsidRPr="00BB3DD1">
        <w:rPr>
          <w:rFonts w:ascii="Arial" w:eastAsia="Times New Roman" w:hAnsi="Arial" w:cs="Arial"/>
          <w:lang w:val="es-ES" w:eastAsia="es-ES"/>
        </w:rPr>
        <w:lastRenderedPageBreak/>
        <w:t>CICLOS FORMATIVOS GRADO MEDIO</w:t>
      </w:r>
    </w:p>
    <w:tbl>
      <w:tblPr>
        <w:tblW w:w="0" w:type="auto"/>
        <w:tblCellMar>
          <w:left w:w="70" w:type="dxa"/>
          <w:right w:w="70" w:type="dxa"/>
        </w:tblCellMar>
        <w:tblLook w:val="04A0" w:firstRow="1" w:lastRow="0" w:firstColumn="1" w:lastColumn="0" w:noHBand="0" w:noVBand="1"/>
      </w:tblPr>
      <w:tblGrid>
        <w:gridCol w:w="4823"/>
        <w:gridCol w:w="718"/>
        <w:gridCol w:w="825"/>
        <w:gridCol w:w="1083"/>
        <w:gridCol w:w="1564"/>
        <w:gridCol w:w="966"/>
        <w:gridCol w:w="1507"/>
        <w:gridCol w:w="966"/>
        <w:gridCol w:w="1206"/>
        <w:gridCol w:w="966"/>
        <w:gridCol w:w="1240"/>
      </w:tblGrid>
      <w:tr w:rsidR="00BB3DD1" w:rsidRPr="00BB3DD1" w14:paraId="11BA926E" w14:textId="77777777" w:rsidTr="00BB0DB8">
        <w:trPr>
          <w:trHeight w:val="315"/>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108D4838" w14:textId="77777777" w:rsidR="00BB3DD1" w:rsidRPr="00BB3DD1" w:rsidRDefault="00BB3DD1" w:rsidP="00BB3DD1">
            <w:pPr>
              <w:spacing w:after="0" w:line="240" w:lineRule="auto"/>
              <w:jc w:val="both"/>
              <w:rPr>
                <w:rFonts w:ascii="Arial" w:eastAsia="Times New Roman" w:hAnsi="Arial" w:cs="Arial"/>
                <w:b/>
                <w:bCs/>
                <w:color w:val="000000"/>
                <w:sz w:val="16"/>
                <w:szCs w:val="16"/>
                <w:lang w:val="es-ES" w:eastAsia="es-ES"/>
              </w:rPr>
            </w:pPr>
            <w:r w:rsidRPr="00BB3DD1">
              <w:rPr>
                <w:rFonts w:ascii="Arial" w:eastAsia="Times New Roman" w:hAnsi="Arial" w:cs="Arial"/>
                <w:b/>
                <w:bCs/>
                <w:color w:val="000000"/>
                <w:sz w:val="16"/>
                <w:szCs w:val="16"/>
                <w:lang w:val="es-ES" w:eastAsia="es-ES"/>
              </w:rPr>
              <w:t>CICLOS FORMATIVOS GRADO MEDIO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183482"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CURSO</w:t>
            </w:r>
          </w:p>
        </w:tc>
        <w:tc>
          <w:tcPr>
            <w:tcW w:w="0" w:type="auto"/>
            <w:gridSpan w:val="2"/>
            <w:tcBorders>
              <w:top w:val="single" w:sz="4" w:space="0" w:color="auto"/>
              <w:left w:val="nil"/>
              <w:bottom w:val="single" w:sz="4" w:space="0" w:color="auto"/>
              <w:right w:val="single" w:sz="4" w:space="0" w:color="auto"/>
            </w:tcBorders>
            <w:vAlign w:val="center"/>
            <w:hideMark/>
          </w:tcPr>
          <w:p w14:paraId="16A3207E"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RATIO PROFESOR</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223D45"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SALARIOS PERSONAL</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B953C16"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2EDE6C"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GASTOS VARIABLES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C17CB8D"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7E88C6F"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OTROS GASTOS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60383E"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95A8C06"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TOTAL MÓDULO</w:t>
            </w:r>
          </w:p>
        </w:tc>
      </w:tr>
      <w:tr w:rsidR="00BB3DD1" w:rsidRPr="00BB3DD1" w14:paraId="304E8D70" w14:textId="77777777" w:rsidTr="00BB0DB8">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04E0B" w14:textId="77777777" w:rsidR="00BB3DD1" w:rsidRPr="00BB3DD1" w:rsidRDefault="00BB3DD1" w:rsidP="00BB3DD1">
            <w:pPr>
              <w:spacing w:after="0" w:line="240" w:lineRule="auto"/>
              <w:rPr>
                <w:rFonts w:ascii="Arial" w:eastAsia="Times New Roman" w:hAnsi="Arial" w:cs="Arial"/>
                <w:b/>
                <w:bCs/>
                <w:color w:val="000000"/>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ECBCB"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26AD15BF"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TITULAR</w:t>
            </w:r>
          </w:p>
        </w:tc>
        <w:tc>
          <w:tcPr>
            <w:tcW w:w="0" w:type="auto"/>
            <w:tcBorders>
              <w:top w:val="nil"/>
              <w:left w:val="nil"/>
              <w:bottom w:val="single" w:sz="4" w:space="0" w:color="auto"/>
              <w:right w:val="single" w:sz="4" w:space="0" w:color="auto"/>
            </w:tcBorders>
            <w:noWrap/>
            <w:vAlign w:val="center"/>
            <w:hideMark/>
          </w:tcPr>
          <w:p w14:paraId="5928028C"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AGREGADO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69D9B"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0940F8"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E0EBC"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1552"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6A827"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DD74D"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99DFB"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r>
      <w:tr w:rsidR="00BB3DD1" w:rsidRPr="00BB3DD1" w14:paraId="4A63CD83"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5094C0B4"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 C.F.M. GESTION ADMINISTRATIVA (LOE)</w:t>
            </w:r>
          </w:p>
        </w:tc>
        <w:tc>
          <w:tcPr>
            <w:tcW w:w="0" w:type="auto"/>
            <w:tcBorders>
              <w:top w:val="nil"/>
              <w:left w:val="nil"/>
              <w:bottom w:val="single" w:sz="4" w:space="0" w:color="auto"/>
              <w:right w:val="single" w:sz="4" w:space="0" w:color="auto"/>
            </w:tcBorders>
            <w:noWrap/>
            <w:vAlign w:val="center"/>
            <w:hideMark/>
          </w:tcPr>
          <w:p w14:paraId="75B18A0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3708800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0,478</w:t>
            </w:r>
          </w:p>
        </w:tc>
        <w:tc>
          <w:tcPr>
            <w:tcW w:w="0" w:type="auto"/>
            <w:tcBorders>
              <w:top w:val="nil"/>
              <w:left w:val="nil"/>
              <w:bottom w:val="single" w:sz="4" w:space="0" w:color="auto"/>
              <w:right w:val="single" w:sz="4" w:space="0" w:color="auto"/>
            </w:tcBorders>
            <w:noWrap/>
            <w:vAlign w:val="center"/>
            <w:hideMark/>
          </w:tcPr>
          <w:p w14:paraId="5C23D4B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1,087</w:t>
            </w:r>
          </w:p>
        </w:tc>
        <w:tc>
          <w:tcPr>
            <w:tcW w:w="0" w:type="auto"/>
            <w:tcBorders>
              <w:top w:val="nil"/>
              <w:left w:val="nil"/>
              <w:bottom w:val="single" w:sz="4" w:space="0" w:color="auto"/>
              <w:right w:val="single" w:sz="4" w:space="0" w:color="auto"/>
            </w:tcBorders>
            <w:noWrap/>
            <w:vAlign w:val="center"/>
            <w:hideMark/>
          </w:tcPr>
          <w:p w14:paraId="65A48AA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74.985,10</w:t>
            </w:r>
          </w:p>
        </w:tc>
        <w:tc>
          <w:tcPr>
            <w:tcW w:w="0" w:type="auto"/>
            <w:tcBorders>
              <w:top w:val="nil"/>
              <w:left w:val="nil"/>
              <w:bottom w:val="single" w:sz="4" w:space="0" w:color="auto"/>
              <w:right w:val="single" w:sz="4" w:space="0" w:color="auto"/>
            </w:tcBorders>
            <w:vAlign w:val="center"/>
            <w:hideMark/>
          </w:tcPr>
          <w:p w14:paraId="74692E5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66,68</w:t>
            </w:r>
          </w:p>
        </w:tc>
        <w:tc>
          <w:tcPr>
            <w:tcW w:w="0" w:type="auto"/>
            <w:tcBorders>
              <w:top w:val="nil"/>
              <w:left w:val="nil"/>
              <w:bottom w:val="single" w:sz="4" w:space="0" w:color="auto"/>
              <w:right w:val="single" w:sz="4" w:space="0" w:color="auto"/>
            </w:tcBorders>
            <w:noWrap/>
            <w:vAlign w:val="center"/>
            <w:hideMark/>
          </w:tcPr>
          <w:p w14:paraId="0224C15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15.110,09</w:t>
            </w:r>
          </w:p>
        </w:tc>
        <w:tc>
          <w:tcPr>
            <w:tcW w:w="0" w:type="auto"/>
            <w:tcBorders>
              <w:top w:val="nil"/>
              <w:left w:val="nil"/>
              <w:bottom w:val="single" w:sz="4" w:space="0" w:color="auto"/>
              <w:right w:val="single" w:sz="4" w:space="0" w:color="auto"/>
            </w:tcBorders>
            <w:vAlign w:val="center"/>
            <w:hideMark/>
          </w:tcPr>
          <w:p w14:paraId="5719DD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13,44</w:t>
            </w:r>
          </w:p>
        </w:tc>
        <w:tc>
          <w:tcPr>
            <w:tcW w:w="0" w:type="auto"/>
            <w:tcBorders>
              <w:top w:val="nil"/>
              <w:left w:val="nil"/>
              <w:bottom w:val="single" w:sz="4" w:space="0" w:color="auto"/>
              <w:right w:val="single" w:sz="4" w:space="0" w:color="auto"/>
            </w:tcBorders>
            <w:noWrap/>
            <w:vAlign w:val="center"/>
            <w:hideMark/>
          </w:tcPr>
          <w:p w14:paraId="164EA39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22.360,52</w:t>
            </w:r>
          </w:p>
        </w:tc>
        <w:tc>
          <w:tcPr>
            <w:tcW w:w="0" w:type="auto"/>
            <w:tcBorders>
              <w:top w:val="nil"/>
              <w:left w:val="nil"/>
              <w:bottom w:val="single" w:sz="4" w:space="0" w:color="auto"/>
              <w:right w:val="single" w:sz="4" w:space="0" w:color="auto"/>
            </w:tcBorders>
            <w:vAlign w:val="center"/>
            <w:hideMark/>
          </w:tcPr>
          <w:p w14:paraId="61E7928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19,88</w:t>
            </w:r>
          </w:p>
        </w:tc>
        <w:tc>
          <w:tcPr>
            <w:tcW w:w="0" w:type="auto"/>
            <w:tcBorders>
              <w:top w:val="nil"/>
              <w:left w:val="nil"/>
              <w:bottom w:val="single" w:sz="4" w:space="0" w:color="auto"/>
              <w:right w:val="single" w:sz="4" w:space="0" w:color="auto"/>
            </w:tcBorders>
            <w:noWrap/>
            <w:vAlign w:val="center"/>
            <w:hideMark/>
          </w:tcPr>
          <w:p w14:paraId="0BEE273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112.455,71</w:t>
            </w:r>
          </w:p>
        </w:tc>
      </w:tr>
      <w:tr w:rsidR="00BB3DD1" w:rsidRPr="00BB3DD1" w14:paraId="649D93E2"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71CFF493"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51E6B16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1A2F810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0,826</w:t>
            </w:r>
          </w:p>
        </w:tc>
        <w:tc>
          <w:tcPr>
            <w:tcW w:w="0" w:type="auto"/>
            <w:tcBorders>
              <w:top w:val="nil"/>
              <w:left w:val="nil"/>
              <w:bottom w:val="single" w:sz="4" w:space="0" w:color="auto"/>
              <w:right w:val="single" w:sz="4" w:space="0" w:color="auto"/>
            </w:tcBorders>
            <w:noWrap/>
            <w:vAlign w:val="center"/>
            <w:hideMark/>
          </w:tcPr>
          <w:p w14:paraId="2B75922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0,568</w:t>
            </w:r>
          </w:p>
        </w:tc>
        <w:tc>
          <w:tcPr>
            <w:tcW w:w="0" w:type="auto"/>
            <w:tcBorders>
              <w:top w:val="nil"/>
              <w:left w:val="nil"/>
              <w:bottom w:val="single" w:sz="4" w:space="0" w:color="auto"/>
              <w:right w:val="single" w:sz="4" w:space="0" w:color="auto"/>
            </w:tcBorders>
            <w:noWrap/>
            <w:vAlign w:val="center"/>
            <w:hideMark/>
          </w:tcPr>
          <w:p w14:paraId="5874CD3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68.525,23</w:t>
            </w:r>
          </w:p>
        </w:tc>
        <w:tc>
          <w:tcPr>
            <w:tcW w:w="0" w:type="auto"/>
            <w:tcBorders>
              <w:top w:val="nil"/>
              <w:left w:val="nil"/>
              <w:bottom w:val="single" w:sz="4" w:space="0" w:color="auto"/>
              <w:right w:val="single" w:sz="4" w:space="0" w:color="auto"/>
            </w:tcBorders>
            <w:vAlign w:val="center"/>
            <w:hideMark/>
          </w:tcPr>
          <w:p w14:paraId="13F28CA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65,50</w:t>
            </w:r>
          </w:p>
        </w:tc>
        <w:tc>
          <w:tcPr>
            <w:tcW w:w="0" w:type="auto"/>
            <w:tcBorders>
              <w:top w:val="nil"/>
              <w:left w:val="nil"/>
              <w:bottom w:val="single" w:sz="4" w:space="0" w:color="auto"/>
              <w:right w:val="single" w:sz="4" w:space="0" w:color="auto"/>
            </w:tcBorders>
            <w:noWrap/>
            <w:vAlign w:val="center"/>
            <w:hideMark/>
          </w:tcPr>
          <w:p w14:paraId="5B0AC74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13.729,08</w:t>
            </w:r>
          </w:p>
        </w:tc>
        <w:tc>
          <w:tcPr>
            <w:tcW w:w="0" w:type="auto"/>
            <w:tcBorders>
              <w:top w:val="nil"/>
              <w:left w:val="nil"/>
              <w:bottom w:val="single" w:sz="4" w:space="0" w:color="auto"/>
              <w:right w:val="single" w:sz="4" w:space="0" w:color="auto"/>
            </w:tcBorders>
            <w:vAlign w:val="center"/>
            <w:hideMark/>
          </w:tcPr>
          <w:p w14:paraId="478C864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13,12</w:t>
            </w:r>
          </w:p>
        </w:tc>
        <w:tc>
          <w:tcPr>
            <w:tcW w:w="0" w:type="auto"/>
            <w:tcBorders>
              <w:top w:val="nil"/>
              <w:left w:val="nil"/>
              <w:bottom w:val="single" w:sz="4" w:space="0" w:color="auto"/>
              <w:right w:val="single" w:sz="4" w:space="0" w:color="auto"/>
            </w:tcBorders>
            <w:noWrap/>
            <w:vAlign w:val="center"/>
            <w:hideMark/>
          </w:tcPr>
          <w:p w14:paraId="7508193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22.360,52</w:t>
            </w:r>
          </w:p>
        </w:tc>
        <w:tc>
          <w:tcPr>
            <w:tcW w:w="0" w:type="auto"/>
            <w:tcBorders>
              <w:top w:val="nil"/>
              <w:left w:val="nil"/>
              <w:bottom w:val="single" w:sz="4" w:space="0" w:color="auto"/>
              <w:right w:val="single" w:sz="4" w:space="0" w:color="auto"/>
            </w:tcBorders>
            <w:vAlign w:val="center"/>
            <w:hideMark/>
          </w:tcPr>
          <w:p w14:paraId="52BB975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21,37</w:t>
            </w:r>
          </w:p>
        </w:tc>
        <w:tc>
          <w:tcPr>
            <w:tcW w:w="0" w:type="auto"/>
            <w:tcBorders>
              <w:top w:val="nil"/>
              <w:left w:val="nil"/>
              <w:bottom w:val="single" w:sz="4" w:space="0" w:color="auto"/>
              <w:right w:val="single" w:sz="4" w:space="0" w:color="auto"/>
            </w:tcBorders>
            <w:noWrap/>
            <w:vAlign w:val="center"/>
            <w:hideMark/>
          </w:tcPr>
          <w:p w14:paraId="01A9A7F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104.614,83</w:t>
            </w:r>
          </w:p>
        </w:tc>
      </w:tr>
      <w:tr w:rsidR="00BB3DD1" w:rsidRPr="00BB3DD1" w14:paraId="39A89EB5"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0C3F2730"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 C.F.M. CUIDADOS AUXILIARES DE ENFERMERIA</w:t>
            </w:r>
          </w:p>
        </w:tc>
        <w:tc>
          <w:tcPr>
            <w:tcW w:w="0" w:type="auto"/>
            <w:tcBorders>
              <w:top w:val="nil"/>
              <w:left w:val="nil"/>
              <w:bottom w:val="single" w:sz="4" w:space="0" w:color="auto"/>
              <w:right w:val="single" w:sz="4" w:space="0" w:color="auto"/>
            </w:tcBorders>
            <w:noWrap/>
            <w:vAlign w:val="center"/>
            <w:hideMark/>
          </w:tcPr>
          <w:p w14:paraId="6DCF127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3C04114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0,435</w:t>
            </w:r>
          </w:p>
        </w:tc>
        <w:tc>
          <w:tcPr>
            <w:tcW w:w="0" w:type="auto"/>
            <w:tcBorders>
              <w:top w:val="nil"/>
              <w:left w:val="nil"/>
              <w:bottom w:val="single" w:sz="4" w:space="0" w:color="auto"/>
              <w:right w:val="single" w:sz="4" w:space="0" w:color="auto"/>
            </w:tcBorders>
            <w:noWrap/>
            <w:vAlign w:val="center"/>
            <w:hideMark/>
          </w:tcPr>
          <w:p w14:paraId="0317DDE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1,304</w:t>
            </w:r>
          </w:p>
        </w:tc>
        <w:tc>
          <w:tcPr>
            <w:tcW w:w="0" w:type="auto"/>
            <w:tcBorders>
              <w:top w:val="nil"/>
              <w:left w:val="nil"/>
              <w:bottom w:val="single" w:sz="4" w:space="0" w:color="auto"/>
              <w:right w:val="single" w:sz="4" w:space="0" w:color="auto"/>
            </w:tcBorders>
            <w:noWrap/>
            <w:vAlign w:val="center"/>
            <w:hideMark/>
          </w:tcPr>
          <w:p w14:paraId="45A8021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82.905,70</w:t>
            </w:r>
          </w:p>
        </w:tc>
        <w:tc>
          <w:tcPr>
            <w:tcW w:w="0" w:type="auto"/>
            <w:tcBorders>
              <w:top w:val="nil"/>
              <w:left w:val="nil"/>
              <w:bottom w:val="single" w:sz="4" w:space="0" w:color="auto"/>
              <w:right w:val="single" w:sz="4" w:space="0" w:color="auto"/>
            </w:tcBorders>
            <w:vAlign w:val="center"/>
            <w:hideMark/>
          </w:tcPr>
          <w:p w14:paraId="59640D4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68,26</w:t>
            </w:r>
          </w:p>
        </w:tc>
        <w:tc>
          <w:tcPr>
            <w:tcW w:w="0" w:type="auto"/>
            <w:tcBorders>
              <w:top w:val="nil"/>
              <w:left w:val="nil"/>
              <w:bottom w:val="single" w:sz="4" w:space="0" w:color="auto"/>
              <w:right w:val="single" w:sz="4" w:space="0" w:color="auto"/>
            </w:tcBorders>
            <w:noWrap/>
            <w:vAlign w:val="center"/>
            <w:hideMark/>
          </w:tcPr>
          <w:p w14:paraId="6E5E827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16.767,79</w:t>
            </w:r>
          </w:p>
        </w:tc>
        <w:tc>
          <w:tcPr>
            <w:tcW w:w="0" w:type="auto"/>
            <w:tcBorders>
              <w:top w:val="nil"/>
              <w:left w:val="nil"/>
              <w:bottom w:val="single" w:sz="4" w:space="0" w:color="auto"/>
              <w:right w:val="single" w:sz="4" w:space="0" w:color="auto"/>
            </w:tcBorders>
            <w:vAlign w:val="center"/>
            <w:hideMark/>
          </w:tcPr>
          <w:p w14:paraId="3ABFB3A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13,81</w:t>
            </w:r>
          </w:p>
        </w:tc>
        <w:tc>
          <w:tcPr>
            <w:tcW w:w="0" w:type="auto"/>
            <w:tcBorders>
              <w:top w:val="nil"/>
              <w:left w:val="nil"/>
              <w:bottom w:val="single" w:sz="4" w:space="0" w:color="auto"/>
              <w:right w:val="single" w:sz="4" w:space="0" w:color="auto"/>
            </w:tcBorders>
            <w:noWrap/>
            <w:vAlign w:val="center"/>
            <w:hideMark/>
          </w:tcPr>
          <w:p w14:paraId="675BA5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21.785,58</w:t>
            </w:r>
          </w:p>
        </w:tc>
        <w:tc>
          <w:tcPr>
            <w:tcW w:w="0" w:type="auto"/>
            <w:tcBorders>
              <w:top w:val="nil"/>
              <w:left w:val="nil"/>
              <w:bottom w:val="single" w:sz="4" w:space="0" w:color="auto"/>
              <w:right w:val="single" w:sz="4" w:space="0" w:color="auto"/>
            </w:tcBorders>
            <w:vAlign w:val="center"/>
            <w:hideMark/>
          </w:tcPr>
          <w:p w14:paraId="41EBA9B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17,94</w:t>
            </w:r>
          </w:p>
        </w:tc>
        <w:tc>
          <w:tcPr>
            <w:tcW w:w="0" w:type="auto"/>
            <w:tcBorders>
              <w:top w:val="nil"/>
              <w:left w:val="nil"/>
              <w:bottom w:val="single" w:sz="4" w:space="0" w:color="auto"/>
              <w:right w:val="single" w:sz="4" w:space="0" w:color="auto"/>
            </w:tcBorders>
            <w:noWrap/>
            <w:vAlign w:val="center"/>
            <w:hideMark/>
          </w:tcPr>
          <w:p w14:paraId="08DA4C2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121.459,07</w:t>
            </w:r>
          </w:p>
        </w:tc>
      </w:tr>
      <w:tr w:rsidR="00BB3DD1" w:rsidRPr="00BB3DD1" w14:paraId="670F7E52"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14DD491E"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084AC2B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371BBC0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0,261</w:t>
            </w:r>
          </w:p>
        </w:tc>
        <w:tc>
          <w:tcPr>
            <w:tcW w:w="0" w:type="auto"/>
            <w:tcBorders>
              <w:top w:val="nil"/>
              <w:left w:val="nil"/>
              <w:bottom w:val="single" w:sz="4" w:space="0" w:color="auto"/>
              <w:right w:val="single" w:sz="4" w:space="0" w:color="auto"/>
            </w:tcBorders>
            <w:noWrap/>
            <w:vAlign w:val="center"/>
            <w:hideMark/>
          </w:tcPr>
          <w:p w14:paraId="3E08DCB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0,000</w:t>
            </w:r>
          </w:p>
        </w:tc>
        <w:tc>
          <w:tcPr>
            <w:tcW w:w="0" w:type="auto"/>
            <w:tcBorders>
              <w:top w:val="nil"/>
              <w:left w:val="nil"/>
              <w:bottom w:val="single" w:sz="4" w:space="0" w:color="auto"/>
              <w:right w:val="single" w:sz="4" w:space="0" w:color="auto"/>
            </w:tcBorders>
            <w:noWrap/>
            <w:vAlign w:val="center"/>
            <w:hideMark/>
          </w:tcPr>
          <w:p w14:paraId="75091F1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13.290,64</w:t>
            </w:r>
          </w:p>
        </w:tc>
        <w:tc>
          <w:tcPr>
            <w:tcW w:w="0" w:type="auto"/>
            <w:tcBorders>
              <w:top w:val="nil"/>
              <w:left w:val="nil"/>
              <w:bottom w:val="single" w:sz="4" w:space="0" w:color="auto"/>
              <w:right w:val="single" w:sz="4" w:space="0" w:color="auto"/>
            </w:tcBorders>
            <w:vAlign w:val="center"/>
            <w:hideMark/>
          </w:tcPr>
          <w:p w14:paraId="79FAACC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63,47</w:t>
            </w:r>
          </w:p>
        </w:tc>
        <w:tc>
          <w:tcPr>
            <w:tcW w:w="0" w:type="auto"/>
            <w:tcBorders>
              <w:top w:val="nil"/>
              <w:left w:val="nil"/>
              <w:bottom w:val="single" w:sz="4" w:space="0" w:color="auto"/>
              <w:right w:val="single" w:sz="4" w:space="0" w:color="auto"/>
            </w:tcBorders>
            <w:noWrap/>
            <w:vAlign w:val="center"/>
            <w:hideMark/>
          </w:tcPr>
          <w:p w14:paraId="20C3AFE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3.735,62</w:t>
            </w:r>
          </w:p>
        </w:tc>
        <w:tc>
          <w:tcPr>
            <w:tcW w:w="0" w:type="auto"/>
            <w:tcBorders>
              <w:top w:val="nil"/>
              <w:left w:val="nil"/>
              <w:bottom w:val="single" w:sz="4" w:space="0" w:color="auto"/>
              <w:right w:val="single" w:sz="4" w:space="0" w:color="auto"/>
            </w:tcBorders>
            <w:vAlign w:val="center"/>
            <w:hideMark/>
          </w:tcPr>
          <w:p w14:paraId="0E4007C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17,84</w:t>
            </w:r>
          </w:p>
        </w:tc>
        <w:tc>
          <w:tcPr>
            <w:tcW w:w="0" w:type="auto"/>
            <w:tcBorders>
              <w:top w:val="nil"/>
              <w:left w:val="nil"/>
              <w:bottom w:val="single" w:sz="4" w:space="0" w:color="auto"/>
              <w:right w:val="single" w:sz="4" w:space="0" w:color="auto"/>
            </w:tcBorders>
            <w:noWrap/>
            <w:vAlign w:val="center"/>
            <w:hideMark/>
          </w:tcPr>
          <w:p w14:paraId="49768B5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3.913,72</w:t>
            </w:r>
          </w:p>
        </w:tc>
        <w:tc>
          <w:tcPr>
            <w:tcW w:w="0" w:type="auto"/>
            <w:tcBorders>
              <w:top w:val="nil"/>
              <w:left w:val="nil"/>
              <w:bottom w:val="single" w:sz="4" w:space="0" w:color="auto"/>
              <w:right w:val="single" w:sz="4" w:space="0" w:color="auto"/>
            </w:tcBorders>
            <w:vAlign w:val="center"/>
            <w:hideMark/>
          </w:tcPr>
          <w:p w14:paraId="63CBAD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18,69</w:t>
            </w:r>
          </w:p>
        </w:tc>
        <w:tc>
          <w:tcPr>
            <w:tcW w:w="0" w:type="auto"/>
            <w:tcBorders>
              <w:top w:val="nil"/>
              <w:left w:val="nil"/>
              <w:bottom w:val="single" w:sz="4" w:space="0" w:color="auto"/>
              <w:right w:val="single" w:sz="4" w:space="0" w:color="auto"/>
            </w:tcBorders>
            <w:noWrap/>
            <w:vAlign w:val="center"/>
            <w:hideMark/>
          </w:tcPr>
          <w:p w14:paraId="17CE794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20.939,98</w:t>
            </w:r>
          </w:p>
        </w:tc>
      </w:tr>
      <w:tr w:rsidR="00BB3DD1" w:rsidRPr="00BB3DD1" w14:paraId="1B5878A4"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586DEE59"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 C.F.M. SOLDADURA Y CALDERERIA (LOE)</w:t>
            </w:r>
          </w:p>
        </w:tc>
        <w:tc>
          <w:tcPr>
            <w:tcW w:w="0" w:type="auto"/>
            <w:tcBorders>
              <w:top w:val="nil"/>
              <w:left w:val="nil"/>
              <w:bottom w:val="single" w:sz="4" w:space="0" w:color="auto"/>
              <w:right w:val="single" w:sz="4" w:space="0" w:color="auto"/>
            </w:tcBorders>
            <w:noWrap/>
            <w:vAlign w:val="center"/>
            <w:hideMark/>
          </w:tcPr>
          <w:p w14:paraId="0C5DAF0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010FE86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0,348</w:t>
            </w:r>
          </w:p>
        </w:tc>
        <w:tc>
          <w:tcPr>
            <w:tcW w:w="0" w:type="auto"/>
            <w:tcBorders>
              <w:top w:val="nil"/>
              <w:left w:val="nil"/>
              <w:bottom w:val="single" w:sz="4" w:space="0" w:color="auto"/>
              <w:right w:val="single" w:sz="4" w:space="0" w:color="auto"/>
            </w:tcBorders>
            <w:noWrap/>
            <w:vAlign w:val="center"/>
            <w:hideMark/>
          </w:tcPr>
          <w:p w14:paraId="5A53508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1,522</w:t>
            </w:r>
          </w:p>
        </w:tc>
        <w:tc>
          <w:tcPr>
            <w:tcW w:w="0" w:type="auto"/>
            <w:tcBorders>
              <w:top w:val="nil"/>
              <w:left w:val="nil"/>
              <w:bottom w:val="single" w:sz="4" w:space="0" w:color="auto"/>
              <w:right w:val="single" w:sz="4" w:space="0" w:color="auto"/>
            </w:tcBorders>
            <w:noWrap/>
            <w:vAlign w:val="center"/>
            <w:hideMark/>
          </w:tcPr>
          <w:p w14:paraId="4944D26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88.632,32</w:t>
            </w:r>
          </w:p>
        </w:tc>
        <w:tc>
          <w:tcPr>
            <w:tcW w:w="0" w:type="auto"/>
            <w:tcBorders>
              <w:top w:val="nil"/>
              <w:left w:val="nil"/>
              <w:bottom w:val="single" w:sz="4" w:space="0" w:color="auto"/>
              <w:right w:val="single" w:sz="4" w:space="0" w:color="auto"/>
            </w:tcBorders>
            <w:vAlign w:val="center"/>
            <w:hideMark/>
          </w:tcPr>
          <w:p w14:paraId="7047FD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61,87</w:t>
            </w:r>
          </w:p>
        </w:tc>
        <w:tc>
          <w:tcPr>
            <w:tcW w:w="0" w:type="auto"/>
            <w:tcBorders>
              <w:top w:val="nil"/>
              <w:left w:val="nil"/>
              <w:bottom w:val="single" w:sz="4" w:space="0" w:color="auto"/>
              <w:right w:val="single" w:sz="4" w:space="0" w:color="auto"/>
            </w:tcBorders>
            <w:noWrap/>
            <w:vAlign w:val="center"/>
            <w:hideMark/>
          </w:tcPr>
          <w:p w14:paraId="14D9BEE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17.599,03</w:t>
            </w:r>
          </w:p>
        </w:tc>
        <w:tc>
          <w:tcPr>
            <w:tcW w:w="0" w:type="auto"/>
            <w:tcBorders>
              <w:top w:val="nil"/>
              <w:left w:val="nil"/>
              <w:bottom w:val="single" w:sz="4" w:space="0" w:color="auto"/>
              <w:right w:val="single" w:sz="4" w:space="0" w:color="auto"/>
            </w:tcBorders>
            <w:vAlign w:val="center"/>
            <w:hideMark/>
          </w:tcPr>
          <w:p w14:paraId="007DDE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12,29</w:t>
            </w:r>
          </w:p>
        </w:tc>
        <w:tc>
          <w:tcPr>
            <w:tcW w:w="0" w:type="auto"/>
            <w:tcBorders>
              <w:top w:val="nil"/>
              <w:left w:val="nil"/>
              <w:bottom w:val="single" w:sz="4" w:space="0" w:color="auto"/>
              <w:right w:val="single" w:sz="4" w:space="0" w:color="auto"/>
            </w:tcBorders>
            <w:noWrap/>
            <w:vAlign w:val="center"/>
            <w:hideMark/>
          </w:tcPr>
          <w:p w14:paraId="77BEE6D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37.022,95</w:t>
            </w:r>
          </w:p>
        </w:tc>
        <w:tc>
          <w:tcPr>
            <w:tcW w:w="0" w:type="auto"/>
            <w:tcBorders>
              <w:top w:val="nil"/>
              <w:left w:val="nil"/>
              <w:bottom w:val="single" w:sz="4" w:space="0" w:color="auto"/>
              <w:right w:val="single" w:sz="4" w:space="0" w:color="auto"/>
            </w:tcBorders>
            <w:vAlign w:val="center"/>
            <w:hideMark/>
          </w:tcPr>
          <w:p w14:paraId="71AA739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25,84</w:t>
            </w:r>
          </w:p>
        </w:tc>
        <w:tc>
          <w:tcPr>
            <w:tcW w:w="0" w:type="auto"/>
            <w:tcBorders>
              <w:top w:val="nil"/>
              <w:left w:val="nil"/>
              <w:bottom w:val="single" w:sz="4" w:space="0" w:color="auto"/>
              <w:right w:val="single" w:sz="4" w:space="0" w:color="auto"/>
            </w:tcBorders>
            <w:noWrap/>
            <w:vAlign w:val="center"/>
            <w:hideMark/>
          </w:tcPr>
          <w:p w14:paraId="332130C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143.254,30</w:t>
            </w:r>
          </w:p>
        </w:tc>
      </w:tr>
      <w:tr w:rsidR="00BB3DD1" w:rsidRPr="00BB3DD1" w14:paraId="679F3807"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2C18F037"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53C4302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2877BDD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0,913</w:t>
            </w:r>
          </w:p>
        </w:tc>
        <w:tc>
          <w:tcPr>
            <w:tcW w:w="0" w:type="auto"/>
            <w:tcBorders>
              <w:top w:val="nil"/>
              <w:left w:val="nil"/>
              <w:bottom w:val="single" w:sz="4" w:space="0" w:color="auto"/>
              <w:right w:val="single" w:sz="4" w:space="0" w:color="auto"/>
            </w:tcBorders>
            <w:noWrap/>
            <w:vAlign w:val="center"/>
            <w:hideMark/>
          </w:tcPr>
          <w:p w14:paraId="14BA454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0,609</w:t>
            </w:r>
          </w:p>
        </w:tc>
        <w:tc>
          <w:tcPr>
            <w:tcW w:w="0" w:type="auto"/>
            <w:tcBorders>
              <w:top w:val="nil"/>
              <w:left w:val="nil"/>
              <w:bottom w:val="single" w:sz="4" w:space="0" w:color="auto"/>
              <w:right w:val="single" w:sz="4" w:space="0" w:color="auto"/>
            </w:tcBorders>
            <w:noWrap/>
            <w:vAlign w:val="center"/>
            <w:hideMark/>
          </w:tcPr>
          <w:p w14:paraId="4901B2A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74.865,68</w:t>
            </w:r>
          </w:p>
        </w:tc>
        <w:tc>
          <w:tcPr>
            <w:tcW w:w="0" w:type="auto"/>
            <w:tcBorders>
              <w:top w:val="nil"/>
              <w:left w:val="nil"/>
              <w:bottom w:val="single" w:sz="4" w:space="0" w:color="auto"/>
              <w:right w:val="single" w:sz="4" w:space="0" w:color="auto"/>
            </w:tcBorders>
            <w:vAlign w:val="center"/>
            <w:hideMark/>
          </w:tcPr>
          <w:p w14:paraId="612E968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59,10</w:t>
            </w:r>
          </w:p>
        </w:tc>
        <w:tc>
          <w:tcPr>
            <w:tcW w:w="0" w:type="auto"/>
            <w:tcBorders>
              <w:top w:val="nil"/>
              <w:left w:val="nil"/>
              <w:bottom w:val="single" w:sz="4" w:space="0" w:color="auto"/>
              <w:right w:val="single" w:sz="4" w:space="0" w:color="auto"/>
            </w:tcBorders>
            <w:noWrap/>
            <w:vAlign w:val="center"/>
            <w:hideMark/>
          </w:tcPr>
          <w:p w14:paraId="535213F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14.783,27</w:t>
            </w:r>
          </w:p>
        </w:tc>
        <w:tc>
          <w:tcPr>
            <w:tcW w:w="0" w:type="auto"/>
            <w:tcBorders>
              <w:top w:val="nil"/>
              <w:left w:val="nil"/>
              <w:bottom w:val="single" w:sz="4" w:space="0" w:color="auto"/>
              <w:right w:val="single" w:sz="4" w:space="0" w:color="auto"/>
            </w:tcBorders>
            <w:vAlign w:val="center"/>
            <w:hideMark/>
          </w:tcPr>
          <w:p w14:paraId="0ED57AF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11,67</w:t>
            </w:r>
          </w:p>
        </w:tc>
        <w:tc>
          <w:tcPr>
            <w:tcW w:w="0" w:type="auto"/>
            <w:tcBorders>
              <w:top w:val="nil"/>
              <w:left w:val="nil"/>
              <w:bottom w:val="single" w:sz="4" w:space="0" w:color="auto"/>
              <w:right w:val="single" w:sz="4" w:space="0" w:color="auto"/>
            </w:tcBorders>
            <w:noWrap/>
            <w:vAlign w:val="center"/>
            <w:hideMark/>
          </w:tcPr>
          <w:p w14:paraId="2EDA6BE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37.022,95</w:t>
            </w:r>
          </w:p>
        </w:tc>
        <w:tc>
          <w:tcPr>
            <w:tcW w:w="0" w:type="auto"/>
            <w:tcBorders>
              <w:top w:val="nil"/>
              <w:left w:val="nil"/>
              <w:bottom w:val="single" w:sz="4" w:space="0" w:color="auto"/>
              <w:right w:val="single" w:sz="4" w:space="0" w:color="auto"/>
            </w:tcBorders>
            <w:vAlign w:val="center"/>
            <w:hideMark/>
          </w:tcPr>
          <w:p w14:paraId="0C6B776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29,23</w:t>
            </w:r>
          </w:p>
        </w:tc>
        <w:tc>
          <w:tcPr>
            <w:tcW w:w="0" w:type="auto"/>
            <w:tcBorders>
              <w:top w:val="nil"/>
              <w:left w:val="nil"/>
              <w:bottom w:val="single" w:sz="4" w:space="0" w:color="auto"/>
              <w:right w:val="single" w:sz="4" w:space="0" w:color="auto"/>
            </w:tcBorders>
            <w:noWrap/>
            <w:vAlign w:val="center"/>
            <w:hideMark/>
          </w:tcPr>
          <w:p w14:paraId="11CFAFF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126.671,90</w:t>
            </w:r>
          </w:p>
        </w:tc>
      </w:tr>
      <w:tr w:rsidR="00BB3DD1" w:rsidRPr="00BB3DD1" w14:paraId="15F9FB90"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62354A72"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 C.F.M. PREIMPRESION DIGITAL (LOE)</w:t>
            </w:r>
          </w:p>
        </w:tc>
        <w:tc>
          <w:tcPr>
            <w:tcW w:w="0" w:type="auto"/>
            <w:tcBorders>
              <w:top w:val="nil"/>
              <w:left w:val="nil"/>
              <w:bottom w:val="single" w:sz="4" w:space="0" w:color="auto"/>
              <w:right w:val="single" w:sz="4" w:space="0" w:color="auto"/>
            </w:tcBorders>
            <w:noWrap/>
            <w:vAlign w:val="center"/>
            <w:hideMark/>
          </w:tcPr>
          <w:p w14:paraId="3175D27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10177A3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0,609</w:t>
            </w:r>
          </w:p>
        </w:tc>
        <w:tc>
          <w:tcPr>
            <w:tcW w:w="0" w:type="auto"/>
            <w:tcBorders>
              <w:top w:val="nil"/>
              <w:left w:val="nil"/>
              <w:bottom w:val="single" w:sz="4" w:space="0" w:color="auto"/>
              <w:right w:val="single" w:sz="4" w:space="0" w:color="auto"/>
            </w:tcBorders>
            <w:noWrap/>
            <w:vAlign w:val="center"/>
            <w:hideMark/>
          </w:tcPr>
          <w:p w14:paraId="6FB8742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1,043</w:t>
            </w:r>
          </w:p>
        </w:tc>
        <w:tc>
          <w:tcPr>
            <w:tcW w:w="0" w:type="auto"/>
            <w:tcBorders>
              <w:top w:val="nil"/>
              <w:left w:val="nil"/>
              <w:bottom w:val="single" w:sz="4" w:space="0" w:color="auto"/>
              <w:right w:val="single" w:sz="4" w:space="0" w:color="auto"/>
            </w:tcBorders>
            <w:noWrap/>
            <w:vAlign w:val="center"/>
            <w:hideMark/>
          </w:tcPr>
          <w:p w14:paraId="124D1D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79.605,88</w:t>
            </w:r>
          </w:p>
        </w:tc>
        <w:tc>
          <w:tcPr>
            <w:tcW w:w="0" w:type="auto"/>
            <w:tcBorders>
              <w:top w:val="nil"/>
              <w:left w:val="nil"/>
              <w:bottom w:val="single" w:sz="4" w:space="0" w:color="auto"/>
              <w:right w:val="single" w:sz="4" w:space="0" w:color="auto"/>
            </w:tcBorders>
            <w:vAlign w:val="center"/>
            <w:hideMark/>
          </w:tcPr>
          <w:p w14:paraId="3362C1A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62,51</w:t>
            </w:r>
          </w:p>
        </w:tc>
        <w:tc>
          <w:tcPr>
            <w:tcW w:w="0" w:type="auto"/>
            <w:tcBorders>
              <w:top w:val="nil"/>
              <w:left w:val="nil"/>
              <w:bottom w:val="single" w:sz="4" w:space="0" w:color="auto"/>
              <w:right w:val="single" w:sz="4" w:space="0" w:color="auto"/>
            </w:tcBorders>
            <w:noWrap/>
            <w:vAlign w:val="center"/>
            <w:hideMark/>
          </w:tcPr>
          <w:p w14:paraId="6EAC98A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15.864,72</w:t>
            </w:r>
          </w:p>
        </w:tc>
        <w:tc>
          <w:tcPr>
            <w:tcW w:w="0" w:type="auto"/>
            <w:tcBorders>
              <w:top w:val="nil"/>
              <w:left w:val="nil"/>
              <w:bottom w:val="single" w:sz="4" w:space="0" w:color="auto"/>
              <w:right w:val="single" w:sz="4" w:space="0" w:color="auto"/>
            </w:tcBorders>
            <w:vAlign w:val="center"/>
            <w:hideMark/>
          </w:tcPr>
          <w:p w14:paraId="6E6A4A1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12,46</w:t>
            </w:r>
          </w:p>
        </w:tc>
        <w:tc>
          <w:tcPr>
            <w:tcW w:w="0" w:type="auto"/>
            <w:tcBorders>
              <w:top w:val="nil"/>
              <w:left w:val="nil"/>
              <w:bottom w:val="single" w:sz="4" w:space="0" w:color="auto"/>
              <w:right w:val="single" w:sz="4" w:space="0" w:color="auto"/>
            </w:tcBorders>
            <w:noWrap/>
            <w:vAlign w:val="center"/>
            <w:hideMark/>
          </w:tcPr>
          <w:p w14:paraId="7EA8359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31.882,96</w:t>
            </w:r>
          </w:p>
        </w:tc>
        <w:tc>
          <w:tcPr>
            <w:tcW w:w="0" w:type="auto"/>
            <w:tcBorders>
              <w:top w:val="nil"/>
              <w:left w:val="nil"/>
              <w:bottom w:val="single" w:sz="4" w:space="0" w:color="auto"/>
              <w:right w:val="single" w:sz="4" w:space="0" w:color="auto"/>
            </w:tcBorders>
            <w:vAlign w:val="center"/>
            <w:hideMark/>
          </w:tcPr>
          <w:p w14:paraId="161C730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25,03</w:t>
            </w:r>
          </w:p>
        </w:tc>
        <w:tc>
          <w:tcPr>
            <w:tcW w:w="0" w:type="auto"/>
            <w:tcBorders>
              <w:top w:val="nil"/>
              <w:left w:val="nil"/>
              <w:bottom w:val="single" w:sz="4" w:space="0" w:color="auto"/>
              <w:right w:val="single" w:sz="4" w:space="0" w:color="auto"/>
            </w:tcBorders>
            <w:noWrap/>
            <w:vAlign w:val="center"/>
            <w:hideMark/>
          </w:tcPr>
          <w:p w14:paraId="5C752AD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127.353,56</w:t>
            </w:r>
          </w:p>
        </w:tc>
      </w:tr>
      <w:tr w:rsidR="00BB3DD1" w:rsidRPr="00BB3DD1" w14:paraId="6897D888"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32347B49"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226A6D4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67EFC4E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0,652</w:t>
            </w:r>
          </w:p>
        </w:tc>
        <w:tc>
          <w:tcPr>
            <w:tcW w:w="0" w:type="auto"/>
            <w:tcBorders>
              <w:top w:val="nil"/>
              <w:left w:val="nil"/>
              <w:bottom w:val="single" w:sz="4" w:space="0" w:color="auto"/>
              <w:right w:val="single" w:sz="4" w:space="0" w:color="auto"/>
            </w:tcBorders>
            <w:noWrap/>
            <w:vAlign w:val="center"/>
            <w:hideMark/>
          </w:tcPr>
          <w:p w14:paraId="746229B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0,739</w:t>
            </w:r>
          </w:p>
        </w:tc>
        <w:tc>
          <w:tcPr>
            <w:tcW w:w="0" w:type="auto"/>
            <w:tcBorders>
              <w:top w:val="nil"/>
              <w:left w:val="nil"/>
              <w:bottom w:val="single" w:sz="4" w:space="0" w:color="auto"/>
              <w:right w:val="single" w:sz="4" w:space="0" w:color="auto"/>
            </w:tcBorders>
            <w:noWrap/>
            <w:vAlign w:val="center"/>
            <w:hideMark/>
          </w:tcPr>
          <w:p w14:paraId="74E709C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67.631,86</w:t>
            </w:r>
          </w:p>
        </w:tc>
        <w:tc>
          <w:tcPr>
            <w:tcW w:w="0" w:type="auto"/>
            <w:tcBorders>
              <w:top w:val="nil"/>
              <w:left w:val="nil"/>
              <w:bottom w:val="single" w:sz="4" w:space="0" w:color="auto"/>
              <w:right w:val="single" w:sz="4" w:space="0" w:color="auto"/>
            </w:tcBorders>
            <w:vAlign w:val="center"/>
            <w:hideMark/>
          </w:tcPr>
          <w:p w14:paraId="5E6DF47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59,73</w:t>
            </w:r>
          </w:p>
        </w:tc>
        <w:tc>
          <w:tcPr>
            <w:tcW w:w="0" w:type="auto"/>
            <w:tcBorders>
              <w:top w:val="nil"/>
              <w:left w:val="nil"/>
              <w:bottom w:val="single" w:sz="4" w:space="0" w:color="auto"/>
              <w:right w:val="single" w:sz="4" w:space="0" w:color="auto"/>
            </w:tcBorders>
            <w:noWrap/>
            <w:vAlign w:val="center"/>
            <w:hideMark/>
          </w:tcPr>
          <w:p w14:paraId="3B48AB3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13.711,90</w:t>
            </w:r>
          </w:p>
        </w:tc>
        <w:tc>
          <w:tcPr>
            <w:tcW w:w="0" w:type="auto"/>
            <w:tcBorders>
              <w:top w:val="nil"/>
              <w:left w:val="nil"/>
              <w:bottom w:val="single" w:sz="4" w:space="0" w:color="auto"/>
              <w:right w:val="single" w:sz="4" w:space="0" w:color="auto"/>
            </w:tcBorders>
            <w:vAlign w:val="center"/>
            <w:hideMark/>
          </w:tcPr>
          <w:p w14:paraId="6DDC131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12,11</w:t>
            </w:r>
          </w:p>
        </w:tc>
        <w:tc>
          <w:tcPr>
            <w:tcW w:w="0" w:type="auto"/>
            <w:tcBorders>
              <w:top w:val="nil"/>
              <w:left w:val="nil"/>
              <w:bottom w:val="single" w:sz="4" w:space="0" w:color="auto"/>
              <w:right w:val="single" w:sz="4" w:space="0" w:color="auto"/>
            </w:tcBorders>
            <w:noWrap/>
            <w:vAlign w:val="center"/>
            <w:hideMark/>
          </w:tcPr>
          <w:p w14:paraId="2ED67F6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31.882,96</w:t>
            </w:r>
          </w:p>
        </w:tc>
        <w:tc>
          <w:tcPr>
            <w:tcW w:w="0" w:type="auto"/>
            <w:tcBorders>
              <w:top w:val="nil"/>
              <w:left w:val="nil"/>
              <w:bottom w:val="single" w:sz="4" w:space="0" w:color="auto"/>
              <w:right w:val="single" w:sz="4" w:space="0" w:color="auto"/>
            </w:tcBorders>
            <w:vAlign w:val="center"/>
            <w:hideMark/>
          </w:tcPr>
          <w:p w14:paraId="75E3597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28,16</w:t>
            </w:r>
          </w:p>
        </w:tc>
        <w:tc>
          <w:tcPr>
            <w:tcW w:w="0" w:type="auto"/>
            <w:tcBorders>
              <w:top w:val="nil"/>
              <w:left w:val="nil"/>
              <w:bottom w:val="single" w:sz="4" w:space="0" w:color="auto"/>
              <w:right w:val="single" w:sz="4" w:space="0" w:color="auto"/>
            </w:tcBorders>
            <w:noWrap/>
            <w:vAlign w:val="center"/>
            <w:hideMark/>
          </w:tcPr>
          <w:p w14:paraId="2DEC983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113.226,72</w:t>
            </w:r>
          </w:p>
        </w:tc>
      </w:tr>
      <w:tr w:rsidR="00BB3DD1" w:rsidRPr="00BB3DD1" w14:paraId="1C2FF452"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245ACADA"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 C.F.M. IMPRESION GRÁFICA (LOE)</w:t>
            </w:r>
          </w:p>
        </w:tc>
        <w:tc>
          <w:tcPr>
            <w:tcW w:w="0" w:type="auto"/>
            <w:tcBorders>
              <w:top w:val="nil"/>
              <w:left w:val="nil"/>
              <w:bottom w:val="single" w:sz="4" w:space="0" w:color="auto"/>
              <w:right w:val="single" w:sz="4" w:space="0" w:color="auto"/>
            </w:tcBorders>
            <w:noWrap/>
            <w:vAlign w:val="center"/>
            <w:hideMark/>
          </w:tcPr>
          <w:p w14:paraId="4A24C0D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7F0617E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0,696</w:t>
            </w:r>
          </w:p>
        </w:tc>
        <w:tc>
          <w:tcPr>
            <w:tcW w:w="0" w:type="auto"/>
            <w:tcBorders>
              <w:top w:val="nil"/>
              <w:left w:val="nil"/>
              <w:bottom w:val="single" w:sz="4" w:space="0" w:color="auto"/>
              <w:right w:val="single" w:sz="4" w:space="0" w:color="auto"/>
            </w:tcBorders>
            <w:noWrap/>
            <w:vAlign w:val="center"/>
            <w:hideMark/>
          </w:tcPr>
          <w:p w14:paraId="27CFA3B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0,957</w:t>
            </w:r>
          </w:p>
        </w:tc>
        <w:tc>
          <w:tcPr>
            <w:tcW w:w="0" w:type="auto"/>
            <w:tcBorders>
              <w:top w:val="nil"/>
              <w:left w:val="nil"/>
              <w:bottom w:val="single" w:sz="4" w:space="0" w:color="auto"/>
              <w:right w:val="single" w:sz="4" w:space="0" w:color="auto"/>
            </w:tcBorders>
            <w:noWrap/>
            <w:vAlign w:val="center"/>
            <w:hideMark/>
          </w:tcPr>
          <w:p w14:paraId="63C7FF7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80.029,27</w:t>
            </w:r>
          </w:p>
        </w:tc>
        <w:tc>
          <w:tcPr>
            <w:tcW w:w="0" w:type="auto"/>
            <w:tcBorders>
              <w:top w:val="nil"/>
              <w:left w:val="nil"/>
              <w:bottom w:val="single" w:sz="4" w:space="0" w:color="auto"/>
              <w:right w:val="single" w:sz="4" w:space="0" w:color="auto"/>
            </w:tcBorders>
            <w:vAlign w:val="center"/>
            <w:hideMark/>
          </w:tcPr>
          <w:p w14:paraId="0A9F5DB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61,42</w:t>
            </w:r>
          </w:p>
        </w:tc>
        <w:tc>
          <w:tcPr>
            <w:tcW w:w="0" w:type="auto"/>
            <w:tcBorders>
              <w:top w:val="nil"/>
              <w:left w:val="nil"/>
              <w:bottom w:val="single" w:sz="4" w:space="0" w:color="auto"/>
              <w:right w:val="single" w:sz="4" w:space="0" w:color="auto"/>
            </w:tcBorders>
            <w:noWrap/>
            <w:vAlign w:val="center"/>
            <w:hideMark/>
          </w:tcPr>
          <w:p w14:paraId="1EDB93F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16.111,71</w:t>
            </w:r>
          </w:p>
        </w:tc>
        <w:tc>
          <w:tcPr>
            <w:tcW w:w="0" w:type="auto"/>
            <w:tcBorders>
              <w:top w:val="nil"/>
              <w:left w:val="nil"/>
              <w:bottom w:val="single" w:sz="4" w:space="0" w:color="auto"/>
              <w:right w:val="single" w:sz="4" w:space="0" w:color="auto"/>
            </w:tcBorders>
            <w:vAlign w:val="center"/>
            <w:hideMark/>
          </w:tcPr>
          <w:p w14:paraId="68C7698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12,36</w:t>
            </w:r>
          </w:p>
        </w:tc>
        <w:tc>
          <w:tcPr>
            <w:tcW w:w="0" w:type="auto"/>
            <w:tcBorders>
              <w:top w:val="nil"/>
              <w:left w:val="nil"/>
              <w:bottom w:val="single" w:sz="4" w:space="0" w:color="auto"/>
              <w:right w:val="single" w:sz="4" w:space="0" w:color="auto"/>
            </w:tcBorders>
            <w:noWrap/>
            <w:vAlign w:val="center"/>
            <w:hideMark/>
          </w:tcPr>
          <w:p w14:paraId="452940B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34.165,96</w:t>
            </w:r>
          </w:p>
        </w:tc>
        <w:tc>
          <w:tcPr>
            <w:tcW w:w="0" w:type="auto"/>
            <w:tcBorders>
              <w:top w:val="nil"/>
              <w:left w:val="nil"/>
              <w:bottom w:val="single" w:sz="4" w:space="0" w:color="auto"/>
              <w:right w:val="single" w:sz="4" w:space="0" w:color="auto"/>
            </w:tcBorders>
            <w:vAlign w:val="center"/>
            <w:hideMark/>
          </w:tcPr>
          <w:p w14:paraId="5AA51F1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26,22</w:t>
            </w:r>
          </w:p>
        </w:tc>
        <w:tc>
          <w:tcPr>
            <w:tcW w:w="0" w:type="auto"/>
            <w:tcBorders>
              <w:top w:val="nil"/>
              <w:left w:val="nil"/>
              <w:bottom w:val="single" w:sz="4" w:space="0" w:color="auto"/>
              <w:right w:val="single" w:sz="4" w:space="0" w:color="auto"/>
            </w:tcBorders>
            <w:noWrap/>
            <w:vAlign w:val="center"/>
            <w:hideMark/>
          </w:tcPr>
          <w:p w14:paraId="0BA6E1C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130.306,94</w:t>
            </w:r>
          </w:p>
        </w:tc>
      </w:tr>
      <w:tr w:rsidR="00BB3DD1" w:rsidRPr="00BB3DD1" w14:paraId="144B797D"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76BCB8A4"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4104570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5E8B6D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0,653</w:t>
            </w:r>
          </w:p>
        </w:tc>
        <w:tc>
          <w:tcPr>
            <w:tcW w:w="0" w:type="auto"/>
            <w:tcBorders>
              <w:top w:val="nil"/>
              <w:left w:val="nil"/>
              <w:bottom w:val="single" w:sz="4" w:space="0" w:color="auto"/>
              <w:right w:val="single" w:sz="4" w:space="0" w:color="auto"/>
            </w:tcBorders>
            <w:noWrap/>
            <w:vAlign w:val="center"/>
            <w:hideMark/>
          </w:tcPr>
          <w:p w14:paraId="25ED00E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0" w:type="auto"/>
            <w:tcBorders>
              <w:top w:val="nil"/>
              <w:left w:val="nil"/>
              <w:bottom w:val="single" w:sz="4" w:space="0" w:color="auto"/>
              <w:right w:val="single" w:sz="4" w:space="0" w:color="auto"/>
            </w:tcBorders>
            <w:noWrap/>
            <w:vAlign w:val="center"/>
            <w:hideMark/>
          </w:tcPr>
          <w:p w14:paraId="1049A22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69.732,79</w:t>
            </w:r>
          </w:p>
        </w:tc>
        <w:tc>
          <w:tcPr>
            <w:tcW w:w="0" w:type="auto"/>
            <w:tcBorders>
              <w:top w:val="nil"/>
              <w:left w:val="nil"/>
              <w:bottom w:val="single" w:sz="4" w:space="0" w:color="auto"/>
              <w:right w:val="single" w:sz="4" w:space="0" w:color="auto"/>
            </w:tcBorders>
            <w:vAlign w:val="center"/>
            <w:hideMark/>
          </w:tcPr>
          <w:p w14:paraId="73DD5C2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59,03</w:t>
            </w:r>
          </w:p>
        </w:tc>
        <w:tc>
          <w:tcPr>
            <w:tcW w:w="0" w:type="auto"/>
            <w:tcBorders>
              <w:top w:val="nil"/>
              <w:left w:val="nil"/>
              <w:bottom w:val="single" w:sz="4" w:space="0" w:color="auto"/>
              <w:right w:val="single" w:sz="4" w:space="0" w:color="auto"/>
            </w:tcBorders>
            <w:noWrap/>
            <w:vAlign w:val="center"/>
            <w:hideMark/>
          </w:tcPr>
          <w:p w14:paraId="0E25E6D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14.237,14</w:t>
            </w:r>
          </w:p>
        </w:tc>
        <w:tc>
          <w:tcPr>
            <w:tcW w:w="0" w:type="auto"/>
            <w:tcBorders>
              <w:top w:val="nil"/>
              <w:left w:val="nil"/>
              <w:bottom w:val="single" w:sz="4" w:space="0" w:color="auto"/>
              <w:right w:val="single" w:sz="4" w:space="0" w:color="auto"/>
            </w:tcBorders>
            <w:vAlign w:val="center"/>
            <w:hideMark/>
          </w:tcPr>
          <w:p w14:paraId="5F14A9E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12,05</w:t>
            </w:r>
          </w:p>
        </w:tc>
        <w:tc>
          <w:tcPr>
            <w:tcW w:w="0" w:type="auto"/>
            <w:tcBorders>
              <w:top w:val="nil"/>
              <w:left w:val="nil"/>
              <w:bottom w:val="single" w:sz="4" w:space="0" w:color="auto"/>
              <w:right w:val="single" w:sz="4" w:space="0" w:color="auto"/>
            </w:tcBorders>
            <w:noWrap/>
            <w:vAlign w:val="center"/>
            <w:hideMark/>
          </w:tcPr>
          <w:p w14:paraId="36C6014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34.165,96</w:t>
            </w:r>
          </w:p>
        </w:tc>
        <w:tc>
          <w:tcPr>
            <w:tcW w:w="0" w:type="auto"/>
            <w:tcBorders>
              <w:top w:val="nil"/>
              <w:left w:val="nil"/>
              <w:bottom w:val="single" w:sz="4" w:space="0" w:color="auto"/>
              <w:right w:val="single" w:sz="4" w:space="0" w:color="auto"/>
            </w:tcBorders>
            <w:vAlign w:val="center"/>
            <w:hideMark/>
          </w:tcPr>
          <w:p w14:paraId="652C6AF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28,92</w:t>
            </w:r>
          </w:p>
        </w:tc>
        <w:tc>
          <w:tcPr>
            <w:tcW w:w="0" w:type="auto"/>
            <w:tcBorders>
              <w:top w:val="nil"/>
              <w:left w:val="nil"/>
              <w:bottom w:val="single" w:sz="4" w:space="0" w:color="auto"/>
              <w:right w:val="single" w:sz="4" w:space="0" w:color="auto"/>
            </w:tcBorders>
            <w:noWrap/>
            <w:vAlign w:val="center"/>
            <w:hideMark/>
          </w:tcPr>
          <w:p w14:paraId="740F917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118.135,89</w:t>
            </w:r>
          </w:p>
        </w:tc>
      </w:tr>
      <w:tr w:rsidR="00BB3DD1" w:rsidRPr="00BB3DD1" w14:paraId="70184263"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2E80775E"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 C.F.M. FABRIC. A MEDIDA E INST. DE CARPINTERÍA Y MUEBLE</w:t>
            </w:r>
          </w:p>
        </w:tc>
        <w:tc>
          <w:tcPr>
            <w:tcW w:w="0" w:type="auto"/>
            <w:tcBorders>
              <w:top w:val="nil"/>
              <w:left w:val="nil"/>
              <w:bottom w:val="single" w:sz="4" w:space="0" w:color="auto"/>
              <w:right w:val="single" w:sz="4" w:space="0" w:color="auto"/>
            </w:tcBorders>
            <w:noWrap/>
            <w:vAlign w:val="center"/>
            <w:hideMark/>
          </w:tcPr>
          <w:p w14:paraId="11702B8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17421CA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0,826</w:t>
            </w:r>
          </w:p>
        </w:tc>
        <w:tc>
          <w:tcPr>
            <w:tcW w:w="0" w:type="auto"/>
            <w:tcBorders>
              <w:top w:val="nil"/>
              <w:left w:val="nil"/>
              <w:bottom w:val="single" w:sz="4" w:space="0" w:color="auto"/>
              <w:right w:val="single" w:sz="4" w:space="0" w:color="auto"/>
            </w:tcBorders>
            <w:noWrap/>
            <w:vAlign w:val="center"/>
            <w:hideMark/>
          </w:tcPr>
          <w:p w14:paraId="5E52FBC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1,000</w:t>
            </w:r>
          </w:p>
        </w:tc>
        <w:tc>
          <w:tcPr>
            <w:tcW w:w="0" w:type="auto"/>
            <w:tcBorders>
              <w:top w:val="nil"/>
              <w:left w:val="nil"/>
              <w:bottom w:val="single" w:sz="4" w:space="0" w:color="auto"/>
              <w:right w:val="single" w:sz="4" w:space="0" w:color="auto"/>
            </w:tcBorders>
            <w:noWrap/>
            <w:vAlign w:val="center"/>
            <w:hideMark/>
          </w:tcPr>
          <w:p w14:paraId="3090EBF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88.652,53</w:t>
            </w:r>
          </w:p>
        </w:tc>
        <w:tc>
          <w:tcPr>
            <w:tcW w:w="0" w:type="auto"/>
            <w:tcBorders>
              <w:top w:val="nil"/>
              <w:left w:val="nil"/>
              <w:bottom w:val="single" w:sz="4" w:space="0" w:color="auto"/>
              <w:right w:val="single" w:sz="4" w:space="0" w:color="auto"/>
            </w:tcBorders>
            <w:vAlign w:val="center"/>
            <w:hideMark/>
          </w:tcPr>
          <w:p w14:paraId="42B915D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64,16</w:t>
            </w:r>
          </w:p>
        </w:tc>
        <w:tc>
          <w:tcPr>
            <w:tcW w:w="0" w:type="auto"/>
            <w:tcBorders>
              <w:top w:val="nil"/>
              <w:left w:val="nil"/>
              <w:bottom w:val="single" w:sz="4" w:space="0" w:color="auto"/>
              <w:right w:val="single" w:sz="4" w:space="0" w:color="auto"/>
            </w:tcBorders>
            <w:noWrap/>
            <w:vAlign w:val="center"/>
            <w:hideMark/>
          </w:tcPr>
          <w:p w14:paraId="5187619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17.519,74</w:t>
            </w:r>
          </w:p>
        </w:tc>
        <w:tc>
          <w:tcPr>
            <w:tcW w:w="0" w:type="auto"/>
            <w:tcBorders>
              <w:top w:val="nil"/>
              <w:left w:val="nil"/>
              <w:bottom w:val="single" w:sz="4" w:space="0" w:color="auto"/>
              <w:right w:val="single" w:sz="4" w:space="0" w:color="auto"/>
            </w:tcBorders>
            <w:vAlign w:val="center"/>
            <w:hideMark/>
          </w:tcPr>
          <w:p w14:paraId="51B70C0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12,68</w:t>
            </w:r>
          </w:p>
        </w:tc>
        <w:tc>
          <w:tcPr>
            <w:tcW w:w="0" w:type="auto"/>
            <w:tcBorders>
              <w:top w:val="nil"/>
              <w:left w:val="nil"/>
              <w:bottom w:val="single" w:sz="4" w:space="0" w:color="auto"/>
              <w:right w:val="single" w:sz="4" w:space="0" w:color="auto"/>
            </w:tcBorders>
            <w:noWrap/>
            <w:vAlign w:val="center"/>
            <w:hideMark/>
          </w:tcPr>
          <w:p w14:paraId="7655819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31.991,69</w:t>
            </w:r>
          </w:p>
        </w:tc>
        <w:tc>
          <w:tcPr>
            <w:tcW w:w="0" w:type="auto"/>
            <w:tcBorders>
              <w:top w:val="nil"/>
              <w:left w:val="nil"/>
              <w:bottom w:val="single" w:sz="4" w:space="0" w:color="auto"/>
              <w:right w:val="single" w:sz="4" w:space="0" w:color="auto"/>
            </w:tcBorders>
            <w:vAlign w:val="center"/>
            <w:hideMark/>
          </w:tcPr>
          <w:p w14:paraId="495A8E1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23,15</w:t>
            </w:r>
          </w:p>
        </w:tc>
        <w:tc>
          <w:tcPr>
            <w:tcW w:w="0" w:type="auto"/>
            <w:tcBorders>
              <w:top w:val="nil"/>
              <w:left w:val="nil"/>
              <w:bottom w:val="single" w:sz="4" w:space="0" w:color="auto"/>
              <w:right w:val="single" w:sz="4" w:space="0" w:color="auto"/>
            </w:tcBorders>
            <w:noWrap/>
            <w:vAlign w:val="center"/>
            <w:hideMark/>
          </w:tcPr>
          <w:p w14:paraId="320B21B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138.163,96</w:t>
            </w:r>
          </w:p>
        </w:tc>
      </w:tr>
      <w:tr w:rsidR="00BB3DD1" w:rsidRPr="00BB3DD1" w14:paraId="5C470E57"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6DB7CDEB"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3F63973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6AAE34D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0,565</w:t>
            </w:r>
          </w:p>
        </w:tc>
        <w:tc>
          <w:tcPr>
            <w:tcW w:w="0" w:type="auto"/>
            <w:tcBorders>
              <w:top w:val="nil"/>
              <w:left w:val="nil"/>
              <w:bottom w:val="single" w:sz="4" w:space="0" w:color="auto"/>
              <w:right w:val="single" w:sz="4" w:space="0" w:color="auto"/>
            </w:tcBorders>
            <w:noWrap/>
            <w:vAlign w:val="center"/>
            <w:hideMark/>
          </w:tcPr>
          <w:p w14:paraId="382EC8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1,000</w:t>
            </w:r>
          </w:p>
        </w:tc>
        <w:tc>
          <w:tcPr>
            <w:tcW w:w="0" w:type="auto"/>
            <w:tcBorders>
              <w:top w:val="nil"/>
              <w:left w:val="nil"/>
              <w:bottom w:val="single" w:sz="4" w:space="0" w:color="auto"/>
              <w:right w:val="single" w:sz="4" w:space="0" w:color="auto"/>
            </w:tcBorders>
            <w:noWrap/>
            <w:vAlign w:val="center"/>
            <w:hideMark/>
          </w:tcPr>
          <w:p w14:paraId="75C00BD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75.361,90</w:t>
            </w:r>
          </w:p>
        </w:tc>
        <w:tc>
          <w:tcPr>
            <w:tcW w:w="0" w:type="auto"/>
            <w:tcBorders>
              <w:top w:val="nil"/>
              <w:left w:val="nil"/>
              <w:bottom w:val="single" w:sz="4" w:space="0" w:color="auto"/>
              <w:right w:val="single" w:sz="4" w:space="0" w:color="auto"/>
            </w:tcBorders>
            <w:vAlign w:val="center"/>
            <w:hideMark/>
          </w:tcPr>
          <w:p w14:paraId="6392913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61,43</w:t>
            </w:r>
          </w:p>
        </w:tc>
        <w:tc>
          <w:tcPr>
            <w:tcW w:w="0" w:type="auto"/>
            <w:tcBorders>
              <w:top w:val="nil"/>
              <w:left w:val="nil"/>
              <w:bottom w:val="single" w:sz="4" w:space="0" w:color="auto"/>
              <w:right w:val="single" w:sz="4" w:space="0" w:color="auto"/>
            </w:tcBorders>
            <w:noWrap/>
            <w:vAlign w:val="center"/>
            <w:hideMark/>
          </w:tcPr>
          <w:p w14:paraId="08D8E23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15.325,64</w:t>
            </w:r>
          </w:p>
        </w:tc>
        <w:tc>
          <w:tcPr>
            <w:tcW w:w="0" w:type="auto"/>
            <w:tcBorders>
              <w:top w:val="nil"/>
              <w:left w:val="nil"/>
              <w:bottom w:val="single" w:sz="4" w:space="0" w:color="auto"/>
              <w:right w:val="single" w:sz="4" w:space="0" w:color="auto"/>
            </w:tcBorders>
            <w:vAlign w:val="center"/>
            <w:hideMark/>
          </w:tcPr>
          <w:p w14:paraId="036C050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12,49</w:t>
            </w:r>
          </w:p>
        </w:tc>
        <w:tc>
          <w:tcPr>
            <w:tcW w:w="0" w:type="auto"/>
            <w:tcBorders>
              <w:top w:val="nil"/>
              <w:left w:val="nil"/>
              <w:bottom w:val="single" w:sz="4" w:space="0" w:color="auto"/>
              <w:right w:val="single" w:sz="4" w:space="0" w:color="auto"/>
            </w:tcBorders>
            <w:noWrap/>
            <w:vAlign w:val="center"/>
            <w:hideMark/>
          </w:tcPr>
          <w:p w14:paraId="620A4A6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31.991,69</w:t>
            </w:r>
          </w:p>
        </w:tc>
        <w:tc>
          <w:tcPr>
            <w:tcW w:w="0" w:type="auto"/>
            <w:tcBorders>
              <w:top w:val="nil"/>
              <w:left w:val="nil"/>
              <w:bottom w:val="single" w:sz="4" w:space="0" w:color="auto"/>
              <w:right w:val="single" w:sz="4" w:space="0" w:color="auto"/>
            </w:tcBorders>
            <w:vAlign w:val="center"/>
            <w:hideMark/>
          </w:tcPr>
          <w:p w14:paraId="3FD4BE8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26,08</w:t>
            </w:r>
          </w:p>
        </w:tc>
        <w:tc>
          <w:tcPr>
            <w:tcW w:w="0" w:type="auto"/>
            <w:tcBorders>
              <w:top w:val="nil"/>
              <w:left w:val="nil"/>
              <w:bottom w:val="single" w:sz="4" w:space="0" w:color="auto"/>
              <w:right w:val="single" w:sz="4" w:space="0" w:color="auto"/>
            </w:tcBorders>
            <w:noWrap/>
            <w:vAlign w:val="center"/>
            <w:hideMark/>
          </w:tcPr>
          <w:p w14:paraId="5F9E704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122.679,23</w:t>
            </w:r>
          </w:p>
        </w:tc>
      </w:tr>
      <w:tr w:rsidR="00BB3DD1" w:rsidRPr="00BB3DD1" w14:paraId="490F7A90"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2CFE0DAD"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 C.F.M. FARMACIA Y PARAFARMACIA (LOE)</w:t>
            </w:r>
          </w:p>
        </w:tc>
        <w:tc>
          <w:tcPr>
            <w:tcW w:w="0" w:type="auto"/>
            <w:tcBorders>
              <w:top w:val="nil"/>
              <w:left w:val="nil"/>
              <w:bottom w:val="single" w:sz="4" w:space="0" w:color="auto"/>
              <w:right w:val="single" w:sz="4" w:space="0" w:color="auto"/>
            </w:tcBorders>
            <w:noWrap/>
            <w:vAlign w:val="center"/>
            <w:hideMark/>
          </w:tcPr>
          <w:p w14:paraId="295F792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4EB83FD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0,652</w:t>
            </w:r>
          </w:p>
        </w:tc>
        <w:tc>
          <w:tcPr>
            <w:tcW w:w="0" w:type="auto"/>
            <w:tcBorders>
              <w:top w:val="nil"/>
              <w:left w:val="nil"/>
              <w:bottom w:val="single" w:sz="4" w:space="0" w:color="auto"/>
              <w:right w:val="single" w:sz="4" w:space="0" w:color="auto"/>
            </w:tcBorders>
            <w:noWrap/>
            <w:vAlign w:val="center"/>
            <w:hideMark/>
          </w:tcPr>
          <w:p w14:paraId="0D76C19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0,913</w:t>
            </w:r>
          </w:p>
        </w:tc>
        <w:tc>
          <w:tcPr>
            <w:tcW w:w="0" w:type="auto"/>
            <w:tcBorders>
              <w:top w:val="nil"/>
              <w:left w:val="nil"/>
              <w:bottom w:val="single" w:sz="4" w:space="0" w:color="auto"/>
              <w:right w:val="single" w:sz="4" w:space="0" w:color="auto"/>
            </w:tcBorders>
            <w:noWrap/>
            <w:vAlign w:val="center"/>
            <w:hideMark/>
          </w:tcPr>
          <w:p w14:paraId="1FECF86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75.738,69</w:t>
            </w:r>
          </w:p>
        </w:tc>
        <w:tc>
          <w:tcPr>
            <w:tcW w:w="0" w:type="auto"/>
            <w:tcBorders>
              <w:top w:val="nil"/>
              <w:left w:val="nil"/>
              <w:bottom w:val="single" w:sz="4" w:space="0" w:color="auto"/>
              <w:right w:val="single" w:sz="4" w:space="0" w:color="auto"/>
            </w:tcBorders>
            <w:vAlign w:val="center"/>
            <w:hideMark/>
          </w:tcPr>
          <w:p w14:paraId="61022C4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68,07</w:t>
            </w:r>
          </w:p>
        </w:tc>
        <w:tc>
          <w:tcPr>
            <w:tcW w:w="0" w:type="auto"/>
            <w:tcBorders>
              <w:top w:val="nil"/>
              <w:left w:val="nil"/>
              <w:bottom w:val="single" w:sz="4" w:space="0" w:color="auto"/>
              <w:right w:val="single" w:sz="4" w:space="0" w:color="auto"/>
            </w:tcBorders>
            <w:noWrap/>
            <w:vAlign w:val="center"/>
            <w:hideMark/>
          </w:tcPr>
          <w:p w14:paraId="2B69AE1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15.122,07</w:t>
            </w:r>
          </w:p>
        </w:tc>
        <w:tc>
          <w:tcPr>
            <w:tcW w:w="0" w:type="auto"/>
            <w:tcBorders>
              <w:top w:val="nil"/>
              <w:left w:val="nil"/>
              <w:bottom w:val="single" w:sz="4" w:space="0" w:color="auto"/>
              <w:right w:val="single" w:sz="4" w:space="0" w:color="auto"/>
            </w:tcBorders>
            <w:vAlign w:val="center"/>
            <w:hideMark/>
          </w:tcPr>
          <w:p w14:paraId="1048330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13,59</w:t>
            </w:r>
          </w:p>
        </w:tc>
        <w:tc>
          <w:tcPr>
            <w:tcW w:w="0" w:type="auto"/>
            <w:tcBorders>
              <w:top w:val="nil"/>
              <w:left w:val="nil"/>
              <w:bottom w:val="single" w:sz="4" w:space="0" w:color="auto"/>
              <w:right w:val="single" w:sz="4" w:space="0" w:color="auto"/>
            </w:tcBorders>
            <w:noWrap/>
            <w:vAlign w:val="center"/>
            <w:hideMark/>
          </w:tcPr>
          <w:p w14:paraId="3CD9328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20.398,56</w:t>
            </w:r>
          </w:p>
        </w:tc>
        <w:tc>
          <w:tcPr>
            <w:tcW w:w="0" w:type="auto"/>
            <w:tcBorders>
              <w:top w:val="nil"/>
              <w:left w:val="nil"/>
              <w:bottom w:val="single" w:sz="4" w:space="0" w:color="auto"/>
              <w:right w:val="single" w:sz="4" w:space="0" w:color="auto"/>
            </w:tcBorders>
            <w:vAlign w:val="center"/>
            <w:hideMark/>
          </w:tcPr>
          <w:p w14:paraId="737479B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18,33</w:t>
            </w:r>
          </w:p>
        </w:tc>
        <w:tc>
          <w:tcPr>
            <w:tcW w:w="0" w:type="auto"/>
            <w:tcBorders>
              <w:top w:val="nil"/>
              <w:left w:val="nil"/>
              <w:bottom w:val="single" w:sz="4" w:space="0" w:color="auto"/>
              <w:right w:val="single" w:sz="4" w:space="0" w:color="auto"/>
            </w:tcBorders>
            <w:noWrap/>
            <w:vAlign w:val="center"/>
            <w:hideMark/>
          </w:tcPr>
          <w:p w14:paraId="566DB04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111.259,32</w:t>
            </w:r>
          </w:p>
        </w:tc>
      </w:tr>
      <w:tr w:rsidR="00BB3DD1" w:rsidRPr="00BB3DD1" w14:paraId="0C3B39FC"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71DDD50E"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664365C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42A39E1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0,652</w:t>
            </w:r>
          </w:p>
        </w:tc>
        <w:tc>
          <w:tcPr>
            <w:tcW w:w="0" w:type="auto"/>
            <w:tcBorders>
              <w:top w:val="nil"/>
              <w:left w:val="nil"/>
              <w:bottom w:val="single" w:sz="4" w:space="0" w:color="auto"/>
              <w:right w:val="single" w:sz="4" w:space="0" w:color="auto"/>
            </w:tcBorders>
            <w:noWrap/>
            <w:vAlign w:val="center"/>
            <w:hideMark/>
          </w:tcPr>
          <w:p w14:paraId="19F3BCC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0,717</w:t>
            </w:r>
          </w:p>
        </w:tc>
        <w:tc>
          <w:tcPr>
            <w:tcW w:w="0" w:type="auto"/>
            <w:tcBorders>
              <w:top w:val="nil"/>
              <w:left w:val="nil"/>
              <w:bottom w:val="single" w:sz="4" w:space="0" w:color="auto"/>
              <w:right w:val="single" w:sz="4" w:space="0" w:color="auto"/>
            </w:tcBorders>
            <w:noWrap/>
            <w:vAlign w:val="center"/>
            <w:hideMark/>
          </w:tcPr>
          <w:p w14:paraId="369F01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66.606,86</w:t>
            </w:r>
          </w:p>
        </w:tc>
        <w:tc>
          <w:tcPr>
            <w:tcW w:w="0" w:type="auto"/>
            <w:tcBorders>
              <w:top w:val="nil"/>
              <w:left w:val="nil"/>
              <w:bottom w:val="single" w:sz="4" w:space="0" w:color="auto"/>
              <w:right w:val="single" w:sz="4" w:space="0" w:color="auto"/>
            </w:tcBorders>
            <w:vAlign w:val="center"/>
            <w:hideMark/>
          </w:tcPr>
          <w:p w14:paraId="0D04B83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66,26</w:t>
            </w:r>
          </w:p>
        </w:tc>
        <w:tc>
          <w:tcPr>
            <w:tcW w:w="0" w:type="auto"/>
            <w:tcBorders>
              <w:top w:val="nil"/>
              <w:left w:val="nil"/>
              <w:bottom w:val="single" w:sz="4" w:space="0" w:color="auto"/>
              <w:right w:val="single" w:sz="4" w:space="0" w:color="auto"/>
            </w:tcBorders>
            <w:noWrap/>
            <w:vAlign w:val="center"/>
            <w:hideMark/>
          </w:tcPr>
          <w:p w14:paraId="091BBE8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13.516,27</w:t>
            </w:r>
          </w:p>
        </w:tc>
        <w:tc>
          <w:tcPr>
            <w:tcW w:w="0" w:type="auto"/>
            <w:tcBorders>
              <w:top w:val="nil"/>
              <w:left w:val="nil"/>
              <w:bottom w:val="single" w:sz="4" w:space="0" w:color="auto"/>
              <w:right w:val="single" w:sz="4" w:space="0" w:color="auto"/>
            </w:tcBorders>
            <w:vAlign w:val="center"/>
            <w:hideMark/>
          </w:tcPr>
          <w:p w14:paraId="0868B21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13,45</w:t>
            </w:r>
          </w:p>
        </w:tc>
        <w:tc>
          <w:tcPr>
            <w:tcW w:w="0" w:type="auto"/>
            <w:tcBorders>
              <w:top w:val="nil"/>
              <w:left w:val="nil"/>
              <w:bottom w:val="single" w:sz="4" w:space="0" w:color="auto"/>
              <w:right w:val="single" w:sz="4" w:space="0" w:color="auto"/>
            </w:tcBorders>
            <w:noWrap/>
            <w:vAlign w:val="center"/>
            <w:hideMark/>
          </w:tcPr>
          <w:p w14:paraId="3383B6B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20.398,56</w:t>
            </w:r>
          </w:p>
        </w:tc>
        <w:tc>
          <w:tcPr>
            <w:tcW w:w="0" w:type="auto"/>
            <w:tcBorders>
              <w:top w:val="nil"/>
              <w:left w:val="nil"/>
              <w:bottom w:val="single" w:sz="4" w:space="0" w:color="auto"/>
              <w:right w:val="single" w:sz="4" w:space="0" w:color="auto"/>
            </w:tcBorders>
            <w:vAlign w:val="center"/>
            <w:hideMark/>
          </w:tcPr>
          <w:p w14:paraId="5F04D54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20,29</w:t>
            </w:r>
          </w:p>
        </w:tc>
        <w:tc>
          <w:tcPr>
            <w:tcW w:w="0" w:type="auto"/>
            <w:tcBorders>
              <w:top w:val="nil"/>
              <w:left w:val="nil"/>
              <w:bottom w:val="single" w:sz="4" w:space="0" w:color="auto"/>
              <w:right w:val="single" w:sz="4" w:space="0" w:color="auto"/>
            </w:tcBorders>
            <w:noWrap/>
            <w:vAlign w:val="center"/>
            <w:hideMark/>
          </w:tcPr>
          <w:p w14:paraId="5777065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100.521,69</w:t>
            </w:r>
          </w:p>
        </w:tc>
      </w:tr>
      <w:tr w:rsidR="00BB3DD1" w:rsidRPr="00BB3DD1" w14:paraId="40DDE742"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572C2E1F"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 C.F.M. INSTALACIONES ELÉCTRICAS Y AUTOMÁTICAS (LOE)</w:t>
            </w:r>
          </w:p>
        </w:tc>
        <w:tc>
          <w:tcPr>
            <w:tcW w:w="0" w:type="auto"/>
            <w:tcBorders>
              <w:top w:val="nil"/>
              <w:left w:val="nil"/>
              <w:bottom w:val="single" w:sz="4" w:space="0" w:color="auto"/>
              <w:right w:val="single" w:sz="4" w:space="0" w:color="auto"/>
            </w:tcBorders>
            <w:noWrap/>
            <w:vAlign w:val="center"/>
            <w:hideMark/>
          </w:tcPr>
          <w:p w14:paraId="54F2303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6A31208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0,696</w:t>
            </w:r>
          </w:p>
        </w:tc>
        <w:tc>
          <w:tcPr>
            <w:tcW w:w="0" w:type="auto"/>
            <w:tcBorders>
              <w:top w:val="nil"/>
              <w:left w:val="nil"/>
              <w:bottom w:val="single" w:sz="4" w:space="0" w:color="auto"/>
              <w:right w:val="single" w:sz="4" w:space="0" w:color="auto"/>
            </w:tcBorders>
            <w:noWrap/>
            <w:vAlign w:val="center"/>
            <w:hideMark/>
          </w:tcPr>
          <w:p w14:paraId="79B98D6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1,000</w:t>
            </w:r>
          </w:p>
        </w:tc>
        <w:tc>
          <w:tcPr>
            <w:tcW w:w="0" w:type="auto"/>
            <w:tcBorders>
              <w:top w:val="nil"/>
              <w:left w:val="nil"/>
              <w:bottom w:val="single" w:sz="4" w:space="0" w:color="auto"/>
              <w:right w:val="single" w:sz="4" w:space="0" w:color="auto"/>
            </w:tcBorders>
            <w:noWrap/>
            <w:vAlign w:val="center"/>
            <w:hideMark/>
          </w:tcPr>
          <w:p w14:paraId="5E7237E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82.032,68</w:t>
            </w:r>
          </w:p>
        </w:tc>
        <w:tc>
          <w:tcPr>
            <w:tcW w:w="0" w:type="auto"/>
            <w:tcBorders>
              <w:top w:val="nil"/>
              <w:left w:val="nil"/>
              <w:bottom w:val="single" w:sz="4" w:space="0" w:color="auto"/>
              <w:right w:val="single" w:sz="4" w:space="0" w:color="auto"/>
            </w:tcBorders>
            <w:vAlign w:val="center"/>
            <w:hideMark/>
          </w:tcPr>
          <w:p w14:paraId="5ED8700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62,89</w:t>
            </w:r>
          </w:p>
        </w:tc>
        <w:tc>
          <w:tcPr>
            <w:tcW w:w="0" w:type="auto"/>
            <w:tcBorders>
              <w:top w:val="nil"/>
              <w:left w:val="nil"/>
              <w:bottom w:val="single" w:sz="4" w:space="0" w:color="auto"/>
              <w:right w:val="single" w:sz="4" w:space="0" w:color="auto"/>
            </w:tcBorders>
            <w:noWrap/>
            <w:vAlign w:val="center"/>
            <w:hideMark/>
          </w:tcPr>
          <w:p w14:paraId="304E190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16.195,62</w:t>
            </w:r>
          </w:p>
        </w:tc>
        <w:tc>
          <w:tcPr>
            <w:tcW w:w="0" w:type="auto"/>
            <w:tcBorders>
              <w:top w:val="nil"/>
              <w:left w:val="nil"/>
              <w:bottom w:val="single" w:sz="4" w:space="0" w:color="auto"/>
              <w:right w:val="single" w:sz="4" w:space="0" w:color="auto"/>
            </w:tcBorders>
            <w:vAlign w:val="center"/>
            <w:hideMark/>
          </w:tcPr>
          <w:p w14:paraId="3F22F7A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12,42</w:t>
            </w:r>
          </w:p>
        </w:tc>
        <w:tc>
          <w:tcPr>
            <w:tcW w:w="0" w:type="auto"/>
            <w:tcBorders>
              <w:top w:val="nil"/>
              <w:left w:val="nil"/>
              <w:bottom w:val="single" w:sz="4" w:space="0" w:color="auto"/>
              <w:right w:val="single" w:sz="4" w:space="0" w:color="auto"/>
            </w:tcBorders>
            <w:noWrap/>
            <w:vAlign w:val="center"/>
            <w:hideMark/>
          </w:tcPr>
          <w:p w14:paraId="3B82F6B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32.209,08</w:t>
            </w:r>
          </w:p>
        </w:tc>
        <w:tc>
          <w:tcPr>
            <w:tcW w:w="0" w:type="auto"/>
            <w:tcBorders>
              <w:top w:val="nil"/>
              <w:left w:val="nil"/>
              <w:bottom w:val="single" w:sz="4" w:space="0" w:color="auto"/>
              <w:right w:val="single" w:sz="4" w:space="0" w:color="auto"/>
            </w:tcBorders>
            <w:vAlign w:val="center"/>
            <w:hideMark/>
          </w:tcPr>
          <w:p w14:paraId="2A40984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24,69</w:t>
            </w:r>
          </w:p>
        </w:tc>
        <w:tc>
          <w:tcPr>
            <w:tcW w:w="0" w:type="auto"/>
            <w:tcBorders>
              <w:top w:val="nil"/>
              <w:left w:val="nil"/>
              <w:bottom w:val="single" w:sz="4" w:space="0" w:color="auto"/>
              <w:right w:val="single" w:sz="4" w:space="0" w:color="auto"/>
            </w:tcBorders>
            <w:noWrap/>
            <w:vAlign w:val="center"/>
            <w:hideMark/>
          </w:tcPr>
          <w:p w14:paraId="0B1F0A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130.437,38</w:t>
            </w:r>
          </w:p>
        </w:tc>
      </w:tr>
      <w:tr w:rsidR="00BB3DD1" w:rsidRPr="00BB3DD1" w14:paraId="7FACEA4A"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1BFD9569"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6A59AD1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0D52444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0,652</w:t>
            </w:r>
          </w:p>
        </w:tc>
        <w:tc>
          <w:tcPr>
            <w:tcW w:w="0" w:type="auto"/>
            <w:tcBorders>
              <w:top w:val="nil"/>
              <w:left w:val="nil"/>
              <w:bottom w:val="single" w:sz="4" w:space="0" w:color="auto"/>
              <w:right w:val="single" w:sz="4" w:space="0" w:color="auto"/>
            </w:tcBorders>
            <w:noWrap/>
            <w:vAlign w:val="center"/>
            <w:hideMark/>
          </w:tcPr>
          <w:p w14:paraId="2812AB2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0,870</w:t>
            </w:r>
          </w:p>
        </w:tc>
        <w:tc>
          <w:tcPr>
            <w:tcW w:w="0" w:type="auto"/>
            <w:tcBorders>
              <w:top w:val="nil"/>
              <w:left w:val="nil"/>
              <w:bottom w:val="single" w:sz="4" w:space="0" w:color="auto"/>
              <w:right w:val="single" w:sz="4" w:space="0" w:color="auto"/>
            </w:tcBorders>
            <w:noWrap/>
            <w:vAlign w:val="center"/>
            <w:hideMark/>
          </w:tcPr>
          <w:p w14:paraId="6F3D53C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73.735,28</w:t>
            </w:r>
          </w:p>
        </w:tc>
        <w:tc>
          <w:tcPr>
            <w:tcW w:w="0" w:type="auto"/>
            <w:tcBorders>
              <w:top w:val="nil"/>
              <w:left w:val="nil"/>
              <w:bottom w:val="single" w:sz="4" w:space="0" w:color="auto"/>
              <w:right w:val="single" w:sz="4" w:space="0" w:color="auto"/>
            </w:tcBorders>
            <w:vAlign w:val="center"/>
            <w:hideMark/>
          </w:tcPr>
          <w:p w14:paraId="1EC309B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61,08</w:t>
            </w:r>
          </w:p>
        </w:tc>
        <w:tc>
          <w:tcPr>
            <w:tcW w:w="0" w:type="auto"/>
            <w:tcBorders>
              <w:top w:val="nil"/>
              <w:left w:val="nil"/>
              <w:bottom w:val="single" w:sz="4" w:space="0" w:color="auto"/>
              <w:right w:val="single" w:sz="4" w:space="0" w:color="auto"/>
            </w:tcBorders>
            <w:noWrap/>
            <w:vAlign w:val="center"/>
            <w:hideMark/>
          </w:tcPr>
          <w:p w14:paraId="3B58ECB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14.765,26</w:t>
            </w:r>
          </w:p>
        </w:tc>
        <w:tc>
          <w:tcPr>
            <w:tcW w:w="0" w:type="auto"/>
            <w:tcBorders>
              <w:top w:val="nil"/>
              <w:left w:val="nil"/>
              <w:bottom w:val="single" w:sz="4" w:space="0" w:color="auto"/>
              <w:right w:val="single" w:sz="4" w:space="0" w:color="auto"/>
            </w:tcBorders>
            <w:vAlign w:val="center"/>
            <w:hideMark/>
          </w:tcPr>
          <w:p w14:paraId="5D7E725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12,23</w:t>
            </w:r>
          </w:p>
        </w:tc>
        <w:tc>
          <w:tcPr>
            <w:tcW w:w="0" w:type="auto"/>
            <w:tcBorders>
              <w:top w:val="nil"/>
              <w:left w:val="nil"/>
              <w:bottom w:val="single" w:sz="4" w:space="0" w:color="auto"/>
              <w:right w:val="single" w:sz="4" w:space="0" w:color="auto"/>
            </w:tcBorders>
            <w:noWrap/>
            <w:vAlign w:val="center"/>
            <w:hideMark/>
          </w:tcPr>
          <w:p w14:paraId="56F534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32.209,08</w:t>
            </w:r>
          </w:p>
        </w:tc>
        <w:tc>
          <w:tcPr>
            <w:tcW w:w="0" w:type="auto"/>
            <w:tcBorders>
              <w:top w:val="nil"/>
              <w:left w:val="nil"/>
              <w:bottom w:val="single" w:sz="4" w:space="0" w:color="auto"/>
              <w:right w:val="single" w:sz="4" w:space="0" w:color="auto"/>
            </w:tcBorders>
            <w:vAlign w:val="center"/>
            <w:hideMark/>
          </w:tcPr>
          <w:p w14:paraId="17DD4BC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26,68</w:t>
            </w:r>
          </w:p>
        </w:tc>
        <w:tc>
          <w:tcPr>
            <w:tcW w:w="0" w:type="auto"/>
            <w:tcBorders>
              <w:top w:val="nil"/>
              <w:left w:val="nil"/>
              <w:bottom w:val="single" w:sz="4" w:space="0" w:color="auto"/>
              <w:right w:val="single" w:sz="4" w:space="0" w:color="auto"/>
            </w:tcBorders>
            <w:noWrap/>
            <w:vAlign w:val="center"/>
            <w:hideMark/>
          </w:tcPr>
          <w:p w14:paraId="1FB1B65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120.709,62</w:t>
            </w:r>
          </w:p>
        </w:tc>
      </w:tr>
      <w:tr w:rsidR="00BB3DD1" w:rsidRPr="00BB3DD1" w14:paraId="5B705EDB"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27A50C0D"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 C.F.M. MECANIZADO (LOE)</w:t>
            </w:r>
          </w:p>
        </w:tc>
        <w:tc>
          <w:tcPr>
            <w:tcW w:w="0" w:type="auto"/>
            <w:tcBorders>
              <w:top w:val="nil"/>
              <w:left w:val="nil"/>
              <w:bottom w:val="single" w:sz="4" w:space="0" w:color="auto"/>
              <w:right w:val="single" w:sz="4" w:space="0" w:color="auto"/>
            </w:tcBorders>
            <w:noWrap/>
            <w:vAlign w:val="center"/>
            <w:hideMark/>
          </w:tcPr>
          <w:p w14:paraId="01CC093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0B8B640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0" w:type="auto"/>
            <w:tcBorders>
              <w:top w:val="nil"/>
              <w:left w:val="nil"/>
              <w:bottom w:val="single" w:sz="4" w:space="0" w:color="auto"/>
              <w:right w:val="single" w:sz="4" w:space="0" w:color="auto"/>
            </w:tcBorders>
            <w:noWrap/>
            <w:vAlign w:val="center"/>
            <w:hideMark/>
          </w:tcPr>
          <w:p w14:paraId="7D89CFA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1,391</w:t>
            </w:r>
          </w:p>
        </w:tc>
        <w:tc>
          <w:tcPr>
            <w:tcW w:w="0" w:type="auto"/>
            <w:tcBorders>
              <w:top w:val="nil"/>
              <w:left w:val="nil"/>
              <w:bottom w:val="single" w:sz="4" w:space="0" w:color="auto"/>
              <w:right w:val="single" w:sz="4" w:space="0" w:color="auto"/>
            </w:tcBorders>
            <w:noWrap/>
            <w:vAlign w:val="center"/>
            <w:hideMark/>
          </w:tcPr>
          <w:p w14:paraId="2AEFA8A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91.389,32</w:t>
            </w:r>
          </w:p>
        </w:tc>
        <w:tc>
          <w:tcPr>
            <w:tcW w:w="0" w:type="auto"/>
            <w:tcBorders>
              <w:top w:val="nil"/>
              <w:left w:val="nil"/>
              <w:bottom w:val="single" w:sz="4" w:space="0" w:color="auto"/>
              <w:right w:val="single" w:sz="4" w:space="0" w:color="auto"/>
            </w:tcBorders>
            <w:vAlign w:val="center"/>
            <w:hideMark/>
          </w:tcPr>
          <w:p w14:paraId="4725D0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64,37</w:t>
            </w:r>
          </w:p>
        </w:tc>
        <w:tc>
          <w:tcPr>
            <w:tcW w:w="0" w:type="auto"/>
            <w:tcBorders>
              <w:top w:val="nil"/>
              <w:left w:val="nil"/>
              <w:bottom w:val="single" w:sz="4" w:space="0" w:color="auto"/>
              <w:right w:val="single" w:sz="4" w:space="0" w:color="auto"/>
            </w:tcBorders>
            <w:noWrap/>
            <w:vAlign w:val="center"/>
            <w:hideMark/>
          </w:tcPr>
          <w:p w14:paraId="10B7FE8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18.224,59</w:t>
            </w:r>
          </w:p>
        </w:tc>
        <w:tc>
          <w:tcPr>
            <w:tcW w:w="0" w:type="auto"/>
            <w:tcBorders>
              <w:top w:val="nil"/>
              <w:left w:val="nil"/>
              <w:bottom w:val="single" w:sz="4" w:space="0" w:color="auto"/>
              <w:right w:val="single" w:sz="4" w:space="0" w:color="auto"/>
            </w:tcBorders>
            <w:vAlign w:val="center"/>
            <w:hideMark/>
          </w:tcPr>
          <w:p w14:paraId="7DACE42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12,84</w:t>
            </w:r>
          </w:p>
        </w:tc>
        <w:tc>
          <w:tcPr>
            <w:tcW w:w="0" w:type="auto"/>
            <w:tcBorders>
              <w:top w:val="nil"/>
              <w:left w:val="nil"/>
              <w:bottom w:val="single" w:sz="4" w:space="0" w:color="auto"/>
              <w:right w:val="single" w:sz="4" w:space="0" w:color="auto"/>
            </w:tcBorders>
            <w:noWrap/>
            <w:vAlign w:val="center"/>
            <w:hideMark/>
          </w:tcPr>
          <w:p w14:paraId="6CB974D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32.368,54</w:t>
            </w:r>
          </w:p>
        </w:tc>
        <w:tc>
          <w:tcPr>
            <w:tcW w:w="0" w:type="auto"/>
            <w:tcBorders>
              <w:top w:val="nil"/>
              <w:left w:val="nil"/>
              <w:bottom w:val="single" w:sz="4" w:space="0" w:color="auto"/>
              <w:right w:val="single" w:sz="4" w:space="0" w:color="auto"/>
            </w:tcBorders>
            <w:vAlign w:val="center"/>
            <w:hideMark/>
          </w:tcPr>
          <w:p w14:paraId="21C48A2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22,80</w:t>
            </w:r>
          </w:p>
        </w:tc>
        <w:tc>
          <w:tcPr>
            <w:tcW w:w="0" w:type="auto"/>
            <w:tcBorders>
              <w:top w:val="nil"/>
              <w:left w:val="nil"/>
              <w:bottom w:val="single" w:sz="4" w:space="0" w:color="auto"/>
              <w:right w:val="single" w:sz="4" w:space="0" w:color="auto"/>
            </w:tcBorders>
            <w:noWrap/>
            <w:vAlign w:val="center"/>
            <w:hideMark/>
          </w:tcPr>
          <w:p w14:paraId="0BF545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141.982,45</w:t>
            </w:r>
          </w:p>
        </w:tc>
      </w:tr>
      <w:tr w:rsidR="00BB3DD1" w:rsidRPr="00BB3DD1" w14:paraId="5AEF8767"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00F3E722"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27F6A23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3BBA384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0,696</w:t>
            </w:r>
          </w:p>
        </w:tc>
        <w:tc>
          <w:tcPr>
            <w:tcW w:w="0" w:type="auto"/>
            <w:tcBorders>
              <w:top w:val="nil"/>
              <w:left w:val="nil"/>
              <w:bottom w:val="single" w:sz="4" w:space="0" w:color="auto"/>
              <w:right w:val="single" w:sz="4" w:space="0" w:color="auto"/>
            </w:tcBorders>
            <w:noWrap/>
            <w:vAlign w:val="center"/>
            <w:hideMark/>
          </w:tcPr>
          <w:p w14:paraId="720CE8E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0,826</w:t>
            </w:r>
          </w:p>
        </w:tc>
        <w:tc>
          <w:tcPr>
            <w:tcW w:w="0" w:type="auto"/>
            <w:tcBorders>
              <w:top w:val="nil"/>
              <w:left w:val="nil"/>
              <w:bottom w:val="single" w:sz="4" w:space="0" w:color="auto"/>
              <w:right w:val="single" w:sz="4" w:space="0" w:color="auto"/>
            </w:tcBorders>
            <w:noWrap/>
            <w:vAlign w:val="center"/>
            <w:hideMark/>
          </w:tcPr>
          <w:p w14:paraId="744F821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73.925,85</w:t>
            </w:r>
          </w:p>
        </w:tc>
        <w:tc>
          <w:tcPr>
            <w:tcW w:w="0" w:type="auto"/>
            <w:tcBorders>
              <w:top w:val="nil"/>
              <w:left w:val="nil"/>
              <w:bottom w:val="single" w:sz="4" w:space="0" w:color="auto"/>
              <w:right w:val="single" w:sz="4" w:space="0" w:color="auto"/>
            </w:tcBorders>
            <w:vAlign w:val="center"/>
            <w:hideMark/>
          </w:tcPr>
          <w:p w14:paraId="293E919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60,96</w:t>
            </w:r>
          </w:p>
        </w:tc>
        <w:tc>
          <w:tcPr>
            <w:tcW w:w="0" w:type="auto"/>
            <w:tcBorders>
              <w:top w:val="nil"/>
              <w:left w:val="nil"/>
              <w:bottom w:val="single" w:sz="4" w:space="0" w:color="auto"/>
              <w:right w:val="single" w:sz="4" w:space="0" w:color="auto"/>
            </w:tcBorders>
            <w:noWrap/>
            <w:vAlign w:val="center"/>
            <w:hideMark/>
          </w:tcPr>
          <w:p w14:paraId="6063EA4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14.971,77</w:t>
            </w:r>
          </w:p>
        </w:tc>
        <w:tc>
          <w:tcPr>
            <w:tcW w:w="0" w:type="auto"/>
            <w:tcBorders>
              <w:top w:val="nil"/>
              <w:left w:val="nil"/>
              <w:bottom w:val="single" w:sz="4" w:space="0" w:color="auto"/>
              <w:right w:val="single" w:sz="4" w:space="0" w:color="auto"/>
            </w:tcBorders>
            <w:vAlign w:val="center"/>
            <w:hideMark/>
          </w:tcPr>
          <w:p w14:paraId="741E93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12,35</w:t>
            </w:r>
          </w:p>
        </w:tc>
        <w:tc>
          <w:tcPr>
            <w:tcW w:w="0" w:type="auto"/>
            <w:tcBorders>
              <w:top w:val="nil"/>
              <w:left w:val="nil"/>
              <w:bottom w:val="single" w:sz="4" w:space="0" w:color="auto"/>
              <w:right w:val="single" w:sz="4" w:space="0" w:color="auto"/>
            </w:tcBorders>
            <w:noWrap/>
            <w:vAlign w:val="center"/>
            <w:hideMark/>
          </w:tcPr>
          <w:p w14:paraId="5408F34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32.368,54</w:t>
            </w:r>
          </w:p>
        </w:tc>
        <w:tc>
          <w:tcPr>
            <w:tcW w:w="0" w:type="auto"/>
            <w:tcBorders>
              <w:top w:val="nil"/>
              <w:left w:val="nil"/>
              <w:bottom w:val="single" w:sz="4" w:space="0" w:color="auto"/>
              <w:right w:val="single" w:sz="4" w:space="0" w:color="auto"/>
            </w:tcBorders>
            <w:vAlign w:val="center"/>
            <w:hideMark/>
          </w:tcPr>
          <w:p w14:paraId="766A2BE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26,69</w:t>
            </w:r>
          </w:p>
        </w:tc>
        <w:tc>
          <w:tcPr>
            <w:tcW w:w="0" w:type="auto"/>
            <w:tcBorders>
              <w:top w:val="nil"/>
              <w:left w:val="nil"/>
              <w:bottom w:val="single" w:sz="4" w:space="0" w:color="auto"/>
              <w:right w:val="single" w:sz="4" w:space="0" w:color="auto"/>
            </w:tcBorders>
            <w:noWrap/>
            <w:vAlign w:val="center"/>
            <w:hideMark/>
          </w:tcPr>
          <w:p w14:paraId="62225A5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121.266,16</w:t>
            </w:r>
          </w:p>
        </w:tc>
      </w:tr>
      <w:tr w:rsidR="00BB3DD1" w:rsidRPr="00BB3DD1" w14:paraId="31E5658C"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322A5A2D"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 C.F.M. ACTIVIDADES COMERCIALES</w:t>
            </w:r>
          </w:p>
        </w:tc>
        <w:tc>
          <w:tcPr>
            <w:tcW w:w="0" w:type="auto"/>
            <w:tcBorders>
              <w:top w:val="nil"/>
              <w:left w:val="nil"/>
              <w:bottom w:val="single" w:sz="4" w:space="0" w:color="auto"/>
              <w:right w:val="single" w:sz="4" w:space="0" w:color="auto"/>
            </w:tcBorders>
            <w:noWrap/>
            <w:vAlign w:val="center"/>
            <w:hideMark/>
          </w:tcPr>
          <w:p w14:paraId="1DD24F6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283E1C0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0,870</w:t>
            </w:r>
          </w:p>
        </w:tc>
        <w:tc>
          <w:tcPr>
            <w:tcW w:w="0" w:type="auto"/>
            <w:tcBorders>
              <w:top w:val="nil"/>
              <w:left w:val="nil"/>
              <w:bottom w:val="single" w:sz="4" w:space="0" w:color="auto"/>
              <w:right w:val="single" w:sz="4" w:space="0" w:color="auto"/>
            </w:tcBorders>
            <w:noWrap/>
            <w:vAlign w:val="center"/>
            <w:hideMark/>
          </w:tcPr>
          <w:p w14:paraId="71C730E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0,870</w:t>
            </w:r>
          </w:p>
        </w:tc>
        <w:tc>
          <w:tcPr>
            <w:tcW w:w="0" w:type="auto"/>
            <w:tcBorders>
              <w:top w:val="nil"/>
              <w:left w:val="nil"/>
              <w:bottom w:val="single" w:sz="4" w:space="0" w:color="auto"/>
              <w:right w:val="single" w:sz="4" w:space="0" w:color="auto"/>
            </w:tcBorders>
            <w:noWrap/>
            <w:vAlign w:val="center"/>
            <w:hideMark/>
          </w:tcPr>
          <w:p w14:paraId="01AC1CB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84.836,27</w:t>
            </w:r>
          </w:p>
        </w:tc>
        <w:tc>
          <w:tcPr>
            <w:tcW w:w="0" w:type="auto"/>
            <w:tcBorders>
              <w:top w:val="nil"/>
              <w:left w:val="nil"/>
              <w:bottom w:val="single" w:sz="4" w:space="0" w:color="auto"/>
              <w:right w:val="single" w:sz="4" w:space="0" w:color="auto"/>
            </w:tcBorders>
            <w:vAlign w:val="center"/>
            <w:hideMark/>
          </w:tcPr>
          <w:p w14:paraId="42D713D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68,38</w:t>
            </w:r>
          </w:p>
        </w:tc>
        <w:tc>
          <w:tcPr>
            <w:tcW w:w="0" w:type="auto"/>
            <w:tcBorders>
              <w:top w:val="nil"/>
              <w:left w:val="nil"/>
              <w:bottom w:val="single" w:sz="4" w:space="0" w:color="auto"/>
              <w:right w:val="single" w:sz="4" w:space="0" w:color="auto"/>
            </w:tcBorders>
            <w:noWrap/>
            <w:vAlign w:val="center"/>
            <w:hideMark/>
          </w:tcPr>
          <w:p w14:paraId="5021EEA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16.986,88</w:t>
            </w:r>
          </w:p>
        </w:tc>
        <w:tc>
          <w:tcPr>
            <w:tcW w:w="0" w:type="auto"/>
            <w:tcBorders>
              <w:top w:val="nil"/>
              <w:left w:val="nil"/>
              <w:bottom w:val="single" w:sz="4" w:space="0" w:color="auto"/>
              <w:right w:val="single" w:sz="4" w:space="0" w:color="auto"/>
            </w:tcBorders>
            <w:vAlign w:val="center"/>
            <w:hideMark/>
          </w:tcPr>
          <w:p w14:paraId="40CCBC8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13,69</w:t>
            </w:r>
          </w:p>
        </w:tc>
        <w:tc>
          <w:tcPr>
            <w:tcW w:w="0" w:type="auto"/>
            <w:tcBorders>
              <w:top w:val="nil"/>
              <w:left w:val="nil"/>
              <w:bottom w:val="single" w:sz="4" w:space="0" w:color="auto"/>
              <w:right w:val="single" w:sz="4" w:space="0" w:color="auto"/>
            </w:tcBorders>
            <w:noWrap/>
            <w:vAlign w:val="center"/>
            <w:hideMark/>
          </w:tcPr>
          <w:p w14:paraId="096974A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22.242,18</w:t>
            </w:r>
          </w:p>
        </w:tc>
        <w:tc>
          <w:tcPr>
            <w:tcW w:w="0" w:type="auto"/>
            <w:tcBorders>
              <w:top w:val="nil"/>
              <w:left w:val="nil"/>
              <w:bottom w:val="single" w:sz="4" w:space="0" w:color="auto"/>
              <w:right w:val="single" w:sz="4" w:space="0" w:color="auto"/>
            </w:tcBorders>
            <w:vAlign w:val="center"/>
            <w:hideMark/>
          </w:tcPr>
          <w:p w14:paraId="2DAD6DA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17,93</w:t>
            </w:r>
          </w:p>
        </w:tc>
        <w:tc>
          <w:tcPr>
            <w:tcW w:w="0" w:type="auto"/>
            <w:tcBorders>
              <w:top w:val="nil"/>
              <w:left w:val="nil"/>
              <w:bottom w:val="single" w:sz="4" w:space="0" w:color="auto"/>
              <w:right w:val="single" w:sz="4" w:space="0" w:color="auto"/>
            </w:tcBorders>
            <w:noWrap/>
            <w:vAlign w:val="center"/>
            <w:hideMark/>
          </w:tcPr>
          <w:p w14:paraId="7153AB7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124.065,33</w:t>
            </w:r>
          </w:p>
        </w:tc>
      </w:tr>
      <w:tr w:rsidR="00BB3DD1" w:rsidRPr="00BB3DD1" w14:paraId="7E58C6AE"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48756E9F"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5C219D8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10A5471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1,044</w:t>
            </w:r>
          </w:p>
        </w:tc>
        <w:tc>
          <w:tcPr>
            <w:tcW w:w="0" w:type="auto"/>
            <w:tcBorders>
              <w:top w:val="nil"/>
              <w:left w:val="nil"/>
              <w:bottom w:val="single" w:sz="4" w:space="0" w:color="auto"/>
              <w:right w:val="single" w:sz="4" w:space="0" w:color="auto"/>
            </w:tcBorders>
            <w:noWrap/>
            <w:vAlign w:val="center"/>
            <w:hideMark/>
          </w:tcPr>
          <w:p w14:paraId="2FA531A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0,479</w:t>
            </w:r>
          </w:p>
        </w:tc>
        <w:tc>
          <w:tcPr>
            <w:tcW w:w="0" w:type="auto"/>
            <w:tcBorders>
              <w:top w:val="nil"/>
              <w:left w:val="nil"/>
              <w:bottom w:val="single" w:sz="4" w:space="0" w:color="auto"/>
              <w:right w:val="single" w:sz="4" w:space="0" w:color="auto"/>
            </w:tcBorders>
            <w:noWrap/>
            <w:vAlign w:val="center"/>
            <w:hideMark/>
          </w:tcPr>
          <w:p w14:paraId="6F6E5D2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75.479,63</w:t>
            </w:r>
          </w:p>
        </w:tc>
        <w:tc>
          <w:tcPr>
            <w:tcW w:w="0" w:type="auto"/>
            <w:tcBorders>
              <w:top w:val="nil"/>
              <w:left w:val="nil"/>
              <w:bottom w:val="single" w:sz="4" w:space="0" w:color="auto"/>
              <w:right w:val="single" w:sz="4" w:space="0" w:color="auto"/>
            </w:tcBorders>
            <w:vAlign w:val="center"/>
            <w:hideMark/>
          </w:tcPr>
          <w:p w14:paraId="77F9B08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66,79</w:t>
            </w:r>
          </w:p>
        </w:tc>
        <w:tc>
          <w:tcPr>
            <w:tcW w:w="0" w:type="auto"/>
            <w:tcBorders>
              <w:top w:val="nil"/>
              <w:left w:val="nil"/>
              <w:bottom w:val="single" w:sz="4" w:space="0" w:color="auto"/>
              <w:right w:val="single" w:sz="4" w:space="0" w:color="auto"/>
            </w:tcBorders>
            <w:noWrap/>
            <w:vAlign w:val="center"/>
            <w:hideMark/>
          </w:tcPr>
          <w:p w14:paraId="40F6574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15.283,40</w:t>
            </w:r>
          </w:p>
        </w:tc>
        <w:tc>
          <w:tcPr>
            <w:tcW w:w="0" w:type="auto"/>
            <w:tcBorders>
              <w:top w:val="nil"/>
              <w:left w:val="nil"/>
              <w:bottom w:val="single" w:sz="4" w:space="0" w:color="auto"/>
              <w:right w:val="single" w:sz="4" w:space="0" w:color="auto"/>
            </w:tcBorders>
            <w:vAlign w:val="center"/>
            <w:hideMark/>
          </w:tcPr>
          <w:p w14:paraId="4580159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13,52</w:t>
            </w:r>
          </w:p>
        </w:tc>
        <w:tc>
          <w:tcPr>
            <w:tcW w:w="0" w:type="auto"/>
            <w:tcBorders>
              <w:top w:val="nil"/>
              <w:left w:val="nil"/>
              <w:bottom w:val="single" w:sz="4" w:space="0" w:color="auto"/>
              <w:right w:val="single" w:sz="4" w:space="0" w:color="auto"/>
            </w:tcBorders>
            <w:noWrap/>
            <w:vAlign w:val="center"/>
            <w:hideMark/>
          </w:tcPr>
          <w:p w14:paraId="5DC91BE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22.242,18</w:t>
            </w:r>
          </w:p>
        </w:tc>
        <w:tc>
          <w:tcPr>
            <w:tcW w:w="0" w:type="auto"/>
            <w:tcBorders>
              <w:top w:val="nil"/>
              <w:left w:val="nil"/>
              <w:bottom w:val="single" w:sz="4" w:space="0" w:color="auto"/>
              <w:right w:val="single" w:sz="4" w:space="0" w:color="auto"/>
            </w:tcBorders>
            <w:vAlign w:val="center"/>
            <w:hideMark/>
          </w:tcPr>
          <w:p w14:paraId="0740ECF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19,68</w:t>
            </w:r>
          </w:p>
        </w:tc>
        <w:tc>
          <w:tcPr>
            <w:tcW w:w="0" w:type="auto"/>
            <w:tcBorders>
              <w:top w:val="nil"/>
              <w:left w:val="nil"/>
              <w:bottom w:val="single" w:sz="4" w:space="0" w:color="auto"/>
              <w:right w:val="single" w:sz="4" w:space="0" w:color="auto"/>
            </w:tcBorders>
            <w:noWrap/>
            <w:vAlign w:val="center"/>
            <w:hideMark/>
          </w:tcPr>
          <w:p w14:paraId="60CEF3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113.005,21</w:t>
            </w:r>
          </w:p>
        </w:tc>
      </w:tr>
      <w:tr w:rsidR="00BB3DD1" w:rsidRPr="00BB3DD1" w14:paraId="1CE79781"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2ECB0F20"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 C.F.M.ATENCIÓN A PERSONAS EN SITUACIÓN DE DEPENDENCIA (LOE)</w:t>
            </w:r>
          </w:p>
        </w:tc>
        <w:tc>
          <w:tcPr>
            <w:tcW w:w="0" w:type="auto"/>
            <w:tcBorders>
              <w:top w:val="nil"/>
              <w:left w:val="nil"/>
              <w:bottom w:val="single" w:sz="4" w:space="0" w:color="auto"/>
              <w:right w:val="single" w:sz="4" w:space="0" w:color="auto"/>
            </w:tcBorders>
            <w:noWrap/>
            <w:vAlign w:val="center"/>
            <w:hideMark/>
          </w:tcPr>
          <w:p w14:paraId="3F1019A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67B55CD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0,739</w:t>
            </w:r>
          </w:p>
        </w:tc>
        <w:tc>
          <w:tcPr>
            <w:tcW w:w="0" w:type="auto"/>
            <w:tcBorders>
              <w:top w:val="nil"/>
              <w:left w:val="nil"/>
              <w:bottom w:val="single" w:sz="4" w:space="0" w:color="auto"/>
              <w:right w:val="single" w:sz="4" w:space="0" w:color="auto"/>
            </w:tcBorders>
            <w:noWrap/>
            <w:vAlign w:val="center"/>
            <w:hideMark/>
          </w:tcPr>
          <w:p w14:paraId="33B73B8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0,826</w:t>
            </w:r>
          </w:p>
        </w:tc>
        <w:tc>
          <w:tcPr>
            <w:tcW w:w="0" w:type="auto"/>
            <w:tcBorders>
              <w:top w:val="nil"/>
              <w:left w:val="nil"/>
              <w:bottom w:val="single" w:sz="4" w:space="0" w:color="auto"/>
              <w:right w:val="single" w:sz="4" w:space="0" w:color="auto"/>
            </w:tcBorders>
            <w:noWrap/>
            <w:vAlign w:val="center"/>
            <w:hideMark/>
          </w:tcPr>
          <w:p w14:paraId="1774B12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76.115,49</w:t>
            </w:r>
          </w:p>
        </w:tc>
        <w:tc>
          <w:tcPr>
            <w:tcW w:w="0" w:type="auto"/>
            <w:tcBorders>
              <w:top w:val="nil"/>
              <w:left w:val="nil"/>
              <w:bottom w:val="single" w:sz="4" w:space="0" w:color="auto"/>
              <w:right w:val="single" w:sz="4" w:space="0" w:color="auto"/>
            </w:tcBorders>
            <w:vAlign w:val="center"/>
            <w:hideMark/>
          </w:tcPr>
          <w:p w14:paraId="72BD9EC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67,28</w:t>
            </w:r>
          </w:p>
        </w:tc>
        <w:tc>
          <w:tcPr>
            <w:tcW w:w="0" w:type="auto"/>
            <w:tcBorders>
              <w:top w:val="nil"/>
              <w:left w:val="nil"/>
              <w:bottom w:val="single" w:sz="4" w:space="0" w:color="auto"/>
              <w:right w:val="single" w:sz="4" w:space="0" w:color="auto"/>
            </w:tcBorders>
            <w:noWrap/>
            <w:vAlign w:val="center"/>
            <w:hideMark/>
          </w:tcPr>
          <w:p w14:paraId="6F802DA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15.237,44</w:t>
            </w:r>
          </w:p>
        </w:tc>
        <w:tc>
          <w:tcPr>
            <w:tcW w:w="0" w:type="auto"/>
            <w:tcBorders>
              <w:top w:val="nil"/>
              <w:left w:val="nil"/>
              <w:bottom w:val="single" w:sz="4" w:space="0" w:color="auto"/>
              <w:right w:val="single" w:sz="4" w:space="0" w:color="auto"/>
            </w:tcBorders>
            <w:vAlign w:val="center"/>
            <w:hideMark/>
          </w:tcPr>
          <w:p w14:paraId="23651E7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13,47</w:t>
            </w:r>
          </w:p>
        </w:tc>
        <w:tc>
          <w:tcPr>
            <w:tcW w:w="0" w:type="auto"/>
            <w:tcBorders>
              <w:top w:val="nil"/>
              <w:left w:val="nil"/>
              <w:bottom w:val="single" w:sz="4" w:space="0" w:color="auto"/>
              <w:right w:val="single" w:sz="4" w:space="0" w:color="auto"/>
            </w:tcBorders>
            <w:noWrap/>
            <w:vAlign w:val="center"/>
            <w:hideMark/>
          </w:tcPr>
          <w:p w14:paraId="794F76C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21.785,58</w:t>
            </w:r>
          </w:p>
        </w:tc>
        <w:tc>
          <w:tcPr>
            <w:tcW w:w="0" w:type="auto"/>
            <w:tcBorders>
              <w:top w:val="nil"/>
              <w:left w:val="nil"/>
              <w:bottom w:val="single" w:sz="4" w:space="0" w:color="auto"/>
              <w:right w:val="single" w:sz="4" w:space="0" w:color="auto"/>
            </w:tcBorders>
            <w:vAlign w:val="center"/>
            <w:hideMark/>
          </w:tcPr>
          <w:p w14:paraId="788B9FA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19,26</w:t>
            </w:r>
          </w:p>
        </w:tc>
        <w:tc>
          <w:tcPr>
            <w:tcW w:w="0" w:type="auto"/>
            <w:tcBorders>
              <w:top w:val="nil"/>
              <w:left w:val="nil"/>
              <w:bottom w:val="single" w:sz="4" w:space="0" w:color="auto"/>
              <w:right w:val="single" w:sz="4" w:space="0" w:color="auto"/>
            </w:tcBorders>
            <w:noWrap/>
            <w:vAlign w:val="center"/>
            <w:hideMark/>
          </w:tcPr>
          <w:p w14:paraId="1F79C0D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113.138,51</w:t>
            </w:r>
          </w:p>
        </w:tc>
      </w:tr>
      <w:tr w:rsidR="00BB3DD1" w:rsidRPr="00BB3DD1" w14:paraId="36F0B8DA"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7BABE775"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0CDB6B2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58AB073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0,739</w:t>
            </w:r>
          </w:p>
        </w:tc>
        <w:tc>
          <w:tcPr>
            <w:tcW w:w="0" w:type="auto"/>
            <w:tcBorders>
              <w:top w:val="nil"/>
              <w:left w:val="nil"/>
              <w:bottom w:val="single" w:sz="4" w:space="0" w:color="auto"/>
              <w:right w:val="single" w:sz="4" w:space="0" w:color="auto"/>
            </w:tcBorders>
            <w:noWrap/>
            <w:vAlign w:val="center"/>
            <w:hideMark/>
          </w:tcPr>
          <w:p w14:paraId="3441BF5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0,696</w:t>
            </w:r>
          </w:p>
        </w:tc>
        <w:tc>
          <w:tcPr>
            <w:tcW w:w="0" w:type="auto"/>
            <w:tcBorders>
              <w:top w:val="nil"/>
              <w:left w:val="nil"/>
              <w:bottom w:val="single" w:sz="4" w:space="0" w:color="auto"/>
              <w:right w:val="single" w:sz="4" w:space="0" w:color="auto"/>
            </w:tcBorders>
            <w:noWrap/>
            <w:vAlign w:val="center"/>
            <w:hideMark/>
          </w:tcPr>
          <w:p w14:paraId="595598E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70.058,66</w:t>
            </w:r>
          </w:p>
        </w:tc>
        <w:tc>
          <w:tcPr>
            <w:tcW w:w="0" w:type="auto"/>
            <w:tcBorders>
              <w:top w:val="nil"/>
              <w:left w:val="nil"/>
              <w:bottom w:val="single" w:sz="4" w:space="0" w:color="auto"/>
              <w:right w:val="single" w:sz="4" w:space="0" w:color="auto"/>
            </w:tcBorders>
            <w:vAlign w:val="center"/>
            <w:hideMark/>
          </w:tcPr>
          <w:p w14:paraId="43D8009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66,10</w:t>
            </w:r>
          </w:p>
        </w:tc>
        <w:tc>
          <w:tcPr>
            <w:tcW w:w="0" w:type="auto"/>
            <w:tcBorders>
              <w:top w:val="nil"/>
              <w:left w:val="nil"/>
              <w:bottom w:val="single" w:sz="4" w:space="0" w:color="auto"/>
              <w:right w:val="single" w:sz="4" w:space="0" w:color="auto"/>
            </w:tcBorders>
            <w:noWrap/>
            <w:vAlign w:val="center"/>
            <w:hideMark/>
          </w:tcPr>
          <w:p w14:paraId="509C0B9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14.144,11</w:t>
            </w:r>
          </w:p>
        </w:tc>
        <w:tc>
          <w:tcPr>
            <w:tcW w:w="0" w:type="auto"/>
            <w:tcBorders>
              <w:top w:val="nil"/>
              <w:left w:val="nil"/>
              <w:bottom w:val="single" w:sz="4" w:space="0" w:color="auto"/>
              <w:right w:val="single" w:sz="4" w:space="0" w:color="auto"/>
            </w:tcBorders>
            <w:vAlign w:val="center"/>
            <w:hideMark/>
          </w:tcPr>
          <w:p w14:paraId="0D76163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13,34</w:t>
            </w:r>
          </w:p>
        </w:tc>
        <w:tc>
          <w:tcPr>
            <w:tcW w:w="0" w:type="auto"/>
            <w:tcBorders>
              <w:top w:val="nil"/>
              <w:left w:val="nil"/>
              <w:bottom w:val="single" w:sz="4" w:space="0" w:color="auto"/>
              <w:right w:val="single" w:sz="4" w:space="0" w:color="auto"/>
            </w:tcBorders>
            <w:noWrap/>
            <w:vAlign w:val="center"/>
            <w:hideMark/>
          </w:tcPr>
          <w:p w14:paraId="063F452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21.785,58</w:t>
            </w:r>
          </w:p>
        </w:tc>
        <w:tc>
          <w:tcPr>
            <w:tcW w:w="0" w:type="auto"/>
            <w:tcBorders>
              <w:top w:val="nil"/>
              <w:left w:val="nil"/>
              <w:bottom w:val="single" w:sz="4" w:space="0" w:color="auto"/>
              <w:right w:val="single" w:sz="4" w:space="0" w:color="auto"/>
            </w:tcBorders>
            <w:vAlign w:val="center"/>
            <w:hideMark/>
          </w:tcPr>
          <w:p w14:paraId="444D99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20,55</w:t>
            </w:r>
          </w:p>
        </w:tc>
        <w:tc>
          <w:tcPr>
            <w:tcW w:w="0" w:type="auto"/>
            <w:tcBorders>
              <w:top w:val="nil"/>
              <w:left w:val="nil"/>
              <w:bottom w:val="single" w:sz="4" w:space="0" w:color="auto"/>
              <w:right w:val="single" w:sz="4" w:space="0" w:color="auto"/>
            </w:tcBorders>
            <w:noWrap/>
            <w:vAlign w:val="center"/>
            <w:hideMark/>
          </w:tcPr>
          <w:p w14:paraId="6FFC23A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105.988,35</w:t>
            </w:r>
          </w:p>
        </w:tc>
      </w:tr>
      <w:tr w:rsidR="00BB3DD1" w:rsidRPr="00BB3DD1" w14:paraId="76EE1E77"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4BF04E59"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 C.F.M. EXCAVACIONES Y SONDEOS</w:t>
            </w:r>
          </w:p>
        </w:tc>
        <w:tc>
          <w:tcPr>
            <w:tcW w:w="0" w:type="auto"/>
            <w:tcBorders>
              <w:top w:val="nil"/>
              <w:left w:val="nil"/>
              <w:bottom w:val="single" w:sz="4" w:space="0" w:color="auto"/>
              <w:right w:val="single" w:sz="4" w:space="0" w:color="auto"/>
            </w:tcBorders>
            <w:noWrap/>
            <w:vAlign w:val="center"/>
            <w:hideMark/>
          </w:tcPr>
          <w:p w14:paraId="5CFA8D4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130B2B6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1,000</w:t>
            </w:r>
          </w:p>
        </w:tc>
        <w:tc>
          <w:tcPr>
            <w:tcW w:w="0" w:type="auto"/>
            <w:tcBorders>
              <w:top w:val="nil"/>
              <w:left w:val="nil"/>
              <w:bottom w:val="single" w:sz="4" w:space="0" w:color="auto"/>
              <w:right w:val="single" w:sz="4" w:space="0" w:color="auto"/>
            </w:tcBorders>
            <w:noWrap/>
            <w:vAlign w:val="center"/>
            <w:hideMark/>
          </w:tcPr>
          <w:p w14:paraId="2E8BAD0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0,827</w:t>
            </w:r>
          </w:p>
        </w:tc>
        <w:tc>
          <w:tcPr>
            <w:tcW w:w="0" w:type="auto"/>
            <w:tcBorders>
              <w:top w:val="nil"/>
              <w:left w:val="nil"/>
              <w:bottom w:val="single" w:sz="4" w:space="0" w:color="auto"/>
              <w:right w:val="single" w:sz="4" w:space="0" w:color="auto"/>
            </w:tcBorders>
            <w:noWrap/>
            <w:vAlign w:val="center"/>
            <w:hideMark/>
          </w:tcPr>
          <w:p w14:paraId="3F79FDB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89.452,72</w:t>
            </w:r>
          </w:p>
        </w:tc>
        <w:tc>
          <w:tcPr>
            <w:tcW w:w="0" w:type="auto"/>
            <w:tcBorders>
              <w:top w:val="nil"/>
              <w:left w:val="nil"/>
              <w:bottom w:val="single" w:sz="4" w:space="0" w:color="auto"/>
              <w:right w:val="single" w:sz="4" w:space="0" w:color="auto"/>
            </w:tcBorders>
            <w:vAlign w:val="center"/>
            <w:hideMark/>
          </w:tcPr>
          <w:p w14:paraId="460778A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61,83</w:t>
            </w:r>
          </w:p>
        </w:tc>
        <w:tc>
          <w:tcPr>
            <w:tcW w:w="0" w:type="auto"/>
            <w:tcBorders>
              <w:top w:val="nil"/>
              <w:left w:val="nil"/>
              <w:bottom w:val="single" w:sz="4" w:space="0" w:color="auto"/>
              <w:right w:val="single" w:sz="4" w:space="0" w:color="auto"/>
            </w:tcBorders>
            <w:noWrap/>
            <w:vAlign w:val="center"/>
            <w:hideMark/>
          </w:tcPr>
          <w:p w14:paraId="27AD4FD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17.827,36</w:t>
            </w:r>
          </w:p>
        </w:tc>
        <w:tc>
          <w:tcPr>
            <w:tcW w:w="0" w:type="auto"/>
            <w:tcBorders>
              <w:top w:val="nil"/>
              <w:left w:val="nil"/>
              <w:bottom w:val="single" w:sz="4" w:space="0" w:color="auto"/>
              <w:right w:val="single" w:sz="4" w:space="0" w:color="auto"/>
            </w:tcBorders>
            <w:vAlign w:val="center"/>
            <w:hideMark/>
          </w:tcPr>
          <w:p w14:paraId="3EDD313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12,32</w:t>
            </w:r>
          </w:p>
        </w:tc>
        <w:tc>
          <w:tcPr>
            <w:tcW w:w="0" w:type="auto"/>
            <w:tcBorders>
              <w:top w:val="nil"/>
              <w:left w:val="nil"/>
              <w:bottom w:val="single" w:sz="4" w:space="0" w:color="auto"/>
              <w:right w:val="single" w:sz="4" w:space="0" w:color="auto"/>
            </w:tcBorders>
            <w:noWrap/>
            <w:vAlign w:val="center"/>
            <w:hideMark/>
          </w:tcPr>
          <w:p w14:paraId="46B5EEB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37.394,63</w:t>
            </w:r>
          </w:p>
        </w:tc>
        <w:tc>
          <w:tcPr>
            <w:tcW w:w="0" w:type="auto"/>
            <w:tcBorders>
              <w:top w:val="nil"/>
              <w:left w:val="nil"/>
              <w:bottom w:val="single" w:sz="4" w:space="0" w:color="auto"/>
              <w:right w:val="single" w:sz="4" w:space="0" w:color="auto"/>
            </w:tcBorders>
            <w:vAlign w:val="center"/>
            <w:hideMark/>
          </w:tcPr>
          <w:p w14:paraId="4C938CE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25,85</w:t>
            </w:r>
          </w:p>
        </w:tc>
        <w:tc>
          <w:tcPr>
            <w:tcW w:w="0" w:type="auto"/>
            <w:tcBorders>
              <w:top w:val="nil"/>
              <w:left w:val="nil"/>
              <w:bottom w:val="single" w:sz="4" w:space="0" w:color="auto"/>
              <w:right w:val="single" w:sz="4" w:space="0" w:color="auto"/>
            </w:tcBorders>
            <w:noWrap/>
            <w:vAlign w:val="center"/>
            <w:hideMark/>
          </w:tcPr>
          <w:p w14:paraId="5390D95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144.674,71</w:t>
            </w:r>
          </w:p>
        </w:tc>
      </w:tr>
      <w:tr w:rsidR="00BB3DD1" w:rsidRPr="00BB3DD1" w14:paraId="03DDB518"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2813A8DA"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1541832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0D50F50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0,740</w:t>
            </w:r>
          </w:p>
        </w:tc>
        <w:tc>
          <w:tcPr>
            <w:tcW w:w="0" w:type="auto"/>
            <w:tcBorders>
              <w:top w:val="nil"/>
              <w:left w:val="nil"/>
              <w:bottom w:val="single" w:sz="4" w:space="0" w:color="auto"/>
              <w:right w:val="single" w:sz="4" w:space="0" w:color="auto"/>
            </w:tcBorders>
            <w:noWrap/>
            <w:vAlign w:val="center"/>
            <w:hideMark/>
          </w:tcPr>
          <w:p w14:paraId="75D4545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0" w:type="auto"/>
            <w:tcBorders>
              <w:top w:val="nil"/>
              <w:left w:val="nil"/>
              <w:bottom w:val="single" w:sz="4" w:space="0" w:color="auto"/>
              <w:right w:val="single" w:sz="4" w:space="0" w:color="auto"/>
            </w:tcBorders>
            <w:noWrap/>
            <w:vAlign w:val="center"/>
            <w:hideMark/>
          </w:tcPr>
          <w:p w14:paraId="6DB5AA0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74.163,00</w:t>
            </w:r>
          </w:p>
        </w:tc>
        <w:tc>
          <w:tcPr>
            <w:tcW w:w="0" w:type="auto"/>
            <w:tcBorders>
              <w:top w:val="nil"/>
              <w:left w:val="nil"/>
              <w:bottom w:val="single" w:sz="4" w:space="0" w:color="auto"/>
              <w:right w:val="single" w:sz="4" w:space="0" w:color="auto"/>
            </w:tcBorders>
            <w:vAlign w:val="center"/>
            <w:hideMark/>
          </w:tcPr>
          <w:p w14:paraId="6D48055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58,58</w:t>
            </w:r>
          </w:p>
        </w:tc>
        <w:tc>
          <w:tcPr>
            <w:tcW w:w="0" w:type="auto"/>
            <w:tcBorders>
              <w:top w:val="nil"/>
              <w:left w:val="nil"/>
              <w:bottom w:val="single" w:sz="4" w:space="0" w:color="auto"/>
              <w:right w:val="single" w:sz="4" w:space="0" w:color="auto"/>
            </w:tcBorders>
            <w:noWrap/>
            <w:vAlign w:val="center"/>
            <w:hideMark/>
          </w:tcPr>
          <w:p w14:paraId="7F01A2C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15.043,69</w:t>
            </w:r>
          </w:p>
        </w:tc>
        <w:tc>
          <w:tcPr>
            <w:tcW w:w="0" w:type="auto"/>
            <w:tcBorders>
              <w:top w:val="nil"/>
              <w:left w:val="nil"/>
              <w:bottom w:val="single" w:sz="4" w:space="0" w:color="auto"/>
              <w:right w:val="single" w:sz="4" w:space="0" w:color="auto"/>
            </w:tcBorders>
            <w:vAlign w:val="center"/>
            <w:hideMark/>
          </w:tcPr>
          <w:p w14:paraId="7CCDE9A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11,88</w:t>
            </w:r>
          </w:p>
        </w:tc>
        <w:tc>
          <w:tcPr>
            <w:tcW w:w="0" w:type="auto"/>
            <w:tcBorders>
              <w:top w:val="nil"/>
              <w:left w:val="nil"/>
              <w:bottom w:val="single" w:sz="4" w:space="0" w:color="auto"/>
              <w:right w:val="single" w:sz="4" w:space="0" w:color="auto"/>
            </w:tcBorders>
            <w:noWrap/>
            <w:vAlign w:val="center"/>
            <w:hideMark/>
          </w:tcPr>
          <w:p w14:paraId="028AA62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37.394,63</w:t>
            </w:r>
          </w:p>
        </w:tc>
        <w:tc>
          <w:tcPr>
            <w:tcW w:w="0" w:type="auto"/>
            <w:tcBorders>
              <w:top w:val="nil"/>
              <w:left w:val="nil"/>
              <w:bottom w:val="single" w:sz="4" w:space="0" w:color="auto"/>
              <w:right w:val="single" w:sz="4" w:space="0" w:color="auto"/>
            </w:tcBorders>
            <w:vAlign w:val="center"/>
            <w:hideMark/>
          </w:tcPr>
          <w:p w14:paraId="1C142BD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29,54</w:t>
            </w:r>
          </w:p>
        </w:tc>
        <w:tc>
          <w:tcPr>
            <w:tcW w:w="0" w:type="auto"/>
            <w:tcBorders>
              <w:top w:val="nil"/>
              <w:left w:val="nil"/>
              <w:bottom w:val="single" w:sz="4" w:space="0" w:color="auto"/>
              <w:right w:val="single" w:sz="4" w:space="0" w:color="auto"/>
            </w:tcBorders>
            <w:noWrap/>
            <w:vAlign w:val="center"/>
            <w:hideMark/>
          </w:tcPr>
          <w:p w14:paraId="4CE18CA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126.601,32</w:t>
            </w:r>
          </w:p>
        </w:tc>
      </w:tr>
      <w:tr w:rsidR="00BB3DD1" w:rsidRPr="00BB3DD1" w14:paraId="0824E6F6" w14:textId="77777777" w:rsidTr="00BB0DB8">
        <w:trPr>
          <w:trHeight w:val="300"/>
        </w:trPr>
        <w:tc>
          <w:tcPr>
            <w:tcW w:w="0" w:type="auto"/>
            <w:vMerge w:val="restart"/>
            <w:tcBorders>
              <w:top w:val="nil"/>
              <w:left w:val="single" w:sz="4" w:space="0" w:color="auto"/>
              <w:bottom w:val="single" w:sz="4" w:space="0" w:color="auto"/>
              <w:right w:val="single" w:sz="4" w:space="0" w:color="auto"/>
            </w:tcBorders>
            <w:vAlign w:val="center"/>
            <w:hideMark/>
          </w:tcPr>
          <w:p w14:paraId="6B7905B3"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 C.F.M. SISTEMAS MICROINFORMÁTICOS Y REDES</w:t>
            </w:r>
          </w:p>
        </w:tc>
        <w:tc>
          <w:tcPr>
            <w:tcW w:w="0" w:type="auto"/>
            <w:tcBorders>
              <w:top w:val="nil"/>
              <w:left w:val="nil"/>
              <w:bottom w:val="single" w:sz="4" w:space="0" w:color="auto"/>
              <w:right w:val="single" w:sz="4" w:space="0" w:color="auto"/>
            </w:tcBorders>
            <w:noWrap/>
            <w:vAlign w:val="center"/>
            <w:hideMark/>
          </w:tcPr>
          <w:p w14:paraId="1CDC95C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0" w:type="auto"/>
            <w:tcBorders>
              <w:top w:val="nil"/>
              <w:left w:val="nil"/>
              <w:bottom w:val="single" w:sz="4" w:space="0" w:color="auto"/>
              <w:right w:val="single" w:sz="4" w:space="0" w:color="auto"/>
            </w:tcBorders>
            <w:noWrap/>
            <w:vAlign w:val="center"/>
            <w:hideMark/>
          </w:tcPr>
          <w:p w14:paraId="556A763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0,740</w:t>
            </w:r>
          </w:p>
        </w:tc>
        <w:tc>
          <w:tcPr>
            <w:tcW w:w="0" w:type="auto"/>
            <w:tcBorders>
              <w:top w:val="nil"/>
              <w:left w:val="nil"/>
              <w:bottom w:val="single" w:sz="4" w:space="0" w:color="auto"/>
              <w:right w:val="single" w:sz="4" w:space="0" w:color="auto"/>
            </w:tcBorders>
            <w:noWrap/>
            <w:vAlign w:val="center"/>
            <w:hideMark/>
          </w:tcPr>
          <w:p w14:paraId="7045F90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1,305</w:t>
            </w:r>
          </w:p>
        </w:tc>
        <w:tc>
          <w:tcPr>
            <w:tcW w:w="0" w:type="auto"/>
            <w:tcBorders>
              <w:top w:val="nil"/>
              <w:left w:val="nil"/>
              <w:bottom w:val="single" w:sz="4" w:space="0" w:color="auto"/>
              <w:right w:val="single" w:sz="4" w:space="0" w:color="auto"/>
            </w:tcBorders>
            <w:noWrap/>
            <w:vAlign w:val="center"/>
            <w:hideMark/>
          </w:tcPr>
          <w:p w14:paraId="476FE56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98.483,49</w:t>
            </w:r>
          </w:p>
        </w:tc>
        <w:tc>
          <w:tcPr>
            <w:tcW w:w="0" w:type="auto"/>
            <w:tcBorders>
              <w:top w:val="nil"/>
              <w:left w:val="nil"/>
              <w:bottom w:val="single" w:sz="4" w:space="0" w:color="auto"/>
              <w:right w:val="single" w:sz="4" w:space="0" w:color="auto"/>
            </w:tcBorders>
            <w:vAlign w:val="center"/>
            <w:hideMark/>
          </w:tcPr>
          <w:p w14:paraId="2AC0622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70,13</w:t>
            </w:r>
          </w:p>
        </w:tc>
        <w:tc>
          <w:tcPr>
            <w:tcW w:w="0" w:type="auto"/>
            <w:tcBorders>
              <w:top w:val="nil"/>
              <w:left w:val="nil"/>
              <w:bottom w:val="single" w:sz="4" w:space="0" w:color="auto"/>
              <w:right w:val="single" w:sz="4" w:space="0" w:color="auto"/>
            </w:tcBorders>
            <w:noWrap/>
            <w:vAlign w:val="center"/>
            <w:hideMark/>
          </w:tcPr>
          <w:p w14:paraId="3181714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19.471,53</w:t>
            </w:r>
          </w:p>
        </w:tc>
        <w:tc>
          <w:tcPr>
            <w:tcW w:w="0" w:type="auto"/>
            <w:tcBorders>
              <w:top w:val="nil"/>
              <w:left w:val="nil"/>
              <w:bottom w:val="single" w:sz="4" w:space="0" w:color="auto"/>
              <w:right w:val="single" w:sz="4" w:space="0" w:color="auto"/>
            </w:tcBorders>
            <w:vAlign w:val="center"/>
            <w:hideMark/>
          </w:tcPr>
          <w:p w14:paraId="4DE413E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13,87</w:t>
            </w:r>
          </w:p>
        </w:tc>
        <w:tc>
          <w:tcPr>
            <w:tcW w:w="0" w:type="auto"/>
            <w:tcBorders>
              <w:top w:val="nil"/>
              <w:left w:val="nil"/>
              <w:bottom w:val="single" w:sz="4" w:space="0" w:color="auto"/>
              <w:right w:val="single" w:sz="4" w:space="0" w:color="auto"/>
            </w:tcBorders>
            <w:noWrap/>
            <w:vAlign w:val="center"/>
            <w:hideMark/>
          </w:tcPr>
          <w:p w14:paraId="41DC4D9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22.470,46</w:t>
            </w:r>
          </w:p>
        </w:tc>
        <w:tc>
          <w:tcPr>
            <w:tcW w:w="0" w:type="auto"/>
            <w:tcBorders>
              <w:top w:val="nil"/>
              <w:left w:val="nil"/>
              <w:bottom w:val="single" w:sz="4" w:space="0" w:color="auto"/>
              <w:right w:val="single" w:sz="4" w:space="0" w:color="auto"/>
            </w:tcBorders>
            <w:vAlign w:val="center"/>
            <w:hideMark/>
          </w:tcPr>
          <w:p w14:paraId="3B99C7C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16,00</w:t>
            </w:r>
          </w:p>
        </w:tc>
        <w:tc>
          <w:tcPr>
            <w:tcW w:w="0" w:type="auto"/>
            <w:tcBorders>
              <w:top w:val="nil"/>
              <w:left w:val="nil"/>
              <w:bottom w:val="single" w:sz="4" w:space="0" w:color="auto"/>
              <w:right w:val="single" w:sz="4" w:space="0" w:color="auto"/>
            </w:tcBorders>
            <w:noWrap/>
            <w:vAlign w:val="center"/>
            <w:hideMark/>
          </w:tcPr>
          <w:p w14:paraId="1591743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140.425,48</w:t>
            </w:r>
          </w:p>
        </w:tc>
      </w:tr>
      <w:tr w:rsidR="00BB3DD1" w:rsidRPr="00BB3DD1" w14:paraId="637EC1E4" w14:textId="77777777" w:rsidTr="00BB0DB8">
        <w:trPr>
          <w:trHeight w:val="300"/>
        </w:trPr>
        <w:tc>
          <w:tcPr>
            <w:tcW w:w="0" w:type="auto"/>
            <w:vMerge/>
            <w:tcBorders>
              <w:top w:val="nil"/>
              <w:left w:val="single" w:sz="4" w:space="0" w:color="auto"/>
              <w:bottom w:val="single" w:sz="4" w:space="0" w:color="auto"/>
              <w:right w:val="single" w:sz="4" w:space="0" w:color="auto"/>
            </w:tcBorders>
            <w:vAlign w:val="center"/>
            <w:hideMark/>
          </w:tcPr>
          <w:p w14:paraId="0ABD1196"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0" w:type="auto"/>
            <w:tcBorders>
              <w:top w:val="nil"/>
              <w:left w:val="nil"/>
              <w:bottom w:val="single" w:sz="4" w:space="0" w:color="auto"/>
              <w:right w:val="single" w:sz="4" w:space="0" w:color="auto"/>
            </w:tcBorders>
            <w:noWrap/>
            <w:vAlign w:val="center"/>
            <w:hideMark/>
          </w:tcPr>
          <w:p w14:paraId="12584D0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0" w:type="auto"/>
            <w:tcBorders>
              <w:top w:val="nil"/>
              <w:left w:val="nil"/>
              <w:bottom w:val="single" w:sz="4" w:space="0" w:color="auto"/>
              <w:right w:val="single" w:sz="4" w:space="0" w:color="auto"/>
            </w:tcBorders>
            <w:noWrap/>
            <w:vAlign w:val="center"/>
            <w:hideMark/>
          </w:tcPr>
          <w:p w14:paraId="609005D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1,175</w:t>
            </w:r>
          </w:p>
        </w:tc>
        <w:tc>
          <w:tcPr>
            <w:tcW w:w="0" w:type="auto"/>
            <w:tcBorders>
              <w:top w:val="nil"/>
              <w:left w:val="nil"/>
              <w:bottom w:val="single" w:sz="4" w:space="0" w:color="auto"/>
              <w:right w:val="single" w:sz="4" w:space="0" w:color="auto"/>
            </w:tcBorders>
            <w:noWrap/>
            <w:vAlign w:val="center"/>
            <w:hideMark/>
          </w:tcPr>
          <w:p w14:paraId="103C21E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0,261</w:t>
            </w:r>
          </w:p>
        </w:tc>
        <w:tc>
          <w:tcPr>
            <w:tcW w:w="0" w:type="auto"/>
            <w:tcBorders>
              <w:top w:val="nil"/>
              <w:left w:val="nil"/>
              <w:bottom w:val="single" w:sz="4" w:space="0" w:color="auto"/>
              <w:right w:val="single" w:sz="4" w:space="0" w:color="auto"/>
            </w:tcBorders>
            <w:noWrap/>
            <w:vAlign w:val="center"/>
            <w:hideMark/>
          </w:tcPr>
          <w:p w14:paraId="6DEE7CB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71.993,58</w:t>
            </w:r>
          </w:p>
        </w:tc>
        <w:tc>
          <w:tcPr>
            <w:tcW w:w="0" w:type="auto"/>
            <w:tcBorders>
              <w:top w:val="nil"/>
              <w:left w:val="nil"/>
              <w:bottom w:val="single" w:sz="4" w:space="0" w:color="auto"/>
              <w:right w:val="single" w:sz="4" w:space="0" w:color="auto"/>
            </w:tcBorders>
            <w:vAlign w:val="center"/>
            <w:hideMark/>
          </w:tcPr>
          <w:p w14:paraId="7133E08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65,98</w:t>
            </w:r>
          </w:p>
        </w:tc>
        <w:tc>
          <w:tcPr>
            <w:tcW w:w="0" w:type="auto"/>
            <w:tcBorders>
              <w:top w:val="nil"/>
              <w:left w:val="nil"/>
              <w:bottom w:val="single" w:sz="4" w:space="0" w:color="auto"/>
              <w:right w:val="single" w:sz="4" w:space="0" w:color="auto"/>
            </w:tcBorders>
            <w:noWrap/>
            <w:vAlign w:val="center"/>
            <w:hideMark/>
          </w:tcPr>
          <w:p w14:paraId="6E39B01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14.648,72</w:t>
            </w:r>
          </w:p>
        </w:tc>
        <w:tc>
          <w:tcPr>
            <w:tcW w:w="0" w:type="auto"/>
            <w:tcBorders>
              <w:top w:val="nil"/>
              <w:left w:val="nil"/>
              <w:bottom w:val="single" w:sz="4" w:space="0" w:color="auto"/>
              <w:right w:val="single" w:sz="4" w:space="0" w:color="auto"/>
            </w:tcBorders>
            <w:vAlign w:val="center"/>
            <w:hideMark/>
          </w:tcPr>
          <w:p w14:paraId="3624ADA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13,43</w:t>
            </w:r>
          </w:p>
        </w:tc>
        <w:tc>
          <w:tcPr>
            <w:tcW w:w="0" w:type="auto"/>
            <w:tcBorders>
              <w:top w:val="nil"/>
              <w:left w:val="nil"/>
              <w:bottom w:val="single" w:sz="4" w:space="0" w:color="auto"/>
              <w:right w:val="single" w:sz="4" w:space="0" w:color="auto"/>
            </w:tcBorders>
            <w:noWrap/>
            <w:vAlign w:val="center"/>
            <w:hideMark/>
          </w:tcPr>
          <w:p w14:paraId="3827D1E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22.470,46</w:t>
            </w:r>
          </w:p>
        </w:tc>
        <w:tc>
          <w:tcPr>
            <w:tcW w:w="0" w:type="auto"/>
            <w:tcBorders>
              <w:top w:val="nil"/>
              <w:left w:val="nil"/>
              <w:bottom w:val="single" w:sz="4" w:space="0" w:color="auto"/>
              <w:right w:val="single" w:sz="4" w:space="0" w:color="auto"/>
            </w:tcBorders>
            <w:vAlign w:val="center"/>
            <w:hideMark/>
          </w:tcPr>
          <w:p w14:paraId="6AABDDF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20,59</w:t>
            </w:r>
          </w:p>
        </w:tc>
        <w:tc>
          <w:tcPr>
            <w:tcW w:w="0" w:type="auto"/>
            <w:tcBorders>
              <w:top w:val="nil"/>
              <w:left w:val="nil"/>
              <w:bottom w:val="single" w:sz="4" w:space="0" w:color="auto"/>
              <w:right w:val="single" w:sz="4" w:space="0" w:color="auto"/>
            </w:tcBorders>
            <w:noWrap/>
            <w:vAlign w:val="center"/>
            <w:hideMark/>
          </w:tcPr>
          <w:p w14:paraId="5E6F00C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109.112,76</w:t>
            </w:r>
          </w:p>
        </w:tc>
      </w:tr>
    </w:tbl>
    <w:p w14:paraId="10E1269E" w14:textId="77777777" w:rsidR="00BB3DD1" w:rsidRPr="00BB3DD1" w:rsidRDefault="00BB3DD1" w:rsidP="00BB3DD1">
      <w:pPr>
        <w:spacing w:after="0" w:line="240" w:lineRule="auto"/>
        <w:rPr>
          <w:rFonts w:ascii="Times New Roman" w:eastAsia="Times New Roman" w:hAnsi="Times New Roman" w:cs="Times New Roman"/>
          <w:sz w:val="20"/>
          <w:szCs w:val="20"/>
          <w:lang w:val="es-ES" w:eastAsia="es-ES"/>
        </w:rPr>
      </w:pPr>
      <w:r w:rsidRPr="00BB3DD1">
        <w:rPr>
          <w:rFonts w:ascii="Times New Roman" w:eastAsia="Times New Roman" w:hAnsi="Times New Roman" w:cs="Times New Roman"/>
          <w:sz w:val="20"/>
          <w:szCs w:val="20"/>
          <w:lang w:eastAsia="es-ES"/>
        </w:rPr>
        <w:br w:type="page"/>
      </w:r>
    </w:p>
    <w:p w14:paraId="28932642" w14:textId="77777777" w:rsidR="00BB3DD1" w:rsidRPr="00BB3DD1" w:rsidRDefault="00BB3DD1" w:rsidP="00BB3DD1">
      <w:pPr>
        <w:spacing w:after="300" w:line="240" w:lineRule="auto"/>
        <w:jc w:val="both"/>
        <w:rPr>
          <w:rFonts w:ascii="Arial" w:eastAsia="Times New Roman" w:hAnsi="Arial" w:cs="Arial"/>
          <w:lang w:val="es-ES" w:eastAsia="es-ES"/>
        </w:rPr>
      </w:pPr>
      <w:r w:rsidRPr="00BB3DD1">
        <w:rPr>
          <w:rFonts w:ascii="Arial" w:eastAsia="Times New Roman" w:hAnsi="Arial" w:cs="Arial"/>
          <w:lang w:val="es-ES" w:eastAsia="es-ES"/>
        </w:rPr>
        <w:lastRenderedPageBreak/>
        <w:t>CICLOS FORMATIVOS GRADO SUPERIOR</w:t>
      </w:r>
    </w:p>
    <w:tbl>
      <w:tblPr>
        <w:tblW w:w="0" w:type="auto"/>
        <w:tblCellMar>
          <w:left w:w="70" w:type="dxa"/>
          <w:right w:w="70" w:type="dxa"/>
        </w:tblCellMar>
        <w:tblLook w:val="04A0" w:firstRow="1" w:lastRow="0" w:firstColumn="1" w:lastColumn="0" w:noHBand="0" w:noVBand="1"/>
      </w:tblPr>
      <w:tblGrid>
        <w:gridCol w:w="4819"/>
        <w:gridCol w:w="718"/>
        <w:gridCol w:w="840"/>
        <w:gridCol w:w="1133"/>
        <w:gridCol w:w="1558"/>
        <w:gridCol w:w="992"/>
        <w:gridCol w:w="1417"/>
        <w:gridCol w:w="992"/>
        <w:gridCol w:w="1245"/>
        <w:gridCol w:w="951"/>
        <w:gridCol w:w="1199"/>
      </w:tblGrid>
      <w:tr w:rsidR="00BB3DD1" w:rsidRPr="00BB3DD1" w14:paraId="3684F23E" w14:textId="77777777" w:rsidTr="00BB0DB8">
        <w:trPr>
          <w:trHeight w:val="315"/>
          <w:tblHeader/>
        </w:trPr>
        <w:tc>
          <w:tcPr>
            <w:tcW w:w="4819" w:type="dxa"/>
            <w:vMerge w:val="restart"/>
            <w:tcBorders>
              <w:top w:val="single" w:sz="4" w:space="0" w:color="auto"/>
              <w:left w:val="single" w:sz="4" w:space="0" w:color="auto"/>
              <w:bottom w:val="single" w:sz="4" w:space="0" w:color="auto"/>
              <w:right w:val="single" w:sz="4" w:space="0" w:color="auto"/>
            </w:tcBorders>
            <w:noWrap/>
            <w:vAlign w:val="center"/>
            <w:hideMark/>
          </w:tcPr>
          <w:p w14:paraId="302F87EC" w14:textId="77777777" w:rsidR="00BB3DD1" w:rsidRPr="00BB3DD1" w:rsidRDefault="00BB3DD1" w:rsidP="00BB3DD1">
            <w:pPr>
              <w:spacing w:after="0" w:line="240" w:lineRule="auto"/>
              <w:jc w:val="both"/>
              <w:rPr>
                <w:rFonts w:ascii="Arial" w:eastAsia="Times New Roman" w:hAnsi="Arial" w:cs="Arial"/>
                <w:b/>
                <w:bCs/>
                <w:color w:val="000000"/>
                <w:sz w:val="16"/>
                <w:szCs w:val="16"/>
                <w:lang w:val="es-ES" w:eastAsia="es-ES"/>
              </w:rPr>
            </w:pPr>
            <w:r w:rsidRPr="00BB3DD1">
              <w:rPr>
                <w:rFonts w:ascii="Arial" w:eastAsia="Times New Roman" w:hAnsi="Arial" w:cs="Arial"/>
                <w:b/>
                <w:bCs/>
                <w:color w:val="000000"/>
                <w:sz w:val="16"/>
                <w:szCs w:val="16"/>
                <w:lang w:val="es-ES" w:eastAsia="es-ES"/>
              </w:rPr>
              <w:t>CICLOS FORMATIVOS GRADO SUPERIOR</w:t>
            </w:r>
          </w:p>
        </w:tc>
        <w:tc>
          <w:tcPr>
            <w:tcW w:w="718" w:type="dxa"/>
            <w:vMerge w:val="restart"/>
            <w:tcBorders>
              <w:top w:val="single" w:sz="4" w:space="0" w:color="auto"/>
              <w:left w:val="single" w:sz="4" w:space="0" w:color="auto"/>
              <w:bottom w:val="single" w:sz="4" w:space="0" w:color="auto"/>
              <w:right w:val="single" w:sz="4" w:space="0" w:color="auto"/>
            </w:tcBorders>
            <w:vAlign w:val="center"/>
            <w:hideMark/>
          </w:tcPr>
          <w:p w14:paraId="2A7E2953"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CURSO</w:t>
            </w:r>
          </w:p>
        </w:tc>
        <w:tc>
          <w:tcPr>
            <w:tcW w:w="1973" w:type="dxa"/>
            <w:gridSpan w:val="2"/>
            <w:tcBorders>
              <w:top w:val="single" w:sz="4" w:space="0" w:color="auto"/>
              <w:left w:val="nil"/>
              <w:bottom w:val="single" w:sz="4" w:space="0" w:color="auto"/>
              <w:right w:val="single" w:sz="4" w:space="0" w:color="auto"/>
            </w:tcBorders>
            <w:vAlign w:val="center"/>
            <w:hideMark/>
          </w:tcPr>
          <w:p w14:paraId="45041EA8"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RATIO PROFESOR</w:t>
            </w:r>
          </w:p>
        </w:tc>
        <w:tc>
          <w:tcPr>
            <w:tcW w:w="1558" w:type="dxa"/>
            <w:vMerge w:val="restart"/>
            <w:tcBorders>
              <w:top w:val="single" w:sz="4" w:space="0" w:color="auto"/>
              <w:left w:val="single" w:sz="4" w:space="0" w:color="auto"/>
              <w:bottom w:val="single" w:sz="4" w:space="0" w:color="auto"/>
              <w:right w:val="single" w:sz="4" w:space="0" w:color="auto"/>
            </w:tcBorders>
            <w:vAlign w:val="center"/>
            <w:hideMark/>
          </w:tcPr>
          <w:p w14:paraId="4A18F423"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SALARIOS PERSONAL</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A5ACC24"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8564A5C"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GASTOS VARIABLES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6F77A0"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14:paraId="1C4D048D"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OTROS GASTOS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B45D61"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6F2902"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TOTAL MÓDULO</w:t>
            </w:r>
          </w:p>
        </w:tc>
      </w:tr>
      <w:tr w:rsidR="00BB3DD1" w:rsidRPr="00BB3DD1" w14:paraId="076C7420" w14:textId="77777777" w:rsidTr="00BB0DB8">
        <w:trPr>
          <w:trHeight w:val="315"/>
          <w:tblHeader/>
        </w:trPr>
        <w:tc>
          <w:tcPr>
            <w:tcW w:w="4819" w:type="dxa"/>
            <w:vMerge/>
            <w:tcBorders>
              <w:top w:val="single" w:sz="4" w:space="0" w:color="auto"/>
              <w:left w:val="single" w:sz="4" w:space="0" w:color="auto"/>
              <w:bottom w:val="single" w:sz="4" w:space="0" w:color="auto"/>
              <w:right w:val="single" w:sz="4" w:space="0" w:color="auto"/>
            </w:tcBorders>
            <w:vAlign w:val="center"/>
            <w:hideMark/>
          </w:tcPr>
          <w:p w14:paraId="254DF710" w14:textId="77777777" w:rsidR="00BB3DD1" w:rsidRPr="00BB3DD1" w:rsidRDefault="00BB3DD1" w:rsidP="00BB3DD1">
            <w:pPr>
              <w:spacing w:after="0" w:line="240" w:lineRule="auto"/>
              <w:rPr>
                <w:rFonts w:ascii="Arial" w:eastAsia="Times New Roman" w:hAnsi="Arial" w:cs="Arial"/>
                <w:b/>
                <w:bCs/>
                <w:color w:val="000000"/>
                <w:sz w:val="16"/>
                <w:szCs w:val="16"/>
                <w:lang w:val="es-ES" w:eastAsia="es-ES"/>
              </w:rPr>
            </w:pPr>
          </w:p>
        </w:tc>
        <w:tc>
          <w:tcPr>
            <w:tcW w:w="718" w:type="dxa"/>
            <w:vMerge/>
            <w:tcBorders>
              <w:top w:val="single" w:sz="4" w:space="0" w:color="auto"/>
              <w:left w:val="single" w:sz="4" w:space="0" w:color="auto"/>
              <w:bottom w:val="single" w:sz="4" w:space="0" w:color="auto"/>
              <w:right w:val="single" w:sz="4" w:space="0" w:color="auto"/>
            </w:tcBorders>
            <w:vAlign w:val="center"/>
            <w:hideMark/>
          </w:tcPr>
          <w:p w14:paraId="3B0BDFAE"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840" w:type="dxa"/>
            <w:tcBorders>
              <w:top w:val="nil"/>
              <w:left w:val="nil"/>
              <w:bottom w:val="single" w:sz="4" w:space="0" w:color="auto"/>
              <w:right w:val="single" w:sz="4" w:space="0" w:color="auto"/>
            </w:tcBorders>
            <w:noWrap/>
            <w:vAlign w:val="center"/>
            <w:hideMark/>
          </w:tcPr>
          <w:p w14:paraId="5190D8E5"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TITULAR</w:t>
            </w:r>
          </w:p>
        </w:tc>
        <w:tc>
          <w:tcPr>
            <w:tcW w:w="1133" w:type="dxa"/>
            <w:tcBorders>
              <w:top w:val="nil"/>
              <w:left w:val="nil"/>
              <w:bottom w:val="single" w:sz="4" w:space="0" w:color="auto"/>
              <w:right w:val="single" w:sz="4" w:space="0" w:color="auto"/>
            </w:tcBorders>
            <w:noWrap/>
            <w:vAlign w:val="center"/>
            <w:hideMark/>
          </w:tcPr>
          <w:p w14:paraId="3CDDBC5B"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AGREGADO</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218FCFDE"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264534"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8398F4B"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33AFAF3"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14:paraId="68BA19C9"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C283C"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05513"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r>
      <w:tr w:rsidR="00BB3DD1" w:rsidRPr="00BB3DD1" w14:paraId="3ED97E61"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66AFA845"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1-C.F.S. DE COMERCIO INTERNACIONAL</w:t>
            </w:r>
          </w:p>
        </w:tc>
        <w:tc>
          <w:tcPr>
            <w:tcW w:w="718" w:type="dxa"/>
            <w:tcBorders>
              <w:top w:val="nil"/>
              <w:left w:val="nil"/>
              <w:bottom w:val="single" w:sz="4" w:space="0" w:color="auto"/>
              <w:right w:val="single" w:sz="4" w:space="0" w:color="auto"/>
            </w:tcBorders>
            <w:noWrap/>
            <w:vAlign w:val="center"/>
            <w:hideMark/>
          </w:tcPr>
          <w:p w14:paraId="7BD7453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0C8658B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1,174</w:t>
            </w:r>
          </w:p>
        </w:tc>
        <w:tc>
          <w:tcPr>
            <w:tcW w:w="1133" w:type="dxa"/>
            <w:tcBorders>
              <w:top w:val="nil"/>
              <w:left w:val="nil"/>
              <w:bottom w:val="single" w:sz="4" w:space="0" w:color="auto"/>
              <w:right w:val="single" w:sz="4" w:space="0" w:color="auto"/>
            </w:tcBorders>
            <w:noWrap/>
            <w:vAlign w:val="center"/>
            <w:hideMark/>
          </w:tcPr>
          <w:p w14:paraId="1907594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0,348</w:t>
            </w:r>
          </w:p>
        </w:tc>
        <w:tc>
          <w:tcPr>
            <w:tcW w:w="1558" w:type="dxa"/>
            <w:tcBorders>
              <w:top w:val="nil"/>
              <w:left w:val="nil"/>
              <w:bottom w:val="single" w:sz="4" w:space="0" w:color="auto"/>
              <w:right w:val="single" w:sz="4" w:space="0" w:color="auto"/>
            </w:tcBorders>
            <w:noWrap/>
            <w:vAlign w:val="center"/>
            <w:hideMark/>
          </w:tcPr>
          <w:p w14:paraId="49F7B92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75.996,06</w:t>
            </w:r>
          </w:p>
        </w:tc>
        <w:tc>
          <w:tcPr>
            <w:tcW w:w="992" w:type="dxa"/>
            <w:tcBorders>
              <w:top w:val="nil"/>
              <w:left w:val="nil"/>
              <w:bottom w:val="single" w:sz="4" w:space="0" w:color="auto"/>
              <w:right w:val="single" w:sz="4" w:space="0" w:color="auto"/>
            </w:tcBorders>
            <w:vAlign w:val="center"/>
            <w:hideMark/>
          </w:tcPr>
          <w:p w14:paraId="3F85E86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68,17</w:t>
            </w:r>
          </w:p>
        </w:tc>
        <w:tc>
          <w:tcPr>
            <w:tcW w:w="1417" w:type="dxa"/>
            <w:tcBorders>
              <w:top w:val="nil"/>
              <w:left w:val="nil"/>
              <w:bottom w:val="single" w:sz="4" w:space="0" w:color="auto"/>
              <w:right w:val="single" w:sz="4" w:space="0" w:color="auto"/>
            </w:tcBorders>
            <w:noWrap/>
            <w:vAlign w:val="center"/>
            <w:hideMark/>
          </w:tcPr>
          <w:p w14:paraId="0F3180D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15.004,24</w:t>
            </w:r>
          </w:p>
        </w:tc>
        <w:tc>
          <w:tcPr>
            <w:tcW w:w="992" w:type="dxa"/>
            <w:tcBorders>
              <w:top w:val="nil"/>
              <w:left w:val="nil"/>
              <w:bottom w:val="single" w:sz="4" w:space="0" w:color="auto"/>
              <w:right w:val="single" w:sz="4" w:space="0" w:color="auto"/>
            </w:tcBorders>
            <w:vAlign w:val="center"/>
            <w:hideMark/>
          </w:tcPr>
          <w:p w14:paraId="7928DEF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13,46</w:t>
            </w:r>
          </w:p>
        </w:tc>
        <w:tc>
          <w:tcPr>
            <w:tcW w:w="1245" w:type="dxa"/>
            <w:tcBorders>
              <w:top w:val="nil"/>
              <w:left w:val="nil"/>
              <w:bottom w:val="single" w:sz="4" w:space="0" w:color="auto"/>
              <w:right w:val="single" w:sz="4" w:space="0" w:color="auto"/>
            </w:tcBorders>
            <w:noWrap/>
            <w:vAlign w:val="center"/>
            <w:hideMark/>
          </w:tcPr>
          <w:p w14:paraId="2FFEBDA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20.480,99</w:t>
            </w:r>
          </w:p>
        </w:tc>
        <w:tc>
          <w:tcPr>
            <w:tcW w:w="0" w:type="auto"/>
            <w:tcBorders>
              <w:top w:val="nil"/>
              <w:left w:val="nil"/>
              <w:bottom w:val="single" w:sz="4" w:space="0" w:color="auto"/>
              <w:right w:val="single" w:sz="4" w:space="0" w:color="auto"/>
            </w:tcBorders>
            <w:vAlign w:val="center"/>
            <w:hideMark/>
          </w:tcPr>
          <w:p w14:paraId="5ABE05A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18,37</w:t>
            </w:r>
          </w:p>
        </w:tc>
        <w:tc>
          <w:tcPr>
            <w:tcW w:w="0" w:type="auto"/>
            <w:tcBorders>
              <w:top w:val="nil"/>
              <w:left w:val="nil"/>
              <w:bottom w:val="single" w:sz="4" w:space="0" w:color="auto"/>
              <w:right w:val="single" w:sz="4" w:space="0" w:color="auto"/>
            </w:tcBorders>
            <w:noWrap/>
            <w:vAlign w:val="center"/>
            <w:hideMark/>
          </w:tcPr>
          <w:p w14:paraId="46EAF58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111.481,29</w:t>
            </w:r>
          </w:p>
        </w:tc>
      </w:tr>
      <w:tr w:rsidR="00BB3DD1" w:rsidRPr="00BB3DD1" w14:paraId="57BA5034"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38D21645"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EAD366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060CBF0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1,217</w:t>
            </w:r>
          </w:p>
        </w:tc>
        <w:tc>
          <w:tcPr>
            <w:tcW w:w="1133" w:type="dxa"/>
            <w:tcBorders>
              <w:top w:val="nil"/>
              <w:left w:val="nil"/>
              <w:bottom w:val="single" w:sz="4" w:space="0" w:color="auto"/>
              <w:right w:val="single" w:sz="4" w:space="0" w:color="auto"/>
            </w:tcBorders>
            <w:noWrap/>
            <w:vAlign w:val="center"/>
            <w:hideMark/>
          </w:tcPr>
          <w:p w14:paraId="3209063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0,217</w:t>
            </w:r>
          </w:p>
        </w:tc>
        <w:tc>
          <w:tcPr>
            <w:tcW w:w="1558" w:type="dxa"/>
            <w:tcBorders>
              <w:top w:val="nil"/>
              <w:left w:val="nil"/>
              <w:bottom w:val="single" w:sz="4" w:space="0" w:color="auto"/>
              <w:right w:val="single" w:sz="4" w:space="0" w:color="auto"/>
            </w:tcBorders>
            <w:noWrap/>
            <w:vAlign w:val="center"/>
            <w:hideMark/>
          </w:tcPr>
          <w:p w14:paraId="1F417A2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72.082,29</w:t>
            </w:r>
          </w:p>
        </w:tc>
        <w:tc>
          <w:tcPr>
            <w:tcW w:w="992" w:type="dxa"/>
            <w:tcBorders>
              <w:top w:val="nil"/>
              <w:left w:val="nil"/>
              <w:bottom w:val="single" w:sz="4" w:space="0" w:color="auto"/>
              <w:right w:val="single" w:sz="4" w:space="0" w:color="auto"/>
            </w:tcBorders>
            <w:vAlign w:val="center"/>
            <w:hideMark/>
          </w:tcPr>
          <w:p w14:paraId="2DF7E6C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67,46</w:t>
            </w:r>
          </w:p>
        </w:tc>
        <w:tc>
          <w:tcPr>
            <w:tcW w:w="1417" w:type="dxa"/>
            <w:tcBorders>
              <w:top w:val="nil"/>
              <w:left w:val="nil"/>
              <w:bottom w:val="single" w:sz="4" w:space="0" w:color="auto"/>
              <w:right w:val="single" w:sz="4" w:space="0" w:color="auto"/>
            </w:tcBorders>
            <w:noWrap/>
            <w:vAlign w:val="center"/>
            <w:hideMark/>
          </w:tcPr>
          <w:p w14:paraId="1A5D84D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14.281,71</w:t>
            </w:r>
          </w:p>
        </w:tc>
        <w:tc>
          <w:tcPr>
            <w:tcW w:w="992" w:type="dxa"/>
            <w:tcBorders>
              <w:top w:val="nil"/>
              <w:left w:val="nil"/>
              <w:bottom w:val="single" w:sz="4" w:space="0" w:color="auto"/>
              <w:right w:val="single" w:sz="4" w:space="0" w:color="auto"/>
            </w:tcBorders>
            <w:vAlign w:val="center"/>
            <w:hideMark/>
          </w:tcPr>
          <w:p w14:paraId="10BDDB1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13,37</w:t>
            </w:r>
          </w:p>
        </w:tc>
        <w:tc>
          <w:tcPr>
            <w:tcW w:w="1245" w:type="dxa"/>
            <w:tcBorders>
              <w:top w:val="nil"/>
              <w:left w:val="nil"/>
              <w:bottom w:val="single" w:sz="4" w:space="0" w:color="auto"/>
              <w:right w:val="single" w:sz="4" w:space="0" w:color="auto"/>
            </w:tcBorders>
            <w:noWrap/>
            <w:vAlign w:val="center"/>
            <w:hideMark/>
          </w:tcPr>
          <w:p w14:paraId="5E8AB08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20.480,99</w:t>
            </w:r>
          </w:p>
        </w:tc>
        <w:tc>
          <w:tcPr>
            <w:tcW w:w="0" w:type="auto"/>
            <w:tcBorders>
              <w:top w:val="nil"/>
              <w:left w:val="nil"/>
              <w:bottom w:val="single" w:sz="4" w:space="0" w:color="auto"/>
              <w:right w:val="single" w:sz="4" w:space="0" w:color="auto"/>
            </w:tcBorders>
            <w:vAlign w:val="center"/>
            <w:hideMark/>
          </w:tcPr>
          <w:p w14:paraId="09A4486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19,17</w:t>
            </w:r>
          </w:p>
        </w:tc>
        <w:tc>
          <w:tcPr>
            <w:tcW w:w="0" w:type="auto"/>
            <w:tcBorders>
              <w:top w:val="nil"/>
              <w:left w:val="nil"/>
              <w:bottom w:val="single" w:sz="4" w:space="0" w:color="auto"/>
              <w:right w:val="single" w:sz="4" w:space="0" w:color="auto"/>
            </w:tcBorders>
            <w:noWrap/>
            <w:vAlign w:val="center"/>
            <w:hideMark/>
          </w:tcPr>
          <w:p w14:paraId="7E7B355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106.844,99</w:t>
            </w:r>
          </w:p>
        </w:tc>
      </w:tr>
      <w:tr w:rsidR="00BB3DD1" w:rsidRPr="00BB3DD1" w14:paraId="4A255604"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21A3AFA3"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 C.F.S. MANTENIMIENTO ELECTRÓNICO</w:t>
            </w:r>
          </w:p>
        </w:tc>
        <w:tc>
          <w:tcPr>
            <w:tcW w:w="718" w:type="dxa"/>
            <w:tcBorders>
              <w:top w:val="nil"/>
              <w:left w:val="nil"/>
              <w:bottom w:val="single" w:sz="4" w:space="0" w:color="auto"/>
              <w:right w:val="single" w:sz="4" w:space="0" w:color="auto"/>
            </w:tcBorders>
            <w:noWrap/>
            <w:vAlign w:val="center"/>
            <w:hideMark/>
          </w:tcPr>
          <w:p w14:paraId="1F95C46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4F9C622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1,435</w:t>
            </w:r>
          </w:p>
        </w:tc>
        <w:tc>
          <w:tcPr>
            <w:tcW w:w="1133" w:type="dxa"/>
            <w:tcBorders>
              <w:top w:val="nil"/>
              <w:left w:val="nil"/>
              <w:bottom w:val="single" w:sz="4" w:space="0" w:color="auto"/>
              <w:right w:val="single" w:sz="4" w:space="0" w:color="auto"/>
            </w:tcBorders>
            <w:noWrap/>
            <w:vAlign w:val="center"/>
            <w:hideMark/>
          </w:tcPr>
          <w:p w14:paraId="3D6D8D7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0,261</w:t>
            </w:r>
          </w:p>
        </w:tc>
        <w:tc>
          <w:tcPr>
            <w:tcW w:w="1558" w:type="dxa"/>
            <w:tcBorders>
              <w:top w:val="nil"/>
              <w:left w:val="nil"/>
              <w:bottom w:val="single" w:sz="4" w:space="0" w:color="auto"/>
              <w:right w:val="single" w:sz="4" w:space="0" w:color="auto"/>
            </w:tcBorders>
            <w:noWrap/>
            <w:vAlign w:val="center"/>
            <w:hideMark/>
          </w:tcPr>
          <w:p w14:paraId="2ED8E34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85.233,29</w:t>
            </w:r>
          </w:p>
        </w:tc>
        <w:tc>
          <w:tcPr>
            <w:tcW w:w="992" w:type="dxa"/>
            <w:tcBorders>
              <w:top w:val="nil"/>
              <w:left w:val="nil"/>
              <w:bottom w:val="single" w:sz="4" w:space="0" w:color="auto"/>
              <w:right w:val="single" w:sz="4" w:space="0" w:color="auto"/>
            </w:tcBorders>
            <w:vAlign w:val="center"/>
            <w:hideMark/>
          </w:tcPr>
          <w:p w14:paraId="5193D47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65,26</w:t>
            </w:r>
          </w:p>
        </w:tc>
        <w:tc>
          <w:tcPr>
            <w:tcW w:w="1417" w:type="dxa"/>
            <w:tcBorders>
              <w:top w:val="nil"/>
              <w:left w:val="nil"/>
              <w:bottom w:val="single" w:sz="4" w:space="0" w:color="auto"/>
              <w:right w:val="single" w:sz="4" w:space="0" w:color="auto"/>
            </w:tcBorders>
            <w:noWrap/>
            <w:vAlign w:val="center"/>
            <w:hideMark/>
          </w:tcPr>
          <w:p w14:paraId="2F4B940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16.872,76</w:t>
            </w:r>
          </w:p>
        </w:tc>
        <w:tc>
          <w:tcPr>
            <w:tcW w:w="992" w:type="dxa"/>
            <w:tcBorders>
              <w:top w:val="nil"/>
              <w:left w:val="nil"/>
              <w:bottom w:val="single" w:sz="4" w:space="0" w:color="auto"/>
              <w:right w:val="single" w:sz="4" w:space="0" w:color="auto"/>
            </w:tcBorders>
            <w:vAlign w:val="center"/>
            <w:hideMark/>
          </w:tcPr>
          <w:p w14:paraId="0179C6F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12,92</w:t>
            </w:r>
          </w:p>
        </w:tc>
        <w:tc>
          <w:tcPr>
            <w:tcW w:w="1245" w:type="dxa"/>
            <w:tcBorders>
              <w:top w:val="nil"/>
              <w:left w:val="nil"/>
              <w:bottom w:val="single" w:sz="4" w:space="0" w:color="auto"/>
              <w:right w:val="single" w:sz="4" w:space="0" w:color="auto"/>
            </w:tcBorders>
            <w:noWrap/>
            <w:vAlign w:val="center"/>
            <w:hideMark/>
          </w:tcPr>
          <w:p w14:paraId="37D32BC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28.491,08</w:t>
            </w:r>
          </w:p>
        </w:tc>
        <w:tc>
          <w:tcPr>
            <w:tcW w:w="0" w:type="auto"/>
            <w:tcBorders>
              <w:top w:val="nil"/>
              <w:left w:val="nil"/>
              <w:bottom w:val="single" w:sz="4" w:space="0" w:color="auto"/>
              <w:right w:val="single" w:sz="4" w:space="0" w:color="auto"/>
            </w:tcBorders>
            <w:vAlign w:val="center"/>
            <w:hideMark/>
          </w:tcPr>
          <w:p w14:paraId="3B434BA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21,82</w:t>
            </w:r>
          </w:p>
        </w:tc>
        <w:tc>
          <w:tcPr>
            <w:tcW w:w="0" w:type="auto"/>
            <w:tcBorders>
              <w:top w:val="nil"/>
              <w:left w:val="nil"/>
              <w:bottom w:val="single" w:sz="4" w:space="0" w:color="auto"/>
              <w:right w:val="single" w:sz="4" w:space="0" w:color="auto"/>
            </w:tcBorders>
            <w:noWrap/>
            <w:vAlign w:val="center"/>
            <w:hideMark/>
          </w:tcPr>
          <w:p w14:paraId="1FBA539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130.597,13</w:t>
            </w:r>
          </w:p>
        </w:tc>
      </w:tr>
      <w:tr w:rsidR="00BB3DD1" w:rsidRPr="00BB3DD1" w14:paraId="321842CF"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1561BDF5"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1C1260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49DE074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0,870</w:t>
            </w:r>
          </w:p>
        </w:tc>
        <w:tc>
          <w:tcPr>
            <w:tcW w:w="1133" w:type="dxa"/>
            <w:tcBorders>
              <w:top w:val="nil"/>
              <w:left w:val="nil"/>
              <w:bottom w:val="single" w:sz="4" w:space="0" w:color="auto"/>
              <w:right w:val="single" w:sz="4" w:space="0" w:color="auto"/>
            </w:tcBorders>
            <w:noWrap/>
            <w:vAlign w:val="center"/>
            <w:hideMark/>
          </w:tcPr>
          <w:p w14:paraId="65CA3C5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0,717</w:t>
            </w:r>
          </w:p>
        </w:tc>
        <w:tc>
          <w:tcPr>
            <w:tcW w:w="1558" w:type="dxa"/>
            <w:tcBorders>
              <w:top w:val="nil"/>
              <w:left w:val="nil"/>
              <w:bottom w:val="single" w:sz="4" w:space="0" w:color="auto"/>
              <w:right w:val="single" w:sz="4" w:space="0" w:color="auto"/>
            </w:tcBorders>
            <w:noWrap/>
            <w:vAlign w:val="center"/>
            <w:hideMark/>
          </w:tcPr>
          <w:p w14:paraId="1A79674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77.707,85</w:t>
            </w:r>
          </w:p>
        </w:tc>
        <w:tc>
          <w:tcPr>
            <w:tcW w:w="992" w:type="dxa"/>
            <w:tcBorders>
              <w:top w:val="nil"/>
              <w:left w:val="nil"/>
              <w:bottom w:val="single" w:sz="4" w:space="0" w:color="auto"/>
              <w:right w:val="single" w:sz="4" w:space="0" w:color="auto"/>
            </w:tcBorders>
            <w:vAlign w:val="center"/>
            <w:hideMark/>
          </w:tcPr>
          <w:p w14:paraId="3E7C56A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63,84</w:t>
            </w:r>
          </w:p>
        </w:tc>
        <w:tc>
          <w:tcPr>
            <w:tcW w:w="1417" w:type="dxa"/>
            <w:tcBorders>
              <w:top w:val="nil"/>
              <w:left w:val="nil"/>
              <w:bottom w:val="single" w:sz="4" w:space="0" w:color="auto"/>
              <w:right w:val="single" w:sz="4" w:space="0" w:color="auto"/>
            </w:tcBorders>
            <w:noWrap/>
            <w:vAlign w:val="center"/>
            <w:hideMark/>
          </w:tcPr>
          <w:p w14:paraId="431422A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15.521,30</w:t>
            </w:r>
          </w:p>
        </w:tc>
        <w:tc>
          <w:tcPr>
            <w:tcW w:w="992" w:type="dxa"/>
            <w:tcBorders>
              <w:top w:val="nil"/>
              <w:left w:val="nil"/>
              <w:bottom w:val="single" w:sz="4" w:space="0" w:color="auto"/>
              <w:right w:val="single" w:sz="4" w:space="0" w:color="auto"/>
            </w:tcBorders>
            <w:vAlign w:val="center"/>
            <w:hideMark/>
          </w:tcPr>
          <w:p w14:paraId="7683058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12,75</w:t>
            </w:r>
          </w:p>
        </w:tc>
        <w:tc>
          <w:tcPr>
            <w:tcW w:w="1245" w:type="dxa"/>
            <w:tcBorders>
              <w:top w:val="nil"/>
              <w:left w:val="nil"/>
              <w:bottom w:val="single" w:sz="4" w:space="0" w:color="auto"/>
              <w:right w:val="single" w:sz="4" w:space="0" w:color="auto"/>
            </w:tcBorders>
            <w:noWrap/>
            <w:vAlign w:val="center"/>
            <w:hideMark/>
          </w:tcPr>
          <w:p w14:paraId="1B79406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28.491,08</w:t>
            </w:r>
          </w:p>
        </w:tc>
        <w:tc>
          <w:tcPr>
            <w:tcW w:w="0" w:type="auto"/>
            <w:tcBorders>
              <w:top w:val="nil"/>
              <w:left w:val="nil"/>
              <w:bottom w:val="single" w:sz="4" w:space="0" w:color="auto"/>
              <w:right w:val="single" w:sz="4" w:space="0" w:color="auto"/>
            </w:tcBorders>
            <w:vAlign w:val="center"/>
            <w:hideMark/>
          </w:tcPr>
          <w:p w14:paraId="15A96AA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23,41</w:t>
            </w:r>
          </w:p>
        </w:tc>
        <w:tc>
          <w:tcPr>
            <w:tcW w:w="0" w:type="auto"/>
            <w:tcBorders>
              <w:top w:val="nil"/>
              <w:left w:val="nil"/>
              <w:bottom w:val="single" w:sz="4" w:space="0" w:color="auto"/>
              <w:right w:val="single" w:sz="4" w:space="0" w:color="auto"/>
            </w:tcBorders>
            <w:noWrap/>
            <w:vAlign w:val="center"/>
            <w:hideMark/>
          </w:tcPr>
          <w:p w14:paraId="1F6CF5A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121.720,23</w:t>
            </w:r>
          </w:p>
        </w:tc>
      </w:tr>
      <w:tr w:rsidR="00BB3DD1" w:rsidRPr="00BB3DD1" w14:paraId="23ABC90E"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67C7DBCF"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3-C.F.S. ADMINISTRACION  Y FINANZAS</w:t>
            </w:r>
          </w:p>
        </w:tc>
        <w:tc>
          <w:tcPr>
            <w:tcW w:w="718" w:type="dxa"/>
            <w:tcBorders>
              <w:top w:val="nil"/>
              <w:left w:val="nil"/>
              <w:bottom w:val="single" w:sz="4" w:space="0" w:color="auto"/>
              <w:right w:val="single" w:sz="4" w:space="0" w:color="auto"/>
            </w:tcBorders>
            <w:noWrap/>
            <w:vAlign w:val="center"/>
            <w:hideMark/>
          </w:tcPr>
          <w:p w14:paraId="7948818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6D9DA5A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0,870</w:t>
            </w:r>
          </w:p>
        </w:tc>
        <w:tc>
          <w:tcPr>
            <w:tcW w:w="1133" w:type="dxa"/>
            <w:tcBorders>
              <w:top w:val="nil"/>
              <w:left w:val="nil"/>
              <w:bottom w:val="single" w:sz="4" w:space="0" w:color="auto"/>
              <w:right w:val="single" w:sz="4" w:space="0" w:color="auto"/>
            </w:tcBorders>
            <w:noWrap/>
            <w:vAlign w:val="center"/>
            <w:hideMark/>
          </w:tcPr>
          <w:p w14:paraId="53E9E07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558" w:type="dxa"/>
            <w:tcBorders>
              <w:top w:val="nil"/>
              <w:left w:val="nil"/>
              <w:bottom w:val="single" w:sz="4" w:space="0" w:color="auto"/>
              <w:right w:val="single" w:sz="4" w:space="0" w:color="auto"/>
            </w:tcBorders>
            <w:noWrap/>
            <w:vAlign w:val="center"/>
            <w:hideMark/>
          </w:tcPr>
          <w:p w14:paraId="4E54665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68.622,61</w:t>
            </w:r>
          </w:p>
        </w:tc>
        <w:tc>
          <w:tcPr>
            <w:tcW w:w="992" w:type="dxa"/>
            <w:tcBorders>
              <w:top w:val="nil"/>
              <w:left w:val="nil"/>
              <w:bottom w:val="single" w:sz="4" w:space="0" w:color="auto"/>
              <w:right w:val="single" w:sz="4" w:space="0" w:color="auto"/>
            </w:tcBorders>
            <w:vAlign w:val="center"/>
            <w:hideMark/>
          </w:tcPr>
          <w:p w14:paraId="16E69A7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65,89</w:t>
            </w:r>
          </w:p>
        </w:tc>
        <w:tc>
          <w:tcPr>
            <w:tcW w:w="1417" w:type="dxa"/>
            <w:tcBorders>
              <w:top w:val="nil"/>
              <w:left w:val="nil"/>
              <w:bottom w:val="single" w:sz="4" w:space="0" w:color="auto"/>
              <w:right w:val="single" w:sz="4" w:space="0" w:color="auto"/>
            </w:tcBorders>
            <w:noWrap/>
            <w:vAlign w:val="center"/>
            <w:hideMark/>
          </w:tcPr>
          <w:p w14:paraId="27C02A3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13.895,33</w:t>
            </w:r>
          </w:p>
        </w:tc>
        <w:tc>
          <w:tcPr>
            <w:tcW w:w="992" w:type="dxa"/>
            <w:tcBorders>
              <w:top w:val="nil"/>
              <w:left w:val="nil"/>
              <w:bottom w:val="single" w:sz="4" w:space="0" w:color="auto"/>
              <w:right w:val="single" w:sz="4" w:space="0" w:color="auto"/>
            </w:tcBorders>
            <w:vAlign w:val="center"/>
            <w:hideMark/>
          </w:tcPr>
          <w:p w14:paraId="12210E5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13,34</w:t>
            </w:r>
          </w:p>
        </w:tc>
        <w:tc>
          <w:tcPr>
            <w:tcW w:w="1245" w:type="dxa"/>
            <w:tcBorders>
              <w:top w:val="nil"/>
              <w:left w:val="nil"/>
              <w:bottom w:val="single" w:sz="4" w:space="0" w:color="auto"/>
              <w:right w:val="single" w:sz="4" w:space="0" w:color="auto"/>
            </w:tcBorders>
            <w:noWrap/>
            <w:vAlign w:val="center"/>
            <w:hideMark/>
          </w:tcPr>
          <w:p w14:paraId="192F476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21.622,52</w:t>
            </w:r>
          </w:p>
        </w:tc>
        <w:tc>
          <w:tcPr>
            <w:tcW w:w="0" w:type="auto"/>
            <w:tcBorders>
              <w:top w:val="nil"/>
              <w:left w:val="nil"/>
              <w:bottom w:val="single" w:sz="4" w:space="0" w:color="auto"/>
              <w:right w:val="single" w:sz="4" w:space="0" w:color="auto"/>
            </w:tcBorders>
            <w:vAlign w:val="center"/>
            <w:hideMark/>
          </w:tcPr>
          <w:p w14:paraId="45D38F5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20,76</w:t>
            </w:r>
          </w:p>
        </w:tc>
        <w:tc>
          <w:tcPr>
            <w:tcW w:w="0" w:type="auto"/>
            <w:tcBorders>
              <w:top w:val="nil"/>
              <w:left w:val="nil"/>
              <w:bottom w:val="single" w:sz="4" w:space="0" w:color="auto"/>
              <w:right w:val="single" w:sz="4" w:space="0" w:color="auto"/>
            </w:tcBorders>
            <w:noWrap/>
            <w:vAlign w:val="center"/>
            <w:hideMark/>
          </w:tcPr>
          <w:p w14:paraId="602FC52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104.140,46</w:t>
            </w:r>
          </w:p>
        </w:tc>
      </w:tr>
      <w:tr w:rsidR="00BB3DD1" w:rsidRPr="00BB3DD1" w14:paraId="486A6786"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104CEE0A"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7254A1D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33D1956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1,348</w:t>
            </w:r>
          </w:p>
        </w:tc>
        <w:tc>
          <w:tcPr>
            <w:tcW w:w="1133" w:type="dxa"/>
            <w:tcBorders>
              <w:top w:val="nil"/>
              <w:left w:val="nil"/>
              <w:bottom w:val="single" w:sz="4" w:space="0" w:color="auto"/>
              <w:right w:val="single" w:sz="4" w:space="0" w:color="auto"/>
            </w:tcBorders>
            <w:noWrap/>
            <w:vAlign w:val="center"/>
            <w:hideMark/>
          </w:tcPr>
          <w:p w14:paraId="0A5CE08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0,130</w:t>
            </w:r>
          </w:p>
        </w:tc>
        <w:tc>
          <w:tcPr>
            <w:tcW w:w="1558" w:type="dxa"/>
            <w:tcBorders>
              <w:top w:val="nil"/>
              <w:left w:val="nil"/>
              <w:bottom w:val="single" w:sz="4" w:space="0" w:color="auto"/>
              <w:right w:val="single" w:sz="4" w:space="0" w:color="auto"/>
            </w:tcBorders>
            <w:noWrap/>
            <w:vAlign w:val="center"/>
            <w:hideMark/>
          </w:tcPr>
          <w:p w14:paraId="281EE55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74.699,66</w:t>
            </w:r>
          </w:p>
        </w:tc>
        <w:tc>
          <w:tcPr>
            <w:tcW w:w="992" w:type="dxa"/>
            <w:tcBorders>
              <w:top w:val="nil"/>
              <w:left w:val="nil"/>
              <w:bottom w:val="single" w:sz="4" w:space="0" w:color="auto"/>
              <w:right w:val="single" w:sz="4" w:space="0" w:color="auto"/>
            </w:tcBorders>
            <w:vAlign w:val="center"/>
            <w:hideMark/>
          </w:tcPr>
          <w:p w14:paraId="445171A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67,31</w:t>
            </w:r>
          </w:p>
        </w:tc>
        <w:tc>
          <w:tcPr>
            <w:tcW w:w="1417" w:type="dxa"/>
            <w:tcBorders>
              <w:top w:val="nil"/>
              <w:left w:val="nil"/>
              <w:bottom w:val="single" w:sz="4" w:space="0" w:color="auto"/>
              <w:right w:val="single" w:sz="4" w:space="0" w:color="auto"/>
            </w:tcBorders>
            <w:noWrap/>
            <w:vAlign w:val="center"/>
            <w:hideMark/>
          </w:tcPr>
          <w:p w14:paraId="03820A3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14.653,39</w:t>
            </w:r>
          </w:p>
        </w:tc>
        <w:tc>
          <w:tcPr>
            <w:tcW w:w="992" w:type="dxa"/>
            <w:tcBorders>
              <w:top w:val="nil"/>
              <w:left w:val="nil"/>
              <w:bottom w:val="single" w:sz="4" w:space="0" w:color="auto"/>
              <w:right w:val="single" w:sz="4" w:space="0" w:color="auto"/>
            </w:tcBorders>
            <w:vAlign w:val="center"/>
            <w:hideMark/>
          </w:tcPr>
          <w:p w14:paraId="2ECE545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13,20</w:t>
            </w:r>
          </w:p>
        </w:tc>
        <w:tc>
          <w:tcPr>
            <w:tcW w:w="1245" w:type="dxa"/>
            <w:tcBorders>
              <w:top w:val="nil"/>
              <w:left w:val="nil"/>
              <w:bottom w:val="single" w:sz="4" w:space="0" w:color="auto"/>
              <w:right w:val="single" w:sz="4" w:space="0" w:color="auto"/>
            </w:tcBorders>
            <w:noWrap/>
            <w:vAlign w:val="center"/>
            <w:hideMark/>
          </w:tcPr>
          <w:p w14:paraId="3C876E1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21.622,52</w:t>
            </w:r>
          </w:p>
        </w:tc>
        <w:tc>
          <w:tcPr>
            <w:tcW w:w="0" w:type="auto"/>
            <w:tcBorders>
              <w:top w:val="nil"/>
              <w:left w:val="nil"/>
              <w:bottom w:val="single" w:sz="4" w:space="0" w:color="auto"/>
              <w:right w:val="single" w:sz="4" w:space="0" w:color="auto"/>
            </w:tcBorders>
            <w:vAlign w:val="center"/>
            <w:hideMark/>
          </w:tcPr>
          <w:p w14:paraId="32966CC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19,48</w:t>
            </w:r>
          </w:p>
        </w:tc>
        <w:tc>
          <w:tcPr>
            <w:tcW w:w="0" w:type="auto"/>
            <w:tcBorders>
              <w:top w:val="nil"/>
              <w:left w:val="nil"/>
              <w:bottom w:val="single" w:sz="4" w:space="0" w:color="auto"/>
              <w:right w:val="single" w:sz="4" w:space="0" w:color="auto"/>
            </w:tcBorders>
            <w:noWrap/>
            <w:vAlign w:val="center"/>
            <w:hideMark/>
          </w:tcPr>
          <w:p w14:paraId="4FD8BA2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110.975,57</w:t>
            </w:r>
          </w:p>
        </w:tc>
      </w:tr>
      <w:tr w:rsidR="00BB3DD1" w:rsidRPr="00BB3DD1" w14:paraId="3797D4DB"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5125519"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4-C.F.S. EDUCACIÓN INFANTIL (LOE)</w:t>
            </w:r>
          </w:p>
        </w:tc>
        <w:tc>
          <w:tcPr>
            <w:tcW w:w="718" w:type="dxa"/>
            <w:tcBorders>
              <w:top w:val="nil"/>
              <w:left w:val="nil"/>
              <w:bottom w:val="single" w:sz="4" w:space="0" w:color="auto"/>
              <w:right w:val="single" w:sz="4" w:space="0" w:color="auto"/>
            </w:tcBorders>
            <w:noWrap/>
            <w:vAlign w:val="center"/>
            <w:hideMark/>
          </w:tcPr>
          <w:p w14:paraId="1B577C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06549FC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0,913</w:t>
            </w:r>
          </w:p>
        </w:tc>
        <w:tc>
          <w:tcPr>
            <w:tcW w:w="1133" w:type="dxa"/>
            <w:tcBorders>
              <w:top w:val="nil"/>
              <w:left w:val="nil"/>
              <w:bottom w:val="single" w:sz="4" w:space="0" w:color="auto"/>
              <w:right w:val="single" w:sz="4" w:space="0" w:color="auto"/>
            </w:tcBorders>
            <w:noWrap/>
            <w:vAlign w:val="center"/>
            <w:hideMark/>
          </w:tcPr>
          <w:p w14:paraId="7781673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0,739</w:t>
            </w:r>
          </w:p>
        </w:tc>
        <w:tc>
          <w:tcPr>
            <w:tcW w:w="1558" w:type="dxa"/>
            <w:tcBorders>
              <w:top w:val="nil"/>
              <w:left w:val="nil"/>
              <w:bottom w:val="single" w:sz="4" w:space="0" w:color="auto"/>
              <w:right w:val="single" w:sz="4" w:space="0" w:color="auto"/>
            </w:tcBorders>
            <w:noWrap/>
            <w:vAlign w:val="center"/>
            <w:hideMark/>
          </w:tcPr>
          <w:p w14:paraId="3A62448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80.922,50</w:t>
            </w:r>
          </w:p>
        </w:tc>
        <w:tc>
          <w:tcPr>
            <w:tcW w:w="992" w:type="dxa"/>
            <w:tcBorders>
              <w:top w:val="nil"/>
              <w:left w:val="nil"/>
              <w:bottom w:val="single" w:sz="4" w:space="0" w:color="auto"/>
              <w:right w:val="single" w:sz="4" w:space="0" w:color="auto"/>
            </w:tcBorders>
            <w:vAlign w:val="center"/>
            <w:hideMark/>
          </w:tcPr>
          <w:p w14:paraId="66EB15A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68,97</w:t>
            </w:r>
          </w:p>
        </w:tc>
        <w:tc>
          <w:tcPr>
            <w:tcW w:w="1417" w:type="dxa"/>
            <w:tcBorders>
              <w:top w:val="nil"/>
              <w:left w:val="nil"/>
              <w:bottom w:val="single" w:sz="4" w:space="0" w:color="auto"/>
              <w:right w:val="single" w:sz="4" w:space="0" w:color="auto"/>
            </w:tcBorders>
            <w:noWrap/>
            <w:vAlign w:val="center"/>
            <w:hideMark/>
          </w:tcPr>
          <w:p w14:paraId="63AA8D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15.853,78</w:t>
            </w:r>
          </w:p>
        </w:tc>
        <w:tc>
          <w:tcPr>
            <w:tcW w:w="992" w:type="dxa"/>
            <w:tcBorders>
              <w:top w:val="nil"/>
              <w:left w:val="nil"/>
              <w:bottom w:val="single" w:sz="4" w:space="0" w:color="auto"/>
              <w:right w:val="single" w:sz="4" w:space="0" w:color="auto"/>
            </w:tcBorders>
            <w:vAlign w:val="center"/>
            <w:hideMark/>
          </w:tcPr>
          <w:p w14:paraId="20F4B5D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13,51</w:t>
            </w:r>
          </w:p>
        </w:tc>
        <w:tc>
          <w:tcPr>
            <w:tcW w:w="1245" w:type="dxa"/>
            <w:tcBorders>
              <w:top w:val="nil"/>
              <w:left w:val="nil"/>
              <w:bottom w:val="single" w:sz="4" w:space="0" w:color="auto"/>
              <w:right w:val="single" w:sz="4" w:space="0" w:color="auto"/>
            </w:tcBorders>
            <w:noWrap/>
            <w:vAlign w:val="center"/>
            <w:hideMark/>
          </w:tcPr>
          <w:p w14:paraId="66F152F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20.546,20</w:t>
            </w:r>
          </w:p>
        </w:tc>
        <w:tc>
          <w:tcPr>
            <w:tcW w:w="0" w:type="auto"/>
            <w:tcBorders>
              <w:top w:val="nil"/>
              <w:left w:val="nil"/>
              <w:bottom w:val="single" w:sz="4" w:space="0" w:color="auto"/>
              <w:right w:val="single" w:sz="4" w:space="0" w:color="auto"/>
            </w:tcBorders>
            <w:vAlign w:val="center"/>
            <w:hideMark/>
          </w:tcPr>
          <w:p w14:paraId="5309E2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17,51</w:t>
            </w:r>
          </w:p>
        </w:tc>
        <w:tc>
          <w:tcPr>
            <w:tcW w:w="0" w:type="auto"/>
            <w:tcBorders>
              <w:top w:val="nil"/>
              <w:left w:val="nil"/>
              <w:bottom w:val="single" w:sz="4" w:space="0" w:color="auto"/>
              <w:right w:val="single" w:sz="4" w:space="0" w:color="auto"/>
            </w:tcBorders>
            <w:noWrap/>
            <w:vAlign w:val="center"/>
            <w:hideMark/>
          </w:tcPr>
          <w:p w14:paraId="3D45BE0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117.322,48</w:t>
            </w:r>
          </w:p>
        </w:tc>
      </w:tr>
      <w:tr w:rsidR="00BB3DD1" w:rsidRPr="00BB3DD1" w14:paraId="4168B4E1"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56CDA5E1"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2A619E2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7DFD09D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1,087</w:t>
            </w:r>
          </w:p>
        </w:tc>
        <w:tc>
          <w:tcPr>
            <w:tcW w:w="1133" w:type="dxa"/>
            <w:tcBorders>
              <w:top w:val="nil"/>
              <w:left w:val="nil"/>
              <w:bottom w:val="single" w:sz="4" w:space="0" w:color="auto"/>
              <w:right w:val="single" w:sz="4" w:space="0" w:color="auto"/>
            </w:tcBorders>
            <w:noWrap/>
            <w:vAlign w:val="center"/>
            <w:hideMark/>
          </w:tcPr>
          <w:p w14:paraId="6F6F8ED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0,261</w:t>
            </w:r>
          </w:p>
        </w:tc>
        <w:tc>
          <w:tcPr>
            <w:tcW w:w="1558" w:type="dxa"/>
            <w:tcBorders>
              <w:top w:val="nil"/>
              <w:left w:val="nil"/>
              <w:bottom w:val="single" w:sz="4" w:space="0" w:color="auto"/>
              <w:right w:val="single" w:sz="4" w:space="0" w:color="auto"/>
            </w:tcBorders>
            <w:noWrap/>
            <w:vAlign w:val="center"/>
            <w:hideMark/>
          </w:tcPr>
          <w:p w14:paraId="25C7B33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67.512,44</w:t>
            </w:r>
          </w:p>
        </w:tc>
        <w:tc>
          <w:tcPr>
            <w:tcW w:w="992" w:type="dxa"/>
            <w:tcBorders>
              <w:top w:val="nil"/>
              <w:left w:val="nil"/>
              <w:bottom w:val="single" w:sz="4" w:space="0" w:color="auto"/>
              <w:right w:val="single" w:sz="4" w:space="0" w:color="auto"/>
            </w:tcBorders>
            <w:vAlign w:val="center"/>
            <w:hideMark/>
          </w:tcPr>
          <w:p w14:paraId="7931ED4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66,56</w:t>
            </w:r>
          </w:p>
        </w:tc>
        <w:tc>
          <w:tcPr>
            <w:tcW w:w="1417" w:type="dxa"/>
            <w:tcBorders>
              <w:top w:val="nil"/>
              <w:left w:val="nil"/>
              <w:bottom w:val="single" w:sz="4" w:space="0" w:color="auto"/>
              <w:right w:val="single" w:sz="4" w:space="0" w:color="auto"/>
            </w:tcBorders>
            <w:noWrap/>
            <w:vAlign w:val="center"/>
            <w:hideMark/>
          </w:tcPr>
          <w:p w14:paraId="0B67FF5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13.368,02</w:t>
            </w:r>
          </w:p>
        </w:tc>
        <w:tc>
          <w:tcPr>
            <w:tcW w:w="992" w:type="dxa"/>
            <w:tcBorders>
              <w:top w:val="nil"/>
              <w:left w:val="nil"/>
              <w:bottom w:val="single" w:sz="4" w:space="0" w:color="auto"/>
              <w:right w:val="single" w:sz="4" w:space="0" w:color="auto"/>
            </w:tcBorders>
            <w:vAlign w:val="center"/>
            <w:hideMark/>
          </w:tcPr>
          <w:p w14:paraId="2FBBFBA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13,18</w:t>
            </w:r>
          </w:p>
        </w:tc>
        <w:tc>
          <w:tcPr>
            <w:tcW w:w="1245" w:type="dxa"/>
            <w:tcBorders>
              <w:top w:val="nil"/>
              <w:left w:val="nil"/>
              <w:bottom w:val="single" w:sz="4" w:space="0" w:color="auto"/>
              <w:right w:val="single" w:sz="4" w:space="0" w:color="auto"/>
            </w:tcBorders>
            <w:noWrap/>
            <w:vAlign w:val="center"/>
            <w:hideMark/>
          </w:tcPr>
          <w:p w14:paraId="59B14AD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20.546,20</w:t>
            </w:r>
          </w:p>
        </w:tc>
        <w:tc>
          <w:tcPr>
            <w:tcW w:w="0" w:type="auto"/>
            <w:tcBorders>
              <w:top w:val="nil"/>
              <w:left w:val="nil"/>
              <w:bottom w:val="single" w:sz="4" w:space="0" w:color="auto"/>
              <w:right w:val="single" w:sz="4" w:space="0" w:color="auto"/>
            </w:tcBorders>
            <w:vAlign w:val="center"/>
            <w:hideMark/>
          </w:tcPr>
          <w:p w14:paraId="0190336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20,26</w:t>
            </w:r>
          </w:p>
        </w:tc>
        <w:tc>
          <w:tcPr>
            <w:tcW w:w="0" w:type="auto"/>
            <w:tcBorders>
              <w:top w:val="nil"/>
              <w:left w:val="nil"/>
              <w:bottom w:val="single" w:sz="4" w:space="0" w:color="auto"/>
              <w:right w:val="single" w:sz="4" w:space="0" w:color="auto"/>
            </w:tcBorders>
            <w:noWrap/>
            <w:vAlign w:val="center"/>
            <w:hideMark/>
          </w:tcPr>
          <w:p w14:paraId="140FE8F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101.426,66</w:t>
            </w:r>
          </w:p>
        </w:tc>
      </w:tr>
      <w:tr w:rsidR="00BB3DD1" w:rsidRPr="00BB3DD1" w14:paraId="6F36A1D4"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68EFF1B7"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 xml:space="preserve">5- C.F.S. MARKETING Y PUBLICIDAD </w:t>
            </w:r>
          </w:p>
        </w:tc>
        <w:tc>
          <w:tcPr>
            <w:tcW w:w="718" w:type="dxa"/>
            <w:tcBorders>
              <w:top w:val="nil"/>
              <w:left w:val="nil"/>
              <w:bottom w:val="single" w:sz="4" w:space="0" w:color="auto"/>
              <w:right w:val="single" w:sz="4" w:space="0" w:color="auto"/>
            </w:tcBorders>
            <w:noWrap/>
            <w:vAlign w:val="center"/>
            <w:hideMark/>
          </w:tcPr>
          <w:p w14:paraId="5818F70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50CAE4C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1,174</w:t>
            </w:r>
          </w:p>
        </w:tc>
        <w:tc>
          <w:tcPr>
            <w:tcW w:w="1133" w:type="dxa"/>
            <w:tcBorders>
              <w:top w:val="nil"/>
              <w:left w:val="nil"/>
              <w:bottom w:val="single" w:sz="4" w:space="0" w:color="auto"/>
              <w:right w:val="single" w:sz="4" w:space="0" w:color="auto"/>
            </w:tcBorders>
            <w:noWrap/>
            <w:vAlign w:val="center"/>
            <w:hideMark/>
          </w:tcPr>
          <w:p w14:paraId="12B7501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0,565</w:t>
            </w:r>
          </w:p>
        </w:tc>
        <w:tc>
          <w:tcPr>
            <w:tcW w:w="1558" w:type="dxa"/>
            <w:tcBorders>
              <w:top w:val="nil"/>
              <w:left w:val="nil"/>
              <w:bottom w:val="single" w:sz="4" w:space="0" w:color="auto"/>
              <w:right w:val="single" w:sz="4" w:space="0" w:color="auto"/>
            </w:tcBorders>
            <w:noWrap/>
            <w:vAlign w:val="center"/>
            <w:hideMark/>
          </w:tcPr>
          <w:p w14:paraId="1D88DCE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86.106,30</w:t>
            </w:r>
          </w:p>
        </w:tc>
        <w:tc>
          <w:tcPr>
            <w:tcW w:w="992" w:type="dxa"/>
            <w:tcBorders>
              <w:top w:val="nil"/>
              <w:left w:val="nil"/>
              <w:bottom w:val="single" w:sz="4" w:space="0" w:color="auto"/>
              <w:right w:val="single" w:sz="4" w:space="0" w:color="auto"/>
            </w:tcBorders>
            <w:vAlign w:val="center"/>
            <w:hideMark/>
          </w:tcPr>
          <w:p w14:paraId="26901DA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69,47</w:t>
            </w:r>
          </w:p>
        </w:tc>
        <w:tc>
          <w:tcPr>
            <w:tcW w:w="1417" w:type="dxa"/>
            <w:tcBorders>
              <w:top w:val="nil"/>
              <w:left w:val="nil"/>
              <w:bottom w:val="single" w:sz="4" w:space="0" w:color="auto"/>
              <w:right w:val="single" w:sz="4" w:space="0" w:color="auto"/>
            </w:tcBorders>
            <w:noWrap/>
            <w:vAlign w:val="center"/>
            <w:hideMark/>
          </w:tcPr>
          <w:p w14:paraId="01CE7A4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16.377,36</w:t>
            </w:r>
          </w:p>
        </w:tc>
        <w:tc>
          <w:tcPr>
            <w:tcW w:w="992" w:type="dxa"/>
            <w:tcBorders>
              <w:top w:val="nil"/>
              <w:left w:val="nil"/>
              <w:bottom w:val="single" w:sz="4" w:space="0" w:color="auto"/>
              <w:right w:val="single" w:sz="4" w:space="0" w:color="auto"/>
            </w:tcBorders>
            <w:vAlign w:val="center"/>
            <w:hideMark/>
          </w:tcPr>
          <w:p w14:paraId="693654E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13,21</w:t>
            </w:r>
          </w:p>
        </w:tc>
        <w:tc>
          <w:tcPr>
            <w:tcW w:w="1245" w:type="dxa"/>
            <w:tcBorders>
              <w:top w:val="nil"/>
              <w:left w:val="nil"/>
              <w:bottom w:val="single" w:sz="4" w:space="0" w:color="auto"/>
              <w:right w:val="single" w:sz="4" w:space="0" w:color="auto"/>
            </w:tcBorders>
            <w:noWrap/>
            <w:vAlign w:val="center"/>
            <w:hideMark/>
          </w:tcPr>
          <w:p w14:paraId="6465057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21.459,42</w:t>
            </w:r>
          </w:p>
        </w:tc>
        <w:tc>
          <w:tcPr>
            <w:tcW w:w="0" w:type="auto"/>
            <w:tcBorders>
              <w:top w:val="nil"/>
              <w:left w:val="nil"/>
              <w:bottom w:val="single" w:sz="4" w:space="0" w:color="auto"/>
              <w:right w:val="single" w:sz="4" w:space="0" w:color="auto"/>
            </w:tcBorders>
            <w:vAlign w:val="center"/>
            <w:hideMark/>
          </w:tcPr>
          <w:p w14:paraId="128F1F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17,31</w:t>
            </w:r>
          </w:p>
        </w:tc>
        <w:tc>
          <w:tcPr>
            <w:tcW w:w="0" w:type="auto"/>
            <w:tcBorders>
              <w:top w:val="nil"/>
              <w:left w:val="nil"/>
              <w:bottom w:val="single" w:sz="4" w:space="0" w:color="auto"/>
              <w:right w:val="single" w:sz="4" w:space="0" w:color="auto"/>
            </w:tcBorders>
            <w:noWrap/>
            <w:vAlign w:val="center"/>
            <w:hideMark/>
          </w:tcPr>
          <w:p w14:paraId="17BAAAC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123.943,08</w:t>
            </w:r>
          </w:p>
        </w:tc>
      </w:tr>
      <w:tr w:rsidR="00BB3DD1" w:rsidRPr="00BB3DD1" w14:paraId="5863F0B5"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1DEB46CA"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607882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49FE1E2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1,130</w:t>
            </w:r>
          </w:p>
        </w:tc>
        <w:tc>
          <w:tcPr>
            <w:tcW w:w="1133" w:type="dxa"/>
            <w:tcBorders>
              <w:top w:val="nil"/>
              <w:left w:val="nil"/>
              <w:bottom w:val="single" w:sz="4" w:space="0" w:color="auto"/>
              <w:right w:val="single" w:sz="4" w:space="0" w:color="auto"/>
            </w:tcBorders>
            <w:noWrap/>
            <w:vAlign w:val="center"/>
            <w:hideMark/>
          </w:tcPr>
          <w:p w14:paraId="34D8631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0,391</w:t>
            </w:r>
          </w:p>
        </w:tc>
        <w:tc>
          <w:tcPr>
            <w:tcW w:w="1558" w:type="dxa"/>
            <w:tcBorders>
              <w:top w:val="nil"/>
              <w:left w:val="nil"/>
              <w:bottom w:val="single" w:sz="4" w:space="0" w:color="auto"/>
              <w:right w:val="single" w:sz="4" w:space="0" w:color="auto"/>
            </w:tcBorders>
            <w:noWrap/>
            <w:vAlign w:val="center"/>
            <w:hideMark/>
          </w:tcPr>
          <w:p w14:paraId="6C5D37E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75.758,91</w:t>
            </w:r>
          </w:p>
        </w:tc>
        <w:tc>
          <w:tcPr>
            <w:tcW w:w="992" w:type="dxa"/>
            <w:tcBorders>
              <w:top w:val="nil"/>
              <w:left w:val="nil"/>
              <w:bottom w:val="single" w:sz="4" w:space="0" w:color="auto"/>
              <w:right w:val="single" w:sz="4" w:space="0" w:color="auto"/>
            </w:tcBorders>
            <w:vAlign w:val="center"/>
            <w:hideMark/>
          </w:tcPr>
          <w:p w14:paraId="4F37542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67,73</w:t>
            </w:r>
          </w:p>
        </w:tc>
        <w:tc>
          <w:tcPr>
            <w:tcW w:w="1417" w:type="dxa"/>
            <w:tcBorders>
              <w:top w:val="nil"/>
              <w:left w:val="nil"/>
              <w:bottom w:val="single" w:sz="4" w:space="0" w:color="auto"/>
              <w:right w:val="single" w:sz="4" w:space="0" w:color="auto"/>
            </w:tcBorders>
            <w:noWrap/>
            <w:vAlign w:val="center"/>
            <w:hideMark/>
          </w:tcPr>
          <w:p w14:paraId="18A3C93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14.634,12</w:t>
            </w:r>
          </w:p>
        </w:tc>
        <w:tc>
          <w:tcPr>
            <w:tcW w:w="992" w:type="dxa"/>
            <w:tcBorders>
              <w:top w:val="nil"/>
              <w:left w:val="nil"/>
              <w:bottom w:val="single" w:sz="4" w:space="0" w:color="auto"/>
              <w:right w:val="single" w:sz="4" w:space="0" w:color="auto"/>
            </w:tcBorders>
            <w:vAlign w:val="center"/>
            <w:hideMark/>
          </w:tcPr>
          <w:p w14:paraId="5E6AF82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13,08</w:t>
            </w:r>
          </w:p>
        </w:tc>
        <w:tc>
          <w:tcPr>
            <w:tcW w:w="1245" w:type="dxa"/>
            <w:tcBorders>
              <w:top w:val="nil"/>
              <w:left w:val="nil"/>
              <w:bottom w:val="single" w:sz="4" w:space="0" w:color="auto"/>
              <w:right w:val="single" w:sz="4" w:space="0" w:color="auto"/>
            </w:tcBorders>
            <w:noWrap/>
            <w:vAlign w:val="center"/>
            <w:hideMark/>
          </w:tcPr>
          <w:p w14:paraId="48BFD53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21.459,42</w:t>
            </w:r>
          </w:p>
        </w:tc>
        <w:tc>
          <w:tcPr>
            <w:tcW w:w="0" w:type="auto"/>
            <w:tcBorders>
              <w:top w:val="nil"/>
              <w:left w:val="nil"/>
              <w:bottom w:val="single" w:sz="4" w:space="0" w:color="auto"/>
              <w:right w:val="single" w:sz="4" w:space="0" w:color="auto"/>
            </w:tcBorders>
            <w:vAlign w:val="center"/>
            <w:hideMark/>
          </w:tcPr>
          <w:p w14:paraId="0262F3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19,19</w:t>
            </w:r>
          </w:p>
        </w:tc>
        <w:tc>
          <w:tcPr>
            <w:tcW w:w="0" w:type="auto"/>
            <w:tcBorders>
              <w:top w:val="nil"/>
              <w:left w:val="nil"/>
              <w:bottom w:val="single" w:sz="4" w:space="0" w:color="auto"/>
              <w:right w:val="single" w:sz="4" w:space="0" w:color="auto"/>
            </w:tcBorders>
            <w:noWrap/>
            <w:vAlign w:val="center"/>
            <w:hideMark/>
          </w:tcPr>
          <w:p w14:paraId="2919A88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111.852,45</w:t>
            </w:r>
          </w:p>
        </w:tc>
      </w:tr>
      <w:tr w:rsidR="00BB3DD1" w:rsidRPr="00BB3DD1" w14:paraId="09D23AE1"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D16252D"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 C.F.S. GESTIÓN DE VENTAS Y ESPACIOS COMERCIALES (LOE)</w:t>
            </w:r>
          </w:p>
        </w:tc>
        <w:tc>
          <w:tcPr>
            <w:tcW w:w="718" w:type="dxa"/>
            <w:tcBorders>
              <w:top w:val="nil"/>
              <w:left w:val="nil"/>
              <w:bottom w:val="single" w:sz="4" w:space="0" w:color="auto"/>
              <w:right w:val="single" w:sz="4" w:space="0" w:color="auto"/>
            </w:tcBorders>
            <w:noWrap/>
            <w:vAlign w:val="center"/>
            <w:hideMark/>
          </w:tcPr>
          <w:p w14:paraId="259CE58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0F1E05A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1,174</w:t>
            </w:r>
          </w:p>
        </w:tc>
        <w:tc>
          <w:tcPr>
            <w:tcW w:w="1133" w:type="dxa"/>
            <w:tcBorders>
              <w:top w:val="nil"/>
              <w:left w:val="nil"/>
              <w:bottom w:val="single" w:sz="4" w:space="0" w:color="auto"/>
              <w:right w:val="single" w:sz="4" w:space="0" w:color="auto"/>
            </w:tcBorders>
            <w:noWrap/>
            <w:vAlign w:val="center"/>
            <w:hideMark/>
          </w:tcPr>
          <w:p w14:paraId="0DCC4F9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0,566</w:t>
            </w:r>
          </w:p>
        </w:tc>
        <w:tc>
          <w:tcPr>
            <w:tcW w:w="1558" w:type="dxa"/>
            <w:tcBorders>
              <w:top w:val="nil"/>
              <w:left w:val="nil"/>
              <w:bottom w:val="single" w:sz="4" w:space="0" w:color="auto"/>
              <w:right w:val="single" w:sz="4" w:space="0" w:color="auto"/>
            </w:tcBorders>
            <w:noWrap/>
            <w:vAlign w:val="center"/>
            <w:hideMark/>
          </w:tcPr>
          <w:p w14:paraId="7216C90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86.152,89</w:t>
            </w:r>
          </w:p>
        </w:tc>
        <w:tc>
          <w:tcPr>
            <w:tcW w:w="992" w:type="dxa"/>
            <w:tcBorders>
              <w:top w:val="nil"/>
              <w:left w:val="nil"/>
              <w:bottom w:val="single" w:sz="4" w:space="0" w:color="auto"/>
              <w:right w:val="single" w:sz="4" w:space="0" w:color="auto"/>
            </w:tcBorders>
            <w:vAlign w:val="center"/>
            <w:hideMark/>
          </w:tcPr>
          <w:p w14:paraId="6F2AAB3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69,01</w:t>
            </w:r>
          </w:p>
        </w:tc>
        <w:tc>
          <w:tcPr>
            <w:tcW w:w="1417" w:type="dxa"/>
            <w:tcBorders>
              <w:top w:val="nil"/>
              <w:left w:val="nil"/>
              <w:bottom w:val="single" w:sz="4" w:space="0" w:color="auto"/>
              <w:right w:val="single" w:sz="4" w:space="0" w:color="auto"/>
            </w:tcBorders>
            <w:noWrap/>
            <w:vAlign w:val="center"/>
            <w:hideMark/>
          </w:tcPr>
          <w:p w14:paraId="52F84F0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17.226,59</w:t>
            </w:r>
          </w:p>
        </w:tc>
        <w:tc>
          <w:tcPr>
            <w:tcW w:w="992" w:type="dxa"/>
            <w:tcBorders>
              <w:top w:val="nil"/>
              <w:left w:val="nil"/>
              <w:bottom w:val="single" w:sz="4" w:space="0" w:color="auto"/>
              <w:right w:val="single" w:sz="4" w:space="0" w:color="auto"/>
            </w:tcBorders>
            <w:vAlign w:val="center"/>
            <w:hideMark/>
          </w:tcPr>
          <w:p w14:paraId="1AFD845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13,80</w:t>
            </w:r>
          </w:p>
        </w:tc>
        <w:tc>
          <w:tcPr>
            <w:tcW w:w="1245" w:type="dxa"/>
            <w:tcBorders>
              <w:top w:val="nil"/>
              <w:left w:val="nil"/>
              <w:bottom w:val="single" w:sz="4" w:space="0" w:color="auto"/>
              <w:right w:val="single" w:sz="4" w:space="0" w:color="auto"/>
            </w:tcBorders>
            <w:noWrap/>
            <w:vAlign w:val="center"/>
            <w:hideMark/>
          </w:tcPr>
          <w:p w14:paraId="0ACB80B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21.459,42</w:t>
            </w:r>
          </w:p>
        </w:tc>
        <w:tc>
          <w:tcPr>
            <w:tcW w:w="0" w:type="auto"/>
            <w:tcBorders>
              <w:top w:val="nil"/>
              <w:left w:val="nil"/>
              <w:bottom w:val="single" w:sz="4" w:space="0" w:color="auto"/>
              <w:right w:val="single" w:sz="4" w:space="0" w:color="auto"/>
            </w:tcBorders>
            <w:vAlign w:val="center"/>
            <w:hideMark/>
          </w:tcPr>
          <w:p w14:paraId="3C157DF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17,19</w:t>
            </w:r>
          </w:p>
        </w:tc>
        <w:tc>
          <w:tcPr>
            <w:tcW w:w="0" w:type="auto"/>
            <w:tcBorders>
              <w:top w:val="nil"/>
              <w:left w:val="nil"/>
              <w:bottom w:val="single" w:sz="4" w:space="0" w:color="auto"/>
              <w:right w:val="single" w:sz="4" w:space="0" w:color="auto"/>
            </w:tcBorders>
            <w:noWrap/>
            <w:vAlign w:val="center"/>
            <w:hideMark/>
          </w:tcPr>
          <w:p w14:paraId="1F8D466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124.838,90</w:t>
            </w:r>
          </w:p>
        </w:tc>
      </w:tr>
      <w:tr w:rsidR="00BB3DD1" w:rsidRPr="00BB3DD1" w14:paraId="7A073321"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61298754"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1139873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67044F4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1,131</w:t>
            </w:r>
          </w:p>
        </w:tc>
        <w:tc>
          <w:tcPr>
            <w:tcW w:w="1133" w:type="dxa"/>
            <w:tcBorders>
              <w:top w:val="nil"/>
              <w:left w:val="nil"/>
              <w:bottom w:val="single" w:sz="4" w:space="0" w:color="auto"/>
              <w:right w:val="single" w:sz="4" w:space="0" w:color="auto"/>
            </w:tcBorders>
            <w:noWrap/>
            <w:vAlign w:val="center"/>
            <w:hideMark/>
          </w:tcPr>
          <w:p w14:paraId="2B62F10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0,479</w:t>
            </w:r>
          </w:p>
        </w:tc>
        <w:tc>
          <w:tcPr>
            <w:tcW w:w="1558" w:type="dxa"/>
            <w:tcBorders>
              <w:top w:val="nil"/>
              <w:left w:val="nil"/>
              <w:bottom w:val="single" w:sz="4" w:space="0" w:color="auto"/>
              <w:right w:val="single" w:sz="4" w:space="0" w:color="auto"/>
            </w:tcBorders>
            <w:noWrap/>
            <w:vAlign w:val="center"/>
            <w:hideMark/>
          </w:tcPr>
          <w:p w14:paraId="0DC63C6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79.909,84</w:t>
            </w:r>
          </w:p>
        </w:tc>
        <w:tc>
          <w:tcPr>
            <w:tcW w:w="992" w:type="dxa"/>
            <w:tcBorders>
              <w:top w:val="nil"/>
              <w:left w:val="nil"/>
              <w:bottom w:val="single" w:sz="4" w:space="0" w:color="auto"/>
              <w:right w:val="single" w:sz="4" w:space="0" w:color="auto"/>
            </w:tcBorders>
            <w:vAlign w:val="center"/>
            <w:hideMark/>
          </w:tcPr>
          <w:p w14:paraId="09088D4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68,03</w:t>
            </w:r>
          </w:p>
        </w:tc>
        <w:tc>
          <w:tcPr>
            <w:tcW w:w="1417" w:type="dxa"/>
            <w:tcBorders>
              <w:top w:val="nil"/>
              <w:left w:val="nil"/>
              <w:bottom w:val="single" w:sz="4" w:space="0" w:color="auto"/>
              <w:right w:val="single" w:sz="4" w:space="0" w:color="auto"/>
            </w:tcBorders>
            <w:noWrap/>
            <w:vAlign w:val="center"/>
            <w:hideMark/>
          </w:tcPr>
          <w:p w14:paraId="2821477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16.089,96</w:t>
            </w:r>
          </w:p>
        </w:tc>
        <w:tc>
          <w:tcPr>
            <w:tcW w:w="992" w:type="dxa"/>
            <w:tcBorders>
              <w:top w:val="nil"/>
              <w:left w:val="nil"/>
              <w:bottom w:val="single" w:sz="4" w:space="0" w:color="auto"/>
              <w:right w:val="single" w:sz="4" w:space="0" w:color="auto"/>
            </w:tcBorders>
            <w:vAlign w:val="center"/>
            <w:hideMark/>
          </w:tcPr>
          <w:p w14:paraId="1FBF9C8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13,70</w:t>
            </w:r>
          </w:p>
        </w:tc>
        <w:tc>
          <w:tcPr>
            <w:tcW w:w="1245" w:type="dxa"/>
            <w:tcBorders>
              <w:top w:val="nil"/>
              <w:left w:val="nil"/>
              <w:bottom w:val="single" w:sz="4" w:space="0" w:color="auto"/>
              <w:right w:val="single" w:sz="4" w:space="0" w:color="auto"/>
            </w:tcBorders>
            <w:noWrap/>
            <w:vAlign w:val="center"/>
            <w:hideMark/>
          </w:tcPr>
          <w:p w14:paraId="14E51AB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21.459,42</w:t>
            </w:r>
          </w:p>
        </w:tc>
        <w:tc>
          <w:tcPr>
            <w:tcW w:w="0" w:type="auto"/>
            <w:tcBorders>
              <w:top w:val="nil"/>
              <w:left w:val="nil"/>
              <w:bottom w:val="single" w:sz="4" w:space="0" w:color="auto"/>
              <w:right w:val="single" w:sz="4" w:space="0" w:color="auto"/>
            </w:tcBorders>
            <w:vAlign w:val="center"/>
            <w:hideMark/>
          </w:tcPr>
          <w:p w14:paraId="343EF4B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18,27</w:t>
            </w:r>
          </w:p>
        </w:tc>
        <w:tc>
          <w:tcPr>
            <w:tcW w:w="0" w:type="auto"/>
            <w:tcBorders>
              <w:top w:val="nil"/>
              <w:left w:val="nil"/>
              <w:bottom w:val="single" w:sz="4" w:space="0" w:color="auto"/>
              <w:right w:val="single" w:sz="4" w:space="0" w:color="auto"/>
            </w:tcBorders>
            <w:noWrap/>
            <w:vAlign w:val="center"/>
            <w:hideMark/>
          </w:tcPr>
          <w:p w14:paraId="6E3ECB3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117.459,22</w:t>
            </w:r>
          </w:p>
        </w:tc>
      </w:tr>
      <w:tr w:rsidR="00BB3DD1" w:rsidRPr="00BB3DD1" w14:paraId="2B57591D"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14168B6"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 C.F.S. ADMÓN. DE SISTEMAS INFORMÁTICOS EN RED (LOE)</w:t>
            </w:r>
          </w:p>
        </w:tc>
        <w:tc>
          <w:tcPr>
            <w:tcW w:w="718" w:type="dxa"/>
            <w:tcBorders>
              <w:top w:val="nil"/>
              <w:left w:val="nil"/>
              <w:bottom w:val="single" w:sz="4" w:space="0" w:color="auto"/>
              <w:right w:val="single" w:sz="4" w:space="0" w:color="auto"/>
            </w:tcBorders>
            <w:noWrap/>
            <w:vAlign w:val="center"/>
            <w:hideMark/>
          </w:tcPr>
          <w:p w14:paraId="455ABB0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44C4C14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1,217</w:t>
            </w:r>
          </w:p>
        </w:tc>
        <w:tc>
          <w:tcPr>
            <w:tcW w:w="1133" w:type="dxa"/>
            <w:tcBorders>
              <w:top w:val="nil"/>
              <w:left w:val="nil"/>
              <w:bottom w:val="single" w:sz="4" w:space="0" w:color="auto"/>
              <w:right w:val="single" w:sz="4" w:space="0" w:color="auto"/>
            </w:tcBorders>
            <w:noWrap/>
            <w:vAlign w:val="center"/>
            <w:hideMark/>
          </w:tcPr>
          <w:p w14:paraId="4B376A4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0,652</w:t>
            </w:r>
          </w:p>
        </w:tc>
        <w:tc>
          <w:tcPr>
            <w:tcW w:w="1558" w:type="dxa"/>
            <w:tcBorders>
              <w:top w:val="nil"/>
              <w:left w:val="nil"/>
              <w:bottom w:val="single" w:sz="4" w:space="0" w:color="auto"/>
              <w:right w:val="single" w:sz="4" w:space="0" w:color="auto"/>
            </w:tcBorders>
            <w:noWrap/>
            <w:vAlign w:val="center"/>
            <w:hideMark/>
          </w:tcPr>
          <w:p w14:paraId="27F5FDF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92.349,37</w:t>
            </w:r>
          </w:p>
        </w:tc>
        <w:tc>
          <w:tcPr>
            <w:tcW w:w="992" w:type="dxa"/>
            <w:tcBorders>
              <w:top w:val="nil"/>
              <w:left w:val="nil"/>
              <w:bottom w:val="single" w:sz="4" w:space="0" w:color="auto"/>
              <w:right w:val="single" w:sz="4" w:space="0" w:color="auto"/>
            </w:tcBorders>
            <w:vAlign w:val="center"/>
            <w:hideMark/>
          </w:tcPr>
          <w:p w14:paraId="231BC49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69,71</w:t>
            </w:r>
          </w:p>
        </w:tc>
        <w:tc>
          <w:tcPr>
            <w:tcW w:w="1417" w:type="dxa"/>
            <w:tcBorders>
              <w:top w:val="nil"/>
              <w:left w:val="nil"/>
              <w:bottom w:val="single" w:sz="4" w:space="0" w:color="auto"/>
              <w:right w:val="single" w:sz="4" w:space="0" w:color="auto"/>
            </w:tcBorders>
            <w:noWrap/>
            <w:vAlign w:val="center"/>
            <w:hideMark/>
          </w:tcPr>
          <w:p w14:paraId="7B51BDF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17.659,02</w:t>
            </w:r>
          </w:p>
        </w:tc>
        <w:tc>
          <w:tcPr>
            <w:tcW w:w="992" w:type="dxa"/>
            <w:tcBorders>
              <w:top w:val="nil"/>
              <w:left w:val="nil"/>
              <w:bottom w:val="single" w:sz="4" w:space="0" w:color="auto"/>
              <w:right w:val="single" w:sz="4" w:space="0" w:color="auto"/>
            </w:tcBorders>
            <w:vAlign w:val="center"/>
            <w:hideMark/>
          </w:tcPr>
          <w:p w14:paraId="09F219F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13,33</w:t>
            </w:r>
          </w:p>
        </w:tc>
        <w:tc>
          <w:tcPr>
            <w:tcW w:w="1245" w:type="dxa"/>
            <w:tcBorders>
              <w:top w:val="nil"/>
              <w:left w:val="nil"/>
              <w:bottom w:val="single" w:sz="4" w:space="0" w:color="auto"/>
              <w:right w:val="single" w:sz="4" w:space="0" w:color="auto"/>
            </w:tcBorders>
            <w:noWrap/>
            <w:vAlign w:val="center"/>
            <w:hideMark/>
          </w:tcPr>
          <w:p w14:paraId="27DA827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22.470,46</w:t>
            </w:r>
          </w:p>
        </w:tc>
        <w:tc>
          <w:tcPr>
            <w:tcW w:w="0" w:type="auto"/>
            <w:tcBorders>
              <w:top w:val="nil"/>
              <w:left w:val="nil"/>
              <w:bottom w:val="single" w:sz="4" w:space="0" w:color="auto"/>
              <w:right w:val="single" w:sz="4" w:space="0" w:color="auto"/>
            </w:tcBorders>
            <w:vAlign w:val="center"/>
            <w:hideMark/>
          </w:tcPr>
          <w:p w14:paraId="04CC5E3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16,96</w:t>
            </w:r>
          </w:p>
        </w:tc>
        <w:tc>
          <w:tcPr>
            <w:tcW w:w="0" w:type="auto"/>
            <w:tcBorders>
              <w:top w:val="nil"/>
              <w:left w:val="nil"/>
              <w:bottom w:val="single" w:sz="4" w:space="0" w:color="auto"/>
              <w:right w:val="single" w:sz="4" w:space="0" w:color="auto"/>
            </w:tcBorders>
            <w:noWrap/>
            <w:vAlign w:val="center"/>
            <w:hideMark/>
          </w:tcPr>
          <w:p w14:paraId="2F45FF1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132.478,85</w:t>
            </w:r>
          </w:p>
        </w:tc>
      </w:tr>
      <w:tr w:rsidR="00BB3DD1" w:rsidRPr="00BB3DD1" w14:paraId="6280013F"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510285E0"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8D6C22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11E2717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1,304</w:t>
            </w:r>
          </w:p>
        </w:tc>
        <w:tc>
          <w:tcPr>
            <w:tcW w:w="1133" w:type="dxa"/>
            <w:tcBorders>
              <w:top w:val="nil"/>
              <w:left w:val="nil"/>
              <w:bottom w:val="single" w:sz="4" w:space="0" w:color="auto"/>
              <w:right w:val="single" w:sz="4" w:space="0" w:color="auto"/>
            </w:tcBorders>
            <w:noWrap/>
            <w:vAlign w:val="center"/>
            <w:hideMark/>
          </w:tcPr>
          <w:p w14:paraId="37269C6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0,329</w:t>
            </w:r>
          </w:p>
        </w:tc>
        <w:tc>
          <w:tcPr>
            <w:tcW w:w="1558" w:type="dxa"/>
            <w:tcBorders>
              <w:top w:val="nil"/>
              <w:left w:val="nil"/>
              <w:bottom w:val="single" w:sz="4" w:space="0" w:color="auto"/>
              <w:right w:val="single" w:sz="4" w:space="0" w:color="auto"/>
            </w:tcBorders>
            <w:noWrap/>
            <w:vAlign w:val="center"/>
            <w:hideMark/>
          </w:tcPr>
          <w:p w14:paraId="5F4BA0B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81.730,69</w:t>
            </w:r>
          </w:p>
        </w:tc>
        <w:tc>
          <w:tcPr>
            <w:tcW w:w="992" w:type="dxa"/>
            <w:tcBorders>
              <w:top w:val="nil"/>
              <w:left w:val="nil"/>
              <w:bottom w:val="single" w:sz="4" w:space="0" w:color="auto"/>
              <w:right w:val="single" w:sz="4" w:space="0" w:color="auto"/>
            </w:tcBorders>
            <w:vAlign w:val="center"/>
            <w:hideMark/>
          </w:tcPr>
          <w:p w14:paraId="73608EB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68,15</w:t>
            </w:r>
          </w:p>
        </w:tc>
        <w:tc>
          <w:tcPr>
            <w:tcW w:w="1417" w:type="dxa"/>
            <w:tcBorders>
              <w:top w:val="nil"/>
              <w:left w:val="nil"/>
              <w:bottom w:val="single" w:sz="4" w:space="0" w:color="auto"/>
              <w:right w:val="single" w:sz="4" w:space="0" w:color="auto"/>
            </w:tcBorders>
            <w:noWrap/>
            <w:vAlign w:val="center"/>
            <w:hideMark/>
          </w:tcPr>
          <w:p w14:paraId="5A513D8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15.724,78</w:t>
            </w:r>
          </w:p>
        </w:tc>
        <w:tc>
          <w:tcPr>
            <w:tcW w:w="992" w:type="dxa"/>
            <w:tcBorders>
              <w:top w:val="nil"/>
              <w:left w:val="nil"/>
              <w:bottom w:val="single" w:sz="4" w:space="0" w:color="auto"/>
              <w:right w:val="single" w:sz="4" w:space="0" w:color="auto"/>
            </w:tcBorders>
            <w:vAlign w:val="center"/>
            <w:hideMark/>
          </w:tcPr>
          <w:p w14:paraId="79B265E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13,11</w:t>
            </w:r>
          </w:p>
        </w:tc>
        <w:tc>
          <w:tcPr>
            <w:tcW w:w="1245" w:type="dxa"/>
            <w:tcBorders>
              <w:top w:val="nil"/>
              <w:left w:val="nil"/>
              <w:bottom w:val="single" w:sz="4" w:space="0" w:color="auto"/>
              <w:right w:val="single" w:sz="4" w:space="0" w:color="auto"/>
            </w:tcBorders>
            <w:noWrap/>
            <w:vAlign w:val="center"/>
            <w:hideMark/>
          </w:tcPr>
          <w:p w14:paraId="4BFBD3B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22.470,46</w:t>
            </w:r>
          </w:p>
        </w:tc>
        <w:tc>
          <w:tcPr>
            <w:tcW w:w="0" w:type="auto"/>
            <w:tcBorders>
              <w:top w:val="nil"/>
              <w:left w:val="nil"/>
              <w:bottom w:val="single" w:sz="4" w:space="0" w:color="auto"/>
              <w:right w:val="single" w:sz="4" w:space="0" w:color="auto"/>
            </w:tcBorders>
            <w:vAlign w:val="center"/>
            <w:hideMark/>
          </w:tcPr>
          <w:p w14:paraId="16F5DEF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18,74</w:t>
            </w:r>
          </w:p>
        </w:tc>
        <w:tc>
          <w:tcPr>
            <w:tcW w:w="0" w:type="auto"/>
            <w:tcBorders>
              <w:top w:val="nil"/>
              <w:left w:val="nil"/>
              <w:bottom w:val="single" w:sz="4" w:space="0" w:color="auto"/>
              <w:right w:val="single" w:sz="4" w:space="0" w:color="auto"/>
            </w:tcBorders>
            <w:noWrap/>
            <w:vAlign w:val="center"/>
            <w:hideMark/>
          </w:tcPr>
          <w:p w14:paraId="71764D4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119.925,93</w:t>
            </w:r>
          </w:p>
        </w:tc>
      </w:tr>
      <w:tr w:rsidR="00BB3DD1" w:rsidRPr="00BB3DD1" w14:paraId="0667250C"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63BCC758"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 C.F.S. AUTOMATIZACIÓN Y ROBÓTICA INDUSTRIAL</w:t>
            </w:r>
          </w:p>
        </w:tc>
        <w:tc>
          <w:tcPr>
            <w:tcW w:w="718" w:type="dxa"/>
            <w:tcBorders>
              <w:top w:val="nil"/>
              <w:left w:val="nil"/>
              <w:bottom w:val="single" w:sz="4" w:space="0" w:color="auto"/>
              <w:right w:val="single" w:sz="4" w:space="0" w:color="auto"/>
            </w:tcBorders>
            <w:noWrap/>
            <w:vAlign w:val="center"/>
            <w:hideMark/>
          </w:tcPr>
          <w:p w14:paraId="5C3865A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7AA11DC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0,870</w:t>
            </w:r>
          </w:p>
        </w:tc>
        <w:tc>
          <w:tcPr>
            <w:tcW w:w="1133" w:type="dxa"/>
            <w:tcBorders>
              <w:top w:val="nil"/>
              <w:left w:val="nil"/>
              <w:bottom w:val="single" w:sz="4" w:space="0" w:color="auto"/>
              <w:right w:val="single" w:sz="4" w:space="0" w:color="auto"/>
            </w:tcBorders>
            <w:noWrap/>
            <w:vAlign w:val="center"/>
            <w:hideMark/>
          </w:tcPr>
          <w:p w14:paraId="120007C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1,043</w:t>
            </w:r>
          </w:p>
        </w:tc>
        <w:tc>
          <w:tcPr>
            <w:tcW w:w="1558" w:type="dxa"/>
            <w:tcBorders>
              <w:top w:val="nil"/>
              <w:left w:val="nil"/>
              <w:bottom w:val="single" w:sz="4" w:space="0" w:color="auto"/>
              <w:right w:val="single" w:sz="4" w:space="0" w:color="auto"/>
            </w:tcBorders>
            <w:noWrap/>
            <w:vAlign w:val="center"/>
            <w:hideMark/>
          </w:tcPr>
          <w:p w14:paraId="2638196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92.896,51</w:t>
            </w:r>
          </w:p>
        </w:tc>
        <w:tc>
          <w:tcPr>
            <w:tcW w:w="992" w:type="dxa"/>
            <w:tcBorders>
              <w:top w:val="nil"/>
              <w:left w:val="nil"/>
              <w:bottom w:val="single" w:sz="4" w:space="0" w:color="auto"/>
              <w:right w:val="single" w:sz="4" w:space="0" w:color="auto"/>
            </w:tcBorders>
            <w:vAlign w:val="center"/>
            <w:hideMark/>
          </w:tcPr>
          <w:p w14:paraId="5133DE7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68,02</w:t>
            </w:r>
          </w:p>
        </w:tc>
        <w:tc>
          <w:tcPr>
            <w:tcW w:w="1417" w:type="dxa"/>
            <w:tcBorders>
              <w:top w:val="nil"/>
              <w:left w:val="nil"/>
              <w:bottom w:val="single" w:sz="4" w:space="0" w:color="auto"/>
              <w:right w:val="single" w:sz="4" w:space="0" w:color="auto"/>
            </w:tcBorders>
            <w:noWrap/>
            <w:vAlign w:val="center"/>
            <w:hideMark/>
          </w:tcPr>
          <w:p w14:paraId="4DEA1E5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18.254,66</w:t>
            </w:r>
          </w:p>
        </w:tc>
        <w:tc>
          <w:tcPr>
            <w:tcW w:w="992" w:type="dxa"/>
            <w:tcBorders>
              <w:top w:val="nil"/>
              <w:left w:val="nil"/>
              <w:bottom w:val="single" w:sz="4" w:space="0" w:color="auto"/>
              <w:right w:val="single" w:sz="4" w:space="0" w:color="auto"/>
            </w:tcBorders>
            <w:vAlign w:val="center"/>
            <w:hideMark/>
          </w:tcPr>
          <w:p w14:paraId="299C03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13,37</w:t>
            </w:r>
          </w:p>
        </w:tc>
        <w:tc>
          <w:tcPr>
            <w:tcW w:w="1245" w:type="dxa"/>
            <w:tcBorders>
              <w:top w:val="nil"/>
              <w:left w:val="nil"/>
              <w:bottom w:val="single" w:sz="4" w:space="0" w:color="auto"/>
              <w:right w:val="single" w:sz="4" w:space="0" w:color="auto"/>
            </w:tcBorders>
            <w:noWrap/>
            <w:vAlign w:val="center"/>
            <w:hideMark/>
          </w:tcPr>
          <w:p w14:paraId="6143ADD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25.425,34</w:t>
            </w:r>
          </w:p>
        </w:tc>
        <w:tc>
          <w:tcPr>
            <w:tcW w:w="0" w:type="auto"/>
            <w:tcBorders>
              <w:top w:val="nil"/>
              <w:left w:val="nil"/>
              <w:bottom w:val="single" w:sz="4" w:space="0" w:color="auto"/>
              <w:right w:val="single" w:sz="4" w:space="0" w:color="auto"/>
            </w:tcBorders>
            <w:vAlign w:val="center"/>
            <w:hideMark/>
          </w:tcPr>
          <w:p w14:paraId="7C7040E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18,62</w:t>
            </w:r>
          </w:p>
        </w:tc>
        <w:tc>
          <w:tcPr>
            <w:tcW w:w="0" w:type="auto"/>
            <w:tcBorders>
              <w:top w:val="nil"/>
              <w:left w:val="nil"/>
              <w:bottom w:val="single" w:sz="4" w:space="0" w:color="auto"/>
              <w:right w:val="single" w:sz="4" w:space="0" w:color="auto"/>
            </w:tcBorders>
            <w:noWrap/>
            <w:vAlign w:val="center"/>
            <w:hideMark/>
          </w:tcPr>
          <w:p w14:paraId="7977DD0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136.576,51</w:t>
            </w:r>
          </w:p>
        </w:tc>
      </w:tr>
      <w:tr w:rsidR="00BB3DD1" w:rsidRPr="00BB3DD1" w14:paraId="3AE9893B"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3E04E632"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5CFFE5C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601EE66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1,348</w:t>
            </w:r>
          </w:p>
        </w:tc>
        <w:tc>
          <w:tcPr>
            <w:tcW w:w="1133" w:type="dxa"/>
            <w:tcBorders>
              <w:top w:val="nil"/>
              <w:left w:val="nil"/>
              <w:bottom w:val="single" w:sz="4" w:space="0" w:color="auto"/>
              <w:right w:val="single" w:sz="4" w:space="0" w:color="auto"/>
            </w:tcBorders>
            <w:noWrap/>
            <w:vAlign w:val="center"/>
            <w:hideMark/>
          </w:tcPr>
          <w:p w14:paraId="1C7AA2F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0,261</w:t>
            </w:r>
          </w:p>
        </w:tc>
        <w:tc>
          <w:tcPr>
            <w:tcW w:w="1558" w:type="dxa"/>
            <w:tcBorders>
              <w:top w:val="nil"/>
              <w:left w:val="nil"/>
              <w:bottom w:val="single" w:sz="4" w:space="0" w:color="auto"/>
              <w:right w:val="single" w:sz="4" w:space="0" w:color="auto"/>
            </w:tcBorders>
            <w:noWrap/>
            <w:vAlign w:val="center"/>
            <w:hideMark/>
          </w:tcPr>
          <w:p w14:paraId="27CB910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80.803,08</w:t>
            </w:r>
          </w:p>
        </w:tc>
        <w:tc>
          <w:tcPr>
            <w:tcW w:w="992" w:type="dxa"/>
            <w:tcBorders>
              <w:top w:val="nil"/>
              <w:left w:val="nil"/>
              <w:bottom w:val="single" w:sz="4" w:space="0" w:color="auto"/>
              <w:right w:val="single" w:sz="4" w:space="0" w:color="auto"/>
            </w:tcBorders>
            <w:vAlign w:val="center"/>
            <w:hideMark/>
          </w:tcPr>
          <w:p w14:paraId="4786F66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66,07</w:t>
            </w:r>
          </w:p>
        </w:tc>
        <w:tc>
          <w:tcPr>
            <w:tcW w:w="1417" w:type="dxa"/>
            <w:tcBorders>
              <w:top w:val="nil"/>
              <w:left w:val="nil"/>
              <w:bottom w:val="single" w:sz="4" w:space="0" w:color="auto"/>
              <w:right w:val="single" w:sz="4" w:space="0" w:color="auto"/>
            </w:tcBorders>
            <w:noWrap/>
            <w:vAlign w:val="center"/>
            <w:hideMark/>
          </w:tcPr>
          <w:p w14:paraId="1FA7D73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16.076,12</w:t>
            </w:r>
          </w:p>
        </w:tc>
        <w:tc>
          <w:tcPr>
            <w:tcW w:w="992" w:type="dxa"/>
            <w:tcBorders>
              <w:top w:val="nil"/>
              <w:left w:val="nil"/>
              <w:bottom w:val="single" w:sz="4" w:space="0" w:color="auto"/>
              <w:right w:val="single" w:sz="4" w:space="0" w:color="auto"/>
            </w:tcBorders>
            <w:vAlign w:val="center"/>
            <w:hideMark/>
          </w:tcPr>
          <w:p w14:paraId="04F80DE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13,14</w:t>
            </w:r>
          </w:p>
        </w:tc>
        <w:tc>
          <w:tcPr>
            <w:tcW w:w="1245" w:type="dxa"/>
            <w:tcBorders>
              <w:top w:val="nil"/>
              <w:left w:val="nil"/>
              <w:bottom w:val="single" w:sz="4" w:space="0" w:color="auto"/>
              <w:right w:val="single" w:sz="4" w:space="0" w:color="auto"/>
            </w:tcBorders>
            <w:noWrap/>
            <w:vAlign w:val="center"/>
            <w:hideMark/>
          </w:tcPr>
          <w:p w14:paraId="3B3953B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25.425,34</w:t>
            </w:r>
          </w:p>
        </w:tc>
        <w:tc>
          <w:tcPr>
            <w:tcW w:w="0" w:type="auto"/>
            <w:tcBorders>
              <w:top w:val="nil"/>
              <w:left w:val="nil"/>
              <w:bottom w:val="single" w:sz="4" w:space="0" w:color="auto"/>
              <w:right w:val="single" w:sz="4" w:space="0" w:color="auto"/>
            </w:tcBorders>
            <w:vAlign w:val="center"/>
            <w:hideMark/>
          </w:tcPr>
          <w:p w14:paraId="214D91A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20,79</w:t>
            </w:r>
          </w:p>
        </w:tc>
        <w:tc>
          <w:tcPr>
            <w:tcW w:w="0" w:type="auto"/>
            <w:tcBorders>
              <w:top w:val="nil"/>
              <w:left w:val="nil"/>
              <w:bottom w:val="single" w:sz="4" w:space="0" w:color="auto"/>
              <w:right w:val="single" w:sz="4" w:space="0" w:color="auto"/>
            </w:tcBorders>
            <w:noWrap/>
            <w:vAlign w:val="center"/>
            <w:hideMark/>
          </w:tcPr>
          <w:p w14:paraId="37D9D5B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122.304,54</w:t>
            </w:r>
          </w:p>
        </w:tc>
      </w:tr>
      <w:tr w:rsidR="00BB3DD1" w:rsidRPr="00BB3DD1" w14:paraId="1A261F77"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2C42608C"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9-C.F.S. PROGRAMACIÓN DE LA PRODUCCIÓN EN FABRICACIÓN MECÁNICA (LOE)</w:t>
            </w:r>
          </w:p>
        </w:tc>
        <w:tc>
          <w:tcPr>
            <w:tcW w:w="718" w:type="dxa"/>
            <w:tcBorders>
              <w:top w:val="nil"/>
              <w:left w:val="nil"/>
              <w:bottom w:val="single" w:sz="4" w:space="0" w:color="auto"/>
              <w:right w:val="single" w:sz="4" w:space="0" w:color="auto"/>
            </w:tcBorders>
            <w:noWrap/>
            <w:vAlign w:val="center"/>
            <w:hideMark/>
          </w:tcPr>
          <w:p w14:paraId="097E929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57CB238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0,696</w:t>
            </w:r>
          </w:p>
        </w:tc>
        <w:tc>
          <w:tcPr>
            <w:tcW w:w="1133" w:type="dxa"/>
            <w:tcBorders>
              <w:top w:val="nil"/>
              <w:left w:val="nil"/>
              <w:bottom w:val="single" w:sz="4" w:space="0" w:color="auto"/>
              <w:right w:val="single" w:sz="4" w:space="0" w:color="auto"/>
            </w:tcBorders>
            <w:noWrap/>
            <w:vAlign w:val="center"/>
            <w:hideMark/>
          </w:tcPr>
          <w:p w14:paraId="271F602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1,043</w:t>
            </w:r>
          </w:p>
        </w:tc>
        <w:tc>
          <w:tcPr>
            <w:tcW w:w="1558" w:type="dxa"/>
            <w:tcBorders>
              <w:top w:val="nil"/>
              <w:left w:val="nil"/>
              <w:bottom w:val="single" w:sz="4" w:space="0" w:color="auto"/>
              <w:right w:val="single" w:sz="4" w:space="0" w:color="auto"/>
            </w:tcBorders>
            <w:noWrap/>
            <w:vAlign w:val="center"/>
            <w:hideMark/>
          </w:tcPr>
          <w:p w14:paraId="79B90ED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84.036,09</w:t>
            </w:r>
          </w:p>
        </w:tc>
        <w:tc>
          <w:tcPr>
            <w:tcW w:w="992" w:type="dxa"/>
            <w:tcBorders>
              <w:top w:val="nil"/>
              <w:left w:val="nil"/>
              <w:bottom w:val="single" w:sz="4" w:space="0" w:color="auto"/>
              <w:right w:val="single" w:sz="4" w:space="0" w:color="auto"/>
            </w:tcBorders>
            <w:vAlign w:val="center"/>
            <w:hideMark/>
          </w:tcPr>
          <w:p w14:paraId="4B7B10F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64,89</w:t>
            </w:r>
          </w:p>
        </w:tc>
        <w:tc>
          <w:tcPr>
            <w:tcW w:w="1417" w:type="dxa"/>
            <w:tcBorders>
              <w:top w:val="nil"/>
              <w:left w:val="nil"/>
              <w:bottom w:val="single" w:sz="4" w:space="0" w:color="auto"/>
              <w:right w:val="single" w:sz="4" w:space="0" w:color="auto"/>
            </w:tcBorders>
            <w:noWrap/>
            <w:vAlign w:val="center"/>
            <w:hideMark/>
          </w:tcPr>
          <w:p w14:paraId="4B45C84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16.552,48</w:t>
            </w:r>
          </w:p>
        </w:tc>
        <w:tc>
          <w:tcPr>
            <w:tcW w:w="992" w:type="dxa"/>
            <w:tcBorders>
              <w:top w:val="nil"/>
              <w:left w:val="nil"/>
              <w:bottom w:val="single" w:sz="4" w:space="0" w:color="auto"/>
              <w:right w:val="single" w:sz="4" w:space="0" w:color="auto"/>
            </w:tcBorders>
            <w:vAlign w:val="center"/>
            <w:hideMark/>
          </w:tcPr>
          <w:p w14:paraId="4F21977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12,78</w:t>
            </w:r>
          </w:p>
        </w:tc>
        <w:tc>
          <w:tcPr>
            <w:tcW w:w="1245" w:type="dxa"/>
            <w:tcBorders>
              <w:top w:val="nil"/>
              <w:left w:val="nil"/>
              <w:bottom w:val="single" w:sz="4" w:space="0" w:color="auto"/>
              <w:right w:val="single" w:sz="4" w:space="0" w:color="auto"/>
            </w:tcBorders>
            <w:noWrap/>
            <w:vAlign w:val="center"/>
            <w:hideMark/>
          </w:tcPr>
          <w:p w14:paraId="56BBE51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28.925,91</w:t>
            </w:r>
          </w:p>
        </w:tc>
        <w:tc>
          <w:tcPr>
            <w:tcW w:w="0" w:type="auto"/>
            <w:tcBorders>
              <w:top w:val="nil"/>
              <w:left w:val="nil"/>
              <w:bottom w:val="single" w:sz="4" w:space="0" w:color="auto"/>
              <w:right w:val="single" w:sz="4" w:space="0" w:color="auto"/>
            </w:tcBorders>
            <w:vAlign w:val="center"/>
            <w:hideMark/>
          </w:tcPr>
          <w:p w14:paraId="015002F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22,33</w:t>
            </w:r>
          </w:p>
        </w:tc>
        <w:tc>
          <w:tcPr>
            <w:tcW w:w="0" w:type="auto"/>
            <w:tcBorders>
              <w:top w:val="nil"/>
              <w:left w:val="nil"/>
              <w:bottom w:val="single" w:sz="4" w:space="0" w:color="auto"/>
              <w:right w:val="single" w:sz="4" w:space="0" w:color="auto"/>
            </w:tcBorders>
            <w:noWrap/>
            <w:vAlign w:val="center"/>
            <w:hideMark/>
          </w:tcPr>
          <w:p w14:paraId="758F6BC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129.514,48</w:t>
            </w:r>
          </w:p>
        </w:tc>
      </w:tr>
      <w:tr w:rsidR="00BB3DD1" w:rsidRPr="00BB3DD1" w14:paraId="49F2D2EF"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4391CE67"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4BA82BC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0DA4030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1,304</w:t>
            </w:r>
          </w:p>
        </w:tc>
        <w:tc>
          <w:tcPr>
            <w:tcW w:w="1133" w:type="dxa"/>
            <w:tcBorders>
              <w:top w:val="nil"/>
              <w:left w:val="nil"/>
              <w:bottom w:val="single" w:sz="4" w:space="0" w:color="auto"/>
              <w:right w:val="single" w:sz="4" w:space="0" w:color="auto"/>
            </w:tcBorders>
            <w:noWrap/>
            <w:vAlign w:val="center"/>
            <w:hideMark/>
          </w:tcPr>
          <w:p w14:paraId="6815E56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0,304</w:t>
            </w:r>
          </w:p>
        </w:tc>
        <w:tc>
          <w:tcPr>
            <w:tcW w:w="1558" w:type="dxa"/>
            <w:tcBorders>
              <w:top w:val="nil"/>
              <w:left w:val="nil"/>
              <w:bottom w:val="single" w:sz="4" w:space="0" w:color="auto"/>
              <w:right w:val="single" w:sz="4" w:space="0" w:color="auto"/>
            </w:tcBorders>
            <w:noWrap/>
            <w:vAlign w:val="center"/>
            <w:hideMark/>
          </w:tcPr>
          <w:p w14:paraId="2B0FB9C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80.565,92</w:t>
            </w:r>
          </w:p>
        </w:tc>
        <w:tc>
          <w:tcPr>
            <w:tcW w:w="992" w:type="dxa"/>
            <w:tcBorders>
              <w:top w:val="nil"/>
              <w:left w:val="nil"/>
              <w:bottom w:val="single" w:sz="4" w:space="0" w:color="auto"/>
              <w:right w:val="single" w:sz="4" w:space="0" w:color="auto"/>
            </w:tcBorders>
            <w:vAlign w:val="center"/>
            <w:hideMark/>
          </w:tcPr>
          <w:p w14:paraId="1555E03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64,44</w:t>
            </w:r>
          </w:p>
        </w:tc>
        <w:tc>
          <w:tcPr>
            <w:tcW w:w="1417" w:type="dxa"/>
            <w:tcBorders>
              <w:top w:val="nil"/>
              <w:left w:val="nil"/>
              <w:bottom w:val="single" w:sz="4" w:space="0" w:color="auto"/>
              <w:right w:val="single" w:sz="4" w:space="0" w:color="auto"/>
            </w:tcBorders>
            <w:noWrap/>
            <w:vAlign w:val="center"/>
            <w:hideMark/>
          </w:tcPr>
          <w:p w14:paraId="1A87027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15.524,11</w:t>
            </w:r>
          </w:p>
        </w:tc>
        <w:tc>
          <w:tcPr>
            <w:tcW w:w="992" w:type="dxa"/>
            <w:tcBorders>
              <w:top w:val="nil"/>
              <w:left w:val="nil"/>
              <w:bottom w:val="single" w:sz="4" w:space="0" w:color="auto"/>
              <w:right w:val="single" w:sz="4" w:space="0" w:color="auto"/>
            </w:tcBorders>
            <w:vAlign w:val="center"/>
            <w:hideMark/>
          </w:tcPr>
          <w:p w14:paraId="48770F7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12,42</w:t>
            </w:r>
          </w:p>
        </w:tc>
        <w:tc>
          <w:tcPr>
            <w:tcW w:w="1245" w:type="dxa"/>
            <w:tcBorders>
              <w:top w:val="nil"/>
              <w:left w:val="nil"/>
              <w:bottom w:val="single" w:sz="4" w:space="0" w:color="auto"/>
              <w:right w:val="single" w:sz="4" w:space="0" w:color="auto"/>
            </w:tcBorders>
            <w:noWrap/>
            <w:vAlign w:val="center"/>
            <w:hideMark/>
          </w:tcPr>
          <w:p w14:paraId="1A99E9F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28.925,91</w:t>
            </w:r>
          </w:p>
        </w:tc>
        <w:tc>
          <w:tcPr>
            <w:tcW w:w="0" w:type="auto"/>
            <w:tcBorders>
              <w:top w:val="nil"/>
              <w:left w:val="nil"/>
              <w:bottom w:val="single" w:sz="4" w:space="0" w:color="auto"/>
              <w:right w:val="single" w:sz="4" w:space="0" w:color="auto"/>
            </w:tcBorders>
            <w:vAlign w:val="center"/>
            <w:hideMark/>
          </w:tcPr>
          <w:p w14:paraId="1DB2052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23,14</w:t>
            </w:r>
          </w:p>
        </w:tc>
        <w:tc>
          <w:tcPr>
            <w:tcW w:w="0" w:type="auto"/>
            <w:tcBorders>
              <w:top w:val="nil"/>
              <w:left w:val="nil"/>
              <w:bottom w:val="single" w:sz="4" w:space="0" w:color="auto"/>
              <w:right w:val="single" w:sz="4" w:space="0" w:color="auto"/>
            </w:tcBorders>
            <w:noWrap/>
            <w:vAlign w:val="center"/>
            <w:hideMark/>
          </w:tcPr>
          <w:p w14:paraId="517D2B4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125.015,94</w:t>
            </w:r>
          </w:p>
        </w:tc>
      </w:tr>
      <w:tr w:rsidR="00BB3DD1" w:rsidRPr="00BB3DD1" w14:paraId="553D3063"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0392E9E1"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10-C.F.S. GESTIÓN DEL TRANSPORTE  Y LOGÍSTICA (LOE)</w:t>
            </w:r>
          </w:p>
        </w:tc>
        <w:tc>
          <w:tcPr>
            <w:tcW w:w="718" w:type="dxa"/>
            <w:tcBorders>
              <w:top w:val="nil"/>
              <w:left w:val="nil"/>
              <w:bottom w:val="single" w:sz="4" w:space="0" w:color="auto"/>
              <w:right w:val="single" w:sz="4" w:space="0" w:color="auto"/>
            </w:tcBorders>
            <w:noWrap/>
            <w:vAlign w:val="center"/>
            <w:hideMark/>
          </w:tcPr>
          <w:p w14:paraId="3623020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7812981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33" w:type="dxa"/>
            <w:tcBorders>
              <w:top w:val="nil"/>
              <w:left w:val="nil"/>
              <w:bottom w:val="single" w:sz="4" w:space="0" w:color="auto"/>
              <w:right w:val="single" w:sz="4" w:space="0" w:color="auto"/>
            </w:tcBorders>
            <w:noWrap/>
            <w:vAlign w:val="center"/>
            <w:hideMark/>
          </w:tcPr>
          <w:p w14:paraId="7C61B5B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0,696</w:t>
            </w:r>
          </w:p>
        </w:tc>
        <w:tc>
          <w:tcPr>
            <w:tcW w:w="1558" w:type="dxa"/>
            <w:tcBorders>
              <w:top w:val="nil"/>
              <w:left w:val="nil"/>
              <w:bottom w:val="single" w:sz="4" w:space="0" w:color="auto"/>
              <w:right w:val="single" w:sz="4" w:space="0" w:color="auto"/>
            </w:tcBorders>
            <w:noWrap/>
            <w:vAlign w:val="center"/>
            <w:hideMark/>
          </w:tcPr>
          <w:p w14:paraId="4B854E5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72.299,23</w:t>
            </w:r>
          </w:p>
        </w:tc>
        <w:tc>
          <w:tcPr>
            <w:tcW w:w="992" w:type="dxa"/>
            <w:tcBorders>
              <w:top w:val="nil"/>
              <w:left w:val="nil"/>
              <w:bottom w:val="single" w:sz="4" w:space="0" w:color="auto"/>
              <w:right w:val="single" w:sz="4" w:space="0" w:color="auto"/>
            </w:tcBorders>
            <w:vAlign w:val="center"/>
            <w:hideMark/>
          </w:tcPr>
          <w:p w14:paraId="541BABE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67,32</w:t>
            </w:r>
          </w:p>
        </w:tc>
        <w:tc>
          <w:tcPr>
            <w:tcW w:w="1417" w:type="dxa"/>
            <w:tcBorders>
              <w:top w:val="nil"/>
              <w:left w:val="nil"/>
              <w:bottom w:val="single" w:sz="4" w:space="0" w:color="auto"/>
              <w:right w:val="single" w:sz="4" w:space="0" w:color="auto"/>
            </w:tcBorders>
            <w:noWrap/>
            <w:vAlign w:val="center"/>
            <w:hideMark/>
          </w:tcPr>
          <w:p w14:paraId="449FD67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14.614,90</w:t>
            </w:r>
          </w:p>
        </w:tc>
        <w:tc>
          <w:tcPr>
            <w:tcW w:w="992" w:type="dxa"/>
            <w:tcBorders>
              <w:top w:val="nil"/>
              <w:left w:val="nil"/>
              <w:bottom w:val="single" w:sz="4" w:space="0" w:color="auto"/>
              <w:right w:val="single" w:sz="4" w:space="0" w:color="auto"/>
            </w:tcBorders>
            <w:vAlign w:val="center"/>
            <w:hideMark/>
          </w:tcPr>
          <w:p w14:paraId="42F3DA5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13,61</w:t>
            </w:r>
          </w:p>
        </w:tc>
        <w:tc>
          <w:tcPr>
            <w:tcW w:w="1245" w:type="dxa"/>
            <w:tcBorders>
              <w:top w:val="nil"/>
              <w:left w:val="nil"/>
              <w:bottom w:val="single" w:sz="4" w:space="0" w:color="auto"/>
              <w:right w:val="single" w:sz="4" w:space="0" w:color="auto"/>
            </w:tcBorders>
            <w:noWrap/>
            <w:vAlign w:val="center"/>
            <w:hideMark/>
          </w:tcPr>
          <w:p w14:paraId="200B20A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20.480,99</w:t>
            </w:r>
          </w:p>
        </w:tc>
        <w:tc>
          <w:tcPr>
            <w:tcW w:w="0" w:type="auto"/>
            <w:tcBorders>
              <w:top w:val="nil"/>
              <w:left w:val="nil"/>
              <w:bottom w:val="single" w:sz="4" w:space="0" w:color="auto"/>
              <w:right w:val="single" w:sz="4" w:space="0" w:color="auto"/>
            </w:tcBorders>
            <w:vAlign w:val="center"/>
            <w:hideMark/>
          </w:tcPr>
          <w:p w14:paraId="65F08E9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19,07</w:t>
            </w:r>
          </w:p>
        </w:tc>
        <w:tc>
          <w:tcPr>
            <w:tcW w:w="0" w:type="auto"/>
            <w:tcBorders>
              <w:top w:val="nil"/>
              <w:left w:val="nil"/>
              <w:bottom w:val="single" w:sz="4" w:space="0" w:color="auto"/>
              <w:right w:val="single" w:sz="4" w:space="0" w:color="auto"/>
            </w:tcBorders>
            <w:noWrap/>
            <w:vAlign w:val="center"/>
            <w:hideMark/>
          </w:tcPr>
          <w:p w14:paraId="589B349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107.395,12</w:t>
            </w:r>
          </w:p>
        </w:tc>
      </w:tr>
      <w:tr w:rsidR="00BB3DD1" w:rsidRPr="00BB3DD1" w14:paraId="037CA948"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27763443"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7CBFB03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60D787C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1,130</w:t>
            </w:r>
          </w:p>
        </w:tc>
        <w:tc>
          <w:tcPr>
            <w:tcW w:w="1133" w:type="dxa"/>
            <w:tcBorders>
              <w:top w:val="nil"/>
              <w:left w:val="nil"/>
              <w:bottom w:val="single" w:sz="4" w:space="0" w:color="auto"/>
              <w:right w:val="single" w:sz="4" w:space="0" w:color="auto"/>
            </w:tcBorders>
            <w:noWrap/>
            <w:vAlign w:val="center"/>
            <w:hideMark/>
          </w:tcPr>
          <w:p w14:paraId="4780522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0,304</w:t>
            </w:r>
          </w:p>
        </w:tc>
        <w:tc>
          <w:tcPr>
            <w:tcW w:w="1558" w:type="dxa"/>
            <w:tcBorders>
              <w:top w:val="nil"/>
              <w:left w:val="nil"/>
              <w:bottom w:val="single" w:sz="4" w:space="0" w:color="auto"/>
              <w:right w:val="single" w:sz="4" w:space="0" w:color="auto"/>
            </w:tcBorders>
            <w:noWrap/>
            <w:vAlign w:val="center"/>
            <w:hideMark/>
          </w:tcPr>
          <w:p w14:paraId="20DB935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71.705,50</w:t>
            </w:r>
          </w:p>
        </w:tc>
        <w:tc>
          <w:tcPr>
            <w:tcW w:w="992" w:type="dxa"/>
            <w:tcBorders>
              <w:top w:val="nil"/>
              <w:left w:val="nil"/>
              <w:bottom w:val="single" w:sz="4" w:space="0" w:color="auto"/>
              <w:right w:val="single" w:sz="4" w:space="0" w:color="auto"/>
            </w:tcBorders>
            <w:vAlign w:val="center"/>
            <w:hideMark/>
          </w:tcPr>
          <w:p w14:paraId="22B0DBF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67,49</w:t>
            </w:r>
          </w:p>
        </w:tc>
        <w:tc>
          <w:tcPr>
            <w:tcW w:w="1417" w:type="dxa"/>
            <w:tcBorders>
              <w:top w:val="nil"/>
              <w:left w:val="nil"/>
              <w:bottom w:val="single" w:sz="4" w:space="0" w:color="auto"/>
              <w:right w:val="single" w:sz="4" w:space="0" w:color="auto"/>
            </w:tcBorders>
            <w:noWrap/>
            <w:vAlign w:val="center"/>
            <w:hideMark/>
          </w:tcPr>
          <w:p w14:paraId="75F30DE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14.066,43</w:t>
            </w:r>
          </w:p>
        </w:tc>
        <w:tc>
          <w:tcPr>
            <w:tcW w:w="992" w:type="dxa"/>
            <w:tcBorders>
              <w:top w:val="nil"/>
              <w:left w:val="nil"/>
              <w:bottom w:val="single" w:sz="4" w:space="0" w:color="auto"/>
              <w:right w:val="single" w:sz="4" w:space="0" w:color="auto"/>
            </w:tcBorders>
            <w:vAlign w:val="center"/>
            <w:hideMark/>
          </w:tcPr>
          <w:p w14:paraId="086A720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13,24</w:t>
            </w:r>
          </w:p>
        </w:tc>
        <w:tc>
          <w:tcPr>
            <w:tcW w:w="1245" w:type="dxa"/>
            <w:tcBorders>
              <w:top w:val="nil"/>
              <w:left w:val="nil"/>
              <w:bottom w:val="single" w:sz="4" w:space="0" w:color="auto"/>
              <w:right w:val="single" w:sz="4" w:space="0" w:color="auto"/>
            </w:tcBorders>
            <w:noWrap/>
            <w:vAlign w:val="center"/>
            <w:hideMark/>
          </w:tcPr>
          <w:p w14:paraId="76A629A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20.480,99</w:t>
            </w:r>
          </w:p>
        </w:tc>
        <w:tc>
          <w:tcPr>
            <w:tcW w:w="0" w:type="auto"/>
            <w:tcBorders>
              <w:top w:val="nil"/>
              <w:left w:val="nil"/>
              <w:bottom w:val="single" w:sz="4" w:space="0" w:color="auto"/>
              <w:right w:val="single" w:sz="4" w:space="0" w:color="auto"/>
            </w:tcBorders>
            <w:vAlign w:val="center"/>
            <w:hideMark/>
          </w:tcPr>
          <w:p w14:paraId="5F999A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19,28</w:t>
            </w:r>
          </w:p>
        </w:tc>
        <w:tc>
          <w:tcPr>
            <w:tcW w:w="0" w:type="auto"/>
            <w:tcBorders>
              <w:top w:val="nil"/>
              <w:left w:val="nil"/>
              <w:bottom w:val="single" w:sz="4" w:space="0" w:color="auto"/>
              <w:right w:val="single" w:sz="4" w:space="0" w:color="auto"/>
            </w:tcBorders>
            <w:noWrap/>
            <w:vAlign w:val="center"/>
            <w:hideMark/>
          </w:tcPr>
          <w:p w14:paraId="22BE8EE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106.252,92</w:t>
            </w:r>
          </w:p>
        </w:tc>
      </w:tr>
      <w:tr w:rsidR="00BB3DD1" w:rsidRPr="00BB3DD1" w14:paraId="704C46CD"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6076EA93"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10-C.F.S. GESTIÓN DEL TRANSPORTE  Y LOGÍSTICA (LOE) ONLINE</w:t>
            </w:r>
          </w:p>
        </w:tc>
        <w:tc>
          <w:tcPr>
            <w:tcW w:w="718" w:type="dxa"/>
            <w:tcBorders>
              <w:top w:val="nil"/>
              <w:left w:val="nil"/>
              <w:bottom w:val="single" w:sz="4" w:space="0" w:color="auto"/>
              <w:right w:val="single" w:sz="4" w:space="0" w:color="auto"/>
            </w:tcBorders>
            <w:noWrap/>
            <w:vAlign w:val="center"/>
            <w:hideMark/>
          </w:tcPr>
          <w:p w14:paraId="4D11E4D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4283F07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0,391</w:t>
            </w:r>
          </w:p>
        </w:tc>
        <w:tc>
          <w:tcPr>
            <w:tcW w:w="1133" w:type="dxa"/>
            <w:tcBorders>
              <w:top w:val="nil"/>
              <w:left w:val="nil"/>
              <w:bottom w:val="single" w:sz="4" w:space="0" w:color="auto"/>
              <w:right w:val="single" w:sz="4" w:space="0" w:color="auto"/>
            </w:tcBorders>
            <w:noWrap/>
            <w:vAlign w:val="center"/>
            <w:hideMark/>
          </w:tcPr>
          <w:p w14:paraId="5AAD6E4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558" w:type="dxa"/>
            <w:tcBorders>
              <w:top w:val="nil"/>
              <w:left w:val="nil"/>
              <w:bottom w:val="single" w:sz="4" w:space="0" w:color="auto"/>
              <w:right w:val="single" w:sz="4" w:space="0" w:color="auto"/>
            </w:tcBorders>
            <w:noWrap/>
            <w:vAlign w:val="center"/>
            <w:hideMark/>
          </w:tcPr>
          <w:p w14:paraId="4A6BB01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44.230,98</w:t>
            </w:r>
          </w:p>
        </w:tc>
        <w:tc>
          <w:tcPr>
            <w:tcW w:w="992" w:type="dxa"/>
            <w:tcBorders>
              <w:top w:val="nil"/>
              <w:left w:val="nil"/>
              <w:bottom w:val="single" w:sz="4" w:space="0" w:color="auto"/>
              <w:right w:val="single" w:sz="4" w:space="0" w:color="auto"/>
            </w:tcBorders>
            <w:vAlign w:val="center"/>
            <w:hideMark/>
          </w:tcPr>
          <w:p w14:paraId="204E711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67,03</w:t>
            </w:r>
          </w:p>
        </w:tc>
        <w:tc>
          <w:tcPr>
            <w:tcW w:w="1417" w:type="dxa"/>
            <w:tcBorders>
              <w:top w:val="nil"/>
              <w:left w:val="nil"/>
              <w:bottom w:val="single" w:sz="4" w:space="0" w:color="auto"/>
              <w:right w:val="single" w:sz="4" w:space="0" w:color="auto"/>
            </w:tcBorders>
            <w:noWrap/>
            <w:vAlign w:val="center"/>
            <w:hideMark/>
          </w:tcPr>
          <w:p w14:paraId="7C545A6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9.404,49</w:t>
            </w:r>
          </w:p>
        </w:tc>
        <w:tc>
          <w:tcPr>
            <w:tcW w:w="992" w:type="dxa"/>
            <w:tcBorders>
              <w:top w:val="nil"/>
              <w:left w:val="nil"/>
              <w:bottom w:val="single" w:sz="4" w:space="0" w:color="auto"/>
              <w:right w:val="single" w:sz="4" w:space="0" w:color="auto"/>
            </w:tcBorders>
            <w:vAlign w:val="center"/>
            <w:hideMark/>
          </w:tcPr>
          <w:p w14:paraId="4B1E5C8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14,25</w:t>
            </w:r>
          </w:p>
        </w:tc>
        <w:tc>
          <w:tcPr>
            <w:tcW w:w="1245" w:type="dxa"/>
            <w:tcBorders>
              <w:top w:val="nil"/>
              <w:left w:val="nil"/>
              <w:bottom w:val="single" w:sz="4" w:space="0" w:color="auto"/>
              <w:right w:val="single" w:sz="4" w:space="0" w:color="auto"/>
            </w:tcBorders>
            <w:noWrap/>
            <w:vAlign w:val="center"/>
            <w:hideMark/>
          </w:tcPr>
          <w:p w14:paraId="66D1230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12.349,42</w:t>
            </w:r>
          </w:p>
        </w:tc>
        <w:tc>
          <w:tcPr>
            <w:tcW w:w="0" w:type="auto"/>
            <w:tcBorders>
              <w:top w:val="nil"/>
              <w:left w:val="nil"/>
              <w:bottom w:val="single" w:sz="4" w:space="0" w:color="auto"/>
              <w:right w:val="single" w:sz="4" w:space="0" w:color="auto"/>
            </w:tcBorders>
            <w:vAlign w:val="center"/>
            <w:hideMark/>
          </w:tcPr>
          <w:p w14:paraId="003997E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18,72</w:t>
            </w:r>
          </w:p>
        </w:tc>
        <w:tc>
          <w:tcPr>
            <w:tcW w:w="0" w:type="auto"/>
            <w:tcBorders>
              <w:top w:val="nil"/>
              <w:left w:val="nil"/>
              <w:bottom w:val="single" w:sz="4" w:space="0" w:color="auto"/>
              <w:right w:val="single" w:sz="4" w:space="0" w:color="auto"/>
            </w:tcBorders>
            <w:noWrap/>
            <w:vAlign w:val="center"/>
            <w:hideMark/>
          </w:tcPr>
          <w:p w14:paraId="3C85B3B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65.984,89</w:t>
            </w:r>
          </w:p>
        </w:tc>
      </w:tr>
      <w:tr w:rsidR="00BB3DD1" w:rsidRPr="00BB3DD1" w14:paraId="16D4EA81"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39450E19"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293AB70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4C8BD77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0,609</w:t>
            </w:r>
          </w:p>
        </w:tc>
        <w:tc>
          <w:tcPr>
            <w:tcW w:w="1133" w:type="dxa"/>
            <w:tcBorders>
              <w:top w:val="nil"/>
              <w:left w:val="nil"/>
              <w:bottom w:val="single" w:sz="4" w:space="0" w:color="auto"/>
              <w:right w:val="single" w:sz="4" w:space="0" w:color="auto"/>
            </w:tcBorders>
            <w:noWrap/>
            <w:vAlign w:val="center"/>
            <w:hideMark/>
          </w:tcPr>
          <w:p w14:paraId="2BD4CC5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0,261</w:t>
            </w:r>
          </w:p>
        </w:tc>
        <w:tc>
          <w:tcPr>
            <w:tcW w:w="1558" w:type="dxa"/>
            <w:tcBorders>
              <w:top w:val="nil"/>
              <w:left w:val="nil"/>
              <w:bottom w:val="single" w:sz="4" w:space="0" w:color="auto"/>
              <w:right w:val="single" w:sz="4" w:space="0" w:color="auto"/>
            </w:tcBorders>
            <w:noWrap/>
            <w:vAlign w:val="center"/>
            <w:hideMark/>
          </w:tcPr>
          <w:p w14:paraId="1DB0DC1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43.171,74</w:t>
            </w:r>
          </w:p>
        </w:tc>
        <w:tc>
          <w:tcPr>
            <w:tcW w:w="992" w:type="dxa"/>
            <w:tcBorders>
              <w:top w:val="nil"/>
              <w:left w:val="nil"/>
              <w:bottom w:val="single" w:sz="4" w:space="0" w:color="auto"/>
              <w:right w:val="single" w:sz="4" w:space="0" w:color="auto"/>
            </w:tcBorders>
            <w:vAlign w:val="center"/>
            <w:hideMark/>
          </w:tcPr>
          <w:p w14:paraId="24F8ED3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66,69</w:t>
            </w:r>
          </w:p>
        </w:tc>
        <w:tc>
          <w:tcPr>
            <w:tcW w:w="1417" w:type="dxa"/>
            <w:tcBorders>
              <w:top w:val="nil"/>
              <w:left w:val="nil"/>
              <w:bottom w:val="single" w:sz="4" w:space="0" w:color="auto"/>
              <w:right w:val="single" w:sz="4" w:space="0" w:color="auto"/>
            </w:tcBorders>
            <w:noWrap/>
            <w:vAlign w:val="center"/>
            <w:hideMark/>
          </w:tcPr>
          <w:p w14:paraId="7CB16F6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9.211,78</w:t>
            </w:r>
          </w:p>
        </w:tc>
        <w:tc>
          <w:tcPr>
            <w:tcW w:w="992" w:type="dxa"/>
            <w:tcBorders>
              <w:top w:val="nil"/>
              <w:left w:val="nil"/>
              <w:bottom w:val="single" w:sz="4" w:space="0" w:color="auto"/>
              <w:right w:val="single" w:sz="4" w:space="0" w:color="auto"/>
            </w:tcBorders>
            <w:vAlign w:val="center"/>
            <w:hideMark/>
          </w:tcPr>
          <w:p w14:paraId="3E0AEDF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w:t>
            </w:r>
          </w:p>
        </w:tc>
        <w:tc>
          <w:tcPr>
            <w:tcW w:w="1245" w:type="dxa"/>
            <w:tcBorders>
              <w:top w:val="nil"/>
              <w:left w:val="nil"/>
              <w:bottom w:val="single" w:sz="4" w:space="0" w:color="auto"/>
              <w:right w:val="single" w:sz="4" w:space="0" w:color="auto"/>
            </w:tcBorders>
            <w:noWrap/>
            <w:vAlign w:val="center"/>
            <w:hideMark/>
          </w:tcPr>
          <w:p w14:paraId="44584E8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12.349,42</w:t>
            </w:r>
          </w:p>
        </w:tc>
        <w:tc>
          <w:tcPr>
            <w:tcW w:w="0" w:type="auto"/>
            <w:tcBorders>
              <w:top w:val="nil"/>
              <w:left w:val="nil"/>
              <w:bottom w:val="single" w:sz="4" w:space="0" w:color="auto"/>
              <w:right w:val="single" w:sz="4" w:space="0" w:color="auto"/>
            </w:tcBorders>
            <w:vAlign w:val="center"/>
            <w:hideMark/>
          </w:tcPr>
          <w:p w14:paraId="0AC9B8E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19,08</w:t>
            </w:r>
          </w:p>
        </w:tc>
        <w:tc>
          <w:tcPr>
            <w:tcW w:w="0" w:type="auto"/>
            <w:tcBorders>
              <w:top w:val="nil"/>
              <w:left w:val="nil"/>
              <w:bottom w:val="single" w:sz="4" w:space="0" w:color="auto"/>
              <w:right w:val="single" w:sz="4" w:space="0" w:color="auto"/>
            </w:tcBorders>
            <w:noWrap/>
            <w:vAlign w:val="center"/>
            <w:hideMark/>
          </w:tcPr>
          <w:p w14:paraId="77C68B2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64.732,94</w:t>
            </w:r>
          </w:p>
        </w:tc>
      </w:tr>
      <w:tr w:rsidR="00BB3DD1" w:rsidRPr="00BB3DD1" w14:paraId="0A6D146C"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01350540"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A17061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3º</w:t>
            </w:r>
          </w:p>
        </w:tc>
        <w:tc>
          <w:tcPr>
            <w:tcW w:w="840" w:type="dxa"/>
            <w:tcBorders>
              <w:top w:val="nil"/>
              <w:left w:val="nil"/>
              <w:bottom w:val="single" w:sz="4" w:space="0" w:color="auto"/>
              <w:right w:val="single" w:sz="4" w:space="0" w:color="auto"/>
            </w:tcBorders>
            <w:noWrap/>
            <w:vAlign w:val="center"/>
            <w:hideMark/>
          </w:tcPr>
          <w:p w14:paraId="1050C5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0,652</w:t>
            </w:r>
          </w:p>
        </w:tc>
        <w:tc>
          <w:tcPr>
            <w:tcW w:w="1133" w:type="dxa"/>
            <w:tcBorders>
              <w:top w:val="nil"/>
              <w:left w:val="nil"/>
              <w:bottom w:val="single" w:sz="4" w:space="0" w:color="auto"/>
              <w:right w:val="single" w:sz="4" w:space="0" w:color="auto"/>
            </w:tcBorders>
            <w:noWrap/>
            <w:vAlign w:val="center"/>
            <w:hideMark/>
          </w:tcPr>
          <w:p w14:paraId="05BA24F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0,217</w:t>
            </w:r>
          </w:p>
        </w:tc>
        <w:tc>
          <w:tcPr>
            <w:tcW w:w="1558" w:type="dxa"/>
            <w:tcBorders>
              <w:top w:val="nil"/>
              <w:left w:val="nil"/>
              <w:bottom w:val="single" w:sz="4" w:space="0" w:color="auto"/>
              <w:right w:val="single" w:sz="4" w:space="0" w:color="auto"/>
            </w:tcBorders>
            <w:noWrap/>
            <w:vAlign w:val="center"/>
            <w:hideMark/>
          </w:tcPr>
          <w:p w14:paraId="512957D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43.311,37</w:t>
            </w:r>
          </w:p>
        </w:tc>
        <w:tc>
          <w:tcPr>
            <w:tcW w:w="992" w:type="dxa"/>
            <w:tcBorders>
              <w:top w:val="nil"/>
              <w:left w:val="nil"/>
              <w:bottom w:val="single" w:sz="4" w:space="0" w:color="auto"/>
              <w:right w:val="single" w:sz="4" w:space="0" w:color="auto"/>
            </w:tcBorders>
            <w:vAlign w:val="center"/>
            <w:hideMark/>
          </w:tcPr>
          <w:p w14:paraId="3A1BEF2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66,73</w:t>
            </w:r>
          </w:p>
        </w:tc>
        <w:tc>
          <w:tcPr>
            <w:tcW w:w="1417" w:type="dxa"/>
            <w:tcBorders>
              <w:top w:val="nil"/>
              <w:left w:val="nil"/>
              <w:bottom w:val="single" w:sz="4" w:space="0" w:color="auto"/>
              <w:right w:val="single" w:sz="4" w:space="0" w:color="auto"/>
            </w:tcBorders>
            <w:noWrap/>
            <w:vAlign w:val="center"/>
            <w:hideMark/>
          </w:tcPr>
          <w:p w14:paraId="5CB39F4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9.245,23</w:t>
            </w:r>
          </w:p>
        </w:tc>
        <w:tc>
          <w:tcPr>
            <w:tcW w:w="992" w:type="dxa"/>
            <w:tcBorders>
              <w:top w:val="nil"/>
              <w:left w:val="nil"/>
              <w:bottom w:val="single" w:sz="4" w:space="0" w:color="auto"/>
              <w:right w:val="single" w:sz="4" w:space="0" w:color="auto"/>
            </w:tcBorders>
            <w:vAlign w:val="center"/>
            <w:hideMark/>
          </w:tcPr>
          <w:p w14:paraId="71F1A8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14,24</w:t>
            </w:r>
          </w:p>
        </w:tc>
        <w:tc>
          <w:tcPr>
            <w:tcW w:w="1245" w:type="dxa"/>
            <w:tcBorders>
              <w:top w:val="nil"/>
              <w:left w:val="nil"/>
              <w:bottom w:val="single" w:sz="4" w:space="0" w:color="auto"/>
              <w:right w:val="single" w:sz="4" w:space="0" w:color="auto"/>
            </w:tcBorders>
            <w:noWrap/>
            <w:vAlign w:val="center"/>
            <w:hideMark/>
          </w:tcPr>
          <w:p w14:paraId="5ECF9F9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12.349,42</w:t>
            </w:r>
          </w:p>
        </w:tc>
        <w:tc>
          <w:tcPr>
            <w:tcW w:w="0" w:type="auto"/>
            <w:tcBorders>
              <w:top w:val="nil"/>
              <w:left w:val="nil"/>
              <w:bottom w:val="single" w:sz="4" w:space="0" w:color="auto"/>
              <w:right w:val="single" w:sz="4" w:space="0" w:color="auto"/>
            </w:tcBorders>
            <w:vAlign w:val="center"/>
            <w:hideMark/>
          </w:tcPr>
          <w:p w14:paraId="5E29907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19,03</w:t>
            </w:r>
          </w:p>
        </w:tc>
        <w:tc>
          <w:tcPr>
            <w:tcW w:w="0" w:type="auto"/>
            <w:tcBorders>
              <w:top w:val="nil"/>
              <w:left w:val="nil"/>
              <w:bottom w:val="single" w:sz="4" w:space="0" w:color="auto"/>
              <w:right w:val="single" w:sz="4" w:space="0" w:color="auto"/>
            </w:tcBorders>
            <w:noWrap/>
            <w:vAlign w:val="center"/>
            <w:hideMark/>
          </w:tcPr>
          <w:p w14:paraId="7B97D25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64.906,02</w:t>
            </w:r>
          </w:p>
        </w:tc>
      </w:tr>
      <w:tr w:rsidR="00BB3DD1" w:rsidRPr="00BB3DD1" w14:paraId="34EB5FBC"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15B52B5C"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24D1DC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4º</w:t>
            </w:r>
          </w:p>
        </w:tc>
        <w:tc>
          <w:tcPr>
            <w:tcW w:w="840" w:type="dxa"/>
            <w:tcBorders>
              <w:top w:val="nil"/>
              <w:left w:val="nil"/>
              <w:bottom w:val="single" w:sz="4" w:space="0" w:color="auto"/>
              <w:right w:val="single" w:sz="4" w:space="0" w:color="auto"/>
            </w:tcBorders>
            <w:noWrap/>
            <w:vAlign w:val="center"/>
            <w:hideMark/>
          </w:tcPr>
          <w:p w14:paraId="437BF4F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0,261</w:t>
            </w:r>
          </w:p>
        </w:tc>
        <w:tc>
          <w:tcPr>
            <w:tcW w:w="1133" w:type="dxa"/>
            <w:tcBorders>
              <w:top w:val="nil"/>
              <w:left w:val="nil"/>
              <w:bottom w:val="single" w:sz="4" w:space="0" w:color="auto"/>
              <w:right w:val="single" w:sz="4" w:space="0" w:color="auto"/>
            </w:tcBorders>
            <w:noWrap/>
            <w:vAlign w:val="center"/>
            <w:hideMark/>
          </w:tcPr>
          <w:p w14:paraId="057299B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 </w:t>
            </w:r>
          </w:p>
        </w:tc>
        <w:tc>
          <w:tcPr>
            <w:tcW w:w="1558" w:type="dxa"/>
            <w:tcBorders>
              <w:top w:val="nil"/>
              <w:left w:val="nil"/>
              <w:bottom w:val="single" w:sz="4" w:space="0" w:color="auto"/>
              <w:right w:val="single" w:sz="4" w:space="0" w:color="auto"/>
            </w:tcBorders>
            <w:noWrap/>
            <w:vAlign w:val="center"/>
            <w:hideMark/>
          </w:tcPr>
          <w:p w14:paraId="18804C2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13.290,64</w:t>
            </w:r>
          </w:p>
        </w:tc>
        <w:tc>
          <w:tcPr>
            <w:tcW w:w="992" w:type="dxa"/>
            <w:tcBorders>
              <w:top w:val="nil"/>
              <w:left w:val="nil"/>
              <w:bottom w:val="single" w:sz="4" w:space="0" w:color="auto"/>
              <w:right w:val="single" w:sz="4" w:space="0" w:color="auto"/>
            </w:tcBorders>
            <w:vAlign w:val="center"/>
            <w:hideMark/>
          </w:tcPr>
          <w:p w14:paraId="0CF6A7B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63,47</w:t>
            </w:r>
          </w:p>
        </w:tc>
        <w:tc>
          <w:tcPr>
            <w:tcW w:w="1417" w:type="dxa"/>
            <w:tcBorders>
              <w:top w:val="nil"/>
              <w:left w:val="nil"/>
              <w:bottom w:val="single" w:sz="4" w:space="0" w:color="auto"/>
              <w:right w:val="single" w:sz="4" w:space="0" w:color="auto"/>
            </w:tcBorders>
            <w:noWrap/>
            <w:vAlign w:val="center"/>
            <w:hideMark/>
          </w:tcPr>
          <w:p w14:paraId="6D8C399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3.735,61</w:t>
            </w:r>
          </w:p>
        </w:tc>
        <w:tc>
          <w:tcPr>
            <w:tcW w:w="992" w:type="dxa"/>
            <w:tcBorders>
              <w:top w:val="nil"/>
              <w:left w:val="nil"/>
              <w:bottom w:val="single" w:sz="4" w:space="0" w:color="auto"/>
              <w:right w:val="single" w:sz="4" w:space="0" w:color="auto"/>
            </w:tcBorders>
            <w:vAlign w:val="center"/>
            <w:hideMark/>
          </w:tcPr>
          <w:p w14:paraId="378A659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17,84</w:t>
            </w:r>
          </w:p>
        </w:tc>
        <w:tc>
          <w:tcPr>
            <w:tcW w:w="1245" w:type="dxa"/>
            <w:tcBorders>
              <w:top w:val="nil"/>
              <w:left w:val="nil"/>
              <w:bottom w:val="single" w:sz="4" w:space="0" w:color="auto"/>
              <w:right w:val="single" w:sz="4" w:space="0" w:color="auto"/>
            </w:tcBorders>
            <w:noWrap/>
            <w:vAlign w:val="center"/>
            <w:hideMark/>
          </w:tcPr>
          <w:p w14:paraId="5367548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3.913,72</w:t>
            </w:r>
          </w:p>
        </w:tc>
        <w:tc>
          <w:tcPr>
            <w:tcW w:w="0" w:type="auto"/>
            <w:tcBorders>
              <w:top w:val="nil"/>
              <w:left w:val="nil"/>
              <w:bottom w:val="single" w:sz="4" w:space="0" w:color="auto"/>
              <w:right w:val="single" w:sz="4" w:space="0" w:color="auto"/>
            </w:tcBorders>
            <w:vAlign w:val="center"/>
            <w:hideMark/>
          </w:tcPr>
          <w:p w14:paraId="3E2190C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18,69</w:t>
            </w:r>
          </w:p>
        </w:tc>
        <w:tc>
          <w:tcPr>
            <w:tcW w:w="0" w:type="auto"/>
            <w:tcBorders>
              <w:top w:val="nil"/>
              <w:left w:val="nil"/>
              <w:bottom w:val="single" w:sz="4" w:space="0" w:color="auto"/>
              <w:right w:val="single" w:sz="4" w:space="0" w:color="auto"/>
            </w:tcBorders>
            <w:noWrap/>
            <w:vAlign w:val="center"/>
            <w:hideMark/>
          </w:tcPr>
          <w:p w14:paraId="28BB4FA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20.939,97</w:t>
            </w:r>
          </w:p>
        </w:tc>
      </w:tr>
      <w:tr w:rsidR="00BB3DD1" w:rsidRPr="00BB3DD1" w14:paraId="17DCE463"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44C46D43"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11-C.F.S. DESARROLLO DE APLICACIONES MULTIPLATAFORMA (LOE)</w:t>
            </w:r>
          </w:p>
        </w:tc>
        <w:tc>
          <w:tcPr>
            <w:tcW w:w="718" w:type="dxa"/>
            <w:tcBorders>
              <w:top w:val="nil"/>
              <w:left w:val="nil"/>
              <w:bottom w:val="single" w:sz="4" w:space="0" w:color="auto"/>
              <w:right w:val="single" w:sz="4" w:space="0" w:color="auto"/>
            </w:tcBorders>
            <w:noWrap/>
            <w:vAlign w:val="center"/>
            <w:hideMark/>
          </w:tcPr>
          <w:p w14:paraId="3EA0857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2F2E310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1,348</w:t>
            </w:r>
          </w:p>
        </w:tc>
        <w:tc>
          <w:tcPr>
            <w:tcW w:w="1133" w:type="dxa"/>
            <w:tcBorders>
              <w:top w:val="nil"/>
              <w:left w:val="nil"/>
              <w:bottom w:val="single" w:sz="4" w:space="0" w:color="auto"/>
              <w:right w:val="single" w:sz="4" w:space="0" w:color="auto"/>
            </w:tcBorders>
            <w:noWrap/>
            <w:vAlign w:val="center"/>
            <w:hideMark/>
          </w:tcPr>
          <w:p w14:paraId="1A1BB5D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0,435</w:t>
            </w:r>
          </w:p>
        </w:tc>
        <w:tc>
          <w:tcPr>
            <w:tcW w:w="1558" w:type="dxa"/>
            <w:tcBorders>
              <w:top w:val="nil"/>
              <w:left w:val="nil"/>
              <w:bottom w:val="single" w:sz="4" w:space="0" w:color="auto"/>
              <w:right w:val="single" w:sz="4" w:space="0" w:color="auto"/>
            </w:tcBorders>
            <w:noWrap/>
            <w:vAlign w:val="center"/>
            <w:hideMark/>
          </w:tcPr>
          <w:p w14:paraId="341C640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88.909,91</w:t>
            </w:r>
          </w:p>
        </w:tc>
        <w:tc>
          <w:tcPr>
            <w:tcW w:w="992" w:type="dxa"/>
            <w:tcBorders>
              <w:top w:val="nil"/>
              <w:left w:val="nil"/>
              <w:bottom w:val="single" w:sz="4" w:space="0" w:color="auto"/>
              <w:right w:val="single" w:sz="4" w:space="0" w:color="auto"/>
            </w:tcBorders>
            <w:vAlign w:val="center"/>
            <w:hideMark/>
          </w:tcPr>
          <w:p w14:paraId="4035653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69,50</w:t>
            </w:r>
          </w:p>
        </w:tc>
        <w:tc>
          <w:tcPr>
            <w:tcW w:w="1417" w:type="dxa"/>
            <w:tcBorders>
              <w:top w:val="nil"/>
              <w:left w:val="nil"/>
              <w:bottom w:val="single" w:sz="4" w:space="0" w:color="auto"/>
              <w:right w:val="single" w:sz="4" w:space="0" w:color="auto"/>
            </w:tcBorders>
            <w:noWrap/>
            <w:vAlign w:val="center"/>
            <w:hideMark/>
          </w:tcPr>
          <w:p w14:paraId="5B78A33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17.225,45</w:t>
            </w:r>
          </w:p>
        </w:tc>
        <w:tc>
          <w:tcPr>
            <w:tcW w:w="992" w:type="dxa"/>
            <w:tcBorders>
              <w:top w:val="nil"/>
              <w:left w:val="nil"/>
              <w:bottom w:val="single" w:sz="4" w:space="0" w:color="auto"/>
              <w:right w:val="single" w:sz="4" w:space="0" w:color="auto"/>
            </w:tcBorders>
            <w:vAlign w:val="center"/>
            <w:hideMark/>
          </w:tcPr>
          <w:p w14:paraId="3E19F2E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13,47</w:t>
            </w:r>
          </w:p>
        </w:tc>
        <w:tc>
          <w:tcPr>
            <w:tcW w:w="1245" w:type="dxa"/>
            <w:tcBorders>
              <w:top w:val="nil"/>
              <w:left w:val="nil"/>
              <w:bottom w:val="single" w:sz="4" w:space="0" w:color="auto"/>
              <w:right w:val="single" w:sz="4" w:space="0" w:color="auto"/>
            </w:tcBorders>
            <w:noWrap/>
            <w:vAlign w:val="center"/>
            <w:hideMark/>
          </w:tcPr>
          <w:p w14:paraId="04879EA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21.785,58</w:t>
            </w:r>
          </w:p>
        </w:tc>
        <w:tc>
          <w:tcPr>
            <w:tcW w:w="0" w:type="auto"/>
            <w:tcBorders>
              <w:top w:val="nil"/>
              <w:left w:val="nil"/>
              <w:bottom w:val="single" w:sz="4" w:space="0" w:color="auto"/>
              <w:right w:val="single" w:sz="4" w:space="0" w:color="auto"/>
            </w:tcBorders>
            <w:vAlign w:val="center"/>
            <w:hideMark/>
          </w:tcPr>
          <w:p w14:paraId="61DDF1E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17,03</w:t>
            </w:r>
          </w:p>
        </w:tc>
        <w:tc>
          <w:tcPr>
            <w:tcW w:w="0" w:type="auto"/>
            <w:tcBorders>
              <w:top w:val="nil"/>
              <w:left w:val="nil"/>
              <w:bottom w:val="single" w:sz="4" w:space="0" w:color="auto"/>
              <w:right w:val="single" w:sz="4" w:space="0" w:color="auto"/>
            </w:tcBorders>
            <w:noWrap/>
            <w:vAlign w:val="center"/>
            <w:hideMark/>
          </w:tcPr>
          <w:p w14:paraId="1A966CE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127.920,94</w:t>
            </w:r>
          </w:p>
        </w:tc>
      </w:tr>
      <w:tr w:rsidR="00BB3DD1" w:rsidRPr="00BB3DD1" w14:paraId="4E84D29F"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10327738"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7B145D3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5749A1F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1,130</w:t>
            </w:r>
          </w:p>
        </w:tc>
        <w:tc>
          <w:tcPr>
            <w:tcW w:w="1133" w:type="dxa"/>
            <w:tcBorders>
              <w:top w:val="nil"/>
              <w:left w:val="nil"/>
              <w:bottom w:val="single" w:sz="4" w:space="0" w:color="auto"/>
              <w:right w:val="single" w:sz="4" w:space="0" w:color="auto"/>
            </w:tcBorders>
            <w:noWrap/>
            <w:vAlign w:val="center"/>
            <w:hideMark/>
          </w:tcPr>
          <w:p w14:paraId="3ED81CA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0,435</w:t>
            </w:r>
          </w:p>
        </w:tc>
        <w:tc>
          <w:tcPr>
            <w:tcW w:w="1558" w:type="dxa"/>
            <w:tcBorders>
              <w:top w:val="nil"/>
              <w:left w:val="nil"/>
              <w:bottom w:val="single" w:sz="4" w:space="0" w:color="auto"/>
              <w:right w:val="single" w:sz="4" w:space="0" w:color="auto"/>
            </w:tcBorders>
            <w:noWrap/>
            <w:vAlign w:val="center"/>
            <w:hideMark/>
          </w:tcPr>
          <w:p w14:paraId="03CF55C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77.808,92</w:t>
            </w:r>
          </w:p>
        </w:tc>
        <w:tc>
          <w:tcPr>
            <w:tcW w:w="992" w:type="dxa"/>
            <w:tcBorders>
              <w:top w:val="nil"/>
              <w:left w:val="nil"/>
              <w:bottom w:val="single" w:sz="4" w:space="0" w:color="auto"/>
              <w:right w:val="single" w:sz="4" w:space="0" w:color="auto"/>
            </w:tcBorders>
            <w:vAlign w:val="center"/>
            <w:hideMark/>
          </w:tcPr>
          <w:p w14:paraId="4419C45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67,68</w:t>
            </w:r>
          </w:p>
        </w:tc>
        <w:tc>
          <w:tcPr>
            <w:tcW w:w="1417" w:type="dxa"/>
            <w:tcBorders>
              <w:top w:val="nil"/>
              <w:left w:val="nil"/>
              <w:bottom w:val="single" w:sz="4" w:space="0" w:color="auto"/>
              <w:right w:val="single" w:sz="4" w:space="0" w:color="auto"/>
            </w:tcBorders>
            <w:noWrap/>
            <w:vAlign w:val="center"/>
            <w:hideMark/>
          </w:tcPr>
          <w:p w14:paraId="2B8D7D9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15.371,24</w:t>
            </w:r>
          </w:p>
        </w:tc>
        <w:tc>
          <w:tcPr>
            <w:tcW w:w="992" w:type="dxa"/>
            <w:tcBorders>
              <w:top w:val="nil"/>
              <w:left w:val="nil"/>
              <w:bottom w:val="single" w:sz="4" w:space="0" w:color="auto"/>
              <w:right w:val="single" w:sz="4" w:space="0" w:color="auto"/>
            </w:tcBorders>
            <w:vAlign w:val="center"/>
            <w:hideMark/>
          </w:tcPr>
          <w:p w14:paraId="6E18EB9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13,37</w:t>
            </w:r>
          </w:p>
        </w:tc>
        <w:tc>
          <w:tcPr>
            <w:tcW w:w="1245" w:type="dxa"/>
            <w:tcBorders>
              <w:top w:val="nil"/>
              <w:left w:val="nil"/>
              <w:bottom w:val="single" w:sz="4" w:space="0" w:color="auto"/>
              <w:right w:val="single" w:sz="4" w:space="0" w:color="auto"/>
            </w:tcBorders>
            <w:noWrap/>
            <w:vAlign w:val="center"/>
            <w:hideMark/>
          </w:tcPr>
          <w:p w14:paraId="4D12EDD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21.785,58</w:t>
            </w:r>
          </w:p>
        </w:tc>
        <w:tc>
          <w:tcPr>
            <w:tcW w:w="0" w:type="auto"/>
            <w:tcBorders>
              <w:top w:val="nil"/>
              <w:left w:val="nil"/>
              <w:bottom w:val="single" w:sz="4" w:space="0" w:color="auto"/>
              <w:right w:val="single" w:sz="4" w:space="0" w:color="auto"/>
            </w:tcBorders>
            <w:vAlign w:val="center"/>
            <w:hideMark/>
          </w:tcPr>
          <w:p w14:paraId="6A3B908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18,95</w:t>
            </w:r>
          </w:p>
        </w:tc>
        <w:tc>
          <w:tcPr>
            <w:tcW w:w="0" w:type="auto"/>
            <w:tcBorders>
              <w:top w:val="nil"/>
              <w:left w:val="nil"/>
              <w:bottom w:val="single" w:sz="4" w:space="0" w:color="auto"/>
              <w:right w:val="single" w:sz="4" w:space="0" w:color="auto"/>
            </w:tcBorders>
            <w:noWrap/>
            <w:vAlign w:val="center"/>
            <w:hideMark/>
          </w:tcPr>
          <w:p w14:paraId="0A25283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114.965,74</w:t>
            </w:r>
          </w:p>
        </w:tc>
      </w:tr>
      <w:tr w:rsidR="00BB3DD1" w:rsidRPr="00BB3DD1" w14:paraId="52D68083"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890F547"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 C.F.S. ANATOMÍA PATOLÓGICA Y CITODIAGNÓSTICO (LOE)</w:t>
            </w:r>
          </w:p>
        </w:tc>
        <w:tc>
          <w:tcPr>
            <w:tcW w:w="718" w:type="dxa"/>
            <w:tcBorders>
              <w:top w:val="nil"/>
              <w:left w:val="nil"/>
              <w:bottom w:val="single" w:sz="4" w:space="0" w:color="auto"/>
              <w:right w:val="single" w:sz="4" w:space="0" w:color="auto"/>
            </w:tcBorders>
            <w:noWrap/>
            <w:vAlign w:val="center"/>
            <w:hideMark/>
          </w:tcPr>
          <w:p w14:paraId="4C1E84A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49D2D42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1,261</w:t>
            </w:r>
          </w:p>
        </w:tc>
        <w:tc>
          <w:tcPr>
            <w:tcW w:w="1133" w:type="dxa"/>
            <w:tcBorders>
              <w:top w:val="nil"/>
              <w:left w:val="nil"/>
              <w:bottom w:val="single" w:sz="4" w:space="0" w:color="auto"/>
              <w:right w:val="single" w:sz="4" w:space="0" w:color="auto"/>
            </w:tcBorders>
            <w:noWrap/>
            <w:vAlign w:val="center"/>
            <w:hideMark/>
          </w:tcPr>
          <w:p w14:paraId="3822AB5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0,435</w:t>
            </w:r>
          </w:p>
        </w:tc>
        <w:tc>
          <w:tcPr>
            <w:tcW w:w="1558" w:type="dxa"/>
            <w:tcBorders>
              <w:top w:val="nil"/>
              <w:left w:val="nil"/>
              <w:bottom w:val="single" w:sz="4" w:space="0" w:color="auto"/>
              <w:right w:val="single" w:sz="4" w:space="0" w:color="auto"/>
            </w:tcBorders>
            <w:noWrap/>
            <w:vAlign w:val="center"/>
            <w:hideMark/>
          </w:tcPr>
          <w:p w14:paraId="251354F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84.479,70</w:t>
            </w:r>
          </w:p>
        </w:tc>
        <w:tc>
          <w:tcPr>
            <w:tcW w:w="992" w:type="dxa"/>
            <w:tcBorders>
              <w:top w:val="nil"/>
              <w:left w:val="nil"/>
              <w:bottom w:val="single" w:sz="4" w:space="0" w:color="auto"/>
              <w:right w:val="single" w:sz="4" w:space="0" w:color="auto"/>
            </w:tcBorders>
            <w:vAlign w:val="center"/>
            <w:hideMark/>
          </w:tcPr>
          <w:p w14:paraId="71B02C7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67,74</w:t>
            </w:r>
          </w:p>
        </w:tc>
        <w:tc>
          <w:tcPr>
            <w:tcW w:w="1417" w:type="dxa"/>
            <w:tcBorders>
              <w:top w:val="nil"/>
              <w:left w:val="nil"/>
              <w:bottom w:val="single" w:sz="4" w:space="0" w:color="auto"/>
              <w:right w:val="single" w:sz="4" w:space="0" w:color="auto"/>
            </w:tcBorders>
            <w:noWrap/>
            <w:vAlign w:val="center"/>
            <w:hideMark/>
          </w:tcPr>
          <w:p w14:paraId="0EA7118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16.052,29</w:t>
            </w:r>
          </w:p>
        </w:tc>
        <w:tc>
          <w:tcPr>
            <w:tcW w:w="992" w:type="dxa"/>
            <w:tcBorders>
              <w:top w:val="nil"/>
              <w:left w:val="nil"/>
              <w:bottom w:val="single" w:sz="4" w:space="0" w:color="auto"/>
              <w:right w:val="single" w:sz="4" w:space="0" w:color="auto"/>
            </w:tcBorders>
            <w:vAlign w:val="center"/>
            <w:hideMark/>
          </w:tcPr>
          <w:p w14:paraId="3A57129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12,87</w:t>
            </w:r>
          </w:p>
        </w:tc>
        <w:tc>
          <w:tcPr>
            <w:tcW w:w="1245" w:type="dxa"/>
            <w:tcBorders>
              <w:top w:val="nil"/>
              <w:left w:val="nil"/>
              <w:bottom w:val="single" w:sz="4" w:space="0" w:color="auto"/>
              <w:right w:val="single" w:sz="4" w:space="0" w:color="auto"/>
            </w:tcBorders>
            <w:noWrap/>
            <w:vAlign w:val="center"/>
            <w:hideMark/>
          </w:tcPr>
          <w:p w14:paraId="3970584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24.185,98</w:t>
            </w:r>
          </w:p>
        </w:tc>
        <w:tc>
          <w:tcPr>
            <w:tcW w:w="0" w:type="auto"/>
            <w:tcBorders>
              <w:top w:val="nil"/>
              <w:left w:val="nil"/>
              <w:bottom w:val="single" w:sz="4" w:space="0" w:color="auto"/>
              <w:right w:val="single" w:sz="4" w:space="0" w:color="auto"/>
            </w:tcBorders>
            <w:vAlign w:val="center"/>
            <w:hideMark/>
          </w:tcPr>
          <w:p w14:paraId="25F7BBE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19,39</w:t>
            </w:r>
          </w:p>
        </w:tc>
        <w:tc>
          <w:tcPr>
            <w:tcW w:w="0" w:type="auto"/>
            <w:tcBorders>
              <w:top w:val="nil"/>
              <w:left w:val="nil"/>
              <w:bottom w:val="single" w:sz="4" w:space="0" w:color="auto"/>
              <w:right w:val="single" w:sz="4" w:space="0" w:color="auto"/>
            </w:tcBorders>
            <w:noWrap/>
            <w:vAlign w:val="center"/>
            <w:hideMark/>
          </w:tcPr>
          <w:p w14:paraId="2BF0E03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124.717,97</w:t>
            </w:r>
          </w:p>
        </w:tc>
      </w:tr>
      <w:tr w:rsidR="00BB3DD1" w:rsidRPr="00BB3DD1" w14:paraId="459DE409"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0A0CF5F6"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2E44A61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1AA3FA3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1,130</w:t>
            </w:r>
          </w:p>
        </w:tc>
        <w:tc>
          <w:tcPr>
            <w:tcW w:w="1133" w:type="dxa"/>
            <w:tcBorders>
              <w:top w:val="nil"/>
              <w:left w:val="nil"/>
              <w:bottom w:val="single" w:sz="4" w:space="0" w:color="auto"/>
              <w:right w:val="single" w:sz="4" w:space="0" w:color="auto"/>
            </w:tcBorders>
            <w:noWrap/>
            <w:vAlign w:val="center"/>
            <w:hideMark/>
          </w:tcPr>
          <w:p w14:paraId="1FC335F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0,391</w:t>
            </w:r>
          </w:p>
        </w:tc>
        <w:tc>
          <w:tcPr>
            <w:tcW w:w="1558" w:type="dxa"/>
            <w:tcBorders>
              <w:top w:val="nil"/>
              <w:left w:val="nil"/>
              <w:bottom w:val="single" w:sz="4" w:space="0" w:color="auto"/>
              <w:right w:val="single" w:sz="4" w:space="0" w:color="auto"/>
            </w:tcBorders>
            <w:noWrap/>
            <w:vAlign w:val="center"/>
            <w:hideMark/>
          </w:tcPr>
          <w:p w14:paraId="1EF96B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75.758,91</w:t>
            </w:r>
          </w:p>
        </w:tc>
        <w:tc>
          <w:tcPr>
            <w:tcW w:w="992" w:type="dxa"/>
            <w:tcBorders>
              <w:top w:val="nil"/>
              <w:left w:val="nil"/>
              <w:bottom w:val="single" w:sz="4" w:space="0" w:color="auto"/>
              <w:right w:val="single" w:sz="4" w:space="0" w:color="auto"/>
            </w:tcBorders>
            <w:vAlign w:val="center"/>
            <w:hideMark/>
          </w:tcPr>
          <w:p w14:paraId="61A06DA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66,12</w:t>
            </w:r>
          </w:p>
        </w:tc>
        <w:tc>
          <w:tcPr>
            <w:tcW w:w="1417" w:type="dxa"/>
            <w:tcBorders>
              <w:top w:val="nil"/>
              <w:left w:val="nil"/>
              <w:bottom w:val="single" w:sz="4" w:space="0" w:color="auto"/>
              <w:right w:val="single" w:sz="4" w:space="0" w:color="auto"/>
            </w:tcBorders>
            <w:noWrap/>
            <w:vAlign w:val="center"/>
            <w:hideMark/>
          </w:tcPr>
          <w:p w14:paraId="629C2AB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14.634,12</w:t>
            </w:r>
          </w:p>
        </w:tc>
        <w:tc>
          <w:tcPr>
            <w:tcW w:w="992" w:type="dxa"/>
            <w:tcBorders>
              <w:top w:val="nil"/>
              <w:left w:val="nil"/>
              <w:bottom w:val="single" w:sz="4" w:space="0" w:color="auto"/>
              <w:right w:val="single" w:sz="4" w:space="0" w:color="auto"/>
            </w:tcBorders>
            <w:vAlign w:val="center"/>
            <w:hideMark/>
          </w:tcPr>
          <w:p w14:paraId="1C1F700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12,77</w:t>
            </w:r>
          </w:p>
        </w:tc>
        <w:tc>
          <w:tcPr>
            <w:tcW w:w="1245" w:type="dxa"/>
            <w:tcBorders>
              <w:top w:val="nil"/>
              <w:left w:val="nil"/>
              <w:bottom w:val="single" w:sz="4" w:space="0" w:color="auto"/>
              <w:right w:val="single" w:sz="4" w:space="0" w:color="auto"/>
            </w:tcBorders>
            <w:noWrap/>
            <w:vAlign w:val="center"/>
            <w:hideMark/>
          </w:tcPr>
          <w:p w14:paraId="7D1A2D5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24.185,98</w:t>
            </w:r>
          </w:p>
        </w:tc>
        <w:tc>
          <w:tcPr>
            <w:tcW w:w="0" w:type="auto"/>
            <w:tcBorders>
              <w:top w:val="nil"/>
              <w:left w:val="nil"/>
              <w:bottom w:val="single" w:sz="4" w:space="0" w:color="auto"/>
              <w:right w:val="single" w:sz="4" w:space="0" w:color="auto"/>
            </w:tcBorders>
            <w:vAlign w:val="center"/>
            <w:hideMark/>
          </w:tcPr>
          <w:p w14:paraId="704B1AA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21,11</w:t>
            </w:r>
          </w:p>
        </w:tc>
        <w:tc>
          <w:tcPr>
            <w:tcW w:w="0" w:type="auto"/>
            <w:tcBorders>
              <w:top w:val="nil"/>
              <w:left w:val="nil"/>
              <w:bottom w:val="single" w:sz="4" w:space="0" w:color="auto"/>
              <w:right w:val="single" w:sz="4" w:space="0" w:color="auto"/>
            </w:tcBorders>
            <w:noWrap/>
            <w:vAlign w:val="center"/>
            <w:hideMark/>
          </w:tcPr>
          <w:p w14:paraId="0C4B739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114.579,01</w:t>
            </w:r>
          </w:p>
        </w:tc>
      </w:tr>
      <w:tr w:rsidR="00BB3DD1" w:rsidRPr="00BB3DD1" w14:paraId="38BB8CB8"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541FCFE"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lastRenderedPageBreak/>
              <w:t>13- C.F.S. PRODUCCIÓN EN INDUSTRIAS DE ARTES GRÁFICAS</w:t>
            </w:r>
          </w:p>
        </w:tc>
        <w:tc>
          <w:tcPr>
            <w:tcW w:w="718" w:type="dxa"/>
            <w:tcBorders>
              <w:top w:val="nil"/>
              <w:left w:val="nil"/>
              <w:bottom w:val="single" w:sz="4" w:space="0" w:color="auto"/>
              <w:right w:val="single" w:sz="4" w:space="0" w:color="auto"/>
            </w:tcBorders>
            <w:noWrap/>
            <w:vAlign w:val="center"/>
            <w:hideMark/>
          </w:tcPr>
          <w:p w14:paraId="5F9380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38ADF6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0,391</w:t>
            </w:r>
          </w:p>
        </w:tc>
        <w:tc>
          <w:tcPr>
            <w:tcW w:w="1133" w:type="dxa"/>
            <w:tcBorders>
              <w:top w:val="nil"/>
              <w:left w:val="nil"/>
              <w:bottom w:val="single" w:sz="4" w:space="0" w:color="auto"/>
              <w:right w:val="single" w:sz="4" w:space="0" w:color="auto"/>
            </w:tcBorders>
            <w:noWrap/>
            <w:vAlign w:val="center"/>
            <w:hideMark/>
          </w:tcPr>
          <w:p w14:paraId="04DAF3C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1,348</w:t>
            </w:r>
          </w:p>
        </w:tc>
        <w:tc>
          <w:tcPr>
            <w:tcW w:w="1558" w:type="dxa"/>
            <w:tcBorders>
              <w:top w:val="nil"/>
              <w:left w:val="nil"/>
              <w:bottom w:val="single" w:sz="4" w:space="0" w:color="auto"/>
              <w:right w:val="single" w:sz="4" w:space="0" w:color="auto"/>
            </w:tcBorders>
            <w:noWrap/>
            <w:vAlign w:val="center"/>
            <w:hideMark/>
          </w:tcPr>
          <w:p w14:paraId="5EC6CDB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82.715,13</w:t>
            </w:r>
          </w:p>
        </w:tc>
        <w:tc>
          <w:tcPr>
            <w:tcW w:w="992" w:type="dxa"/>
            <w:tcBorders>
              <w:top w:val="nil"/>
              <w:left w:val="nil"/>
              <w:bottom w:val="single" w:sz="4" w:space="0" w:color="auto"/>
              <w:right w:val="single" w:sz="4" w:space="0" w:color="auto"/>
            </w:tcBorders>
            <w:vAlign w:val="center"/>
            <w:hideMark/>
          </w:tcPr>
          <w:p w14:paraId="0BCFD18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63,03</w:t>
            </w:r>
          </w:p>
        </w:tc>
        <w:tc>
          <w:tcPr>
            <w:tcW w:w="1417" w:type="dxa"/>
            <w:tcBorders>
              <w:top w:val="nil"/>
              <w:left w:val="nil"/>
              <w:bottom w:val="single" w:sz="4" w:space="0" w:color="auto"/>
              <w:right w:val="single" w:sz="4" w:space="0" w:color="auto"/>
            </w:tcBorders>
            <w:noWrap/>
            <w:vAlign w:val="center"/>
            <w:hideMark/>
          </w:tcPr>
          <w:p w14:paraId="3EA7252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16.764,85</w:t>
            </w:r>
          </w:p>
        </w:tc>
        <w:tc>
          <w:tcPr>
            <w:tcW w:w="992" w:type="dxa"/>
            <w:tcBorders>
              <w:top w:val="nil"/>
              <w:left w:val="nil"/>
              <w:bottom w:val="single" w:sz="4" w:space="0" w:color="auto"/>
              <w:right w:val="single" w:sz="4" w:space="0" w:color="auto"/>
            </w:tcBorders>
            <w:vAlign w:val="center"/>
            <w:hideMark/>
          </w:tcPr>
          <w:p w14:paraId="2D48361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12,77</w:t>
            </w:r>
          </w:p>
        </w:tc>
        <w:tc>
          <w:tcPr>
            <w:tcW w:w="1245" w:type="dxa"/>
            <w:tcBorders>
              <w:top w:val="nil"/>
              <w:left w:val="nil"/>
              <w:bottom w:val="single" w:sz="4" w:space="0" w:color="auto"/>
              <w:right w:val="single" w:sz="4" w:space="0" w:color="auto"/>
            </w:tcBorders>
            <w:noWrap/>
            <w:vAlign w:val="center"/>
            <w:hideMark/>
          </w:tcPr>
          <w:p w14:paraId="464FAE5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31.752,48</w:t>
            </w:r>
          </w:p>
        </w:tc>
        <w:tc>
          <w:tcPr>
            <w:tcW w:w="0" w:type="auto"/>
            <w:tcBorders>
              <w:top w:val="nil"/>
              <w:left w:val="nil"/>
              <w:bottom w:val="single" w:sz="4" w:space="0" w:color="auto"/>
              <w:right w:val="single" w:sz="4" w:space="0" w:color="auto"/>
            </w:tcBorders>
            <w:vAlign w:val="center"/>
            <w:hideMark/>
          </w:tcPr>
          <w:p w14:paraId="79DF992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24,20</w:t>
            </w:r>
          </w:p>
        </w:tc>
        <w:tc>
          <w:tcPr>
            <w:tcW w:w="0" w:type="auto"/>
            <w:tcBorders>
              <w:top w:val="nil"/>
              <w:left w:val="nil"/>
              <w:bottom w:val="single" w:sz="4" w:space="0" w:color="auto"/>
              <w:right w:val="single" w:sz="4" w:space="0" w:color="auto"/>
            </w:tcBorders>
            <w:noWrap/>
            <w:vAlign w:val="center"/>
            <w:hideMark/>
          </w:tcPr>
          <w:p w14:paraId="1203D97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131.232,46</w:t>
            </w:r>
          </w:p>
        </w:tc>
      </w:tr>
      <w:tr w:rsidR="00BB3DD1" w:rsidRPr="00BB3DD1" w14:paraId="42FB15B9"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0E122F6F"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AB27ED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5CB86C1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1,130</w:t>
            </w:r>
          </w:p>
        </w:tc>
        <w:tc>
          <w:tcPr>
            <w:tcW w:w="1133" w:type="dxa"/>
            <w:tcBorders>
              <w:top w:val="nil"/>
              <w:left w:val="nil"/>
              <w:bottom w:val="single" w:sz="4" w:space="0" w:color="auto"/>
              <w:right w:val="single" w:sz="4" w:space="0" w:color="auto"/>
            </w:tcBorders>
            <w:noWrap/>
            <w:vAlign w:val="center"/>
            <w:hideMark/>
          </w:tcPr>
          <w:p w14:paraId="2A18CAB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0,478</w:t>
            </w:r>
          </w:p>
        </w:tc>
        <w:tc>
          <w:tcPr>
            <w:tcW w:w="1558" w:type="dxa"/>
            <w:tcBorders>
              <w:top w:val="nil"/>
              <w:left w:val="nil"/>
              <w:bottom w:val="single" w:sz="4" w:space="0" w:color="auto"/>
              <w:right w:val="single" w:sz="4" w:space="0" w:color="auto"/>
            </w:tcBorders>
            <w:noWrap/>
            <w:vAlign w:val="center"/>
            <w:hideMark/>
          </w:tcPr>
          <w:p w14:paraId="14248B3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79.812,33</w:t>
            </w:r>
          </w:p>
        </w:tc>
        <w:tc>
          <w:tcPr>
            <w:tcW w:w="992" w:type="dxa"/>
            <w:tcBorders>
              <w:top w:val="nil"/>
              <w:left w:val="nil"/>
              <w:bottom w:val="single" w:sz="4" w:space="0" w:color="auto"/>
              <w:right w:val="single" w:sz="4" w:space="0" w:color="auto"/>
            </w:tcBorders>
            <w:vAlign w:val="center"/>
            <w:hideMark/>
          </w:tcPr>
          <w:p w14:paraId="58FDAF8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62,70</w:t>
            </w:r>
          </w:p>
        </w:tc>
        <w:tc>
          <w:tcPr>
            <w:tcW w:w="1417" w:type="dxa"/>
            <w:tcBorders>
              <w:top w:val="nil"/>
              <w:left w:val="nil"/>
              <w:bottom w:val="single" w:sz="4" w:space="0" w:color="auto"/>
              <w:right w:val="single" w:sz="4" w:space="0" w:color="auto"/>
            </w:tcBorders>
            <w:noWrap/>
            <w:vAlign w:val="center"/>
            <w:hideMark/>
          </w:tcPr>
          <w:p w14:paraId="17445D4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15.726,73</w:t>
            </w:r>
          </w:p>
        </w:tc>
        <w:tc>
          <w:tcPr>
            <w:tcW w:w="992" w:type="dxa"/>
            <w:tcBorders>
              <w:top w:val="nil"/>
              <w:left w:val="nil"/>
              <w:bottom w:val="single" w:sz="4" w:space="0" w:color="auto"/>
              <w:right w:val="single" w:sz="4" w:space="0" w:color="auto"/>
            </w:tcBorders>
            <w:vAlign w:val="center"/>
            <w:hideMark/>
          </w:tcPr>
          <w:p w14:paraId="34BB81A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12,35</w:t>
            </w:r>
          </w:p>
        </w:tc>
        <w:tc>
          <w:tcPr>
            <w:tcW w:w="1245" w:type="dxa"/>
            <w:tcBorders>
              <w:top w:val="nil"/>
              <w:left w:val="nil"/>
              <w:bottom w:val="single" w:sz="4" w:space="0" w:color="auto"/>
              <w:right w:val="single" w:sz="4" w:space="0" w:color="auto"/>
            </w:tcBorders>
            <w:noWrap/>
            <w:vAlign w:val="center"/>
            <w:hideMark/>
          </w:tcPr>
          <w:p w14:paraId="186AA09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31.752,48</w:t>
            </w:r>
          </w:p>
        </w:tc>
        <w:tc>
          <w:tcPr>
            <w:tcW w:w="0" w:type="auto"/>
            <w:tcBorders>
              <w:top w:val="nil"/>
              <w:left w:val="nil"/>
              <w:bottom w:val="single" w:sz="4" w:space="0" w:color="auto"/>
              <w:right w:val="single" w:sz="4" w:space="0" w:color="auto"/>
            </w:tcBorders>
            <w:vAlign w:val="center"/>
            <w:hideMark/>
          </w:tcPr>
          <w:p w14:paraId="4DA08DE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24,94</w:t>
            </w:r>
          </w:p>
        </w:tc>
        <w:tc>
          <w:tcPr>
            <w:tcW w:w="0" w:type="auto"/>
            <w:tcBorders>
              <w:top w:val="nil"/>
              <w:left w:val="nil"/>
              <w:bottom w:val="single" w:sz="4" w:space="0" w:color="auto"/>
              <w:right w:val="single" w:sz="4" w:space="0" w:color="auto"/>
            </w:tcBorders>
            <w:noWrap/>
            <w:vAlign w:val="center"/>
            <w:hideMark/>
          </w:tcPr>
          <w:p w14:paraId="23710C8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127.291,54</w:t>
            </w:r>
          </w:p>
        </w:tc>
      </w:tr>
      <w:tr w:rsidR="00BB3DD1" w:rsidRPr="00BB3DD1" w14:paraId="4E39B87D"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357D4342"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 C.F.S. DISEÑO EN FABRICACIÓN MECÁNICA (LOE)</w:t>
            </w:r>
          </w:p>
        </w:tc>
        <w:tc>
          <w:tcPr>
            <w:tcW w:w="718" w:type="dxa"/>
            <w:tcBorders>
              <w:top w:val="nil"/>
              <w:left w:val="nil"/>
              <w:bottom w:val="single" w:sz="4" w:space="0" w:color="auto"/>
              <w:right w:val="single" w:sz="4" w:space="0" w:color="auto"/>
            </w:tcBorders>
            <w:noWrap/>
            <w:vAlign w:val="center"/>
            <w:hideMark/>
          </w:tcPr>
          <w:p w14:paraId="218A07C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47593E1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33" w:type="dxa"/>
            <w:tcBorders>
              <w:top w:val="nil"/>
              <w:left w:val="nil"/>
              <w:bottom w:val="single" w:sz="4" w:space="0" w:color="auto"/>
              <w:right w:val="single" w:sz="4" w:space="0" w:color="auto"/>
            </w:tcBorders>
            <w:noWrap/>
            <w:vAlign w:val="center"/>
            <w:hideMark/>
          </w:tcPr>
          <w:p w14:paraId="45B038F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0,913</w:t>
            </w:r>
          </w:p>
        </w:tc>
        <w:tc>
          <w:tcPr>
            <w:tcW w:w="1558" w:type="dxa"/>
            <w:tcBorders>
              <w:top w:val="nil"/>
              <w:left w:val="nil"/>
              <w:bottom w:val="single" w:sz="4" w:space="0" w:color="auto"/>
              <w:right w:val="single" w:sz="4" w:space="0" w:color="auto"/>
            </w:tcBorders>
            <w:noWrap/>
            <w:vAlign w:val="center"/>
            <w:hideMark/>
          </w:tcPr>
          <w:p w14:paraId="1487686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82.409,47</w:t>
            </w:r>
          </w:p>
        </w:tc>
        <w:tc>
          <w:tcPr>
            <w:tcW w:w="992" w:type="dxa"/>
            <w:tcBorders>
              <w:top w:val="nil"/>
              <w:left w:val="nil"/>
              <w:bottom w:val="single" w:sz="4" w:space="0" w:color="auto"/>
              <w:right w:val="single" w:sz="4" w:space="0" w:color="auto"/>
            </w:tcBorders>
            <w:vAlign w:val="center"/>
            <w:hideMark/>
          </w:tcPr>
          <w:p w14:paraId="29BD022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65,02</w:t>
            </w:r>
          </w:p>
        </w:tc>
        <w:tc>
          <w:tcPr>
            <w:tcW w:w="1417" w:type="dxa"/>
            <w:tcBorders>
              <w:top w:val="nil"/>
              <w:left w:val="nil"/>
              <w:bottom w:val="single" w:sz="4" w:space="0" w:color="auto"/>
              <w:right w:val="single" w:sz="4" w:space="0" w:color="auto"/>
            </w:tcBorders>
            <w:noWrap/>
            <w:vAlign w:val="center"/>
            <w:hideMark/>
          </w:tcPr>
          <w:p w14:paraId="53073CC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16.201,58</w:t>
            </w:r>
          </w:p>
        </w:tc>
        <w:tc>
          <w:tcPr>
            <w:tcW w:w="992" w:type="dxa"/>
            <w:tcBorders>
              <w:top w:val="nil"/>
              <w:left w:val="nil"/>
              <w:bottom w:val="single" w:sz="4" w:space="0" w:color="auto"/>
              <w:right w:val="single" w:sz="4" w:space="0" w:color="auto"/>
            </w:tcBorders>
            <w:vAlign w:val="center"/>
            <w:hideMark/>
          </w:tcPr>
          <w:p w14:paraId="57B345C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12,78</w:t>
            </w:r>
          </w:p>
        </w:tc>
        <w:tc>
          <w:tcPr>
            <w:tcW w:w="1245" w:type="dxa"/>
            <w:tcBorders>
              <w:top w:val="nil"/>
              <w:left w:val="nil"/>
              <w:bottom w:val="single" w:sz="4" w:space="0" w:color="auto"/>
              <w:right w:val="single" w:sz="4" w:space="0" w:color="auto"/>
            </w:tcBorders>
            <w:noWrap/>
            <w:vAlign w:val="center"/>
            <w:hideMark/>
          </w:tcPr>
          <w:p w14:paraId="1388D8E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28.143,20</w:t>
            </w:r>
          </w:p>
        </w:tc>
        <w:tc>
          <w:tcPr>
            <w:tcW w:w="0" w:type="auto"/>
            <w:tcBorders>
              <w:top w:val="nil"/>
              <w:left w:val="nil"/>
              <w:bottom w:val="single" w:sz="4" w:space="0" w:color="auto"/>
              <w:right w:val="single" w:sz="4" w:space="0" w:color="auto"/>
            </w:tcBorders>
            <w:vAlign w:val="center"/>
            <w:hideMark/>
          </w:tcPr>
          <w:p w14:paraId="03F7030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22,20</w:t>
            </w:r>
          </w:p>
        </w:tc>
        <w:tc>
          <w:tcPr>
            <w:tcW w:w="0" w:type="auto"/>
            <w:tcBorders>
              <w:top w:val="nil"/>
              <w:left w:val="nil"/>
              <w:bottom w:val="single" w:sz="4" w:space="0" w:color="auto"/>
              <w:right w:val="single" w:sz="4" w:space="0" w:color="auto"/>
            </w:tcBorders>
            <w:noWrap/>
            <w:vAlign w:val="center"/>
            <w:hideMark/>
          </w:tcPr>
          <w:p w14:paraId="363C9C0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126.754,25</w:t>
            </w:r>
          </w:p>
        </w:tc>
      </w:tr>
      <w:tr w:rsidR="00BB3DD1" w:rsidRPr="00BB3DD1" w14:paraId="717FD505"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1767835B"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7926FBC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679599D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1,522</w:t>
            </w:r>
          </w:p>
        </w:tc>
        <w:tc>
          <w:tcPr>
            <w:tcW w:w="1133" w:type="dxa"/>
            <w:tcBorders>
              <w:top w:val="nil"/>
              <w:left w:val="nil"/>
              <w:bottom w:val="single" w:sz="4" w:space="0" w:color="auto"/>
              <w:right w:val="single" w:sz="4" w:space="0" w:color="auto"/>
            </w:tcBorders>
            <w:noWrap/>
            <w:vAlign w:val="center"/>
            <w:hideMark/>
          </w:tcPr>
          <w:p w14:paraId="713CC9A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0,090</w:t>
            </w:r>
          </w:p>
        </w:tc>
        <w:tc>
          <w:tcPr>
            <w:tcW w:w="1558" w:type="dxa"/>
            <w:tcBorders>
              <w:top w:val="nil"/>
              <w:left w:val="nil"/>
              <w:bottom w:val="single" w:sz="4" w:space="0" w:color="auto"/>
              <w:right w:val="single" w:sz="4" w:space="0" w:color="auto"/>
            </w:tcBorders>
            <w:noWrap/>
            <w:vAlign w:val="center"/>
            <w:hideMark/>
          </w:tcPr>
          <w:p w14:paraId="44116DC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81.696,44</w:t>
            </w:r>
          </w:p>
        </w:tc>
        <w:tc>
          <w:tcPr>
            <w:tcW w:w="992" w:type="dxa"/>
            <w:tcBorders>
              <w:top w:val="nil"/>
              <w:left w:val="nil"/>
              <w:bottom w:val="single" w:sz="4" w:space="0" w:color="auto"/>
              <w:right w:val="single" w:sz="4" w:space="0" w:color="auto"/>
            </w:tcBorders>
            <w:vAlign w:val="center"/>
            <w:hideMark/>
          </w:tcPr>
          <w:p w14:paraId="6BAE32C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65,15</w:t>
            </w:r>
          </w:p>
        </w:tc>
        <w:tc>
          <w:tcPr>
            <w:tcW w:w="1417" w:type="dxa"/>
            <w:tcBorders>
              <w:top w:val="nil"/>
              <w:left w:val="nil"/>
              <w:bottom w:val="single" w:sz="4" w:space="0" w:color="auto"/>
              <w:right w:val="single" w:sz="4" w:space="0" w:color="auto"/>
            </w:tcBorders>
            <w:noWrap/>
            <w:vAlign w:val="center"/>
            <w:hideMark/>
          </w:tcPr>
          <w:p w14:paraId="14DFE0C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15.561,51</w:t>
            </w:r>
          </w:p>
        </w:tc>
        <w:tc>
          <w:tcPr>
            <w:tcW w:w="992" w:type="dxa"/>
            <w:tcBorders>
              <w:top w:val="nil"/>
              <w:left w:val="nil"/>
              <w:bottom w:val="single" w:sz="4" w:space="0" w:color="auto"/>
              <w:right w:val="single" w:sz="4" w:space="0" w:color="auto"/>
            </w:tcBorders>
            <w:vAlign w:val="center"/>
            <w:hideMark/>
          </w:tcPr>
          <w:p w14:paraId="6BBFFBE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12,41</w:t>
            </w:r>
          </w:p>
        </w:tc>
        <w:tc>
          <w:tcPr>
            <w:tcW w:w="1245" w:type="dxa"/>
            <w:tcBorders>
              <w:top w:val="nil"/>
              <w:left w:val="nil"/>
              <w:bottom w:val="single" w:sz="4" w:space="0" w:color="auto"/>
              <w:right w:val="single" w:sz="4" w:space="0" w:color="auto"/>
            </w:tcBorders>
            <w:noWrap/>
            <w:vAlign w:val="center"/>
            <w:hideMark/>
          </w:tcPr>
          <w:p w14:paraId="3F2FA82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28.143,20</w:t>
            </w:r>
          </w:p>
        </w:tc>
        <w:tc>
          <w:tcPr>
            <w:tcW w:w="0" w:type="auto"/>
            <w:tcBorders>
              <w:top w:val="nil"/>
              <w:left w:val="nil"/>
              <w:bottom w:val="single" w:sz="4" w:space="0" w:color="auto"/>
              <w:right w:val="single" w:sz="4" w:space="0" w:color="auto"/>
            </w:tcBorders>
            <w:vAlign w:val="center"/>
            <w:hideMark/>
          </w:tcPr>
          <w:p w14:paraId="2253CFD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22,44</w:t>
            </w:r>
          </w:p>
        </w:tc>
        <w:tc>
          <w:tcPr>
            <w:tcW w:w="0" w:type="auto"/>
            <w:tcBorders>
              <w:top w:val="nil"/>
              <w:left w:val="nil"/>
              <w:bottom w:val="single" w:sz="4" w:space="0" w:color="auto"/>
              <w:right w:val="single" w:sz="4" w:space="0" w:color="auto"/>
            </w:tcBorders>
            <w:noWrap/>
            <w:vAlign w:val="center"/>
            <w:hideMark/>
          </w:tcPr>
          <w:p w14:paraId="045950D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125.401,15</w:t>
            </w:r>
          </w:p>
        </w:tc>
      </w:tr>
      <w:tr w:rsidR="00BB3DD1" w:rsidRPr="00BB3DD1" w14:paraId="19CAA72A"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01C1D7F"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 C.F.S. INTEGRACIÓN SOCIAL</w:t>
            </w:r>
          </w:p>
        </w:tc>
        <w:tc>
          <w:tcPr>
            <w:tcW w:w="718" w:type="dxa"/>
            <w:tcBorders>
              <w:top w:val="nil"/>
              <w:left w:val="nil"/>
              <w:bottom w:val="single" w:sz="4" w:space="0" w:color="auto"/>
              <w:right w:val="single" w:sz="4" w:space="0" w:color="auto"/>
            </w:tcBorders>
            <w:noWrap/>
            <w:vAlign w:val="center"/>
            <w:hideMark/>
          </w:tcPr>
          <w:p w14:paraId="61A474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7D18B9E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1,131</w:t>
            </w:r>
          </w:p>
        </w:tc>
        <w:tc>
          <w:tcPr>
            <w:tcW w:w="1133" w:type="dxa"/>
            <w:tcBorders>
              <w:top w:val="nil"/>
              <w:left w:val="nil"/>
              <w:bottom w:val="single" w:sz="4" w:space="0" w:color="auto"/>
              <w:right w:val="single" w:sz="4" w:space="0" w:color="auto"/>
            </w:tcBorders>
            <w:noWrap/>
            <w:vAlign w:val="center"/>
            <w:hideMark/>
          </w:tcPr>
          <w:p w14:paraId="38A20F2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0,609</w:t>
            </w:r>
          </w:p>
        </w:tc>
        <w:tc>
          <w:tcPr>
            <w:tcW w:w="1558" w:type="dxa"/>
            <w:tcBorders>
              <w:top w:val="nil"/>
              <w:left w:val="nil"/>
              <w:bottom w:val="single" w:sz="4" w:space="0" w:color="auto"/>
              <w:right w:val="single" w:sz="4" w:space="0" w:color="auto"/>
            </w:tcBorders>
            <w:noWrap/>
            <w:vAlign w:val="center"/>
            <w:hideMark/>
          </w:tcPr>
          <w:p w14:paraId="3C2CBC8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85.966,67</w:t>
            </w:r>
          </w:p>
        </w:tc>
        <w:tc>
          <w:tcPr>
            <w:tcW w:w="992" w:type="dxa"/>
            <w:tcBorders>
              <w:top w:val="nil"/>
              <w:left w:val="nil"/>
              <w:bottom w:val="single" w:sz="4" w:space="0" w:color="auto"/>
              <w:right w:val="single" w:sz="4" w:space="0" w:color="auto"/>
            </w:tcBorders>
            <w:vAlign w:val="center"/>
            <w:hideMark/>
          </w:tcPr>
          <w:p w14:paraId="1B48C9E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69,49</w:t>
            </w:r>
          </w:p>
        </w:tc>
        <w:tc>
          <w:tcPr>
            <w:tcW w:w="1417" w:type="dxa"/>
            <w:tcBorders>
              <w:top w:val="nil"/>
              <w:left w:val="nil"/>
              <w:bottom w:val="single" w:sz="4" w:space="0" w:color="auto"/>
              <w:right w:val="single" w:sz="4" w:space="0" w:color="auto"/>
            </w:tcBorders>
            <w:noWrap/>
            <w:vAlign w:val="center"/>
            <w:hideMark/>
          </w:tcPr>
          <w:p w14:paraId="5276745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17.192,66</w:t>
            </w:r>
          </w:p>
        </w:tc>
        <w:tc>
          <w:tcPr>
            <w:tcW w:w="992" w:type="dxa"/>
            <w:tcBorders>
              <w:top w:val="nil"/>
              <w:left w:val="nil"/>
              <w:bottom w:val="single" w:sz="4" w:space="0" w:color="auto"/>
              <w:right w:val="single" w:sz="4" w:space="0" w:color="auto"/>
            </w:tcBorders>
            <w:vAlign w:val="center"/>
            <w:hideMark/>
          </w:tcPr>
          <w:p w14:paraId="255AFEA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13,90</w:t>
            </w:r>
          </w:p>
        </w:tc>
        <w:tc>
          <w:tcPr>
            <w:tcW w:w="1245" w:type="dxa"/>
            <w:tcBorders>
              <w:top w:val="nil"/>
              <w:left w:val="nil"/>
              <w:bottom w:val="single" w:sz="4" w:space="0" w:color="auto"/>
              <w:right w:val="single" w:sz="4" w:space="0" w:color="auto"/>
            </w:tcBorders>
            <w:noWrap/>
            <w:vAlign w:val="center"/>
            <w:hideMark/>
          </w:tcPr>
          <w:p w14:paraId="2EE7677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20.546,20</w:t>
            </w:r>
          </w:p>
        </w:tc>
        <w:tc>
          <w:tcPr>
            <w:tcW w:w="0" w:type="auto"/>
            <w:tcBorders>
              <w:top w:val="nil"/>
              <w:left w:val="nil"/>
              <w:bottom w:val="single" w:sz="4" w:space="0" w:color="auto"/>
              <w:right w:val="single" w:sz="4" w:space="0" w:color="auto"/>
            </w:tcBorders>
            <w:vAlign w:val="center"/>
            <w:hideMark/>
          </w:tcPr>
          <w:p w14:paraId="7E7824A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16,61</w:t>
            </w:r>
          </w:p>
        </w:tc>
        <w:tc>
          <w:tcPr>
            <w:tcW w:w="0" w:type="auto"/>
            <w:tcBorders>
              <w:top w:val="nil"/>
              <w:left w:val="nil"/>
              <w:bottom w:val="single" w:sz="4" w:space="0" w:color="auto"/>
              <w:right w:val="single" w:sz="4" w:space="0" w:color="auto"/>
            </w:tcBorders>
            <w:noWrap/>
            <w:vAlign w:val="center"/>
            <w:hideMark/>
          </w:tcPr>
          <w:p w14:paraId="6223FDC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123.705,53</w:t>
            </w:r>
          </w:p>
        </w:tc>
      </w:tr>
      <w:tr w:rsidR="00BB3DD1" w:rsidRPr="00BB3DD1" w14:paraId="2778A4F6"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0E7BA5C4"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389309D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7BECB14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0,870</w:t>
            </w:r>
          </w:p>
        </w:tc>
        <w:tc>
          <w:tcPr>
            <w:tcW w:w="1133" w:type="dxa"/>
            <w:tcBorders>
              <w:top w:val="nil"/>
              <w:left w:val="nil"/>
              <w:bottom w:val="single" w:sz="4" w:space="0" w:color="auto"/>
              <w:right w:val="single" w:sz="4" w:space="0" w:color="auto"/>
            </w:tcBorders>
            <w:noWrap/>
            <w:vAlign w:val="center"/>
            <w:hideMark/>
          </w:tcPr>
          <w:p w14:paraId="4259D18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0,609</w:t>
            </w:r>
          </w:p>
        </w:tc>
        <w:tc>
          <w:tcPr>
            <w:tcW w:w="1558" w:type="dxa"/>
            <w:tcBorders>
              <w:top w:val="nil"/>
              <w:left w:val="nil"/>
              <w:bottom w:val="single" w:sz="4" w:space="0" w:color="auto"/>
              <w:right w:val="single" w:sz="4" w:space="0" w:color="auto"/>
            </w:tcBorders>
            <w:noWrap/>
            <w:vAlign w:val="center"/>
            <w:hideMark/>
          </w:tcPr>
          <w:p w14:paraId="0AC7EEB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72.676,03</w:t>
            </w:r>
          </w:p>
        </w:tc>
        <w:tc>
          <w:tcPr>
            <w:tcW w:w="992" w:type="dxa"/>
            <w:tcBorders>
              <w:top w:val="nil"/>
              <w:left w:val="nil"/>
              <w:bottom w:val="single" w:sz="4" w:space="0" w:color="auto"/>
              <w:right w:val="single" w:sz="4" w:space="0" w:color="auto"/>
            </w:tcBorders>
            <w:vAlign w:val="center"/>
            <w:hideMark/>
          </w:tcPr>
          <w:p w14:paraId="331D2DE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67,30</w:t>
            </w:r>
          </w:p>
        </w:tc>
        <w:tc>
          <w:tcPr>
            <w:tcW w:w="1417" w:type="dxa"/>
            <w:tcBorders>
              <w:top w:val="nil"/>
              <w:left w:val="nil"/>
              <w:bottom w:val="single" w:sz="4" w:space="0" w:color="auto"/>
              <w:right w:val="single" w:sz="4" w:space="0" w:color="auto"/>
            </w:tcBorders>
            <w:noWrap/>
            <w:vAlign w:val="center"/>
            <w:hideMark/>
          </w:tcPr>
          <w:p w14:paraId="0175FD5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14.772,96</w:t>
            </w:r>
          </w:p>
        </w:tc>
        <w:tc>
          <w:tcPr>
            <w:tcW w:w="992" w:type="dxa"/>
            <w:tcBorders>
              <w:top w:val="nil"/>
              <w:left w:val="nil"/>
              <w:bottom w:val="single" w:sz="4" w:space="0" w:color="auto"/>
              <w:right w:val="single" w:sz="4" w:space="0" w:color="auto"/>
            </w:tcBorders>
            <w:vAlign w:val="center"/>
            <w:hideMark/>
          </w:tcPr>
          <w:p w14:paraId="2683A11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13,68</w:t>
            </w:r>
          </w:p>
        </w:tc>
        <w:tc>
          <w:tcPr>
            <w:tcW w:w="1245" w:type="dxa"/>
            <w:tcBorders>
              <w:top w:val="nil"/>
              <w:left w:val="nil"/>
              <w:bottom w:val="single" w:sz="4" w:space="0" w:color="auto"/>
              <w:right w:val="single" w:sz="4" w:space="0" w:color="auto"/>
            </w:tcBorders>
            <w:noWrap/>
            <w:vAlign w:val="center"/>
            <w:hideMark/>
          </w:tcPr>
          <w:p w14:paraId="22C867B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20.546,20</w:t>
            </w:r>
          </w:p>
        </w:tc>
        <w:tc>
          <w:tcPr>
            <w:tcW w:w="0" w:type="auto"/>
            <w:tcBorders>
              <w:top w:val="nil"/>
              <w:left w:val="nil"/>
              <w:bottom w:val="single" w:sz="4" w:space="0" w:color="auto"/>
              <w:right w:val="single" w:sz="4" w:space="0" w:color="auto"/>
            </w:tcBorders>
            <w:vAlign w:val="center"/>
            <w:hideMark/>
          </w:tcPr>
          <w:p w14:paraId="7D40CEA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19,03</w:t>
            </w:r>
          </w:p>
        </w:tc>
        <w:tc>
          <w:tcPr>
            <w:tcW w:w="0" w:type="auto"/>
            <w:tcBorders>
              <w:top w:val="nil"/>
              <w:left w:val="nil"/>
              <w:bottom w:val="single" w:sz="4" w:space="0" w:color="auto"/>
              <w:right w:val="single" w:sz="4" w:space="0" w:color="auto"/>
            </w:tcBorders>
            <w:noWrap/>
            <w:vAlign w:val="center"/>
            <w:hideMark/>
          </w:tcPr>
          <w:p w14:paraId="3A45EBE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107.995,19</w:t>
            </w:r>
          </w:p>
        </w:tc>
      </w:tr>
      <w:tr w:rsidR="00BB3DD1" w:rsidRPr="00BB3DD1" w14:paraId="04A3E0ED" w14:textId="77777777" w:rsidTr="00BB0DB8">
        <w:trPr>
          <w:trHeight w:val="300"/>
        </w:trPr>
        <w:tc>
          <w:tcPr>
            <w:tcW w:w="4819" w:type="dxa"/>
            <w:vMerge w:val="restart"/>
            <w:tcBorders>
              <w:top w:val="nil"/>
              <w:left w:val="single" w:sz="4" w:space="0" w:color="auto"/>
              <w:bottom w:val="single" w:sz="4" w:space="0" w:color="auto"/>
              <w:right w:val="single" w:sz="4" w:space="0" w:color="auto"/>
            </w:tcBorders>
            <w:vAlign w:val="center"/>
            <w:hideMark/>
          </w:tcPr>
          <w:p w14:paraId="5A5D3E3E" w14:textId="77777777" w:rsidR="00BB3DD1" w:rsidRPr="00BB3DD1" w:rsidRDefault="00BB3DD1" w:rsidP="00BB3DD1">
            <w:pPr>
              <w:spacing w:after="0" w:line="240" w:lineRule="auto"/>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16- C.F.S. ORGANIZACIÓN Y CONTROL DE OBRAS DE CONSTRUCCIÓN</w:t>
            </w:r>
          </w:p>
        </w:tc>
        <w:tc>
          <w:tcPr>
            <w:tcW w:w="718" w:type="dxa"/>
            <w:tcBorders>
              <w:top w:val="nil"/>
              <w:left w:val="nil"/>
              <w:bottom w:val="single" w:sz="4" w:space="0" w:color="auto"/>
              <w:right w:val="single" w:sz="4" w:space="0" w:color="auto"/>
            </w:tcBorders>
            <w:noWrap/>
            <w:vAlign w:val="center"/>
            <w:hideMark/>
          </w:tcPr>
          <w:p w14:paraId="4629B84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840" w:type="dxa"/>
            <w:tcBorders>
              <w:top w:val="nil"/>
              <w:left w:val="nil"/>
              <w:bottom w:val="single" w:sz="4" w:space="0" w:color="auto"/>
              <w:right w:val="single" w:sz="4" w:space="0" w:color="auto"/>
            </w:tcBorders>
            <w:noWrap/>
            <w:vAlign w:val="center"/>
            <w:hideMark/>
          </w:tcPr>
          <w:p w14:paraId="49902B6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1,000</w:t>
            </w:r>
          </w:p>
        </w:tc>
        <w:tc>
          <w:tcPr>
            <w:tcW w:w="1133" w:type="dxa"/>
            <w:tcBorders>
              <w:top w:val="nil"/>
              <w:left w:val="nil"/>
              <w:bottom w:val="single" w:sz="4" w:space="0" w:color="auto"/>
              <w:right w:val="single" w:sz="4" w:space="0" w:color="auto"/>
            </w:tcBorders>
            <w:noWrap/>
            <w:vAlign w:val="center"/>
            <w:hideMark/>
          </w:tcPr>
          <w:p w14:paraId="3ADDE88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0,826</w:t>
            </w:r>
          </w:p>
        </w:tc>
        <w:tc>
          <w:tcPr>
            <w:tcW w:w="1558" w:type="dxa"/>
            <w:tcBorders>
              <w:top w:val="nil"/>
              <w:left w:val="nil"/>
              <w:bottom w:val="single" w:sz="4" w:space="0" w:color="auto"/>
              <w:right w:val="single" w:sz="4" w:space="0" w:color="auto"/>
            </w:tcBorders>
            <w:noWrap/>
            <w:vAlign w:val="center"/>
            <w:hideMark/>
          </w:tcPr>
          <w:p w14:paraId="6E2F7D2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89.410,18</w:t>
            </w:r>
          </w:p>
        </w:tc>
        <w:tc>
          <w:tcPr>
            <w:tcW w:w="992" w:type="dxa"/>
            <w:tcBorders>
              <w:top w:val="nil"/>
              <w:left w:val="nil"/>
              <w:bottom w:val="single" w:sz="4" w:space="0" w:color="auto"/>
              <w:right w:val="single" w:sz="4" w:space="0" w:color="auto"/>
            </w:tcBorders>
            <w:vAlign w:val="center"/>
            <w:hideMark/>
          </w:tcPr>
          <w:p w14:paraId="2EE04A4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61,70</w:t>
            </w:r>
          </w:p>
        </w:tc>
        <w:tc>
          <w:tcPr>
            <w:tcW w:w="1417" w:type="dxa"/>
            <w:tcBorders>
              <w:top w:val="nil"/>
              <w:left w:val="nil"/>
              <w:bottom w:val="single" w:sz="4" w:space="0" w:color="auto"/>
              <w:right w:val="single" w:sz="4" w:space="0" w:color="auto"/>
            </w:tcBorders>
            <w:noWrap/>
            <w:vAlign w:val="center"/>
            <w:hideMark/>
          </w:tcPr>
          <w:p w14:paraId="6D8D95C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18.096,58</w:t>
            </w:r>
          </w:p>
        </w:tc>
        <w:tc>
          <w:tcPr>
            <w:tcW w:w="992" w:type="dxa"/>
            <w:tcBorders>
              <w:top w:val="nil"/>
              <w:left w:val="nil"/>
              <w:bottom w:val="single" w:sz="4" w:space="0" w:color="auto"/>
              <w:right w:val="single" w:sz="4" w:space="0" w:color="auto"/>
            </w:tcBorders>
            <w:vAlign w:val="center"/>
            <w:hideMark/>
          </w:tcPr>
          <w:p w14:paraId="6BB7B7E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12,49</w:t>
            </w:r>
          </w:p>
        </w:tc>
        <w:tc>
          <w:tcPr>
            <w:tcW w:w="1245" w:type="dxa"/>
            <w:tcBorders>
              <w:top w:val="nil"/>
              <w:left w:val="nil"/>
              <w:bottom w:val="single" w:sz="4" w:space="0" w:color="auto"/>
              <w:right w:val="single" w:sz="4" w:space="0" w:color="auto"/>
            </w:tcBorders>
            <w:noWrap/>
            <w:vAlign w:val="center"/>
            <w:hideMark/>
          </w:tcPr>
          <w:p w14:paraId="0217E7A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37.394,63</w:t>
            </w:r>
          </w:p>
        </w:tc>
        <w:tc>
          <w:tcPr>
            <w:tcW w:w="0" w:type="auto"/>
            <w:tcBorders>
              <w:top w:val="nil"/>
              <w:left w:val="nil"/>
              <w:bottom w:val="single" w:sz="4" w:space="0" w:color="auto"/>
              <w:right w:val="single" w:sz="4" w:space="0" w:color="auto"/>
            </w:tcBorders>
            <w:vAlign w:val="center"/>
            <w:hideMark/>
          </w:tcPr>
          <w:p w14:paraId="6A1DA79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25,81</w:t>
            </w:r>
          </w:p>
        </w:tc>
        <w:tc>
          <w:tcPr>
            <w:tcW w:w="0" w:type="auto"/>
            <w:tcBorders>
              <w:top w:val="nil"/>
              <w:left w:val="nil"/>
              <w:bottom w:val="single" w:sz="4" w:space="0" w:color="auto"/>
              <w:right w:val="single" w:sz="4" w:space="0" w:color="auto"/>
            </w:tcBorders>
            <w:noWrap/>
            <w:vAlign w:val="center"/>
            <w:hideMark/>
          </w:tcPr>
          <w:p w14:paraId="0EB303C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144.901,39</w:t>
            </w:r>
          </w:p>
        </w:tc>
      </w:tr>
      <w:tr w:rsidR="00BB3DD1" w:rsidRPr="00BB3DD1" w14:paraId="2282A361" w14:textId="77777777" w:rsidTr="00BB0DB8">
        <w:trPr>
          <w:trHeight w:val="300"/>
        </w:trPr>
        <w:tc>
          <w:tcPr>
            <w:tcW w:w="4819" w:type="dxa"/>
            <w:vMerge/>
            <w:tcBorders>
              <w:top w:val="nil"/>
              <w:left w:val="single" w:sz="4" w:space="0" w:color="auto"/>
              <w:bottom w:val="single" w:sz="4" w:space="0" w:color="auto"/>
              <w:right w:val="single" w:sz="4" w:space="0" w:color="auto"/>
            </w:tcBorders>
            <w:vAlign w:val="center"/>
            <w:hideMark/>
          </w:tcPr>
          <w:p w14:paraId="1DF8A776" w14:textId="77777777" w:rsidR="00BB3DD1" w:rsidRPr="00BB3DD1" w:rsidRDefault="00BB3DD1" w:rsidP="00BB3DD1">
            <w:pPr>
              <w:spacing w:after="0" w:line="240" w:lineRule="auto"/>
              <w:rPr>
                <w:rFonts w:ascii="Arial" w:eastAsia="Times New Roman" w:hAnsi="Arial" w:cs="Arial"/>
                <w:sz w:val="16"/>
                <w:szCs w:val="16"/>
                <w:lang w:val="es-ES" w:eastAsia="es-ES"/>
              </w:rPr>
            </w:pPr>
          </w:p>
        </w:tc>
        <w:tc>
          <w:tcPr>
            <w:tcW w:w="718" w:type="dxa"/>
            <w:tcBorders>
              <w:top w:val="nil"/>
              <w:left w:val="nil"/>
              <w:bottom w:val="single" w:sz="4" w:space="0" w:color="auto"/>
              <w:right w:val="single" w:sz="4" w:space="0" w:color="auto"/>
            </w:tcBorders>
            <w:noWrap/>
            <w:vAlign w:val="center"/>
            <w:hideMark/>
          </w:tcPr>
          <w:p w14:paraId="673D18A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840" w:type="dxa"/>
            <w:tcBorders>
              <w:top w:val="nil"/>
              <w:left w:val="nil"/>
              <w:bottom w:val="single" w:sz="4" w:space="0" w:color="auto"/>
              <w:right w:val="single" w:sz="4" w:space="0" w:color="auto"/>
            </w:tcBorders>
            <w:noWrap/>
            <w:vAlign w:val="center"/>
            <w:hideMark/>
          </w:tcPr>
          <w:p w14:paraId="2DE7C71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0,826</w:t>
            </w:r>
          </w:p>
        </w:tc>
        <w:tc>
          <w:tcPr>
            <w:tcW w:w="1133" w:type="dxa"/>
            <w:tcBorders>
              <w:top w:val="nil"/>
              <w:left w:val="nil"/>
              <w:bottom w:val="single" w:sz="4" w:space="0" w:color="auto"/>
              <w:right w:val="single" w:sz="4" w:space="0" w:color="auto"/>
            </w:tcBorders>
            <w:noWrap/>
            <w:vAlign w:val="center"/>
            <w:hideMark/>
          </w:tcPr>
          <w:p w14:paraId="2FCE747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558" w:type="dxa"/>
            <w:tcBorders>
              <w:top w:val="nil"/>
              <w:left w:val="nil"/>
              <w:bottom w:val="single" w:sz="4" w:space="0" w:color="auto"/>
              <w:right w:val="single" w:sz="4" w:space="0" w:color="auto"/>
            </w:tcBorders>
            <w:noWrap/>
            <w:vAlign w:val="center"/>
            <w:hideMark/>
          </w:tcPr>
          <w:p w14:paraId="1E568CF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78.528,49</w:t>
            </w:r>
          </w:p>
        </w:tc>
        <w:tc>
          <w:tcPr>
            <w:tcW w:w="992" w:type="dxa"/>
            <w:tcBorders>
              <w:top w:val="nil"/>
              <w:left w:val="nil"/>
              <w:bottom w:val="single" w:sz="4" w:space="0" w:color="auto"/>
              <w:right w:val="single" w:sz="4" w:space="0" w:color="auto"/>
            </w:tcBorders>
            <w:vAlign w:val="center"/>
            <w:hideMark/>
          </w:tcPr>
          <w:p w14:paraId="7969A44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59,57</w:t>
            </w:r>
          </w:p>
        </w:tc>
        <w:tc>
          <w:tcPr>
            <w:tcW w:w="1417" w:type="dxa"/>
            <w:tcBorders>
              <w:top w:val="nil"/>
              <w:left w:val="nil"/>
              <w:bottom w:val="single" w:sz="4" w:space="0" w:color="auto"/>
              <w:right w:val="single" w:sz="4" w:space="0" w:color="auto"/>
            </w:tcBorders>
            <w:noWrap/>
            <w:vAlign w:val="center"/>
            <w:hideMark/>
          </w:tcPr>
          <w:p w14:paraId="64CF665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15.894,14</w:t>
            </w:r>
          </w:p>
        </w:tc>
        <w:tc>
          <w:tcPr>
            <w:tcW w:w="992" w:type="dxa"/>
            <w:tcBorders>
              <w:top w:val="nil"/>
              <w:left w:val="nil"/>
              <w:bottom w:val="single" w:sz="4" w:space="0" w:color="auto"/>
              <w:right w:val="single" w:sz="4" w:space="0" w:color="auto"/>
            </w:tcBorders>
            <w:vAlign w:val="center"/>
            <w:hideMark/>
          </w:tcPr>
          <w:p w14:paraId="03962D3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12,06</w:t>
            </w:r>
          </w:p>
        </w:tc>
        <w:tc>
          <w:tcPr>
            <w:tcW w:w="1245" w:type="dxa"/>
            <w:tcBorders>
              <w:top w:val="nil"/>
              <w:left w:val="nil"/>
              <w:bottom w:val="single" w:sz="4" w:space="0" w:color="auto"/>
              <w:right w:val="single" w:sz="4" w:space="0" w:color="auto"/>
            </w:tcBorders>
            <w:noWrap/>
            <w:vAlign w:val="center"/>
            <w:hideMark/>
          </w:tcPr>
          <w:p w14:paraId="33524CE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37.394,63</w:t>
            </w:r>
          </w:p>
        </w:tc>
        <w:tc>
          <w:tcPr>
            <w:tcW w:w="0" w:type="auto"/>
            <w:tcBorders>
              <w:top w:val="nil"/>
              <w:left w:val="nil"/>
              <w:bottom w:val="single" w:sz="4" w:space="0" w:color="auto"/>
              <w:right w:val="single" w:sz="4" w:space="0" w:color="auto"/>
            </w:tcBorders>
            <w:vAlign w:val="center"/>
            <w:hideMark/>
          </w:tcPr>
          <w:p w14:paraId="775C5E2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28,37</w:t>
            </w:r>
          </w:p>
        </w:tc>
        <w:tc>
          <w:tcPr>
            <w:tcW w:w="0" w:type="auto"/>
            <w:tcBorders>
              <w:top w:val="nil"/>
              <w:left w:val="nil"/>
              <w:bottom w:val="single" w:sz="4" w:space="0" w:color="auto"/>
              <w:right w:val="single" w:sz="4" w:space="0" w:color="auto"/>
            </w:tcBorders>
            <w:noWrap/>
            <w:vAlign w:val="center"/>
            <w:hideMark/>
          </w:tcPr>
          <w:p w14:paraId="2D9404A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131.817,26</w:t>
            </w:r>
          </w:p>
        </w:tc>
      </w:tr>
    </w:tbl>
    <w:p w14:paraId="08C282A1"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p w14:paraId="291A0B6B" w14:textId="77777777" w:rsidR="00BB3DD1" w:rsidRPr="00BB3DD1" w:rsidRDefault="00BB3DD1" w:rsidP="00BB3DD1">
      <w:pPr>
        <w:spacing w:line="240" w:lineRule="auto"/>
        <w:jc w:val="both"/>
        <w:rPr>
          <w:rFonts w:ascii="Arial" w:eastAsia="Times New Roman" w:hAnsi="Arial" w:cs="Arial"/>
          <w:lang w:val="es-ES" w:eastAsia="es-ES"/>
        </w:rPr>
      </w:pPr>
      <w:r w:rsidRPr="00BB3DD1">
        <w:rPr>
          <w:rFonts w:ascii="Arial" w:eastAsia="Times New Roman" w:hAnsi="Arial" w:cs="Arial"/>
          <w:lang w:val="es-ES" w:eastAsia="es-ES"/>
        </w:rPr>
        <w:t>CICLO FORMATIVO DE GRADO BÁSICO/FORMACIÓN PROFESIONAL BÁSICA</w:t>
      </w:r>
    </w:p>
    <w:tbl>
      <w:tblPr>
        <w:tblW w:w="14880" w:type="dxa"/>
        <w:tblCellMar>
          <w:left w:w="70" w:type="dxa"/>
          <w:right w:w="70" w:type="dxa"/>
        </w:tblCellMar>
        <w:tblLook w:val="04A0" w:firstRow="1" w:lastRow="0" w:firstColumn="1" w:lastColumn="0" w:noHBand="0" w:noVBand="1"/>
      </w:tblPr>
      <w:tblGrid>
        <w:gridCol w:w="4280"/>
        <w:gridCol w:w="998"/>
        <w:gridCol w:w="980"/>
        <w:gridCol w:w="1083"/>
        <w:gridCol w:w="1120"/>
        <w:gridCol w:w="1020"/>
        <w:gridCol w:w="1120"/>
        <w:gridCol w:w="1020"/>
        <w:gridCol w:w="1119"/>
        <w:gridCol w:w="1020"/>
        <w:gridCol w:w="1120"/>
      </w:tblGrid>
      <w:tr w:rsidR="00BB3DD1" w:rsidRPr="00BB3DD1" w14:paraId="1ED8CA1D" w14:textId="77777777" w:rsidTr="00BB0DB8">
        <w:trPr>
          <w:trHeight w:val="315"/>
        </w:trPr>
        <w:tc>
          <w:tcPr>
            <w:tcW w:w="4280" w:type="dxa"/>
            <w:vMerge w:val="restart"/>
            <w:tcBorders>
              <w:top w:val="single" w:sz="4" w:space="0" w:color="auto"/>
              <w:left w:val="single" w:sz="4" w:space="0" w:color="auto"/>
              <w:bottom w:val="single" w:sz="4" w:space="0" w:color="auto"/>
              <w:right w:val="single" w:sz="4" w:space="0" w:color="auto"/>
            </w:tcBorders>
            <w:noWrap/>
            <w:vAlign w:val="center"/>
            <w:hideMark/>
          </w:tcPr>
          <w:p w14:paraId="6734D2CC" w14:textId="77777777" w:rsidR="00BB3DD1" w:rsidRPr="00BB3DD1" w:rsidRDefault="00BB3DD1" w:rsidP="00BB3DD1">
            <w:pPr>
              <w:spacing w:after="0" w:line="240" w:lineRule="auto"/>
              <w:jc w:val="both"/>
              <w:rPr>
                <w:rFonts w:ascii="Arial" w:eastAsia="Times New Roman" w:hAnsi="Arial" w:cs="Arial"/>
                <w:b/>
                <w:bCs/>
                <w:color w:val="000000"/>
                <w:sz w:val="16"/>
                <w:szCs w:val="16"/>
                <w:lang w:val="es-ES" w:eastAsia="es-ES"/>
              </w:rPr>
            </w:pPr>
            <w:r w:rsidRPr="00BB3DD1">
              <w:rPr>
                <w:rFonts w:ascii="Arial" w:eastAsia="Times New Roman" w:hAnsi="Arial" w:cs="Arial"/>
                <w:b/>
                <w:bCs/>
                <w:color w:val="000000"/>
                <w:sz w:val="16"/>
                <w:szCs w:val="16"/>
                <w:lang w:val="es-ES" w:eastAsia="es-ES"/>
              </w:rPr>
              <w:t>CICLOS FORMATIVOS DE GRADO BÁSICO/FORMACIÓN PROFESIONAL BÁSICA</w:t>
            </w:r>
          </w:p>
        </w:tc>
        <w:tc>
          <w:tcPr>
            <w:tcW w:w="1000" w:type="dxa"/>
            <w:vMerge w:val="restart"/>
            <w:tcBorders>
              <w:top w:val="single" w:sz="4" w:space="0" w:color="auto"/>
              <w:left w:val="single" w:sz="4" w:space="0" w:color="auto"/>
              <w:bottom w:val="single" w:sz="4" w:space="0" w:color="auto"/>
              <w:right w:val="single" w:sz="4" w:space="0" w:color="auto"/>
            </w:tcBorders>
            <w:vAlign w:val="center"/>
            <w:hideMark/>
          </w:tcPr>
          <w:p w14:paraId="7087CE86"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CURSO </w:t>
            </w:r>
          </w:p>
        </w:tc>
        <w:tc>
          <w:tcPr>
            <w:tcW w:w="2060" w:type="dxa"/>
            <w:gridSpan w:val="2"/>
            <w:tcBorders>
              <w:top w:val="single" w:sz="4" w:space="0" w:color="auto"/>
              <w:left w:val="nil"/>
              <w:bottom w:val="single" w:sz="4" w:space="0" w:color="auto"/>
              <w:right w:val="single" w:sz="4" w:space="0" w:color="auto"/>
            </w:tcBorders>
            <w:vAlign w:val="center"/>
            <w:hideMark/>
          </w:tcPr>
          <w:p w14:paraId="250AD288"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RATIO PROFESOR</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2B3B7BF5"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SALARIOS PERSONAL</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240F2399"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73D563E5"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GASTOS VARIABLES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5C6634B0"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58001E60"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OTROS GASTOS</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14:paraId="179A2BEF"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 MÓDULO</w:t>
            </w:r>
          </w:p>
        </w:tc>
        <w:tc>
          <w:tcPr>
            <w:tcW w:w="1120" w:type="dxa"/>
            <w:vMerge w:val="restart"/>
            <w:tcBorders>
              <w:top w:val="single" w:sz="4" w:space="0" w:color="auto"/>
              <w:left w:val="single" w:sz="4" w:space="0" w:color="auto"/>
              <w:bottom w:val="single" w:sz="4" w:space="0" w:color="auto"/>
              <w:right w:val="single" w:sz="4" w:space="0" w:color="auto"/>
            </w:tcBorders>
            <w:vAlign w:val="center"/>
            <w:hideMark/>
          </w:tcPr>
          <w:p w14:paraId="10942840"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TOTAL MÓDULO</w:t>
            </w:r>
          </w:p>
        </w:tc>
      </w:tr>
      <w:tr w:rsidR="00BB3DD1" w:rsidRPr="00BB3DD1" w14:paraId="1529FFF2" w14:textId="77777777" w:rsidTr="00BB0DB8">
        <w:trPr>
          <w:trHeight w:val="315"/>
        </w:trPr>
        <w:tc>
          <w:tcPr>
            <w:tcW w:w="4280" w:type="dxa"/>
            <w:vMerge/>
            <w:tcBorders>
              <w:top w:val="single" w:sz="4" w:space="0" w:color="auto"/>
              <w:left w:val="single" w:sz="4" w:space="0" w:color="auto"/>
              <w:bottom w:val="single" w:sz="4" w:space="0" w:color="auto"/>
              <w:right w:val="single" w:sz="4" w:space="0" w:color="auto"/>
            </w:tcBorders>
            <w:vAlign w:val="center"/>
            <w:hideMark/>
          </w:tcPr>
          <w:p w14:paraId="7DCE6A1C" w14:textId="77777777" w:rsidR="00BB3DD1" w:rsidRPr="00BB3DD1" w:rsidRDefault="00BB3DD1" w:rsidP="00BB3DD1">
            <w:pPr>
              <w:spacing w:after="0" w:line="240" w:lineRule="auto"/>
              <w:rPr>
                <w:rFonts w:ascii="Arial" w:eastAsia="Times New Roman" w:hAnsi="Arial" w:cs="Arial"/>
                <w:b/>
                <w:bCs/>
                <w:color w:val="000000"/>
                <w:sz w:val="16"/>
                <w:szCs w:val="16"/>
                <w:lang w:val="es-ES" w:eastAsia="es-ES"/>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72C9C17C"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980" w:type="dxa"/>
            <w:tcBorders>
              <w:top w:val="nil"/>
              <w:left w:val="nil"/>
              <w:bottom w:val="single" w:sz="4" w:space="0" w:color="auto"/>
              <w:right w:val="single" w:sz="4" w:space="0" w:color="auto"/>
            </w:tcBorders>
            <w:noWrap/>
            <w:vAlign w:val="center"/>
            <w:hideMark/>
          </w:tcPr>
          <w:p w14:paraId="4110A211"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TITULAR</w:t>
            </w:r>
          </w:p>
        </w:tc>
        <w:tc>
          <w:tcPr>
            <w:tcW w:w="1080" w:type="dxa"/>
            <w:tcBorders>
              <w:top w:val="nil"/>
              <w:left w:val="nil"/>
              <w:bottom w:val="single" w:sz="4" w:space="0" w:color="auto"/>
              <w:right w:val="single" w:sz="4" w:space="0" w:color="auto"/>
            </w:tcBorders>
            <w:noWrap/>
            <w:vAlign w:val="center"/>
            <w:hideMark/>
          </w:tcPr>
          <w:p w14:paraId="36262EEF"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AGREGADO</w:t>
            </w: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1E3489C"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76574F2"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A442D86"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4933DB4"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FB2FBEF"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077B59F"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B7F7EA2" w14:textId="77777777" w:rsidR="00BB3DD1" w:rsidRPr="00BB3DD1" w:rsidRDefault="00BB3DD1" w:rsidP="00BB3DD1">
            <w:pPr>
              <w:spacing w:after="0" w:line="240" w:lineRule="auto"/>
              <w:rPr>
                <w:rFonts w:ascii="Arial" w:eastAsia="Times New Roman" w:hAnsi="Arial" w:cs="Arial"/>
                <w:b/>
                <w:bCs/>
                <w:sz w:val="16"/>
                <w:szCs w:val="16"/>
                <w:lang w:val="es-ES" w:eastAsia="es-ES"/>
              </w:rPr>
            </w:pPr>
          </w:p>
        </w:tc>
      </w:tr>
      <w:tr w:rsidR="00BB3DD1" w:rsidRPr="00BB3DD1" w14:paraId="24EA0F9F" w14:textId="77777777" w:rsidTr="00BB0DB8">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074C9A65" w14:textId="77777777" w:rsidR="00BB3DD1" w:rsidRPr="00BB3DD1" w:rsidRDefault="00BB3DD1" w:rsidP="00BB3DD1">
            <w:pPr>
              <w:spacing w:after="0" w:line="240" w:lineRule="auto"/>
              <w:jc w:val="both"/>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Servicios Comerciales</w:t>
            </w:r>
          </w:p>
        </w:tc>
        <w:tc>
          <w:tcPr>
            <w:tcW w:w="1000" w:type="dxa"/>
            <w:tcBorders>
              <w:top w:val="nil"/>
              <w:left w:val="nil"/>
              <w:bottom w:val="single" w:sz="4" w:space="0" w:color="auto"/>
              <w:right w:val="single" w:sz="4" w:space="0" w:color="auto"/>
            </w:tcBorders>
            <w:vAlign w:val="center"/>
            <w:hideMark/>
          </w:tcPr>
          <w:p w14:paraId="20CBC00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980" w:type="dxa"/>
            <w:tcBorders>
              <w:top w:val="nil"/>
              <w:left w:val="nil"/>
              <w:bottom w:val="single" w:sz="4" w:space="0" w:color="auto"/>
              <w:right w:val="single" w:sz="4" w:space="0" w:color="auto"/>
            </w:tcBorders>
            <w:vAlign w:val="center"/>
            <w:hideMark/>
          </w:tcPr>
          <w:p w14:paraId="4391996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43B65F8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467C965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34A0539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64,53</w:t>
            </w:r>
          </w:p>
        </w:tc>
        <w:tc>
          <w:tcPr>
            <w:tcW w:w="1120" w:type="dxa"/>
            <w:tcBorders>
              <w:top w:val="nil"/>
              <w:left w:val="nil"/>
              <w:bottom w:val="single" w:sz="4" w:space="0" w:color="auto"/>
              <w:right w:val="single" w:sz="4" w:space="0" w:color="auto"/>
            </w:tcBorders>
            <w:vAlign w:val="center"/>
            <w:hideMark/>
          </w:tcPr>
          <w:p w14:paraId="05B35C0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4CDDB39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14,57</w:t>
            </w:r>
          </w:p>
        </w:tc>
        <w:tc>
          <w:tcPr>
            <w:tcW w:w="1120" w:type="dxa"/>
            <w:tcBorders>
              <w:top w:val="nil"/>
              <w:left w:val="nil"/>
              <w:bottom w:val="single" w:sz="4" w:space="0" w:color="auto"/>
              <w:right w:val="single" w:sz="4" w:space="0" w:color="auto"/>
            </w:tcBorders>
            <w:vAlign w:val="center"/>
            <w:hideMark/>
          </w:tcPr>
          <w:p w14:paraId="70403D5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20.428,13</w:t>
            </w:r>
          </w:p>
        </w:tc>
        <w:tc>
          <w:tcPr>
            <w:tcW w:w="1020" w:type="dxa"/>
            <w:tcBorders>
              <w:top w:val="nil"/>
              <w:left w:val="nil"/>
              <w:bottom w:val="single" w:sz="4" w:space="0" w:color="auto"/>
              <w:right w:val="single" w:sz="4" w:space="0" w:color="auto"/>
            </w:tcBorders>
            <w:vAlign w:val="center"/>
            <w:hideMark/>
          </w:tcPr>
          <w:p w14:paraId="6B7D178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20,90</w:t>
            </w:r>
          </w:p>
        </w:tc>
        <w:tc>
          <w:tcPr>
            <w:tcW w:w="1120" w:type="dxa"/>
            <w:tcBorders>
              <w:top w:val="nil"/>
              <w:left w:val="nil"/>
              <w:bottom w:val="single" w:sz="4" w:space="0" w:color="auto"/>
              <w:right w:val="single" w:sz="4" w:space="0" w:color="auto"/>
            </w:tcBorders>
            <w:vAlign w:val="center"/>
            <w:hideMark/>
          </w:tcPr>
          <w:p w14:paraId="38FB8A0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97.726,60</w:t>
            </w:r>
          </w:p>
        </w:tc>
      </w:tr>
      <w:tr w:rsidR="00BB3DD1" w:rsidRPr="00BB3DD1" w14:paraId="1296D86A" w14:textId="77777777" w:rsidTr="00BB0DB8">
        <w:trPr>
          <w:trHeight w:val="300"/>
        </w:trPr>
        <w:tc>
          <w:tcPr>
            <w:tcW w:w="4280" w:type="dxa"/>
            <w:vMerge/>
            <w:tcBorders>
              <w:top w:val="nil"/>
              <w:left w:val="single" w:sz="4" w:space="0" w:color="auto"/>
              <w:bottom w:val="single" w:sz="4" w:space="0" w:color="auto"/>
              <w:right w:val="single" w:sz="4" w:space="0" w:color="auto"/>
            </w:tcBorders>
            <w:vAlign w:val="center"/>
            <w:hideMark/>
          </w:tcPr>
          <w:p w14:paraId="426616A3"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000" w:type="dxa"/>
            <w:tcBorders>
              <w:top w:val="nil"/>
              <w:left w:val="nil"/>
              <w:bottom w:val="single" w:sz="4" w:space="0" w:color="auto"/>
              <w:right w:val="single" w:sz="4" w:space="0" w:color="auto"/>
            </w:tcBorders>
            <w:vAlign w:val="center"/>
            <w:hideMark/>
          </w:tcPr>
          <w:p w14:paraId="617F36D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980" w:type="dxa"/>
            <w:tcBorders>
              <w:top w:val="nil"/>
              <w:left w:val="nil"/>
              <w:bottom w:val="single" w:sz="4" w:space="0" w:color="auto"/>
              <w:right w:val="single" w:sz="4" w:space="0" w:color="auto"/>
            </w:tcBorders>
            <w:vAlign w:val="center"/>
            <w:hideMark/>
          </w:tcPr>
          <w:p w14:paraId="6866D45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4BEC83A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4B82FE5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7B64790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64,53</w:t>
            </w:r>
          </w:p>
        </w:tc>
        <w:tc>
          <w:tcPr>
            <w:tcW w:w="1120" w:type="dxa"/>
            <w:tcBorders>
              <w:top w:val="nil"/>
              <w:left w:val="nil"/>
              <w:bottom w:val="single" w:sz="4" w:space="0" w:color="auto"/>
              <w:right w:val="single" w:sz="4" w:space="0" w:color="auto"/>
            </w:tcBorders>
            <w:vAlign w:val="center"/>
            <w:hideMark/>
          </w:tcPr>
          <w:p w14:paraId="588382B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483B894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14,57</w:t>
            </w:r>
          </w:p>
        </w:tc>
        <w:tc>
          <w:tcPr>
            <w:tcW w:w="1120" w:type="dxa"/>
            <w:tcBorders>
              <w:top w:val="nil"/>
              <w:left w:val="nil"/>
              <w:bottom w:val="single" w:sz="4" w:space="0" w:color="auto"/>
              <w:right w:val="single" w:sz="4" w:space="0" w:color="auto"/>
            </w:tcBorders>
            <w:vAlign w:val="center"/>
            <w:hideMark/>
          </w:tcPr>
          <w:p w14:paraId="2F0DD22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20.428,13</w:t>
            </w:r>
          </w:p>
        </w:tc>
        <w:tc>
          <w:tcPr>
            <w:tcW w:w="1020" w:type="dxa"/>
            <w:tcBorders>
              <w:top w:val="nil"/>
              <w:left w:val="nil"/>
              <w:bottom w:val="single" w:sz="4" w:space="0" w:color="auto"/>
              <w:right w:val="single" w:sz="4" w:space="0" w:color="auto"/>
            </w:tcBorders>
            <w:vAlign w:val="center"/>
            <w:hideMark/>
          </w:tcPr>
          <w:p w14:paraId="404474A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20,90</w:t>
            </w:r>
          </w:p>
        </w:tc>
        <w:tc>
          <w:tcPr>
            <w:tcW w:w="1120" w:type="dxa"/>
            <w:tcBorders>
              <w:top w:val="nil"/>
              <w:left w:val="nil"/>
              <w:bottom w:val="single" w:sz="4" w:space="0" w:color="auto"/>
              <w:right w:val="single" w:sz="4" w:space="0" w:color="auto"/>
            </w:tcBorders>
            <w:vAlign w:val="center"/>
            <w:hideMark/>
          </w:tcPr>
          <w:p w14:paraId="1D3B9A3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97.726,60</w:t>
            </w:r>
          </w:p>
        </w:tc>
      </w:tr>
      <w:tr w:rsidR="00BB3DD1" w:rsidRPr="00BB3DD1" w14:paraId="11571AE5" w14:textId="77777777" w:rsidTr="00BB0DB8">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3FF91E18" w14:textId="77777777" w:rsidR="00BB3DD1" w:rsidRPr="00BB3DD1" w:rsidRDefault="00BB3DD1" w:rsidP="00BB3DD1">
            <w:pPr>
              <w:spacing w:after="0" w:line="240" w:lineRule="auto"/>
              <w:jc w:val="both"/>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Servicios Administrativos</w:t>
            </w:r>
          </w:p>
        </w:tc>
        <w:tc>
          <w:tcPr>
            <w:tcW w:w="1000" w:type="dxa"/>
            <w:tcBorders>
              <w:top w:val="nil"/>
              <w:left w:val="nil"/>
              <w:bottom w:val="single" w:sz="4" w:space="0" w:color="auto"/>
              <w:right w:val="single" w:sz="4" w:space="0" w:color="auto"/>
            </w:tcBorders>
            <w:vAlign w:val="center"/>
            <w:hideMark/>
          </w:tcPr>
          <w:p w14:paraId="5304526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980" w:type="dxa"/>
            <w:tcBorders>
              <w:top w:val="nil"/>
              <w:left w:val="nil"/>
              <w:bottom w:val="single" w:sz="4" w:space="0" w:color="auto"/>
              <w:right w:val="single" w:sz="4" w:space="0" w:color="auto"/>
            </w:tcBorders>
            <w:vAlign w:val="center"/>
            <w:hideMark/>
          </w:tcPr>
          <w:p w14:paraId="67DA823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44C2BD1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7DDDFDC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485D283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64,10</w:t>
            </w:r>
          </w:p>
        </w:tc>
        <w:tc>
          <w:tcPr>
            <w:tcW w:w="1120" w:type="dxa"/>
            <w:tcBorders>
              <w:top w:val="nil"/>
              <w:left w:val="nil"/>
              <w:bottom w:val="single" w:sz="4" w:space="0" w:color="auto"/>
              <w:right w:val="single" w:sz="4" w:space="0" w:color="auto"/>
            </w:tcBorders>
            <w:vAlign w:val="center"/>
            <w:hideMark/>
          </w:tcPr>
          <w:p w14:paraId="38DB872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58DC316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14,47</w:t>
            </w:r>
          </w:p>
        </w:tc>
        <w:tc>
          <w:tcPr>
            <w:tcW w:w="1120" w:type="dxa"/>
            <w:tcBorders>
              <w:top w:val="nil"/>
              <w:left w:val="nil"/>
              <w:bottom w:val="single" w:sz="4" w:space="0" w:color="auto"/>
              <w:right w:val="single" w:sz="4" w:space="0" w:color="auto"/>
            </w:tcBorders>
            <w:vAlign w:val="center"/>
            <w:hideMark/>
          </w:tcPr>
          <w:p w14:paraId="1260985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21.082,72</w:t>
            </w:r>
          </w:p>
        </w:tc>
        <w:tc>
          <w:tcPr>
            <w:tcW w:w="1020" w:type="dxa"/>
            <w:tcBorders>
              <w:top w:val="nil"/>
              <w:left w:val="nil"/>
              <w:bottom w:val="single" w:sz="4" w:space="0" w:color="auto"/>
              <w:right w:val="single" w:sz="4" w:space="0" w:color="auto"/>
            </w:tcBorders>
            <w:vAlign w:val="center"/>
            <w:hideMark/>
          </w:tcPr>
          <w:p w14:paraId="1EC0D32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21,43</w:t>
            </w:r>
          </w:p>
        </w:tc>
        <w:tc>
          <w:tcPr>
            <w:tcW w:w="1120" w:type="dxa"/>
            <w:tcBorders>
              <w:top w:val="nil"/>
              <w:left w:val="nil"/>
              <w:bottom w:val="single" w:sz="4" w:space="0" w:color="auto"/>
              <w:right w:val="single" w:sz="4" w:space="0" w:color="auto"/>
            </w:tcBorders>
            <w:vAlign w:val="center"/>
            <w:hideMark/>
          </w:tcPr>
          <w:p w14:paraId="6670D2E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98.381,19</w:t>
            </w:r>
          </w:p>
        </w:tc>
      </w:tr>
      <w:tr w:rsidR="00BB3DD1" w:rsidRPr="00BB3DD1" w14:paraId="56EDFA54" w14:textId="77777777" w:rsidTr="00BB0DB8">
        <w:trPr>
          <w:trHeight w:val="300"/>
        </w:trPr>
        <w:tc>
          <w:tcPr>
            <w:tcW w:w="4280" w:type="dxa"/>
            <w:vMerge/>
            <w:tcBorders>
              <w:top w:val="nil"/>
              <w:left w:val="single" w:sz="4" w:space="0" w:color="auto"/>
              <w:bottom w:val="single" w:sz="4" w:space="0" w:color="auto"/>
              <w:right w:val="single" w:sz="4" w:space="0" w:color="auto"/>
            </w:tcBorders>
            <w:vAlign w:val="center"/>
            <w:hideMark/>
          </w:tcPr>
          <w:p w14:paraId="55AF8128"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000" w:type="dxa"/>
            <w:tcBorders>
              <w:top w:val="nil"/>
              <w:left w:val="nil"/>
              <w:bottom w:val="single" w:sz="4" w:space="0" w:color="auto"/>
              <w:right w:val="single" w:sz="4" w:space="0" w:color="auto"/>
            </w:tcBorders>
            <w:vAlign w:val="center"/>
            <w:hideMark/>
          </w:tcPr>
          <w:p w14:paraId="48FABDB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980" w:type="dxa"/>
            <w:tcBorders>
              <w:top w:val="nil"/>
              <w:left w:val="nil"/>
              <w:bottom w:val="single" w:sz="4" w:space="0" w:color="auto"/>
              <w:right w:val="single" w:sz="4" w:space="0" w:color="auto"/>
            </w:tcBorders>
            <w:vAlign w:val="center"/>
            <w:hideMark/>
          </w:tcPr>
          <w:p w14:paraId="564BE0D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37FD015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0028C4F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3718FC3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64,10</w:t>
            </w:r>
          </w:p>
        </w:tc>
        <w:tc>
          <w:tcPr>
            <w:tcW w:w="1120" w:type="dxa"/>
            <w:tcBorders>
              <w:top w:val="nil"/>
              <w:left w:val="nil"/>
              <w:bottom w:val="single" w:sz="4" w:space="0" w:color="auto"/>
              <w:right w:val="single" w:sz="4" w:space="0" w:color="auto"/>
            </w:tcBorders>
            <w:vAlign w:val="center"/>
            <w:hideMark/>
          </w:tcPr>
          <w:p w14:paraId="5490A49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4C064E0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14,47</w:t>
            </w:r>
          </w:p>
        </w:tc>
        <w:tc>
          <w:tcPr>
            <w:tcW w:w="1120" w:type="dxa"/>
            <w:tcBorders>
              <w:top w:val="nil"/>
              <w:left w:val="nil"/>
              <w:bottom w:val="single" w:sz="4" w:space="0" w:color="auto"/>
              <w:right w:val="single" w:sz="4" w:space="0" w:color="auto"/>
            </w:tcBorders>
            <w:vAlign w:val="center"/>
            <w:hideMark/>
          </w:tcPr>
          <w:p w14:paraId="28ED40D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21.082,72</w:t>
            </w:r>
          </w:p>
        </w:tc>
        <w:tc>
          <w:tcPr>
            <w:tcW w:w="1020" w:type="dxa"/>
            <w:tcBorders>
              <w:top w:val="nil"/>
              <w:left w:val="nil"/>
              <w:bottom w:val="single" w:sz="4" w:space="0" w:color="auto"/>
              <w:right w:val="single" w:sz="4" w:space="0" w:color="auto"/>
            </w:tcBorders>
            <w:vAlign w:val="center"/>
            <w:hideMark/>
          </w:tcPr>
          <w:p w14:paraId="30DD0BB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21,43</w:t>
            </w:r>
          </w:p>
        </w:tc>
        <w:tc>
          <w:tcPr>
            <w:tcW w:w="1120" w:type="dxa"/>
            <w:tcBorders>
              <w:top w:val="nil"/>
              <w:left w:val="nil"/>
              <w:bottom w:val="single" w:sz="4" w:space="0" w:color="auto"/>
              <w:right w:val="single" w:sz="4" w:space="0" w:color="auto"/>
            </w:tcBorders>
            <w:vAlign w:val="center"/>
            <w:hideMark/>
          </w:tcPr>
          <w:p w14:paraId="2B181BC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98.381,19</w:t>
            </w:r>
          </w:p>
        </w:tc>
      </w:tr>
      <w:tr w:rsidR="00BB3DD1" w:rsidRPr="00BB3DD1" w14:paraId="0CBFE025" w14:textId="77777777" w:rsidTr="00BB0DB8">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02A95757" w14:textId="77777777" w:rsidR="00BB3DD1" w:rsidRPr="00BB3DD1" w:rsidRDefault="00BB3DD1" w:rsidP="00BB3DD1">
            <w:pPr>
              <w:spacing w:after="0" w:line="240" w:lineRule="auto"/>
              <w:jc w:val="both"/>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Informática de Oficina</w:t>
            </w:r>
          </w:p>
        </w:tc>
        <w:tc>
          <w:tcPr>
            <w:tcW w:w="1000" w:type="dxa"/>
            <w:tcBorders>
              <w:top w:val="nil"/>
              <w:left w:val="nil"/>
              <w:bottom w:val="single" w:sz="4" w:space="0" w:color="auto"/>
              <w:right w:val="single" w:sz="4" w:space="0" w:color="auto"/>
            </w:tcBorders>
            <w:vAlign w:val="center"/>
            <w:hideMark/>
          </w:tcPr>
          <w:p w14:paraId="35884A8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980" w:type="dxa"/>
            <w:tcBorders>
              <w:top w:val="nil"/>
              <w:left w:val="nil"/>
              <w:bottom w:val="single" w:sz="4" w:space="0" w:color="auto"/>
              <w:right w:val="single" w:sz="4" w:space="0" w:color="auto"/>
            </w:tcBorders>
            <w:vAlign w:val="center"/>
            <w:hideMark/>
          </w:tcPr>
          <w:p w14:paraId="489FA6B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2FCB6F2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2A741F9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43ED617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64,10</w:t>
            </w:r>
          </w:p>
        </w:tc>
        <w:tc>
          <w:tcPr>
            <w:tcW w:w="1120" w:type="dxa"/>
            <w:tcBorders>
              <w:top w:val="nil"/>
              <w:left w:val="nil"/>
              <w:bottom w:val="single" w:sz="4" w:space="0" w:color="auto"/>
              <w:right w:val="single" w:sz="4" w:space="0" w:color="auto"/>
            </w:tcBorders>
            <w:vAlign w:val="center"/>
            <w:hideMark/>
          </w:tcPr>
          <w:p w14:paraId="04C1CCA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19D41CA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14,47</w:t>
            </w:r>
          </w:p>
        </w:tc>
        <w:tc>
          <w:tcPr>
            <w:tcW w:w="1120" w:type="dxa"/>
            <w:tcBorders>
              <w:top w:val="nil"/>
              <w:left w:val="nil"/>
              <w:bottom w:val="single" w:sz="4" w:space="0" w:color="auto"/>
              <w:right w:val="single" w:sz="4" w:space="0" w:color="auto"/>
            </w:tcBorders>
            <w:vAlign w:val="center"/>
            <w:hideMark/>
          </w:tcPr>
          <w:p w14:paraId="795ADB5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21.082,72</w:t>
            </w:r>
          </w:p>
        </w:tc>
        <w:tc>
          <w:tcPr>
            <w:tcW w:w="1020" w:type="dxa"/>
            <w:tcBorders>
              <w:top w:val="nil"/>
              <w:left w:val="nil"/>
              <w:bottom w:val="single" w:sz="4" w:space="0" w:color="auto"/>
              <w:right w:val="single" w:sz="4" w:space="0" w:color="auto"/>
            </w:tcBorders>
            <w:vAlign w:val="center"/>
            <w:hideMark/>
          </w:tcPr>
          <w:p w14:paraId="2D9CD7A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21,43</w:t>
            </w:r>
          </w:p>
        </w:tc>
        <w:tc>
          <w:tcPr>
            <w:tcW w:w="1120" w:type="dxa"/>
            <w:tcBorders>
              <w:top w:val="nil"/>
              <w:left w:val="nil"/>
              <w:bottom w:val="single" w:sz="4" w:space="0" w:color="auto"/>
              <w:right w:val="single" w:sz="4" w:space="0" w:color="auto"/>
            </w:tcBorders>
            <w:vAlign w:val="center"/>
            <w:hideMark/>
          </w:tcPr>
          <w:p w14:paraId="75099C5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98.381,19</w:t>
            </w:r>
          </w:p>
        </w:tc>
      </w:tr>
      <w:tr w:rsidR="00BB3DD1" w:rsidRPr="00BB3DD1" w14:paraId="4D8BC986" w14:textId="77777777" w:rsidTr="00BB0DB8">
        <w:trPr>
          <w:trHeight w:val="300"/>
        </w:trPr>
        <w:tc>
          <w:tcPr>
            <w:tcW w:w="4280" w:type="dxa"/>
            <w:vMerge/>
            <w:tcBorders>
              <w:top w:val="nil"/>
              <w:left w:val="single" w:sz="4" w:space="0" w:color="auto"/>
              <w:bottom w:val="single" w:sz="4" w:space="0" w:color="auto"/>
              <w:right w:val="single" w:sz="4" w:space="0" w:color="auto"/>
            </w:tcBorders>
            <w:vAlign w:val="center"/>
            <w:hideMark/>
          </w:tcPr>
          <w:p w14:paraId="3806AECE"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000" w:type="dxa"/>
            <w:tcBorders>
              <w:top w:val="nil"/>
              <w:left w:val="nil"/>
              <w:bottom w:val="single" w:sz="4" w:space="0" w:color="auto"/>
              <w:right w:val="single" w:sz="4" w:space="0" w:color="auto"/>
            </w:tcBorders>
            <w:vAlign w:val="center"/>
            <w:hideMark/>
          </w:tcPr>
          <w:p w14:paraId="736CD3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980" w:type="dxa"/>
            <w:tcBorders>
              <w:top w:val="nil"/>
              <w:left w:val="nil"/>
              <w:bottom w:val="single" w:sz="4" w:space="0" w:color="auto"/>
              <w:right w:val="single" w:sz="4" w:space="0" w:color="auto"/>
            </w:tcBorders>
            <w:vAlign w:val="center"/>
            <w:hideMark/>
          </w:tcPr>
          <w:p w14:paraId="30FF833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5559594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5FC1D3A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29E17A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64,10</w:t>
            </w:r>
          </w:p>
        </w:tc>
        <w:tc>
          <w:tcPr>
            <w:tcW w:w="1120" w:type="dxa"/>
            <w:tcBorders>
              <w:top w:val="nil"/>
              <w:left w:val="nil"/>
              <w:bottom w:val="single" w:sz="4" w:space="0" w:color="auto"/>
              <w:right w:val="single" w:sz="4" w:space="0" w:color="auto"/>
            </w:tcBorders>
            <w:vAlign w:val="center"/>
            <w:hideMark/>
          </w:tcPr>
          <w:p w14:paraId="4A29EE2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45A1C6C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14,47</w:t>
            </w:r>
          </w:p>
        </w:tc>
        <w:tc>
          <w:tcPr>
            <w:tcW w:w="1120" w:type="dxa"/>
            <w:tcBorders>
              <w:top w:val="nil"/>
              <w:left w:val="nil"/>
              <w:bottom w:val="single" w:sz="4" w:space="0" w:color="auto"/>
              <w:right w:val="single" w:sz="4" w:space="0" w:color="auto"/>
            </w:tcBorders>
            <w:vAlign w:val="center"/>
            <w:hideMark/>
          </w:tcPr>
          <w:p w14:paraId="6A528E4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21.082,72</w:t>
            </w:r>
          </w:p>
        </w:tc>
        <w:tc>
          <w:tcPr>
            <w:tcW w:w="1020" w:type="dxa"/>
            <w:tcBorders>
              <w:top w:val="nil"/>
              <w:left w:val="nil"/>
              <w:bottom w:val="single" w:sz="4" w:space="0" w:color="auto"/>
              <w:right w:val="single" w:sz="4" w:space="0" w:color="auto"/>
            </w:tcBorders>
            <w:vAlign w:val="center"/>
            <w:hideMark/>
          </w:tcPr>
          <w:p w14:paraId="7C288A5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21,43</w:t>
            </w:r>
          </w:p>
        </w:tc>
        <w:tc>
          <w:tcPr>
            <w:tcW w:w="1120" w:type="dxa"/>
            <w:tcBorders>
              <w:top w:val="nil"/>
              <w:left w:val="nil"/>
              <w:bottom w:val="single" w:sz="4" w:space="0" w:color="auto"/>
              <w:right w:val="single" w:sz="4" w:space="0" w:color="auto"/>
            </w:tcBorders>
            <w:vAlign w:val="center"/>
            <w:hideMark/>
          </w:tcPr>
          <w:p w14:paraId="3A50EC7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98.381,19</w:t>
            </w:r>
          </w:p>
        </w:tc>
      </w:tr>
      <w:tr w:rsidR="00BB3DD1" w:rsidRPr="00BB3DD1" w14:paraId="15B4F72E" w14:textId="77777777" w:rsidTr="00BB0DB8">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06BEFA0B" w14:textId="77777777" w:rsidR="00BB3DD1" w:rsidRPr="00BB3DD1" w:rsidRDefault="00BB3DD1" w:rsidP="00BB3DD1">
            <w:pPr>
              <w:spacing w:after="0" w:line="240" w:lineRule="auto"/>
              <w:jc w:val="both"/>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Artes Gráficas</w:t>
            </w:r>
          </w:p>
        </w:tc>
        <w:tc>
          <w:tcPr>
            <w:tcW w:w="1000" w:type="dxa"/>
            <w:tcBorders>
              <w:top w:val="nil"/>
              <w:left w:val="nil"/>
              <w:bottom w:val="single" w:sz="4" w:space="0" w:color="auto"/>
              <w:right w:val="single" w:sz="4" w:space="0" w:color="auto"/>
            </w:tcBorders>
            <w:vAlign w:val="center"/>
            <w:hideMark/>
          </w:tcPr>
          <w:p w14:paraId="678B1BB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980" w:type="dxa"/>
            <w:tcBorders>
              <w:top w:val="nil"/>
              <w:left w:val="nil"/>
              <w:bottom w:val="single" w:sz="4" w:space="0" w:color="auto"/>
              <w:right w:val="single" w:sz="4" w:space="0" w:color="auto"/>
            </w:tcBorders>
            <w:vAlign w:val="center"/>
            <w:hideMark/>
          </w:tcPr>
          <w:p w14:paraId="5EB3EDC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37B626D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61FCD2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3B1FCFF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61,09</w:t>
            </w:r>
          </w:p>
        </w:tc>
        <w:tc>
          <w:tcPr>
            <w:tcW w:w="1120" w:type="dxa"/>
            <w:tcBorders>
              <w:top w:val="nil"/>
              <w:left w:val="nil"/>
              <w:bottom w:val="single" w:sz="4" w:space="0" w:color="auto"/>
              <w:right w:val="single" w:sz="4" w:space="0" w:color="auto"/>
            </w:tcBorders>
            <w:vAlign w:val="center"/>
            <w:hideMark/>
          </w:tcPr>
          <w:p w14:paraId="4E7B2DA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6693F6A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13,79</w:t>
            </w:r>
          </w:p>
        </w:tc>
        <w:tc>
          <w:tcPr>
            <w:tcW w:w="1120" w:type="dxa"/>
            <w:tcBorders>
              <w:top w:val="nil"/>
              <w:left w:val="nil"/>
              <w:bottom w:val="single" w:sz="4" w:space="0" w:color="auto"/>
              <w:right w:val="single" w:sz="4" w:space="0" w:color="auto"/>
            </w:tcBorders>
            <w:vAlign w:val="center"/>
            <w:hideMark/>
          </w:tcPr>
          <w:p w14:paraId="55693B7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25.921,42</w:t>
            </w:r>
          </w:p>
        </w:tc>
        <w:tc>
          <w:tcPr>
            <w:tcW w:w="1020" w:type="dxa"/>
            <w:tcBorders>
              <w:top w:val="nil"/>
              <w:left w:val="nil"/>
              <w:bottom w:val="single" w:sz="4" w:space="0" w:color="auto"/>
              <w:right w:val="single" w:sz="4" w:space="0" w:color="auto"/>
            </w:tcBorders>
            <w:vAlign w:val="center"/>
            <w:hideMark/>
          </w:tcPr>
          <w:p w14:paraId="411BB1F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25,11</w:t>
            </w:r>
          </w:p>
        </w:tc>
        <w:tc>
          <w:tcPr>
            <w:tcW w:w="1120" w:type="dxa"/>
            <w:tcBorders>
              <w:top w:val="nil"/>
              <w:left w:val="nil"/>
              <w:bottom w:val="single" w:sz="4" w:space="0" w:color="auto"/>
              <w:right w:val="single" w:sz="4" w:space="0" w:color="auto"/>
            </w:tcBorders>
            <w:vAlign w:val="center"/>
            <w:hideMark/>
          </w:tcPr>
          <w:p w14:paraId="5E87AAE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103.219,89</w:t>
            </w:r>
          </w:p>
        </w:tc>
      </w:tr>
      <w:tr w:rsidR="00BB3DD1" w:rsidRPr="00BB3DD1" w14:paraId="48B3585E" w14:textId="77777777" w:rsidTr="00BB0DB8">
        <w:trPr>
          <w:trHeight w:val="300"/>
        </w:trPr>
        <w:tc>
          <w:tcPr>
            <w:tcW w:w="4280" w:type="dxa"/>
            <w:vMerge/>
            <w:tcBorders>
              <w:top w:val="nil"/>
              <w:left w:val="single" w:sz="4" w:space="0" w:color="auto"/>
              <w:bottom w:val="single" w:sz="4" w:space="0" w:color="auto"/>
              <w:right w:val="single" w:sz="4" w:space="0" w:color="auto"/>
            </w:tcBorders>
            <w:vAlign w:val="center"/>
            <w:hideMark/>
          </w:tcPr>
          <w:p w14:paraId="5A7B5236"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000" w:type="dxa"/>
            <w:tcBorders>
              <w:top w:val="nil"/>
              <w:left w:val="nil"/>
              <w:bottom w:val="single" w:sz="4" w:space="0" w:color="auto"/>
              <w:right w:val="single" w:sz="4" w:space="0" w:color="auto"/>
            </w:tcBorders>
            <w:vAlign w:val="center"/>
            <w:hideMark/>
          </w:tcPr>
          <w:p w14:paraId="480DCBC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980" w:type="dxa"/>
            <w:tcBorders>
              <w:top w:val="nil"/>
              <w:left w:val="nil"/>
              <w:bottom w:val="single" w:sz="4" w:space="0" w:color="auto"/>
              <w:right w:val="single" w:sz="4" w:space="0" w:color="auto"/>
            </w:tcBorders>
            <w:vAlign w:val="center"/>
            <w:hideMark/>
          </w:tcPr>
          <w:p w14:paraId="544FECF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194348E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4550991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400DD2A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61,09</w:t>
            </w:r>
          </w:p>
        </w:tc>
        <w:tc>
          <w:tcPr>
            <w:tcW w:w="1120" w:type="dxa"/>
            <w:tcBorders>
              <w:top w:val="nil"/>
              <w:left w:val="nil"/>
              <w:bottom w:val="single" w:sz="4" w:space="0" w:color="auto"/>
              <w:right w:val="single" w:sz="4" w:space="0" w:color="auto"/>
            </w:tcBorders>
            <w:vAlign w:val="center"/>
            <w:hideMark/>
          </w:tcPr>
          <w:p w14:paraId="6D5765E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4CEE085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13,79</w:t>
            </w:r>
          </w:p>
        </w:tc>
        <w:tc>
          <w:tcPr>
            <w:tcW w:w="1120" w:type="dxa"/>
            <w:tcBorders>
              <w:top w:val="nil"/>
              <w:left w:val="nil"/>
              <w:bottom w:val="single" w:sz="4" w:space="0" w:color="auto"/>
              <w:right w:val="single" w:sz="4" w:space="0" w:color="auto"/>
            </w:tcBorders>
            <w:vAlign w:val="center"/>
            <w:hideMark/>
          </w:tcPr>
          <w:p w14:paraId="62C2EA5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25.921,42</w:t>
            </w:r>
          </w:p>
        </w:tc>
        <w:tc>
          <w:tcPr>
            <w:tcW w:w="1020" w:type="dxa"/>
            <w:tcBorders>
              <w:top w:val="nil"/>
              <w:left w:val="nil"/>
              <w:bottom w:val="single" w:sz="4" w:space="0" w:color="auto"/>
              <w:right w:val="single" w:sz="4" w:space="0" w:color="auto"/>
            </w:tcBorders>
            <w:vAlign w:val="center"/>
            <w:hideMark/>
          </w:tcPr>
          <w:p w14:paraId="6AA3F0C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25,11</w:t>
            </w:r>
          </w:p>
        </w:tc>
        <w:tc>
          <w:tcPr>
            <w:tcW w:w="1120" w:type="dxa"/>
            <w:tcBorders>
              <w:top w:val="nil"/>
              <w:left w:val="nil"/>
              <w:bottom w:val="single" w:sz="4" w:space="0" w:color="auto"/>
              <w:right w:val="single" w:sz="4" w:space="0" w:color="auto"/>
            </w:tcBorders>
            <w:vAlign w:val="center"/>
            <w:hideMark/>
          </w:tcPr>
          <w:p w14:paraId="2E59DE5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103.219,89</w:t>
            </w:r>
          </w:p>
        </w:tc>
      </w:tr>
      <w:tr w:rsidR="00BB3DD1" w:rsidRPr="00BB3DD1" w14:paraId="5F7DAAD4" w14:textId="77777777" w:rsidTr="00BB0DB8">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2351E0CC" w14:textId="77777777" w:rsidR="00BB3DD1" w:rsidRPr="00BB3DD1" w:rsidRDefault="00BB3DD1" w:rsidP="00BB3DD1">
            <w:pPr>
              <w:spacing w:after="0" w:line="240" w:lineRule="auto"/>
              <w:jc w:val="both"/>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Electricidad y Electrónica</w:t>
            </w:r>
          </w:p>
        </w:tc>
        <w:tc>
          <w:tcPr>
            <w:tcW w:w="1000" w:type="dxa"/>
            <w:tcBorders>
              <w:top w:val="nil"/>
              <w:left w:val="nil"/>
              <w:bottom w:val="single" w:sz="4" w:space="0" w:color="auto"/>
              <w:right w:val="single" w:sz="4" w:space="0" w:color="auto"/>
            </w:tcBorders>
            <w:vAlign w:val="center"/>
            <w:hideMark/>
          </w:tcPr>
          <w:p w14:paraId="1729B30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980" w:type="dxa"/>
            <w:tcBorders>
              <w:top w:val="nil"/>
              <w:left w:val="nil"/>
              <w:bottom w:val="single" w:sz="4" w:space="0" w:color="auto"/>
              <w:right w:val="single" w:sz="4" w:space="0" w:color="auto"/>
            </w:tcBorders>
            <w:vAlign w:val="center"/>
            <w:hideMark/>
          </w:tcPr>
          <w:p w14:paraId="35C4C60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58ED581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2458BBD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7B2A6F3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60,92</w:t>
            </w:r>
          </w:p>
        </w:tc>
        <w:tc>
          <w:tcPr>
            <w:tcW w:w="1120" w:type="dxa"/>
            <w:tcBorders>
              <w:top w:val="nil"/>
              <w:left w:val="nil"/>
              <w:bottom w:val="single" w:sz="4" w:space="0" w:color="auto"/>
              <w:right w:val="single" w:sz="4" w:space="0" w:color="auto"/>
            </w:tcBorders>
            <w:vAlign w:val="center"/>
            <w:hideMark/>
          </w:tcPr>
          <w:p w14:paraId="25F9312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63DE6F9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13,75</w:t>
            </w:r>
          </w:p>
        </w:tc>
        <w:tc>
          <w:tcPr>
            <w:tcW w:w="1120" w:type="dxa"/>
            <w:tcBorders>
              <w:top w:val="nil"/>
              <w:left w:val="nil"/>
              <w:bottom w:val="single" w:sz="4" w:space="0" w:color="auto"/>
              <w:right w:val="single" w:sz="4" w:space="0" w:color="auto"/>
            </w:tcBorders>
            <w:vAlign w:val="center"/>
            <w:hideMark/>
          </w:tcPr>
          <w:p w14:paraId="676CD5D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26.218,73</w:t>
            </w:r>
          </w:p>
        </w:tc>
        <w:tc>
          <w:tcPr>
            <w:tcW w:w="1020" w:type="dxa"/>
            <w:tcBorders>
              <w:top w:val="nil"/>
              <w:left w:val="nil"/>
              <w:bottom w:val="single" w:sz="4" w:space="0" w:color="auto"/>
              <w:right w:val="single" w:sz="4" w:space="0" w:color="auto"/>
            </w:tcBorders>
            <w:vAlign w:val="center"/>
            <w:hideMark/>
          </w:tcPr>
          <w:p w14:paraId="55538F7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25,33</w:t>
            </w:r>
          </w:p>
        </w:tc>
        <w:tc>
          <w:tcPr>
            <w:tcW w:w="1120" w:type="dxa"/>
            <w:tcBorders>
              <w:top w:val="nil"/>
              <w:left w:val="nil"/>
              <w:bottom w:val="single" w:sz="4" w:space="0" w:color="auto"/>
              <w:right w:val="single" w:sz="4" w:space="0" w:color="auto"/>
            </w:tcBorders>
            <w:vAlign w:val="center"/>
            <w:hideMark/>
          </w:tcPr>
          <w:p w14:paraId="01B3883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103.517,20</w:t>
            </w:r>
          </w:p>
        </w:tc>
      </w:tr>
      <w:tr w:rsidR="00BB3DD1" w:rsidRPr="00BB3DD1" w14:paraId="450AEAC5" w14:textId="77777777" w:rsidTr="00BB0DB8">
        <w:trPr>
          <w:trHeight w:val="300"/>
        </w:trPr>
        <w:tc>
          <w:tcPr>
            <w:tcW w:w="4280" w:type="dxa"/>
            <w:vMerge/>
            <w:tcBorders>
              <w:top w:val="nil"/>
              <w:left w:val="single" w:sz="4" w:space="0" w:color="auto"/>
              <w:bottom w:val="single" w:sz="4" w:space="0" w:color="auto"/>
              <w:right w:val="single" w:sz="4" w:space="0" w:color="auto"/>
            </w:tcBorders>
            <w:vAlign w:val="center"/>
            <w:hideMark/>
          </w:tcPr>
          <w:p w14:paraId="730F62BA"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000" w:type="dxa"/>
            <w:tcBorders>
              <w:top w:val="nil"/>
              <w:left w:val="nil"/>
              <w:bottom w:val="single" w:sz="4" w:space="0" w:color="auto"/>
              <w:right w:val="single" w:sz="4" w:space="0" w:color="auto"/>
            </w:tcBorders>
            <w:vAlign w:val="center"/>
            <w:hideMark/>
          </w:tcPr>
          <w:p w14:paraId="304B770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980" w:type="dxa"/>
            <w:tcBorders>
              <w:top w:val="nil"/>
              <w:left w:val="nil"/>
              <w:bottom w:val="single" w:sz="4" w:space="0" w:color="auto"/>
              <w:right w:val="single" w:sz="4" w:space="0" w:color="auto"/>
            </w:tcBorders>
            <w:vAlign w:val="center"/>
            <w:hideMark/>
          </w:tcPr>
          <w:p w14:paraId="5A21178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4290C91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478088B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290AE31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60,92</w:t>
            </w:r>
          </w:p>
        </w:tc>
        <w:tc>
          <w:tcPr>
            <w:tcW w:w="1120" w:type="dxa"/>
            <w:tcBorders>
              <w:top w:val="nil"/>
              <w:left w:val="nil"/>
              <w:bottom w:val="single" w:sz="4" w:space="0" w:color="auto"/>
              <w:right w:val="single" w:sz="4" w:space="0" w:color="auto"/>
            </w:tcBorders>
            <w:vAlign w:val="center"/>
            <w:hideMark/>
          </w:tcPr>
          <w:p w14:paraId="21B71C8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08CD8CA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13,75</w:t>
            </w:r>
          </w:p>
        </w:tc>
        <w:tc>
          <w:tcPr>
            <w:tcW w:w="1120" w:type="dxa"/>
            <w:tcBorders>
              <w:top w:val="nil"/>
              <w:left w:val="nil"/>
              <w:bottom w:val="single" w:sz="4" w:space="0" w:color="auto"/>
              <w:right w:val="single" w:sz="4" w:space="0" w:color="auto"/>
            </w:tcBorders>
            <w:vAlign w:val="center"/>
            <w:hideMark/>
          </w:tcPr>
          <w:p w14:paraId="509AC6C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26.218,73</w:t>
            </w:r>
          </w:p>
        </w:tc>
        <w:tc>
          <w:tcPr>
            <w:tcW w:w="1020" w:type="dxa"/>
            <w:tcBorders>
              <w:top w:val="nil"/>
              <w:left w:val="nil"/>
              <w:bottom w:val="single" w:sz="4" w:space="0" w:color="auto"/>
              <w:right w:val="single" w:sz="4" w:space="0" w:color="auto"/>
            </w:tcBorders>
            <w:vAlign w:val="center"/>
            <w:hideMark/>
          </w:tcPr>
          <w:p w14:paraId="5CC98D4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25,33</w:t>
            </w:r>
          </w:p>
        </w:tc>
        <w:tc>
          <w:tcPr>
            <w:tcW w:w="1120" w:type="dxa"/>
            <w:tcBorders>
              <w:top w:val="nil"/>
              <w:left w:val="nil"/>
              <w:bottom w:val="single" w:sz="4" w:space="0" w:color="auto"/>
              <w:right w:val="single" w:sz="4" w:space="0" w:color="auto"/>
            </w:tcBorders>
            <w:vAlign w:val="center"/>
            <w:hideMark/>
          </w:tcPr>
          <w:p w14:paraId="3B3D985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103.517,20</w:t>
            </w:r>
          </w:p>
        </w:tc>
      </w:tr>
      <w:tr w:rsidR="00BB3DD1" w:rsidRPr="00BB3DD1" w14:paraId="01E5249C" w14:textId="77777777" w:rsidTr="00BB0DB8">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4EDD703E" w14:textId="77777777" w:rsidR="00BB3DD1" w:rsidRPr="00BB3DD1" w:rsidRDefault="00BB3DD1" w:rsidP="00BB3DD1">
            <w:pPr>
              <w:spacing w:after="0" w:line="240" w:lineRule="auto"/>
              <w:jc w:val="both"/>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Fabricación de elementos metálicos</w:t>
            </w:r>
          </w:p>
        </w:tc>
        <w:tc>
          <w:tcPr>
            <w:tcW w:w="1000" w:type="dxa"/>
            <w:tcBorders>
              <w:top w:val="nil"/>
              <w:left w:val="nil"/>
              <w:bottom w:val="single" w:sz="4" w:space="0" w:color="auto"/>
              <w:right w:val="single" w:sz="4" w:space="0" w:color="auto"/>
            </w:tcBorders>
            <w:vAlign w:val="center"/>
            <w:hideMark/>
          </w:tcPr>
          <w:p w14:paraId="2027CAD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980" w:type="dxa"/>
            <w:tcBorders>
              <w:top w:val="nil"/>
              <w:left w:val="nil"/>
              <w:bottom w:val="single" w:sz="4" w:space="0" w:color="auto"/>
              <w:right w:val="single" w:sz="4" w:space="0" w:color="auto"/>
            </w:tcBorders>
            <w:vAlign w:val="center"/>
            <w:hideMark/>
          </w:tcPr>
          <w:p w14:paraId="319DB5E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0A576AC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56A83FA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0F9F41C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60,79</w:t>
            </w:r>
          </w:p>
        </w:tc>
        <w:tc>
          <w:tcPr>
            <w:tcW w:w="1120" w:type="dxa"/>
            <w:tcBorders>
              <w:top w:val="nil"/>
              <w:left w:val="nil"/>
              <w:bottom w:val="single" w:sz="4" w:space="0" w:color="auto"/>
              <w:right w:val="single" w:sz="4" w:space="0" w:color="auto"/>
            </w:tcBorders>
            <w:vAlign w:val="center"/>
            <w:hideMark/>
          </w:tcPr>
          <w:p w14:paraId="6BAAA9F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0D4801B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13,72</w:t>
            </w:r>
          </w:p>
        </w:tc>
        <w:tc>
          <w:tcPr>
            <w:tcW w:w="1120" w:type="dxa"/>
            <w:tcBorders>
              <w:top w:val="nil"/>
              <w:left w:val="nil"/>
              <w:bottom w:val="single" w:sz="4" w:space="0" w:color="auto"/>
              <w:right w:val="single" w:sz="4" w:space="0" w:color="auto"/>
            </w:tcBorders>
            <w:vAlign w:val="center"/>
            <w:hideMark/>
          </w:tcPr>
          <w:p w14:paraId="1E7682F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26.443,69</w:t>
            </w:r>
          </w:p>
        </w:tc>
        <w:tc>
          <w:tcPr>
            <w:tcW w:w="1020" w:type="dxa"/>
            <w:tcBorders>
              <w:top w:val="nil"/>
              <w:left w:val="nil"/>
              <w:bottom w:val="single" w:sz="4" w:space="0" w:color="auto"/>
              <w:right w:val="single" w:sz="4" w:space="0" w:color="auto"/>
            </w:tcBorders>
            <w:vAlign w:val="center"/>
            <w:hideMark/>
          </w:tcPr>
          <w:p w14:paraId="438A8A5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25,49</w:t>
            </w:r>
          </w:p>
        </w:tc>
        <w:tc>
          <w:tcPr>
            <w:tcW w:w="1120" w:type="dxa"/>
            <w:tcBorders>
              <w:top w:val="nil"/>
              <w:left w:val="nil"/>
              <w:bottom w:val="single" w:sz="4" w:space="0" w:color="auto"/>
              <w:right w:val="single" w:sz="4" w:space="0" w:color="auto"/>
            </w:tcBorders>
            <w:vAlign w:val="center"/>
            <w:hideMark/>
          </w:tcPr>
          <w:p w14:paraId="34E9A17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103.742,16</w:t>
            </w:r>
          </w:p>
        </w:tc>
      </w:tr>
      <w:tr w:rsidR="00BB3DD1" w:rsidRPr="00BB3DD1" w14:paraId="4DF54BC0" w14:textId="77777777" w:rsidTr="00BB0DB8">
        <w:trPr>
          <w:trHeight w:val="300"/>
        </w:trPr>
        <w:tc>
          <w:tcPr>
            <w:tcW w:w="4280" w:type="dxa"/>
            <w:vMerge/>
            <w:tcBorders>
              <w:top w:val="nil"/>
              <w:left w:val="single" w:sz="4" w:space="0" w:color="auto"/>
              <w:bottom w:val="single" w:sz="4" w:space="0" w:color="auto"/>
              <w:right w:val="single" w:sz="4" w:space="0" w:color="auto"/>
            </w:tcBorders>
            <w:vAlign w:val="center"/>
            <w:hideMark/>
          </w:tcPr>
          <w:p w14:paraId="4EBA333D"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000" w:type="dxa"/>
            <w:tcBorders>
              <w:top w:val="nil"/>
              <w:left w:val="nil"/>
              <w:bottom w:val="single" w:sz="4" w:space="0" w:color="auto"/>
              <w:right w:val="single" w:sz="4" w:space="0" w:color="auto"/>
            </w:tcBorders>
            <w:vAlign w:val="center"/>
            <w:hideMark/>
          </w:tcPr>
          <w:p w14:paraId="584C785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980" w:type="dxa"/>
            <w:tcBorders>
              <w:top w:val="nil"/>
              <w:left w:val="nil"/>
              <w:bottom w:val="single" w:sz="4" w:space="0" w:color="auto"/>
              <w:right w:val="single" w:sz="4" w:space="0" w:color="auto"/>
            </w:tcBorders>
            <w:vAlign w:val="center"/>
            <w:hideMark/>
          </w:tcPr>
          <w:p w14:paraId="08B16F8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1A108AA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07A3DEC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34A5E49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60,79</w:t>
            </w:r>
          </w:p>
        </w:tc>
        <w:tc>
          <w:tcPr>
            <w:tcW w:w="1120" w:type="dxa"/>
            <w:tcBorders>
              <w:top w:val="nil"/>
              <w:left w:val="nil"/>
              <w:bottom w:val="single" w:sz="4" w:space="0" w:color="auto"/>
              <w:right w:val="single" w:sz="4" w:space="0" w:color="auto"/>
            </w:tcBorders>
            <w:vAlign w:val="center"/>
            <w:hideMark/>
          </w:tcPr>
          <w:p w14:paraId="5B3F311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224B676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13,72</w:t>
            </w:r>
          </w:p>
        </w:tc>
        <w:tc>
          <w:tcPr>
            <w:tcW w:w="1120" w:type="dxa"/>
            <w:tcBorders>
              <w:top w:val="nil"/>
              <w:left w:val="nil"/>
              <w:bottom w:val="single" w:sz="4" w:space="0" w:color="auto"/>
              <w:right w:val="single" w:sz="4" w:space="0" w:color="auto"/>
            </w:tcBorders>
            <w:vAlign w:val="center"/>
            <w:hideMark/>
          </w:tcPr>
          <w:p w14:paraId="41CB5DD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26.443,69</w:t>
            </w:r>
          </w:p>
        </w:tc>
        <w:tc>
          <w:tcPr>
            <w:tcW w:w="1020" w:type="dxa"/>
            <w:tcBorders>
              <w:top w:val="nil"/>
              <w:left w:val="nil"/>
              <w:bottom w:val="single" w:sz="4" w:space="0" w:color="auto"/>
              <w:right w:val="single" w:sz="4" w:space="0" w:color="auto"/>
            </w:tcBorders>
            <w:vAlign w:val="center"/>
            <w:hideMark/>
          </w:tcPr>
          <w:p w14:paraId="31DB14F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25,49</w:t>
            </w:r>
          </w:p>
        </w:tc>
        <w:tc>
          <w:tcPr>
            <w:tcW w:w="1120" w:type="dxa"/>
            <w:tcBorders>
              <w:top w:val="nil"/>
              <w:left w:val="nil"/>
              <w:bottom w:val="single" w:sz="4" w:space="0" w:color="auto"/>
              <w:right w:val="single" w:sz="4" w:space="0" w:color="auto"/>
            </w:tcBorders>
            <w:vAlign w:val="center"/>
            <w:hideMark/>
          </w:tcPr>
          <w:p w14:paraId="3CC0DD44"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103.742,16</w:t>
            </w:r>
          </w:p>
        </w:tc>
      </w:tr>
      <w:tr w:rsidR="00BB3DD1" w:rsidRPr="00BB3DD1" w14:paraId="5ACB6874" w14:textId="77777777" w:rsidTr="00BB0DB8">
        <w:trPr>
          <w:trHeight w:val="300"/>
        </w:trPr>
        <w:tc>
          <w:tcPr>
            <w:tcW w:w="4280" w:type="dxa"/>
            <w:vMerge w:val="restart"/>
            <w:tcBorders>
              <w:top w:val="nil"/>
              <w:left w:val="single" w:sz="4" w:space="0" w:color="auto"/>
              <w:bottom w:val="single" w:sz="4" w:space="0" w:color="auto"/>
              <w:right w:val="single" w:sz="4" w:space="0" w:color="auto"/>
            </w:tcBorders>
            <w:noWrap/>
            <w:vAlign w:val="center"/>
            <w:hideMark/>
          </w:tcPr>
          <w:p w14:paraId="5667DA9E" w14:textId="77777777" w:rsidR="00BB3DD1" w:rsidRPr="00BB3DD1" w:rsidRDefault="00BB3DD1" w:rsidP="00BB3DD1">
            <w:pPr>
              <w:spacing w:after="0" w:line="240" w:lineRule="auto"/>
              <w:jc w:val="both"/>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Reforma y Mantenimiento de Edificios</w:t>
            </w:r>
          </w:p>
        </w:tc>
        <w:tc>
          <w:tcPr>
            <w:tcW w:w="1000" w:type="dxa"/>
            <w:tcBorders>
              <w:top w:val="nil"/>
              <w:left w:val="nil"/>
              <w:bottom w:val="single" w:sz="4" w:space="0" w:color="auto"/>
              <w:right w:val="single" w:sz="4" w:space="0" w:color="auto"/>
            </w:tcBorders>
            <w:vAlign w:val="center"/>
            <w:hideMark/>
          </w:tcPr>
          <w:p w14:paraId="693ABF6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980" w:type="dxa"/>
            <w:tcBorders>
              <w:top w:val="nil"/>
              <w:left w:val="nil"/>
              <w:bottom w:val="single" w:sz="4" w:space="0" w:color="auto"/>
              <w:right w:val="single" w:sz="4" w:space="0" w:color="auto"/>
            </w:tcBorders>
            <w:vAlign w:val="center"/>
            <w:hideMark/>
          </w:tcPr>
          <w:p w14:paraId="0DCCE03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07C2F1C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5CC3326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477210C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59,20</w:t>
            </w:r>
          </w:p>
        </w:tc>
        <w:tc>
          <w:tcPr>
            <w:tcW w:w="1120" w:type="dxa"/>
            <w:tcBorders>
              <w:top w:val="nil"/>
              <w:left w:val="nil"/>
              <w:bottom w:val="single" w:sz="4" w:space="0" w:color="auto"/>
              <w:right w:val="single" w:sz="4" w:space="0" w:color="auto"/>
            </w:tcBorders>
            <w:vAlign w:val="center"/>
            <w:hideMark/>
          </w:tcPr>
          <w:p w14:paraId="7DF9ACC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6E673BD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13,36</w:t>
            </w:r>
          </w:p>
        </w:tc>
        <w:tc>
          <w:tcPr>
            <w:tcW w:w="1120" w:type="dxa"/>
            <w:tcBorders>
              <w:top w:val="nil"/>
              <w:left w:val="nil"/>
              <w:bottom w:val="single" w:sz="4" w:space="0" w:color="auto"/>
              <w:right w:val="single" w:sz="4" w:space="0" w:color="auto"/>
            </w:tcBorders>
            <w:vAlign w:val="center"/>
            <w:hideMark/>
          </w:tcPr>
          <w:p w14:paraId="0970962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29.228,40</w:t>
            </w:r>
          </w:p>
        </w:tc>
        <w:tc>
          <w:tcPr>
            <w:tcW w:w="1020" w:type="dxa"/>
            <w:tcBorders>
              <w:top w:val="nil"/>
              <w:left w:val="nil"/>
              <w:bottom w:val="single" w:sz="4" w:space="0" w:color="auto"/>
              <w:right w:val="single" w:sz="4" w:space="0" w:color="auto"/>
            </w:tcBorders>
            <w:vAlign w:val="center"/>
            <w:hideMark/>
          </w:tcPr>
          <w:p w14:paraId="3F3E372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27,44</w:t>
            </w:r>
          </w:p>
        </w:tc>
        <w:tc>
          <w:tcPr>
            <w:tcW w:w="1120" w:type="dxa"/>
            <w:tcBorders>
              <w:top w:val="nil"/>
              <w:left w:val="nil"/>
              <w:bottom w:val="single" w:sz="4" w:space="0" w:color="auto"/>
              <w:right w:val="single" w:sz="4" w:space="0" w:color="auto"/>
            </w:tcBorders>
            <w:vAlign w:val="center"/>
            <w:hideMark/>
          </w:tcPr>
          <w:p w14:paraId="50D6C83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106.526,87</w:t>
            </w:r>
          </w:p>
        </w:tc>
      </w:tr>
      <w:tr w:rsidR="00BB3DD1" w:rsidRPr="00BB3DD1" w14:paraId="7A33B240" w14:textId="77777777" w:rsidTr="00BB0DB8">
        <w:trPr>
          <w:trHeight w:val="300"/>
        </w:trPr>
        <w:tc>
          <w:tcPr>
            <w:tcW w:w="4280" w:type="dxa"/>
            <w:vMerge/>
            <w:tcBorders>
              <w:top w:val="nil"/>
              <w:left w:val="single" w:sz="4" w:space="0" w:color="auto"/>
              <w:bottom w:val="single" w:sz="4" w:space="0" w:color="auto"/>
              <w:right w:val="single" w:sz="4" w:space="0" w:color="auto"/>
            </w:tcBorders>
            <w:vAlign w:val="center"/>
            <w:hideMark/>
          </w:tcPr>
          <w:p w14:paraId="487303C1"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000" w:type="dxa"/>
            <w:tcBorders>
              <w:top w:val="nil"/>
              <w:left w:val="nil"/>
              <w:bottom w:val="single" w:sz="4" w:space="0" w:color="auto"/>
              <w:right w:val="single" w:sz="4" w:space="0" w:color="auto"/>
            </w:tcBorders>
            <w:vAlign w:val="center"/>
            <w:hideMark/>
          </w:tcPr>
          <w:p w14:paraId="7F63E63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980" w:type="dxa"/>
            <w:tcBorders>
              <w:top w:val="nil"/>
              <w:left w:val="nil"/>
              <w:bottom w:val="single" w:sz="4" w:space="0" w:color="auto"/>
              <w:right w:val="single" w:sz="4" w:space="0" w:color="auto"/>
            </w:tcBorders>
            <w:vAlign w:val="center"/>
            <w:hideMark/>
          </w:tcPr>
          <w:p w14:paraId="3684BE4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0,522</w:t>
            </w:r>
          </w:p>
        </w:tc>
        <w:tc>
          <w:tcPr>
            <w:tcW w:w="1080" w:type="dxa"/>
            <w:tcBorders>
              <w:top w:val="nil"/>
              <w:left w:val="nil"/>
              <w:bottom w:val="single" w:sz="4" w:space="0" w:color="auto"/>
              <w:right w:val="single" w:sz="4" w:space="0" w:color="auto"/>
            </w:tcBorders>
            <w:vAlign w:val="center"/>
            <w:hideMark/>
          </w:tcPr>
          <w:p w14:paraId="1D84770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0,783</w:t>
            </w:r>
          </w:p>
        </w:tc>
        <w:tc>
          <w:tcPr>
            <w:tcW w:w="1120" w:type="dxa"/>
            <w:tcBorders>
              <w:top w:val="nil"/>
              <w:left w:val="nil"/>
              <w:bottom w:val="single" w:sz="4" w:space="0" w:color="auto"/>
              <w:right w:val="single" w:sz="4" w:space="0" w:color="auto"/>
            </w:tcBorders>
            <w:vAlign w:val="center"/>
            <w:hideMark/>
          </w:tcPr>
          <w:p w14:paraId="7DD7C53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63.062,01</w:t>
            </w:r>
          </w:p>
        </w:tc>
        <w:tc>
          <w:tcPr>
            <w:tcW w:w="1020" w:type="dxa"/>
            <w:tcBorders>
              <w:top w:val="nil"/>
              <w:left w:val="nil"/>
              <w:bottom w:val="single" w:sz="4" w:space="0" w:color="auto"/>
              <w:right w:val="single" w:sz="4" w:space="0" w:color="auto"/>
            </w:tcBorders>
            <w:vAlign w:val="center"/>
            <w:hideMark/>
          </w:tcPr>
          <w:p w14:paraId="59B7037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59,20</w:t>
            </w:r>
          </w:p>
        </w:tc>
        <w:tc>
          <w:tcPr>
            <w:tcW w:w="1120" w:type="dxa"/>
            <w:tcBorders>
              <w:top w:val="nil"/>
              <w:left w:val="nil"/>
              <w:bottom w:val="single" w:sz="4" w:space="0" w:color="auto"/>
              <w:right w:val="single" w:sz="4" w:space="0" w:color="auto"/>
            </w:tcBorders>
            <w:vAlign w:val="center"/>
            <w:hideMark/>
          </w:tcPr>
          <w:p w14:paraId="5D0BBBC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14.236,46</w:t>
            </w:r>
          </w:p>
        </w:tc>
        <w:tc>
          <w:tcPr>
            <w:tcW w:w="1020" w:type="dxa"/>
            <w:tcBorders>
              <w:top w:val="nil"/>
              <w:left w:val="nil"/>
              <w:bottom w:val="single" w:sz="4" w:space="0" w:color="auto"/>
              <w:right w:val="single" w:sz="4" w:space="0" w:color="auto"/>
            </w:tcBorders>
            <w:vAlign w:val="center"/>
            <w:hideMark/>
          </w:tcPr>
          <w:p w14:paraId="262F7DD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13,36</w:t>
            </w:r>
          </w:p>
        </w:tc>
        <w:tc>
          <w:tcPr>
            <w:tcW w:w="1120" w:type="dxa"/>
            <w:tcBorders>
              <w:top w:val="nil"/>
              <w:left w:val="nil"/>
              <w:bottom w:val="single" w:sz="4" w:space="0" w:color="auto"/>
              <w:right w:val="single" w:sz="4" w:space="0" w:color="auto"/>
            </w:tcBorders>
            <w:vAlign w:val="center"/>
            <w:hideMark/>
          </w:tcPr>
          <w:p w14:paraId="06FB4B9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29.228,40</w:t>
            </w:r>
          </w:p>
        </w:tc>
        <w:tc>
          <w:tcPr>
            <w:tcW w:w="1020" w:type="dxa"/>
            <w:tcBorders>
              <w:top w:val="nil"/>
              <w:left w:val="nil"/>
              <w:bottom w:val="single" w:sz="4" w:space="0" w:color="auto"/>
              <w:right w:val="single" w:sz="4" w:space="0" w:color="auto"/>
            </w:tcBorders>
            <w:vAlign w:val="center"/>
            <w:hideMark/>
          </w:tcPr>
          <w:p w14:paraId="718FB95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27,44</w:t>
            </w:r>
          </w:p>
        </w:tc>
        <w:tc>
          <w:tcPr>
            <w:tcW w:w="1120" w:type="dxa"/>
            <w:tcBorders>
              <w:top w:val="nil"/>
              <w:left w:val="nil"/>
              <w:bottom w:val="single" w:sz="4" w:space="0" w:color="auto"/>
              <w:right w:val="single" w:sz="4" w:space="0" w:color="auto"/>
            </w:tcBorders>
            <w:vAlign w:val="center"/>
            <w:hideMark/>
          </w:tcPr>
          <w:p w14:paraId="31C553F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106.526,87</w:t>
            </w:r>
          </w:p>
        </w:tc>
      </w:tr>
    </w:tbl>
    <w:p w14:paraId="2C4A3AEF" w14:textId="77777777" w:rsidR="00BB3DD1" w:rsidRPr="00BB3DD1" w:rsidRDefault="00BB3DD1" w:rsidP="00BB3DD1">
      <w:pPr>
        <w:spacing w:after="0" w:line="240" w:lineRule="auto"/>
        <w:jc w:val="both"/>
        <w:rPr>
          <w:rFonts w:ascii="Arial" w:eastAsia="Times New Roman" w:hAnsi="Arial" w:cs="Arial"/>
          <w:sz w:val="24"/>
          <w:szCs w:val="24"/>
          <w:lang w:val="es-ES" w:eastAsia="es-ES"/>
        </w:rPr>
      </w:pPr>
    </w:p>
    <w:p w14:paraId="36C3BC11" w14:textId="77777777" w:rsidR="00BB3DD1" w:rsidRPr="00BB3DD1" w:rsidRDefault="00BB3DD1" w:rsidP="00BB3DD1">
      <w:pPr>
        <w:spacing w:after="0" w:line="340" w:lineRule="exact"/>
        <w:jc w:val="both"/>
        <w:rPr>
          <w:rFonts w:ascii="Arial" w:eastAsia="Times New Roman" w:hAnsi="Arial" w:cs="Arial"/>
          <w:sz w:val="20"/>
          <w:szCs w:val="20"/>
          <w:lang w:val="es-ES" w:eastAsia="es-ES"/>
        </w:rPr>
      </w:pPr>
      <w:r w:rsidRPr="00BB3DD1">
        <w:rPr>
          <w:rFonts w:ascii="Arial" w:eastAsia="Times New Roman" w:hAnsi="Arial" w:cs="Arial"/>
          <w:sz w:val="20"/>
          <w:szCs w:val="20"/>
          <w:lang w:val="es-ES" w:eastAsia="es-ES"/>
        </w:rPr>
        <w:t>Las ratios del profesorado titular de los niveles de Educación Infantil y Primaria están calculadas con una jornada de 23 horas de docencia directa semanales.</w:t>
      </w:r>
    </w:p>
    <w:p w14:paraId="0E129878" w14:textId="5E405C30" w:rsidR="00BB3DD1" w:rsidRPr="00BB3DD1" w:rsidRDefault="00BB3DD1" w:rsidP="00BB3DD1">
      <w:pPr>
        <w:spacing w:after="0" w:line="340" w:lineRule="exact"/>
        <w:jc w:val="both"/>
        <w:rPr>
          <w:rFonts w:ascii="Arial" w:eastAsia="Times New Roman" w:hAnsi="Arial" w:cs="Arial"/>
          <w:sz w:val="20"/>
          <w:szCs w:val="20"/>
          <w:lang w:val="es-ES" w:eastAsia="es-ES"/>
        </w:rPr>
      </w:pPr>
      <w:r w:rsidRPr="00BB3DD1">
        <w:rPr>
          <w:rFonts w:ascii="Arial" w:eastAsia="Times New Roman" w:hAnsi="Arial" w:cs="Arial"/>
          <w:sz w:val="20"/>
          <w:szCs w:val="20"/>
          <w:lang w:val="es-ES" w:eastAsia="es-ES"/>
        </w:rPr>
        <w:t>Las ratios del profesorado titular de Educación Secundaria y Agregado están calculadas con una jornada de 23 horas lectivas semanales</w:t>
      </w:r>
      <w:r w:rsidR="00CF00F4">
        <w:rPr>
          <w:rFonts w:ascii="Arial" w:eastAsia="Times New Roman" w:hAnsi="Arial" w:cs="Arial"/>
          <w:sz w:val="20"/>
          <w:szCs w:val="20"/>
          <w:lang w:val="es-ES" w:eastAsia="es-ES"/>
        </w:rPr>
        <w:t>.</w:t>
      </w:r>
    </w:p>
    <w:p w14:paraId="7A6FE139" w14:textId="77777777" w:rsidR="00BB3DD1" w:rsidRPr="00BB3DD1" w:rsidRDefault="00BB3DD1" w:rsidP="00BB3DD1">
      <w:pPr>
        <w:spacing w:after="0" w:line="240" w:lineRule="auto"/>
        <w:rPr>
          <w:rFonts w:ascii="Arial" w:eastAsia="Times New Roman" w:hAnsi="Arial" w:cs="Arial"/>
          <w:sz w:val="20"/>
          <w:szCs w:val="20"/>
          <w:lang w:val="es-ES" w:eastAsia="es-ES"/>
        </w:rPr>
      </w:pPr>
      <w:r w:rsidRPr="00BB3DD1">
        <w:rPr>
          <w:rFonts w:ascii="Times New Roman" w:eastAsia="Times New Roman" w:hAnsi="Times New Roman" w:cs="Arial"/>
          <w:sz w:val="20"/>
          <w:szCs w:val="20"/>
          <w:lang w:eastAsia="es-ES"/>
        </w:rPr>
        <w:br w:type="page"/>
      </w:r>
    </w:p>
    <w:p w14:paraId="3120394D" w14:textId="77777777" w:rsidR="00BB3DD1" w:rsidRPr="00BB3DD1" w:rsidRDefault="00BB3DD1" w:rsidP="00BB3DD1">
      <w:pPr>
        <w:spacing w:after="0" w:line="240" w:lineRule="auto"/>
        <w:jc w:val="both"/>
        <w:rPr>
          <w:rFonts w:ascii="Arial" w:eastAsia="Times New Roman" w:hAnsi="Arial" w:cs="Arial"/>
          <w:b/>
          <w:sz w:val="20"/>
          <w:szCs w:val="20"/>
          <w:lang w:val="es-ES" w:eastAsia="es-ES"/>
        </w:rPr>
      </w:pPr>
    </w:p>
    <w:p w14:paraId="3C430089" w14:textId="77777777" w:rsidR="00BB3DD1" w:rsidRPr="00BB3DD1" w:rsidRDefault="00BB3DD1" w:rsidP="00BB3DD1">
      <w:pPr>
        <w:spacing w:after="300" w:line="240" w:lineRule="auto"/>
        <w:jc w:val="both"/>
        <w:rPr>
          <w:rFonts w:ascii="Arial" w:eastAsia="Times New Roman" w:hAnsi="Arial" w:cs="Arial"/>
          <w:lang w:val="es-ES" w:eastAsia="es-ES"/>
        </w:rPr>
      </w:pPr>
      <w:bookmarkStart w:id="7" w:name="_Hlk213155776"/>
      <w:r w:rsidRPr="00BB3DD1">
        <w:rPr>
          <w:rFonts w:ascii="Arial" w:eastAsia="Times New Roman" w:hAnsi="Arial" w:cs="Arial"/>
          <w:lang w:val="es-ES" w:eastAsia="es-ES"/>
        </w:rPr>
        <w:t>MÓDULOS ENTIDADES SIN ÁNIMO DE LUCRO</w:t>
      </w:r>
    </w:p>
    <w:tbl>
      <w:tblPr>
        <w:tblW w:w="8387" w:type="dxa"/>
        <w:tblCellMar>
          <w:left w:w="70" w:type="dxa"/>
          <w:right w:w="70" w:type="dxa"/>
        </w:tblCellMar>
        <w:tblLook w:val="04A0" w:firstRow="1" w:lastRow="0" w:firstColumn="1" w:lastColumn="0" w:noHBand="0" w:noVBand="1"/>
      </w:tblPr>
      <w:tblGrid>
        <w:gridCol w:w="5524"/>
        <w:gridCol w:w="1275"/>
        <w:gridCol w:w="1588"/>
      </w:tblGrid>
      <w:tr w:rsidR="00BB3DD1" w:rsidRPr="00BB3DD1" w14:paraId="70898CD3" w14:textId="77777777" w:rsidTr="00BB0DB8">
        <w:trPr>
          <w:trHeight w:val="615"/>
        </w:trPr>
        <w:tc>
          <w:tcPr>
            <w:tcW w:w="5524" w:type="dxa"/>
            <w:tcBorders>
              <w:top w:val="single" w:sz="4" w:space="0" w:color="auto"/>
              <w:left w:val="single" w:sz="4" w:space="0" w:color="auto"/>
              <w:bottom w:val="single" w:sz="4" w:space="0" w:color="auto"/>
              <w:right w:val="single" w:sz="4" w:space="0" w:color="auto"/>
            </w:tcBorders>
            <w:vAlign w:val="center"/>
            <w:hideMark/>
          </w:tcPr>
          <w:p w14:paraId="71785F22" w14:textId="77777777" w:rsidR="00BB3DD1" w:rsidRPr="00BB3DD1" w:rsidRDefault="00BB3DD1" w:rsidP="00BB3DD1">
            <w:pPr>
              <w:spacing w:after="0" w:line="240" w:lineRule="auto"/>
              <w:rPr>
                <w:rFonts w:ascii="Arial" w:eastAsia="Times New Roman" w:hAnsi="Arial" w:cs="Arial"/>
                <w:b/>
                <w:bCs/>
                <w:color w:val="000000"/>
                <w:sz w:val="16"/>
                <w:szCs w:val="16"/>
                <w:lang w:val="es-ES" w:eastAsia="es-ES"/>
              </w:rPr>
            </w:pPr>
            <w:r w:rsidRPr="00BB3DD1">
              <w:rPr>
                <w:rFonts w:ascii="Arial" w:eastAsia="Times New Roman" w:hAnsi="Arial" w:cs="Arial"/>
                <w:b/>
                <w:bCs/>
                <w:color w:val="000000"/>
                <w:sz w:val="16"/>
                <w:szCs w:val="16"/>
                <w:lang w:val="es-ES" w:eastAsia="es-ES"/>
              </w:rPr>
              <w:t>CICLOS FORMATIVOS DE GRADO BÁSICO/FORMACIÓN PROFESIONAL BÁSICA</w:t>
            </w:r>
          </w:p>
        </w:tc>
        <w:tc>
          <w:tcPr>
            <w:tcW w:w="1275" w:type="dxa"/>
            <w:tcBorders>
              <w:top w:val="single" w:sz="4" w:space="0" w:color="auto"/>
              <w:left w:val="nil"/>
              <w:bottom w:val="single" w:sz="4" w:space="0" w:color="auto"/>
              <w:right w:val="single" w:sz="4" w:space="0" w:color="auto"/>
            </w:tcBorders>
            <w:noWrap/>
            <w:vAlign w:val="center"/>
            <w:hideMark/>
          </w:tcPr>
          <w:p w14:paraId="31E6939D"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CURSO</w:t>
            </w:r>
          </w:p>
        </w:tc>
        <w:tc>
          <w:tcPr>
            <w:tcW w:w="1588" w:type="dxa"/>
            <w:tcBorders>
              <w:top w:val="single" w:sz="4" w:space="0" w:color="auto"/>
              <w:left w:val="nil"/>
              <w:bottom w:val="single" w:sz="4" w:space="0" w:color="auto"/>
              <w:right w:val="single" w:sz="4" w:space="0" w:color="auto"/>
            </w:tcBorders>
            <w:noWrap/>
            <w:vAlign w:val="center"/>
            <w:hideMark/>
          </w:tcPr>
          <w:p w14:paraId="75B9B60A" w14:textId="77777777" w:rsidR="00BB3DD1" w:rsidRPr="00BB3DD1" w:rsidRDefault="00BB3DD1" w:rsidP="00BB3DD1">
            <w:pPr>
              <w:spacing w:after="0" w:line="240" w:lineRule="auto"/>
              <w:jc w:val="center"/>
              <w:rPr>
                <w:rFonts w:ascii="Arial" w:eastAsia="Times New Roman" w:hAnsi="Arial" w:cs="Arial"/>
                <w:b/>
                <w:bCs/>
                <w:sz w:val="16"/>
                <w:szCs w:val="16"/>
                <w:lang w:val="es-ES" w:eastAsia="es-ES"/>
              </w:rPr>
            </w:pPr>
            <w:r w:rsidRPr="00BB3DD1">
              <w:rPr>
                <w:rFonts w:ascii="Arial" w:eastAsia="Times New Roman" w:hAnsi="Arial" w:cs="Arial"/>
                <w:b/>
                <w:bCs/>
                <w:sz w:val="16"/>
                <w:szCs w:val="16"/>
                <w:lang w:val="es-ES" w:eastAsia="es-ES"/>
              </w:rPr>
              <w:t>MÓDULO</w:t>
            </w:r>
          </w:p>
        </w:tc>
      </w:tr>
      <w:tr w:rsidR="00BB3DD1" w:rsidRPr="00BB3DD1" w14:paraId="2296B5B0" w14:textId="77777777" w:rsidTr="00BB0DB8">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67EC69C5"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Electricidad y Electrónica</w:t>
            </w:r>
          </w:p>
        </w:tc>
        <w:tc>
          <w:tcPr>
            <w:tcW w:w="1275" w:type="dxa"/>
            <w:tcBorders>
              <w:top w:val="nil"/>
              <w:left w:val="nil"/>
              <w:bottom w:val="single" w:sz="4" w:space="0" w:color="auto"/>
              <w:right w:val="single" w:sz="4" w:space="0" w:color="auto"/>
            </w:tcBorders>
            <w:vAlign w:val="center"/>
            <w:hideMark/>
          </w:tcPr>
          <w:p w14:paraId="73A292C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1588" w:type="dxa"/>
            <w:tcBorders>
              <w:top w:val="nil"/>
              <w:left w:val="nil"/>
              <w:bottom w:val="single" w:sz="4" w:space="0" w:color="auto"/>
              <w:right w:val="single" w:sz="4" w:space="0" w:color="auto"/>
            </w:tcBorders>
            <w:vAlign w:val="center"/>
            <w:hideMark/>
          </w:tcPr>
          <w:p w14:paraId="3EE6429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103.517,20</w:t>
            </w:r>
          </w:p>
        </w:tc>
      </w:tr>
      <w:tr w:rsidR="00BB3DD1" w:rsidRPr="00BB3DD1" w14:paraId="092042CD" w14:textId="77777777" w:rsidTr="00BB0DB8">
        <w:trPr>
          <w:trHeight w:val="300"/>
        </w:trPr>
        <w:tc>
          <w:tcPr>
            <w:tcW w:w="5524" w:type="dxa"/>
            <w:vMerge/>
            <w:tcBorders>
              <w:top w:val="nil"/>
              <w:left w:val="single" w:sz="4" w:space="0" w:color="auto"/>
              <w:bottom w:val="single" w:sz="4" w:space="0" w:color="auto"/>
              <w:right w:val="single" w:sz="4" w:space="0" w:color="auto"/>
            </w:tcBorders>
            <w:vAlign w:val="center"/>
            <w:hideMark/>
          </w:tcPr>
          <w:p w14:paraId="0AC4F84F"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275" w:type="dxa"/>
            <w:tcBorders>
              <w:top w:val="nil"/>
              <w:left w:val="nil"/>
              <w:bottom w:val="single" w:sz="4" w:space="0" w:color="auto"/>
              <w:right w:val="single" w:sz="4" w:space="0" w:color="auto"/>
            </w:tcBorders>
            <w:vAlign w:val="center"/>
            <w:hideMark/>
          </w:tcPr>
          <w:p w14:paraId="41769A3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1588" w:type="dxa"/>
            <w:tcBorders>
              <w:top w:val="nil"/>
              <w:left w:val="nil"/>
              <w:bottom w:val="single" w:sz="4" w:space="0" w:color="auto"/>
              <w:right w:val="single" w:sz="4" w:space="0" w:color="auto"/>
            </w:tcBorders>
            <w:vAlign w:val="center"/>
            <w:hideMark/>
          </w:tcPr>
          <w:p w14:paraId="7E07B7B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103.517,20</w:t>
            </w:r>
          </w:p>
        </w:tc>
      </w:tr>
      <w:tr w:rsidR="00BB3DD1" w:rsidRPr="00BB3DD1" w14:paraId="1E432E79" w14:textId="77777777" w:rsidTr="00BB0DB8">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35AF5910"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Reforma y Mantenimiento de Edificios</w:t>
            </w:r>
          </w:p>
        </w:tc>
        <w:tc>
          <w:tcPr>
            <w:tcW w:w="1275" w:type="dxa"/>
            <w:tcBorders>
              <w:top w:val="nil"/>
              <w:left w:val="nil"/>
              <w:bottom w:val="single" w:sz="4" w:space="0" w:color="auto"/>
              <w:right w:val="single" w:sz="4" w:space="0" w:color="auto"/>
            </w:tcBorders>
            <w:vAlign w:val="center"/>
            <w:hideMark/>
          </w:tcPr>
          <w:p w14:paraId="22F8833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1588" w:type="dxa"/>
            <w:tcBorders>
              <w:top w:val="nil"/>
              <w:left w:val="nil"/>
              <w:bottom w:val="single" w:sz="4" w:space="0" w:color="auto"/>
              <w:right w:val="single" w:sz="4" w:space="0" w:color="auto"/>
            </w:tcBorders>
            <w:vAlign w:val="center"/>
            <w:hideMark/>
          </w:tcPr>
          <w:p w14:paraId="32CDDA7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106.526,87</w:t>
            </w:r>
          </w:p>
        </w:tc>
      </w:tr>
      <w:tr w:rsidR="00BB3DD1" w:rsidRPr="00BB3DD1" w14:paraId="57C15891" w14:textId="77777777" w:rsidTr="00BB0DB8">
        <w:trPr>
          <w:trHeight w:val="300"/>
        </w:trPr>
        <w:tc>
          <w:tcPr>
            <w:tcW w:w="5524" w:type="dxa"/>
            <w:vMerge/>
            <w:tcBorders>
              <w:top w:val="nil"/>
              <w:left w:val="single" w:sz="4" w:space="0" w:color="auto"/>
              <w:bottom w:val="single" w:sz="4" w:space="0" w:color="auto"/>
              <w:right w:val="single" w:sz="4" w:space="0" w:color="auto"/>
            </w:tcBorders>
            <w:vAlign w:val="center"/>
            <w:hideMark/>
          </w:tcPr>
          <w:p w14:paraId="125A9B9F"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275" w:type="dxa"/>
            <w:tcBorders>
              <w:top w:val="nil"/>
              <w:left w:val="nil"/>
              <w:bottom w:val="single" w:sz="4" w:space="0" w:color="auto"/>
              <w:right w:val="single" w:sz="4" w:space="0" w:color="auto"/>
            </w:tcBorders>
            <w:vAlign w:val="center"/>
            <w:hideMark/>
          </w:tcPr>
          <w:p w14:paraId="3910D71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1588" w:type="dxa"/>
            <w:tcBorders>
              <w:top w:val="nil"/>
              <w:left w:val="nil"/>
              <w:bottom w:val="single" w:sz="4" w:space="0" w:color="auto"/>
              <w:right w:val="single" w:sz="4" w:space="0" w:color="auto"/>
            </w:tcBorders>
            <w:vAlign w:val="center"/>
            <w:hideMark/>
          </w:tcPr>
          <w:p w14:paraId="5617526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106.526,87</w:t>
            </w:r>
          </w:p>
        </w:tc>
      </w:tr>
      <w:tr w:rsidR="00BB3DD1" w:rsidRPr="00BB3DD1" w14:paraId="201EC5E7" w14:textId="77777777" w:rsidTr="00BB0DB8">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2F6F8506"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Agrojardinería y Composiciones Florales</w:t>
            </w:r>
          </w:p>
        </w:tc>
        <w:tc>
          <w:tcPr>
            <w:tcW w:w="1275" w:type="dxa"/>
            <w:tcBorders>
              <w:top w:val="nil"/>
              <w:left w:val="nil"/>
              <w:bottom w:val="single" w:sz="4" w:space="0" w:color="auto"/>
              <w:right w:val="single" w:sz="4" w:space="0" w:color="auto"/>
            </w:tcBorders>
            <w:vAlign w:val="center"/>
            <w:hideMark/>
          </w:tcPr>
          <w:p w14:paraId="644F028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1588" w:type="dxa"/>
            <w:tcBorders>
              <w:top w:val="nil"/>
              <w:left w:val="nil"/>
              <w:bottom w:val="single" w:sz="4" w:space="0" w:color="auto"/>
              <w:right w:val="single" w:sz="4" w:space="0" w:color="auto"/>
            </w:tcBorders>
            <w:vAlign w:val="center"/>
            <w:hideMark/>
          </w:tcPr>
          <w:p w14:paraId="4621F77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98.508,24</w:t>
            </w:r>
          </w:p>
        </w:tc>
      </w:tr>
      <w:tr w:rsidR="00BB3DD1" w:rsidRPr="00BB3DD1" w14:paraId="3E53E400" w14:textId="77777777" w:rsidTr="00BB0DB8">
        <w:trPr>
          <w:trHeight w:val="300"/>
        </w:trPr>
        <w:tc>
          <w:tcPr>
            <w:tcW w:w="5524" w:type="dxa"/>
            <w:vMerge/>
            <w:tcBorders>
              <w:top w:val="nil"/>
              <w:left w:val="single" w:sz="4" w:space="0" w:color="auto"/>
              <w:bottom w:val="single" w:sz="4" w:space="0" w:color="auto"/>
              <w:right w:val="single" w:sz="4" w:space="0" w:color="auto"/>
            </w:tcBorders>
            <w:vAlign w:val="center"/>
            <w:hideMark/>
          </w:tcPr>
          <w:p w14:paraId="579B0190"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275" w:type="dxa"/>
            <w:tcBorders>
              <w:top w:val="nil"/>
              <w:left w:val="nil"/>
              <w:bottom w:val="single" w:sz="4" w:space="0" w:color="auto"/>
              <w:right w:val="single" w:sz="4" w:space="0" w:color="auto"/>
            </w:tcBorders>
            <w:vAlign w:val="center"/>
            <w:hideMark/>
          </w:tcPr>
          <w:p w14:paraId="7097D890"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1588" w:type="dxa"/>
            <w:tcBorders>
              <w:top w:val="nil"/>
              <w:left w:val="nil"/>
              <w:bottom w:val="single" w:sz="4" w:space="0" w:color="auto"/>
              <w:right w:val="single" w:sz="4" w:space="0" w:color="auto"/>
            </w:tcBorders>
            <w:vAlign w:val="center"/>
            <w:hideMark/>
          </w:tcPr>
          <w:p w14:paraId="0C5BF1B2"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98.508,24</w:t>
            </w:r>
          </w:p>
        </w:tc>
      </w:tr>
      <w:tr w:rsidR="00BB3DD1" w:rsidRPr="00BB3DD1" w14:paraId="351BC212" w14:textId="77777777" w:rsidTr="00BB0DB8">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335E9F87"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Cocina y Restauración</w:t>
            </w:r>
          </w:p>
        </w:tc>
        <w:tc>
          <w:tcPr>
            <w:tcW w:w="1275" w:type="dxa"/>
            <w:tcBorders>
              <w:top w:val="nil"/>
              <w:left w:val="nil"/>
              <w:bottom w:val="single" w:sz="4" w:space="0" w:color="auto"/>
              <w:right w:val="single" w:sz="4" w:space="0" w:color="auto"/>
            </w:tcBorders>
            <w:vAlign w:val="center"/>
            <w:hideMark/>
          </w:tcPr>
          <w:p w14:paraId="501ADB7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1588" w:type="dxa"/>
            <w:tcBorders>
              <w:top w:val="nil"/>
              <w:left w:val="nil"/>
              <w:bottom w:val="single" w:sz="4" w:space="0" w:color="auto"/>
              <w:right w:val="single" w:sz="4" w:space="0" w:color="auto"/>
            </w:tcBorders>
            <w:vAlign w:val="center"/>
            <w:hideMark/>
          </w:tcPr>
          <w:p w14:paraId="3162C49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103.652,71</w:t>
            </w:r>
          </w:p>
        </w:tc>
      </w:tr>
      <w:tr w:rsidR="00BB3DD1" w:rsidRPr="00BB3DD1" w14:paraId="2227C4BB" w14:textId="77777777" w:rsidTr="00BB0DB8">
        <w:trPr>
          <w:trHeight w:val="300"/>
        </w:trPr>
        <w:tc>
          <w:tcPr>
            <w:tcW w:w="5524" w:type="dxa"/>
            <w:vMerge/>
            <w:tcBorders>
              <w:top w:val="nil"/>
              <w:left w:val="single" w:sz="4" w:space="0" w:color="auto"/>
              <w:bottom w:val="single" w:sz="4" w:space="0" w:color="auto"/>
              <w:right w:val="single" w:sz="4" w:space="0" w:color="auto"/>
            </w:tcBorders>
            <w:vAlign w:val="center"/>
            <w:hideMark/>
          </w:tcPr>
          <w:p w14:paraId="04F10CC0"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275" w:type="dxa"/>
            <w:tcBorders>
              <w:top w:val="nil"/>
              <w:left w:val="nil"/>
              <w:bottom w:val="single" w:sz="4" w:space="0" w:color="auto"/>
              <w:right w:val="single" w:sz="4" w:space="0" w:color="auto"/>
            </w:tcBorders>
            <w:vAlign w:val="center"/>
            <w:hideMark/>
          </w:tcPr>
          <w:p w14:paraId="2E82DDE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1588" w:type="dxa"/>
            <w:tcBorders>
              <w:top w:val="nil"/>
              <w:left w:val="nil"/>
              <w:bottom w:val="single" w:sz="4" w:space="0" w:color="auto"/>
              <w:right w:val="single" w:sz="4" w:space="0" w:color="auto"/>
            </w:tcBorders>
            <w:vAlign w:val="center"/>
            <w:hideMark/>
          </w:tcPr>
          <w:p w14:paraId="6D8854BD"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103.652,71</w:t>
            </w:r>
          </w:p>
        </w:tc>
      </w:tr>
      <w:tr w:rsidR="00BB3DD1" w:rsidRPr="00BB3DD1" w14:paraId="4BAE5D1B" w14:textId="77777777" w:rsidTr="00BB0DB8">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6AB30D54"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Carpintería y Mueble</w:t>
            </w:r>
          </w:p>
        </w:tc>
        <w:tc>
          <w:tcPr>
            <w:tcW w:w="1275" w:type="dxa"/>
            <w:tcBorders>
              <w:top w:val="nil"/>
              <w:left w:val="nil"/>
              <w:bottom w:val="single" w:sz="4" w:space="0" w:color="auto"/>
              <w:right w:val="single" w:sz="4" w:space="0" w:color="auto"/>
            </w:tcBorders>
            <w:vAlign w:val="center"/>
            <w:hideMark/>
          </w:tcPr>
          <w:p w14:paraId="72132FB9"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1588" w:type="dxa"/>
            <w:tcBorders>
              <w:top w:val="nil"/>
              <w:left w:val="nil"/>
              <w:bottom w:val="single" w:sz="4" w:space="0" w:color="auto"/>
              <w:right w:val="single" w:sz="4" w:space="0" w:color="auto"/>
            </w:tcBorders>
            <w:vAlign w:val="center"/>
            <w:hideMark/>
          </w:tcPr>
          <w:p w14:paraId="651AAEB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103.463,43</w:t>
            </w:r>
          </w:p>
        </w:tc>
      </w:tr>
      <w:tr w:rsidR="00BB3DD1" w:rsidRPr="00BB3DD1" w14:paraId="461A8693" w14:textId="77777777" w:rsidTr="00BB0DB8">
        <w:trPr>
          <w:trHeight w:val="300"/>
        </w:trPr>
        <w:tc>
          <w:tcPr>
            <w:tcW w:w="5524" w:type="dxa"/>
            <w:vMerge/>
            <w:tcBorders>
              <w:top w:val="nil"/>
              <w:left w:val="single" w:sz="4" w:space="0" w:color="auto"/>
              <w:bottom w:val="single" w:sz="4" w:space="0" w:color="auto"/>
              <w:right w:val="single" w:sz="4" w:space="0" w:color="auto"/>
            </w:tcBorders>
            <w:vAlign w:val="center"/>
            <w:hideMark/>
          </w:tcPr>
          <w:p w14:paraId="7B36A37B"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275" w:type="dxa"/>
            <w:tcBorders>
              <w:top w:val="nil"/>
              <w:left w:val="nil"/>
              <w:bottom w:val="single" w:sz="4" w:space="0" w:color="auto"/>
              <w:right w:val="single" w:sz="4" w:space="0" w:color="auto"/>
            </w:tcBorders>
            <w:vAlign w:val="center"/>
            <w:hideMark/>
          </w:tcPr>
          <w:p w14:paraId="7A2A9B3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1588" w:type="dxa"/>
            <w:tcBorders>
              <w:top w:val="nil"/>
              <w:left w:val="nil"/>
              <w:bottom w:val="single" w:sz="4" w:space="0" w:color="auto"/>
              <w:right w:val="single" w:sz="4" w:space="0" w:color="auto"/>
            </w:tcBorders>
            <w:vAlign w:val="center"/>
            <w:hideMark/>
          </w:tcPr>
          <w:p w14:paraId="4F929993"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103.463,43</w:t>
            </w:r>
          </w:p>
        </w:tc>
      </w:tr>
      <w:tr w:rsidR="00BB3DD1" w:rsidRPr="00BB3DD1" w14:paraId="5D3946C2" w14:textId="77777777" w:rsidTr="00BB0DB8">
        <w:trPr>
          <w:trHeight w:val="300"/>
        </w:trPr>
        <w:tc>
          <w:tcPr>
            <w:tcW w:w="5524" w:type="dxa"/>
            <w:vMerge w:val="restart"/>
            <w:tcBorders>
              <w:top w:val="nil"/>
              <w:left w:val="single" w:sz="4" w:space="0" w:color="auto"/>
              <w:bottom w:val="single" w:sz="4" w:space="0" w:color="auto"/>
              <w:right w:val="single" w:sz="4" w:space="0" w:color="auto"/>
            </w:tcBorders>
            <w:noWrap/>
            <w:vAlign w:val="center"/>
            <w:hideMark/>
          </w:tcPr>
          <w:p w14:paraId="02A99E02"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Peluquería y Estética</w:t>
            </w:r>
          </w:p>
        </w:tc>
        <w:tc>
          <w:tcPr>
            <w:tcW w:w="1275" w:type="dxa"/>
            <w:tcBorders>
              <w:top w:val="nil"/>
              <w:left w:val="nil"/>
              <w:bottom w:val="single" w:sz="4" w:space="0" w:color="auto"/>
              <w:right w:val="single" w:sz="4" w:space="0" w:color="auto"/>
            </w:tcBorders>
            <w:vAlign w:val="center"/>
            <w:hideMark/>
          </w:tcPr>
          <w:p w14:paraId="401F55B8"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1588" w:type="dxa"/>
            <w:tcBorders>
              <w:top w:val="nil"/>
              <w:left w:val="nil"/>
              <w:bottom w:val="single" w:sz="4" w:space="0" w:color="auto"/>
              <w:right w:val="single" w:sz="4" w:space="0" w:color="auto"/>
            </w:tcBorders>
            <w:vAlign w:val="center"/>
            <w:hideMark/>
          </w:tcPr>
          <w:p w14:paraId="0D284705"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102.862,07</w:t>
            </w:r>
          </w:p>
        </w:tc>
      </w:tr>
      <w:tr w:rsidR="00BB3DD1" w:rsidRPr="00BB3DD1" w14:paraId="2805275E" w14:textId="77777777" w:rsidTr="00BB0DB8">
        <w:trPr>
          <w:trHeight w:val="300"/>
        </w:trPr>
        <w:tc>
          <w:tcPr>
            <w:tcW w:w="5524" w:type="dxa"/>
            <w:vMerge/>
            <w:tcBorders>
              <w:top w:val="nil"/>
              <w:left w:val="single" w:sz="4" w:space="0" w:color="auto"/>
              <w:bottom w:val="single" w:sz="4" w:space="0" w:color="auto"/>
              <w:right w:val="single" w:sz="4" w:space="0" w:color="auto"/>
            </w:tcBorders>
            <w:vAlign w:val="center"/>
            <w:hideMark/>
          </w:tcPr>
          <w:p w14:paraId="795C664D"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p>
        </w:tc>
        <w:tc>
          <w:tcPr>
            <w:tcW w:w="1275" w:type="dxa"/>
            <w:tcBorders>
              <w:top w:val="nil"/>
              <w:left w:val="nil"/>
              <w:bottom w:val="single" w:sz="4" w:space="0" w:color="auto"/>
              <w:right w:val="single" w:sz="4" w:space="0" w:color="auto"/>
            </w:tcBorders>
            <w:vAlign w:val="center"/>
            <w:hideMark/>
          </w:tcPr>
          <w:p w14:paraId="68CD9267"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1588" w:type="dxa"/>
            <w:tcBorders>
              <w:top w:val="nil"/>
              <w:left w:val="nil"/>
              <w:bottom w:val="single" w:sz="4" w:space="0" w:color="auto"/>
              <w:right w:val="single" w:sz="4" w:space="0" w:color="auto"/>
            </w:tcBorders>
            <w:vAlign w:val="center"/>
            <w:hideMark/>
          </w:tcPr>
          <w:p w14:paraId="31767221"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102.862,07</w:t>
            </w:r>
          </w:p>
        </w:tc>
      </w:tr>
      <w:tr w:rsidR="00BB3DD1" w:rsidRPr="00BB3DD1" w14:paraId="6A7B2E8F" w14:textId="77777777" w:rsidTr="00BB0DB8">
        <w:trPr>
          <w:trHeight w:val="300"/>
        </w:trPr>
        <w:tc>
          <w:tcPr>
            <w:tcW w:w="5524" w:type="dxa"/>
            <w:vMerge w:val="restart"/>
            <w:tcBorders>
              <w:top w:val="nil"/>
              <w:left w:val="single" w:sz="4" w:space="0" w:color="auto"/>
              <w:bottom w:val="single" w:sz="4" w:space="0" w:color="auto"/>
              <w:right w:val="single" w:sz="4" w:space="0" w:color="auto"/>
            </w:tcBorders>
            <w:vAlign w:val="center"/>
            <w:hideMark/>
          </w:tcPr>
          <w:p w14:paraId="68C410A5"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Fabricación de elementos metálicos</w:t>
            </w:r>
          </w:p>
        </w:tc>
        <w:tc>
          <w:tcPr>
            <w:tcW w:w="1275" w:type="dxa"/>
            <w:tcBorders>
              <w:top w:val="nil"/>
              <w:left w:val="nil"/>
              <w:bottom w:val="single" w:sz="4" w:space="0" w:color="auto"/>
              <w:right w:val="single" w:sz="4" w:space="0" w:color="auto"/>
            </w:tcBorders>
            <w:vAlign w:val="center"/>
            <w:hideMark/>
          </w:tcPr>
          <w:p w14:paraId="44BF7F6E"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1º</w:t>
            </w:r>
          </w:p>
        </w:tc>
        <w:tc>
          <w:tcPr>
            <w:tcW w:w="1588" w:type="dxa"/>
            <w:tcBorders>
              <w:top w:val="nil"/>
              <w:left w:val="nil"/>
              <w:bottom w:val="single" w:sz="4" w:space="0" w:color="auto"/>
              <w:right w:val="single" w:sz="4" w:space="0" w:color="auto"/>
            </w:tcBorders>
            <w:vAlign w:val="center"/>
            <w:hideMark/>
          </w:tcPr>
          <w:p w14:paraId="0188719C"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103.742,16</w:t>
            </w:r>
          </w:p>
        </w:tc>
      </w:tr>
      <w:tr w:rsidR="00BB3DD1" w:rsidRPr="00BB3DD1" w14:paraId="6B7C890A" w14:textId="77777777" w:rsidTr="00BB0DB8">
        <w:trPr>
          <w:trHeight w:val="300"/>
        </w:trPr>
        <w:tc>
          <w:tcPr>
            <w:tcW w:w="5524" w:type="dxa"/>
            <w:vMerge/>
            <w:tcBorders>
              <w:top w:val="nil"/>
              <w:left w:val="single" w:sz="4" w:space="0" w:color="auto"/>
              <w:bottom w:val="single" w:sz="4" w:space="0" w:color="auto"/>
              <w:right w:val="single" w:sz="4" w:space="0" w:color="auto"/>
            </w:tcBorders>
            <w:vAlign w:val="center"/>
            <w:hideMark/>
          </w:tcPr>
          <w:p w14:paraId="12B60955" w14:textId="77777777" w:rsidR="00BB3DD1" w:rsidRPr="00BB3DD1" w:rsidRDefault="00BB3DD1" w:rsidP="00BB3DD1">
            <w:pPr>
              <w:spacing w:after="0" w:line="240" w:lineRule="auto"/>
              <w:rPr>
                <w:rFonts w:ascii="Arial" w:eastAsia="Times New Roman" w:hAnsi="Arial" w:cs="Arial"/>
                <w:sz w:val="18"/>
                <w:szCs w:val="18"/>
                <w:lang w:val="es-ES" w:eastAsia="es-ES"/>
              </w:rPr>
            </w:pPr>
          </w:p>
        </w:tc>
        <w:tc>
          <w:tcPr>
            <w:tcW w:w="1275" w:type="dxa"/>
            <w:tcBorders>
              <w:top w:val="nil"/>
              <w:left w:val="nil"/>
              <w:bottom w:val="single" w:sz="4" w:space="0" w:color="auto"/>
              <w:right w:val="single" w:sz="4" w:space="0" w:color="auto"/>
            </w:tcBorders>
            <w:vAlign w:val="center"/>
            <w:hideMark/>
          </w:tcPr>
          <w:p w14:paraId="6C90B79A"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2º</w:t>
            </w:r>
          </w:p>
        </w:tc>
        <w:tc>
          <w:tcPr>
            <w:tcW w:w="1588" w:type="dxa"/>
            <w:tcBorders>
              <w:top w:val="nil"/>
              <w:left w:val="nil"/>
              <w:bottom w:val="single" w:sz="4" w:space="0" w:color="auto"/>
              <w:right w:val="single" w:sz="4" w:space="0" w:color="auto"/>
            </w:tcBorders>
            <w:vAlign w:val="center"/>
            <w:hideMark/>
          </w:tcPr>
          <w:p w14:paraId="06E071DB"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103.742,16</w:t>
            </w:r>
          </w:p>
        </w:tc>
      </w:tr>
      <w:tr w:rsidR="00BB3DD1" w:rsidRPr="00BB3DD1" w14:paraId="5E91068C" w14:textId="77777777" w:rsidTr="00BB0DB8">
        <w:trPr>
          <w:trHeight w:val="300"/>
        </w:trPr>
        <w:tc>
          <w:tcPr>
            <w:tcW w:w="5524" w:type="dxa"/>
            <w:tcBorders>
              <w:top w:val="nil"/>
              <w:left w:val="single" w:sz="4" w:space="0" w:color="auto"/>
              <w:bottom w:val="single" w:sz="4" w:space="0" w:color="auto"/>
              <w:right w:val="single" w:sz="4" w:space="0" w:color="auto"/>
            </w:tcBorders>
            <w:noWrap/>
            <w:vAlign w:val="center"/>
            <w:hideMark/>
          </w:tcPr>
          <w:p w14:paraId="23A24476"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E.S.O. PROGRAMA CURRICULO ADAPTADO EXTERNA</w:t>
            </w:r>
          </w:p>
        </w:tc>
        <w:tc>
          <w:tcPr>
            <w:tcW w:w="1275" w:type="dxa"/>
            <w:tcBorders>
              <w:top w:val="nil"/>
              <w:left w:val="nil"/>
              <w:bottom w:val="single" w:sz="4" w:space="0" w:color="auto"/>
              <w:right w:val="single" w:sz="4" w:space="0" w:color="auto"/>
            </w:tcBorders>
            <w:noWrap/>
            <w:vAlign w:val="center"/>
            <w:hideMark/>
          </w:tcPr>
          <w:p w14:paraId="23293836"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 </w:t>
            </w:r>
          </w:p>
        </w:tc>
        <w:tc>
          <w:tcPr>
            <w:tcW w:w="1588" w:type="dxa"/>
            <w:tcBorders>
              <w:top w:val="nil"/>
              <w:left w:val="nil"/>
              <w:bottom w:val="single" w:sz="4" w:space="0" w:color="auto"/>
              <w:right w:val="single" w:sz="4" w:space="0" w:color="auto"/>
            </w:tcBorders>
            <w:vAlign w:val="center"/>
            <w:hideMark/>
          </w:tcPr>
          <w:p w14:paraId="7F5E452F" w14:textId="77777777" w:rsidR="00BB3DD1" w:rsidRPr="00BB3DD1" w:rsidRDefault="00BB3DD1" w:rsidP="00BB3DD1">
            <w:pPr>
              <w:spacing w:after="0" w:line="240" w:lineRule="auto"/>
              <w:jc w:val="center"/>
              <w:rPr>
                <w:rFonts w:ascii="Arial" w:eastAsia="Times New Roman" w:hAnsi="Arial" w:cs="Arial"/>
                <w:sz w:val="16"/>
                <w:szCs w:val="16"/>
                <w:lang w:val="es-ES" w:eastAsia="es-ES"/>
              </w:rPr>
            </w:pPr>
            <w:r w:rsidRPr="00BB3DD1">
              <w:rPr>
                <w:rFonts w:ascii="Arial" w:eastAsia="Times New Roman" w:hAnsi="Arial" w:cs="Arial"/>
                <w:sz w:val="16"/>
                <w:szCs w:val="16"/>
                <w:lang w:val="es-ES" w:eastAsia="es-ES"/>
              </w:rPr>
              <w:t>105.343,39</w:t>
            </w:r>
          </w:p>
        </w:tc>
      </w:tr>
    </w:tbl>
    <w:p w14:paraId="7CB5070A" w14:textId="77777777" w:rsidR="00BB3DD1" w:rsidRPr="00BB3DD1" w:rsidRDefault="00BB3DD1" w:rsidP="00BB3DD1">
      <w:pPr>
        <w:spacing w:after="0" w:line="240" w:lineRule="auto"/>
        <w:jc w:val="both"/>
        <w:rPr>
          <w:rFonts w:ascii="Arial" w:eastAsia="Times New Roman" w:hAnsi="Arial" w:cs="Arial"/>
          <w:sz w:val="20"/>
          <w:szCs w:val="20"/>
          <w:lang w:val="es-ES" w:eastAsia="es-ES"/>
        </w:rPr>
      </w:pPr>
    </w:p>
    <w:bookmarkEnd w:id="7"/>
    <w:p w14:paraId="47DC1733" w14:textId="77777777" w:rsidR="00BB3DD1" w:rsidRDefault="00BB3DD1">
      <w:pPr>
        <w:rPr>
          <w:rFonts w:ascii="Arial" w:eastAsia="Times New Roman" w:hAnsi="Arial" w:cs="Arial"/>
          <w:sz w:val="24"/>
          <w:szCs w:val="24"/>
          <w:lang w:val="es-ES" w:eastAsia="es-ES"/>
        </w:rPr>
      </w:pPr>
      <w:r>
        <w:rPr>
          <w:rFonts w:ascii="Arial" w:eastAsia="Times New Roman" w:hAnsi="Arial" w:cs="Arial"/>
          <w:sz w:val="24"/>
          <w:szCs w:val="24"/>
          <w:lang w:val="es-ES" w:eastAsia="es-ES"/>
        </w:rPr>
        <w:br w:type="page"/>
      </w:r>
    </w:p>
    <w:p w14:paraId="6172D013" w14:textId="77777777" w:rsidR="00BB3DD1" w:rsidRPr="00BB3DD1" w:rsidRDefault="00BB3DD1" w:rsidP="00BB3DD1">
      <w:pPr>
        <w:spacing w:after="200" w:line="276" w:lineRule="auto"/>
        <w:jc w:val="center"/>
        <w:rPr>
          <w:rFonts w:ascii="Calibri" w:eastAsia="Calibri" w:hAnsi="Calibri" w:cs="Times New Roman"/>
          <w:lang w:val="es-ES"/>
        </w:rPr>
      </w:pPr>
      <w:bookmarkStart w:id="8" w:name="_Hlk213155935"/>
      <w:r w:rsidRPr="00BB3DD1">
        <w:rPr>
          <w:rFonts w:ascii="Arial" w:eastAsia="Times New Roman" w:hAnsi="Arial" w:cs="Arial"/>
          <w:b/>
          <w:bCs/>
          <w:color w:val="000000"/>
          <w:sz w:val="24"/>
          <w:szCs w:val="24"/>
          <w:lang w:val="es-ES" w:eastAsia="es-ES"/>
        </w:rPr>
        <w:lastRenderedPageBreak/>
        <w:t>ANEXO III PROGRAMA INVERSIONES 2026</w:t>
      </w:r>
    </w:p>
    <w:tbl>
      <w:tblPr>
        <w:tblW w:w="15593" w:type="dxa"/>
        <w:tblInd w:w="65" w:type="dxa"/>
        <w:tblCellMar>
          <w:left w:w="70" w:type="dxa"/>
          <w:right w:w="70" w:type="dxa"/>
        </w:tblCellMar>
        <w:tblLook w:val="04A0" w:firstRow="1" w:lastRow="0" w:firstColumn="1" w:lastColumn="0" w:noHBand="0" w:noVBand="1"/>
      </w:tblPr>
      <w:tblGrid>
        <w:gridCol w:w="3261"/>
        <w:gridCol w:w="11056"/>
        <w:gridCol w:w="1276"/>
      </w:tblGrid>
      <w:tr w:rsidR="00BB3DD1" w:rsidRPr="00BB3DD1" w14:paraId="76ABD0B4" w14:textId="77777777" w:rsidTr="00BB0DB8">
        <w:trPr>
          <w:trHeight w:val="454"/>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0CA54CDC"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Departamento</w:t>
            </w:r>
          </w:p>
        </w:tc>
        <w:tc>
          <w:tcPr>
            <w:tcW w:w="11056" w:type="dxa"/>
            <w:tcBorders>
              <w:top w:val="single" w:sz="4" w:space="0" w:color="auto"/>
              <w:left w:val="nil"/>
              <w:bottom w:val="single" w:sz="4" w:space="0" w:color="auto"/>
              <w:right w:val="single" w:sz="4" w:space="0" w:color="auto"/>
            </w:tcBorders>
            <w:noWrap/>
            <w:vAlign w:val="center"/>
            <w:hideMark/>
          </w:tcPr>
          <w:p w14:paraId="3C82533D"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Partida Presupuestaria</w:t>
            </w:r>
          </w:p>
        </w:tc>
        <w:tc>
          <w:tcPr>
            <w:tcW w:w="1276" w:type="dxa"/>
            <w:tcBorders>
              <w:top w:val="single" w:sz="4" w:space="0" w:color="auto"/>
              <w:left w:val="nil"/>
              <w:bottom w:val="single" w:sz="4" w:space="0" w:color="auto"/>
              <w:right w:val="single" w:sz="4" w:space="0" w:color="auto"/>
            </w:tcBorders>
            <w:vAlign w:val="center"/>
            <w:hideMark/>
          </w:tcPr>
          <w:p w14:paraId="6EC0114A" w14:textId="77777777" w:rsidR="00BB3DD1" w:rsidRPr="00BB3DD1" w:rsidRDefault="00BB3DD1" w:rsidP="00BB3DD1">
            <w:pPr>
              <w:spacing w:after="0" w:line="240" w:lineRule="auto"/>
              <w:jc w:val="center"/>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Importe</w:t>
            </w:r>
          </w:p>
          <w:p w14:paraId="596444AF" w14:textId="77777777" w:rsidR="00BB3DD1" w:rsidRPr="00BB3DD1" w:rsidRDefault="00BB3DD1" w:rsidP="00BB3DD1">
            <w:pPr>
              <w:spacing w:after="0" w:line="240" w:lineRule="auto"/>
              <w:jc w:val="center"/>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(euros)</w:t>
            </w:r>
          </w:p>
        </w:tc>
      </w:tr>
      <w:tr w:rsidR="00BB3DD1" w:rsidRPr="00BB3DD1" w14:paraId="4482E7C6" w14:textId="77777777" w:rsidTr="00BB0DB8">
        <w:trPr>
          <w:trHeight w:val="454"/>
        </w:trPr>
        <w:tc>
          <w:tcPr>
            <w:tcW w:w="3261" w:type="dxa"/>
            <w:tcBorders>
              <w:top w:val="nil"/>
              <w:left w:val="single" w:sz="4" w:space="0" w:color="auto"/>
              <w:bottom w:val="single" w:sz="4" w:space="0" w:color="auto"/>
              <w:right w:val="single" w:sz="4" w:space="0" w:color="auto"/>
            </w:tcBorders>
            <w:noWrap/>
            <w:vAlign w:val="center"/>
            <w:hideMark/>
          </w:tcPr>
          <w:p w14:paraId="38726F25"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1. Economía y Hacienda</w:t>
            </w:r>
          </w:p>
        </w:tc>
        <w:tc>
          <w:tcPr>
            <w:tcW w:w="11056" w:type="dxa"/>
            <w:tcBorders>
              <w:top w:val="nil"/>
              <w:left w:val="nil"/>
              <w:bottom w:val="single" w:sz="4" w:space="0" w:color="auto"/>
              <w:right w:val="single" w:sz="4" w:space="0" w:color="auto"/>
            </w:tcBorders>
            <w:noWrap/>
            <w:vAlign w:val="center"/>
            <w:hideMark/>
          </w:tcPr>
          <w:p w14:paraId="191EABB2"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111002-11300-6020-923105 PRIN25 Plan de Inmuebles. Oficinas administrativas</w:t>
            </w:r>
          </w:p>
        </w:tc>
        <w:tc>
          <w:tcPr>
            <w:tcW w:w="1276" w:type="dxa"/>
            <w:tcBorders>
              <w:top w:val="nil"/>
              <w:left w:val="nil"/>
              <w:bottom w:val="nil"/>
              <w:right w:val="single" w:sz="4" w:space="0" w:color="auto"/>
            </w:tcBorders>
            <w:noWrap/>
            <w:vAlign w:val="center"/>
            <w:hideMark/>
          </w:tcPr>
          <w:p w14:paraId="48AD898E" w14:textId="77777777" w:rsidR="00BB3DD1" w:rsidRPr="00BB3DD1" w:rsidRDefault="00BB3DD1" w:rsidP="00BB3DD1">
            <w:pPr>
              <w:spacing w:after="0" w:line="240" w:lineRule="auto"/>
              <w:jc w:val="right"/>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4.500.000</w:t>
            </w:r>
          </w:p>
        </w:tc>
      </w:tr>
      <w:tr w:rsidR="00BB3DD1" w:rsidRPr="00BB3DD1" w14:paraId="6D5A4D32" w14:textId="77777777" w:rsidTr="00BB0DB8">
        <w:trPr>
          <w:trHeight w:val="454"/>
        </w:trPr>
        <w:tc>
          <w:tcPr>
            <w:tcW w:w="3261" w:type="dxa"/>
            <w:tcBorders>
              <w:top w:val="nil"/>
              <w:left w:val="single" w:sz="4" w:space="0" w:color="auto"/>
              <w:bottom w:val="single" w:sz="4" w:space="0" w:color="auto"/>
              <w:right w:val="single" w:sz="4" w:space="0" w:color="auto"/>
            </w:tcBorders>
            <w:noWrap/>
            <w:vAlign w:val="center"/>
            <w:hideMark/>
          </w:tcPr>
          <w:p w14:paraId="6D0272F0"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2.Cohesión Territorial</w:t>
            </w:r>
          </w:p>
        </w:tc>
        <w:tc>
          <w:tcPr>
            <w:tcW w:w="11056" w:type="dxa"/>
            <w:tcBorders>
              <w:top w:val="nil"/>
              <w:left w:val="nil"/>
              <w:bottom w:val="single" w:sz="4" w:space="0" w:color="auto"/>
              <w:right w:val="single" w:sz="4" w:space="0" w:color="auto"/>
            </w:tcBorders>
            <w:noWrap/>
            <w:vAlign w:val="center"/>
            <w:hideMark/>
          </w:tcPr>
          <w:p w14:paraId="1200637E"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220002-22100-6010-453251 PRIN25 Actuaciones de conversión de la N-121-A en vía 2+1</w:t>
            </w:r>
          </w:p>
        </w:tc>
        <w:tc>
          <w:tcPr>
            <w:tcW w:w="1276" w:type="dxa"/>
            <w:tcBorders>
              <w:top w:val="single" w:sz="4" w:space="0" w:color="auto"/>
              <w:left w:val="nil"/>
              <w:bottom w:val="nil"/>
              <w:right w:val="single" w:sz="4" w:space="0" w:color="auto"/>
            </w:tcBorders>
            <w:noWrap/>
            <w:vAlign w:val="center"/>
            <w:hideMark/>
          </w:tcPr>
          <w:p w14:paraId="33F58774" w14:textId="77777777" w:rsidR="00BB3DD1" w:rsidRPr="00BB3DD1" w:rsidRDefault="00BB3DD1" w:rsidP="00BB3DD1">
            <w:pPr>
              <w:spacing w:after="0" w:line="240" w:lineRule="auto"/>
              <w:jc w:val="right"/>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262.500</w:t>
            </w:r>
          </w:p>
        </w:tc>
      </w:tr>
      <w:tr w:rsidR="00BB3DD1" w:rsidRPr="00BB3DD1" w14:paraId="32E37C22" w14:textId="77777777" w:rsidTr="00BB0DB8">
        <w:trPr>
          <w:trHeight w:val="454"/>
        </w:trPr>
        <w:tc>
          <w:tcPr>
            <w:tcW w:w="3261" w:type="dxa"/>
            <w:tcBorders>
              <w:top w:val="nil"/>
              <w:left w:val="single" w:sz="4" w:space="0" w:color="auto"/>
              <w:bottom w:val="single" w:sz="4" w:space="0" w:color="auto"/>
              <w:right w:val="single" w:sz="4" w:space="0" w:color="auto"/>
            </w:tcBorders>
            <w:noWrap/>
            <w:vAlign w:val="center"/>
            <w:hideMark/>
          </w:tcPr>
          <w:p w14:paraId="3C50721F"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3. Vivienda, Juventud y Políticas Migratorias</w:t>
            </w:r>
          </w:p>
        </w:tc>
        <w:tc>
          <w:tcPr>
            <w:tcW w:w="11056" w:type="dxa"/>
            <w:tcBorders>
              <w:top w:val="nil"/>
              <w:left w:val="nil"/>
              <w:bottom w:val="nil"/>
              <w:right w:val="single" w:sz="4" w:space="0" w:color="auto"/>
            </w:tcBorders>
            <w:noWrap/>
            <w:vAlign w:val="center"/>
            <w:hideMark/>
          </w:tcPr>
          <w:p w14:paraId="7536EBF2"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320000-32100-7400-261400 PRIN25 Transferencia a NASUVINSA. Promoción y construcción de vivienda de alquiler</w:t>
            </w:r>
          </w:p>
        </w:tc>
        <w:tc>
          <w:tcPr>
            <w:tcW w:w="1276" w:type="dxa"/>
            <w:tcBorders>
              <w:top w:val="single" w:sz="4" w:space="0" w:color="auto"/>
              <w:left w:val="nil"/>
              <w:bottom w:val="nil"/>
              <w:right w:val="single" w:sz="4" w:space="0" w:color="auto"/>
            </w:tcBorders>
            <w:noWrap/>
            <w:vAlign w:val="center"/>
            <w:hideMark/>
          </w:tcPr>
          <w:p w14:paraId="57069734" w14:textId="77777777" w:rsidR="00BB3DD1" w:rsidRPr="00BB3DD1" w:rsidRDefault="00BB3DD1" w:rsidP="00BB3DD1">
            <w:pPr>
              <w:spacing w:after="0" w:line="240" w:lineRule="auto"/>
              <w:jc w:val="right"/>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9.000.000</w:t>
            </w:r>
          </w:p>
        </w:tc>
      </w:tr>
      <w:tr w:rsidR="00BB3DD1" w:rsidRPr="00BB3DD1" w14:paraId="532B71A7" w14:textId="77777777" w:rsidTr="00BB0DB8">
        <w:trPr>
          <w:trHeight w:val="454"/>
        </w:trPr>
        <w:tc>
          <w:tcPr>
            <w:tcW w:w="3261" w:type="dxa"/>
            <w:vMerge w:val="restart"/>
            <w:tcBorders>
              <w:top w:val="nil"/>
              <w:left w:val="single" w:sz="4" w:space="0" w:color="auto"/>
              <w:bottom w:val="nil"/>
              <w:right w:val="nil"/>
            </w:tcBorders>
            <w:vAlign w:val="center"/>
            <w:hideMark/>
          </w:tcPr>
          <w:p w14:paraId="5C1E00D0"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4. Educación</w:t>
            </w:r>
          </w:p>
        </w:tc>
        <w:tc>
          <w:tcPr>
            <w:tcW w:w="11056" w:type="dxa"/>
            <w:tcBorders>
              <w:top w:val="single" w:sz="4" w:space="0" w:color="auto"/>
              <w:left w:val="single" w:sz="4" w:space="0" w:color="auto"/>
              <w:bottom w:val="nil"/>
              <w:right w:val="nil"/>
            </w:tcBorders>
            <w:noWrap/>
            <w:vAlign w:val="center"/>
            <w:hideMark/>
          </w:tcPr>
          <w:p w14:paraId="06120AF3"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410001-41800-6020-325105 PRIN25 Construcción de nuevos centros y obras. Plan de Centros Escolares</w:t>
            </w:r>
          </w:p>
        </w:tc>
        <w:tc>
          <w:tcPr>
            <w:tcW w:w="1276" w:type="dxa"/>
            <w:tcBorders>
              <w:top w:val="single" w:sz="4" w:space="0" w:color="auto"/>
              <w:left w:val="single" w:sz="4" w:space="0" w:color="auto"/>
              <w:bottom w:val="nil"/>
              <w:right w:val="single" w:sz="4" w:space="0" w:color="auto"/>
            </w:tcBorders>
            <w:noWrap/>
            <w:vAlign w:val="center"/>
            <w:hideMark/>
          </w:tcPr>
          <w:p w14:paraId="7D3AC884" w14:textId="77777777" w:rsidR="00BB3DD1" w:rsidRPr="00BB3DD1" w:rsidRDefault="00BB3DD1" w:rsidP="00BB3DD1">
            <w:pPr>
              <w:spacing w:after="0" w:line="240" w:lineRule="auto"/>
              <w:jc w:val="right"/>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1.501.000</w:t>
            </w:r>
          </w:p>
        </w:tc>
      </w:tr>
      <w:tr w:rsidR="00BB3DD1" w:rsidRPr="00BB3DD1" w14:paraId="61C81AEF" w14:textId="77777777" w:rsidTr="00BB0DB8">
        <w:trPr>
          <w:trHeight w:val="454"/>
        </w:trPr>
        <w:tc>
          <w:tcPr>
            <w:tcW w:w="3261" w:type="dxa"/>
            <w:vMerge/>
            <w:tcBorders>
              <w:top w:val="nil"/>
              <w:left w:val="single" w:sz="4" w:space="0" w:color="auto"/>
              <w:bottom w:val="nil"/>
              <w:right w:val="nil"/>
            </w:tcBorders>
            <w:vAlign w:val="center"/>
            <w:hideMark/>
          </w:tcPr>
          <w:p w14:paraId="44B3FDB1"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nil"/>
              <w:right w:val="nil"/>
            </w:tcBorders>
            <w:noWrap/>
            <w:vAlign w:val="center"/>
            <w:hideMark/>
          </w:tcPr>
          <w:p w14:paraId="481849F7"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410001-41800-7609-325104 PRIN25 Construcción de nuevos centros y obras. Plan de Centros Escolares</w:t>
            </w:r>
          </w:p>
        </w:tc>
        <w:tc>
          <w:tcPr>
            <w:tcW w:w="1276" w:type="dxa"/>
            <w:tcBorders>
              <w:top w:val="nil"/>
              <w:left w:val="single" w:sz="4" w:space="0" w:color="auto"/>
              <w:bottom w:val="nil"/>
              <w:right w:val="single" w:sz="4" w:space="0" w:color="auto"/>
            </w:tcBorders>
            <w:noWrap/>
            <w:vAlign w:val="center"/>
            <w:hideMark/>
          </w:tcPr>
          <w:p w14:paraId="66DA5A53"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1.417.000</w:t>
            </w:r>
          </w:p>
        </w:tc>
      </w:tr>
      <w:tr w:rsidR="00BB3DD1" w:rsidRPr="00BB3DD1" w14:paraId="6B37AE75" w14:textId="77777777" w:rsidTr="00BB0DB8">
        <w:trPr>
          <w:trHeight w:val="454"/>
        </w:trPr>
        <w:tc>
          <w:tcPr>
            <w:tcW w:w="3261" w:type="dxa"/>
            <w:vMerge/>
            <w:tcBorders>
              <w:top w:val="nil"/>
              <w:left w:val="single" w:sz="4" w:space="0" w:color="auto"/>
              <w:bottom w:val="nil"/>
              <w:right w:val="nil"/>
            </w:tcBorders>
            <w:vAlign w:val="center"/>
            <w:hideMark/>
          </w:tcPr>
          <w:p w14:paraId="54BE3B88"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nil"/>
              <w:right w:val="nil"/>
            </w:tcBorders>
            <w:noWrap/>
            <w:vAlign w:val="center"/>
            <w:hideMark/>
          </w:tcPr>
          <w:p w14:paraId="20FEC226"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410001-41800-6020-325104 PRIN25 Obras para el desarrollo de los centros de Formación Profesional</w:t>
            </w:r>
          </w:p>
        </w:tc>
        <w:tc>
          <w:tcPr>
            <w:tcW w:w="1276" w:type="dxa"/>
            <w:tcBorders>
              <w:top w:val="nil"/>
              <w:left w:val="single" w:sz="4" w:space="0" w:color="auto"/>
              <w:bottom w:val="nil"/>
              <w:right w:val="single" w:sz="4" w:space="0" w:color="auto"/>
            </w:tcBorders>
            <w:noWrap/>
            <w:vAlign w:val="center"/>
            <w:hideMark/>
          </w:tcPr>
          <w:p w14:paraId="686AFB4D"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6.500.000</w:t>
            </w:r>
          </w:p>
        </w:tc>
      </w:tr>
      <w:tr w:rsidR="00BB3DD1" w:rsidRPr="00BB3DD1" w14:paraId="42E1B38F" w14:textId="77777777" w:rsidTr="00BB0DB8">
        <w:trPr>
          <w:trHeight w:val="454"/>
        </w:trPr>
        <w:tc>
          <w:tcPr>
            <w:tcW w:w="3261" w:type="dxa"/>
            <w:vMerge w:val="restart"/>
            <w:tcBorders>
              <w:top w:val="single" w:sz="4" w:space="0" w:color="auto"/>
              <w:left w:val="single" w:sz="4" w:space="0" w:color="auto"/>
              <w:bottom w:val="nil"/>
              <w:right w:val="nil"/>
            </w:tcBorders>
            <w:vAlign w:val="center"/>
            <w:hideMark/>
          </w:tcPr>
          <w:p w14:paraId="522CB783"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5. Salud</w:t>
            </w:r>
          </w:p>
        </w:tc>
        <w:tc>
          <w:tcPr>
            <w:tcW w:w="11056" w:type="dxa"/>
            <w:tcBorders>
              <w:top w:val="single" w:sz="4" w:space="0" w:color="auto"/>
              <w:left w:val="single" w:sz="4" w:space="0" w:color="auto"/>
              <w:bottom w:val="nil"/>
              <w:right w:val="nil"/>
            </w:tcBorders>
            <w:noWrap/>
            <w:vAlign w:val="center"/>
            <w:hideMark/>
          </w:tcPr>
          <w:p w14:paraId="188903EB"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543000-52200-6020-312815 PRIN25 Obras de ordenación y remodelación del Hospital Universitario</w:t>
            </w:r>
          </w:p>
        </w:tc>
        <w:tc>
          <w:tcPr>
            <w:tcW w:w="1276" w:type="dxa"/>
            <w:tcBorders>
              <w:top w:val="single" w:sz="4" w:space="0" w:color="auto"/>
              <w:left w:val="single" w:sz="4" w:space="0" w:color="auto"/>
              <w:bottom w:val="nil"/>
              <w:right w:val="single" w:sz="4" w:space="0" w:color="auto"/>
            </w:tcBorders>
            <w:noWrap/>
            <w:vAlign w:val="center"/>
            <w:hideMark/>
          </w:tcPr>
          <w:p w14:paraId="5B68145A"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377.000</w:t>
            </w:r>
          </w:p>
        </w:tc>
      </w:tr>
      <w:tr w:rsidR="00BB3DD1" w:rsidRPr="00BB3DD1" w14:paraId="132994CB" w14:textId="77777777" w:rsidTr="00BB0DB8">
        <w:trPr>
          <w:trHeight w:val="454"/>
        </w:trPr>
        <w:tc>
          <w:tcPr>
            <w:tcW w:w="3261" w:type="dxa"/>
            <w:vMerge/>
            <w:tcBorders>
              <w:top w:val="single" w:sz="4" w:space="0" w:color="auto"/>
              <w:left w:val="single" w:sz="4" w:space="0" w:color="auto"/>
              <w:bottom w:val="nil"/>
              <w:right w:val="nil"/>
            </w:tcBorders>
            <w:vAlign w:val="center"/>
            <w:hideMark/>
          </w:tcPr>
          <w:p w14:paraId="67B2603F"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nil"/>
              <w:right w:val="nil"/>
            </w:tcBorders>
            <w:noWrap/>
            <w:vAlign w:val="center"/>
            <w:hideMark/>
          </w:tcPr>
          <w:p w14:paraId="41232EEC"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545001-52420-6020-312803 PRIN25 Obras centros de salud</w:t>
            </w:r>
          </w:p>
        </w:tc>
        <w:tc>
          <w:tcPr>
            <w:tcW w:w="1276" w:type="dxa"/>
            <w:tcBorders>
              <w:top w:val="nil"/>
              <w:left w:val="single" w:sz="4" w:space="0" w:color="auto"/>
              <w:bottom w:val="nil"/>
              <w:right w:val="single" w:sz="4" w:space="0" w:color="auto"/>
            </w:tcBorders>
            <w:noWrap/>
            <w:vAlign w:val="center"/>
            <w:hideMark/>
          </w:tcPr>
          <w:p w14:paraId="7DCBEBFF"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4.020.000</w:t>
            </w:r>
          </w:p>
        </w:tc>
      </w:tr>
      <w:tr w:rsidR="00BB3DD1" w:rsidRPr="00BB3DD1" w14:paraId="7571AD42" w14:textId="77777777" w:rsidTr="00BB0DB8">
        <w:trPr>
          <w:trHeight w:val="454"/>
        </w:trPr>
        <w:tc>
          <w:tcPr>
            <w:tcW w:w="3261" w:type="dxa"/>
            <w:vMerge/>
            <w:tcBorders>
              <w:top w:val="single" w:sz="4" w:space="0" w:color="auto"/>
              <w:left w:val="single" w:sz="4" w:space="0" w:color="auto"/>
              <w:bottom w:val="nil"/>
              <w:right w:val="nil"/>
            </w:tcBorders>
            <w:vAlign w:val="center"/>
            <w:hideMark/>
          </w:tcPr>
          <w:p w14:paraId="3D3DECAA"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nil"/>
              <w:right w:val="single" w:sz="4" w:space="0" w:color="auto"/>
            </w:tcBorders>
            <w:noWrap/>
            <w:vAlign w:val="center"/>
            <w:hideMark/>
          </w:tcPr>
          <w:p w14:paraId="0BAD0316"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546000-52500-6020-312807 PRIN25 Obra en Hospital García Orcoyen de Estella</w:t>
            </w:r>
          </w:p>
        </w:tc>
        <w:tc>
          <w:tcPr>
            <w:tcW w:w="1276" w:type="dxa"/>
            <w:tcBorders>
              <w:top w:val="nil"/>
              <w:left w:val="nil"/>
              <w:bottom w:val="nil"/>
              <w:right w:val="single" w:sz="4" w:space="0" w:color="auto"/>
            </w:tcBorders>
            <w:noWrap/>
            <w:vAlign w:val="center"/>
            <w:hideMark/>
          </w:tcPr>
          <w:p w14:paraId="075C27DB"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1.771.078</w:t>
            </w:r>
          </w:p>
        </w:tc>
      </w:tr>
      <w:tr w:rsidR="00BB3DD1" w:rsidRPr="00BB3DD1" w14:paraId="169FEE49" w14:textId="77777777" w:rsidTr="00BB0DB8">
        <w:trPr>
          <w:trHeight w:val="454"/>
        </w:trPr>
        <w:tc>
          <w:tcPr>
            <w:tcW w:w="3261" w:type="dxa"/>
            <w:vMerge/>
            <w:tcBorders>
              <w:top w:val="single" w:sz="4" w:space="0" w:color="auto"/>
              <w:left w:val="single" w:sz="4" w:space="0" w:color="auto"/>
              <w:bottom w:val="nil"/>
              <w:right w:val="nil"/>
            </w:tcBorders>
            <w:vAlign w:val="center"/>
            <w:hideMark/>
          </w:tcPr>
          <w:p w14:paraId="2510BFBA"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nil"/>
              <w:right w:val="nil"/>
            </w:tcBorders>
            <w:noWrap/>
            <w:vAlign w:val="center"/>
            <w:hideMark/>
          </w:tcPr>
          <w:p w14:paraId="0E981B10"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546000-52500-6057-312807 PRIN25 Equipamiento médico</w:t>
            </w:r>
          </w:p>
        </w:tc>
        <w:tc>
          <w:tcPr>
            <w:tcW w:w="1276" w:type="dxa"/>
            <w:tcBorders>
              <w:top w:val="nil"/>
              <w:left w:val="single" w:sz="4" w:space="0" w:color="auto"/>
              <w:bottom w:val="nil"/>
              <w:right w:val="single" w:sz="4" w:space="0" w:color="auto"/>
            </w:tcBorders>
            <w:noWrap/>
            <w:vAlign w:val="center"/>
            <w:hideMark/>
          </w:tcPr>
          <w:p w14:paraId="7C52FC24"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240.922</w:t>
            </w:r>
          </w:p>
        </w:tc>
      </w:tr>
      <w:tr w:rsidR="00BB3DD1" w:rsidRPr="00BB3DD1" w14:paraId="7A26EBEB" w14:textId="77777777" w:rsidTr="00BB0DB8">
        <w:trPr>
          <w:trHeight w:val="454"/>
        </w:trPr>
        <w:tc>
          <w:tcPr>
            <w:tcW w:w="3261" w:type="dxa"/>
            <w:vMerge/>
            <w:tcBorders>
              <w:top w:val="single" w:sz="4" w:space="0" w:color="auto"/>
              <w:left w:val="single" w:sz="4" w:space="0" w:color="auto"/>
              <w:bottom w:val="nil"/>
              <w:right w:val="nil"/>
            </w:tcBorders>
            <w:vAlign w:val="center"/>
            <w:hideMark/>
          </w:tcPr>
          <w:p w14:paraId="10852E14"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nil"/>
              <w:right w:val="nil"/>
            </w:tcBorders>
            <w:noWrap/>
            <w:vAlign w:val="center"/>
            <w:hideMark/>
          </w:tcPr>
          <w:p w14:paraId="60457AA6"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547001-52300-6059-312804 PRIN25 Equipamiento general</w:t>
            </w:r>
          </w:p>
        </w:tc>
        <w:tc>
          <w:tcPr>
            <w:tcW w:w="1276" w:type="dxa"/>
            <w:tcBorders>
              <w:top w:val="nil"/>
              <w:left w:val="single" w:sz="4" w:space="0" w:color="auto"/>
              <w:bottom w:val="nil"/>
              <w:right w:val="single" w:sz="4" w:space="0" w:color="auto"/>
            </w:tcBorders>
            <w:noWrap/>
            <w:vAlign w:val="center"/>
            <w:hideMark/>
          </w:tcPr>
          <w:p w14:paraId="647F13C9"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179.897</w:t>
            </w:r>
          </w:p>
        </w:tc>
      </w:tr>
      <w:tr w:rsidR="00BB3DD1" w:rsidRPr="00BB3DD1" w14:paraId="2110719C" w14:textId="77777777" w:rsidTr="00BB0DB8">
        <w:trPr>
          <w:trHeight w:val="454"/>
        </w:trPr>
        <w:tc>
          <w:tcPr>
            <w:tcW w:w="3261" w:type="dxa"/>
            <w:vMerge/>
            <w:tcBorders>
              <w:top w:val="single" w:sz="4" w:space="0" w:color="auto"/>
              <w:left w:val="single" w:sz="4" w:space="0" w:color="auto"/>
              <w:bottom w:val="nil"/>
              <w:right w:val="nil"/>
            </w:tcBorders>
            <w:vAlign w:val="center"/>
            <w:hideMark/>
          </w:tcPr>
          <w:p w14:paraId="423597C6"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single" w:sz="4" w:space="0" w:color="auto"/>
              <w:right w:val="nil"/>
            </w:tcBorders>
            <w:noWrap/>
            <w:vAlign w:val="center"/>
            <w:hideMark/>
          </w:tcPr>
          <w:p w14:paraId="1D0C5515"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547001-52300-6020-312821 PRIN25 Obras en centros de salud y otros centros de atención primaria</w:t>
            </w:r>
          </w:p>
        </w:tc>
        <w:tc>
          <w:tcPr>
            <w:tcW w:w="1276" w:type="dxa"/>
            <w:tcBorders>
              <w:top w:val="nil"/>
              <w:left w:val="single" w:sz="4" w:space="0" w:color="auto"/>
              <w:bottom w:val="single" w:sz="4" w:space="0" w:color="auto"/>
              <w:right w:val="single" w:sz="4" w:space="0" w:color="auto"/>
            </w:tcBorders>
            <w:noWrap/>
            <w:vAlign w:val="center"/>
            <w:hideMark/>
          </w:tcPr>
          <w:p w14:paraId="7D28CB69"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4.087.103</w:t>
            </w:r>
          </w:p>
        </w:tc>
      </w:tr>
      <w:tr w:rsidR="00BB3DD1" w:rsidRPr="00BB3DD1" w14:paraId="55A8C397" w14:textId="77777777" w:rsidTr="00BB0DB8">
        <w:trPr>
          <w:trHeight w:val="454"/>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0EE327E5"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8. Industria y Transición Ecológica y Digital</w:t>
            </w:r>
          </w:p>
        </w:tc>
        <w:tc>
          <w:tcPr>
            <w:tcW w:w="11056" w:type="dxa"/>
            <w:tcBorders>
              <w:top w:val="nil"/>
              <w:left w:val="nil"/>
              <w:bottom w:val="single" w:sz="4" w:space="0" w:color="auto"/>
              <w:right w:val="single" w:sz="4" w:space="0" w:color="auto"/>
            </w:tcBorders>
            <w:noWrap/>
            <w:vAlign w:val="center"/>
            <w:hideMark/>
          </w:tcPr>
          <w:p w14:paraId="3B7E34D6"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810001-81000-7609-458105 PRIN25 Trf. Ayto. Mendavia subestación STR e infraestructura complementaria en polígono industrial</w:t>
            </w:r>
          </w:p>
        </w:tc>
        <w:tc>
          <w:tcPr>
            <w:tcW w:w="1276" w:type="dxa"/>
            <w:tcBorders>
              <w:top w:val="nil"/>
              <w:left w:val="nil"/>
              <w:bottom w:val="nil"/>
              <w:right w:val="single" w:sz="4" w:space="0" w:color="auto"/>
            </w:tcBorders>
            <w:noWrap/>
            <w:vAlign w:val="center"/>
            <w:hideMark/>
          </w:tcPr>
          <w:p w14:paraId="73BDDBDE"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3.000.000</w:t>
            </w:r>
          </w:p>
        </w:tc>
      </w:tr>
      <w:tr w:rsidR="00BB3DD1" w:rsidRPr="00BB3DD1" w14:paraId="3CE80B02" w14:textId="77777777" w:rsidTr="00BB0DB8">
        <w:trPr>
          <w:trHeight w:val="454"/>
        </w:trPr>
        <w:tc>
          <w:tcPr>
            <w:tcW w:w="3261" w:type="dxa"/>
            <w:tcBorders>
              <w:top w:val="nil"/>
              <w:left w:val="single" w:sz="4" w:space="0" w:color="auto"/>
              <w:bottom w:val="single" w:sz="4" w:space="0" w:color="auto"/>
              <w:right w:val="single" w:sz="4" w:space="0" w:color="auto"/>
            </w:tcBorders>
            <w:noWrap/>
            <w:vAlign w:val="center"/>
            <w:hideMark/>
          </w:tcPr>
          <w:p w14:paraId="46646015"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A. Cultura, Deporte y Turismo</w:t>
            </w:r>
          </w:p>
        </w:tc>
        <w:tc>
          <w:tcPr>
            <w:tcW w:w="11056" w:type="dxa"/>
            <w:tcBorders>
              <w:top w:val="nil"/>
              <w:left w:val="nil"/>
              <w:bottom w:val="nil"/>
              <w:right w:val="single" w:sz="4" w:space="0" w:color="auto"/>
            </w:tcBorders>
            <w:noWrap/>
            <w:vAlign w:val="center"/>
            <w:hideMark/>
          </w:tcPr>
          <w:p w14:paraId="13C6D282"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A20001-A2100-6021-337103 PRIN25 Monasterio de Leyre. Rehabilitación de la Hospedería</w:t>
            </w:r>
          </w:p>
        </w:tc>
        <w:tc>
          <w:tcPr>
            <w:tcW w:w="1276" w:type="dxa"/>
            <w:tcBorders>
              <w:top w:val="single" w:sz="4" w:space="0" w:color="auto"/>
              <w:left w:val="nil"/>
              <w:bottom w:val="single" w:sz="4" w:space="0" w:color="auto"/>
              <w:right w:val="single" w:sz="4" w:space="0" w:color="auto"/>
            </w:tcBorders>
            <w:noWrap/>
            <w:vAlign w:val="center"/>
            <w:hideMark/>
          </w:tcPr>
          <w:p w14:paraId="4D8686A3"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2.000.000</w:t>
            </w:r>
          </w:p>
        </w:tc>
      </w:tr>
      <w:tr w:rsidR="00BB3DD1" w:rsidRPr="00BB3DD1" w14:paraId="3C22803E" w14:textId="77777777" w:rsidTr="00BB0DB8">
        <w:trPr>
          <w:trHeight w:val="454"/>
        </w:trPr>
        <w:tc>
          <w:tcPr>
            <w:tcW w:w="3261" w:type="dxa"/>
            <w:vMerge w:val="restart"/>
            <w:tcBorders>
              <w:top w:val="nil"/>
              <w:left w:val="single" w:sz="4" w:space="0" w:color="auto"/>
              <w:bottom w:val="nil"/>
              <w:right w:val="nil"/>
            </w:tcBorders>
            <w:vAlign w:val="center"/>
            <w:hideMark/>
          </w:tcPr>
          <w:p w14:paraId="2CFB25DE"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F. Interior, Función Pública y Justicia</w:t>
            </w:r>
          </w:p>
        </w:tc>
        <w:tc>
          <w:tcPr>
            <w:tcW w:w="11056" w:type="dxa"/>
            <w:tcBorders>
              <w:top w:val="single" w:sz="4" w:space="0" w:color="auto"/>
              <w:left w:val="single" w:sz="4" w:space="0" w:color="auto"/>
              <w:bottom w:val="nil"/>
              <w:right w:val="single" w:sz="4" w:space="0" w:color="auto"/>
            </w:tcBorders>
            <w:noWrap/>
            <w:vAlign w:val="center"/>
            <w:hideMark/>
          </w:tcPr>
          <w:p w14:paraId="39E87CD5"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F30000-F3000-6094-921C05 PRIN25 Trabajos centrales y evolución SAP S/4 HANA</w:t>
            </w:r>
          </w:p>
        </w:tc>
        <w:tc>
          <w:tcPr>
            <w:tcW w:w="1276" w:type="dxa"/>
            <w:tcBorders>
              <w:top w:val="nil"/>
              <w:left w:val="nil"/>
              <w:bottom w:val="nil"/>
              <w:right w:val="single" w:sz="4" w:space="0" w:color="auto"/>
            </w:tcBorders>
            <w:noWrap/>
            <w:vAlign w:val="center"/>
            <w:hideMark/>
          </w:tcPr>
          <w:p w14:paraId="2709C049"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1.000.000</w:t>
            </w:r>
          </w:p>
        </w:tc>
      </w:tr>
      <w:tr w:rsidR="00BB3DD1" w:rsidRPr="00BB3DD1" w14:paraId="38E0B512" w14:textId="77777777" w:rsidTr="00BB0DB8">
        <w:trPr>
          <w:trHeight w:val="454"/>
        </w:trPr>
        <w:tc>
          <w:tcPr>
            <w:tcW w:w="3261" w:type="dxa"/>
            <w:vMerge/>
            <w:tcBorders>
              <w:top w:val="nil"/>
              <w:left w:val="single" w:sz="4" w:space="0" w:color="auto"/>
              <w:bottom w:val="nil"/>
              <w:right w:val="nil"/>
            </w:tcBorders>
            <w:vAlign w:val="center"/>
            <w:hideMark/>
          </w:tcPr>
          <w:p w14:paraId="129EAE8E"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nil"/>
              <w:right w:val="single" w:sz="4" w:space="0" w:color="auto"/>
            </w:tcBorders>
            <w:noWrap/>
            <w:vAlign w:val="center"/>
            <w:hideMark/>
          </w:tcPr>
          <w:p w14:paraId="6C9B43DE"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F42000-F4200-6094-132200 PRIN25 Encargo a TRACASA Instrumental. Sistemas de información</w:t>
            </w:r>
          </w:p>
        </w:tc>
        <w:tc>
          <w:tcPr>
            <w:tcW w:w="1276" w:type="dxa"/>
            <w:tcBorders>
              <w:top w:val="nil"/>
              <w:left w:val="nil"/>
              <w:bottom w:val="nil"/>
              <w:right w:val="single" w:sz="4" w:space="0" w:color="auto"/>
            </w:tcBorders>
            <w:noWrap/>
            <w:vAlign w:val="center"/>
            <w:hideMark/>
          </w:tcPr>
          <w:p w14:paraId="1B878407"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400.000</w:t>
            </w:r>
          </w:p>
        </w:tc>
      </w:tr>
      <w:tr w:rsidR="00BB3DD1" w:rsidRPr="00BB3DD1" w14:paraId="502110F2" w14:textId="77777777" w:rsidTr="00BB0DB8">
        <w:trPr>
          <w:trHeight w:val="454"/>
        </w:trPr>
        <w:tc>
          <w:tcPr>
            <w:tcW w:w="3261" w:type="dxa"/>
            <w:vMerge w:val="restart"/>
            <w:tcBorders>
              <w:top w:val="single" w:sz="4" w:space="0" w:color="auto"/>
              <w:left w:val="single" w:sz="4" w:space="0" w:color="auto"/>
              <w:bottom w:val="nil"/>
              <w:right w:val="nil"/>
            </w:tcBorders>
            <w:vAlign w:val="center"/>
            <w:hideMark/>
          </w:tcPr>
          <w:p w14:paraId="1F8F33AE"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G. Universidad, Innovación y Transformación Digital</w:t>
            </w:r>
          </w:p>
        </w:tc>
        <w:tc>
          <w:tcPr>
            <w:tcW w:w="11056" w:type="dxa"/>
            <w:tcBorders>
              <w:top w:val="single" w:sz="4" w:space="0" w:color="auto"/>
              <w:left w:val="single" w:sz="4" w:space="0" w:color="auto"/>
              <w:bottom w:val="nil"/>
              <w:right w:val="nil"/>
            </w:tcBorders>
            <w:noWrap/>
            <w:vAlign w:val="center"/>
            <w:hideMark/>
          </w:tcPr>
          <w:p w14:paraId="53BE6045" w14:textId="77777777" w:rsidR="00BB3DD1" w:rsidRPr="00BB3DD1" w:rsidRDefault="00BB3DD1" w:rsidP="00BB3DD1">
            <w:pPr>
              <w:spacing w:after="0" w:line="240" w:lineRule="auto"/>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G10001-G1100-6020-322300 PRIN25 Construcción Centro Nacional Industrialización y Robótica aplicado a la Construcción y Arquitectura (CNIR)</w:t>
            </w:r>
          </w:p>
        </w:tc>
        <w:tc>
          <w:tcPr>
            <w:tcW w:w="1276" w:type="dxa"/>
            <w:tcBorders>
              <w:top w:val="single" w:sz="4" w:space="0" w:color="auto"/>
              <w:left w:val="single" w:sz="4" w:space="0" w:color="auto"/>
              <w:bottom w:val="nil"/>
              <w:right w:val="single" w:sz="4" w:space="0" w:color="auto"/>
            </w:tcBorders>
            <w:noWrap/>
            <w:vAlign w:val="center"/>
            <w:hideMark/>
          </w:tcPr>
          <w:p w14:paraId="49800A89" w14:textId="77777777" w:rsidR="00BB3DD1" w:rsidRPr="00BB3DD1" w:rsidRDefault="00BB3DD1" w:rsidP="00BB3DD1">
            <w:pPr>
              <w:spacing w:after="0" w:line="240" w:lineRule="auto"/>
              <w:jc w:val="right"/>
              <w:rPr>
                <w:rFonts w:ascii="Arial" w:eastAsia="Times New Roman" w:hAnsi="Arial" w:cs="Arial"/>
                <w:sz w:val="18"/>
                <w:szCs w:val="18"/>
                <w:lang w:val="es-ES" w:eastAsia="es-ES"/>
              </w:rPr>
            </w:pPr>
            <w:r w:rsidRPr="00BB3DD1">
              <w:rPr>
                <w:rFonts w:ascii="Arial" w:eastAsia="Times New Roman" w:hAnsi="Arial" w:cs="Arial"/>
                <w:sz w:val="18"/>
                <w:szCs w:val="18"/>
                <w:lang w:val="es-ES" w:eastAsia="es-ES"/>
              </w:rPr>
              <w:t>1.510.000</w:t>
            </w:r>
          </w:p>
        </w:tc>
      </w:tr>
      <w:tr w:rsidR="00BB3DD1" w:rsidRPr="00BB3DD1" w14:paraId="5111C4BD" w14:textId="77777777" w:rsidTr="00BB0DB8">
        <w:trPr>
          <w:trHeight w:val="454"/>
        </w:trPr>
        <w:tc>
          <w:tcPr>
            <w:tcW w:w="3261" w:type="dxa"/>
            <w:vMerge/>
            <w:tcBorders>
              <w:top w:val="single" w:sz="4" w:space="0" w:color="auto"/>
              <w:left w:val="single" w:sz="4" w:space="0" w:color="auto"/>
              <w:bottom w:val="nil"/>
              <w:right w:val="nil"/>
            </w:tcBorders>
            <w:vAlign w:val="center"/>
            <w:hideMark/>
          </w:tcPr>
          <w:p w14:paraId="1F93F253" w14:textId="77777777" w:rsidR="00BB3DD1" w:rsidRPr="00BB3DD1" w:rsidRDefault="00BB3DD1" w:rsidP="00BB3DD1">
            <w:pPr>
              <w:spacing w:after="0" w:line="240" w:lineRule="auto"/>
              <w:rPr>
                <w:rFonts w:ascii="Arial" w:eastAsia="Times New Roman" w:hAnsi="Arial" w:cs="Arial"/>
                <w:b/>
                <w:bCs/>
                <w:color w:val="000000"/>
                <w:sz w:val="18"/>
                <w:szCs w:val="18"/>
                <w:lang w:val="es-ES" w:eastAsia="es-ES"/>
              </w:rPr>
            </w:pPr>
          </w:p>
        </w:tc>
        <w:tc>
          <w:tcPr>
            <w:tcW w:w="11056" w:type="dxa"/>
            <w:tcBorders>
              <w:top w:val="nil"/>
              <w:left w:val="single" w:sz="4" w:space="0" w:color="auto"/>
              <w:bottom w:val="single" w:sz="4" w:space="0" w:color="auto"/>
              <w:right w:val="nil"/>
            </w:tcBorders>
            <w:noWrap/>
            <w:vAlign w:val="center"/>
            <w:hideMark/>
          </w:tcPr>
          <w:p w14:paraId="09C42EE6" w14:textId="77777777" w:rsidR="00BB3DD1" w:rsidRPr="00BB3DD1" w:rsidRDefault="00BB3DD1" w:rsidP="00BB3DD1">
            <w:pPr>
              <w:spacing w:after="0" w:line="240" w:lineRule="auto"/>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G10001-G1100-7455-322303 PRIN25 Transferencia capital UPNA: Campus Tudela edificio grado en ciencias de la actividad física y el deporte</w:t>
            </w:r>
          </w:p>
        </w:tc>
        <w:tc>
          <w:tcPr>
            <w:tcW w:w="1276" w:type="dxa"/>
            <w:tcBorders>
              <w:top w:val="nil"/>
              <w:left w:val="single" w:sz="4" w:space="0" w:color="auto"/>
              <w:bottom w:val="single" w:sz="4" w:space="0" w:color="auto"/>
              <w:right w:val="single" w:sz="4" w:space="0" w:color="auto"/>
            </w:tcBorders>
            <w:noWrap/>
            <w:vAlign w:val="center"/>
            <w:hideMark/>
          </w:tcPr>
          <w:p w14:paraId="4647F1BD" w14:textId="77777777" w:rsidR="00BB3DD1" w:rsidRPr="00BB3DD1" w:rsidRDefault="00BB3DD1" w:rsidP="00BB3DD1">
            <w:pPr>
              <w:spacing w:after="0" w:line="240" w:lineRule="auto"/>
              <w:jc w:val="right"/>
              <w:rPr>
                <w:rFonts w:ascii="Arial" w:eastAsia="Times New Roman" w:hAnsi="Arial" w:cs="Arial"/>
                <w:color w:val="000000"/>
                <w:sz w:val="18"/>
                <w:szCs w:val="18"/>
                <w:lang w:val="es-ES" w:eastAsia="es-ES"/>
              </w:rPr>
            </w:pPr>
            <w:r w:rsidRPr="00BB3DD1">
              <w:rPr>
                <w:rFonts w:ascii="Arial" w:eastAsia="Times New Roman" w:hAnsi="Arial" w:cs="Arial"/>
                <w:color w:val="000000"/>
                <w:sz w:val="18"/>
                <w:szCs w:val="18"/>
                <w:lang w:val="es-ES" w:eastAsia="es-ES"/>
              </w:rPr>
              <w:t>2.000.000</w:t>
            </w:r>
          </w:p>
        </w:tc>
      </w:tr>
      <w:tr w:rsidR="00BB3DD1" w:rsidRPr="00BB3DD1" w14:paraId="17A8D985" w14:textId="77777777" w:rsidTr="00BB0DB8">
        <w:trPr>
          <w:trHeight w:val="454"/>
        </w:trPr>
        <w:tc>
          <w:tcPr>
            <w:tcW w:w="14317" w:type="dxa"/>
            <w:gridSpan w:val="2"/>
            <w:tcBorders>
              <w:top w:val="single" w:sz="4" w:space="0" w:color="auto"/>
              <w:left w:val="single" w:sz="4" w:space="0" w:color="auto"/>
              <w:bottom w:val="single" w:sz="4" w:space="0" w:color="auto"/>
              <w:right w:val="single" w:sz="4" w:space="0" w:color="000000"/>
            </w:tcBorders>
            <w:noWrap/>
            <w:vAlign w:val="center"/>
            <w:hideMark/>
          </w:tcPr>
          <w:p w14:paraId="31B561C6" w14:textId="77777777" w:rsidR="00BB3DD1" w:rsidRPr="00BB3DD1" w:rsidRDefault="00BB3DD1" w:rsidP="00BB3DD1">
            <w:pPr>
              <w:spacing w:after="0" w:line="240" w:lineRule="auto"/>
              <w:jc w:val="center"/>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SUMA PROGRAMA INVERSIONES 2026</w:t>
            </w:r>
          </w:p>
        </w:tc>
        <w:tc>
          <w:tcPr>
            <w:tcW w:w="1276" w:type="dxa"/>
            <w:tcBorders>
              <w:top w:val="nil"/>
              <w:left w:val="nil"/>
              <w:bottom w:val="single" w:sz="4" w:space="0" w:color="auto"/>
              <w:right w:val="single" w:sz="4" w:space="0" w:color="auto"/>
            </w:tcBorders>
            <w:noWrap/>
            <w:vAlign w:val="center"/>
            <w:hideMark/>
          </w:tcPr>
          <w:p w14:paraId="1674BDFA" w14:textId="77777777" w:rsidR="00BB3DD1" w:rsidRPr="00BB3DD1" w:rsidRDefault="00BB3DD1" w:rsidP="00BB3DD1">
            <w:pPr>
              <w:spacing w:after="0" w:line="240" w:lineRule="auto"/>
              <w:jc w:val="right"/>
              <w:rPr>
                <w:rFonts w:ascii="Arial" w:eastAsia="Times New Roman" w:hAnsi="Arial" w:cs="Arial"/>
                <w:b/>
                <w:bCs/>
                <w:color w:val="000000"/>
                <w:sz w:val="18"/>
                <w:szCs w:val="18"/>
                <w:lang w:val="es-ES" w:eastAsia="es-ES"/>
              </w:rPr>
            </w:pPr>
            <w:r w:rsidRPr="00BB3DD1">
              <w:rPr>
                <w:rFonts w:ascii="Arial" w:eastAsia="Times New Roman" w:hAnsi="Arial" w:cs="Arial"/>
                <w:b/>
                <w:bCs/>
                <w:color w:val="000000"/>
                <w:sz w:val="18"/>
                <w:szCs w:val="18"/>
                <w:lang w:val="es-ES" w:eastAsia="es-ES"/>
              </w:rPr>
              <w:t>43.766.500</w:t>
            </w:r>
          </w:p>
        </w:tc>
      </w:tr>
      <w:bookmarkEnd w:id="8"/>
    </w:tbl>
    <w:p w14:paraId="43AD718C" w14:textId="77777777" w:rsidR="00032DCE" w:rsidRPr="00F7157A" w:rsidRDefault="00032DCE" w:rsidP="00032DCE">
      <w:pPr>
        <w:shd w:val="clear" w:color="auto" w:fill="FFFFFF"/>
        <w:spacing w:after="300" w:line="340" w:lineRule="exact"/>
        <w:jc w:val="both"/>
        <w:rPr>
          <w:rFonts w:ascii="Arial" w:eastAsia="Times New Roman" w:hAnsi="Arial" w:cs="Arial"/>
          <w:sz w:val="24"/>
          <w:szCs w:val="24"/>
          <w:lang w:val="es-ES" w:eastAsia="es-ES"/>
        </w:rPr>
      </w:pPr>
    </w:p>
    <w:sectPr w:rsidR="00032DCE" w:rsidRPr="00F7157A" w:rsidSect="00BB3DD1">
      <w:headerReference w:type="even" r:id="rId12"/>
      <w:headerReference w:type="default" r:id="rId13"/>
      <w:footerReference w:type="even" r:id="rId14"/>
      <w:footerReference w:type="default" r:id="rId15"/>
      <w:headerReference w:type="first" r:id="rId16"/>
      <w:footerReference w:type="first" r:id="rId17"/>
      <w:pgSz w:w="16838" w:h="11906" w:orient="landscape"/>
      <w:pgMar w:top="861" w:right="397" w:bottom="244" w:left="567" w:header="279" w:footer="3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8C3B" w14:textId="77777777" w:rsidR="00875994" w:rsidRDefault="00875994" w:rsidP="00BF3C5F">
      <w:pPr>
        <w:spacing w:after="0" w:line="240" w:lineRule="auto"/>
      </w:pPr>
      <w:r>
        <w:separator/>
      </w:r>
    </w:p>
  </w:endnote>
  <w:endnote w:type="continuationSeparator" w:id="0">
    <w:p w14:paraId="64B761BD" w14:textId="77777777" w:rsidR="00875994" w:rsidRDefault="00875994" w:rsidP="00BF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210233"/>
      <w:docPartObj>
        <w:docPartGallery w:val="Page Numbers (Bottom of Page)"/>
        <w:docPartUnique/>
      </w:docPartObj>
    </w:sdtPr>
    <w:sdtEndPr/>
    <w:sdtContent>
      <w:p w14:paraId="515A7641" w14:textId="795127EB" w:rsidR="0074289E" w:rsidRDefault="0074289E">
        <w:pPr>
          <w:pStyle w:val="Piedepgina"/>
          <w:jc w:val="right"/>
        </w:pPr>
        <w:r>
          <w:fldChar w:fldCharType="begin"/>
        </w:r>
        <w:r>
          <w:instrText>PAGE   \* MERGEFORMAT</w:instrText>
        </w:r>
        <w:r>
          <w:fldChar w:fldCharType="separate"/>
        </w:r>
        <w:r w:rsidR="00FB196B" w:rsidRPr="00FB196B">
          <w:rPr>
            <w:noProof/>
            <w:lang w:val="es-ES"/>
          </w:rPr>
          <w:t>1</w:t>
        </w:r>
        <w:r>
          <w:fldChar w:fldCharType="end"/>
        </w:r>
      </w:p>
    </w:sdtContent>
  </w:sdt>
  <w:p w14:paraId="16778929" w14:textId="77777777" w:rsidR="0074289E" w:rsidRDefault="007428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C159" w14:textId="77777777" w:rsidR="0074289E" w:rsidRPr="00D44048" w:rsidRDefault="0074289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02533"/>
      <w:docPartObj>
        <w:docPartGallery w:val="Page Numbers (Bottom of Page)"/>
        <w:docPartUnique/>
      </w:docPartObj>
    </w:sdtPr>
    <w:sdtEndPr/>
    <w:sdtContent>
      <w:p w14:paraId="61910685" w14:textId="659DD23F" w:rsidR="0074289E" w:rsidRDefault="0074289E">
        <w:pPr>
          <w:pStyle w:val="Piedepgina"/>
          <w:jc w:val="right"/>
        </w:pPr>
        <w:r>
          <w:fldChar w:fldCharType="begin"/>
        </w:r>
        <w:r>
          <w:instrText>PAGE   \* MERGEFORMAT</w:instrText>
        </w:r>
        <w:r>
          <w:fldChar w:fldCharType="separate"/>
        </w:r>
        <w:r w:rsidR="00FB196B" w:rsidRPr="00FB196B">
          <w:rPr>
            <w:noProof/>
            <w:lang w:val="es-ES"/>
          </w:rPr>
          <w:t>75</w:t>
        </w:r>
        <w:r>
          <w:fldChar w:fldCharType="end"/>
        </w:r>
      </w:p>
    </w:sdtContent>
  </w:sdt>
  <w:p w14:paraId="13B3F795" w14:textId="77777777" w:rsidR="0074289E" w:rsidRDefault="0074289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595E" w14:textId="77777777" w:rsidR="0074289E" w:rsidRPr="00D44048" w:rsidRDefault="007428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2F43" w14:textId="77777777" w:rsidR="00875994" w:rsidRDefault="00875994" w:rsidP="00BF3C5F">
      <w:pPr>
        <w:spacing w:after="0" w:line="240" w:lineRule="auto"/>
      </w:pPr>
      <w:r>
        <w:separator/>
      </w:r>
    </w:p>
  </w:footnote>
  <w:footnote w:type="continuationSeparator" w:id="0">
    <w:p w14:paraId="35B8D516" w14:textId="77777777" w:rsidR="00875994" w:rsidRDefault="00875994" w:rsidP="00BF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BCE9" w14:textId="77777777" w:rsidR="0074289E" w:rsidRPr="00D44048" w:rsidRDefault="0074289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F38C" w14:textId="77777777" w:rsidR="0074289E" w:rsidRPr="00032DCE" w:rsidRDefault="0074289E" w:rsidP="00032D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3634" w14:textId="77777777" w:rsidR="0074289E" w:rsidRPr="00D44048" w:rsidRDefault="0074289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3D93F38"/>
    <w:multiLevelType w:val="hybridMultilevel"/>
    <w:tmpl w:val="2F320BC6"/>
    <w:lvl w:ilvl="0" w:tplc="60F86C9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AF0AEB"/>
    <w:multiLevelType w:val="hybridMultilevel"/>
    <w:tmpl w:val="0370500A"/>
    <w:lvl w:ilvl="0" w:tplc="0C0A0001">
      <w:start w:val="1"/>
      <w:numFmt w:val="bullet"/>
      <w:lvlText w:val=""/>
      <w:lvlJc w:val="left"/>
      <w:pPr>
        <w:ind w:left="927" w:hanging="360"/>
      </w:pPr>
      <w:rPr>
        <w:rFonts w:ascii="Symbol" w:hAnsi="Symbol"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5"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A163852"/>
    <w:multiLevelType w:val="multilevel"/>
    <w:tmpl w:val="AFE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E315C19"/>
    <w:multiLevelType w:val="hybridMultilevel"/>
    <w:tmpl w:val="A3068620"/>
    <w:lvl w:ilvl="0" w:tplc="13CE25F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0"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B4E6775"/>
    <w:multiLevelType w:val="hybridMultilevel"/>
    <w:tmpl w:val="61EAEDC4"/>
    <w:lvl w:ilvl="0" w:tplc="D59081EA">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880E4C"/>
    <w:multiLevelType w:val="multilevel"/>
    <w:tmpl w:val="6FBAAD7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4EAE3CF6"/>
    <w:multiLevelType w:val="multilevel"/>
    <w:tmpl w:val="CF28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13A2F12"/>
    <w:multiLevelType w:val="multilevel"/>
    <w:tmpl w:val="E90A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9E96B16"/>
    <w:multiLevelType w:val="hybridMultilevel"/>
    <w:tmpl w:val="F552EF42"/>
    <w:lvl w:ilvl="0" w:tplc="0C0A0001">
      <w:start w:val="1"/>
      <w:numFmt w:val="bullet"/>
      <w:lvlText w:val=""/>
      <w:lvlJc w:val="left"/>
      <w:pPr>
        <w:ind w:left="927" w:hanging="360"/>
      </w:pPr>
      <w:rPr>
        <w:rFonts w:ascii="Symbol" w:hAnsi="Symbol" w:hint="default"/>
      </w:rPr>
    </w:lvl>
    <w:lvl w:ilvl="1" w:tplc="0C0A0019">
      <w:start w:val="1"/>
      <w:numFmt w:val="lowerLetter"/>
      <w:lvlText w:val="%2."/>
      <w:lvlJc w:val="left"/>
      <w:pPr>
        <w:ind w:left="1647" w:hanging="360"/>
      </w:pPr>
    </w:lvl>
    <w:lvl w:ilvl="2" w:tplc="0C0A001B">
      <w:start w:val="1"/>
      <w:numFmt w:val="lowerRoman"/>
      <w:lvlText w:val="%3."/>
      <w:lvlJc w:val="right"/>
      <w:pPr>
        <w:ind w:left="2367" w:hanging="180"/>
      </w:pPr>
    </w:lvl>
    <w:lvl w:ilvl="3" w:tplc="0C0A000F">
      <w:start w:val="1"/>
      <w:numFmt w:val="decimal"/>
      <w:lvlText w:val="%4."/>
      <w:lvlJc w:val="left"/>
      <w:pPr>
        <w:ind w:left="3087" w:hanging="360"/>
      </w:pPr>
    </w:lvl>
    <w:lvl w:ilvl="4" w:tplc="0C0A0019">
      <w:start w:val="1"/>
      <w:numFmt w:val="lowerLetter"/>
      <w:lvlText w:val="%5."/>
      <w:lvlJc w:val="left"/>
      <w:pPr>
        <w:ind w:left="3807" w:hanging="360"/>
      </w:pPr>
    </w:lvl>
    <w:lvl w:ilvl="5" w:tplc="0C0A001B">
      <w:start w:val="1"/>
      <w:numFmt w:val="lowerRoman"/>
      <w:lvlText w:val="%6."/>
      <w:lvlJc w:val="right"/>
      <w:pPr>
        <w:ind w:left="4527" w:hanging="180"/>
      </w:pPr>
    </w:lvl>
    <w:lvl w:ilvl="6" w:tplc="0C0A000F">
      <w:start w:val="1"/>
      <w:numFmt w:val="decimal"/>
      <w:lvlText w:val="%7."/>
      <w:lvlJc w:val="left"/>
      <w:pPr>
        <w:ind w:left="5247" w:hanging="360"/>
      </w:pPr>
    </w:lvl>
    <w:lvl w:ilvl="7" w:tplc="0C0A0019">
      <w:start w:val="1"/>
      <w:numFmt w:val="lowerLetter"/>
      <w:lvlText w:val="%8."/>
      <w:lvlJc w:val="left"/>
      <w:pPr>
        <w:ind w:left="5967" w:hanging="360"/>
      </w:pPr>
    </w:lvl>
    <w:lvl w:ilvl="8" w:tplc="0C0A001B">
      <w:start w:val="1"/>
      <w:numFmt w:val="lowerRoman"/>
      <w:lvlText w:val="%9."/>
      <w:lvlJc w:val="right"/>
      <w:pPr>
        <w:ind w:left="6687" w:hanging="180"/>
      </w:pPr>
    </w:lvl>
  </w:abstractNum>
  <w:abstractNum w:abstractNumId="24"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26"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abstractNum w:abstractNumId="27" w15:restartNumberingAfterBreak="0">
    <w:nsid w:val="77E9732B"/>
    <w:multiLevelType w:val="hybridMultilevel"/>
    <w:tmpl w:val="E55E00E2"/>
    <w:lvl w:ilvl="0" w:tplc="8B189FC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6291467">
    <w:abstractNumId w:val="15"/>
  </w:num>
  <w:num w:numId="2" w16cid:durableId="968045878">
    <w:abstractNumId w:val="21"/>
  </w:num>
  <w:num w:numId="3" w16cid:durableId="1518620648">
    <w:abstractNumId w:val="16"/>
  </w:num>
  <w:num w:numId="4" w16cid:durableId="1968925368">
    <w:abstractNumId w:val="6"/>
  </w:num>
  <w:num w:numId="5" w16cid:durableId="17352292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69168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1111917">
    <w:abstractNumId w:val="27"/>
  </w:num>
  <w:num w:numId="8" w16cid:durableId="528108154">
    <w:abstractNumId w:val="8"/>
  </w:num>
  <w:num w:numId="9" w16cid:durableId="33506634">
    <w:abstractNumId w:val="12"/>
  </w:num>
  <w:num w:numId="10" w16cid:durableId="2098020730">
    <w:abstractNumId w:val="2"/>
  </w:num>
  <w:num w:numId="11" w16cid:durableId="177625093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12" w16cid:durableId="131386904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13" w16cid:durableId="343670878">
    <w:abstractNumId w:val="0"/>
    <w:lvlOverride w:ilvl="0">
      <w:lvl w:ilvl="0">
        <w:start w:val="1"/>
        <w:numFmt w:val="bullet"/>
        <w:lvlText w:val=""/>
        <w:legacy w:legacy="1" w:legacySpace="0" w:legacyIndent="284"/>
        <w:lvlJc w:val="left"/>
        <w:rPr>
          <w:rFonts w:ascii="Symbol" w:hAnsi="Symbol" w:hint="default"/>
          <w:sz w:val="22"/>
        </w:rPr>
      </w:lvl>
    </w:lvlOverride>
  </w:num>
  <w:num w:numId="14" w16cid:durableId="17710465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82780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0379792">
    <w:abstractNumId w:val="7"/>
  </w:num>
  <w:num w:numId="17" w16cid:durableId="104813501">
    <w:abstractNumId w:val="14"/>
  </w:num>
  <w:num w:numId="18" w16cid:durableId="1262881560">
    <w:abstractNumId w:val="3"/>
  </w:num>
  <w:num w:numId="19" w16cid:durableId="601035541">
    <w:abstractNumId w:val="17"/>
  </w:num>
  <w:num w:numId="20" w16cid:durableId="1959679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1262873">
    <w:abstractNumId w:val="18"/>
  </w:num>
  <w:num w:numId="22" w16cid:durableId="175654348">
    <w:abstractNumId w:val="22"/>
  </w:num>
  <w:num w:numId="23" w16cid:durableId="354616894">
    <w:abstractNumId w:val="10"/>
  </w:num>
  <w:num w:numId="24" w16cid:durableId="1098527913">
    <w:abstractNumId w:val="26"/>
  </w:num>
  <w:num w:numId="25" w16cid:durableId="1048069480">
    <w:abstractNumId w:val="9"/>
  </w:num>
  <w:num w:numId="26" w16cid:durableId="2019386542">
    <w:abstractNumId w:val="24"/>
  </w:num>
  <w:num w:numId="27" w16cid:durableId="1122728997">
    <w:abstractNumId w:val="13"/>
  </w:num>
  <w:num w:numId="28" w16cid:durableId="4600760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7829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9290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53F"/>
    <w:rsid w:val="00022DFE"/>
    <w:rsid w:val="00023CB8"/>
    <w:rsid w:val="00032DCE"/>
    <w:rsid w:val="00035851"/>
    <w:rsid w:val="00073DB5"/>
    <w:rsid w:val="00086329"/>
    <w:rsid w:val="00094F29"/>
    <w:rsid w:val="00095361"/>
    <w:rsid w:val="000B34FC"/>
    <w:rsid w:val="000B4006"/>
    <w:rsid w:val="000B6829"/>
    <w:rsid w:val="000C320C"/>
    <w:rsid w:val="000C71A3"/>
    <w:rsid w:val="00154F88"/>
    <w:rsid w:val="00182C13"/>
    <w:rsid w:val="0019685B"/>
    <w:rsid w:val="001D25AC"/>
    <w:rsid w:val="001D73F0"/>
    <w:rsid w:val="001F481B"/>
    <w:rsid w:val="002149DF"/>
    <w:rsid w:val="00215DDD"/>
    <w:rsid w:val="0024494D"/>
    <w:rsid w:val="002475BA"/>
    <w:rsid w:val="002548A2"/>
    <w:rsid w:val="00255252"/>
    <w:rsid w:val="00270649"/>
    <w:rsid w:val="002C6CA9"/>
    <w:rsid w:val="002E48B0"/>
    <w:rsid w:val="00311620"/>
    <w:rsid w:val="00323CB3"/>
    <w:rsid w:val="0033068F"/>
    <w:rsid w:val="0033095F"/>
    <w:rsid w:val="00366D00"/>
    <w:rsid w:val="003701AB"/>
    <w:rsid w:val="003778FD"/>
    <w:rsid w:val="0038761D"/>
    <w:rsid w:val="003A7F2C"/>
    <w:rsid w:val="003B0277"/>
    <w:rsid w:val="003C0364"/>
    <w:rsid w:val="003C2487"/>
    <w:rsid w:val="003C2654"/>
    <w:rsid w:val="004047AF"/>
    <w:rsid w:val="0041463A"/>
    <w:rsid w:val="00450E43"/>
    <w:rsid w:val="00477514"/>
    <w:rsid w:val="004B72C8"/>
    <w:rsid w:val="004B731B"/>
    <w:rsid w:val="004D19BB"/>
    <w:rsid w:val="005219BB"/>
    <w:rsid w:val="005A4718"/>
    <w:rsid w:val="005C59B6"/>
    <w:rsid w:val="005D3833"/>
    <w:rsid w:val="006075A2"/>
    <w:rsid w:val="00626C26"/>
    <w:rsid w:val="00636F2E"/>
    <w:rsid w:val="00655EE6"/>
    <w:rsid w:val="00687250"/>
    <w:rsid w:val="006A72F0"/>
    <w:rsid w:val="006B353F"/>
    <w:rsid w:val="006B4ED6"/>
    <w:rsid w:val="006C2A61"/>
    <w:rsid w:val="006C5968"/>
    <w:rsid w:val="006F0E82"/>
    <w:rsid w:val="00707879"/>
    <w:rsid w:val="0072003D"/>
    <w:rsid w:val="00734758"/>
    <w:rsid w:val="0074289E"/>
    <w:rsid w:val="00772A2F"/>
    <w:rsid w:val="007814A6"/>
    <w:rsid w:val="00786EDC"/>
    <w:rsid w:val="00787D37"/>
    <w:rsid w:val="007A1210"/>
    <w:rsid w:val="007B75AD"/>
    <w:rsid w:val="007D3B0F"/>
    <w:rsid w:val="007F645B"/>
    <w:rsid w:val="00822BB4"/>
    <w:rsid w:val="00826902"/>
    <w:rsid w:val="00866CB4"/>
    <w:rsid w:val="00875994"/>
    <w:rsid w:val="008841B5"/>
    <w:rsid w:val="00897353"/>
    <w:rsid w:val="008B3533"/>
    <w:rsid w:val="008C39B8"/>
    <w:rsid w:val="0091410E"/>
    <w:rsid w:val="009162B7"/>
    <w:rsid w:val="0091657A"/>
    <w:rsid w:val="00927C8C"/>
    <w:rsid w:val="0095518B"/>
    <w:rsid w:val="0097580E"/>
    <w:rsid w:val="00993B39"/>
    <w:rsid w:val="009A71F6"/>
    <w:rsid w:val="009A7FCD"/>
    <w:rsid w:val="009C226E"/>
    <w:rsid w:val="00A44DC9"/>
    <w:rsid w:val="00A70965"/>
    <w:rsid w:val="00A806A7"/>
    <w:rsid w:val="00A87AE9"/>
    <w:rsid w:val="00A9334F"/>
    <w:rsid w:val="00AA6191"/>
    <w:rsid w:val="00AF26B6"/>
    <w:rsid w:val="00AF5D9B"/>
    <w:rsid w:val="00B01115"/>
    <w:rsid w:val="00B01173"/>
    <w:rsid w:val="00B018CA"/>
    <w:rsid w:val="00B10647"/>
    <w:rsid w:val="00B15026"/>
    <w:rsid w:val="00B1678A"/>
    <w:rsid w:val="00B279E3"/>
    <w:rsid w:val="00B31171"/>
    <w:rsid w:val="00B454DB"/>
    <w:rsid w:val="00B547DD"/>
    <w:rsid w:val="00B65D94"/>
    <w:rsid w:val="00B72AE7"/>
    <w:rsid w:val="00B7403B"/>
    <w:rsid w:val="00BB0DB8"/>
    <w:rsid w:val="00BB3DD1"/>
    <w:rsid w:val="00BC421B"/>
    <w:rsid w:val="00BE4ECF"/>
    <w:rsid w:val="00BF3C5F"/>
    <w:rsid w:val="00C266E5"/>
    <w:rsid w:val="00C43EBD"/>
    <w:rsid w:val="00C70521"/>
    <w:rsid w:val="00C70686"/>
    <w:rsid w:val="00C81786"/>
    <w:rsid w:val="00C8725C"/>
    <w:rsid w:val="00CA2757"/>
    <w:rsid w:val="00CC38A7"/>
    <w:rsid w:val="00CD33FB"/>
    <w:rsid w:val="00CE2315"/>
    <w:rsid w:val="00CF00F4"/>
    <w:rsid w:val="00CF7E24"/>
    <w:rsid w:val="00D009CD"/>
    <w:rsid w:val="00D23FA1"/>
    <w:rsid w:val="00D41B47"/>
    <w:rsid w:val="00D43706"/>
    <w:rsid w:val="00D630B8"/>
    <w:rsid w:val="00D66F27"/>
    <w:rsid w:val="00DD1F9B"/>
    <w:rsid w:val="00DF497B"/>
    <w:rsid w:val="00E30392"/>
    <w:rsid w:val="00E3153F"/>
    <w:rsid w:val="00E65461"/>
    <w:rsid w:val="00E67D8B"/>
    <w:rsid w:val="00E95FE3"/>
    <w:rsid w:val="00E970E1"/>
    <w:rsid w:val="00EA35A3"/>
    <w:rsid w:val="00EA6E16"/>
    <w:rsid w:val="00EA731C"/>
    <w:rsid w:val="00F07EB5"/>
    <w:rsid w:val="00F53FBA"/>
    <w:rsid w:val="00F7157A"/>
    <w:rsid w:val="00FA52D0"/>
    <w:rsid w:val="00FB196B"/>
    <w:rsid w:val="00FC7329"/>
    <w:rsid w:val="00FD49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87800A"/>
  <w15:chartTrackingRefBased/>
  <w15:docId w15:val="{F31CA361-C5A7-495B-BB53-397E67BE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1"/>
    <w:qFormat/>
    <w:rsid w:val="00BB3DD1"/>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es-ES"/>
    </w:rPr>
  </w:style>
  <w:style w:type="paragraph" w:styleId="Ttulo3">
    <w:name w:val="heading 3"/>
    <w:basedOn w:val="Normal"/>
    <w:next w:val="Normal"/>
    <w:link w:val="Ttulo3Car"/>
    <w:unhideWhenUsed/>
    <w:qFormat/>
    <w:rsid w:val="00BB3DD1"/>
    <w:pPr>
      <w:keepNext/>
      <w:keepLines/>
      <w:spacing w:before="40" w:after="0" w:line="240" w:lineRule="auto"/>
      <w:outlineLvl w:val="2"/>
    </w:pPr>
    <w:rPr>
      <w:rFonts w:ascii="Cambria" w:eastAsia="Times New Roman" w:hAnsi="Cambria" w:cs="Times New Roman"/>
      <w:color w:val="243F60"/>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r-hn3">
    <w:name w:val="r-hn3"/>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contenido">
    <w:name w:val="contenido"/>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al-f-parrafo-c">
    <w:name w:val="foral-f-parrafo-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al-f-titulo2-t2-c">
    <w:name w:val="foral-f-titulo2-t2-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al-f-titulo2-t2-bis-c">
    <w:name w:val="foral-f-titulo2-t2-bis-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al-f-parrafo-3lineas-t5-c">
    <w:name w:val="foral-f-parrafo-3lineas-t5-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s">
    <w:name w:val="es"/>
    <w:basedOn w:val="Fuentedeprrafopredeter"/>
    <w:rsid w:val="00E3153F"/>
  </w:style>
  <w:style w:type="paragraph" w:customStyle="1" w:styleId="tablascabecera7-negrita--c">
    <w:name w:val="tablas_cabecera7-negrita--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ablas-c8-centro-c">
    <w:name w:val="tablas-c8-centro-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ablas-c8-derecha-c">
    <w:name w:val="tablas-c8-derecha-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al-f-firma-bis-c">
    <w:name w:val="foral-f-firma-bis-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ablas-c8-izquierda-c">
    <w:name w:val="tablas-c8-izquierda-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tablas-c8-derecha-blanco-c">
    <w:name w:val="tablas-c8-derecha-blanco-c"/>
    <w:basedOn w:val="Normal"/>
    <w:rsid w:val="00E3153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3153F"/>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semiHidden/>
    <w:rsid w:val="00E3153F"/>
    <w:rPr>
      <w:rFonts w:ascii="Times New Roman" w:eastAsia="Times New Roman" w:hAnsi="Times New Roman" w:cs="Times New Roman"/>
      <w:sz w:val="24"/>
      <w:szCs w:val="24"/>
      <w:lang w:val="es-ES_tradnl" w:eastAsia="es-ES"/>
    </w:rPr>
  </w:style>
  <w:style w:type="paragraph" w:customStyle="1" w:styleId="DICTA-TITULO">
    <w:name w:val="DICTA-TITULO"/>
    <w:rsid w:val="00E3153F"/>
    <w:pPr>
      <w:spacing w:after="840" w:line="240" w:lineRule="auto"/>
      <w:jc w:val="center"/>
    </w:pPr>
    <w:rPr>
      <w:rFonts w:ascii="Arial" w:eastAsia="Times New Roman" w:hAnsi="Arial" w:cs="Times New Roman"/>
      <w:b/>
      <w:sz w:val="28"/>
      <w:szCs w:val="20"/>
      <w:lang w:eastAsia="es-ES"/>
    </w:rPr>
  </w:style>
  <w:style w:type="paragraph" w:customStyle="1" w:styleId="DICTA-TEXTO">
    <w:name w:val="DICTA-TEXTO"/>
    <w:rsid w:val="005C59B6"/>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styleId="Encabezado">
    <w:name w:val="header"/>
    <w:basedOn w:val="Normal"/>
    <w:link w:val="EncabezadoCar"/>
    <w:unhideWhenUsed/>
    <w:rsid w:val="00BF3C5F"/>
    <w:pPr>
      <w:tabs>
        <w:tab w:val="center" w:pos="4252"/>
        <w:tab w:val="right" w:pos="8504"/>
      </w:tabs>
      <w:spacing w:after="0" w:line="240" w:lineRule="auto"/>
    </w:pPr>
  </w:style>
  <w:style w:type="character" w:customStyle="1" w:styleId="EncabezadoCar">
    <w:name w:val="Encabezado Car"/>
    <w:basedOn w:val="Fuentedeprrafopredeter"/>
    <w:link w:val="Encabezado"/>
    <w:rsid w:val="00BF3C5F"/>
    <w:rPr>
      <w:lang w:val="es-ES_tradnl"/>
    </w:rPr>
  </w:style>
  <w:style w:type="paragraph" w:styleId="Piedepgina">
    <w:name w:val="footer"/>
    <w:basedOn w:val="Normal"/>
    <w:link w:val="PiedepginaCar"/>
    <w:uiPriority w:val="99"/>
    <w:unhideWhenUsed/>
    <w:rsid w:val="00BF3C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3C5F"/>
    <w:rPr>
      <w:lang w:val="es-ES_tradnl"/>
    </w:rPr>
  </w:style>
  <w:style w:type="paragraph" w:styleId="Prrafodelista">
    <w:name w:val="List Paragraph"/>
    <w:basedOn w:val="Normal"/>
    <w:uiPriority w:val="34"/>
    <w:qFormat/>
    <w:rsid w:val="00EA731C"/>
    <w:pPr>
      <w:ind w:left="720"/>
      <w:contextualSpacing/>
    </w:pPr>
  </w:style>
  <w:style w:type="paragraph" w:styleId="NormalWeb">
    <w:name w:val="Normal (Web)"/>
    <w:basedOn w:val="Normal"/>
    <w:uiPriority w:val="99"/>
    <w:unhideWhenUsed/>
    <w:rsid w:val="00B018C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a1">
    <w:name w:val="xa1"/>
    <w:basedOn w:val="Normal"/>
    <w:rsid w:val="00B018C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
    <w:name w:val="xl1"/>
    <w:basedOn w:val="Normal"/>
    <w:rsid w:val="0041463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
    <w:name w:val="xl2"/>
    <w:basedOn w:val="Normal"/>
    <w:rsid w:val="0041463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3306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068F"/>
    <w:rPr>
      <w:rFonts w:ascii="Segoe UI" w:hAnsi="Segoe UI" w:cs="Segoe UI"/>
      <w:sz w:val="18"/>
      <w:szCs w:val="18"/>
      <w:lang w:val="es-ES_tradnl"/>
    </w:rPr>
  </w:style>
  <w:style w:type="character" w:styleId="Hipervnculo">
    <w:name w:val="Hyperlink"/>
    <w:basedOn w:val="Fuentedeprrafopredeter"/>
    <w:uiPriority w:val="99"/>
    <w:unhideWhenUsed/>
    <w:rsid w:val="00032DCE"/>
    <w:rPr>
      <w:color w:val="0563C1" w:themeColor="hyperlink"/>
      <w:u w:val="single"/>
    </w:rPr>
  </w:style>
  <w:style w:type="character" w:customStyle="1" w:styleId="Ttulo1Car">
    <w:name w:val="Título 1 Car"/>
    <w:basedOn w:val="Fuentedeprrafopredeter"/>
    <w:link w:val="Ttulo1"/>
    <w:uiPriority w:val="1"/>
    <w:rsid w:val="00BB3DD1"/>
    <w:rPr>
      <w:rFonts w:ascii="Arial" w:eastAsia="Times New Roman" w:hAnsi="Arial" w:cs="Arial"/>
      <w:b/>
      <w:bCs/>
      <w:kern w:val="32"/>
      <w:sz w:val="32"/>
      <w:szCs w:val="32"/>
      <w:lang w:val="es-ES_tradnl" w:eastAsia="es-ES"/>
    </w:rPr>
  </w:style>
  <w:style w:type="character" w:customStyle="1" w:styleId="Ttulo3Car">
    <w:name w:val="Título 3 Car"/>
    <w:basedOn w:val="Fuentedeprrafopredeter"/>
    <w:link w:val="Ttulo3"/>
    <w:rsid w:val="00BB3DD1"/>
    <w:rPr>
      <w:rFonts w:ascii="Cambria" w:eastAsia="Times New Roman" w:hAnsi="Cambria" w:cs="Times New Roman"/>
      <w:color w:val="243F60"/>
      <w:sz w:val="24"/>
      <w:szCs w:val="24"/>
      <w:lang w:eastAsia="es-ES"/>
    </w:rPr>
  </w:style>
  <w:style w:type="numbering" w:customStyle="1" w:styleId="Sinlista1">
    <w:name w:val="Sin lista1"/>
    <w:next w:val="Sinlista"/>
    <w:uiPriority w:val="99"/>
    <w:semiHidden/>
    <w:unhideWhenUsed/>
    <w:rsid w:val="00BB3DD1"/>
  </w:style>
  <w:style w:type="paragraph" w:customStyle="1" w:styleId="DICTA-DICTAMEN">
    <w:name w:val="DICTA-DICTAMEN"/>
    <w:rsid w:val="00BB3DD1"/>
    <w:pPr>
      <w:spacing w:before="360" w:after="480" w:line="240" w:lineRule="auto"/>
      <w:jc w:val="center"/>
    </w:pPr>
    <w:rPr>
      <w:rFonts w:ascii="Arial" w:eastAsia="Times New Roman" w:hAnsi="Arial" w:cs="Times New Roman"/>
      <w:b/>
      <w:caps/>
      <w:sz w:val="28"/>
      <w:szCs w:val="20"/>
      <w:lang w:eastAsia="es-ES"/>
    </w:rPr>
  </w:style>
  <w:style w:type="paragraph" w:customStyle="1" w:styleId="DICTA-SECCION">
    <w:name w:val="DICTA-SECCION"/>
    <w:rsid w:val="00BB3DD1"/>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BB3DD1"/>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BB3DD1"/>
    <w:pPr>
      <w:spacing w:after="400" w:line="240" w:lineRule="auto"/>
      <w:jc w:val="center"/>
    </w:pPr>
    <w:rPr>
      <w:rFonts w:ascii="Arial" w:eastAsia="Times New Roman" w:hAnsi="Arial" w:cs="Times New Roman"/>
      <w:b/>
      <w:sz w:val="24"/>
      <w:szCs w:val="20"/>
      <w:lang w:eastAsia="es-ES"/>
    </w:rPr>
  </w:style>
  <w:style w:type="paragraph" w:customStyle="1" w:styleId="DICTA-CAPITULO">
    <w:name w:val="DICTA-CAPITULO"/>
    <w:rsid w:val="00BB3DD1"/>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SPO">
    <w:name w:val="DICTA-DISPO"/>
    <w:rsid w:val="00BB3DD1"/>
    <w:pPr>
      <w:spacing w:before="240" w:after="120" w:line="240" w:lineRule="auto"/>
      <w:jc w:val="center"/>
    </w:pPr>
    <w:rPr>
      <w:rFonts w:ascii="Arial" w:eastAsia="Times New Roman" w:hAnsi="Arial" w:cs="Times New Roman"/>
      <w:b/>
      <w:caps/>
      <w:sz w:val="24"/>
      <w:szCs w:val="20"/>
      <w:lang w:eastAsia="es-ES"/>
    </w:rPr>
  </w:style>
  <w:style w:type="paragraph" w:customStyle="1" w:styleId="DICTA-ART">
    <w:name w:val="DICTA-ART"/>
    <w:rsid w:val="00BB3DD1"/>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ENMIENDA">
    <w:name w:val="DICTA-ENMIENDA"/>
    <w:basedOn w:val="DICTA-TEXTO"/>
    <w:rsid w:val="00BB3DD1"/>
    <w:pPr>
      <w:tabs>
        <w:tab w:val="left" w:pos="567"/>
      </w:tabs>
      <w:ind w:hanging="1559"/>
    </w:pPr>
  </w:style>
  <w:style w:type="paragraph" w:customStyle="1" w:styleId="DICTA-INDICE-DISPO">
    <w:name w:val="DICTA-INDICE-DISPO"/>
    <w:rsid w:val="00BB3DD1"/>
    <w:pPr>
      <w:tabs>
        <w:tab w:val="left" w:pos="1170"/>
      </w:tabs>
      <w:spacing w:after="0" w:line="240" w:lineRule="auto"/>
      <w:ind w:left="1168" w:hanging="1168"/>
      <w:jc w:val="both"/>
    </w:pPr>
    <w:rPr>
      <w:rFonts w:ascii="Arial" w:eastAsia="Times New Roman" w:hAnsi="Arial" w:cs="Times New Roman"/>
      <w:sz w:val="24"/>
      <w:szCs w:val="20"/>
      <w:lang w:eastAsia="es-ES"/>
    </w:rPr>
  </w:style>
  <w:style w:type="paragraph" w:customStyle="1" w:styleId="DICTA-TITULO1">
    <w:name w:val="DICTA-TITULO1"/>
    <w:rsid w:val="00BB3DD1"/>
    <w:pPr>
      <w:spacing w:before="360" w:after="120" w:line="240" w:lineRule="auto"/>
      <w:jc w:val="center"/>
    </w:pPr>
    <w:rPr>
      <w:rFonts w:ascii="Arial" w:eastAsia="Times New Roman" w:hAnsi="Arial" w:cs="Times New Roman"/>
      <w:b/>
      <w:caps/>
      <w:sz w:val="24"/>
      <w:szCs w:val="20"/>
      <w:lang w:eastAsia="es-ES"/>
    </w:rPr>
  </w:style>
  <w:style w:type="paragraph" w:customStyle="1" w:styleId="DICTA-FECHA1">
    <w:name w:val="DICTA-FECHA1"/>
    <w:rsid w:val="00BB3DD1"/>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BB3DD1"/>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BB3DD1"/>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FIRMA5">
    <w:name w:val="DICTA-FIRMA5"/>
    <w:rsid w:val="00BB3DD1"/>
    <w:pPr>
      <w:tabs>
        <w:tab w:val="center" w:pos="1701"/>
        <w:tab w:val="center" w:pos="6237"/>
      </w:tabs>
      <w:spacing w:after="1100" w:line="240" w:lineRule="auto"/>
      <w:jc w:val="both"/>
    </w:pPr>
    <w:rPr>
      <w:rFonts w:ascii="Arial" w:eastAsia="Times New Roman" w:hAnsi="Arial" w:cs="Times New Roman"/>
      <w:smallCaps/>
      <w:sz w:val="28"/>
      <w:szCs w:val="20"/>
      <w:lang w:eastAsia="es-ES"/>
    </w:rPr>
  </w:style>
  <w:style w:type="paragraph" w:customStyle="1" w:styleId="DICTA-FIRMA6">
    <w:name w:val="DICTA-FIRMA6"/>
    <w:rsid w:val="00BB3DD1"/>
    <w:pPr>
      <w:tabs>
        <w:tab w:val="center" w:pos="1701"/>
        <w:tab w:val="center" w:pos="6237"/>
      </w:tabs>
      <w:spacing w:after="0" w:line="240" w:lineRule="auto"/>
      <w:jc w:val="both"/>
    </w:pPr>
    <w:rPr>
      <w:rFonts w:ascii="Arial" w:eastAsia="Times New Roman" w:hAnsi="Arial" w:cs="Times New Roman"/>
      <w:sz w:val="24"/>
      <w:szCs w:val="20"/>
      <w:lang w:eastAsia="es-ES"/>
    </w:rPr>
  </w:style>
  <w:style w:type="paragraph" w:customStyle="1" w:styleId="TEXTO">
    <w:name w:val="TEXTO"/>
    <w:basedOn w:val="Normal"/>
    <w:rsid w:val="00BB3DD1"/>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character" w:styleId="Refdecomentario">
    <w:name w:val="annotation reference"/>
    <w:semiHidden/>
    <w:unhideWhenUsed/>
    <w:rsid w:val="00BB3DD1"/>
    <w:rPr>
      <w:sz w:val="16"/>
      <w:szCs w:val="16"/>
    </w:rPr>
  </w:style>
  <w:style w:type="paragraph" w:styleId="Textocomentario">
    <w:name w:val="annotation text"/>
    <w:basedOn w:val="Normal"/>
    <w:link w:val="TextocomentarioCar"/>
    <w:unhideWhenUsed/>
    <w:rsid w:val="00BB3DD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BB3DD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semiHidden/>
    <w:unhideWhenUsed/>
    <w:rsid w:val="00BB3DD1"/>
    <w:rPr>
      <w:b/>
      <w:bCs/>
    </w:rPr>
  </w:style>
  <w:style w:type="character" w:customStyle="1" w:styleId="AsuntodelcomentarioCar">
    <w:name w:val="Asunto del comentario Car"/>
    <w:basedOn w:val="TextocomentarioCar"/>
    <w:link w:val="Asuntodelcomentario"/>
    <w:semiHidden/>
    <w:rsid w:val="00BB3DD1"/>
    <w:rPr>
      <w:rFonts w:ascii="Times New Roman" w:eastAsia="Times New Roman" w:hAnsi="Times New Roman" w:cs="Times New Roman"/>
      <w:b/>
      <w:bCs/>
      <w:sz w:val="20"/>
      <w:szCs w:val="20"/>
      <w:lang w:eastAsia="es-ES"/>
    </w:rPr>
  </w:style>
  <w:style w:type="character" w:styleId="Hipervnculovisitado">
    <w:name w:val="FollowedHyperlink"/>
    <w:uiPriority w:val="99"/>
    <w:semiHidden/>
    <w:unhideWhenUsed/>
    <w:rsid w:val="00BB3DD1"/>
    <w:rPr>
      <w:color w:val="800080"/>
      <w:u w:val="single"/>
    </w:rPr>
  </w:style>
  <w:style w:type="paragraph" w:customStyle="1" w:styleId="font5">
    <w:name w:val="font5"/>
    <w:basedOn w:val="Normal"/>
    <w:rsid w:val="00BB3DD1"/>
    <w:pPr>
      <w:spacing w:before="100" w:beforeAutospacing="1" w:after="100" w:afterAutospacing="1" w:line="240" w:lineRule="auto"/>
    </w:pPr>
    <w:rPr>
      <w:rFonts w:ascii="Tahoma" w:eastAsia="Times New Roman" w:hAnsi="Tahoma" w:cs="Tahoma"/>
      <w:color w:val="000000"/>
      <w:sz w:val="18"/>
      <w:szCs w:val="18"/>
      <w:lang w:val="es-ES" w:eastAsia="es-ES"/>
    </w:rPr>
  </w:style>
  <w:style w:type="paragraph" w:customStyle="1" w:styleId="font6">
    <w:name w:val="font6"/>
    <w:basedOn w:val="Normal"/>
    <w:rsid w:val="00BB3DD1"/>
    <w:pPr>
      <w:spacing w:before="100" w:beforeAutospacing="1" w:after="100" w:afterAutospacing="1" w:line="240" w:lineRule="auto"/>
    </w:pPr>
    <w:rPr>
      <w:rFonts w:ascii="Tahoma" w:eastAsia="Times New Roman" w:hAnsi="Tahoma" w:cs="Tahoma"/>
      <w:b/>
      <w:bCs/>
      <w:color w:val="000000"/>
      <w:sz w:val="18"/>
      <w:szCs w:val="18"/>
      <w:lang w:val="es-ES" w:eastAsia="es-ES"/>
    </w:rPr>
  </w:style>
  <w:style w:type="paragraph" w:customStyle="1" w:styleId="font7">
    <w:name w:val="font7"/>
    <w:basedOn w:val="Normal"/>
    <w:rsid w:val="00BB3DD1"/>
    <w:pPr>
      <w:spacing w:before="100" w:beforeAutospacing="1" w:after="100" w:afterAutospacing="1" w:line="240" w:lineRule="auto"/>
    </w:pPr>
    <w:rPr>
      <w:rFonts w:ascii="Tahoma" w:eastAsia="Times New Roman" w:hAnsi="Tahoma" w:cs="Tahoma"/>
      <w:color w:val="000000"/>
      <w:sz w:val="18"/>
      <w:szCs w:val="18"/>
      <w:lang w:val="es-ES" w:eastAsia="es-ES"/>
    </w:rPr>
  </w:style>
  <w:style w:type="paragraph" w:customStyle="1" w:styleId="font8">
    <w:name w:val="font8"/>
    <w:basedOn w:val="Normal"/>
    <w:rsid w:val="00BB3DD1"/>
    <w:pPr>
      <w:spacing w:before="100" w:beforeAutospacing="1" w:after="100" w:afterAutospacing="1" w:line="240" w:lineRule="auto"/>
    </w:pPr>
    <w:rPr>
      <w:rFonts w:ascii="Tahoma" w:eastAsia="Times New Roman" w:hAnsi="Tahoma" w:cs="Tahoma"/>
      <w:b/>
      <w:bCs/>
      <w:color w:val="000000"/>
      <w:sz w:val="18"/>
      <w:szCs w:val="18"/>
      <w:lang w:val="es-ES" w:eastAsia="es-ES"/>
    </w:rPr>
  </w:style>
  <w:style w:type="paragraph" w:customStyle="1" w:styleId="xl65">
    <w:name w:val="xl65"/>
    <w:basedOn w:val="Normal"/>
    <w:rsid w:val="00BB3DD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6">
    <w:name w:val="xl66"/>
    <w:basedOn w:val="Normal"/>
    <w:rsid w:val="00BB3DD1"/>
    <w:pPr>
      <w:spacing w:before="100" w:beforeAutospacing="1" w:after="100" w:afterAutospacing="1" w:line="240" w:lineRule="auto"/>
    </w:pPr>
    <w:rPr>
      <w:rFonts w:ascii="Arial" w:eastAsia="Times New Roman" w:hAnsi="Arial" w:cs="Arial"/>
      <w:i/>
      <w:iCs/>
      <w:sz w:val="24"/>
      <w:szCs w:val="24"/>
      <w:lang w:val="es-ES" w:eastAsia="es-ES"/>
    </w:rPr>
  </w:style>
  <w:style w:type="paragraph" w:customStyle="1" w:styleId="xl67">
    <w:name w:val="xl67"/>
    <w:basedOn w:val="Normal"/>
    <w:rsid w:val="00BB3DD1"/>
    <w:pPr>
      <w:spacing w:before="100" w:beforeAutospacing="1" w:after="100" w:afterAutospacing="1" w:line="240" w:lineRule="auto"/>
    </w:pPr>
    <w:rPr>
      <w:rFonts w:ascii="Arial" w:eastAsia="Times New Roman" w:hAnsi="Arial" w:cs="Arial"/>
      <w:b/>
      <w:bCs/>
      <w:sz w:val="24"/>
      <w:szCs w:val="24"/>
      <w:lang w:val="es-ES" w:eastAsia="es-ES"/>
    </w:rPr>
  </w:style>
  <w:style w:type="paragraph" w:customStyle="1" w:styleId="xl68">
    <w:name w:val="xl68"/>
    <w:basedOn w:val="Normal"/>
    <w:rsid w:val="00BB3DD1"/>
    <w:pPr>
      <w:spacing w:before="100" w:beforeAutospacing="1" w:after="100" w:afterAutospacing="1" w:line="240" w:lineRule="auto"/>
    </w:pPr>
    <w:rPr>
      <w:rFonts w:ascii="Arial" w:eastAsia="Times New Roman" w:hAnsi="Arial" w:cs="Arial"/>
      <w:b/>
      <w:bCs/>
      <w:sz w:val="24"/>
      <w:szCs w:val="24"/>
      <w:lang w:val="es-ES" w:eastAsia="es-ES"/>
    </w:rPr>
  </w:style>
  <w:style w:type="paragraph" w:customStyle="1" w:styleId="xl69">
    <w:name w:val="xl69"/>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70">
    <w:name w:val="xl70"/>
    <w:basedOn w:val="Normal"/>
    <w:rsid w:val="00BB3D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71">
    <w:name w:val="xl71"/>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2">
    <w:name w:val="xl72"/>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73">
    <w:name w:val="xl73"/>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4">
    <w:name w:val="xl74"/>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76">
    <w:name w:val="xl76"/>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78">
    <w:name w:val="xl78"/>
    <w:basedOn w:val="Normal"/>
    <w:rsid w:val="00BB3DD1"/>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79">
    <w:name w:val="xl79"/>
    <w:basedOn w:val="Normal"/>
    <w:rsid w:val="00BB3DD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0">
    <w:name w:val="xl80"/>
    <w:basedOn w:val="Normal"/>
    <w:rsid w:val="00BB3DD1"/>
    <w:pP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81">
    <w:name w:val="xl81"/>
    <w:basedOn w:val="Normal"/>
    <w:rsid w:val="00BB3DD1"/>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82">
    <w:name w:val="xl82"/>
    <w:basedOn w:val="Normal"/>
    <w:rsid w:val="00BB3DD1"/>
    <w:pP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83">
    <w:name w:val="xl83"/>
    <w:basedOn w:val="Normal"/>
    <w:rsid w:val="00BB3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84">
    <w:name w:val="xl84"/>
    <w:basedOn w:val="Normal"/>
    <w:rsid w:val="00BB3DD1"/>
    <w:pPr>
      <w:spacing w:before="100" w:beforeAutospacing="1" w:after="100" w:afterAutospacing="1" w:line="240" w:lineRule="auto"/>
      <w:jc w:val="right"/>
    </w:pPr>
    <w:rPr>
      <w:rFonts w:ascii="Arial" w:eastAsia="Times New Roman" w:hAnsi="Arial" w:cs="Arial"/>
      <w:sz w:val="16"/>
      <w:szCs w:val="16"/>
      <w:lang w:val="es-ES" w:eastAsia="es-ES"/>
    </w:rPr>
  </w:style>
  <w:style w:type="paragraph" w:customStyle="1" w:styleId="xl85">
    <w:name w:val="xl85"/>
    <w:basedOn w:val="Normal"/>
    <w:rsid w:val="00BB3DD1"/>
    <w:pPr>
      <w:spacing w:before="100" w:beforeAutospacing="1" w:after="100" w:afterAutospacing="1" w:line="240" w:lineRule="auto"/>
    </w:pPr>
    <w:rPr>
      <w:rFonts w:ascii="Arial" w:eastAsia="Times New Roman" w:hAnsi="Arial" w:cs="Arial"/>
      <w:sz w:val="14"/>
      <w:szCs w:val="14"/>
      <w:lang w:val="es-ES" w:eastAsia="es-ES"/>
    </w:rPr>
  </w:style>
  <w:style w:type="paragraph" w:customStyle="1" w:styleId="xl86">
    <w:name w:val="xl86"/>
    <w:basedOn w:val="Normal"/>
    <w:rsid w:val="00BB3DD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val="es-ES" w:eastAsia="es-ES"/>
    </w:rPr>
  </w:style>
  <w:style w:type="paragraph" w:customStyle="1" w:styleId="xl87">
    <w:name w:val="xl87"/>
    <w:basedOn w:val="Normal"/>
    <w:rsid w:val="00BB3D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88">
    <w:name w:val="xl88"/>
    <w:basedOn w:val="Normal"/>
    <w:rsid w:val="00BB3DD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89">
    <w:name w:val="xl89"/>
    <w:basedOn w:val="Normal"/>
    <w:rsid w:val="00BB3D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90">
    <w:name w:val="xl90"/>
    <w:basedOn w:val="Normal"/>
    <w:rsid w:val="00BB3D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s-ES" w:eastAsia="es-ES"/>
    </w:rPr>
  </w:style>
  <w:style w:type="paragraph" w:customStyle="1" w:styleId="xl91">
    <w:name w:val="xl91"/>
    <w:basedOn w:val="Normal"/>
    <w:rsid w:val="00BB3DD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s-ES" w:eastAsia="es-ES"/>
    </w:rPr>
  </w:style>
  <w:style w:type="paragraph" w:customStyle="1" w:styleId="xl92">
    <w:name w:val="xl92"/>
    <w:basedOn w:val="Normal"/>
    <w:rsid w:val="00BB3DD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s-ES" w:eastAsia="es-ES"/>
    </w:rPr>
  </w:style>
  <w:style w:type="paragraph" w:customStyle="1" w:styleId="xl93">
    <w:name w:val="xl93"/>
    <w:basedOn w:val="Normal"/>
    <w:rsid w:val="00BB3DD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val="es-ES" w:eastAsia="es-ES"/>
    </w:rPr>
  </w:style>
  <w:style w:type="paragraph" w:customStyle="1" w:styleId="Normal1">
    <w:name w:val="Normal1"/>
    <w:basedOn w:val="Normal"/>
    <w:rsid w:val="00BB3DD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char">
    <w:name w:val="normal__char"/>
    <w:basedOn w:val="Fuentedeprrafopredeter"/>
    <w:rsid w:val="00BB3DD1"/>
  </w:style>
  <w:style w:type="numbering" w:customStyle="1" w:styleId="Sinlista11">
    <w:name w:val="Sin lista11"/>
    <w:next w:val="Sinlista"/>
    <w:uiPriority w:val="99"/>
    <w:semiHidden/>
    <w:unhideWhenUsed/>
    <w:rsid w:val="00BB3DD1"/>
  </w:style>
  <w:style w:type="character" w:customStyle="1" w:styleId="highlight">
    <w:name w:val="highlight"/>
    <w:basedOn w:val="Fuentedeprrafopredeter"/>
    <w:rsid w:val="00BB3DD1"/>
  </w:style>
  <w:style w:type="paragraph" w:customStyle="1" w:styleId="xl3">
    <w:name w:val="xl3"/>
    <w:basedOn w:val="Normal"/>
    <w:rsid w:val="00BB3DD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a3">
    <w:name w:val="xa3"/>
    <w:basedOn w:val="Normal"/>
    <w:rsid w:val="00BB3DD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Default">
    <w:name w:val="Default"/>
    <w:rsid w:val="00BB3DD1"/>
    <w:pPr>
      <w:autoSpaceDE w:val="0"/>
      <w:autoSpaceDN w:val="0"/>
      <w:adjustRightInd w:val="0"/>
      <w:spacing w:after="0" w:line="240" w:lineRule="auto"/>
    </w:pPr>
    <w:rPr>
      <w:rFonts w:ascii="Courier New" w:eastAsia="Calibri" w:hAnsi="Courier New" w:cs="Courier New"/>
      <w:color w:val="000000"/>
      <w:sz w:val="24"/>
      <w:szCs w:val="24"/>
    </w:rPr>
  </w:style>
  <w:style w:type="character" w:customStyle="1" w:styleId="markedcontent">
    <w:name w:val="markedcontent"/>
    <w:basedOn w:val="Fuentedeprrafopredeter"/>
    <w:rsid w:val="00BB3DD1"/>
  </w:style>
  <w:style w:type="table" w:customStyle="1" w:styleId="TableNormal">
    <w:name w:val="Table Normal"/>
    <w:uiPriority w:val="2"/>
    <w:semiHidden/>
    <w:unhideWhenUsed/>
    <w:qFormat/>
    <w:rsid w:val="00BB3D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BB3DD1"/>
    <w:pPr>
      <w:widowControl w:val="0"/>
      <w:autoSpaceDE w:val="0"/>
      <w:autoSpaceDN w:val="0"/>
      <w:spacing w:after="0" w:line="240" w:lineRule="auto"/>
    </w:pPr>
    <w:rPr>
      <w:rFonts w:ascii="Arial MT" w:eastAsia="Arial MT" w:hAnsi="Arial MT" w:cs="Arial MT"/>
      <w:sz w:val="16"/>
      <w:szCs w:val="16"/>
      <w:lang w:val="es-ES"/>
    </w:rPr>
  </w:style>
  <w:style w:type="character" w:customStyle="1" w:styleId="TextoindependienteCar">
    <w:name w:val="Texto independiente Car"/>
    <w:basedOn w:val="Fuentedeprrafopredeter"/>
    <w:link w:val="Textoindependiente"/>
    <w:uiPriority w:val="1"/>
    <w:rsid w:val="00BB3DD1"/>
    <w:rPr>
      <w:rFonts w:ascii="Arial MT" w:eastAsia="Arial MT" w:hAnsi="Arial MT" w:cs="Arial MT"/>
      <w:sz w:val="16"/>
      <w:szCs w:val="16"/>
    </w:rPr>
  </w:style>
  <w:style w:type="paragraph" w:customStyle="1" w:styleId="TableParagraph">
    <w:name w:val="Table Paragraph"/>
    <w:basedOn w:val="Normal"/>
    <w:uiPriority w:val="1"/>
    <w:qFormat/>
    <w:rsid w:val="00BB3DD1"/>
    <w:pPr>
      <w:widowControl w:val="0"/>
      <w:autoSpaceDE w:val="0"/>
      <w:autoSpaceDN w:val="0"/>
      <w:spacing w:before="17" w:after="0" w:line="240" w:lineRule="auto"/>
      <w:ind w:right="-15"/>
      <w:jc w:val="right"/>
    </w:pPr>
    <w:rPr>
      <w:rFonts w:ascii="Arial MT" w:eastAsia="Arial MT" w:hAnsi="Arial MT" w:cs="Arial MT"/>
      <w:lang w:val="es-ES"/>
    </w:rPr>
  </w:style>
  <w:style w:type="table" w:styleId="Tablaconcuadrcula">
    <w:name w:val="Table Grid"/>
    <w:basedOn w:val="Tablanormal"/>
    <w:uiPriority w:val="39"/>
    <w:rsid w:val="00BB3D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B3D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B3DD1"/>
    <w:pPr>
      <w:spacing w:after="0" w:line="240" w:lineRule="auto"/>
    </w:pPr>
    <w:rPr>
      <w:rFonts w:ascii="Times New Roman" w:eastAsia="Times New Roman" w:hAnsi="Times New Roman" w:cs="Times New Roman"/>
      <w:sz w:val="26"/>
      <w:szCs w:val="20"/>
      <w:lang w:val="es-ES_tradnl" w:eastAsia="es-ES"/>
    </w:rPr>
  </w:style>
  <w:style w:type="paragraph" w:customStyle="1" w:styleId="EnmPub3">
    <w:name w:val="EnmPub3"/>
    <w:basedOn w:val="Normal"/>
    <w:qFormat/>
    <w:rsid w:val="00BB3DD1"/>
    <w:pPr>
      <w:keepLines/>
      <w:spacing w:before="142" w:after="113" w:line="230" w:lineRule="exact"/>
      <w:ind w:firstLine="284"/>
      <w:jc w:val="both"/>
    </w:pPr>
    <w:rPr>
      <w:rFonts w:ascii="Helvetica LT Std" w:eastAsia="Helvetica LT Std" w:hAnsi="Helvetica LT Std" w:cs="Times New Roman"/>
      <w:sz w:val="19"/>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27713">
      <w:bodyDiv w:val="1"/>
      <w:marLeft w:val="0"/>
      <w:marRight w:val="0"/>
      <w:marTop w:val="0"/>
      <w:marBottom w:val="0"/>
      <w:divBdr>
        <w:top w:val="none" w:sz="0" w:space="0" w:color="auto"/>
        <w:left w:val="none" w:sz="0" w:space="0" w:color="auto"/>
        <w:bottom w:val="none" w:sz="0" w:space="0" w:color="auto"/>
        <w:right w:val="none" w:sz="0" w:space="0" w:color="auto"/>
      </w:divBdr>
    </w:div>
    <w:div w:id="430777848">
      <w:bodyDiv w:val="1"/>
      <w:marLeft w:val="0"/>
      <w:marRight w:val="0"/>
      <w:marTop w:val="0"/>
      <w:marBottom w:val="0"/>
      <w:divBdr>
        <w:top w:val="none" w:sz="0" w:space="0" w:color="auto"/>
        <w:left w:val="none" w:sz="0" w:space="0" w:color="auto"/>
        <w:bottom w:val="none" w:sz="0" w:space="0" w:color="auto"/>
        <w:right w:val="none" w:sz="0" w:space="0" w:color="auto"/>
      </w:divBdr>
    </w:div>
    <w:div w:id="674501767">
      <w:bodyDiv w:val="1"/>
      <w:marLeft w:val="0"/>
      <w:marRight w:val="0"/>
      <w:marTop w:val="0"/>
      <w:marBottom w:val="0"/>
      <w:divBdr>
        <w:top w:val="none" w:sz="0" w:space="0" w:color="auto"/>
        <w:left w:val="none" w:sz="0" w:space="0" w:color="auto"/>
        <w:bottom w:val="none" w:sz="0" w:space="0" w:color="auto"/>
        <w:right w:val="none" w:sz="0" w:space="0" w:color="auto"/>
      </w:divBdr>
      <w:divsChild>
        <w:div w:id="28074542">
          <w:marLeft w:val="0"/>
          <w:marRight w:val="0"/>
          <w:marTop w:val="0"/>
          <w:marBottom w:val="0"/>
          <w:divBdr>
            <w:top w:val="none" w:sz="0" w:space="0" w:color="auto"/>
            <w:left w:val="none" w:sz="0" w:space="0" w:color="auto"/>
            <w:bottom w:val="none" w:sz="0" w:space="0" w:color="auto"/>
            <w:right w:val="none" w:sz="0" w:space="0" w:color="auto"/>
          </w:divBdr>
          <w:divsChild>
            <w:div w:id="1192574964">
              <w:marLeft w:val="0"/>
              <w:marRight w:val="0"/>
              <w:marTop w:val="0"/>
              <w:marBottom w:val="0"/>
              <w:divBdr>
                <w:top w:val="none" w:sz="0" w:space="0" w:color="auto"/>
                <w:left w:val="none" w:sz="0" w:space="0" w:color="auto"/>
                <w:bottom w:val="none" w:sz="0" w:space="0" w:color="auto"/>
                <w:right w:val="none" w:sz="0" w:space="0" w:color="auto"/>
              </w:divBdr>
            </w:div>
          </w:divsChild>
        </w:div>
        <w:div w:id="477721393">
          <w:marLeft w:val="0"/>
          <w:marRight w:val="0"/>
          <w:marTop w:val="0"/>
          <w:marBottom w:val="0"/>
          <w:divBdr>
            <w:top w:val="none" w:sz="0" w:space="0" w:color="auto"/>
            <w:left w:val="none" w:sz="0" w:space="0" w:color="auto"/>
            <w:bottom w:val="none" w:sz="0" w:space="0" w:color="auto"/>
            <w:right w:val="none" w:sz="0" w:space="0" w:color="auto"/>
          </w:divBdr>
          <w:divsChild>
            <w:div w:id="1562522505">
              <w:marLeft w:val="0"/>
              <w:marRight w:val="0"/>
              <w:marTop w:val="0"/>
              <w:marBottom w:val="0"/>
              <w:divBdr>
                <w:top w:val="none" w:sz="0" w:space="0" w:color="auto"/>
                <w:left w:val="none" w:sz="0" w:space="0" w:color="auto"/>
                <w:bottom w:val="none" w:sz="0" w:space="0" w:color="auto"/>
                <w:right w:val="none" w:sz="0" w:space="0" w:color="auto"/>
              </w:divBdr>
            </w:div>
          </w:divsChild>
        </w:div>
        <w:div w:id="889657955">
          <w:marLeft w:val="0"/>
          <w:marRight w:val="0"/>
          <w:marTop w:val="0"/>
          <w:marBottom w:val="0"/>
          <w:divBdr>
            <w:top w:val="none" w:sz="0" w:space="0" w:color="auto"/>
            <w:left w:val="none" w:sz="0" w:space="0" w:color="auto"/>
            <w:bottom w:val="none" w:sz="0" w:space="0" w:color="auto"/>
            <w:right w:val="none" w:sz="0" w:space="0" w:color="auto"/>
          </w:divBdr>
          <w:divsChild>
            <w:div w:id="821627536">
              <w:marLeft w:val="0"/>
              <w:marRight w:val="0"/>
              <w:marTop w:val="0"/>
              <w:marBottom w:val="0"/>
              <w:divBdr>
                <w:top w:val="none" w:sz="0" w:space="0" w:color="auto"/>
                <w:left w:val="none" w:sz="0" w:space="0" w:color="auto"/>
                <w:bottom w:val="none" w:sz="0" w:space="0" w:color="auto"/>
                <w:right w:val="none" w:sz="0" w:space="0" w:color="auto"/>
              </w:divBdr>
            </w:div>
          </w:divsChild>
        </w:div>
        <w:div w:id="1135101316">
          <w:marLeft w:val="0"/>
          <w:marRight w:val="0"/>
          <w:marTop w:val="150"/>
          <w:marBottom w:val="150"/>
          <w:divBdr>
            <w:top w:val="none" w:sz="0" w:space="0" w:color="auto"/>
            <w:left w:val="none" w:sz="0" w:space="0" w:color="auto"/>
            <w:bottom w:val="none" w:sz="0" w:space="0" w:color="auto"/>
            <w:right w:val="none" w:sz="0" w:space="0" w:color="auto"/>
          </w:divBdr>
        </w:div>
        <w:div w:id="1591040357">
          <w:marLeft w:val="0"/>
          <w:marRight w:val="0"/>
          <w:marTop w:val="150"/>
          <w:marBottom w:val="150"/>
          <w:divBdr>
            <w:top w:val="none" w:sz="0" w:space="0" w:color="auto"/>
            <w:left w:val="none" w:sz="0" w:space="0" w:color="auto"/>
            <w:bottom w:val="none" w:sz="0" w:space="0" w:color="auto"/>
            <w:right w:val="none" w:sz="0" w:space="0" w:color="auto"/>
          </w:divBdr>
        </w:div>
        <w:div w:id="1636520296">
          <w:marLeft w:val="0"/>
          <w:marRight w:val="0"/>
          <w:marTop w:val="150"/>
          <w:marBottom w:val="150"/>
          <w:divBdr>
            <w:top w:val="none" w:sz="0" w:space="0" w:color="auto"/>
            <w:left w:val="none" w:sz="0" w:space="0" w:color="auto"/>
            <w:bottom w:val="none" w:sz="0" w:space="0" w:color="auto"/>
            <w:right w:val="none" w:sz="0" w:space="0" w:color="auto"/>
          </w:divBdr>
        </w:div>
        <w:div w:id="1736858095">
          <w:marLeft w:val="0"/>
          <w:marRight w:val="0"/>
          <w:marTop w:val="150"/>
          <w:marBottom w:val="150"/>
          <w:divBdr>
            <w:top w:val="none" w:sz="0" w:space="0" w:color="auto"/>
            <w:left w:val="none" w:sz="0" w:space="0" w:color="auto"/>
            <w:bottom w:val="none" w:sz="0" w:space="0" w:color="auto"/>
            <w:right w:val="none" w:sz="0" w:space="0" w:color="auto"/>
          </w:divBdr>
        </w:div>
        <w:div w:id="1993869811">
          <w:marLeft w:val="0"/>
          <w:marRight w:val="0"/>
          <w:marTop w:val="0"/>
          <w:marBottom w:val="0"/>
          <w:divBdr>
            <w:top w:val="none" w:sz="0" w:space="0" w:color="auto"/>
            <w:left w:val="none" w:sz="0" w:space="0" w:color="auto"/>
            <w:bottom w:val="none" w:sz="0" w:space="0" w:color="auto"/>
            <w:right w:val="none" w:sz="0" w:space="0" w:color="auto"/>
          </w:divBdr>
          <w:divsChild>
            <w:div w:id="16287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02596">
      <w:bodyDiv w:val="1"/>
      <w:marLeft w:val="0"/>
      <w:marRight w:val="0"/>
      <w:marTop w:val="0"/>
      <w:marBottom w:val="0"/>
      <w:divBdr>
        <w:top w:val="none" w:sz="0" w:space="0" w:color="auto"/>
        <w:left w:val="none" w:sz="0" w:space="0" w:color="auto"/>
        <w:bottom w:val="none" w:sz="0" w:space="0" w:color="auto"/>
        <w:right w:val="none" w:sz="0" w:space="0" w:color="auto"/>
      </w:divBdr>
    </w:div>
    <w:div w:id="838887399">
      <w:bodyDiv w:val="1"/>
      <w:marLeft w:val="0"/>
      <w:marRight w:val="0"/>
      <w:marTop w:val="0"/>
      <w:marBottom w:val="0"/>
      <w:divBdr>
        <w:top w:val="none" w:sz="0" w:space="0" w:color="auto"/>
        <w:left w:val="none" w:sz="0" w:space="0" w:color="auto"/>
        <w:bottom w:val="none" w:sz="0" w:space="0" w:color="auto"/>
        <w:right w:val="none" w:sz="0" w:space="0" w:color="auto"/>
      </w:divBdr>
    </w:div>
    <w:div w:id="911112900">
      <w:bodyDiv w:val="1"/>
      <w:marLeft w:val="0"/>
      <w:marRight w:val="0"/>
      <w:marTop w:val="0"/>
      <w:marBottom w:val="0"/>
      <w:divBdr>
        <w:top w:val="none" w:sz="0" w:space="0" w:color="auto"/>
        <w:left w:val="none" w:sz="0" w:space="0" w:color="auto"/>
        <w:bottom w:val="none" w:sz="0" w:space="0" w:color="auto"/>
        <w:right w:val="none" w:sz="0" w:space="0" w:color="auto"/>
      </w:divBdr>
    </w:div>
    <w:div w:id="1585257992">
      <w:bodyDiv w:val="1"/>
      <w:marLeft w:val="0"/>
      <w:marRight w:val="0"/>
      <w:marTop w:val="0"/>
      <w:marBottom w:val="0"/>
      <w:divBdr>
        <w:top w:val="none" w:sz="0" w:space="0" w:color="auto"/>
        <w:left w:val="none" w:sz="0" w:space="0" w:color="auto"/>
        <w:bottom w:val="none" w:sz="0" w:space="0" w:color="auto"/>
        <w:right w:val="none" w:sz="0" w:space="0" w:color="auto"/>
      </w:divBdr>
    </w:div>
    <w:div w:id="1588464333">
      <w:bodyDiv w:val="1"/>
      <w:marLeft w:val="0"/>
      <w:marRight w:val="0"/>
      <w:marTop w:val="0"/>
      <w:marBottom w:val="0"/>
      <w:divBdr>
        <w:top w:val="none" w:sz="0" w:space="0" w:color="auto"/>
        <w:left w:val="none" w:sz="0" w:space="0" w:color="auto"/>
        <w:bottom w:val="none" w:sz="0" w:space="0" w:color="auto"/>
        <w:right w:val="none" w:sz="0" w:space="0" w:color="auto"/>
      </w:divBdr>
    </w:div>
    <w:div w:id="18048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4296E-A4E3-4E00-9EE6-4659A0978205}">
  <ds:schemaRefs>
    <ds:schemaRef ds:uri="http://schemas.openxmlformats.org/officeDocument/2006/bibliography"/>
  </ds:schemaRefs>
</ds:datastoreItem>
</file>

<file path=customXml/itemProps2.xml><?xml version="1.0" encoding="utf-8"?>
<ds:datastoreItem xmlns:ds="http://schemas.openxmlformats.org/officeDocument/2006/customXml" ds:itemID="{B8980E4E-BBE9-46CC-8613-32E4872C00D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5F7240-2777-4EA1-B17D-3B3369164110}">
  <ds:schemaRefs>
    <ds:schemaRef ds:uri="http://schemas.microsoft.com/sharepoint/v3/contenttype/forms"/>
  </ds:schemaRefs>
</ds:datastoreItem>
</file>

<file path=customXml/itemProps4.xml><?xml version="1.0" encoding="utf-8"?>
<ds:datastoreItem xmlns:ds="http://schemas.openxmlformats.org/officeDocument/2006/customXml" ds:itemID="{815B58C3-729A-43E5-9F06-9FB30A3D6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75</Pages>
  <Words>24410</Words>
  <Characters>134255</Characters>
  <Application>Microsoft Office Word</Application>
  <DocSecurity>0</DocSecurity>
  <Lines>1118</Lines>
  <Paragraphs>316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158349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Domínguez Muguiro, Maite (Economía y Hacienda)</dc:creator>
  <cp:keywords/>
  <dc:description/>
  <cp:lastModifiedBy>Martin Cestao, Nerea</cp:lastModifiedBy>
  <cp:revision>11</cp:revision>
  <cp:lastPrinted>2025-11-04T12:28:00Z</cp:lastPrinted>
  <dcterms:created xsi:type="dcterms:W3CDTF">2025-10-30T17:29:00Z</dcterms:created>
  <dcterms:modified xsi:type="dcterms:W3CDTF">2025-11-05T07:55:00Z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