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5832" w14:textId="4D6EC36E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El Consejero de Desarrollo Rural y Medio Ambiente, </w:t>
      </w:r>
      <w:r w:rsidR="00393E09" w:rsidRPr="005464D5">
        <w:rPr>
          <w:rFonts w:cstheme="minorHAnsi"/>
        </w:rPr>
        <w:t>en relación con</w:t>
      </w:r>
      <w:r w:rsidRPr="005464D5">
        <w:rPr>
          <w:rFonts w:cstheme="minorHAnsi"/>
        </w:rPr>
        <w:t xml:space="preserve"> la pregunta escrita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11-25/PES-00324 solicitada por el Parlamentario Foral Ilmo. Sr. don Félix Zapatero Soria,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adscrito al Grupo Parlamentario, UPN, sobre las medidas que está tomando el Gobierno sobre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el cambio climático, especialmente entre mujeres y mayores de 45 años, tiene el honor de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informar lo siguiente:</w:t>
      </w:r>
    </w:p>
    <w:p w14:paraId="768ECB96" w14:textId="2DC65816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El artículo 11 de la Ley Foral 4/2022, de 22 de marzo, de Cambio Climático y Transición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 xml:space="preserve">Energética (en adelante, </w:t>
      </w:r>
      <w:proofErr w:type="spellStart"/>
      <w:r w:rsidRPr="005464D5">
        <w:rPr>
          <w:rFonts w:cstheme="minorHAnsi"/>
        </w:rPr>
        <w:t>LFCCyTE</w:t>
      </w:r>
      <w:proofErr w:type="spellEnd"/>
      <w:r w:rsidRPr="005464D5">
        <w:rPr>
          <w:rFonts w:cstheme="minorHAnsi"/>
        </w:rPr>
        <w:t>) recoge que a la Oficina de Cambio Climático de Navarra (en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adelante, OCC), entre otros aspectos, le corresponde:</w:t>
      </w:r>
    </w:p>
    <w:p w14:paraId="4EEB2B43" w14:textId="4D8FB168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a) impulsar y coordinar en Navarra el desarrollo normativo, las estrategias, los planes y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los objetivos en materia de cambio climático, sobre la base de los compromisos adoptados en el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seno del Estado y de la Unión Europea</w:t>
      </w:r>
    </w:p>
    <w:p w14:paraId="3BD8E0C6" w14:textId="76DB4FE4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e) promover y realizar actividades de concienciación, de información y de difusión al conjunto de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la sociedad de todos los aspectos relacionados con el cambio climático.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En el marco de sus atribuciones y alineada con las actuaciones que se vienen realizando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desde otras unidades, desde la OCC se han impulsado medidas tales como;</w:t>
      </w:r>
    </w:p>
    <w:p w14:paraId="0A33DFDA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t>Asamblea Ciudadana Navarra del Cambio Climático</w:t>
      </w:r>
    </w:p>
    <w:p w14:paraId="2D84E06F" w14:textId="781529C3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La Ley Foral 4/2022, de 22 de marzo, de Cambio Climático y Transición Energética, (BON</w:t>
      </w:r>
      <w:r>
        <w:rPr>
          <w:rFonts w:cstheme="minorHAnsi"/>
        </w:rPr>
        <w:t xml:space="preserve"> </w:t>
      </w:r>
      <w:proofErr w:type="spellStart"/>
      <w:r w:rsidRPr="005464D5">
        <w:rPr>
          <w:rFonts w:cstheme="minorHAnsi"/>
        </w:rPr>
        <w:t>nº</w:t>
      </w:r>
      <w:proofErr w:type="spellEnd"/>
      <w:r w:rsidRPr="005464D5">
        <w:rPr>
          <w:rFonts w:cstheme="minorHAnsi"/>
        </w:rPr>
        <w:t xml:space="preserve"> 66, de 1 de abril de 2022), prevé en su artículo 15 el establecimiento de la Asamblea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Ciudadana Navarra del Cambio Climático.</w:t>
      </w:r>
    </w:p>
    <w:p w14:paraId="73F738B6" w14:textId="673C44EA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La Asamblea Ciudadana Navarra del Cambio Climático representa la primera experiencia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 participación deliberativa que la administración pone en marcha en Navarra y surge de un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mandato legislativo y está regulada a través de diferentes órdenes forales.</w:t>
      </w:r>
    </w:p>
    <w:p w14:paraId="474870FD" w14:textId="2D632E51" w:rsidR="00E42D19" w:rsidRPr="005464D5" w:rsidRDefault="005464D5" w:rsidP="005464D5">
      <w:pPr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La asamblea ha estado conformada por 29 personas que representan la diversidad de la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sociedad navarra, fueron seleccionadas en función de diversos criterios sociodemográficos, entre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ellos el sexo y la edad, de forma que la presencia tanto de mujeres como de mayores de 45 años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estaba garantizada.</w:t>
      </w:r>
    </w:p>
    <w:p w14:paraId="5D54D7CD" w14:textId="541E4570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La asamblea se desarrolló en 6 jornadas de 2 sesiones cada una de ellas, en las que se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han abordado 4 áreas de vida y diversos temas específicos:</w:t>
      </w:r>
    </w:p>
    <w:p w14:paraId="1AE7B209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Alimentación y usos del suelo</w:t>
      </w:r>
    </w:p>
    <w:p w14:paraId="45A5BF96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Economía y trabajo</w:t>
      </w:r>
    </w:p>
    <w:p w14:paraId="02B3BFCD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Comunidades, salud y cuidados</w:t>
      </w:r>
    </w:p>
    <w:p w14:paraId="44D1DAF0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Ecosistemas</w:t>
      </w:r>
    </w:p>
    <w:p w14:paraId="56A8B62D" w14:textId="3C5DDFEE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De estas jornadas han surgido 106 propuestas concretas que se recogerán en un informe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que se presentará al Parlamento.</w:t>
      </w:r>
    </w:p>
    <w:p w14:paraId="2161B717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t>Consejo Social sobre Política de Cambio Climático y Transición Energética</w:t>
      </w:r>
    </w:p>
    <w:p w14:paraId="5EF17450" w14:textId="68F239EA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Se crea el Consejo Social sobre Política de Cambio Climático y Transición Energética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como órgano de participación social en materia de cambio climático y transición energética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conforme a lo previsto en la Ley Foral 4/2022, de 22 de marzo, de Cambio Climático y Transición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Energética.</w:t>
      </w:r>
    </w:p>
    <w:p w14:paraId="43A7A994" w14:textId="5FCE075F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lastRenderedPageBreak/>
        <w:t>La representación en el Consejo social sobre política de cambio climático y transición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energética tendrá en cuenta el cumplimiento del principio de representación equilibrada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establecido en el artículo 16.4 de la Ley Foral 17/2019, de 4 de abril, de igualdad entre mujeres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y hombres. Para ello, en las propuestas de personas titulares y suplentes se cumplirá con el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principio de composición equilibrada entre hombres y mujeres.</w:t>
      </w:r>
    </w:p>
    <w:p w14:paraId="12217AB2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t>Semana del Clima de Navarra</w:t>
      </w:r>
    </w:p>
    <w:p w14:paraId="3F54006A" w14:textId="652BBADC" w:rsidR="005464D5" w:rsidRPr="005464D5" w:rsidRDefault="005464D5" w:rsidP="005464D5">
      <w:pPr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Coincidiendo con el Día Internacional contra el Cambio Climático, 24 de octubre, el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Gobierno de Navarra, el Ayuntamiento de Pamplona, la Mancomunidad de la Comarca de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Pamplona, la Universidad Pública de Navarra y la Universidad de Navarra se han unido para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organizar la Semana del Clima de Navarra entre el 20 y el 26 de octubre, con un conjunto de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actividades de diverso tipo en torno al cambio climático.</w:t>
      </w:r>
    </w:p>
    <w:p w14:paraId="4F7E1C1A" w14:textId="1964CCF5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Se ha realizado un llamamiento para que otras entidades, públicas y privadas, se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adhieran a esta iniciativa, y son más de 50 el número de organizaciones que han mostrado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interés en participar, totalizando hasta la fecha más de 30 actividades preparadas.</w:t>
      </w:r>
    </w:p>
    <w:p w14:paraId="3408EF55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t xml:space="preserve">Exposición del proyecto LIFE-IP </w:t>
      </w:r>
      <w:proofErr w:type="spellStart"/>
      <w:r w:rsidRPr="005464D5">
        <w:rPr>
          <w:rFonts w:cstheme="minorHAnsi"/>
          <w:b/>
          <w:bCs/>
        </w:rPr>
        <w:t>NAdapta</w:t>
      </w:r>
      <w:proofErr w:type="spellEnd"/>
      <w:r w:rsidRPr="005464D5">
        <w:rPr>
          <w:rFonts w:cstheme="minorHAnsi"/>
          <w:b/>
          <w:bCs/>
        </w:rPr>
        <w:t>-CC</w:t>
      </w:r>
    </w:p>
    <w:p w14:paraId="5D6EC6F9" w14:textId="63D63DB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Exposición divulgativa de carácter itinerante dirigida hacia la ciudadanía en donde se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muestran las actuaciones realizadas en la Comunidad Foral en materia de adaptación al cambio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climático.</w:t>
      </w:r>
    </w:p>
    <w:p w14:paraId="474E095C" w14:textId="16DF3622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La exposición, que cuenta con 10 paneles disponibles para cada uno de los idiomas: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castellano, euskera e inglés, pretende concienciar sobre la realidad climática actual y las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previsiones a futuro derivadas de los diferentes escenarios de emisiones, dar a conocer la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estrategia que sigue Navarra en materia de cambio climático a través de la Hoja de Ruta del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Cambio Climático de Navarra (HCCN-</w:t>
      </w:r>
      <w:proofErr w:type="spellStart"/>
      <w:r w:rsidRPr="005464D5">
        <w:rPr>
          <w:rFonts w:cstheme="minorHAnsi"/>
        </w:rPr>
        <w:t>KLINa</w:t>
      </w:r>
      <w:proofErr w:type="spellEnd"/>
      <w:r w:rsidRPr="005464D5">
        <w:rPr>
          <w:rFonts w:cstheme="minorHAnsi"/>
        </w:rPr>
        <w:t>), y mostrar las actuaciones realizadas en torno 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las 6 áreas técnicas de actuación de las que consta este proyecto europeo integrado y que son: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monitorización del cambio climático y acción climática local, agua, bosques, agricultura y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ganadería, salud e infraestructuras y planificación territorial.</w:t>
      </w:r>
    </w:p>
    <w:p w14:paraId="36E8EF22" w14:textId="613A8A09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Durante 2025 se han realizado la exposición ha estado presente en 16 localizaciones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distintas, y en 8 de ellas se ha impartid</w:t>
      </w:r>
      <w:r w:rsidR="00A512EA">
        <w:rPr>
          <w:rFonts w:cstheme="minorHAnsi"/>
        </w:rPr>
        <w:t>o</w:t>
      </w:r>
      <w:r w:rsidRPr="005464D5">
        <w:rPr>
          <w:rFonts w:cstheme="minorHAnsi"/>
        </w:rPr>
        <w:t>, además, una charla explicativa sobre el citado proyecto.</w:t>
      </w:r>
    </w:p>
    <w:p w14:paraId="68EE24CF" w14:textId="2D537006" w:rsidR="005464D5" w:rsidRPr="005464D5" w:rsidRDefault="005464D5" w:rsidP="005464D5">
      <w:pPr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A fecha actual, se encuentran concretadas 21 nuevas cesiones y se siguen recibiendo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nuevas peticiones.</w:t>
      </w:r>
    </w:p>
    <w:p w14:paraId="25608D71" w14:textId="70E4D06A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t>Convocatorias de subvenciones a entidades locales para el desarrollo de actuaciones de</w:t>
      </w:r>
      <w:r>
        <w:rPr>
          <w:rFonts w:cstheme="minorHAnsi"/>
          <w:b/>
          <w:bCs/>
        </w:rPr>
        <w:t xml:space="preserve"> </w:t>
      </w:r>
      <w:r w:rsidRPr="005464D5">
        <w:rPr>
          <w:rFonts w:cstheme="minorHAnsi"/>
          <w:b/>
          <w:bCs/>
        </w:rPr>
        <w:t>protección y adaptación al riesgo de inundación e integración ambiental en núcleos</w:t>
      </w:r>
      <w:r>
        <w:rPr>
          <w:rFonts w:cstheme="minorHAnsi"/>
          <w:b/>
          <w:bCs/>
        </w:rPr>
        <w:t xml:space="preserve"> </w:t>
      </w:r>
      <w:r w:rsidRPr="005464D5">
        <w:rPr>
          <w:rFonts w:cstheme="minorHAnsi"/>
          <w:b/>
          <w:bCs/>
        </w:rPr>
        <w:t>urbanos</w:t>
      </w:r>
    </w:p>
    <w:p w14:paraId="461FE63A" w14:textId="616ACA16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Además, desde la OCC se gestionan las convocatorias de subvenciones a entidades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locales para el desarrollo de actuaciones de protección y adaptación al riesgo de inundación 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integración ambiental en núcleos urbanos:</w:t>
      </w:r>
    </w:p>
    <w:p w14:paraId="50D02C51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Importe total disponible: 4.363.805,27 €</w:t>
      </w:r>
    </w:p>
    <w:p w14:paraId="5D40F2D2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Importe total concedido: 4.352.599,85 €</w:t>
      </w:r>
    </w:p>
    <w:p w14:paraId="1FB04280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Del importe total concedido:</w:t>
      </w:r>
    </w:p>
    <w:p w14:paraId="47F3E4AB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Importe concedido en ejecución de obras: 4.276.510,28 euros</w:t>
      </w:r>
    </w:p>
    <w:p w14:paraId="7298487D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Importe concedido en planes, sistemas de alerta, formación: 76.089,57</w:t>
      </w:r>
    </w:p>
    <w:p w14:paraId="5721D17B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lastRenderedPageBreak/>
        <w:t xml:space="preserve">- </w:t>
      </w:r>
      <w:proofErr w:type="spellStart"/>
      <w:r w:rsidRPr="005464D5">
        <w:rPr>
          <w:rFonts w:cstheme="minorHAnsi"/>
        </w:rPr>
        <w:t>Nº</w:t>
      </w:r>
      <w:proofErr w:type="spellEnd"/>
      <w:r w:rsidRPr="005464D5">
        <w:rPr>
          <w:rFonts w:cstheme="minorHAnsi"/>
        </w:rPr>
        <w:t xml:space="preserve"> de ayuntamientos que han percibido subvención por ejecución de obras: 31</w:t>
      </w:r>
    </w:p>
    <w:p w14:paraId="6910F279" w14:textId="6093DBC3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- </w:t>
      </w:r>
      <w:proofErr w:type="spellStart"/>
      <w:r w:rsidRPr="005464D5">
        <w:rPr>
          <w:rFonts w:cstheme="minorHAnsi"/>
        </w:rPr>
        <w:t>Nº</w:t>
      </w:r>
      <w:proofErr w:type="spellEnd"/>
      <w:r w:rsidRPr="005464D5">
        <w:rPr>
          <w:rFonts w:cstheme="minorHAnsi"/>
        </w:rPr>
        <w:t xml:space="preserve"> de ayuntamientos que han percibido subvención por implantación de planes,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sistemas de alerta, formación: 13</w:t>
      </w:r>
    </w:p>
    <w:p w14:paraId="4A32EE7D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Total de actuaciones subvencionadas 53 (34 en obras y 19 en planes).</w:t>
      </w:r>
    </w:p>
    <w:p w14:paraId="1EF405C8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Las subvenciones se dividen en las dos siguientes convocatorias:</w:t>
      </w:r>
    </w:p>
    <w:p w14:paraId="3808B515" w14:textId="50CD6C90" w:rsidR="005464D5" w:rsidRPr="005464D5" w:rsidRDefault="005464D5" w:rsidP="005464D5">
      <w:pPr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• </w:t>
      </w:r>
      <w:r w:rsidR="00446AF7">
        <w:rPr>
          <w:rFonts w:cstheme="minorHAnsi"/>
        </w:rPr>
        <w:t>Resolución</w:t>
      </w:r>
      <w:r w:rsidR="00446AF7" w:rsidRPr="005464D5">
        <w:rPr>
          <w:rFonts w:cstheme="minorHAnsi"/>
        </w:rPr>
        <w:t xml:space="preserve"> </w:t>
      </w:r>
      <w:r w:rsidRPr="005464D5">
        <w:rPr>
          <w:rFonts w:cstheme="minorHAnsi"/>
        </w:rPr>
        <w:t>223E/2024, de 25 de marzo, de la Directora General de Medio Ambiente,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por la que se aprueba la convocatoria de “Subvenciones a entidades locales para el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desarrollo de actuaciones de protección y adaptación al riesgo de inundación 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 xml:space="preserve">integración ambiental en núcleos urbanos de la Estrategia Ebro </w:t>
      </w:r>
      <w:proofErr w:type="spellStart"/>
      <w:r w:rsidRPr="005464D5">
        <w:rPr>
          <w:rFonts w:cstheme="minorHAnsi"/>
        </w:rPr>
        <w:t>Resilience</w:t>
      </w:r>
      <w:proofErr w:type="spellEnd"/>
      <w:r w:rsidRPr="005464D5">
        <w:rPr>
          <w:rFonts w:cstheme="minorHAnsi"/>
        </w:rPr>
        <w:t xml:space="preserve"> en el marco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del Plan de Recuperación, Transformación y Resiliencia, financiado por la Unión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Europea-</w:t>
      </w:r>
      <w:r w:rsidR="00A512EA">
        <w:rPr>
          <w:rFonts w:cstheme="minorHAnsi"/>
        </w:rPr>
        <w:t>N</w:t>
      </w:r>
      <w:r w:rsidRPr="005464D5">
        <w:rPr>
          <w:rFonts w:cstheme="minorHAnsi"/>
        </w:rPr>
        <w:t>ext</w:t>
      </w:r>
      <w:r w:rsidR="00A512EA">
        <w:rPr>
          <w:rFonts w:cstheme="minorHAnsi"/>
        </w:rPr>
        <w:t xml:space="preserve"> </w:t>
      </w:r>
      <w:proofErr w:type="spellStart"/>
      <w:r w:rsidR="00A512EA">
        <w:rPr>
          <w:rFonts w:cstheme="minorHAnsi"/>
        </w:rPr>
        <w:t>G</w:t>
      </w:r>
      <w:r w:rsidRPr="005464D5">
        <w:rPr>
          <w:rFonts w:cstheme="minorHAnsi"/>
        </w:rPr>
        <w:t>eneration</w:t>
      </w:r>
      <w:proofErr w:type="spellEnd"/>
      <w:r w:rsidR="00A512EA">
        <w:rPr>
          <w:rFonts w:cstheme="minorHAnsi"/>
        </w:rPr>
        <w:t xml:space="preserve"> EU</w:t>
      </w:r>
      <w:r w:rsidRPr="005464D5">
        <w:rPr>
          <w:rFonts w:cstheme="minorHAnsi"/>
        </w:rPr>
        <w:t>".</w:t>
      </w:r>
    </w:p>
    <w:p w14:paraId="02257A61" w14:textId="13628F8B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• </w:t>
      </w:r>
      <w:r w:rsidR="00446AF7">
        <w:rPr>
          <w:rFonts w:cstheme="minorHAnsi"/>
        </w:rPr>
        <w:t>Resolución</w:t>
      </w:r>
      <w:r w:rsidR="00446AF7" w:rsidRPr="005464D5">
        <w:rPr>
          <w:rFonts w:cstheme="minorHAnsi"/>
        </w:rPr>
        <w:t xml:space="preserve"> </w:t>
      </w:r>
      <w:r w:rsidRPr="005464D5">
        <w:rPr>
          <w:rFonts w:cstheme="minorHAnsi"/>
        </w:rPr>
        <w:t>231E/2024, de 27 de marzo, de la Directora General de Medio Ambiente,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por la que se aprueba la convocatoria de “Subvenciones a entidades locales para el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desarrollo de actuaciones de protección y adaptación al riesgo de inundación 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integración ambiental en núcleos urbanos de toda Navarra en el marco del Plan de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Recuperación, Transformación y Resiliencia, financiado por la Unión Europea-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Next</w:t>
      </w:r>
      <w:r w:rsidR="00A512EA">
        <w:rPr>
          <w:rFonts w:cstheme="minorHAnsi"/>
        </w:rPr>
        <w:t xml:space="preserve"> </w:t>
      </w:r>
      <w:proofErr w:type="spellStart"/>
      <w:r w:rsidRPr="005464D5">
        <w:rPr>
          <w:rFonts w:cstheme="minorHAnsi"/>
        </w:rPr>
        <w:t>Generation</w:t>
      </w:r>
      <w:proofErr w:type="spellEnd"/>
      <w:r w:rsidR="00A512EA">
        <w:rPr>
          <w:rFonts w:cstheme="minorHAnsi"/>
        </w:rPr>
        <w:t xml:space="preserve"> </w:t>
      </w:r>
      <w:r w:rsidRPr="005464D5">
        <w:rPr>
          <w:rFonts w:cstheme="minorHAnsi"/>
        </w:rPr>
        <w:t>EU".</w:t>
      </w:r>
    </w:p>
    <w:p w14:paraId="58059491" w14:textId="443EF091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Junto a estas ayudas para entidades locales, también se tramitan subvenciones a entidades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privadas y personas físicas para adaptación al riesgo de inundación dentro de la Estrategia Ebro</w:t>
      </w:r>
      <w:r>
        <w:rPr>
          <w:rFonts w:cstheme="minorHAnsi"/>
        </w:rPr>
        <w:t xml:space="preserve"> </w:t>
      </w:r>
      <w:proofErr w:type="spellStart"/>
      <w:r w:rsidRPr="005464D5">
        <w:rPr>
          <w:rFonts w:cstheme="minorHAnsi"/>
        </w:rPr>
        <w:t>Resilience</w:t>
      </w:r>
      <w:proofErr w:type="spellEnd"/>
      <w:r w:rsidRPr="005464D5">
        <w:rPr>
          <w:rFonts w:cstheme="minorHAnsi"/>
        </w:rPr>
        <w:t xml:space="preserve"> en el marco del Plan de Recuperación, Transformación y Resiliencia, financiado por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la Unión Europea-Next</w:t>
      </w:r>
      <w:r w:rsidR="00A512EA">
        <w:rPr>
          <w:rFonts w:cstheme="minorHAnsi"/>
        </w:rPr>
        <w:t xml:space="preserve"> </w:t>
      </w:r>
      <w:proofErr w:type="spellStart"/>
      <w:r w:rsidRPr="005464D5">
        <w:rPr>
          <w:rFonts w:cstheme="minorHAnsi"/>
        </w:rPr>
        <w:t>Generation</w:t>
      </w:r>
      <w:proofErr w:type="spellEnd"/>
      <w:r w:rsidR="00A512EA">
        <w:rPr>
          <w:rFonts w:cstheme="minorHAnsi"/>
        </w:rPr>
        <w:t xml:space="preserve"> </w:t>
      </w:r>
      <w:r w:rsidRPr="005464D5">
        <w:rPr>
          <w:rFonts w:cstheme="minorHAnsi"/>
        </w:rPr>
        <w:t>EU. Años 2025-2026.</w:t>
      </w:r>
    </w:p>
    <w:p w14:paraId="6921683F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Importe total disponible: 1.050.000 €</w:t>
      </w:r>
    </w:p>
    <w:p w14:paraId="41A93677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Importe total concedido: 804.591,23 € (la convocatoria 2025-2026 está pendiente de resolver).</w:t>
      </w:r>
    </w:p>
    <w:p w14:paraId="139B5D8F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Estas subvenciones se articulan a través de tres convocatorias:</w:t>
      </w:r>
    </w:p>
    <w:p w14:paraId="3CD9118D" w14:textId="208FCF6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• </w:t>
      </w:r>
      <w:r w:rsidR="00446AF7" w:rsidRPr="005464D5">
        <w:rPr>
          <w:rFonts w:cstheme="minorHAnsi"/>
        </w:rPr>
        <w:t xml:space="preserve">Resolución </w:t>
      </w:r>
      <w:r w:rsidRPr="005464D5">
        <w:rPr>
          <w:rFonts w:cstheme="minorHAnsi"/>
        </w:rPr>
        <w:t>607E/2023, de 16 de junio, del Director General de Medio Ambiente, por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la que se aprueba la convocatoria de "Subvenciones para actuaciones de adaptación al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riesgo de inundación de las edificaciones, equipamientos e instalaciones o explotaciones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existentes en la Cuenca del Ebro en el marco del Plan De Recuperación, Transformación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y Resiliencia, financiado por la unión europea-NEXTGENERATIONEU".</w:t>
      </w:r>
    </w:p>
    <w:p w14:paraId="55B2E125" w14:textId="51F3240C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• </w:t>
      </w:r>
      <w:r w:rsidR="00446AF7" w:rsidRPr="005464D5">
        <w:rPr>
          <w:rFonts w:cstheme="minorHAnsi"/>
        </w:rPr>
        <w:t xml:space="preserve">Resolución </w:t>
      </w:r>
      <w:r w:rsidRPr="005464D5">
        <w:rPr>
          <w:rFonts w:cstheme="minorHAnsi"/>
        </w:rPr>
        <w:t>404E/2024, de 28 de mayo, de la Directora General de Medio Ambiente,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por la que se aprueba la convocatoria de "Subvenciones a entidades privadas y personas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 xml:space="preserve">físicas para adaptación al riesgo de inundación dentro de la Estrategia Ebro </w:t>
      </w:r>
      <w:proofErr w:type="spellStart"/>
      <w:r w:rsidRPr="005464D5">
        <w:rPr>
          <w:rFonts w:cstheme="minorHAnsi"/>
        </w:rPr>
        <w:t>Resilience</w:t>
      </w:r>
      <w:proofErr w:type="spellEnd"/>
      <w:r>
        <w:rPr>
          <w:rFonts w:cstheme="minorHAnsi"/>
        </w:rPr>
        <w:t xml:space="preserve"> </w:t>
      </w:r>
      <w:r w:rsidRPr="005464D5">
        <w:rPr>
          <w:rFonts w:cstheme="minorHAnsi"/>
        </w:rPr>
        <w:t>en el marco del Plan de Recuperación, Transformación y Resiliencia, financiado por la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Unión Europea-Next</w:t>
      </w:r>
      <w:r w:rsidR="00A512EA">
        <w:rPr>
          <w:rFonts w:cstheme="minorHAnsi"/>
        </w:rPr>
        <w:t xml:space="preserve"> </w:t>
      </w:r>
      <w:proofErr w:type="spellStart"/>
      <w:r w:rsidRPr="005464D5">
        <w:rPr>
          <w:rFonts w:cstheme="minorHAnsi"/>
        </w:rPr>
        <w:t>Generation</w:t>
      </w:r>
      <w:proofErr w:type="spellEnd"/>
      <w:r w:rsidR="00A512EA">
        <w:rPr>
          <w:rFonts w:cstheme="minorHAnsi"/>
        </w:rPr>
        <w:t xml:space="preserve"> </w:t>
      </w:r>
      <w:r w:rsidRPr="005464D5">
        <w:rPr>
          <w:rFonts w:cstheme="minorHAnsi"/>
        </w:rPr>
        <w:t>EU. Años 2024-2025".</w:t>
      </w:r>
    </w:p>
    <w:p w14:paraId="7D96CEE2" w14:textId="54C1E2F4" w:rsidR="005464D5" w:rsidRPr="005464D5" w:rsidRDefault="005464D5" w:rsidP="005464D5">
      <w:pPr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• </w:t>
      </w:r>
      <w:r w:rsidR="00446AF7" w:rsidRPr="005464D5">
        <w:rPr>
          <w:rFonts w:cstheme="minorHAnsi"/>
        </w:rPr>
        <w:t xml:space="preserve">Resolución </w:t>
      </w:r>
      <w:r w:rsidRPr="005464D5">
        <w:rPr>
          <w:rFonts w:cstheme="minorHAnsi"/>
        </w:rPr>
        <w:t>407E/2025, de 19 de mayo, de la directora general de Medio Ambiente,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por la que se aprueba la convocatoria de "Subvenciones a entidades privadas y personas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 xml:space="preserve">físicas para adaptación al riesgo de inundación dentro de la Estrategia Ebro </w:t>
      </w:r>
      <w:proofErr w:type="spellStart"/>
      <w:r w:rsidRPr="005464D5">
        <w:rPr>
          <w:rFonts w:cstheme="minorHAnsi"/>
        </w:rPr>
        <w:t>Resilience</w:t>
      </w:r>
      <w:proofErr w:type="spellEnd"/>
      <w:r>
        <w:rPr>
          <w:rFonts w:cstheme="minorHAnsi"/>
        </w:rPr>
        <w:t xml:space="preserve"> </w:t>
      </w:r>
      <w:r w:rsidRPr="005464D5">
        <w:rPr>
          <w:rFonts w:cstheme="minorHAnsi"/>
        </w:rPr>
        <w:t>en el marco del Plan de Recuperación, Transformación y Resiliencia, financiado por la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 xml:space="preserve">Unión Europea-Next </w:t>
      </w:r>
      <w:proofErr w:type="spellStart"/>
      <w:r w:rsidRPr="005464D5">
        <w:rPr>
          <w:rFonts w:cstheme="minorHAnsi"/>
        </w:rPr>
        <w:t>Generation</w:t>
      </w:r>
      <w:proofErr w:type="spellEnd"/>
      <w:r w:rsidRPr="005464D5">
        <w:rPr>
          <w:rFonts w:cstheme="minorHAnsi"/>
        </w:rPr>
        <w:t xml:space="preserve"> EU. Años 2025-2026". Identificación BDNS: 834695.</w:t>
      </w:r>
    </w:p>
    <w:p w14:paraId="2DEAA48D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t>Mujeres ante la crisis climática</w:t>
      </w:r>
    </w:p>
    <w:p w14:paraId="07942853" w14:textId="7A9F6AD0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lastRenderedPageBreak/>
        <w:t>Por otra parte, y respondiendo a la especificidad de la pregunta sobre qué medidas se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han realizado especialmente para mujeres, la igualdad y especialmente la representación de las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mujeres, es un tema transversal que se aplica en las diferentes medidas desarrolladas.</w:t>
      </w:r>
    </w:p>
    <w:p w14:paraId="6DB658DC" w14:textId="489DD83B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Las mujeres y los hombres no contribuyen de la misma manera al cambio climático, no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ven su día a día afectado de igual forma y tampoco participan ni tienen actitudes similares acerca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del cambio climático. Se observa una clara diferencia ente los entorno urbanos, rurales 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industriales de Navarra. El cambio climático no es neutro al género, y en consecuencia cualquier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plan, estrategia, normativa o acción ya sea a escala local, estatal o internacional tendría que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abordarse desde esta perspectiva. De hecho, la Ley Foral 4/2022, de 22 de marzo, de cambio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climático y transición energética dedica un artículo exclusivamente a tratar la “Perspectiva de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género en el cambio climático y transición energética,” donde se abordan temas como la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participación de mujeres en la toma de decisiones relacionadas al cambio climático, integrar la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perspectiva de género en las políticas medioambientales, la reducción de la vulnerabilidad de las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mujeres en el entorno rural, y el empoderamiento de las mismas en temas relacionados con la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energía.</w:t>
      </w:r>
    </w:p>
    <w:p w14:paraId="355F33E9" w14:textId="5F296E2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Con respecto a medidas específicas, cabe destacar que se han organizado talleres cuyo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objetivo ha sido fomentar la participación de las mujeres en la acción por el clima:</w:t>
      </w:r>
    </w:p>
    <w:p w14:paraId="20575274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• Taller 1- Mujeres, Cambio Climático y Salud. Dirigido a mujeres a partir de 30 años.</w:t>
      </w:r>
    </w:p>
    <w:p w14:paraId="5102F9B1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o Centro cívico de Lumbier. 14 de noviembre de 2024.</w:t>
      </w:r>
    </w:p>
    <w:p w14:paraId="7A31D510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o Museo Henri </w:t>
      </w:r>
      <w:proofErr w:type="spellStart"/>
      <w:r w:rsidRPr="005464D5">
        <w:rPr>
          <w:rFonts w:cstheme="minorHAnsi"/>
        </w:rPr>
        <w:t>Lenaers</w:t>
      </w:r>
      <w:proofErr w:type="spellEnd"/>
      <w:r w:rsidRPr="005464D5">
        <w:rPr>
          <w:rFonts w:cstheme="minorHAnsi"/>
        </w:rPr>
        <w:t xml:space="preserve">, Irurre, Valle de </w:t>
      </w:r>
      <w:proofErr w:type="spellStart"/>
      <w:r w:rsidRPr="005464D5">
        <w:rPr>
          <w:rFonts w:cstheme="minorHAnsi"/>
        </w:rPr>
        <w:t>Guesálaz</w:t>
      </w:r>
      <w:proofErr w:type="spellEnd"/>
      <w:r w:rsidRPr="005464D5">
        <w:rPr>
          <w:rFonts w:cstheme="minorHAnsi"/>
        </w:rPr>
        <w:t>. 29 de noviembre de 2024.</w:t>
      </w:r>
    </w:p>
    <w:p w14:paraId="64C7B7E1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• Taller 2- Mujeres, Cambio Climático y Consumo. Dirigido a mujeres de entre 16 y 30 años.</w:t>
      </w:r>
    </w:p>
    <w:p w14:paraId="5CE61053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o Centro cívico de Lumbier. 9 de noviembre de 2024.</w:t>
      </w:r>
    </w:p>
    <w:p w14:paraId="010D14FA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o </w:t>
      </w:r>
      <w:proofErr w:type="spellStart"/>
      <w:r w:rsidRPr="005464D5">
        <w:rPr>
          <w:rFonts w:cstheme="minorHAnsi"/>
        </w:rPr>
        <w:t>Ostatu</w:t>
      </w:r>
      <w:proofErr w:type="spellEnd"/>
      <w:r w:rsidRPr="005464D5">
        <w:rPr>
          <w:rFonts w:cstheme="minorHAnsi"/>
        </w:rPr>
        <w:t xml:space="preserve"> de </w:t>
      </w:r>
      <w:proofErr w:type="spellStart"/>
      <w:r w:rsidRPr="005464D5">
        <w:rPr>
          <w:rFonts w:cstheme="minorHAnsi"/>
        </w:rPr>
        <w:t>Yerri</w:t>
      </w:r>
      <w:proofErr w:type="spellEnd"/>
      <w:r w:rsidRPr="005464D5">
        <w:rPr>
          <w:rFonts w:cstheme="minorHAnsi"/>
        </w:rPr>
        <w:t xml:space="preserve">, </w:t>
      </w:r>
      <w:proofErr w:type="spellStart"/>
      <w:r w:rsidRPr="005464D5">
        <w:rPr>
          <w:rFonts w:cstheme="minorHAnsi"/>
        </w:rPr>
        <w:t>Arizala</w:t>
      </w:r>
      <w:proofErr w:type="spellEnd"/>
      <w:r w:rsidRPr="005464D5">
        <w:rPr>
          <w:rFonts w:cstheme="minorHAnsi"/>
        </w:rPr>
        <w:t xml:space="preserve">, Valle de </w:t>
      </w:r>
      <w:proofErr w:type="spellStart"/>
      <w:r w:rsidRPr="005464D5">
        <w:rPr>
          <w:rFonts w:cstheme="minorHAnsi"/>
        </w:rPr>
        <w:t>Yerri</w:t>
      </w:r>
      <w:proofErr w:type="spellEnd"/>
      <w:r w:rsidRPr="005464D5">
        <w:rPr>
          <w:rFonts w:cstheme="minorHAnsi"/>
        </w:rPr>
        <w:t>. 30 de noviembre de 2024.</w:t>
      </w:r>
    </w:p>
    <w:p w14:paraId="6DEA5F9C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• Taller 3 - Mujeres, Cambio Climático y Biodiversidad. Escolares-ESO.</w:t>
      </w:r>
    </w:p>
    <w:p w14:paraId="0F1E3B85" w14:textId="1746234C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o CPEIP San Juan de Lumbier / </w:t>
      </w:r>
      <w:proofErr w:type="spellStart"/>
      <w:r w:rsidRPr="005464D5">
        <w:rPr>
          <w:rFonts w:cstheme="minorHAnsi"/>
        </w:rPr>
        <w:t>Ilumberriko</w:t>
      </w:r>
      <w:proofErr w:type="spellEnd"/>
      <w:r w:rsidRPr="005464D5">
        <w:rPr>
          <w:rFonts w:cstheme="minorHAnsi"/>
        </w:rPr>
        <w:t xml:space="preserve"> - HLHIP 5º y 6º primaria, castellano. 8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 noviembre de 2024.</w:t>
      </w:r>
    </w:p>
    <w:p w14:paraId="47644B22" w14:textId="01CFBD96" w:rsidR="005464D5" w:rsidRPr="005464D5" w:rsidRDefault="005464D5" w:rsidP="005464D5">
      <w:pPr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o </w:t>
      </w:r>
      <w:proofErr w:type="spellStart"/>
      <w:r w:rsidRPr="005464D5">
        <w:rPr>
          <w:rFonts w:cstheme="minorHAnsi"/>
        </w:rPr>
        <w:t>Zumadi</w:t>
      </w:r>
      <w:proofErr w:type="spellEnd"/>
      <w:r w:rsidRPr="005464D5">
        <w:rPr>
          <w:rFonts w:cstheme="minorHAnsi"/>
        </w:rPr>
        <w:t xml:space="preserve"> </w:t>
      </w:r>
      <w:proofErr w:type="spellStart"/>
      <w:r w:rsidRPr="005464D5">
        <w:rPr>
          <w:rFonts w:cstheme="minorHAnsi"/>
        </w:rPr>
        <w:t>eskola</w:t>
      </w:r>
      <w:proofErr w:type="spellEnd"/>
      <w:r w:rsidRPr="005464D5">
        <w:rPr>
          <w:rFonts w:cstheme="minorHAnsi"/>
        </w:rPr>
        <w:t>-Abarzuza. 5º y 6º primaria, euskara. 21 de noviembre de 2024.</w:t>
      </w:r>
    </w:p>
    <w:p w14:paraId="6EAF7DC2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t xml:space="preserve">Proyecto LIFE-IP </w:t>
      </w:r>
      <w:proofErr w:type="spellStart"/>
      <w:r w:rsidRPr="005464D5">
        <w:rPr>
          <w:rFonts w:cstheme="minorHAnsi"/>
          <w:b/>
          <w:bCs/>
        </w:rPr>
        <w:t>NAdapta</w:t>
      </w:r>
      <w:proofErr w:type="spellEnd"/>
      <w:r w:rsidRPr="005464D5">
        <w:rPr>
          <w:rFonts w:cstheme="minorHAnsi"/>
          <w:b/>
          <w:bCs/>
        </w:rPr>
        <w:t>-CC</w:t>
      </w:r>
    </w:p>
    <w:p w14:paraId="747F3A5C" w14:textId="3FBDC9BA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 xml:space="preserve">Además, el proyecto LIFE-IP </w:t>
      </w:r>
      <w:proofErr w:type="spellStart"/>
      <w:r w:rsidRPr="005464D5">
        <w:rPr>
          <w:rFonts w:cstheme="minorHAnsi"/>
        </w:rPr>
        <w:t>NAdapta</w:t>
      </w:r>
      <w:proofErr w:type="spellEnd"/>
      <w:r w:rsidRPr="005464D5">
        <w:rPr>
          <w:rFonts w:cstheme="minorHAnsi"/>
        </w:rPr>
        <w:t>-CC, el primer proyecto europeo financiado por el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programa LIFE en la categoría de proyectos integrados en materia de adaptación al cambio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climático, está siendo una pieza clave en la organización e implementación de medidas de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adaptación al cambio climático en Navarra.</w:t>
      </w:r>
    </w:p>
    <w:p w14:paraId="4FEECB5D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Gracias al mismo se han desarrollado 37 acciones técnicas en 6 áreas diferentes:</w:t>
      </w:r>
    </w:p>
    <w:p w14:paraId="16FC9703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Monitorización y medio local.</w:t>
      </w:r>
    </w:p>
    <w:p w14:paraId="733A1AF7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Agua.</w:t>
      </w:r>
    </w:p>
    <w:p w14:paraId="17295D82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Bosques</w:t>
      </w:r>
    </w:p>
    <w:p w14:paraId="28F50DBC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Agricultura y ganadería</w:t>
      </w:r>
    </w:p>
    <w:p w14:paraId="5C1CA00A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Salud</w:t>
      </w:r>
    </w:p>
    <w:p w14:paraId="5134890E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lastRenderedPageBreak/>
        <w:t>- Infraestructuras y planificación territorial</w:t>
      </w:r>
    </w:p>
    <w:p w14:paraId="677ACDBA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Se citan algunas de las más destacadas:</w:t>
      </w:r>
    </w:p>
    <w:p w14:paraId="6D334B22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c1.1: conocer el clima que nos viene y cómo nos va a afectar.</w:t>
      </w:r>
    </w:p>
    <w:p w14:paraId="63D64D23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c1.2: promover la acción climática a nivel local.</w:t>
      </w:r>
    </w:p>
    <w:p w14:paraId="3079A291" w14:textId="2189B910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c2.1: implantación de un sistema de alerta temprana que permita mejorar el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 xml:space="preserve">funcionamiento y la gestión diaria de las </w:t>
      </w:r>
      <w:proofErr w:type="spellStart"/>
      <w:r w:rsidRPr="005464D5">
        <w:rPr>
          <w:rFonts w:cstheme="minorHAnsi"/>
        </w:rPr>
        <w:t>edar</w:t>
      </w:r>
      <w:proofErr w:type="spellEnd"/>
      <w:r w:rsidRPr="005464D5">
        <w:rPr>
          <w:rFonts w:cstheme="minorHAnsi"/>
        </w:rPr>
        <w:t>.</w:t>
      </w:r>
    </w:p>
    <w:p w14:paraId="455E5530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c2.4: sistema de alerta temprana para la gestión de inundaciones en navarra</w:t>
      </w:r>
    </w:p>
    <w:p w14:paraId="4EF6FB56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c2.5: adaptarnos al riesgo de inundaciones a nivel local.</w:t>
      </w:r>
    </w:p>
    <w:p w14:paraId="7414F778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c3.1: identificar los bosques más vulnerables al cambio climático.</w:t>
      </w:r>
    </w:p>
    <w:p w14:paraId="730749E4" w14:textId="3C5980FF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c3.2: selección de fuentes de semillas de especies autóctonas adaptadas al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cambio climático.</w:t>
      </w:r>
    </w:p>
    <w:p w14:paraId="79AA9E92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c4.1: mejorar los suelos frente al cambio climático.</w:t>
      </w:r>
    </w:p>
    <w:p w14:paraId="219232DD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c4.2: mejorar la gestión del agua en nuestros regadíos.</w:t>
      </w:r>
    </w:p>
    <w:p w14:paraId="00B60A73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c4.4: sistema de alerta de plagas y enfermedades emergentes.</w:t>
      </w:r>
    </w:p>
    <w:p w14:paraId="19A8E6EE" w14:textId="52FC428D" w:rsidR="005464D5" w:rsidRPr="005464D5" w:rsidRDefault="005464D5" w:rsidP="005464D5">
      <w:pPr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c4.5: monitorizar vectores emergentes de enfermedades animales.</w:t>
      </w:r>
    </w:p>
    <w:p w14:paraId="7FBA2480" w14:textId="4B4316FE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c5.1: nuevos sistemas de vigilancia e información para el análisis de las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consecuencias del cambio climático en la salud humana.</w:t>
      </w:r>
    </w:p>
    <w:p w14:paraId="4DC2EC95" w14:textId="166CB8BC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c5.5: sistema de vigilancia para detectar vectores invasores de enfermedades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humanas.</w:t>
      </w:r>
    </w:p>
    <w:p w14:paraId="3CA92157" w14:textId="3052241D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c5.6: vigilancia de la composición del polen y la variación de los períodos de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polinización en relación con el cambio climático.</w:t>
      </w:r>
    </w:p>
    <w:p w14:paraId="3F70DC06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c6.1: delimitación de los paisajes singulares.</w:t>
      </w:r>
    </w:p>
    <w:p w14:paraId="67B5AEB7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c6.2: adaptación al cambio climático del medio construido.</w:t>
      </w:r>
    </w:p>
    <w:p w14:paraId="3FFC88D5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c6.3: adaptación al cambio climático del patrimonio público construido.</w:t>
      </w:r>
    </w:p>
    <w:p w14:paraId="561A31DD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c6.4: piloto de adaptación del parque residencial público al cambio climático</w:t>
      </w:r>
    </w:p>
    <w:p w14:paraId="45F7C6FF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Acción c6.11: revisión de escenarios de cambio climático en entornos construidos.</w:t>
      </w:r>
    </w:p>
    <w:p w14:paraId="29A74A44" w14:textId="6C40A06B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También se han desarrollado hasta 23 acciones no técnicas en materia de formación,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comunicación, transferencia de resultados y réplica.</w:t>
      </w:r>
    </w:p>
    <w:p w14:paraId="11D8EA4C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t>Hoja de Ruta integrada de Energía y Clima de Navarra 2050 - ENERKLINA</w:t>
      </w:r>
    </w:p>
    <w:p w14:paraId="11A01C1D" w14:textId="790A38C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En coherencia con los compromisos climáticos europeos y estatales, la Comunidad Foral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 Navarra organiza su acción climática a través de políticas integradas y una planificación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energética ambiciosa. La Comunidad Foral dispone de varias herramientas estratégicas y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normativas frente a los impactos crecientes del cambio climático en la región.</w:t>
      </w:r>
    </w:p>
    <w:p w14:paraId="059006D2" w14:textId="7C6F14DE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Así, el Plan Energético de Navarra (PEN) 2030 establece objetivos y metas para el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fomento de las energías renovables, la eficiencia energética y una mayor autonomía energética.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Por otro lado, la Hoja de ruta de Cambio Climático de Navarra (HCCN, también denominada</w:t>
      </w:r>
      <w:r>
        <w:rPr>
          <w:rFonts w:cstheme="minorHAnsi"/>
        </w:rPr>
        <w:t xml:space="preserve"> </w:t>
      </w:r>
      <w:proofErr w:type="spellStart"/>
      <w:r w:rsidRPr="005464D5">
        <w:rPr>
          <w:rFonts w:cstheme="minorHAnsi"/>
        </w:rPr>
        <w:t>KLINa</w:t>
      </w:r>
      <w:proofErr w:type="spellEnd"/>
      <w:r w:rsidRPr="005464D5">
        <w:rPr>
          <w:rFonts w:cstheme="minorHAnsi"/>
        </w:rPr>
        <w:t>) fija los objetivos y las medidas de mitigación y de adaptación en el territorio para 2030-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 xml:space="preserve">2050. </w:t>
      </w:r>
      <w:r w:rsidRPr="005464D5">
        <w:rPr>
          <w:rFonts w:cstheme="minorHAnsi"/>
        </w:rPr>
        <w:lastRenderedPageBreak/>
        <w:t>Además, Navarra aprobó en marzo de 2022 la Ley Foral de Cambio Climático y Transición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Energética como marco legal para el cumplimiento de los objetivos de mitigación, adaptación y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transición justa en la Comunidad.</w:t>
      </w:r>
    </w:p>
    <w:p w14:paraId="1BBD86A0" w14:textId="4F9BB7DA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La necesidad de unir los objetivos, las medidas y los medios en un marco común,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alineados con las recomendaciones europeas y nacionales (España) de disponer de estrategias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conjuntas de lucha contra el cambio climático y la transición energética, así como de actualizar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los instrumentos existentes tomando como base información y conocimientos más recientes,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motiva que Gobierno de Navarra esté trabajando en la elaboración de una nueva Hoja de Ruta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integrada de Energía y Clima de Navarra 2050 – ENERKLINA 2050.</w:t>
      </w:r>
    </w:p>
    <w:p w14:paraId="19259A7F" w14:textId="3BA2173A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t>Presentado un nuevo proyecto estratégico en materia de cambio climático a la</w:t>
      </w:r>
      <w:r>
        <w:rPr>
          <w:rFonts w:cstheme="minorHAnsi"/>
          <w:b/>
          <w:bCs/>
        </w:rPr>
        <w:t xml:space="preserve"> </w:t>
      </w:r>
      <w:r w:rsidRPr="005464D5">
        <w:rPr>
          <w:rFonts w:cstheme="minorHAnsi"/>
          <w:b/>
          <w:bCs/>
        </w:rPr>
        <w:t>convocatoria del Programa LIFE de la Comisión Europea</w:t>
      </w:r>
    </w:p>
    <w:p w14:paraId="0824A996" w14:textId="79464BC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El cambio climático representa un desafío urgente y multidimensional para Navarra, que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afecta a los sistemas naturales, los sectores económicos y el bienestar de su población. Si bien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marcos estratégicos como la Hoja de Ruta del Cambio Climático para Navarra (CCRN-</w:t>
      </w:r>
      <w:proofErr w:type="spellStart"/>
      <w:r w:rsidRPr="005464D5">
        <w:rPr>
          <w:rFonts w:cstheme="minorHAnsi"/>
        </w:rPr>
        <w:t>KLINa</w:t>
      </w:r>
      <w:proofErr w:type="spellEnd"/>
      <w:r w:rsidRPr="005464D5">
        <w:rPr>
          <w:rFonts w:cstheme="minorHAnsi"/>
        </w:rPr>
        <w:t>),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el Plan Energético de Navarra 2030 y el Plan Nacional de Adaptación al Cambio Climático han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sentado bases importantes, su implementación sigue estando fragmentada entre sectores y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territorios.</w:t>
      </w:r>
    </w:p>
    <w:p w14:paraId="57000B42" w14:textId="2BE89423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A pesar de los avances significativos en proyectos como LIFE NADAPTA y PLAN4CET,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persisten barreras como la inercia institucional, la compartimentación sectorial, la fragmentación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 datos, el acceso insuficiente a financiación complementaria y la escasa participación de los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grupos vulnerables y los municipios más pequeños. Estos factores dificultan la implementación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eficaz de soluciones integradas de mitigación y adaptación al cambio climático.</w:t>
      </w:r>
    </w:p>
    <w:p w14:paraId="41A8400A" w14:textId="13ACC7AC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Navarra requiere ahora un salto sistémico y operativo: de la planificación a la plena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implementación territorial. La región necesita consolidar las estrategias existentes en un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programa coherente y orientado a la acción que permita reducciones mensurables de emisiones,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mejore la resiliencia, acelere la transición justa y amplíe las capacidades de las partes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interesadas en todo el territorio.</w:t>
      </w:r>
    </w:p>
    <w:p w14:paraId="45082B27" w14:textId="5D096F01" w:rsidR="005464D5" w:rsidRPr="005464D5" w:rsidRDefault="005464D5" w:rsidP="005464D5">
      <w:pPr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Para ello, en la reciente convocatoria del Programa LIFE de la Comisión Europea para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financiar proyectos estratégicos en materia de acción climática, desde la Oficina de Cambio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Climático de Navarra se ha coordinado la presentación de un proyecto estratégico, denominado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ENERKLINA 2050. Este proyecto, en caso de ser aprobado, permitiría disponer de fondos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europeos adicionales y servir como motor de implementación de la hoja de ruta ENERKLINA,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movilizando los mecanismos de gobernanza, demostración, financiación y participación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necesarios para transformar Navarra en una región resiliente y climáticamente neutra para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mediados de siglo.</w:t>
      </w:r>
    </w:p>
    <w:p w14:paraId="6E8CF822" w14:textId="179F8805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Por otro lado, la acción frente al clima es una línea de actuación que no sólo afecta al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Departamento de Desarrollo Rural y Medio Ambiente, otros departamentos han desarrollado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medidas que responden a la preocupación ciudadana por el cambio climático y que están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alineadas con la LFCCTE. Por mencionar alguna, se citan las siguientes:</w:t>
      </w:r>
    </w:p>
    <w:p w14:paraId="3118288A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t xml:space="preserve">Campaña: Hola, bus, </w:t>
      </w:r>
      <w:proofErr w:type="spellStart"/>
      <w:r w:rsidRPr="005464D5">
        <w:rPr>
          <w:rFonts w:cstheme="minorHAnsi"/>
          <w:b/>
          <w:bCs/>
        </w:rPr>
        <w:t>Kaixo</w:t>
      </w:r>
      <w:proofErr w:type="spellEnd"/>
      <w:r w:rsidRPr="005464D5">
        <w:rPr>
          <w:rFonts w:cstheme="minorHAnsi"/>
          <w:b/>
          <w:bCs/>
        </w:rPr>
        <w:t xml:space="preserve"> busa!</w:t>
      </w:r>
    </w:p>
    <w:p w14:paraId="54231025" w14:textId="1A5B4C91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El Departamento de Cohesión Territorial, a través de la Dirección General de Transportes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 xml:space="preserve">y Movilidad Sostenible, ha presentado este martes en Pamplona la campaña 'Hola bus, </w:t>
      </w:r>
      <w:proofErr w:type="spellStart"/>
      <w:r w:rsidRPr="005464D5">
        <w:rPr>
          <w:rFonts w:cstheme="minorHAnsi"/>
        </w:rPr>
        <w:t>kaixo</w:t>
      </w:r>
      <w:proofErr w:type="spellEnd"/>
      <w:r>
        <w:rPr>
          <w:rFonts w:cstheme="minorHAnsi"/>
        </w:rPr>
        <w:t xml:space="preserve"> </w:t>
      </w:r>
      <w:r w:rsidRPr="005464D5">
        <w:rPr>
          <w:rFonts w:cstheme="minorHAnsi"/>
        </w:rPr>
        <w:t>busa', una iniciativa que pretende sensibilizar a la ciudadanía navarra sobre las ventajas del uso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del autobús público y discrecional para sus desplazamientos.</w:t>
      </w:r>
    </w:p>
    <w:p w14:paraId="602F397A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lastRenderedPageBreak/>
        <w:t>El cambio climático: ¡un reto que podemos superar!</w:t>
      </w:r>
    </w:p>
    <w:p w14:paraId="1BC3115D" w14:textId="1779852F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Jornada organizada por la Dirección General de Transportes y Movilidad Sostenible, que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pretende que las y los escolares navarros sean parte activa de las políticas sostenibles en sus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colegios, sus casas, en su ocio o en su forma de consumir.</w:t>
      </w:r>
    </w:p>
    <w:p w14:paraId="66ABC4ED" w14:textId="1F1AB7EB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Más de 400 escolares han participado en la jornada “El cambio climático: ¡un reto que podemos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superar!”. Una iniciativa que es un paso más en el compromiso del Gobierno de Navarra en la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sensibilización de la necesidad de apostar por la movilidad sostenible.</w:t>
      </w:r>
    </w:p>
    <w:p w14:paraId="66AE9801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5464D5">
        <w:rPr>
          <w:rFonts w:cstheme="minorHAnsi"/>
          <w:b/>
          <w:bCs/>
        </w:rPr>
        <w:t>Campaña: cabeza fría contra el calor.</w:t>
      </w:r>
    </w:p>
    <w:p w14:paraId="0CB31533" w14:textId="06EB0F0E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Campaña de concienciación lanzada por el Instituto de Salud Pública y Laboral de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Navarra para prevenir los riesgos de las altas temperaturas, informando sobre los peligros de las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olas de calor y proporcionando herramientas para proteger la salud individual y el cuidado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comunitario. La campaña busca que la ciudadanía no subestime las altas temperaturas y se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centre en la prevención a través de medidas como la hidratación, el uso de ropa adecuada y la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búsqueda de lugares con sombra o aire acondicionado.</w:t>
      </w:r>
    </w:p>
    <w:p w14:paraId="7A7E904E" w14:textId="190A74E2" w:rsidR="005464D5" w:rsidRPr="005464D5" w:rsidRDefault="005464D5" w:rsidP="005464D5">
      <w:pPr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Finalmente, señalar que desde la OCC también se impulsan medidas para visibilizar las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medidas que las entidades locales están realizando para responder a esa preocupación.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Destaca, en ese sentido, la jornada del Pacto de Alcaldías, de la que este año 2025 se celebrará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la cuarta edición y en la que se visibilizarán las siguientes actuaciones:</w:t>
      </w:r>
    </w:p>
    <w:p w14:paraId="77BE19C3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Mochila energética en el Colegio Público San Miguel (Noáin)</w:t>
      </w:r>
    </w:p>
    <w:p w14:paraId="52EF5682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Red de Semillas y Bibliotecas Públicas de Navarra (Ayuntamiento de Aranguren)</w:t>
      </w:r>
    </w:p>
    <w:p w14:paraId="42D69F0E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Calendario 2026 para la acción climática local (Red NELS)</w:t>
      </w:r>
    </w:p>
    <w:p w14:paraId="3592C0BB" w14:textId="54581ED0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Proyecto piloto de recogida y retorno de envases reciclables en la Comarca de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Sangüesa</w:t>
      </w:r>
    </w:p>
    <w:p w14:paraId="2DD4D19E" w14:textId="2C83DC36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Uso de la lana de oveja lacha para la adaptación al cambio climático en la agricultura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(UPNA)</w:t>
      </w:r>
    </w:p>
    <w:p w14:paraId="587A68C6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Punto de acopio y triturado de restos de poda (Echarri/Etxarri)</w:t>
      </w:r>
    </w:p>
    <w:p w14:paraId="6B124D9E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Sistemas Urbanos de Drenaje Sostenible (SUDS) (Ansoáin/Antsoain)</w:t>
      </w:r>
    </w:p>
    <w:p w14:paraId="6D0C39C4" w14:textId="7D1AB2B1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Renovación de las redes de abastecimiento y sectorización de redes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(Peralta/</w:t>
      </w:r>
      <w:proofErr w:type="spellStart"/>
      <w:r w:rsidRPr="005464D5">
        <w:rPr>
          <w:rFonts w:cstheme="minorHAnsi"/>
        </w:rPr>
        <w:t>Azkoien</w:t>
      </w:r>
      <w:proofErr w:type="spellEnd"/>
      <w:r w:rsidRPr="005464D5">
        <w:rPr>
          <w:rFonts w:cstheme="minorHAnsi"/>
        </w:rPr>
        <w:t>)</w:t>
      </w:r>
    </w:p>
    <w:p w14:paraId="0911080C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SUDS UPNA (Tudela)</w:t>
      </w:r>
    </w:p>
    <w:p w14:paraId="6D6E60F0" w14:textId="77777777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Uso compartido de coche eléctrico (Huarte/</w:t>
      </w:r>
      <w:proofErr w:type="spellStart"/>
      <w:r w:rsidRPr="005464D5">
        <w:rPr>
          <w:rFonts w:cstheme="minorHAnsi"/>
        </w:rPr>
        <w:t>Uharte</w:t>
      </w:r>
      <w:proofErr w:type="spellEnd"/>
      <w:r w:rsidRPr="005464D5">
        <w:rPr>
          <w:rFonts w:cstheme="minorHAnsi"/>
        </w:rPr>
        <w:t>)</w:t>
      </w:r>
    </w:p>
    <w:p w14:paraId="4989041B" w14:textId="130D5EA2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- Implementación de los PACES a través de las Comunidades Energéticas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(Pamplona/Iruña)</w:t>
      </w:r>
    </w:p>
    <w:p w14:paraId="2C1FD323" w14:textId="1480529B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Todo lo expuesto en los apartados anteriores muestra solo una parte de las medidas que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está tomando el Gobierno de Navarra para responder al aumento de la preocupación ciudadana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por el cambio climático parte del trabajo realizado por el Gobierno de Navarra sobre qué.</w:t>
      </w:r>
    </w:p>
    <w:p w14:paraId="2E341CD9" w14:textId="355205CD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Es cuanto tengo el honor de informar a V.E., en cumplimiento del artículo 215 del</w:t>
      </w:r>
      <w:r>
        <w:rPr>
          <w:rFonts w:cstheme="minorHAnsi"/>
        </w:rPr>
        <w:t xml:space="preserve"> </w:t>
      </w:r>
      <w:r w:rsidRPr="005464D5">
        <w:rPr>
          <w:rFonts w:cstheme="minorHAnsi"/>
        </w:rPr>
        <w:t>Reglamento del Parlamento de Navarra</w:t>
      </w:r>
      <w:r w:rsidR="00D9050F">
        <w:rPr>
          <w:rFonts w:cstheme="minorHAnsi"/>
        </w:rPr>
        <w:t>.</w:t>
      </w:r>
    </w:p>
    <w:p w14:paraId="20438CEC" w14:textId="35EA326A" w:rsidR="005464D5" w:rsidRPr="005464D5" w:rsidRDefault="005464D5" w:rsidP="005464D5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En Pamplona,</w:t>
      </w:r>
      <w:r w:rsidR="004F3CAF">
        <w:rPr>
          <w:rFonts w:cstheme="minorHAnsi"/>
        </w:rPr>
        <w:t xml:space="preserve"> a</w:t>
      </w:r>
      <w:r w:rsidRPr="005464D5">
        <w:rPr>
          <w:rFonts w:cstheme="minorHAnsi"/>
        </w:rPr>
        <w:t xml:space="preserve"> 7 de octubre de 2025</w:t>
      </w:r>
    </w:p>
    <w:p w14:paraId="7001D61F" w14:textId="124FAA24" w:rsidR="005464D5" w:rsidRPr="005464D5" w:rsidRDefault="004F3CAF" w:rsidP="004F3CA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64D5">
        <w:rPr>
          <w:rFonts w:cstheme="minorHAnsi"/>
        </w:rPr>
        <w:t>El Consejero de Desarrollo Rural y Medio Ambiente</w:t>
      </w:r>
      <w:r>
        <w:rPr>
          <w:rFonts w:cstheme="minorHAnsi"/>
        </w:rPr>
        <w:t xml:space="preserve">: </w:t>
      </w:r>
      <w:r w:rsidR="005464D5" w:rsidRPr="005464D5">
        <w:rPr>
          <w:rFonts w:cstheme="minorHAnsi"/>
        </w:rPr>
        <w:t xml:space="preserve">José María </w:t>
      </w:r>
      <w:proofErr w:type="spellStart"/>
      <w:r w:rsidR="005464D5" w:rsidRPr="005464D5">
        <w:rPr>
          <w:rFonts w:cstheme="minorHAnsi"/>
        </w:rPr>
        <w:t>Aierdi</w:t>
      </w:r>
      <w:proofErr w:type="spellEnd"/>
      <w:r w:rsidR="005464D5" w:rsidRPr="005464D5">
        <w:rPr>
          <w:rFonts w:cstheme="minorHAnsi"/>
        </w:rPr>
        <w:t xml:space="preserve"> Fernández de Barrena</w:t>
      </w:r>
    </w:p>
    <w:sectPr w:rsidR="005464D5" w:rsidRPr="005464D5" w:rsidSect="00393E09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D5"/>
    <w:rsid w:val="00393E09"/>
    <w:rsid w:val="00446AF7"/>
    <w:rsid w:val="004F3CAF"/>
    <w:rsid w:val="005464D5"/>
    <w:rsid w:val="00A512EA"/>
    <w:rsid w:val="00D9050F"/>
    <w:rsid w:val="00E42D19"/>
    <w:rsid w:val="00E8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7D85"/>
  <w15:chartTrackingRefBased/>
  <w15:docId w15:val="{77F40421-0AEF-46F0-8C77-151FCCE9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3101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2025-10-10T05:35:00Z</dcterms:created>
  <dcterms:modified xsi:type="dcterms:W3CDTF">2025-11-05T12:00:00Z</dcterms:modified>
</cp:coreProperties>
</file>