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0E7C" w14:textId="551D6585" w:rsidR="00C869B7" w:rsidRPr="00701C13" w:rsidRDefault="00701C13" w:rsidP="00701C13">
      <w:pPr>
        <w:spacing w:after="120" w:line="276" w:lineRule="auto"/>
        <w:jc w:val="both"/>
        <w:rPr>
          <w:rFonts w:eastAsia="Times New Roman" w:cstheme="minorHAnsi"/>
          <w:lang w:val="es-ES" w:eastAsia="es-ES"/>
        </w:rPr>
      </w:pPr>
      <w:r w:rsidRPr="00701C13">
        <w:rPr>
          <w:rFonts w:eastAsia="Times New Roman" w:cstheme="minorHAnsi"/>
          <w:lang w:val="es-ES" w:eastAsia="es-ES"/>
        </w:rPr>
        <w:t>25 de noviembre de 2025</w:t>
      </w:r>
    </w:p>
    <w:p w14:paraId="5488A8DA" w14:textId="77777777" w:rsidR="00C869B7" w:rsidRPr="00701C13" w:rsidRDefault="00936E87" w:rsidP="00701C13">
      <w:pPr>
        <w:spacing w:after="120" w:line="276" w:lineRule="auto"/>
        <w:jc w:val="both"/>
        <w:rPr>
          <w:rFonts w:eastAsia="Times New Roman" w:cstheme="minorHAnsi"/>
          <w:lang w:eastAsia="es-ES"/>
        </w:rPr>
      </w:pPr>
      <w:r w:rsidRPr="00701C13">
        <w:rPr>
          <w:rFonts w:eastAsia="Times New Roman" w:cstheme="minorHAnsi"/>
          <w:lang w:eastAsia="es-ES"/>
        </w:rPr>
        <w:t>El Consejero de Salud del Gobierno de Navarra, en relación con la p</w:t>
      </w:r>
      <w:r w:rsidR="00C869B7" w:rsidRPr="00701C13">
        <w:rPr>
          <w:rFonts w:eastAsia="Times New Roman" w:cstheme="minorHAnsi"/>
          <w:lang w:eastAsia="es-ES"/>
        </w:rPr>
        <w:t>regunta para su contestación por escrito</w:t>
      </w:r>
      <w:r w:rsidRPr="00701C13">
        <w:rPr>
          <w:rFonts w:eastAsia="Times New Roman" w:cstheme="minorHAnsi"/>
          <w:lang w:eastAsia="es-ES"/>
        </w:rPr>
        <w:t xml:space="preserve"> formulada por </w:t>
      </w:r>
      <w:r w:rsidR="005B7671" w:rsidRPr="00701C13">
        <w:rPr>
          <w:rFonts w:eastAsia="Times New Roman" w:cstheme="minorHAnsi"/>
          <w:lang w:eastAsia="es-ES"/>
        </w:rPr>
        <w:t>el</w:t>
      </w:r>
      <w:r w:rsidRPr="00701C13">
        <w:rPr>
          <w:rFonts w:eastAsia="Times New Roman" w:cstheme="minorHAnsi"/>
          <w:lang w:eastAsia="es-ES"/>
        </w:rPr>
        <w:t xml:space="preserve"> Parlamentari</w:t>
      </w:r>
      <w:r w:rsidR="00B46764" w:rsidRPr="00701C13">
        <w:rPr>
          <w:rFonts w:eastAsia="Times New Roman" w:cstheme="minorHAnsi"/>
          <w:lang w:eastAsia="es-ES"/>
        </w:rPr>
        <w:t>o</w:t>
      </w:r>
      <w:r w:rsidRPr="00701C13">
        <w:rPr>
          <w:rFonts w:eastAsia="Times New Roman" w:cstheme="minorHAnsi"/>
          <w:lang w:eastAsia="es-ES"/>
        </w:rPr>
        <w:t xml:space="preserve"> Foral Ilm</w:t>
      </w:r>
      <w:r w:rsidR="00C869B7" w:rsidRPr="00701C13">
        <w:rPr>
          <w:rFonts w:eastAsia="Times New Roman" w:cstheme="minorHAnsi"/>
          <w:lang w:eastAsia="es-ES"/>
        </w:rPr>
        <w:t>o</w:t>
      </w:r>
      <w:r w:rsidRPr="00701C13">
        <w:rPr>
          <w:rFonts w:eastAsia="Times New Roman" w:cstheme="minorHAnsi"/>
          <w:lang w:eastAsia="es-ES"/>
        </w:rPr>
        <w:t xml:space="preserve">. Sr. </w:t>
      </w:r>
      <w:r w:rsidR="00C869B7" w:rsidRPr="00701C13">
        <w:rPr>
          <w:rFonts w:eastAsia="Times New Roman" w:cstheme="minorHAnsi"/>
          <w:lang w:eastAsia="es-ES"/>
        </w:rPr>
        <w:t>D.</w:t>
      </w:r>
      <w:r w:rsidR="00CC6F01" w:rsidRPr="00701C13">
        <w:rPr>
          <w:rFonts w:eastAsia="Times New Roman" w:cstheme="minorHAnsi"/>
          <w:lang w:eastAsia="es-ES"/>
        </w:rPr>
        <w:t xml:space="preserve"> </w:t>
      </w:r>
      <w:r w:rsidR="005B7671" w:rsidRPr="00701C13">
        <w:rPr>
          <w:rFonts w:eastAsia="Times New Roman" w:cstheme="minorHAnsi"/>
          <w:lang w:eastAsia="es-ES"/>
        </w:rPr>
        <w:t>Txomin González Martínez</w:t>
      </w:r>
      <w:r w:rsidR="00CC6F01" w:rsidRPr="00701C13">
        <w:rPr>
          <w:rFonts w:eastAsia="Times New Roman" w:cstheme="minorHAnsi"/>
          <w:lang w:eastAsia="es-ES"/>
        </w:rPr>
        <w:t xml:space="preserve">, </w:t>
      </w:r>
      <w:r w:rsidR="00C869B7" w:rsidRPr="00701C13">
        <w:rPr>
          <w:rFonts w:eastAsia="Times New Roman" w:cstheme="minorHAnsi"/>
          <w:lang w:eastAsia="es-ES"/>
        </w:rPr>
        <w:t>adscrito al Grupo Parlamentario</w:t>
      </w:r>
      <w:r w:rsidR="00CC6F01" w:rsidRPr="00701C13">
        <w:rPr>
          <w:rFonts w:eastAsia="Times New Roman" w:cstheme="minorHAnsi"/>
          <w:lang w:eastAsia="es-ES"/>
        </w:rPr>
        <w:t xml:space="preserve"> </w:t>
      </w:r>
      <w:r w:rsidR="005B7671" w:rsidRPr="00701C13">
        <w:rPr>
          <w:rFonts w:eastAsia="Times New Roman" w:cstheme="minorHAnsi"/>
          <w:lang w:eastAsia="es-ES"/>
        </w:rPr>
        <w:t>EH Bildu Na</w:t>
      </w:r>
      <w:r w:rsidR="00C869B7" w:rsidRPr="00701C13">
        <w:rPr>
          <w:rFonts w:eastAsia="Times New Roman" w:cstheme="minorHAnsi"/>
          <w:lang w:eastAsia="es-ES"/>
        </w:rPr>
        <w:t>f</w:t>
      </w:r>
      <w:r w:rsidR="005B7671" w:rsidRPr="00701C13">
        <w:rPr>
          <w:rFonts w:eastAsia="Times New Roman" w:cstheme="minorHAnsi"/>
          <w:lang w:eastAsia="es-ES"/>
        </w:rPr>
        <w:t>arroa</w:t>
      </w:r>
      <w:r w:rsidRPr="00701C13">
        <w:rPr>
          <w:rFonts w:eastAsia="Times New Roman" w:cstheme="minorHAnsi"/>
          <w:lang w:eastAsia="es-ES"/>
        </w:rPr>
        <w:t>, acerca de</w:t>
      </w:r>
      <w:r w:rsidR="00C869B7" w:rsidRPr="00701C13">
        <w:rPr>
          <w:rFonts w:eastAsia="Times New Roman" w:cstheme="minorHAnsi"/>
          <w:lang w:eastAsia="es-ES"/>
        </w:rPr>
        <w:t>l consumo de gabapentinoides</w:t>
      </w:r>
      <w:r w:rsidR="00B46764" w:rsidRPr="00701C13">
        <w:rPr>
          <w:rFonts w:eastAsia="Times New Roman" w:cstheme="minorHAnsi"/>
          <w:lang w:eastAsia="es-ES"/>
        </w:rPr>
        <w:t xml:space="preserve"> (Lyrica)</w:t>
      </w:r>
      <w:r w:rsidR="00C869B7" w:rsidRPr="00701C13">
        <w:rPr>
          <w:rFonts w:eastAsia="Times New Roman" w:cstheme="minorHAnsi"/>
          <w:lang w:eastAsia="es-ES"/>
        </w:rPr>
        <w:t>,</w:t>
      </w:r>
      <w:r w:rsidRPr="00701C13">
        <w:rPr>
          <w:rFonts w:eastAsia="Times New Roman" w:cstheme="minorHAnsi"/>
          <w:lang w:eastAsia="es-ES"/>
        </w:rPr>
        <w:t xml:space="preserve"> </w:t>
      </w:r>
      <w:r w:rsidR="00C869B7" w:rsidRPr="00701C13">
        <w:rPr>
          <w:rFonts w:eastAsia="Times New Roman" w:cstheme="minorHAnsi"/>
          <w:lang w:eastAsia="es-ES"/>
        </w:rPr>
        <w:t>(</w:t>
      </w:r>
      <w:r w:rsidR="004A34DD" w:rsidRPr="00701C13">
        <w:rPr>
          <w:rFonts w:eastAsia="Times New Roman" w:cstheme="minorHAnsi"/>
          <w:lang w:eastAsia="es-ES"/>
        </w:rPr>
        <w:t>11-25-PEI-0037</w:t>
      </w:r>
      <w:r w:rsidR="005B7671" w:rsidRPr="00701C13">
        <w:rPr>
          <w:rFonts w:eastAsia="Times New Roman" w:cstheme="minorHAnsi"/>
          <w:lang w:eastAsia="es-ES"/>
        </w:rPr>
        <w:t>8</w:t>
      </w:r>
      <w:r w:rsidR="00C869B7" w:rsidRPr="00701C13">
        <w:rPr>
          <w:rFonts w:eastAsia="Times New Roman" w:cstheme="minorHAnsi"/>
          <w:lang w:eastAsia="es-ES"/>
        </w:rPr>
        <w:t>) informa lo siguiente</w:t>
      </w:r>
      <w:r w:rsidR="00364B69" w:rsidRPr="00701C13">
        <w:rPr>
          <w:rFonts w:eastAsia="Times New Roman" w:cstheme="minorHAnsi"/>
          <w:lang w:eastAsia="es-ES"/>
        </w:rPr>
        <w:t>:</w:t>
      </w:r>
    </w:p>
    <w:p w14:paraId="5786E57E" w14:textId="77777777" w:rsidR="00C869B7" w:rsidRPr="00701C13" w:rsidRDefault="00C869B7" w:rsidP="00701C13">
      <w:pPr>
        <w:spacing w:after="120" w:line="276" w:lineRule="auto"/>
        <w:jc w:val="both"/>
        <w:rPr>
          <w:rFonts w:eastAsia="Times New Roman" w:cstheme="minorHAnsi"/>
          <w:b/>
          <w:lang w:eastAsia="es-ES"/>
        </w:rPr>
      </w:pPr>
      <w:r w:rsidRPr="00701C13">
        <w:rPr>
          <w:rFonts w:eastAsia="Times New Roman" w:cstheme="minorHAnsi"/>
          <w:b/>
          <w:lang w:eastAsia="es-ES"/>
        </w:rPr>
        <w:t>¿Qué evolución anual ha tenido la prescripción de gabapentinoides (Lyrica.</w:t>
      </w:r>
      <w:r w:rsidR="00B46764" w:rsidRPr="00701C13">
        <w:rPr>
          <w:rFonts w:eastAsia="Times New Roman" w:cstheme="minorHAnsi"/>
          <w:b/>
          <w:lang w:eastAsia="es-ES"/>
        </w:rPr>
        <w:t>.</w:t>
      </w:r>
      <w:r w:rsidRPr="00701C13">
        <w:rPr>
          <w:rFonts w:eastAsia="Times New Roman" w:cstheme="minorHAnsi"/>
          <w:b/>
          <w:lang w:eastAsia="es-ES"/>
        </w:rPr>
        <w:t>.) en el SNS-Osasunbidea desde el año del estudio 202</w:t>
      </w:r>
      <w:r w:rsidR="00C90037" w:rsidRPr="00701C13">
        <w:rPr>
          <w:rFonts w:eastAsia="Times New Roman" w:cstheme="minorHAnsi"/>
          <w:b/>
          <w:lang w:eastAsia="es-ES"/>
        </w:rPr>
        <w:t>0</w:t>
      </w:r>
      <w:r w:rsidRPr="00701C13">
        <w:rPr>
          <w:rFonts w:eastAsia="Times New Roman" w:cstheme="minorHAnsi"/>
          <w:b/>
          <w:lang w:eastAsia="es-ES"/>
        </w:rPr>
        <w:t xml:space="preserve"> hasta la actualidad, tanto en atención primaria como especializada?</w:t>
      </w:r>
    </w:p>
    <w:p w14:paraId="6D1EF740" w14:textId="77777777" w:rsidR="00082FD4" w:rsidRPr="00701C13" w:rsidRDefault="00082FD4" w:rsidP="00701C13">
      <w:pPr>
        <w:spacing w:after="120" w:line="276" w:lineRule="auto"/>
        <w:jc w:val="both"/>
        <w:rPr>
          <w:rFonts w:eastAsia="Times New Roman" w:cstheme="minorHAnsi"/>
          <w:lang w:eastAsia="es-ES"/>
        </w:rPr>
      </w:pPr>
      <w:r w:rsidRPr="00701C13">
        <w:rPr>
          <w:rFonts w:cstheme="minorHAnsi"/>
        </w:rPr>
        <w:t xml:space="preserve">Se </w:t>
      </w:r>
      <w:r w:rsidR="00F511C7" w:rsidRPr="00701C13">
        <w:rPr>
          <w:rFonts w:cstheme="minorHAnsi"/>
        </w:rPr>
        <w:t>detalla</w:t>
      </w:r>
      <w:r w:rsidR="00317F7E" w:rsidRPr="00701C13">
        <w:rPr>
          <w:rFonts w:cstheme="minorHAnsi"/>
        </w:rPr>
        <w:t xml:space="preserve"> l</w:t>
      </w:r>
      <w:r w:rsidRPr="00701C13">
        <w:rPr>
          <w:rFonts w:cstheme="minorHAnsi"/>
        </w:rPr>
        <w:t>a hoja de cálculo con la evolución del uso de gabapentinoides basado en datos de dispensación de recetas en oficinas de farmacia. Se miden número de dosis diarias definidas, número de pacientes tratados.</w:t>
      </w:r>
    </w:p>
    <w:p w14:paraId="58004257" w14:textId="77777777" w:rsidR="00C869B7" w:rsidRPr="00701C13" w:rsidRDefault="00082FD4" w:rsidP="00701C13">
      <w:pPr>
        <w:spacing w:after="120" w:line="276" w:lineRule="auto"/>
        <w:jc w:val="both"/>
        <w:rPr>
          <w:rFonts w:cstheme="minorHAnsi"/>
        </w:rPr>
      </w:pPr>
      <w:r w:rsidRPr="00701C13">
        <w:rPr>
          <w:rFonts w:cstheme="minorHAnsi"/>
        </w:rPr>
        <w:t>La dosis diaria definida es una unidad técnica de medida y comparación de consumo de medicamentos que establece la Organización Mundial de la Salud.</w:t>
      </w:r>
    </w:p>
    <w:p w14:paraId="1CFDF99F" w14:textId="77777777" w:rsidR="00F511C7" w:rsidRDefault="00F511C7" w:rsidP="00364B69">
      <w:pPr>
        <w:spacing w:line="360" w:lineRule="auto"/>
        <w:jc w:val="both"/>
        <w:rPr>
          <w:rFonts w:ascii="DejaVu Serif Condensed" w:hAnsi="DejaVu Serif Condensed" w:cstheme="minorHAnsi"/>
          <w:sz w:val="24"/>
          <w:szCs w:val="24"/>
        </w:rPr>
      </w:pPr>
      <w:r w:rsidRPr="00F511C7">
        <w:rPr>
          <w:noProof/>
        </w:rPr>
        <w:drawing>
          <wp:inline distT="0" distB="0" distL="0" distR="0" wp14:anchorId="63166D23" wp14:editId="6E65B9A5">
            <wp:extent cx="5400040" cy="3711696"/>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711696"/>
                    </a:xfrm>
                    <a:prstGeom prst="rect">
                      <a:avLst/>
                    </a:prstGeom>
                    <a:noFill/>
                    <a:ln>
                      <a:noFill/>
                    </a:ln>
                  </pic:spPr>
                </pic:pic>
              </a:graphicData>
            </a:graphic>
          </wp:inline>
        </w:drawing>
      </w:r>
    </w:p>
    <w:p w14:paraId="6F1E1C45" w14:textId="77777777" w:rsidR="00C869B7" w:rsidRPr="00701C13" w:rsidRDefault="00C869B7" w:rsidP="00701C13">
      <w:pPr>
        <w:spacing w:after="120" w:line="276" w:lineRule="auto"/>
        <w:jc w:val="both"/>
        <w:rPr>
          <w:rFonts w:eastAsia="Times New Roman" w:cstheme="minorHAnsi"/>
          <w:b/>
          <w:lang w:eastAsia="es-ES"/>
        </w:rPr>
      </w:pPr>
      <w:r w:rsidRPr="00701C13">
        <w:rPr>
          <w:rFonts w:eastAsia="Times New Roman" w:cstheme="minorHAnsi"/>
          <w:b/>
          <w:lang w:eastAsia="es-ES"/>
        </w:rPr>
        <w:t>¿Qué coste económico anual ha tenido el uso de gabapentinoides (Lyrica…) desde 2020 a la actualidad tanto en atención primaria como especializada?</w:t>
      </w:r>
    </w:p>
    <w:p w14:paraId="712F6B10" w14:textId="77777777" w:rsidR="00150810" w:rsidRPr="00701C13" w:rsidRDefault="00150810" w:rsidP="00701C13">
      <w:pPr>
        <w:spacing w:after="120" w:line="276" w:lineRule="auto"/>
        <w:jc w:val="both"/>
        <w:rPr>
          <w:rFonts w:eastAsia="Times New Roman" w:cstheme="minorHAnsi"/>
          <w:lang w:eastAsia="es-ES"/>
        </w:rPr>
      </w:pPr>
      <w:r w:rsidRPr="00701C13">
        <w:rPr>
          <w:rFonts w:cstheme="minorHAnsi"/>
        </w:rPr>
        <w:t>En la hoja de cálculo adjunta se refleja la evolución del importe, incluyendo la aportación del paciente</w:t>
      </w:r>
      <w:r w:rsidR="005600CC" w:rsidRPr="00701C13">
        <w:rPr>
          <w:rFonts w:cstheme="minorHAnsi"/>
        </w:rPr>
        <w:t xml:space="preserve"> (Consumo gabapentinoides resumen)</w:t>
      </w:r>
      <w:r w:rsidRPr="00701C13">
        <w:rPr>
          <w:rFonts w:cstheme="minorHAnsi"/>
        </w:rPr>
        <w:t>.</w:t>
      </w:r>
    </w:p>
    <w:p w14:paraId="432B4983" w14:textId="77777777" w:rsidR="000F5889" w:rsidRPr="00701C13" w:rsidRDefault="00C869B7" w:rsidP="00701C13">
      <w:pPr>
        <w:spacing w:after="120" w:line="276" w:lineRule="auto"/>
        <w:jc w:val="both"/>
        <w:rPr>
          <w:rFonts w:eastAsia="Times New Roman" w:cstheme="minorHAnsi"/>
          <w:b/>
          <w:lang w:eastAsia="es-ES"/>
        </w:rPr>
      </w:pPr>
      <w:r w:rsidRPr="00701C13">
        <w:rPr>
          <w:rFonts w:eastAsia="Times New Roman" w:cstheme="minorHAnsi"/>
          <w:b/>
          <w:lang w:eastAsia="es-ES"/>
        </w:rPr>
        <w:t>¿Los gabapentinoides no son efectivos para fibromialgia, migraña, dolor lumbar, temblor esencial, dolor post-operatorio y sofocos postmenopáusicos… por lo que no se recomienda su uso, como se está controlando la prescripción indicada por el SNS-Osasunbidea, y por el incumplimiento del uso indicado de gabapentinoides (Lyrica…) se ha generado notificaciones a los profesionales o expedientes disciplinarios y a cuántos profesionales de medicina cada año?</w:t>
      </w:r>
    </w:p>
    <w:p w14:paraId="6EAFF470" w14:textId="77777777" w:rsidR="00A62E8D" w:rsidRPr="00701C13" w:rsidRDefault="00150810" w:rsidP="00701C13">
      <w:pPr>
        <w:spacing w:after="120" w:line="276" w:lineRule="auto"/>
        <w:jc w:val="both"/>
        <w:rPr>
          <w:rFonts w:eastAsia="Times New Roman" w:cstheme="minorHAnsi"/>
          <w:lang w:eastAsia="es-ES"/>
        </w:rPr>
      </w:pPr>
      <w:r w:rsidRPr="00701C13">
        <w:rPr>
          <w:rFonts w:cstheme="minorHAnsi"/>
        </w:rPr>
        <w:lastRenderedPageBreak/>
        <w:t>No se ha desarrollado una estrategia de optimización en la historia clínica. Al tratarse de medicamentos que requieren una retirada gradual no se pueden hacer propuestas de suspensión brusca</w:t>
      </w:r>
      <w:r w:rsidR="00A62E8D" w:rsidRPr="00701C13">
        <w:rPr>
          <w:rFonts w:eastAsia="Times New Roman" w:cstheme="minorHAnsi"/>
          <w:lang w:eastAsia="es-ES"/>
        </w:rPr>
        <w:t>.</w:t>
      </w:r>
    </w:p>
    <w:p w14:paraId="6F416253" w14:textId="77777777" w:rsidR="00150810" w:rsidRPr="00701C13" w:rsidRDefault="00150810" w:rsidP="00701C13">
      <w:pPr>
        <w:spacing w:after="120" w:line="276" w:lineRule="auto"/>
        <w:jc w:val="both"/>
        <w:rPr>
          <w:rFonts w:eastAsia="Times New Roman" w:cstheme="minorHAnsi"/>
          <w:lang w:eastAsia="es-ES"/>
        </w:rPr>
      </w:pPr>
      <w:r w:rsidRPr="00701C13">
        <w:rPr>
          <w:rFonts w:cstheme="minorHAnsi"/>
        </w:rPr>
        <w:t>En las revisiones de la medicación de pacientes polimedicados realizadas por las farmacéuticas de atención primaria se recomienda, en su caso, la de</w:t>
      </w:r>
      <w:r w:rsidR="00540A06" w:rsidRPr="00701C13">
        <w:rPr>
          <w:rFonts w:cstheme="minorHAnsi"/>
        </w:rPr>
        <w:t>s</w:t>
      </w:r>
      <w:r w:rsidRPr="00701C13">
        <w:rPr>
          <w:rFonts w:cstheme="minorHAnsi"/>
        </w:rPr>
        <w:t>prescripción. Se han establecido estos modelos de mensaje:</w:t>
      </w:r>
    </w:p>
    <w:p w14:paraId="3A65EAE3"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lang w:eastAsia="es-ES"/>
        </w:rPr>
      </w:pPr>
      <w:r w:rsidRPr="00701C13">
        <w:rPr>
          <w:rFonts w:cstheme="minorHAnsi"/>
          <w:b/>
          <w:u w:val="single"/>
        </w:rPr>
        <w:t>Gabapentinoides en el dolor</w:t>
      </w:r>
      <w:r w:rsidRPr="00701C13">
        <w:rPr>
          <w:rFonts w:cstheme="minorHAnsi"/>
          <w:b/>
        </w:rPr>
        <w:t xml:space="preserve">: </w:t>
      </w:r>
      <w:r w:rsidRPr="00701C13">
        <w:rPr>
          <w:rFonts w:cstheme="minorHAnsi"/>
        </w:rPr>
        <w:t>La pregabalina y la gabapentina pueden ser eficaces en comparación con placebo como tratamiento de primera línea para algunas personas con dolor neuropático, neuralgia posherpética y neuropatía periférica diabética:</w:t>
      </w:r>
    </w:p>
    <w:p w14:paraId="72F0CD1F" w14:textId="58991B03"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lang w:eastAsia="es-ES"/>
        </w:rPr>
      </w:pPr>
      <w:r w:rsidRPr="00701C13">
        <w:rPr>
          <w:rFonts w:cstheme="minorHAnsi"/>
        </w:rPr>
        <w:t xml:space="preserve">   41 de cada 100 personas vs 15 de cada 100 en neuralgia posherpética moderada a grave o 41 de cada 100 vs 28 de cada 100 en pacientes con neuropatía periférica diabética, tendrán al menos un 50</w:t>
      </w:r>
      <w:r w:rsidR="00701C13">
        <w:rPr>
          <w:rFonts w:cstheme="minorHAnsi"/>
        </w:rPr>
        <w:t xml:space="preserve"> </w:t>
      </w:r>
      <w:r w:rsidRPr="00701C13">
        <w:rPr>
          <w:rFonts w:cstheme="minorHAnsi"/>
        </w:rPr>
        <w:t>% del alivio del dolor al tomar pregabalina a 600 mg/día durante ≥ 8 semanas después de la titulación inicial vs placebo.</w:t>
      </w:r>
    </w:p>
    <w:p w14:paraId="1AFA031E" w14:textId="04AE2260"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lang w:eastAsia="es-ES"/>
        </w:rPr>
      </w:pPr>
      <w:r w:rsidRPr="00701C13">
        <w:rPr>
          <w:rFonts w:cstheme="minorHAnsi"/>
        </w:rPr>
        <w:t xml:space="preserve">    32 de cada 100 personas vs 17 de cada 100 con neuralgia posherpética moderada a grave o 38 de cada 100 personas vs 21 de cada 100 personas con neuropatía periférica diabética moderada a grave tendrán al menos un 50</w:t>
      </w:r>
      <w:r w:rsidR="00701C13">
        <w:rPr>
          <w:rFonts w:cstheme="minorHAnsi"/>
        </w:rPr>
        <w:t xml:space="preserve"> </w:t>
      </w:r>
      <w:r w:rsidRPr="00701C13">
        <w:rPr>
          <w:rFonts w:cstheme="minorHAnsi"/>
        </w:rPr>
        <w:t>% de alivio del dolor al tomar gabapentina ≥ 1.200 mg/día durante ≥ 8 semanas después de l</w:t>
      </w:r>
      <w:r w:rsidR="00A62E8D" w:rsidRPr="00701C13">
        <w:rPr>
          <w:rFonts w:cstheme="minorHAnsi"/>
        </w:rPr>
        <w:t>a titulación inicial vs placebo</w:t>
      </w:r>
      <w:r w:rsidRPr="00701C13">
        <w:rPr>
          <w:rFonts w:cstheme="minorHAnsi"/>
        </w:rPr>
        <w:t>.</w:t>
      </w:r>
    </w:p>
    <w:p w14:paraId="04565C43" w14:textId="64040CD9"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eastAsia="Times New Roman" w:cstheme="minorHAnsi"/>
          <w:lang w:eastAsia="es-ES"/>
        </w:rPr>
      </w:pPr>
      <w:r w:rsidRPr="00701C13">
        <w:rPr>
          <w:rFonts w:cstheme="minorHAnsi"/>
        </w:rPr>
        <w:t xml:space="preserve">La evidencia de gabapentina en la </w:t>
      </w:r>
      <w:r w:rsidRPr="00701C13">
        <w:rPr>
          <w:rFonts w:cstheme="minorHAnsi"/>
          <w:b/>
        </w:rPr>
        <w:t>fibromialgia</w:t>
      </w:r>
      <w:r w:rsidRPr="00701C13">
        <w:rPr>
          <w:rFonts w:cstheme="minorHAnsi"/>
        </w:rPr>
        <w:t xml:space="preserve"> no está clara y no son efectivos para dolor lumbar, ciática, estenosis espinal o migraña episódica, y no se recomienda su uso fuera de ficha técnica para estas afecciones</w:t>
      </w:r>
      <w:r w:rsidR="00173BDA">
        <w:rPr>
          <w:rFonts w:cstheme="minorHAnsi"/>
        </w:rPr>
        <w:t>.</w:t>
      </w:r>
    </w:p>
    <w:p w14:paraId="001E18F6" w14:textId="77777777" w:rsidR="0087216E" w:rsidRPr="00701C13" w:rsidRDefault="004705AC"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9" w:history="1">
        <w:r w:rsidR="0087216E" w:rsidRPr="00701C13">
          <w:rPr>
            <w:rStyle w:val="Hipervnculo"/>
            <w:rFonts w:cstheme="minorHAnsi"/>
          </w:rPr>
          <w:t>https://www.bmj.com/content/369/bmj.m1315</w:t>
        </w:r>
      </w:hyperlink>
    </w:p>
    <w:p w14:paraId="1DB045B3"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rsidRPr="00701C13">
        <w:rPr>
          <w:rFonts w:cstheme="minorHAnsi"/>
        </w:rPr>
        <w:t>Se debe informar a los pacientes sobre los efectos secundarios, como mareos, somnolencia y problemas de la marcha, que pueden requerir reducción de la dosis de los fármacos o su suspensión.</w:t>
      </w:r>
    </w:p>
    <w:p w14:paraId="0E6E9D94"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rsidRPr="00701C13">
        <w:rPr>
          <w:rFonts w:cstheme="minorHAnsi"/>
        </w:rPr>
        <w:t>Alerta FDA en enero 2020 sobre gabapentinoides y depresión respiratoria grave en pacientes en tratamiento con opioides, otros depresores del SNC y EPOC.</w:t>
      </w:r>
    </w:p>
    <w:p w14:paraId="449FE572" w14:textId="77777777" w:rsidR="0087216E" w:rsidRPr="00701C13" w:rsidRDefault="004705AC"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10" w:history="1">
        <w:r w:rsidR="0087216E" w:rsidRPr="00701C13">
          <w:rPr>
            <w:rStyle w:val="Hipervnculo"/>
            <w:rFonts w:cstheme="minorHAnsi"/>
          </w:rPr>
          <w:t>https://www.fda.gov/safety/medical-product-safety-information/neurontin-gralise-horizant-gabapentin-and-lyrica-lyrica-cr-pregabalin-drug-safety-communication</w:t>
        </w:r>
      </w:hyperlink>
    </w:p>
    <w:p w14:paraId="45322679"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rsidRPr="00701C13">
        <w:rPr>
          <w:rFonts w:cstheme="minorHAnsi"/>
          <w:b/>
        </w:rPr>
        <w:t>Gabapentina</w:t>
      </w:r>
      <w:r w:rsidRPr="00701C13">
        <w:rPr>
          <w:rFonts w:cstheme="minorHAnsi"/>
        </w:rPr>
        <w:t>: no está indicada para tratamiento ansiedad. Se podría probar con pregabalina, gabapentinoide que sí tiene indicación para ansiedad generalizada. Hay que tener en cuenta los riesgos asociados a los gabapentinoides como mareo, ataxia, aumento de peso, edema periférico, especialmente en pacientes frágiles, de edad avanzada, con insuficiencia renal y enfermedades cardiovascular.</w:t>
      </w:r>
    </w:p>
    <w:p w14:paraId="2FFAC48D" w14:textId="77777777" w:rsidR="0087216E" w:rsidRPr="00701C13" w:rsidRDefault="0087216E"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r w:rsidRPr="00701C13">
        <w:rPr>
          <w:rFonts w:cstheme="minorHAnsi"/>
        </w:rPr>
        <w:t>No obstante, si se decide continuar con gabapentina, hay que ajustar la dosis por la insuficiencia renal de la paciente. En este caso, con un filtrado glomerular de 20 ml/min la dosis máxima diaria es de 600 mg.</w:t>
      </w:r>
    </w:p>
    <w:p w14:paraId="425331D6" w14:textId="77777777" w:rsidR="0087216E" w:rsidRPr="00701C13" w:rsidRDefault="004705AC"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hyperlink r:id="rId11" w:history="1">
        <w:r w:rsidR="0087216E" w:rsidRPr="00701C13">
          <w:rPr>
            <w:rStyle w:val="Hipervnculo"/>
            <w:rFonts w:cstheme="minorHAnsi"/>
          </w:rPr>
          <w:t>https://www.navarra.es/NR/rdonlyres/889229EF-448A-4664-A78F-ED640B16035B/476679/Bit_v29n4.pdf</w:t>
        </w:r>
      </w:hyperlink>
    </w:p>
    <w:p w14:paraId="0CABA5B4" w14:textId="77777777" w:rsidR="00150810" w:rsidRPr="00701C13" w:rsidRDefault="00150810" w:rsidP="00701C13">
      <w:pPr>
        <w:pBdr>
          <w:top w:val="single" w:sz="4" w:space="1" w:color="auto"/>
          <w:left w:val="single" w:sz="4" w:space="0" w:color="auto"/>
          <w:bottom w:val="single" w:sz="4" w:space="1" w:color="auto"/>
          <w:right w:val="single" w:sz="4" w:space="1" w:color="auto"/>
        </w:pBdr>
        <w:spacing w:after="120" w:line="276" w:lineRule="auto"/>
        <w:jc w:val="both"/>
        <w:rPr>
          <w:rFonts w:cstheme="minorHAnsi"/>
        </w:rPr>
      </w:pPr>
    </w:p>
    <w:p w14:paraId="22C93E6B" w14:textId="77777777" w:rsidR="0099485F" w:rsidRPr="00701C13" w:rsidRDefault="00E2302B" w:rsidP="00701C13">
      <w:pPr>
        <w:spacing w:after="120" w:line="276" w:lineRule="auto"/>
        <w:jc w:val="both"/>
        <w:rPr>
          <w:rFonts w:eastAsia="Times New Roman" w:cstheme="minorHAnsi"/>
          <w:lang w:eastAsia="es-ES"/>
        </w:rPr>
      </w:pPr>
      <w:r w:rsidRPr="00701C13">
        <w:rPr>
          <w:rFonts w:cstheme="minorHAnsi"/>
        </w:rPr>
        <w:lastRenderedPageBreak/>
        <w:t>D</w:t>
      </w:r>
      <w:r w:rsidR="0099485F" w:rsidRPr="00701C13">
        <w:rPr>
          <w:rFonts w:cstheme="minorHAnsi"/>
        </w:rPr>
        <w:t>esde el Hospital Universitario de Navarra (HUN) y una vez consultado con los Servicios</w:t>
      </w:r>
      <w:r w:rsidRPr="00701C13">
        <w:rPr>
          <w:rFonts w:cstheme="minorHAnsi"/>
        </w:rPr>
        <w:t xml:space="preserve"> del Centro informamos que los g</w:t>
      </w:r>
      <w:r w:rsidR="0099485F" w:rsidRPr="00701C13">
        <w:rPr>
          <w:rFonts w:cstheme="minorHAnsi"/>
        </w:rPr>
        <w:t xml:space="preserve">abapentinoides se emplean fundamentalmente en las indicaciones de dolores neuropáticos de diversos orígenes y básicamente asociados a patología metabólica, postinfecciosa, y/o traumática. Entre los servicios con mayor uso, estas son las principales indicaciones: </w:t>
      </w:r>
    </w:p>
    <w:p w14:paraId="1D6C4B6A"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En Medicina Interna se utilizan para dolores neuropáticos. La mayor parte de nuestros pacientes siguen el tratamiento previamente bien desde Atención Primaria, por neuropatía diabética, o por la Unidad del D</w:t>
      </w:r>
      <w:r w:rsidR="00E2302B" w:rsidRPr="00701C13">
        <w:rPr>
          <w:rFonts w:cstheme="minorHAnsi"/>
        </w:rPr>
        <w:t>olor, por dolores neuropáticos.</w:t>
      </w:r>
    </w:p>
    <w:p w14:paraId="5E95F25B"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Unidad de Tratamiento del Dolor: se indican gabapentinoides (gabapentina, pregabalina) en dolor neuropático crónico. Para la desprescripción se indica acudir a Atención Primaria para su retirada (por si precisa seguimiento de la misma).</w:t>
      </w:r>
    </w:p>
    <w:p w14:paraId="397F6686"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Psiquiatría: se limita su uso de forma puntual y en casos muy concretos como alternativa a los benzodiacepinas en ansiedad generalizada o deprivación de benzodiacepinas. Y también en algunos casos de alteraciones afectivas y/o comportamentales de pacient</w:t>
      </w:r>
      <w:r w:rsidR="00E2302B" w:rsidRPr="00701C13">
        <w:rPr>
          <w:rFonts w:cstheme="minorHAnsi"/>
        </w:rPr>
        <w:t>es con daño cerebral adquirido.</w:t>
      </w:r>
    </w:p>
    <w:p w14:paraId="678CF7DF"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Neurología: se indican en dolores neuropáticos: postherpéticos, radiculopatías compresivas o de otra caus</w:t>
      </w:r>
      <w:r w:rsidR="00E2302B" w:rsidRPr="00701C13">
        <w:rPr>
          <w:rFonts w:cstheme="minorHAnsi"/>
        </w:rPr>
        <w:t>a y otros dolores neuropáticos.</w:t>
      </w:r>
    </w:p>
    <w:p w14:paraId="260E1402"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Endocrinología: se indica únicamente en dolor por neuropatía diabética.</w:t>
      </w:r>
    </w:p>
    <w:p w14:paraId="05225D15" w14:textId="77777777" w:rsidR="00317F7E" w:rsidRPr="00701C13" w:rsidRDefault="00202E7B"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Neurocirugía: utilizan la pregabalina a dosis bajas (a veces gabapentina) para casos de fibromialgia y neuropatías. No se conoce ningún caso que haya precisado deshabituación, la mayoría de las pacientes toleran mal y es necesario suspenderlo.</w:t>
      </w:r>
    </w:p>
    <w:p w14:paraId="1259A5A1" w14:textId="77777777" w:rsidR="0099485F" w:rsidRPr="00701C13" w:rsidRDefault="0099485F" w:rsidP="00701C13">
      <w:pPr>
        <w:pStyle w:val="Prrafodelista"/>
        <w:numPr>
          <w:ilvl w:val="0"/>
          <w:numId w:val="4"/>
        </w:numPr>
        <w:spacing w:after="120" w:line="276" w:lineRule="auto"/>
        <w:jc w:val="both"/>
        <w:rPr>
          <w:rFonts w:eastAsia="Times New Roman" w:cstheme="minorHAnsi"/>
          <w:lang w:eastAsia="es-ES"/>
        </w:rPr>
      </w:pPr>
      <w:r w:rsidRPr="00701C13">
        <w:rPr>
          <w:rFonts w:cstheme="minorHAnsi"/>
        </w:rPr>
        <w:t>Desde el Servicio de Obstetricia y Ginecología nos indican que no se emplean en patologías p</w:t>
      </w:r>
      <w:r w:rsidR="00E2302B" w:rsidRPr="00701C13">
        <w:rPr>
          <w:rFonts w:cstheme="minorHAnsi"/>
        </w:rPr>
        <w:t>ropias.</w:t>
      </w:r>
    </w:p>
    <w:p w14:paraId="22F533F0" w14:textId="77777777" w:rsidR="00C247A8" w:rsidRPr="00701C13" w:rsidRDefault="0099485F" w:rsidP="00701C13">
      <w:pPr>
        <w:spacing w:after="120" w:line="276" w:lineRule="auto"/>
        <w:jc w:val="both"/>
        <w:rPr>
          <w:rFonts w:cstheme="minorHAnsi"/>
        </w:rPr>
      </w:pPr>
      <w:r w:rsidRPr="00701C13">
        <w:rPr>
          <w:rFonts w:cstheme="minorHAnsi"/>
        </w:rPr>
        <w:t>No se dispone Protocolos concre</w:t>
      </w:r>
      <w:r w:rsidR="00C247A8" w:rsidRPr="00701C13">
        <w:rPr>
          <w:rFonts w:cstheme="minorHAnsi"/>
        </w:rPr>
        <w:t>tos de indicación/uso/retirada.</w:t>
      </w:r>
    </w:p>
    <w:p w14:paraId="33D637A9" w14:textId="77777777" w:rsidR="00317F7E" w:rsidRPr="00701C13" w:rsidRDefault="00F511C7" w:rsidP="00701C13">
      <w:pPr>
        <w:spacing w:after="120" w:line="276" w:lineRule="auto"/>
        <w:jc w:val="both"/>
        <w:rPr>
          <w:rFonts w:eastAsia="Times New Roman" w:cstheme="minorHAnsi"/>
          <w:lang w:eastAsia="es-ES"/>
        </w:rPr>
      </w:pPr>
      <w:r w:rsidRPr="00701C13">
        <w:rPr>
          <w:rFonts w:cstheme="minorHAnsi"/>
        </w:rPr>
        <w:t>En la</w:t>
      </w:r>
      <w:r w:rsidR="0099485F" w:rsidRPr="00701C13">
        <w:rPr>
          <w:rFonts w:cstheme="minorHAnsi"/>
        </w:rPr>
        <w:t xml:space="preserve"> publicación reciente de indicaciones de los mismos </w:t>
      </w:r>
      <w:r w:rsidRPr="00701C13">
        <w:rPr>
          <w:rFonts w:cstheme="minorHAnsi"/>
        </w:rPr>
        <w:t xml:space="preserve">titulada “Peripheral Neuropathy, a review” (Michelle L. Mauermann, MD; Nathan P. Staff, MD, PhD) se dan las indicaciones </w:t>
      </w:r>
      <w:r w:rsidR="0099485F" w:rsidRPr="00701C13">
        <w:rPr>
          <w:rFonts w:cstheme="minorHAnsi"/>
        </w:rPr>
        <w:t>que concuerda con el empleo que se le está dando en los diferentes Servicios del HUN</w:t>
      </w:r>
      <w:r w:rsidR="00C247A8" w:rsidRPr="00701C13">
        <w:rPr>
          <w:rFonts w:eastAsia="Times New Roman" w:cstheme="minorHAnsi"/>
          <w:lang w:eastAsia="es-ES"/>
        </w:rPr>
        <w:t>.</w:t>
      </w:r>
    </w:p>
    <w:p w14:paraId="0183249C" w14:textId="41DAC8B7" w:rsidR="00F11182" w:rsidRPr="00701C13" w:rsidRDefault="00F0576A" w:rsidP="00701C13">
      <w:pPr>
        <w:spacing w:after="120" w:line="276" w:lineRule="auto"/>
        <w:jc w:val="both"/>
        <w:rPr>
          <w:rFonts w:eastAsia="Times New Roman" w:cstheme="minorHAnsi"/>
          <w:lang w:eastAsia="es-ES"/>
        </w:rPr>
      </w:pPr>
      <w:r w:rsidRPr="00701C13">
        <w:rPr>
          <w:rFonts w:eastAsia="Times New Roman" w:cstheme="minorHAnsi"/>
          <w:b/>
          <w:lang w:eastAsia="es-ES"/>
        </w:rPr>
        <w:t>Respecto a</w:t>
      </w:r>
      <w:r w:rsidR="00701C13">
        <w:rPr>
          <w:rFonts w:eastAsia="Times New Roman" w:cstheme="minorHAnsi"/>
          <w:b/>
          <w:lang w:eastAsia="es-ES"/>
        </w:rPr>
        <w:t xml:space="preserve"> </w:t>
      </w:r>
      <w:r w:rsidRPr="00701C13">
        <w:rPr>
          <w:rFonts w:eastAsia="Times New Roman" w:cstheme="minorHAnsi"/>
          <w:b/>
          <w:lang w:eastAsia="es-ES"/>
        </w:rPr>
        <w:t>este punto de la pregunta “¿se ha generado notificaciones a los profesionales o expedientes disciplinarios y a cuántos profesionales de medicina cada año?”</w:t>
      </w:r>
      <w:r w:rsidR="004705AC">
        <w:rPr>
          <w:rFonts w:eastAsia="Times New Roman" w:cstheme="minorHAnsi"/>
          <w:b/>
          <w:lang w:eastAsia="es-ES"/>
        </w:rPr>
        <w:t>:</w:t>
      </w:r>
    </w:p>
    <w:p w14:paraId="1F201425" w14:textId="77777777" w:rsidR="00F0576A" w:rsidRPr="00701C13" w:rsidRDefault="00F0576A" w:rsidP="00701C13">
      <w:pPr>
        <w:spacing w:after="120" w:line="276" w:lineRule="auto"/>
        <w:jc w:val="both"/>
        <w:rPr>
          <w:rFonts w:cstheme="minorHAnsi"/>
        </w:rPr>
      </w:pPr>
      <w:r w:rsidRPr="00701C13">
        <w:rPr>
          <w:rFonts w:cstheme="minorHAnsi"/>
        </w:rPr>
        <w:t>La Gerencia de Salud Mental responde:</w:t>
      </w:r>
    </w:p>
    <w:p w14:paraId="2CB18E02" w14:textId="77777777" w:rsidR="00F0576A" w:rsidRPr="00701C13" w:rsidRDefault="00F0576A" w:rsidP="00701C13">
      <w:pPr>
        <w:pStyle w:val="Prrafodelista"/>
        <w:numPr>
          <w:ilvl w:val="0"/>
          <w:numId w:val="3"/>
        </w:numPr>
        <w:spacing w:after="120" w:line="276" w:lineRule="auto"/>
        <w:jc w:val="both"/>
        <w:rPr>
          <w:rFonts w:eastAsia="Times New Roman" w:cstheme="minorHAnsi"/>
          <w:lang w:eastAsia="es-ES"/>
        </w:rPr>
      </w:pPr>
      <w:r w:rsidRPr="00701C13">
        <w:rPr>
          <w:rFonts w:cstheme="minorHAnsi"/>
        </w:rPr>
        <w:t>No se ha tramitado ningún expediente disciplinario a ningún facultativo por la dispensación de gabapentinoides (Lyrica).</w:t>
      </w:r>
    </w:p>
    <w:p w14:paraId="32A1BB68" w14:textId="77777777" w:rsidR="00F0576A" w:rsidRPr="00701C13" w:rsidRDefault="008B2F77" w:rsidP="00701C13">
      <w:pPr>
        <w:spacing w:after="120" w:line="276" w:lineRule="auto"/>
        <w:jc w:val="both"/>
        <w:rPr>
          <w:rFonts w:cstheme="minorHAnsi"/>
        </w:rPr>
      </w:pPr>
      <w:r w:rsidRPr="00701C13">
        <w:rPr>
          <w:rFonts w:cstheme="minorHAnsi"/>
        </w:rPr>
        <w:t>La Gerencia del Área de Salud de Estella responde:</w:t>
      </w:r>
    </w:p>
    <w:p w14:paraId="019F4A5B" w14:textId="77777777" w:rsidR="00A17570" w:rsidRPr="00701C13" w:rsidRDefault="008B2F77" w:rsidP="00701C13">
      <w:pPr>
        <w:pStyle w:val="Prrafodelista"/>
        <w:numPr>
          <w:ilvl w:val="0"/>
          <w:numId w:val="3"/>
        </w:numPr>
        <w:spacing w:after="120" w:line="276" w:lineRule="auto"/>
        <w:jc w:val="both"/>
        <w:rPr>
          <w:rFonts w:eastAsia="Times New Roman" w:cstheme="minorHAnsi"/>
          <w:lang w:eastAsia="es-ES"/>
        </w:rPr>
      </w:pPr>
      <w:r w:rsidRPr="00701C13">
        <w:rPr>
          <w:rFonts w:cstheme="minorHAnsi"/>
        </w:rPr>
        <w:t>Se</w:t>
      </w:r>
      <w:r w:rsidR="00A17570" w:rsidRPr="00701C13">
        <w:rPr>
          <w:rFonts w:cstheme="minorHAnsi"/>
        </w:rPr>
        <w:t xml:space="preserve"> hacen notificaciones individuales cuando hacemos una revisión del tratamiento de un paciente concreto y detectamos que se está utilizando fuera de las indicaciones autorizadas, pero no tenemos manera de cuantificar estas notificaciones. No se ha hecho ninguna estrategia global en este sentido.</w:t>
      </w:r>
    </w:p>
    <w:p w14:paraId="730B574A" w14:textId="77777777" w:rsidR="000F5889" w:rsidRPr="00701C13" w:rsidRDefault="000F5889" w:rsidP="00701C13">
      <w:pPr>
        <w:spacing w:after="120" w:line="276" w:lineRule="auto"/>
        <w:jc w:val="both"/>
        <w:rPr>
          <w:rFonts w:eastAsia="Times New Roman" w:cstheme="minorHAnsi"/>
          <w:b/>
          <w:lang w:eastAsia="es-ES"/>
        </w:rPr>
      </w:pPr>
      <w:r w:rsidRPr="00701C13">
        <w:rPr>
          <w:rFonts w:eastAsia="Times New Roman" w:cstheme="minorHAnsi"/>
          <w:b/>
          <w:lang w:eastAsia="es-ES"/>
        </w:rPr>
        <w:t>¿Cuántas personas han participado en procesos de desprescripción y deshabituación de los gabapentinoides (Lyrica…) en Navarra desde el año 2022?</w:t>
      </w:r>
    </w:p>
    <w:p w14:paraId="1520995D" w14:textId="77777777" w:rsidR="00A62E8D" w:rsidRPr="00701C13" w:rsidRDefault="00A62E8D" w:rsidP="00701C13">
      <w:pPr>
        <w:spacing w:after="120" w:line="276" w:lineRule="auto"/>
        <w:jc w:val="both"/>
        <w:rPr>
          <w:rFonts w:eastAsia="Times New Roman" w:cstheme="minorHAnsi"/>
          <w:lang w:eastAsia="es-ES"/>
        </w:rPr>
      </w:pPr>
      <w:r w:rsidRPr="00701C13">
        <w:rPr>
          <w:rFonts w:cstheme="minorHAnsi"/>
        </w:rPr>
        <w:t>No disponemos del dato. Cuando se haya realizado, habrá sido dentro la práctica clínica habitual de los médicos.</w:t>
      </w:r>
    </w:p>
    <w:p w14:paraId="35A2FE1A" w14:textId="77777777" w:rsidR="00C869B7" w:rsidRPr="00701C13" w:rsidRDefault="000F5889" w:rsidP="00701C13">
      <w:pPr>
        <w:spacing w:after="120" w:line="276" w:lineRule="auto"/>
        <w:jc w:val="both"/>
        <w:rPr>
          <w:rFonts w:eastAsia="Times New Roman" w:cstheme="minorHAnsi"/>
          <w:b/>
          <w:lang w:eastAsia="es-ES"/>
        </w:rPr>
      </w:pPr>
      <w:r w:rsidRPr="00701C13">
        <w:rPr>
          <w:rFonts w:eastAsia="Times New Roman" w:cstheme="minorHAnsi"/>
          <w:b/>
          <w:lang w:eastAsia="es-ES"/>
        </w:rPr>
        <w:lastRenderedPageBreak/>
        <w:t>¿Entre la población migrante de niños y adolescentes no acompañados las organizaciones sociales han detectado un consumo importante de gabapentinoides (Lyrica…), se ha elaborado algún programa para poder deshabituar a estas personas de su consumo (adición)?</w:t>
      </w:r>
    </w:p>
    <w:p w14:paraId="48FAED02" w14:textId="77777777" w:rsidR="00A62E8D" w:rsidRPr="00701C13" w:rsidRDefault="004A34DD" w:rsidP="00701C13">
      <w:pPr>
        <w:spacing w:after="120" w:line="276" w:lineRule="auto"/>
        <w:jc w:val="both"/>
        <w:rPr>
          <w:rFonts w:eastAsia="Times New Roman" w:cstheme="minorHAnsi"/>
          <w:lang w:eastAsia="es-ES"/>
        </w:rPr>
      </w:pPr>
      <w:r w:rsidRPr="00701C13">
        <w:rPr>
          <w:rFonts w:eastAsia="Times New Roman" w:cstheme="minorHAnsi"/>
          <w:lang w:eastAsia="es-ES"/>
        </w:rPr>
        <w:t xml:space="preserve">Desde Salud mental se </w:t>
      </w:r>
      <w:r w:rsidR="00686B5F" w:rsidRPr="00701C13">
        <w:rPr>
          <w:rFonts w:eastAsia="Times New Roman" w:cstheme="minorHAnsi"/>
          <w:lang w:eastAsia="es-ES"/>
        </w:rPr>
        <w:t>i</w:t>
      </w:r>
      <w:r w:rsidR="00CC6F01" w:rsidRPr="00701C13">
        <w:rPr>
          <w:rFonts w:eastAsia="Times New Roman" w:cstheme="minorHAnsi"/>
          <w:lang w:eastAsia="es-ES"/>
        </w:rPr>
        <w:t>nforma lo siguiente:</w:t>
      </w:r>
    </w:p>
    <w:p w14:paraId="5D633D17" w14:textId="209E4660" w:rsidR="00A62E8D"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No se dispone de ningún programa específico para abordar este tema más allá del control de la prescripción por la receta electrónica, la prescripción acotada en tiempo y en la menor dosis disponible, tarea de todos los profesionales prescriptores</w:t>
      </w:r>
      <w:r w:rsidR="00EB6626">
        <w:rPr>
          <w:rFonts w:eastAsia="Times New Roman" w:cstheme="minorHAnsi"/>
          <w:lang w:eastAsia="es-ES"/>
        </w:rPr>
        <w:t>.</w:t>
      </w:r>
    </w:p>
    <w:p w14:paraId="432B939E" w14:textId="77777777" w:rsidR="00A62E8D"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Efectivamente el mal uso y abuso de la Lyrica (y del Rivotril) entre la población es una realidad que cada vez está aumentando y generando mayores problemas tanto a la población que la consume como a los profesionales que la prescriben (presión para su prescripción, intimidaci</w:t>
      </w:r>
      <w:r w:rsidR="00317F7E" w:rsidRPr="00701C13">
        <w:rPr>
          <w:rFonts w:eastAsia="Times New Roman" w:cstheme="minorHAnsi"/>
          <w:lang w:eastAsia="es-ES"/>
        </w:rPr>
        <w:t>ón, episodios de agresividad</w:t>
      </w:r>
      <w:r w:rsidR="00A62E8D" w:rsidRPr="00701C13">
        <w:rPr>
          <w:rFonts w:eastAsia="Times New Roman" w:cstheme="minorHAnsi"/>
          <w:lang w:eastAsia="es-ES"/>
        </w:rPr>
        <w:t>…).</w:t>
      </w:r>
    </w:p>
    <w:p w14:paraId="79CADC54" w14:textId="77777777" w:rsidR="00A62E8D" w:rsidRPr="00701C13" w:rsidRDefault="00B107FB" w:rsidP="00701C13">
      <w:pPr>
        <w:spacing w:after="120" w:line="276" w:lineRule="auto"/>
        <w:jc w:val="both"/>
        <w:rPr>
          <w:rFonts w:eastAsia="Times New Roman" w:cstheme="minorHAnsi"/>
          <w:lang w:eastAsia="es-ES"/>
        </w:rPr>
      </w:pPr>
      <w:r w:rsidRPr="00701C13">
        <w:rPr>
          <w:rFonts w:eastAsia="Times New Roman" w:cstheme="minorHAnsi"/>
          <w:lang w:eastAsia="es-ES"/>
        </w:rPr>
        <w:t>El uso de pregabalina (</w:t>
      </w:r>
      <w:r w:rsidR="005B7671" w:rsidRPr="00701C13">
        <w:rPr>
          <w:rFonts w:eastAsia="Times New Roman" w:cstheme="minorHAnsi"/>
          <w:lang w:eastAsia="es-ES"/>
        </w:rPr>
        <w:t xml:space="preserve">Lyrica) </w:t>
      </w:r>
      <w:r w:rsidR="00540A06" w:rsidRPr="00701C13">
        <w:rPr>
          <w:rFonts w:eastAsia="Times New Roman" w:cstheme="minorHAnsi"/>
          <w:lang w:eastAsia="es-ES"/>
        </w:rPr>
        <w:t>en la</w:t>
      </w:r>
      <w:r w:rsidR="005B7671" w:rsidRPr="00701C13">
        <w:rPr>
          <w:rFonts w:eastAsia="Times New Roman" w:cstheme="minorHAnsi"/>
          <w:lang w:eastAsia="es-ES"/>
        </w:rPr>
        <w:t xml:space="preserve"> alteración de comportamiento en adolescentes en </w:t>
      </w:r>
      <w:r w:rsidR="00540A06" w:rsidRPr="00701C13">
        <w:rPr>
          <w:rFonts w:eastAsia="Times New Roman" w:cstheme="minorHAnsi"/>
          <w:lang w:eastAsia="es-ES"/>
        </w:rPr>
        <w:t>SM se</w:t>
      </w:r>
      <w:r w:rsidR="005B7671" w:rsidRPr="00701C13">
        <w:rPr>
          <w:rFonts w:eastAsia="Times New Roman" w:cstheme="minorHAnsi"/>
          <w:lang w:eastAsia="es-ES"/>
        </w:rPr>
        <w:t xml:space="preserve"> basa en una indicación aprobada para control de la ansiedad </w:t>
      </w:r>
      <w:r w:rsidR="00540A06" w:rsidRPr="00701C13">
        <w:rPr>
          <w:rFonts w:eastAsia="Times New Roman" w:cstheme="minorHAnsi"/>
          <w:lang w:eastAsia="es-ES"/>
        </w:rPr>
        <w:t>generalizada y</w:t>
      </w:r>
      <w:r w:rsidR="005B7671" w:rsidRPr="00701C13">
        <w:rPr>
          <w:rFonts w:eastAsia="Times New Roman" w:cstheme="minorHAnsi"/>
          <w:lang w:eastAsia="es-ES"/>
        </w:rPr>
        <w:t xml:space="preserve"> de las alteraciones conductuales, evitando el abuso y depen</w:t>
      </w:r>
      <w:r w:rsidR="00540A06" w:rsidRPr="00701C13">
        <w:rPr>
          <w:rFonts w:eastAsia="Times New Roman" w:cstheme="minorHAnsi"/>
          <w:lang w:eastAsia="es-ES"/>
        </w:rPr>
        <w:t xml:space="preserve">dencia de las benzodiacepinas. </w:t>
      </w:r>
      <w:r w:rsidR="005B7671" w:rsidRPr="00701C13">
        <w:rPr>
          <w:rFonts w:eastAsia="Times New Roman" w:cstheme="minorHAnsi"/>
          <w:lang w:eastAsia="es-ES"/>
        </w:rPr>
        <w:t>Sin embargo, ha generado, un uso también errático. El tráfico con este fármaco en la calle es muy elevado y también</w:t>
      </w:r>
      <w:r w:rsidR="00A62E8D" w:rsidRPr="00701C13">
        <w:rPr>
          <w:rFonts w:eastAsia="Times New Roman" w:cstheme="minorHAnsi"/>
          <w:lang w:eastAsia="es-ES"/>
        </w:rPr>
        <w:t xml:space="preserve"> lo es en la población reclusa.</w:t>
      </w:r>
    </w:p>
    <w:p w14:paraId="76736ABD" w14:textId="77777777" w:rsidR="00A62E8D"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Lo cierto es que no hay alternativas farmacológicas aprobadas en menores que sean más seguras y no generen dependencia (y tráfico). Por otro lado, el uso de estos fármacos debe ser secundario a intervenciones de otra índole de tipo conductual y educativo en el medio natural de las personas y en el caso que se nos plantea e</w:t>
      </w:r>
      <w:r w:rsidR="00A62E8D" w:rsidRPr="00701C13">
        <w:rPr>
          <w:rFonts w:eastAsia="Times New Roman" w:cstheme="minorHAnsi"/>
          <w:lang w:eastAsia="es-ES"/>
        </w:rPr>
        <w:t>s la intervención más adecuada.</w:t>
      </w:r>
    </w:p>
    <w:p w14:paraId="44D2C7FA" w14:textId="77777777" w:rsidR="00A62E8D"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 xml:space="preserve">Es indiscutible que las medidas de prevención y promoción de la salud son la primera línea de intervención, además del control en la </w:t>
      </w:r>
      <w:r w:rsidR="00A62E8D" w:rsidRPr="00701C13">
        <w:rPr>
          <w:rFonts w:eastAsia="Times New Roman" w:cstheme="minorHAnsi"/>
          <w:lang w:eastAsia="es-ES"/>
        </w:rPr>
        <w:t>accesibilidad a estos fármacos.</w:t>
      </w:r>
    </w:p>
    <w:p w14:paraId="654E8A46" w14:textId="77777777" w:rsidR="00A62E8D"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Existe un circuito definido para el abordaje general de sustancias que implica una intervención por niveles en función de la gravedad del consumo. De esta forma sería en primer lugar la atención primaria quien tendría que evaluar la situación clínica y la gravedad, así como la repercusión funcional. En la actualidad disponen de psicología para poder hacer una valoración más específica. Cuando existe una mayor gravedad de consumo, hay patología psiquiátrica añadida, la indicación es la derivación a los Centros de Salud Mental (CSM). El CSM debe evaluar e intervenir en ese nivel más básico. Se cuenta con la posibilidad de derivación al programa Suspertu de Proyecto Hombre con el que existe un concierto para plaza</w:t>
      </w:r>
      <w:r w:rsidR="00A62E8D" w:rsidRPr="00701C13">
        <w:rPr>
          <w:rFonts w:eastAsia="Times New Roman" w:cstheme="minorHAnsi"/>
          <w:lang w:eastAsia="es-ES"/>
        </w:rPr>
        <w:t>s destinadas a población menor.</w:t>
      </w:r>
    </w:p>
    <w:p w14:paraId="111B9213" w14:textId="77777777" w:rsidR="005B7671" w:rsidRPr="00701C13" w:rsidRDefault="005B7671" w:rsidP="00701C13">
      <w:pPr>
        <w:spacing w:after="120" w:line="276" w:lineRule="auto"/>
        <w:jc w:val="both"/>
        <w:rPr>
          <w:rFonts w:eastAsia="Times New Roman" w:cstheme="minorHAnsi"/>
          <w:lang w:eastAsia="es-ES"/>
        </w:rPr>
      </w:pPr>
      <w:r w:rsidRPr="00701C13">
        <w:rPr>
          <w:rFonts w:eastAsia="Times New Roman" w:cstheme="minorHAnsi"/>
          <w:lang w:eastAsia="es-ES"/>
        </w:rPr>
        <w:t>Cuando las complicaciones son mayores y de forma concomitante presentan comorbilidad con trastornos mentales, se precisan recursos de hospitalización parcial (HD Zuria) y las Unidades de Agudos de ingr</w:t>
      </w:r>
      <w:r w:rsidR="00A62E8D" w:rsidRPr="00701C13">
        <w:rPr>
          <w:rFonts w:eastAsia="Times New Roman" w:cstheme="minorHAnsi"/>
          <w:lang w:eastAsia="es-ES"/>
        </w:rPr>
        <w:t>eso total en el caso más grave.</w:t>
      </w:r>
    </w:p>
    <w:p w14:paraId="75749EDB" w14:textId="77777777" w:rsidR="0092301F" w:rsidRPr="00701C13" w:rsidRDefault="0092301F" w:rsidP="00701C13">
      <w:pPr>
        <w:spacing w:after="120" w:line="276" w:lineRule="auto"/>
        <w:jc w:val="both"/>
        <w:rPr>
          <w:rFonts w:eastAsia="Times New Roman" w:cstheme="minorHAnsi"/>
          <w:lang w:eastAsia="es-ES"/>
        </w:rPr>
      </w:pPr>
      <w:r w:rsidRPr="00701C13">
        <w:rPr>
          <w:rFonts w:eastAsia="Times New Roman" w:cstheme="minorHAnsi"/>
          <w:lang w:eastAsia="es-ES"/>
        </w:rPr>
        <w:t xml:space="preserve">Es cuanto informo en cumplimiento de lo dispuesto en el artículo </w:t>
      </w:r>
      <w:r w:rsidR="003B6B6C" w:rsidRPr="00701C13">
        <w:rPr>
          <w:rFonts w:eastAsia="Times New Roman" w:cstheme="minorHAnsi"/>
          <w:lang w:eastAsia="es-ES"/>
        </w:rPr>
        <w:t>2</w:t>
      </w:r>
      <w:r w:rsidRPr="00701C13">
        <w:rPr>
          <w:rFonts w:eastAsia="Times New Roman" w:cstheme="minorHAnsi"/>
          <w:lang w:eastAsia="es-ES"/>
        </w:rPr>
        <w:t>15 del Reglamento del Parlamento de Navarra.</w:t>
      </w:r>
    </w:p>
    <w:p w14:paraId="7AA38A3D" w14:textId="77777777" w:rsidR="0092301F" w:rsidRPr="00701C13" w:rsidRDefault="0092301F" w:rsidP="00701C13">
      <w:pPr>
        <w:spacing w:after="120" w:line="276" w:lineRule="auto"/>
        <w:jc w:val="both"/>
        <w:rPr>
          <w:rFonts w:eastAsia="Times New Roman" w:cstheme="minorHAnsi"/>
          <w:lang w:eastAsia="es-ES"/>
        </w:rPr>
      </w:pPr>
      <w:r w:rsidRPr="00701C13">
        <w:rPr>
          <w:rFonts w:eastAsia="Times New Roman" w:cstheme="minorHAnsi"/>
          <w:lang w:eastAsia="es-ES"/>
        </w:rPr>
        <w:t xml:space="preserve">Pamplona-Iruñea, </w:t>
      </w:r>
      <w:r w:rsidR="008C76F7" w:rsidRPr="00701C13">
        <w:rPr>
          <w:rFonts w:eastAsia="Times New Roman" w:cstheme="minorHAnsi"/>
          <w:lang w:eastAsia="es-ES"/>
        </w:rPr>
        <w:t>23</w:t>
      </w:r>
      <w:r w:rsidRPr="00701C13">
        <w:rPr>
          <w:rFonts w:eastAsia="Times New Roman" w:cstheme="minorHAnsi"/>
          <w:lang w:eastAsia="es-ES"/>
        </w:rPr>
        <w:t xml:space="preserve"> de </w:t>
      </w:r>
      <w:r w:rsidR="005B7671" w:rsidRPr="00701C13">
        <w:rPr>
          <w:rFonts w:eastAsia="Times New Roman" w:cstheme="minorHAnsi"/>
          <w:lang w:eastAsia="es-ES"/>
        </w:rPr>
        <w:t>noviembre</w:t>
      </w:r>
      <w:r w:rsidRPr="00701C13">
        <w:rPr>
          <w:rFonts w:eastAsia="Times New Roman" w:cstheme="minorHAnsi"/>
          <w:lang w:eastAsia="es-ES"/>
        </w:rPr>
        <w:t xml:space="preserve"> de 2025</w:t>
      </w:r>
    </w:p>
    <w:p w14:paraId="04091B03" w14:textId="7E0E57B7" w:rsidR="0092301F" w:rsidRPr="00701C13" w:rsidRDefault="00701C13" w:rsidP="00701C13">
      <w:pPr>
        <w:spacing w:after="120" w:line="276" w:lineRule="auto"/>
        <w:jc w:val="both"/>
        <w:rPr>
          <w:rFonts w:eastAsia="Times New Roman" w:cstheme="minorHAnsi"/>
          <w:lang w:eastAsia="es-ES"/>
        </w:rPr>
      </w:pPr>
      <w:r w:rsidRPr="00701C13">
        <w:rPr>
          <w:rFonts w:eastAsia="Times New Roman" w:cstheme="minorHAnsi"/>
          <w:lang w:eastAsia="es-ES"/>
        </w:rPr>
        <w:t>El Consejero de Salud</w:t>
      </w:r>
      <w:r>
        <w:rPr>
          <w:rFonts w:eastAsia="Times New Roman" w:cstheme="minorHAnsi"/>
          <w:lang w:eastAsia="es-ES"/>
        </w:rPr>
        <w:t xml:space="preserve">: </w:t>
      </w:r>
      <w:r w:rsidRPr="00701C13">
        <w:rPr>
          <w:rFonts w:eastAsia="Times New Roman" w:cstheme="minorHAnsi"/>
          <w:lang w:eastAsia="es-ES"/>
        </w:rPr>
        <w:t>Fernando Domínguez Cunchillos</w:t>
      </w:r>
    </w:p>
    <w:sectPr w:rsidR="0092301F" w:rsidRPr="00701C13" w:rsidSect="00701C13">
      <w:pgSz w:w="11906" w:h="16838"/>
      <w:pgMar w:top="1276"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677C5" w14:textId="77777777" w:rsidR="00473953" w:rsidRDefault="00473953" w:rsidP="000C2FFD">
      <w:pPr>
        <w:spacing w:after="0" w:line="240" w:lineRule="auto"/>
      </w:pPr>
      <w:r>
        <w:separator/>
      </w:r>
    </w:p>
  </w:endnote>
  <w:endnote w:type="continuationSeparator" w:id="0">
    <w:p w14:paraId="0A7C0991" w14:textId="77777777" w:rsidR="00473953" w:rsidRDefault="00473953" w:rsidP="000C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erif">
    <w:altName w:val="Sylfaen"/>
    <w:charset w:val="00"/>
    <w:family w:val="roman"/>
    <w:pitch w:val="variable"/>
    <w:sig w:usb0="E50006FF" w:usb1="5200F9FB" w:usb2="0A040020" w:usb3="00000000" w:csb0="0000009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D84A" w14:textId="77777777" w:rsidR="00473953" w:rsidRDefault="00473953" w:rsidP="000C2FFD">
      <w:pPr>
        <w:spacing w:after="0" w:line="240" w:lineRule="auto"/>
      </w:pPr>
      <w:r>
        <w:separator/>
      </w:r>
    </w:p>
  </w:footnote>
  <w:footnote w:type="continuationSeparator" w:id="0">
    <w:p w14:paraId="55223903" w14:textId="77777777" w:rsidR="00473953" w:rsidRDefault="00473953" w:rsidP="000C2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D7E4C"/>
    <w:multiLevelType w:val="hybridMultilevel"/>
    <w:tmpl w:val="F01261C0"/>
    <w:lvl w:ilvl="0" w:tplc="0C0A0003">
      <w:start w:val="1"/>
      <w:numFmt w:val="bullet"/>
      <w:lvlText w:val="o"/>
      <w:lvlJc w:val="left"/>
      <w:pPr>
        <w:ind w:left="795" w:hanging="360"/>
      </w:pPr>
      <w:rPr>
        <w:rFonts w:ascii="Courier New" w:hAnsi="Courier New" w:cs="Courier New"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 w15:restartNumberingAfterBreak="0">
    <w:nsid w:val="3A840806"/>
    <w:multiLevelType w:val="hybridMultilevel"/>
    <w:tmpl w:val="3746D080"/>
    <w:lvl w:ilvl="0" w:tplc="EEBE72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CC53DA9"/>
    <w:multiLevelType w:val="hybridMultilevel"/>
    <w:tmpl w:val="81DEAE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6CC1052E"/>
    <w:multiLevelType w:val="hybridMultilevel"/>
    <w:tmpl w:val="C4686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DC5"/>
    <w:rsid w:val="000430CF"/>
    <w:rsid w:val="00082FD4"/>
    <w:rsid w:val="000C2FFD"/>
    <w:rsid w:val="000F5889"/>
    <w:rsid w:val="00150810"/>
    <w:rsid w:val="00161DC5"/>
    <w:rsid w:val="00173BDA"/>
    <w:rsid w:val="00202E7B"/>
    <w:rsid w:val="002C7C15"/>
    <w:rsid w:val="00317F7E"/>
    <w:rsid w:val="00364857"/>
    <w:rsid w:val="00364B69"/>
    <w:rsid w:val="003B6B6C"/>
    <w:rsid w:val="003D738F"/>
    <w:rsid w:val="004705AC"/>
    <w:rsid w:val="00473953"/>
    <w:rsid w:val="004A34DD"/>
    <w:rsid w:val="004A5CC7"/>
    <w:rsid w:val="00540A06"/>
    <w:rsid w:val="005600CC"/>
    <w:rsid w:val="005B7671"/>
    <w:rsid w:val="00632ACC"/>
    <w:rsid w:val="00643912"/>
    <w:rsid w:val="006700D2"/>
    <w:rsid w:val="00686B5F"/>
    <w:rsid w:val="00701C13"/>
    <w:rsid w:val="00725555"/>
    <w:rsid w:val="0087216E"/>
    <w:rsid w:val="008B2F77"/>
    <w:rsid w:val="008C76F7"/>
    <w:rsid w:val="0092301F"/>
    <w:rsid w:val="00936E87"/>
    <w:rsid w:val="0099485F"/>
    <w:rsid w:val="00A17570"/>
    <w:rsid w:val="00A62E8D"/>
    <w:rsid w:val="00B107FB"/>
    <w:rsid w:val="00B46764"/>
    <w:rsid w:val="00B57B07"/>
    <w:rsid w:val="00BA1A29"/>
    <w:rsid w:val="00C247A8"/>
    <w:rsid w:val="00C869B7"/>
    <w:rsid w:val="00C90037"/>
    <w:rsid w:val="00CC6F01"/>
    <w:rsid w:val="00CF2077"/>
    <w:rsid w:val="00E2302B"/>
    <w:rsid w:val="00EB6626"/>
    <w:rsid w:val="00F0576A"/>
    <w:rsid w:val="00F11182"/>
    <w:rsid w:val="00F511C7"/>
    <w:rsid w:val="00F526D7"/>
    <w:rsid w:val="00F67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0561343"/>
  <w15:chartTrackingRefBased/>
  <w15:docId w15:val="{B55D9289-2848-48CA-8EA8-43CDD1B7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936E87"/>
    <w:rPr>
      <w:color w:val="0000FF"/>
      <w:u w:val="single"/>
    </w:rPr>
  </w:style>
  <w:style w:type="paragraph" w:styleId="Encabezado">
    <w:name w:val="header"/>
    <w:basedOn w:val="Normal"/>
    <w:link w:val="EncabezadoCar"/>
    <w:uiPriority w:val="99"/>
    <w:unhideWhenUsed/>
    <w:rsid w:val="000C2F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2FFD"/>
    <w:rPr>
      <w:lang w:val="es-ES_tradnl"/>
    </w:rPr>
  </w:style>
  <w:style w:type="paragraph" w:styleId="Piedepgina">
    <w:name w:val="footer"/>
    <w:basedOn w:val="Normal"/>
    <w:link w:val="PiedepginaCar"/>
    <w:uiPriority w:val="99"/>
    <w:unhideWhenUsed/>
    <w:rsid w:val="000C2F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2FFD"/>
    <w:rPr>
      <w:lang w:val="es-ES_tradnl"/>
    </w:rPr>
  </w:style>
  <w:style w:type="paragraph" w:styleId="Prrafodelista">
    <w:name w:val="List Paragraph"/>
    <w:basedOn w:val="Normal"/>
    <w:uiPriority w:val="34"/>
    <w:qFormat/>
    <w:rsid w:val="00364B69"/>
    <w:pPr>
      <w:ind w:left="720"/>
      <w:contextualSpacing/>
    </w:pPr>
  </w:style>
  <w:style w:type="paragraph" w:customStyle="1" w:styleId="Default">
    <w:name w:val="Default"/>
    <w:rsid w:val="0099485F"/>
    <w:pPr>
      <w:autoSpaceDE w:val="0"/>
      <w:autoSpaceDN w:val="0"/>
      <w:adjustRightInd w:val="0"/>
      <w:spacing w:after="0" w:line="240" w:lineRule="auto"/>
    </w:pPr>
    <w:rPr>
      <w:rFonts w:ascii="DejaVu Serif" w:hAnsi="DejaVu Serif" w:cs="DejaVu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756443">
      <w:bodyDiv w:val="1"/>
      <w:marLeft w:val="0"/>
      <w:marRight w:val="0"/>
      <w:marTop w:val="0"/>
      <w:marBottom w:val="0"/>
      <w:divBdr>
        <w:top w:val="none" w:sz="0" w:space="0" w:color="auto"/>
        <w:left w:val="none" w:sz="0" w:space="0" w:color="auto"/>
        <w:bottom w:val="none" w:sz="0" w:space="0" w:color="auto"/>
        <w:right w:val="none" w:sz="0" w:space="0" w:color="auto"/>
      </w:divBdr>
    </w:div>
    <w:div w:id="383021380">
      <w:bodyDiv w:val="1"/>
      <w:marLeft w:val="0"/>
      <w:marRight w:val="0"/>
      <w:marTop w:val="0"/>
      <w:marBottom w:val="0"/>
      <w:divBdr>
        <w:top w:val="none" w:sz="0" w:space="0" w:color="auto"/>
        <w:left w:val="none" w:sz="0" w:space="0" w:color="auto"/>
        <w:bottom w:val="none" w:sz="0" w:space="0" w:color="auto"/>
        <w:right w:val="none" w:sz="0" w:space="0" w:color="auto"/>
      </w:divBdr>
    </w:div>
    <w:div w:id="398215612">
      <w:bodyDiv w:val="1"/>
      <w:marLeft w:val="0"/>
      <w:marRight w:val="0"/>
      <w:marTop w:val="0"/>
      <w:marBottom w:val="0"/>
      <w:divBdr>
        <w:top w:val="none" w:sz="0" w:space="0" w:color="auto"/>
        <w:left w:val="none" w:sz="0" w:space="0" w:color="auto"/>
        <w:bottom w:val="none" w:sz="0" w:space="0" w:color="auto"/>
        <w:right w:val="none" w:sz="0" w:space="0" w:color="auto"/>
      </w:divBdr>
    </w:div>
    <w:div w:id="1030298471">
      <w:bodyDiv w:val="1"/>
      <w:marLeft w:val="0"/>
      <w:marRight w:val="0"/>
      <w:marTop w:val="0"/>
      <w:marBottom w:val="0"/>
      <w:divBdr>
        <w:top w:val="none" w:sz="0" w:space="0" w:color="auto"/>
        <w:left w:val="none" w:sz="0" w:space="0" w:color="auto"/>
        <w:bottom w:val="none" w:sz="0" w:space="0" w:color="auto"/>
        <w:right w:val="none" w:sz="0" w:space="0" w:color="auto"/>
      </w:divBdr>
    </w:div>
    <w:div w:id="1298299706">
      <w:bodyDiv w:val="1"/>
      <w:marLeft w:val="0"/>
      <w:marRight w:val="0"/>
      <w:marTop w:val="0"/>
      <w:marBottom w:val="0"/>
      <w:divBdr>
        <w:top w:val="none" w:sz="0" w:space="0" w:color="auto"/>
        <w:left w:val="none" w:sz="0" w:space="0" w:color="auto"/>
        <w:bottom w:val="none" w:sz="0" w:space="0" w:color="auto"/>
        <w:right w:val="none" w:sz="0" w:space="0" w:color="auto"/>
      </w:divBdr>
    </w:div>
    <w:div w:id="14704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arra.es/NR/rdonlyres/889229EF-448A-4664-A78F-ED640B16035B/476679/Bit_v29n4.pdf" TargetMode="External"/><Relationship Id="rId5" Type="http://schemas.openxmlformats.org/officeDocument/2006/relationships/webSettings" Target="webSettings.xml"/><Relationship Id="rId10" Type="http://schemas.openxmlformats.org/officeDocument/2006/relationships/hyperlink" Target="https://www.fda.gov/safety/medical-product-safety-information/neurontin-gralise-horizant-gabapentin-and-lyrica-lyrica-cr-pregabalin-drug-safety-communication" TargetMode="External"/><Relationship Id="rId4" Type="http://schemas.openxmlformats.org/officeDocument/2006/relationships/settings" Target="settings.xml"/><Relationship Id="rId9" Type="http://schemas.openxmlformats.org/officeDocument/2006/relationships/hyperlink" Target="https://www.bmj.com/content/369/bmj.m13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673A-3048-4A54-9D7E-10299EE47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4</Pages>
  <Words>1645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X081345</dc:creator>
  <cp:keywords/>
  <dc:description/>
  <cp:lastModifiedBy>Fernández Pérez, Beatriz</cp:lastModifiedBy>
  <cp:revision>17</cp:revision>
  <cp:lastPrinted>2025-11-22T21:24:00Z</cp:lastPrinted>
  <dcterms:created xsi:type="dcterms:W3CDTF">2025-11-13T10:46:00Z</dcterms:created>
  <dcterms:modified xsi:type="dcterms:W3CDTF">2026-01-09T10:49:00Z</dcterms:modified>
</cp:coreProperties>
</file>