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80273" w14:textId="072A908D" w:rsidR="00751AB8" w:rsidRPr="005D783F" w:rsidRDefault="00751AB8" w:rsidP="005D783F">
      <w:pPr>
        <w:autoSpaceDE w:val="0"/>
        <w:autoSpaceDN w:val="0"/>
        <w:adjustRightInd w:val="0"/>
        <w:spacing w:after="120"/>
        <w:jc w:val="both"/>
        <w:rPr>
          <w:rFonts w:cstheme="minorHAnsi"/>
        </w:rPr>
      </w:pPr>
      <w:r w:rsidRPr="005D783F">
        <w:rPr>
          <w:rFonts w:cstheme="minorHAnsi"/>
        </w:rPr>
        <w:t>El Consejero de</w:t>
      </w:r>
      <w:r w:rsidRPr="005D783F">
        <w:rPr>
          <w:rFonts w:cstheme="minorHAnsi"/>
          <w:color w:val="FF0000"/>
        </w:rPr>
        <w:t xml:space="preserve"> </w:t>
      </w:r>
      <w:r w:rsidRPr="005D783F">
        <w:rPr>
          <w:rFonts w:cstheme="minorHAnsi"/>
        </w:rPr>
        <w:t>Cohesión Territorial del Gobierno de Navarra, en relación con la pregunta para su contestación por escrito formulada por el Parlamentario Foral Ilmo.</w:t>
      </w:r>
      <w:r w:rsidR="006B544B" w:rsidRPr="005D783F">
        <w:rPr>
          <w:rFonts w:cstheme="minorHAnsi"/>
        </w:rPr>
        <w:t xml:space="preserve"> </w:t>
      </w:r>
      <w:r w:rsidRPr="005D783F">
        <w:rPr>
          <w:rFonts w:cstheme="minorHAnsi"/>
        </w:rPr>
        <w:t xml:space="preserve">Sr. D. </w:t>
      </w:r>
      <w:r w:rsidR="006B544B" w:rsidRPr="005D783F">
        <w:rPr>
          <w:rFonts w:cstheme="minorHAnsi"/>
        </w:rPr>
        <w:t>Miguel Bujanda Cirauqui</w:t>
      </w:r>
      <w:r w:rsidRPr="005D783F">
        <w:rPr>
          <w:rFonts w:cstheme="minorHAnsi"/>
        </w:rPr>
        <w:t xml:space="preserve">, adscrito al Grupo Parlamentario </w:t>
      </w:r>
      <w:r w:rsidR="006B544B" w:rsidRPr="005D783F">
        <w:rPr>
          <w:rFonts w:cstheme="minorHAnsi"/>
        </w:rPr>
        <w:t>Unión del Pueblo Navarro (UPN)</w:t>
      </w:r>
      <w:r w:rsidRPr="005D783F">
        <w:rPr>
          <w:rFonts w:cstheme="minorHAnsi"/>
        </w:rPr>
        <w:t xml:space="preserve">, sobre </w:t>
      </w:r>
      <w:r w:rsidR="006B544B" w:rsidRPr="005D783F">
        <w:rPr>
          <w:rFonts w:cstheme="minorHAnsi"/>
        </w:rPr>
        <w:t>la ampliación de la 1ª fase del Canal de Navarra</w:t>
      </w:r>
      <w:r w:rsidR="00047EC0" w:rsidRPr="005D783F">
        <w:rPr>
          <w:rFonts w:cstheme="minorHAnsi"/>
        </w:rPr>
        <w:t xml:space="preserve"> (11-25</w:t>
      </w:r>
      <w:r w:rsidRPr="005D783F">
        <w:rPr>
          <w:rFonts w:cstheme="minorHAnsi"/>
        </w:rPr>
        <w:t>/PES-00</w:t>
      </w:r>
      <w:r w:rsidR="00770D69" w:rsidRPr="005D783F">
        <w:rPr>
          <w:rFonts w:cstheme="minorHAnsi"/>
        </w:rPr>
        <w:t>411</w:t>
      </w:r>
      <w:r w:rsidRPr="005D783F">
        <w:rPr>
          <w:rFonts w:cstheme="minorHAnsi"/>
        </w:rPr>
        <w:t>), informa lo siguiente:</w:t>
      </w:r>
    </w:p>
    <w:p w14:paraId="5152EBF0" w14:textId="77777777" w:rsidR="006B544B" w:rsidRPr="005D783F" w:rsidRDefault="006B544B" w:rsidP="005D783F">
      <w:pPr>
        <w:pStyle w:val="Prrafodelista"/>
        <w:numPr>
          <w:ilvl w:val="0"/>
          <w:numId w:val="10"/>
        </w:numPr>
        <w:spacing w:after="120" w:line="276" w:lineRule="auto"/>
        <w:jc w:val="both"/>
        <w:rPr>
          <w:rFonts w:asciiTheme="minorHAnsi" w:hAnsiTheme="minorHAnsi" w:cstheme="minorHAnsi"/>
          <w:b/>
          <w:sz w:val="22"/>
          <w:szCs w:val="22"/>
        </w:rPr>
      </w:pPr>
      <w:r w:rsidRPr="005D783F">
        <w:rPr>
          <w:rFonts w:asciiTheme="minorHAnsi" w:hAnsiTheme="minorHAnsi" w:cstheme="minorHAnsi"/>
          <w:b/>
          <w:sz w:val="22"/>
          <w:szCs w:val="22"/>
        </w:rPr>
        <w:t>¿En qué fecha concreta y mediante qué resolución, informe u oficio asumió el Gobierno de Navarra que los retrasos en la ejecución de la ampliación de la 1ª fase del Canal de Navarra eran imputables a la Administración/Concedente y no al concesionario, tal y como se afirma en la documentación recientemente remitida?</w:t>
      </w:r>
    </w:p>
    <w:p w14:paraId="7532412F" w14:textId="77777777" w:rsidR="006B544B" w:rsidRPr="005D783F" w:rsidRDefault="006B544B" w:rsidP="005D783F">
      <w:pPr>
        <w:pStyle w:val="Prrafodelista"/>
        <w:spacing w:after="120" w:line="276" w:lineRule="auto"/>
        <w:ind w:left="360"/>
        <w:jc w:val="both"/>
        <w:rPr>
          <w:rFonts w:asciiTheme="minorHAnsi" w:hAnsiTheme="minorHAnsi" w:cstheme="minorHAnsi"/>
          <w:b/>
          <w:sz w:val="22"/>
          <w:szCs w:val="22"/>
        </w:rPr>
      </w:pPr>
    </w:p>
    <w:p w14:paraId="23FB909A" w14:textId="77777777" w:rsidR="006B544B" w:rsidRPr="005D783F" w:rsidRDefault="006B544B" w:rsidP="005D783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5D783F">
        <w:rPr>
          <w:rFonts w:asciiTheme="minorHAnsi" w:hAnsiTheme="minorHAnsi" w:cstheme="minorHAnsi"/>
          <w:color w:val="000000" w:themeColor="text1"/>
          <w:sz w:val="22"/>
          <w:szCs w:val="22"/>
        </w:rPr>
        <w:t>Resolución 718/2018, de 29 de mayo, del Director General de Desarrollo Rural, Agricultura y Ganadería del Gobierno de Navarra, por la que se aprueban varios supuestos de reequilibrio económico del contrato de concesión de obras públicas para la construcción y explotación de las infraestructuras de interés general de la Ampliación de la 1ª Fase de la Zona Regable, solicitados con fecha 28 de noviembre de 2016 por la adjudicataria.</w:t>
      </w:r>
    </w:p>
    <w:p w14:paraId="04E72669" w14:textId="77777777" w:rsidR="006B544B" w:rsidRPr="005D783F" w:rsidRDefault="006B544B" w:rsidP="005D783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5D783F">
        <w:rPr>
          <w:rFonts w:asciiTheme="minorHAnsi" w:hAnsiTheme="minorHAnsi" w:cstheme="minorHAnsi"/>
          <w:color w:val="000000" w:themeColor="text1"/>
          <w:sz w:val="22"/>
          <w:szCs w:val="22"/>
        </w:rPr>
        <w:t>Resolución 467/2020, de 2 de julio, del Director General de Obras Públicas e Infraestructuras, por la que se aprueba el reequilibrio nº4 del contrato de concesión de obras públicas para la Construcción y Explotación de las Infraestructuras de Interés General de la Ampliación de la 1ª Fase de la Zona Regable del Canal de Navarra, derivado de la actualización del Anexo X del Pliego de Cláusulas Administrativas Particulares en lo relativo al ramal del Ega (excepto la zona de Ega 1).</w:t>
      </w:r>
    </w:p>
    <w:p w14:paraId="32B9420B" w14:textId="77777777" w:rsidR="006B544B" w:rsidRPr="005D783F" w:rsidRDefault="006B544B" w:rsidP="005D783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5D783F">
        <w:rPr>
          <w:rFonts w:asciiTheme="minorHAnsi" w:hAnsiTheme="minorHAnsi" w:cstheme="minorHAnsi"/>
          <w:color w:val="000000" w:themeColor="text1"/>
          <w:sz w:val="22"/>
          <w:szCs w:val="22"/>
        </w:rPr>
        <w:t xml:space="preserve">Resolución 724/2024, de 9 de septiembre, del Director General de Obras Públicas e Infraestructuras, por la que se aprueba el reequilibrio nº9 del contrato de concesión de obras públicas para la Construcción y Explotación de las Infraestructuras de Interés General de la Ampliación de la 1ª Fase de la Zona Regable del Canal de Navarra, derivado de la actualización del Anexo X del Pliego de Cláusulas Administrativas Particulares en lo relativo al ramal del Ega.  </w:t>
      </w:r>
    </w:p>
    <w:p w14:paraId="082766CF" w14:textId="77777777" w:rsidR="006B544B" w:rsidRPr="005D783F" w:rsidRDefault="006B544B" w:rsidP="005D783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5D783F">
        <w:rPr>
          <w:rFonts w:asciiTheme="minorHAnsi" w:hAnsiTheme="minorHAnsi" w:cstheme="minorHAnsi"/>
          <w:color w:val="000000" w:themeColor="text1"/>
          <w:sz w:val="22"/>
          <w:szCs w:val="22"/>
        </w:rPr>
        <w:t>Resolución 1086/2022, de 16 de noviembre, del Director General de Obras Públicas e Infraestructuras, por la que se aprueba el abono a la Sociedad Concesionaria Aguas de Navarra, S.A. de la cantidad de 4,771.044´16 euros en concepto de los sobrecostos ocasionados en las obras del Sector XXII-Arga 4 del contrato de concesión de concesión de obras públicas para la Construcción y Explotación de las Infraestructuras de Interés General de la Ampliación de la 1ª Fase de la Zona Regable del Canal de Navarra.</w:t>
      </w:r>
    </w:p>
    <w:p w14:paraId="6A9FB943" w14:textId="77777777" w:rsidR="006B544B" w:rsidRPr="005D783F" w:rsidRDefault="006B544B" w:rsidP="005D783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5D783F">
        <w:rPr>
          <w:rFonts w:asciiTheme="minorHAnsi" w:hAnsiTheme="minorHAnsi" w:cstheme="minorHAnsi"/>
          <w:color w:val="000000" w:themeColor="text1"/>
          <w:sz w:val="22"/>
          <w:szCs w:val="22"/>
        </w:rPr>
        <w:t>Resolución 1136/2023, de 28 de noviembre, del Director General de Obras Públicas e Infraestructuras, por la que se aprueba el abono a la Sociedad Concesionaria Aguas de Navarra, S.A. de la cantidad de 5,974.211’89 euros en concepto de los sobrecostos ocasionados en las obras del Sector XXVI-Ega 3 del contrato de concesión de concesión de obras públicas para la Construcción y Explotación de las Infraestructuras de Interés General de la Ampliación de la 1ª Fase de la Zona Regable del Canal de Navarra.</w:t>
      </w:r>
    </w:p>
    <w:p w14:paraId="0C9323AC" w14:textId="77777777" w:rsidR="006B544B" w:rsidRPr="005D783F" w:rsidRDefault="006B544B" w:rsidP="005D783F">
      <w:pPr>
        <w:pStyle w:val="Prrafodelista"/>
        <w:numPr>
          <w:ilvl w:val="0"/>
          <w:numId w:val="9"/>
        </w:numPr>
        <w:spacing w:after="120" w:line="276" w:lineRule="auto"/>
        <w:jc w:val="both"/>
        <w:rPr>
          <w:rFonts w:asciiTheme="minorHAnsi" w:hAnsiTheme="minorHAnsi" w:cstheme="minorHAnsi"/>
          <w:color w:val="000000" w:themeColor="text1"/>
          <w:sz w:val="22"/>
          <w:szCs w:val="22"/>
        </w:rPr>
      </w:pPr>
      <w:r w:rsidRPr="005D783F">
        <w:rPr>
          <w:rFonts w:asciiTheme="minorHAnsi" w:hAnsiTheme="minorHAnsi" w:cstheme="minorHAnsi"/>
          <w:color w:val="000000" w:themeColor="text1"/>
          <w:sz w:val="22"/>
          <w:szCs w:val="22"/>
        </w:rPr>
        <w:t>Resolución 761/2024, de 11 de octubre, del Director General de Obras Públicas e Infraestructuras, por la que se aprueba el abono a la Sociedad Concesionaria Aguas de Navarra, S.A. de la cantidad de 5,391.644’34€ euros en concepto de los sobrecostos ocasionados en las obras de los Sectores XXVI-Ega 2 y XXVI-Ega 7B  del contrato de concesión de concesión de obras públicas para la Construcción y Explotación de las Infraestructuras de Interés General de la Ampliación de la 1ª Fase de la Zona Regable del Canal de Navarra.</w:t>
      </w:r>
    </w:p>
    <w:p w14:paraId="03CC3948" w14:textId="77777777" w:rsidR="006B544B" w:rsidRPr="005D783F" w:rsidRDefault="006B544B" w:rsidP="005D783F">
      <w:pPr>
        <w:spacing w:after="120"/>
        <w:jc w:val="both"/>
        <w:rPr>
          <w:rFonts w:cstheme="minorHAnsi"/>
        </w:rPr>
      </w:pPr>
    </w:p>
    <w:p w14:paraId="4CBE30AF" w14:textId="3DA05C29" w:rsidR="006B544B" w:rsidRPr="005D783F" w:rsidRDefault="006B544B" w:rsidP="005D783F">
      <w:pPr>
        <w:pStyle w:val="Prrafodelista"/>
        <w:numPr>
          <w:ilvl w:val="0"/>
          <w:numId w:val="10"/>
        </w:numPr>
        <w:spacing w:after="120" w:line="276" w:lineRule="auto"/>
        <w:jc w:val="both"/>
        <w:rPr>
          <w:rFonts w:asciiTheme="minorHAnsi" w:hAnsiTheme="minorHAnsi" w:cstheme="minorHAnsi"/>
          <w:b/>
          <w:sz w:val="22"/>
          <w:szCs w:val="22"/>
        </w:rPr>
      </w:pPr>
      <w:r w:rsidRPr="005D783F">
        <w:rPr>
          <w:rFonts w:asciiTheme="minorHAnsi" w:hAnsiTheme="minorHAnsi" w:cstheme="minorHAnsi"/>
          <w:b/>
          <w:sz w:val="22"/>
          <w:szCs w:val="22"/>
        </w:rPr>
        <w:lastRenderedPageBreak/>
        <w:t>¿Cómo justifica el Gobierno de Navarra que los cánones CCGI y CVA hayan experimentado un incremento acumulado cercano al 49</w:t>
      </w:r>
      <w:r w:rsidR="00AE6DA4">
        <w:rPr>
          <w:rFonts w:asciiTheme="minorHAnsi" w:hAnsiTheme="minorHAnsi" w:cstheme="minorHAnsi"/>
          <w:b/>
          <w:sz w:val="22"/>
          <w:szCs w:val="22"/>
        </w:rPr>
        <w:t xml:space="preserve"> %</w:t>
      </w:r>
      <w:r w:rsidRPr="005D783F">
        <w:rPr>
          <w:rFonts w:asciiTheme="minorHAnsi" w:hAnsiTheme="minorHAnsi" w:cstheme="minorHAnsi"/>
          <w:b/>
          <w:sz w:val="22"/>
          <w:szCs w:val="22"/>
        </w:rPr>
        <w:t xml:space="preserve"> respecto a la oferta inicial de concesión, mientras que el impacto declarado en la Tasa Interna de Retorno (</w:t>
      </w:r>
      <w:r w:rsidR="008D455B" w:rsidRPr="005D783F">
        <w:rPr>
          <w:rFonts w:asciiTheme="minorHAnsi" w:hAnsiTheme="minorHAnsi" w:cstheme="minorHAnsi"/>
          <w:b/>
          <w:sz w:val="22"/>
          <w:szCs w:val="22"/>
        </w:rPr>
        <w:t xml:space="preserve">TIR) del concesionario se cifra </w:t>
      </w:r>
      <w:r w:rsidRPr="005D783F">
        <w:rPr>
          <w:rFonts w:asciiTheme="minorHAnsi" w:hAnsiTheme="minorHAnsi" w:cstheme="minorHAnsi"/>
          <w:b/>
          <w:sz w:val="22"/>
          <w:szCs w:val="22"/>
        </w:rPr>
        <w:t>únicamente en –1,92</w:t>
      </w:r>
      <w:r w:rsidR="00AE6DA4">
        <w:rPr>
          <w:rFonts w:asciiTheme="minorHAnsi" w:hAnsiTheme="minorHAnsi" w:cstheme="minorHAnsi"/>
          <w:b/>
          <w:sz w:val="22"/>
          <w:szCs w:val="22"/>
        </w:rPr>
        <w:t xml:space="preserve"> %</w:t>
      </w:r>
      <w:r w:rsidRPr="005D783F">
        <w:rPr>
          <w:rFonts w:asciiTheme="minorHAnsi" w:hAnsiTheme="minorHAnsi" w:cstheme="minorHAnsi"/>
          <w:b/>
          <w:sz w:val="22"/>
          <w:szCs w:val="22"/>
        </w:rPr>
        <w:t xml:space="preserve"> en un reequilibrio y –0,002</w:t>
      </w:r>
      <w:r w:rsidR="00AE6DA4">
        <w:rPr>
          <w:rFonts w:asciiTheme="minorHAnsi" w:hAnsiTheme="minorHAnsi" w:cstheme="minorHAnsi"/>
          <w:b/>
          <w:sz w:val="22"/>
          <w:szCs w:val="22"/>
        </w:rPr>
        <w:t xml:space="preserve"> %</w:t>
      </w:r>
      <w:r w:rsidRPr="005D783F">
        <w:rPr>
          <w:rFonts w:asciiTheme="minorHAnsi" w:hAnsiTheme="minorHAnsi" w:cstheme="minorHAnsi"/>
          <w:b/>
          <w:sz w:val="22"/>
          <w:szCs w:val="22"/>
        </w:rPr>
        <w:t xml:space="preserve"> en el otro?</w:t>
      </w:r>
    </w:p>
    <w:p w14:paraId="375E85E3" w14:textId="77777777" w:rsidR="006B544B" w:rsidRPr="005D783F" w:rsidRDefault="006B544B" w:rsidP="005D783F">
      <w:pPr>
        <w:pStyle w:val="Prrafodelista"/>
        <w:spacing w:after="120" w:line="276" w:lineRule="auto"/>
        <w:ind w:left="360"/>
        <w:jc w:val="both"/>
        <w:rPr>
          <w:rFonts w:asciiTheme="minorHAnsi" w:hAnsiTheme="minorHAnsi" w:cstheme="minorHAnsi"/>
          <w:b/>
          <w:sz w:val="22"/>
          <w:szCs w:val="22"/>
        </w:rPr>
      </w:pPr>
      <w:r w:rsidRPr="005D783F">
        <w:rPr>
          <w:rFonts w:asciiTheme="minorHAnsi" w:hAnsiTheme="minorHAnsi" w:cstheme="minorHAnsi"/>
          <w:b/>
          <w:sz w:val="22"/>
          <w:szCs w:val="22"/>
        </w:rPr>
        <w:t>Se solicita explicación detallada de los supuestos económico-financieros utilizados para sostener dicha discrepancia.</w:t>
      </w:r>
    </w:p>
    <w:p w14:paraId="404326EA" w14:textId="77777777" w:rsidR="006B544B" w:rsidRPr="005D783F" w:rsidRDefault="006B544B" w:rsidP="005D783F">
      <w:pPr>
        <w:pStyle w:val="Prrafodelista"/>
        <w:spacing w:after="120" w:line="276" w:lineRule="auto"/>
        <w:ind w:left="360"/>
        <w:jc w:val="both"/>
        <w:rPr>
          <w:rFonts w:asciiTheme="minorHAnsi" w:hAnsiTheme="minorHAnsi" w:cstheme="minorHAnsi"/>
          <w:b/>
          <w:sz w:val="22"/>
          <w:szCs w:val="22"/>
        </w:rPr>
      </w:pPr>
    </w:p>
    <w:p w14:paraId="6B38A37D" w14:textId="77777777" w:rsidR="009B3E73" w:rsidRPr="005D783F" w:rsidRDefault="008D455B" w:rsidP="005D783F">
      <w:pPr>
        <w:spacing w:after="120"/>
        <w:jc w:val="both"/>
        <w:rPr>
          <w:rFonts w:eastAsia="Times New Roman" w:cstheme="minorHAnsi"/>
          <w:lang w:eastAsia="es-ES"/>
        </w:rPr>
      </w:pPr>
      <w:r w:rsidRPr="005D783F">
        <w:rPr>
          <w:rFonts w:eastAsia="Times New Roman" w:cstheme="minorHAnsi"/>
          <w:lang w:eastAsia="es-ES"/>
        </w:rPr>
        <w:t>El 21 de mayo de 2014</w:t>
      </w:r>
      <w:r w:rsidR="000749B1" w:rsidRPr="005D783F">
        <w:rPr>
          <w:rFonts w:eastAsia="Times New Roman" w:cstheme="minorHAnsi"/>
          <w:lang w:eastAsia="es-ES"/>
        </w:rPr>
        <w:t xml:space="preserve"> el Gobierno de Navarra </w:t>
      </w:r>
      <w:r w:rsidR="005C4B9D" w:rsidRPr="005D783F">
        <w:rPr>
          <w:rFonts w:eastAsia="Times New Roman" w:cstheme="minorHAnsi"/>
          <w:lang w:eastAsia="es-ES"/>
        </w:rPr>
        <w:t xml:space="preserve">y la Sociedad Concesionaria </w:t>
      </w:r>
      <w:r w:rsidR="000749B1" w:rsidRPr="005D783F">
        <w:rPr>
          <w:rFonts w:eastAsia="Times New Roman" w:cstheme="minorHAnsi"/>
          <w:lang w:eastAsia="es-ES"/>
        </w:rPr>
        <w:t xml:space="preserve">Aguas de Navarra, </w:t>
      </w:r>
      <w:r w:rsidR="005C4B9D" w:rsidRPr="005D783F">
        <w:rPr>
          <w:rFonts w:eastAsia="Times New Roman" w:cstheme="minorHAnsi"/>
          <w:lang w:eastAsia="es-ES"/>
        </w:rPr>
        <w:t xml:space="preserve">firmaron </w:t>
      </w:r>
      <w:r w:rsidR="000749B1" w:rsidRPr="005D783F">
        <w:rPr>
          <w:rFonts w:eastAsia="Times New Roman" w:cstheme="minorHAnsi"/>
          <w:lang w:eastAsia="es-ES"/>
        </w:rPr>
        <w:t xml:space="preserve">el contrato concesional para construir y explotar las áreas regables de la ampliación de la 1ª fase del Canal de Navarra. </w:t>
      </w:r>
    </w:p>
    <w:p w14:paraId="76E4F35C" w14:textId="77777777" w:rsidR="000749B1" w:rsidRPr="005D783F" w:rsidRDefault="009B3E73" w:rsidP="005D783F">
      <w:pPr>
        <w:spacing w:after="120"/>
        <w:jc w:val="both"/>
        <w:rPr>
          <w:rFonts w:eastAsia="Times New Roman" w:cstheme="minorHAnsi"/>
          <w:lang w:eastAsia="es-ES"/>
        </w:rPr>
      </w:pPr>
      <w:r w:rsidRPr="005D783F">
        <w:rPr>
          <w:rFonts w:eastAsia="Times New Roman" w:cstheme="minorHAnsi"/>
          <w:lang w:eastAsia="es-ES"/>
        </w:rPr>
        <w:t>El</w:t>
      </w:r>
      <w:r w:rsidR="000749B1" w:rsidRPr="005D783F">
        <w:rPr>
          <w:rFonts w:eastAsia="Times New Roman" w:cstheme="minorHAnsi"/>
          <w:lang w:eastAsia="es-ES"/>
        </w:rPr>
        <w:t xml:space="preserve"> incremento acumulado en los reequilibrios económico-financieros </w:t>
      </w:r>
      <w:r w:rsidR="005C4B9D" w:rsidRPr="005D783F">
        <w:rPr>
          <w:rFonts w:eastAsia="Times New Roman" w:cstheme="minorHAnsi"/>
          <w:lang w:eastAsia="es-ES"/>
        </w:rPr>
        <w:t>deriva</w:t>
      </w:r>
      <w:r w:rsidRPr="005D783F">
        <w:rPr>
          <w:rFonts w:eastAsia="Times New Roman" w:cstheme="minorHAnsi"/>
          <w:lang w:eastAsia="es-ES"/>
        </w:rPr>
        <w:t>, entre otros,</w:t>
      </w:r>
      <w:r w:rsidR="005C4B9D" w:rsidRPr="005D783F">
        <w:rPr>
          <w:rFonts w:eastAsia="Times New Roman" w:cstheme="minorHAnsi"/>
          <w:lang w:eastAsia="es-ES"/>
        </w:rPr>
        <w:t xml:space="preserve"> de </w:t>
      </w:r>
      <w:r w:rsidR="000749B1" w:rsidRPr="005D783F">
        <w:rPr>
          <w:rFonts w:eastAsia="Times New Roman" w:cstheme="minorHAnsi"/>
          <w:lang w:eastAsia="es-ES"/>
        </w:rPr>
        <w:t>la no adhesión de todas las comunidades de regantes al proyecto de ampliación de la 1ª fase del Canal de Navarra</w:t>
      </w:r>
      <w:r w:rsidR="005C4B9D" w:rsidRPr="005D783F">
        <w:rPr>
          <w:rFonts w:eastAsia="Times New Roman" w:cstheme="minorHAnsi"/>
          <w:lang w:eastAsia="es-ES"/>
        </w:rPr>
        <w:t>.</w:t>
      </w:r>
    </w:p>
    <w:p w14:paraId="4859017D" w14:textId="0688DE55" w:rsidR="006B544B" w:rsidRPr="005D783F" w:rsidRDefault="006B544B" w:rsidP="005D783F">
      <w:pPr>
        <w:spacing w:after="120"/>
        <w:jc w:val="both"/>
        <w:rPr>
          <w:rFonts w:cstheme="minorHAnsi"/>
        </w:rPr>
      </w:pPr>
      <w:r w:rsidRPr="005D783F">
        <w:rPr>
          <w:rFonts w:cstheme="minorHAnsi"/>
        </w:rPr>
        <w:t>La introducción en el PEF de la Concesión de los supuestos de reequilibrio que se ajustaron en cada uno de los reequilibrios por los que cuestiona esta pregunta (los reequilibrios nº4 y nº9, refiriéndose el primero de ellos no sólo a retrasos sino también a superficies) supuso un descenso en la Tasa Interna de Rentabilidad del Proyecto (T.I.R.) del 1,92</w:t>
      </w:r>
      <w:r w:rsidR="00AE6DA4">
        <w:rPr>
          <w:rFonts w:cstheme="minorHAnsi"/>
        </w:rPr>
        <w:t xml:space="preserve"> %</w:t>
      </w:r>
      <w:r w:rsidRPr="005D783F">
        <w:rPr>
          <w:rFonts w:cstheme="minorHAnsi"/>
        </w:rPr>
        <w:t xml:space="preserve"> en el caso del reequilibrio nº4 y del 0,002</w:t>
      </w:r>
      <w:r w:rsidR="005D783F">
        <w:rPr>
          <w:rFonts w:cstheme="minorHAnsi"/>
        </w:rPr>
        <w:t xml:space="preserve"> </w:t>
      </w:r>
      <w:r w:rsidRPr="005D783F">
        <w:rPr>
          <w:rFonts w:cstheme="minorHAnsi"/>
        </w:rPr>
        <w:t>% en el caso del reequilibrio nº9.</w:t>
      </w:r>
    </w:p>
    <w:p w14:paraId="199AF600" w14:textId="076A5A7D" w:rsidR="006B544B" w:rsidRPr="005D783F" w:rsidRDefault="006B544B" w:rsidP="005D783F">
      <w:pPr>
        <w:spacing w:after="120"/>
        <w:jc w:val="both"/>
        <w:rPr>
          <w:rFonts w:cstheme="minorHAnsi"/>
        </w:rPr>
      </w:pPr>
      <w:r w:rsidRPr="005D783F">
        <w:rPr>
          <w:rFonts w:cstheme="minorHAnsi"/>
        </w:rPr>
        <w:t>De acuerdo al Pliego de Prescripciones Administrativas Particulares (PCAP) de esta concesión, al exclusivo efecto de compensar las repercusiones directamente derivadas de supuestos de reequilibrio como los anteriores, han de adoptarse medidas de restablecimiento equilibrio económico-financiero del contrato, debiendo revisarse el PEF del mismo para introducir una/s medida/s que reestablezca/n el equilibrio, es decir, que vuelva/n a igualar la T.I.R. del Proyecto con la fijada en la oferta presentada por el adjudicatario (en este caso, que restituya/n la T.I.R. de Proyecto a su nivel de PEF de Oferta de 11,328</w:t>
      </w:r>
      <w:r w:rsidR="005D783F">
        <w:rPr>
          <w:rFonts w:cstheme="minorHAnsi"/>
        </w:rPr>
        <w:t xml:space="preserve"> </w:t>
      </w:r>
      <w:r w:rsidRPr="005D783F">
        <w:rPr>
          <w:rFonts w:cstheme="minorHAnsi"/>
        </w:rPr>
        <w:t>%):</w:t>
      </w:r>
    </w:p>
    <w:p w14:paraId="68DC0C74" w14:textId="20CA0BD9" w:rsidR="006B544B" w:rsidRPr="005D783F" w:rsidRDefault="006B544B" w:rsidP="005D783F">
      <w:pPr>
        <w:spacing w:after="120"/>
        <w:jc w:val="both"/>
        <w:rPr>
          <w:rFonts w:cstheme="minorHAnsi"/>
        </w:rPr>
      </w:pPr>
      <w:r w:rsidRPr="005D783F">
        <w:rPr>
          <w:rFonts w:cstheme="minorHAnsi"/>
        </w:rPr>
        <w:t>En el caso del reequilibrio nº4, para compensar el efecto de descenso de la rentabilidad del Modelo en un 1,92</w:t>
      </w:r>
      <w:r w:rsidR="005D783F">
        <w:rPr>
          <w:rFonts w:cstheme="minorHAnsi"/>
        </w:rPr>
        <w:t xml:space="preserve"> </w:t>
      </w:r>
      <w:r w:rsidRPr="005D783F">
        <w:rPr>
          <w:rFonts w:cstheme="minorHAnsi"/>
        </w:rPr>
        <w:t>% y volver a situar la T.I.R. en el 11,328</w:t>
      </w:r>
      <w:r w:rsidR="005D783F">
        <w:rPr>
          <w:rFonts w:cstheme="minorHAnsi"/>
        </w:rPr>
        <w:t xml:space="preserve"> </w:t>
      </w:r>
      <w:r w:rsidRPr="005D783F">
        <w:rPr>
          <w:rFonts w:cstheme="minorHAnsi"/>
        </w:rPr>
        <w:t>% de Oferta, fue necesario un descenso en la baja ofertada del 21,17</w:t>
      </w:r>
      <w:r w:rsidR="005D783F">
        <w:rPr>
          <w:rFonts w:cstheme="minorHAnsi"/>
        </w:rPr>
        <w:t xml:space="preserve"> </w:t>
      </w:r>
      <w:r w:rsidRPr="005D783F">
        <w:rPr>
          <w:rFonts w:cstheme="minorHAnsi"/>
        </w:rPr>
        <w:t>% que supuso un incremento de la tarifa aplicada, a partir de 1 de enero de 2021, a la retribución de la Sociedad Concesionaria para CCGI y CVA, de un 28,23</w:t>
      </w:r>
      <w:r w:rsidR="005D783F">
        <w:rPr>
          <w:rFonts w:cstheme="minorHAnsi"/>
        </w:rPr>
        <w:t xml:space="preserve"> </w:t>
      </w:r>
      <w:r w:rsidRPr="005D783F">
        <w:rPr>
          <w:rFonts w:cstheme="minorHAnsi"/>
        </w:rPr>
        <w:t>% adicional a la fijada en el último reequilibrio anteriormente aprobado (el 15 de abril de 2020) o, lo que es equivalente, un incremento en la tarifa por CCGI y por CVA de un 49,14</w:t>
      </w:r>
      <w:r w:rsidR="005D783F">
        <w:rPr>
          <w:rFonts w:cstheme="minorHAnsi"/>
        </w:rPr>
        <w:t xml:space="preserve"> </w:t>
      </w:r>
      <w:r w:rsidRPr="005D783F">
        <w:rPr>
          <w:rFonts w:cstheme="minorHAnsi"/>
        </w:rPr>
        <w:t xml:space="preserve">%, respecto a la de la oferta inicial, con efecto 1 de enero de 2021. </w:t>
      </w:r>
    </w:p>
    <w:p w14:paraId="5CD6AFA8" w14:textId="6A7CF32F" w:rsidR="006B544B" w:rsidRPr="005D783F" w:rsidRDefault="006B544B" w:rsidP="005D783F">
      <w:pPr>
        <w:spacing w:after="120"/>
        <w:jc w:val="both"/>
        <w:rPr>
          <w:rFonts w:cstheme="minorHAnsi"/>
        </w:rPr>
      </w:pPr>
      <w:r w:rsidRPr="005D783F">
        <w:rPr>
          <w:rFonts w:cstheme="minorHAnsi"/>
        </w:rPr>
        <w:t>Es importante poner de manifiesto que en este reequilibrio se estaban adecuando la temporalidad y la reducción de dimensión del ramal del Ega a la realidad del desarrollo del proyecto. La realidad temporal era que el proyecto llevaba un retraso de más de cuatro años, lo que reducía el periodo medio de explotación de 28 a 24 años, lo que a su vez implicaba un incremento de tarifa al comprimirse el pago de lo contratado en 4 años menos. A su vez, se había reducido el número de hectáreas entre las que se divide el pago del contrato, sin que se redujera la inversión, por lo que también inducía un incremento en la misma que es el otro multiplicador para determinar la remuneración de la Sociedad Concesionaria. Así, no es de extrañar el resultado de este reequilibrio que a pesar de tener un impacto en la tarifa (incremento del 28,23</w:t>
      </w:r>
      <w:r w:rsidR="005D783F">
        <w:rPr>
          <w:rFonts w:cstheme="minorHAnsi"/>
        </w:rPr>
        <w:t xml:space="preserve"> </w:t>
      </w:r>
      <w:r w:rsidRPr="005D783F">
        <w:rPr>
          <w:rFonts w:cstheme="minorHAnsi"/>
        </w:rPr>
        <w:t>% respecto al reequilibrio anteriormente aprobado), casi no tuvo impacto en la remuneración de la Sociedad Concesionaria que sólo se incrementa en un 1,40</w:t>
      </w:r>
      <w:r w:rsidR="005D783F">
        <w:rPr>
          <w:rFonts w:cstheme="minorHAnsi"/>
        </w:rPr>
        <w:t xml:space="preserve"> </w:t>
      </w:r>
      <w:r w:rsidRPr="005D783F">
        <w:rPr>
          <w:rFonts w:cstheme="minorHAnsi"/>
        </w:rPr>
        <w:t>%, en euros corrientes y que incluso se reduce en un 2,02</w:t>
      </w:r>
      <w:r w:rsidR="005D783F">
        <w:rPr>
          <w:rFonts w:cstheme="minorHAnsi"/>
        </w:rPr>
        <w:t xml:space="preserve"> </w:t>
      </w:r>
      <w:r w:rsidRPr="005D783F">
        <w:rPr>
          <w:rFonts w:cstheme="minorHAnsi"/>
        </w:rPr>
        <w:t>% en valor actual.</w:t>
      </w:r>
    </w:p>
    <w:p w14:paraId="331DA0FD" w14:textId="2D007BB2" w:rsidR="006B544B" w:rsidRPr="005D783F" w:rsidRDefault="006B544B" w:rsidP="005D783F">
      <w:pPr>
        <w:spacing w:after="120"/>
        <w:jc w:val="both"/>
        <w:rPr>
          <w:rFonts w:cstheme="minorHAnsi"/>
        </w:rPr>
      </w:pPr>
      <w:r w:rsidRPr="005D783F">
        <w:rPr>
          <w:rFonts w:cstheme="minorHAnsi"/>
        </w:rPr>
        <w:lastRenderedPageBreak/>
        <w:t>En el caso del reequilibrio nº9, para compensar el efecto de descenso de la rentabilidad del Modelo en un 0,002</w:t>
      </w:r>
      <w:r w:rsidR="005D783F">
        <w:rPr>
          <w:rFonts w:cstheme="minorHAnsi"/>
        </w:rPr>
        <w:t xml:space="preserve"> </w:t>
      </w:r>
      <w:r w:rsidRPr="005D783F">
        <w:rPr>
          <w:rFonts w:cstheme="minorHAnsi"/>
        </w:rPr>
        <w:t>% y volver a situar la T.I.R. en el 11,328</w:t>
      </w:r>
      <w:r w:rsidR="005D783F">
        <w:rPr>
          <w:rFonts w:cstheme="minorHAnsi"/>
        </w:rPr>
        <w:t xml:space="preserve"> </w:t>
      </w:r>
      <w:r w:rsidRPr="005D783F">
        <w:rPr>
          <w:rFonts w:cstheme="minorHAnsi"/>
        </w:rPr>
        <w:t>% de Oferta, fue necesario un descenso en la baja ofertada del 0,037</w:t>
      </w:r>
      <w:r w:rsidR="005D783F">
        <w:rPr>
          <w:rFonts w:cstheme="minorHAnsi"/>
        </w:rPr>
        <w:t xml:space="preserve"> </w:t>
      </w:r>
      <w:r w:rsidRPr="005D783F">
        <w:rPr>
          <w:rFonts w:cstheme="minorHAnsi"/>
        </w:rPr>
        <w:t>% que supone un incremento de la tarifa aplicada, a partir de 1 de enero de 2026, a la retribución de la Sociedad Concesionaria para CCGI y CVA, de un 0,05</w:t>
      </w:r>
      <w:r w:rsidR="005D783F">
        <w:rPr>
          <w:rFonts w:cstheme="minorHAnsi"/>
        </w:rPr>
        <w:t xml:space="preserve"> </w:t>
      </w:r>
      <w:r w:rsidRPr="005D783F">
        <w:rPr>
          <w:rFonts w:cstheme="minorHAnsi"/>
        </w:rPr>
        <w:t>% adicional a la fijada en el último reequilibrio anteriormente aprobado (el 30 de diciembre de 2022) o, lo que es equivalente, un incremento en la tarifa por CCGI y por CVA de un 49,28</w:t>
      </w:r>
      <w:r w:rsidR="005D783F">
        <w:rPr>
          <w:rFonts w:cstheme="minorHAnsi"/>
        </w:rPr>
        <w:t xml:space="preserve"> </w:t>
      </w:r>
      <w:r w:rsidRPr="005D783F">
        <w:rPr>
          <w:rFonts w:cstheme="minorHAnsi"/>
        </w:rPr>
        <w:t xml:space="preserve">%, respecto a la de la oferta inicial, con efecto 1 de enero de 2026. </w:t>
      </w:r>
    </w:p>
    <w:p w14:paraId="12B5E567" w14:textId="069623F9" w:rsidR="0036549F" w:rsidRPr="005D783F" w:rsidRDefault="006B544B" w:rsidP="005D783F">
      <w:pPr>
        <w:spacing w:after="120"/>
        <w:jc w:val="both"/>
        <w:rPr>
          <w:rFonts w:cstheme="minorHAnsi"/>
        </w:rPr>
      </w:pPr>
      <w:r w:rsidRPr="005D783F">
        <w:rPr>
          <w:rFonts w:cstheme="minorHAnsi"/>
        </w:rPr>
        <w:t>Es importante recordar que este Contrato de concesión preveía inicialmente 4 años de construcción, con una inversión de 73,700.000</w:t>
      </w:r>
      <w:r w:rsidR="005D783F">
        <w:rPr>
          <w:rFonts w:cstheme="minorHAnsi"/>
        </w:rPr>
        <w:t xml:space="preserve"> </w:t>
      </w:r>
      <w:r w:rsidRPr="005D783F">
        <w:rPr>
          <w:rFonts w:cstheme="minorHAnsi"/>
        </w:rPr>
        <w:t xml:space="preserve">€ y 26 años de explotación de una zona de 15.275 hectáreas. </w:t>
      </w:r>
      <w:r w:rsidR="0036549F" w:rsidRPr="005D783F">
        <w:rPr>
          <w:rFonts w:cstheme="minorHAnsi"/>
          <w:szCs w:val="24"/>
        </w:rPr>
        <w:t>La falta de planificación además de concreción, y a que ciertas comunidades de regantes deciden no adherirse a regar desde el Canal de Navarra una vez las obras ya estaban iniciadas, supuso un retraso de las mismas por tener qu</w:t>
      </w:r>
      <w:r w:rsidR="009B3E73" w:rsidRPr="005D783F">
        <w:rPr>
          <w:rFonts w:cstheme="minorHAnsi"/>
          <w:szCs w:val="24"/>
        </w:rPr>
        <w:t xml:space="preserve">e modificar trazados y tramitar el </w:t>
      </w:r>
      <w:r w:rsidR="0036549F" w:rsidRPr="005D783F">
        <w:rPr>
          <w:rFonts w:cstheme="minorHAnsi"/>
          <w:szCs w:val="24"/>
        </w:rPr>
        <w:t>PSIS</w:t>
      </w:r>
      <w:r w:rsidR="009B3E73" w:rsidRPr="005D783F">
        <w:rPr>
          <w:rFonts w:cstheme="minorHAnsi"/>
          <w:szCs w:val="24"/>
        </w:rPr>
        <w:t>.</w:t>
      </w:r>
    </w:p>
    <w:p w14:paraId="672E4B93" w14:textId="59A3B827" w:rsidR="006B544B" w:rsidRPr="005D783F" w:rsidRDefault="006B544B" w:rsidP="005D783F">
      <w:pPr>
        <w:spacing w:after="120"/>
        <w:jc w:val="both"/>
        <w:rPr>
          <w:rFonts w:cstheme="minorHAnsi"/>
        </w:rPr>
      </w:pPr>
      <w:r w:rsidRPr="005D783F">
        <w:rPr>
          <w:rFonts w:cstheme="minorHAnsi"/>
        </w:rPr>
        <w:t>La realidad en el desarrollo del proyecto ha hecho que, en el momento de aprobación de este reequilibrio nº9, estos parámetros se preveía que se convirtieran en 11 años de construcción y sólo 19 de explotación (para la totalidad de la superficie), con una inversión actual de 87,680.410</w:t>
      </w:r>
      <w:r w:rsidR="005D783F">
        <w:rPr>
          <w:rFonts w:cstheme="minorHAnsi"/>
        </w:rPr>
        <w:t xml:space="preserve"> </w:t>
      </w:r>
      <w:r w:rsidRPr="005D783F">
        <w:rPr>
          <w:rFonts w:cstheme="minorHAnsi"/>
        </w:rPr>
        <w:t>€ (incremento del 18,97</w:t>
      </w:r>
      <w:r w:rsidR="005D783F">
        <w:rPr>
          <w:rFonts w:cstheme="minorHAnsi"/>
        </w:rPr>
        <w:t xml:space="preserve"> </w:t>
      </w:r>
      <w:r w:rsidRPr="005D783F">
        <w:rPr>
          <w:rFonts w:cstheme="minorHAnsi"/>
        </w:rPr>
        <w:t>%) a repartir entre 12.898 hectáreas. Este incremento de inversión, al mismo tiempo que se da una reducción tanto de la superficie como del tiempo entre los que se reparte, ha tenido la consecuencia de que para equilibrar el Plan Económico Financiero del Contrato, es decir para devolverle al mismo la T.I.R. del 11,328</w:t>
      </w:r>
      <w:r w:rsidR="005D783F">
        <w:rPr>
          <w:rFonts w:cstheme="minorHAnsi"/>
        </w:rPr>
        <w:t xml:space="preserve"> </w:t>
      </w:r>
      <w:r w:rsidRPr="005D783F">
        <w:rPr>
          <w:rFonts w:cstheme="minorHAnsi"/>
        </w:rPr>
        <w:t>% que recogía el modelo inicial de oferta, haya sido necesario incrementar las tarifas que se aplican a la superficie en explotación (Canon de Calidad y Gestión de la Infraestructura) y al consumo de agua (Canon de Volumen de Agua). Este incremento del 49,28</w:t>
      </w:r>
      <w:r w:rsidR="005D783F">
        <w:rPr>
          <w:rFonts w:cstheme="minorHAnsi"/>
        </w:rPr>
        <w:t xml:space="preserve"> </w:t>
      </w:r>
      <w:r w:rsidRPr="005D783F">
        <w:rPr>
          <w:rFonts w:cstheme="minorHAnsi"/>
        </w:rPr>
        <w:t>% en tarifa, no significa que la retribución de la Sociedad Concesionaria se haya incrementado en este porcentaje, ya que existe una reducción del 27</w:t>
      </w:r>
      <w:r w:rsidR="005D783F">
        <w:rPr>
          <w:rFonts w:cstheme="minorHAnsi"/>
        </w:rPr>
        <w:t xml:space="preserve"> </w:t>
      </w:r>
      <w:r w:rsidRPr="005D783F">
        <w:rPr>
          <w:rFonts w:cstheme="minorHAnsi"/>
        </w:rPr>
        <w:t>% en el plazo de explotación y de un 16</w:t>
      </w:r>
      <w:r w:rsidR="005D783F">
        <w:rPr>
          <w:rFonts w:cstheme="minorHAnsi"/>
        </w:rPr>
        <w:t xml:space="preserve"> </w:t>
      </w:r>
      <w:r w:rsidRPr="005D783F">
        <w:rPr>
          <w:rFonts w:cstheme="minorHAnsi"/>
        </w:rPr>
        <w:t xml:space="preserve">% en la superficie a explotar, lo que hace que la retribución del concesionario en términos de </w:t>
      </w:r>
      <w:proofErr w:type="gramStart"/>
      <w:r w:rsidRPr="005D783F">
        <w:rPr>
          <w:rFonts w:cstheme="minorHAnsi"/>
        </w:rPr>
        <w:t>VAN,</w:t>
      </w:r>
      <w:proofErr w:type="gramEnd"/>
      <w:r w:rsidRPr="005D783F">
        <w:rPr>
          <w:rFonts w:cstheme="minorHAnsi"/>
        </w:rPr>
        <w:t xml:space="preserve"> pase de 168,141.744</w:t>
      </w:r>
      <w:r w:rsidR="005D783F">
        <w:rPr>
          <w:rFonts w:cstheme="minorHAnsi"/>
        </w:rPr>
        <w:t xml:space="preserve"> </w:t>
      </w:r>
      <w:r w:rsidRPr="005D783F">
        <w:rPr>
          <w:rFonts w:cstheme="minorHAnsi"/>
        </w:rPr>
        <w:t>€ a 188,605.231</w:t>
      </w:r>
      <w:r w:rsidR="005D783F">
        <w:rPr>
          <w:rFonts w:cstheme="minorHAnsi"/>
        </w:rPr>
        <w:t xml:space="preserve"> </w:t>
      </w:r>
      <w:r w:rsidRPr="005D783F">
        <w:rPr>
          <w:rFonts w:cstheme="minorHAnsi"/>
        </w:rPr>
        <w:t xml:space="preserve">€, es decir, </w:t>
      </w:r>
      <w:r w:rsidR="005D783F">
        <w:rPr>
          <w:rFonts w:cstheme="minorHAnsi"/>
        </w:rPr>
        <w:t>e</w:t>
      </w:r>
      <w:r w:rsidRPr="005D783F">
        <w:rPr>
          <w:rFonts w:cstheme="minorHAnsi"/>
        </w:rPr>
        <w:t>sta ha aumentado un 12,17</w:t>
      </w:r>
      <w:r w:rsidR="005D783F">
        <w:rPr>
          <w:rFonts w:cstheme="minorHAnsi"/>
        </w:rPr>
        <w:t xml:space="preserve"> </w:t>
      </w:r>
      <w:r w:rsidRPr="005D783F">
        <w:rPr>
          <w:rFonts w:cstheme="minorHAnsi"/>
        </w:rPr>
        <w:t>%.</w:t>
      </w:r>
    </w:p>
    <w:p w14:paraId="76163837" w14:textId="77777777" w:rsidR="006B544B" w:rsidRPr="005D783F" w:rsidRDefault="006B544B" w:rsidP="005D783F">
      <w:pPr>
        <w:pStyle w:val="Prrafodelista"/>
        <w:numPr>
          <w:ilvl w:val="0"/>
          <w:numId w:val="10"/>
        </w:numPr>
        <w:spacing w:after="120" w:line="276" w:lineRule="auto"/>
        <w:jc w:val="both"/>
        <w:rPr>
          <w:rFonts w:asciiTheme="minorHAnsi" w:hAnsiTheme="minorHAnsi" w:cstheme="minorHAnsi"/>
          <w:b/>
          <w:sz w:val="22"/>
          <w:szCs w:val="22"/>
        </w:rPr>
      </w:pPr>
      <w:r w:rsidRPr="005D783F">
        <w:rPr>
          <w:rFonts w:asciiTheme="minorHAnsi" w:hAnsiTheme="minorHAnsi" w:cstheme="minorHAnsi"/>
          <w:b/>
          <w:sz w:val="22"/>
          <w:szCs w:val="22"/>
        </w:rPr>
        <w:t>¿Desde qué fecha exacta se está procediendo al devengo y pago de los cánones CCGI, CVA y CE vinculados a sectores en situación de explotación parcial, y cuál es el volumen total devengado hasta la fecha por sectores o zonas de riego afectadas?</w:t>
      </w:r>
    </w:p>
    <w:p w14:paraId="4D7792CF" w14:textId="77777777" w:rsidR="006B544B" w:rsidRPr="005D783F" w:rsidRDefault="006B544B" w:rsidP="005D783F">
      <w:pPr>
        <w:pStyle w:val="Prrafodelista"/>
        <w:spacing w:after="120" w:line="276" w:lineRule="auto"/>
        <w:ind w:left="360"/>
        <w:jc w:val="both"/>
        <w:rPr>
          <w:rFonts w:asciiTheme="minorHAnsi" w:hAnsiTheme="minorHAnsi" w:cstheme="minorHAnsi"/>
          <w:b/>
          <w:sz w:val="22"/>
          <w:szCs w:val="22"/>
        </w:rPr>
      </w:pPr>
    </w:p>
    <w:p w14:paraId="7F4800B6" w14:textId="77777777" w:rsidR="006B544B" w:rsidRPr="005D783F" w:rsidRDefault="006B544B" w:rsidP="005D783F">
      <w:pPr>
        <w:spacing w:after="120"/>
        <w:jc w:val="both"/>
        <w:rPr>
          <w:rFonts w:cstheme="minorHAnsi"/>
        </w:rPr>
      </w:pPr>
      <w:r w:rsidRPr="005D783F">
        <w:rPr>
          <w:rFonts w:cstheme="minorHAnsi"/>
        </w:rPr>
        <w:t xml:space="preserve">Como respuesta al punto 4 de la PEI-00997, </w:t>
      </w:r>
      <w:r w:rsidR="008C0A70" w:rsidRPr="005D783F">
        <w:rPr>
          <w:rFonts w:cstheme="minorHAnsi"/>
        </w:rPr>
        <w:t>se han aportado</w:t>
      </w:r>
      <w:r w:rsidRPr="005D783F">
        <w:rPr>
          <w:rFonts w:cstheme="minorHAnsi"/>
        </w:rPr>
        <w:t xml:space="preserve"> las actas de comprobación parciales y totales solicitadas, en cada una de las cuales puede verse tanto la fecha de firma, como la superficie. Igualmente se aportaron hojas Excel donde se pueden ver los importes devengados en cada sector de CCGI, CVA y CE.</w:t>
      </w:r>
    </w:p>
    <w:p w14:paraId="08504D71" w14:textId="77777777" w:rsidR="006B544B" w:rsidRPr="005D783F" w:rsidRDefault="006B544B" w:rsidP="005D783F">
      <w:pPr>
        <w:pStyle w:val="Prrafodelista"/>
        <w:numPr>
          <w:ilvl w:val="0"/>
          <w:numId w:val="10"/>
        </w:numPr>
        <w:spacing w:after="120" w:line="276" w:lineRule="auto"/>
        <w:jc w:val="both"/>
        <w:rPr>
          <w:rFonts w:asciiTheme="minorHAnsi" w:hAnsiTheme="minorHAnsi" w:cstheme="minorHAnsi"/>
          <w:b/>
          <w:sz w:val="22"/>
          <w:szCs w:val="22"/>
        </w:rPr>
      </w:pPr>
      <w:r w:rsidRPr="005D783F">
        <w:rPr>
          <w:rFonts w:asciiTheme="minorHAnsi" w:hAnsiTheme="minorHAnsi" w:cstheme="minorHAnsi"/>
          <w:b/>
          <w:sz w:val="22"/>
          <w:szCs w:val="22"/>
        </w:rPr>
        <w:t>¿Cuántas de las 2.730 hectáreas previstas en el Decreto Foral 81/2020 se encuentran actualmente ejecutadas, en contratación o en fase de redacción de proyecto, y cuál es la previsión cronológica y presupuestaria del Gobierno para la materialización de dichas superficies?</w:t>
      </w:r>
    </w:p>
    <w:p w14:paraId="0BB79D54" w14:textId="77777777" w:rsidR="006B544B" w:rsidRPr="005D783F" w:rsidRDefault="006B544B" w:rsidP="005D783F">
      <w:pPr>
        <w:pStyle w:val="Prrafodelista"/>
        <w:spacing w:after="120" w:line="276" w:lineRule="auto"/>
        <w:ind w:left="360"/>
        <w:jc w:val="both"/>
        <w:rPr>
          <w:rFonts w:asciiTheme="minorHAnsi" w:hAnsiTheme="minorHAnsi" w:cstheme="minorHAnsi"/>
          <w:b/>
          <w:sz w:val="22"/>
          <w:szCs w:val="22"/>
        </w:rPr>
      </w:pPr>
    </w:p>
    <w:p w14:paraId="1E1B589D" w14:textId="77777777" w:rsidR="00751AB8" w:rsidRPr="005D783F" w:rsidRDefault="00CD6447" w:rsidP="005D783F">
      <w:pPr>
        <w:spacing w:after="120"/>
        <w:jc w:val="both"/>
        <w:rPr>
          <w:rFonts w:cstheme="minorHAnsi"/>
        </w:rPr>
      </w:pPr>
      <w:r w:rsidRPr="005D783F">
        <w:rPr>
          <w:rFonts w:cstheme="minorHAnsi"/>
        </w:rPr>
        <w:t>Remitimos a la respuesta dada en el punto 6 de la PEI-00997, entregada al mismo parlamentario solicitante el 11 de diciembre de 2025.</w:t>
      </w:r>
    </w:p>
    <w:p w14:paraId="1A234240" w14:textId="77777777" w:rsidR="00751AB8" w:rsidRPr="005D783F" w:rsidRDefault="00751AB8" w:rsidP="005D783F">
      <w:pPr>
        <w:spacing w:after="120"/>
        <w:jc w:val="both"/>
        <w:rPr>
          <w:rFonts w:cstheme="minorHAnsi"/>
        </w:rPr>
      </w:pPr>
      <w:r w:rsidRPr="005D783F">
        <w:rPr>
          <w:rFonts w:cstheme="minorHAnsi"/>
        </w:rPr>
        <w:t xml:space="preserve">Es cuanto informo en cumplimiento </w:t>
      </w:r>
      <w:r w:rsidR="00AA6A10" w:rsidRPr="005D783F">
        <w:rPr>
          <w:rFonts w:cstheme="minorHAnsi"/>
        </w:rPr>
        <w:t xml:space="preserve">de lo dispuesto en el artículo </w:t>
      </w:r>
      <w:r w:rsidR="003A2312" w:rsidRPr="005D783F">
        <w:rPr>
          <w:rFonts w:cstheme="minorHAnsi"/>
        </w:rPr>
        <w:t>2</w:t>
      </w:r>
      <w:r w:rsidRPr="005D783F">
        <w:rPr>
          <w:rFonts w:cstheme="minorHAnsi"/>
        </w:rPr>
        <w:t>15 del Reglamento del Parlamento de Navarra</w:t>
      </w:r>
      <w:r w:rsidR="003A2312" w:rsidRPr="005D783F">
        <w:rPr>
          <w:rFonts w:cstheme="minorHAnsi"/>
        </w:rPr>
        <w:t>.</w:t>
      </w:r>
    </w:p>
    <w:p w14:paraId="55B1421A" w14:textId="77777777" w:rsidR="006B544B" w:rsidRPr="005D783F" w:rsidRDefault="006B544B" w:rsidP="005D783F">
      <w:pPr>
        <w:spacing w:after="120"/>
        <w:jc w:val="both"/>
        <w:rPr>
          <w:rFonts w:cstheme="minorHAnsi"/>
        </w:rPr>
      </w:pPr>
    </w:p>
    <w:p w14:paraId="0C41C9C6" w14:textId="77777777" w:rsidR="00130061" w:rsidRPr="005D783F" w:rsidRDefault="00130061" w:rsidP="005D783F">
      <w:pPr>
        <w:spacing w:after="120"/>
        <w:jc w:val="both"/>
        <w:rPr>
          <w:rFonts w:cstheme="minorHAnsi"/>
        </w:rPr>
      </w:pPr>
      <w:r w:rsidRPr="005D783F">
        <w:rPr>
          <w:rFonts w:cstheme="minorHAnsi"/>
        </w:rPr>
        <w:lastRenderedPageBreak/>
        <w:t>Pamp</w:t>
      </w:r>
      <w:r w:rsidR="009C3421" w:rsidRPr="005D783F">
        <w:rPr>
          <w:rFonts w:cstheme="minorHAnsi"/>
        </w:rPr>
        <w:t>lona-</w:t>
      </w:r>
      <w:proofErr w:type="spellStart"/>
      <w:r w:rsidR="009C3421" w:rsidRPr="005D783F">
        <w:rPr>
          <w:rFonts w:cstheme="minorHAnsi"/>
        </w:rPr>
        <w:t>Iruñea</w:t>
      </w:r>
      <w:proofErr w:type="spellEnd"/>
      <w:r w:rsidR="009C3421" w:rsidRPr="005D783F">
        <w:rPr>
          <w:rFonts w:cstheme="minorHAnsi"/>
        </w:rPr>
        <w:t xml:space="preserve">, </w:t>
      </w:r>
      <w:r w:rsidR="0034226C" w:rsidRPr="005D783F">
        <w:rPr>
          <w:rFonts w:cstheme="minorHAnsi"/>
        </w:rPr>
        <w:t>22</w:t>
      </w:r>
      <w:r w:rsidR="006B544B" w:rsidRPr="005D783F">
        <w:rPr>
          <w:rFonts w:cstheme="minorHAnsi"/>
        </w:rPr>
        <w:t xml:space="preserve"> de diciembre </w:t>
      </w:r>
      <w:r w:rsidR="00047EC0" w:rsidRPr="005D783F">
        <w:rPr>
          <w:rFonts w:cstheme="minorHAnsi"/>
        </w:rPr>
        <w:t>de 2025</w:t>
      </w:r>
    </w:p>
    <w:p w14:paraId="6B620779" w14:textId="42239ADB" w:rsidR="00130061" w:rsidRPr="005D783F" w:rsidRDefault="005D783F" w:rsidP="005D783F">
      <w:pPr>
        <w:spacing w:after="120"/>
        <w:jc w:val="both"/>
        <w:rPr>
          <w:rFonts w:cstheme="minorHAnsi"/>
        </w:rPr>
      </w:pPr>
      <w:r w:rsidRPr="005D783F">
        <w:rPr>
          <w:rFonts w:cstheme="minorHAnsi"/>
        </w:rPr>
        <w:t>El Consejero de Cohesión Territorial</w:t>
      </w:r>
      <w:r>
        <w:rPr>
          <w:rFonts w:cstheme="minorHAnsi"/>
        </w:rPr>
        <w:t xml:space="preserve">: </w:t>
      </w:r>
      <w:r w:rsidR="00130061" w:rsidRPr="005D783F">
        <w:rPr>
          <w:rFonts w:cstheme="minorHAnsi"/>
        </w:rPr>
        <w:t>Óscar Chivite Cornago</w:t>
      </w:r>
    </w:p>
    <w:sectPr w:rsidR="00130061" w:rsidRPr="005D783F" w:rsidSect="005D783F">
      <w:headerReference w:type="default" r:id="rId7"/>
      <w:headerReference w:type="first" r:id="rId8"/>
      <w:pgSz w:w="11906" w:h="16838" w:code="9"/>
      <w:pgMar w:top="1560"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5D3B5" w14:textId="77777777" w:rsidR="00762F1B" w:rsidRDefault="00762F1B">
      <w:pPr>
        <w:spacing w:after="0" w:line="240" w:lineRule="auto"/>
      </w:pPr>
      <w:r>
        <w:separator/>
      </w:r>
    </w:p>
  </w:endnote>
  <w:endnote w:type="continuationSeparator" w:id="0">
    <w:p w14:paraId="214AECA0" w14:textId="77777777" w:rsidR="00762F1B" w:rsidRDefault="0076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932CA" w14:textId="77777777" w:rsidR="00762F1B" w:rsidRDefault="00762F1B">
      <w:pPr>
        <w:spacing w:after="0" w:line="240" w:lineRule="auto"/>
      </w:pPr>
      <w:r>
        <w:separator/>
      </w:r>
    </w:p>
  </w:footnote>
  <w:footnote w:type="continuationSeparator" w:id="0">
    <w:p w14:paraId="12C27486" w14:textId="77777777" w:rsidR="00762F1B" w:rsidRDefault="00762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CD76" w14:textId="0791D695" w:rsidR="0002772D" w:rsidRPr="007250F0" w:rsidRDefault="00AE6DA4" w:rsidP="00A56B2D">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AEFB" w14:textId="19668351" w:rsidR="0002772D" w:rsidRDefault="00AE6DA4" w:rsidP="001173FA">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494BD0"/>
    <w:multiLevelType w:val="hybridMultilevel"/>
    <w:tmpl w:val="42A2D46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D40079E"/>
    <w:multiLevelType w:val="hybridMultilevel"/>
    <w:tmpl w:val="D832A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9"/>
  </w:num>
  <w:num w:numId="2">
    <w:abstractNumId w:val="0"/>
  </w:num>
  <w:num w:numId="3">
    <w:abstractNumId w:val="5"/>
  </w:num>
  <w:num w:numId="4">
    <w:abstractNumId w:val="6"/>
  </w:num>
  <w:num w:numId="5">
    <w:abstractNumId w:val="8"/>
  </w:num>
  <w:num w:numId="6">
    <w:abstractNumId w:val="2"/>
  </w:num>
  <w:num w:numId="7">
    <w:abstractNumId w:val="3"/>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2F4"/>
    <w:rsid w:val="000749B1"/>
    <w:rsid w:val="000A5764"/>
    <w:rsid w:val="000C3D2F"/>
    <w:rsid w:val="000C5038"/>
    <w:rsid w:val="00130061"/>
    <w:rsid w:val="0013415E"/>
    <w:rsid w:val="001978E9"/>
    <w:rsid w:val="001D131B"/>
    <w:rsid w:val="001E17AA"/>
    <w:rsid w:val="001E6F21"/>
    <w:rsid w:val="001F111C"/>
    <w:rsid w:val="001F5039"/>
    <w:rsid w:val="00241446"/>
    <w:rsid w:val="00250BC6"/>
    <w:rsid w:val="00252F45"/>
    <w:rsid w:val="00277880"/>
    <w:rsid w:val="002E55AA"/>
    <w:rsid w:val="00315F6E"/>
    <w:rsid w:val="00327101"/>
    <w:rsid w:val="0033467F"/>
    <w:rsid w:val="0034226C"/>
    <w:rsid w:val="0036549F"/>
    <w:rsid w:val="003908CB"/>
    <w:rsid w:val="003A2312"/>
    <w:rsid w:val="003B5DDC"/>
    <w:rsid w:val="003C1B22"/>
    <w:rsid w:val="003E2792"/>
    <w:rsid w:val="003F1F62"/>
    <w:rsid w:val="003F736B"/>
    <w:rsid w:val="00413A1D"/>
    <w:rsid w:val="00416F5E"/>
    <w:rsid w:val="0042146E"/>
    <w:rsid w:val="0044543B"/>
    <w:rsid w:val="00452C14"/>
    <w:rsid w:val="00484B51"/>
    <w:rsid w:val="004A39D0"/>
    <w:rsid w:val="004B626A"/>
    <w:rsid w:val="005222AF"/>
    <w:rsid w:val="00571278"/>
    <w:rsid w:val="0057322D"/>
    <w:rsid w:val="00574868"/>
    <w:rsid w:val="005938E0"/>
    <w:rsid w:val="005C4B9D"/>
    <w:rsid w:val="005D783F"/>
    <w:rsid w:val="00605C2D"/>
    <w:rsid w:val="00663272"/>
    <w:rsid w:val="00686A5F"/>
    <w:rsid w:val="006B544B"/>
    <w:rsid w:val="006D34A8"/>
    <w:rsid w:val="006E59AA"/>
    <w:rsid w:val="0074101C"/>
    <w:rsid w:val="00751AB8"/>
    <w:rsid w:val="00762F1B"/>
    <w:rsid w:val="00770D69"/>
    <w:rsid w:val="007A0C8E"/>
    <w:rsid w:val="007C1B35"/>
    <w:rsid w:val="007E75F5"/>
    <w:rsid w:val="007F1B95"/>
    <w:rsid w:val="00820191"/>
    <w:rsid w:val="008A7A3C"/>
    <w:rsid w:val="008C0A70"/>
    <w:rsid w:val="008D455B"/>
    <w:rsid w:val="009137CC"/>
    <w:rsid w:val="00917145"/>
    <w:rsid w:val="0092426B"/>
    <w:rsid w:val="009B3E73"/>
    <w:rsid w:val="009C3421"/>
    <w:rsid w:val="009C7C36"/>
    <w:rsid w:val="009D0B41"/>
    <w:rsid w:val="009E6DE0"/>
    <w:rsid w:val="009F1954"/>
    <w:rsid w:val="00A53C30"/>
    <w:rsid w:val="00A919C9"/>
    <w:rsid w:val="00AA6A10"/>
    <w:rsid w:val="00AC3D71"/>
    <w:rsid w:val="00AE47EF"/>
    <w:rsid w:val="00AE6DA4"/>
    <w:rsid w:val="00AF0AB4"/>
    <w:rsid w:val="00B0456A"/>
    <w:rsid w:val="00B1666C"/>
    <w:rsid w:val="00B221B9"/>
    <w:rsid w:val="00B71E8F"/>
    <w:rsid w:val="00BD4011"/>
    <w:rsid w:val="00BE5E92"/>
    <w:rsid w:val="00C22203"/>
    <w:rsid w:val="00C315BC"/>
    <w:rsid w:val="00C367B3"/>
    <w:rsid w:val="00C72C75"/>
    <w:rsid w:val="00CA3BE3"/>
    <w:rsid w:val="00CD6447"/>
    <w:rsid w:val="00CF3D60"/>
    <w:rsid w:val="00D24193"/>
    <w:rsid w:val="00D4500D"/>
    <w:rsid w:val="00D91717"/>
    <w:rsid w:val="00D91916"/>
    <w:rsid w:val="00DB5AD9"/>
    <w:rsid w:val="00DC6AF6"/>
    <w:rsid w:val="00DF26DC"/>
    <w:rsid w:val="00DF679B"/>
    <w:rsid w:val="00E20DFB"/>
    <w:rsid w:val="00E614D7"/>
    <w:rsid w:val="00EA46FF"/>
    <w:rsid w:val="00EA7251"/>
    <w:rsid w:val="00F05FD3"/>
    <w:rsid w:val="00F1209D"/>
    <w:rsid w:val="00F26481"/>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665EA"/>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1656</Words>
  <Characters>9111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Fernández Pérez, Beatriz</cp:lastModifiedBy>
  <cp:revision>16</cp:revision>
  <cp:lastPrinted>2025-12-22T11:16:00Z</cp:lastPrinted>
  <dcterms:created xsi:type="dcterms:W3CDTF">2024-12-11T15:07:00Z</dcterms:created>
  <dcterms:modified xsi:type="dcterms:W3CDTF">2026-01-28T09:17:00Z</dcterms:modified>
</cp:coreProperties>
</file>