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DB20" w14:textId="3FECDDD9" w:rsidR="00ED31EE" w:rsidRPr="00C6085F" w:rsidRDefault="00ED31EE" w:rsidP="00C6085F">
      <w:pPr>
        <w:tabs>
          <w:tab w:val="left" w:pos="720"/>
          <w:tab w:val="center" w:pos="3888"/>
        </w:tabs>
        <w:spacing w:after="120" w:line="276" w:lineRule="auto"/>
        <w:jc w:val="both"/>
        <w:rPr>
          <w:rFonts w:asciiTheme="majorHAnsi" w:hAnsiTheme="majorHAnsi" w:cstheme="majorHAnsi"/>
          <w:sz w:val="22"/>
          <w:szCs w:val="22"/>
        </w:rPr>
      </w:pPr>
      <w:r>
        <w:rPr>
          <w:rFonts w:asciiTheme="majorHAnsi" w:hAnsiTheme="majorHAnsi"/>
          <w:sz w:val="22"/>
        </w:rPr>
        <w:t>Ekonomia eta Ogasun Departamentuko kontseilariak hauxe jakinarazten du, EH Bildu Nafarroa talde parlamentarioari atxikitako Adolfo Araiz Flamarique foru-parlamentari jaunak idatziz eskaturiko galderari loturik, Toki-entitateen eta autonomia-erkidegoen inbertsio-jarduera bultzatzeko premiazko neurriak ezartzen dituen abenduaren 2ko 15/2025 Errege Lege Dekretua Nafarroan aplikatzeari dagokionez (11-25/PES-00441):</w:t>
      </w:r>
    </w:p>
    <w:p w14:paraId="766A7E8A" w14:textId="3E87FBCC" w:rsidR="00716AC4" w:rsidRPr="00C6085F" w:rsidRDefault="00716AC4" w:rsidP="00C6085F">
      <w:pPr>
        <w:tabs>
          <w:tab w:val="left" w:pos="567"/>
        </w:tabs>
        <w:spacing w:after="120" w:line="276" w:lineRule="auto"/>
        <w:ind w:right="-142"/>
        <w:jc w:val="both"/>
        <w:rPr>
          <w:rFonts w:asciiTheme="majorHAnsi" w:hAnsiTheme="majorHAnsi" w:cstheme="majorHAnsi"/>
          <w:i/>
          <w:sz w:val="22"/>
          <w:szCs w:val="22"/>
        </w:rPr>
      </w:pPr>
      <w:r>
        <w:rPr>
          <w:rFonts w:asciiTheme="majorHAnsi" w:hAnsiTheme="majorHAnsi"/>
          <w:i/>
          <w:sz w:val="22"/>
        </w:rPr>
        <w:t>Gobernuaren ustez, Nafarroan zuzenean aplikatzekoa al da 13/2025 Errege Lege-dekretuaren 2. artikuluan xedatutakoa, autonomia-erkidegoen 2024ko aurrekontu-superabita bideratzeko arau bereziei dagokienez?</w:t>
      </w:r>
    </w:p>
    <w:p w14:paraId="119EAF7A" w14:textId="77777777" w:rsidR="00716AC4" w:rsidRPr="00C6085F" w:rsidRDefault="00716AC4" w:rsidP="00C6085F">
      <w:pPr>
        <w:spacing w:after="120" w:line="276" w:lineRule="auto"/>
        <w:ind w:right="-142"/>
        <w:jc w:val="both"/>
        <w:rPr>
          <w:rFonts w:asciiTheme="majorHAnsi" w:hAnsiTheme="majorHAnsi" w:cstheme="majorHAnsi"/>
          <w:sz w:val="22"/>
          <w:szCs w:val="22"/>
        </w:rPr>
      </w:pPr>
      <w:r>
        <w:rPr>
          <w:rFonts w:asciiTheme="majorHAnsi" w:hAnsiTheme="majorHAnsi"/>
          <w:sz w:val="22"/>
        </w:rPr>
        <w:t>Errege lege-dekretu horren 2. artikuluak aurreikusten du Estatuaren 2018rako Aurrekontu Orokorren uztailaren 3ko 6/2018 Legearen ehun eta hamaseigarren xedapen gehigarrian jasotako arau bereziak aplikatzea, 2024ko aurrekontu-superabitari dagokionez.</w:t>
      </w:r>
    </w:p>
    <w:p w14:paraId="1D536FF4" w14:textId="77777777" w:rsidR="00716AC4" w:rsidRPr="00C6085F" w:rsidRDefault="00716AC4" w:rsidP="00C6085F">
      <w:pPr>
        <w:spacing w:after="120" w:line="276" w:lineRule="auto"/>
        <w:ind w:right="-142"/>
        <w:jc w:val="both"/>
        <w:rPr>
          <w:rFonts w:asciiTheme="majorHAnsi" w:hAnsiTheme="majorHAnsi" w:cstheme="majorHAnsi"/>
          <w:sz w:val="22"/>
          <w:szCs w:val="22"/>
        </w:rPr>
      </w:pPr>
      <w:r>
        <w:rPr>
          <w:rFonts w:asciiTheme="majorHAnsi" w:hAnsiTheme="majorHAnsi"/>
          <w:sz w:val="22"/>
        </w:rPr>
        <w:t>116. xedapen gehigarri horrek salbuetsi egiten du aurrekontu-superabita aplikatzetik baldintza jakin batzuetan, Aurrekontu Egonkortasunari eta Finantza Jasangarritasunari buruzko apirilaren 27ko 2/2012 Lege Organikoaren 32. artikuluak definitzen duen moduan.</w:t>
      </w:r>
    </w:p>
    <w:p w14:paraId="414134FF" w14:textId="77777777" w:rsidR="00716AC4" w:rsidRPr="00C6085F" w:rsidRDefault="00716AC4" w:rsidP="00C6085F">
      <w:pPr>
        <w:spacing w:after="120" w:line="276" w:lineRule="auto"/>
        <w:ind w:right="-142"/>
        <w:jc w:val="both"/>
        <w:rPr>
          <w:rFonts w:asciiTheme="majorHAnsi" w:hAnsiTheme="majorHAnsi" w:cstheme="majorHAnsi"/>
          <w:sz w:val="22"/>
          <w:szCs w:val="22"/>
        </w:rPr>
      </w:pPr>
      <w:r>
        <w:rPr>
          <w:rFonts w:asciiTheme="majorHAnsi" w:hAnsiTheme="majorHAnsi"/>
          <w:sz w:val="22"/>
        </w:rPr>
        <w:t>Aipaturiko lege organiko hori oinarrizko araua da administrazio publiko guztientzat; hala ere, azken xedapenetako hirugarreneko 1. apartatuak ezartzen du Foru Komunitateari aplikatzeko kontuan hartu behar dela foru-araubidea —Nafarroako Foru Eraentza Berrezarri eta Hobetzeari buruzko Lege Organikoaren 64. artikuluan ezarritakoaren arabera—, Estatuaren eta Nafarroako Foru Komunitatearen arteko Hitzarmen Ekonomikoan xedatutakoari jarraikiz.</w:t>
      </w:r>
    </w:p>
    <w:p w14:paraId="3AA7D4C1" w14:textId="77777777" w:rsidR="00716AC4" w:rsidRPr="00C6085F" w:rsidRDefault="00716AC4" w:rsidP="00C6085F">
      <w:pPr>
        <w:spacing w:after="120" w:line="276" w:lineRule="auto"/>
        <w:ind w:right="-142"/>
        <w:jc w:val="both"/>
        <w:rPr>
          <w:rFonts w:asciiTheme="majorHAnsi" w:hAnsiTheme="majorHAnsi" w:cstheme="majorHAnsi"/>
          <w:sz w:val="22"/>
          <w:szCs w:val="22"/>
        </w:rPr>
      </w:pPr>
      <w:r>
        <w:rPr>
          <w:rFonts w:asciiTheme="majorHAnsi" w:hAnsiTheme="majorHAnsi"/>
          <w:sz w:val="22"/>
        </w:rPr>
        <w:t>Beraz, esparru horretan gauzatzen da hemen dagokigun errege lege-dekretuan araututako neurriak Foru Komunitatean aplikatzea.</w:t>
      </w:r>
    </w:p>
    <w:p w14:paraId="4D4FEE09" w14:textId="77777777" w:rsidR="00716AC4" w:rsidRPr="00C6085F" w:rsidRDefault="00716AC4" w:rsidP="00C6085F">
      <w:pPr>
        <w:tabs>
          <w:tab w:val="left" w:pos="567"/>
        </w:tabs>
        <w:spacing w:after="120" w:line="276" w:lineRule="auto"/>
        <w:ind w:right="-142"/>
        <w:jc w:val="both"/>
        <w:rPr>
          <w:rFonts w:asciiTheme="majorHAnsi" w:hAnsiTheme="majorHAnsi" w:cstheme="majorHAnsi"/>
          <w:i/>
          <w:sz w:val="22"/>
          <w:szCs w:val="22"/>
        </w:rPr>
      </w:pPr>
      <w:r>
        <w:rPr>
          <w:rFonts w:asciiTheme="majorHAnsi" w:hAnsiTheme="majorHAnsi"/>
          <w:i/>
          <w:sz w:val="22"/>
        </w:rPr>
        <w:t>Zein izan zen Nafarroako aurrekontu-superabita 2026ko ekitaldian?</w:t>
      </w:r>
    </w:p>
    <w:p w14:paraId="569082D2" w14:textId="77777777" w:rsidR="00716AC4" w:rsidRPr="00C6085F" w:rsidRDefault="00716AC4" w:rsidP="00C6085F">
      <w:pPr>
        <w:spacing w:after="120" w:line="276" w:lineRule="auto"/>
        <w:ind w:right="-142"/>
        <w:jc w:val="both"/>
        <w:rPr>
          <w:rFonts w:asciiTheme="majorHAnsi" w:hAnsiTheme="majorHAnsi" w:cstheme="majorHAnsi"/>
          <w:sz w:val="22"/>
          <w:szCs w:val="22"/>
        </w:rPr>
      </w:pPr>
      <w:r>
        <w:rPr>
          <w:rFonts w:asciiTheme="majorHAnsi" w:hAnsiTheme="majorHAnsi"/>
          <w:sz w:val="22"/>
        </w:rPr>
        <w:t>Irizten diogu akats bat dagoela galderaren formulazioan, eta 2024ko ekitaldiko superabitaz ari dela.</w:t>
      </w:r>
    </w:p>
    <w:p w14:paraId="361D84C3" w14:textId="59E50723" w:rsidR="00716AC4" w:rsidRPr="00C6085F" w:rsidRDefault="00716AC4" w:rsidP="00C6085F">
      <w:pPr>
        <w:spacing w:after="120" w:line="276" w:lineRule="auto"/>
        <w:ind w:right="-142"/>
        <w:jc w:val="both"/>
        <w:rPr>
          <w:rFonts w:asciiTheme="majorHAnsi" w:hAnsiTheme="majorHAnsi" w:cstheme="majorHAnsi"/>
          <w:sz w:val="22"/>
          <w:szCs w:val="22"/>
        </w:rPr>
      </w:pPr>
      <w:r>
        <w:rPr>
          <w:rFonts w:asciiTheme="majorHAnsi" w:hAnsiTheme="majorHAnsi"/>
          <w:sz w:val="22"/>
        </w:rPr>
        <w:t>Estatuko Kontu Hartzailetza Nagusiak 2025eko azaroan argitaratutako azken datuen arabera (behin-behineko datuak), 2024an Foru Komunitateak 271 milioi euroko finantzaketa ahalmena izanen du SEC2010i dagokionez; hau da, Foru Komunitatearen barne-produktu gordinaren % 1,02.</w:t>
      </w:r>
    </w:p>
    <w:p w14:paraId="7877969E" w14:textId="77777777" w:rsidR="00716AC4" w:rsidRPr="00C6085F" w:rsidRDefault="00716AC4" w:rsidP="00C6085F">
      <w:pPr>
        <w:tabs>
          <w:tab w:val="left" w:pos="567"/>
        </w:tabs>
        <w:spacing w:after="120" w:line="276" w:lineRule="auto"/>
        <w:ind w:right="-142"/>
        <w:jc w:val="both"/>
        <w:rPr>
          <w:rFonts w:asciiTheme="majorHAnsi" w:hAnsiTheme="majorHAnsi" w:cstheme="majorHAnsi"/>
          <w:i/>
          <w:sz w:val="22"/>
          <w:szCs w:val="22"/>
        </w:rPr>
      </w:pPr>
      <w:r>
        <w:rPr>
          <w:rFonts w:asciiTheme="majorHAnsi" w:hAnsiTheme="majorHAnsi"/>
          <w:i/>
          <w:sz w:val="22"/>
        </w:rPr>
        <w:t>Aurreikusita al dauka Nafarroako Gobernuak inbertsio-plan finantzarioki jasangarriren bat aurkeztea 2024ko superabit horren zati baten kargura?</w:t>
      </w:r>
    </w:p>
    <w:p w14:paraId="2F076FE3" w14:textId="77777777" w:rsidR="00716AC4" w:rsidRPr="00C6085F" w:rsidRDefault="00716AC4" w:rsidP="00C6085F">
      <w:pPr>
        <w:spacing w:after="120" w:line="276" w:lineRule="auto"/>
        <w:ind w:right="-142"/>
        <w:jc w:val="both"/>
        <w:rPr>
          <w:rFonts w:asciiTheme="majorHAnsi" w:hAnsiTheme="majorHAnsi" w:cstheme="majorHAnsi"/>
          <w:sz w:val="22"/>
          <w:szCs w:val="22"/>
        </w:rPr>
      </w:pPr>
      <w:r>
        <w:rPr>
          <w:rFonts w:asciiTheme="majorHAnsi" w:hAnsiTheme="majorHAnsi"/>
          <w:sz w:val="22"/>
        </w:rPr>
        <w:t>Nafarroako Gobernuak 2024ko urriaren 11ko bileran onetsi zuen 2025eko inbertsio-programa bat, gastu orokorren diruzaintza-geldikinaren kontura finantzatzekoa eta ekitaldi bakoitzerako eskuragarri, Nafarroako Aurrekontu Orokorretan biltzeko ekitaldi bakoitzean (2025, 2026 eta 2027), guztira 125.370.500 euroko zenbatekoarekin.</w:t>
      </w:r>
    </w:p>
    <w:p w14:paraId="2B242BC7" w14:textId="77777777" w:rsidR="00716AC4" w:rsidRPr="00C6085F" w:rsidRDefault="00716AC4" w:rsidP="00C6085F">
      <w:pPr>
        <w:spacing w:after="120" w:line="276" w:lineRule="auto"/>
        <w:ind w:right="-142"/>
        <w:jc w:val="both"/>
        <w:rPr>
          <w:rFonts w:asciiTheme="majorHAnsi" w:hAnsiTheme="majorHAnsi" w:cstheme="majorHAnsi"/>
          <w:sz w:val="22"/>
          <w:szCs w:val="22"/>
        </w:rPr>
      </w:pPr>
      <w:r>
        <w:rPr>
          <w:rFonts w:asciiTheme="majorHAnsi" w:hAnsiTheme="majorHAnsi"/>
          <w:sz w:val="22"/>
        </w:rPr>
        <w:t>Nafarroako 2025erako Aurrekontu Orokorren 19/2024 Foru Legeak 67.139.000 euro sartzea ezarri zuen 80. artikuluan, 2025eko Inbertsio Programan jasotako inbertsio jakin batzuetarako. Eta, era berean, Nafarroako 2026rako Aurrekontu Orokorren 16/2025 Foru Legearen 80. artikuluan 43.766.500 euro gehitzea aurreikusten da. Bi kasuetan, xedapen honetan jasotako zehaztapenekin lotuta sortzen ahal diren gaiak Hitzarmen Ekonomikoaren Koordinazio Batzordean arautuko eta interpretatuko direla aurreikusten da.</w:t>
      </w:r>
    </w:p>
    <w:p w14:paraId="04E3F99B" w14:textId="77777777" w:rsidR="00716AC4" w:rsidRPr="00C6085F" w:rsidRDefault="00716AC4" w:rsidP="00C6085F">
      <w:pPr>
        <w:spacing w:after="120" w:line="276" w:lineRule="auto"/>
        <w:ind w:right="-142"/>
        <w:jc w:val="both"/>
        <w:rPr>
          <w:rFonts w:asciiTheme="majorHAnsi" w:hAnsiTheme="majorHAnsi" w:cstheme="majorHAnsi"/>
          <w:sz w:val="22"/>
          <w:szCs w:val="22"/>
        </w:rPr>
      </w:pPr>
      <w:r>
        <w:rPr>
          <w:rFonts w:asciiTheme="majorHAnsi" w:hAnsiTheme="majorHAnsi"/>
          <w:sz w:val="22"/>
        </w:rPr>
        <w:lastRenderedPageBreak/>
        <w:t>Horri dagokionez, Nafarroako Foru Komunitatearen 2025-2027 aldirako Aurrekontu Egonkortasuneko eta Zor Publikoko helburuak onesten dituen Hitzarmen Ekonomikoaren Koordinazio Batzordearen 2025eko otsailaren 13ko 1/2025 Aktaren hamabosgarren erabakiak eta XIV. eranskinak hauxe ezartzen dute hirugarren apartatuan:</w:t>
      </w:r>
    </w:p>
    <w:p w14:paraId="3A6FFCBA" w14:textId="77777777" w:rsidR="00716AC4" w:rsidRPr="00C6085F" w:rsidRDefault="00716AC4" w:rsidP="00C6085F">
      <w:pPr>
        <w:spacing w:after="120" w:line="276" w:lineRule="auto"/>
        <w:ind w:right="-142"/>
        <w:jc w:val="both"/>
        <w:rPr>
          <w:rFonts w:asciiTheme="majorHAnsi" w:hAnsiTheme="majorHAnsi" w:cstheme="majorHAnsi"/>
          <w:i/>
          <w:sz w:val="22"/>
          <w:szCs w:val="22"/>
        </w:rPr>
      </w:pPr>
      <w:r>
        <w:rPr>
          <w:rFonts w:asciiTheme="majorHAnsi" w:hAnsiTheme="majorHAnsi"/>
          <w:i/>
          <w:sz w:val="22"/>
        </w:rPr>
        <w:t>Hirugarrena. - 2025-2027 inbertsio-programa.</w:t>
      </w:r>
    </w:p>
    <w:p w14:paraId="753F2DE1" w14:textId="77777777" w:rsidR="00716AC4" w:rsidRPr="00C6085F" w:rsidRDefault="00716AC4" w:rsidP="00C6085F">
      <w:pPr>
        <w:spacing w:after="120" w:line="276" w:lineRule="auto"/>
        <w:ind w:right="-142"/>
        <w:jc w:val="both"/>
        <w:rPr>
          <w:rFonts w:asciiTheme="majorHAnsi" w:hAnsiTheme="majorHAnsi" w:cstheme="majorHAnsi"/>
          <w:i/>
          <w:sz w:val="22"/>
          <w:szCs w:val="22"/>
        </w:rPr>
      </w:pPr>
      <w:r>
        <w:rPr>
          <w:rFonts w:asciiTheme="majorHAnsi" w:hAnsiTheme="majorHAnsi"/>
          <w:i/>
          <w:sz w:val="22"/>
        </w:rPr>
        <w:t>Egindako sendotze ahalegina eta finantza-egoera sendoa kontuan hartuta, Foru Komunitateak bere barne-produktu gordinaren % 0,4aren baliokidea den 2024ko superabitaren zenbateko bat bideratuko du inbertsioak finantzatzeko, kontuan izanik inbertsio horiek Europar Batasunaren lehentasun komunei laguntzen dietela, besteak beste, trantsizio ekologikoari eta digitalari, erresilientzia sozial eta ekonomikoari eta eskubide sozialen Europako oinarria aplikatzeari, barnean harturik hemendik 2030era arte enpleguaren, gaitasunen eta pobrezia murriztearen arloko helburuak eta segurtasun energetikoa, zeinek finantzarioki jasangarriak izan behar baitute inbertsioaren bizitza baliagarrian zehar.</w:t>
      </w:r>
    </w:p>
    <w:p w14:paraId="13D0076D" w14:textId="77777777" w:rsidR="00716AC4" w:rsidRPr="00C6085F" w:rsidRDefault="00716AC4" w:rsidP="00C6085F">
      <w:pPr>
        <w:spacing w:after="120" w:line="276" w:lineRule="auto"/>
        <w:ind w:right="-142"/>
        <w:jc w:val="both"/>
        <w:rPr>
          <w:rFonts w:asciiTheme="majorHAnsi" w:hAnsiTheme="majorHAnsi" w:cstheme="majorHAnsi"/>
          <w:i/>
          <w:sz w:val="22"/>
          <w:szCs w:val="22"/>
        </w:rPr>
      </w:pPr>
      <w:r>
        <w:rPr>
          <w:rFonts w:asciiTheme="majorHAnsi" w:hAnsiTheme="majorHAnsi"/>
          <w:i/>
          <w:sz w:val="22"/>
        </w:rPr>
        <w:t>Azkenean aplikatzekoak diren lege-arauen arabera, inbertsio horiek ez dira zenbatuko Aurrekontu Egonkortasunari eta Finantza Jasangarritasunari buruzko apirilaren 27ko 2/2012 Lege Organikoaren 12. artikuluan zehaztutako gastu-araua aplikatzeko, ezta lege organiko horren 32. artikuluan ezarritakoa betetzeko ere, aurrekontu-superabitaren xedeari dagokionez.</w:t>
      </w:r>
    </w:p>
    <w:p w14:paraId="66410E8E" w14:textId="77777777" w:rsidR="006A1959" w:rsidRPr="00C6085F" w:rsidRDefault="006A1959" w:rsidP="00C6085F">
      <w:pPr>
        <w:tabs>
          <w:tab w:val="left" w:pos="720"/>
          <w:tab w:val="center" w:pos="3888"/>
        </w:tabs>
        <w:spacing w:after="120" w:line="276" w:lineRule="auto"/>
        <w:jc w:val="both"/>
        <w:rPr>
          <w:rFonts w:asciiTheme="majorHAnsi" w:hAnsiTheme="majorHAnsi" w:cstheme="majorHAnsi"/>
          <w:sz w:val="22"/>
          <w:szCs w:val="22"/>
        </w:rPr>
      </w:pPr>
      <w:r>
        <w:rPr>
          <w:rFonts w:asciiTheme="majorHAnsi" w:hAnsiTheme="majorHAnsi"/>
          <w:sz w:val="22"/>
        </w:rPr>
        <w:t>Hori guztia jakinarazten dut, Nafarroako Parlamentuko Erregelamenduaren 14. artikulua betez.</w:t>
      </w:r>
    </w:p>
    <w:p w14:paraId="0BB35219" w14:textId="3BA838C4" w:rsidR="00ED31EE" w:rsidRPr="00C6085F" w:rsidRDefault="00ED31EE" w:rsidP="00C6085F">
      <w:pPr>
        <w:tabs>
          <w:tab w:val="left" w:pos="720"/>
          <w:tab w:val="center" w:pos="3888"/>
        </w:tabs>
        <w:spacing w:after="120" w:line="276" w:lineRule="auto"/>
        <w:jc w:val="both"/>
        <w:rPr>
          <w:rFonts w:asciiTheme="majorHAnsi" w:hAnsiTheme="majorHAnsi" w:cstheme="majorHAnsi"/>
          <w:sz w:val="22"/>
          <w:szCs w:val="22"/>
        </w:rPr>
      </w:pPr>
      <w:r>
        <w:rPr>
          <w:rFonts w:asciiTheme="majorHAnsi" w:hAnsiTheme="majorHAnsi"/>
          <w:sz w:val="22"/>
        </w:rPr>
        <w:t>Iruñean, 202</w:t>
      </w:r>
      <w:r w:rsidR="00163AE1">
        <w:rPr>
          <w:rFonts w:asciiTheme="majorHAnsi" w:hAnsiTheme="majorHAnsi"/>
          <w:sz w:val="22"/>
        </w:rPr>
        <w:t>6</w:t>
      </w:r>
      <w:r>
        <w:rPr>
          <w:rFonts w:asciiTheme="majorHAnsi" w:hAnsiTheme="majorHAnsi"/>
          <w:sz w:val="22"/>
        </w:rPr>
        <w:t>ko urtarrilaren 13an</w:t>
      </w:r>
    </w:p>
    <w:p w14:paraId="5D6666A9" w14:textId="353574DE" w:rsidR="00ED31EE" w:rsidRPr="00C6085F" w:rsidRDefault="00C6085F" w:rsidP="00C6085F">
      <w:pPr>
        <w:tabs>
          <w:tab w:val="left" w:pos="720"/>
          <w:tab w:val="center" w:pos="3888"/>
        </w:tabs>
        <w:spacing w:after="120" w:line="276" w:lineRule="auto"/>
        <w:jc w:val="both"/>
        <w:rPr>
          <w:rFonts w:asciiTheme="majorHAnsi" w:hAnsiTheme="majorHAnsi" w:cstheme="majorHAnsi"/>
          <w:sz w:val="22"/>
          <w:szCs w:val="22"/>
        </w:rPr>
      </w:pPr>
      <w:r>
        <w:rPr>
          <w:rFonts w:asciiTheme="majorHAnsi" w:hAnsiTheme="majorHAnsi"/>
          <w:sz w:val="22"/>
        </w:rPr>
        <w:t>Ekonomia eta Ogasun kontseilaria: José Luis Arasti Pérez</w:t>
      </w:r>
    </w:p>
    <w:sectPr w:rsidR="00ED31EE" w:rsidRPr="00C6085F" w:rsidSect="00C6085F">
      <w:headerReference w:type="even" r:id="rId8"/>
      <w:headerReference w:type="default" r:id="rId9"/>
      <w:pgSz w:w="11906" w:h="16838" w:code="9"/>
      <w:pgMar w:top="1702" w:right="1418" w:bottom="1418"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89F2" w14:textId="77777777" w:rsidR="007E0CD0" w:rsidRDefault="007E0CD0">
      <w:r>
        <w:separator/>
      </w:r>
    </w:p>
  </w:endnote>
  <w:endnote w:type="continuationSeparator" w:id="0">
    <w:p w14:paraId="2339B8A3" w14:textId="77777777" w:rsidR="007E0CD0" w:rsidRDefault="007E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539E" w14:textId="77777777" w:rsidR="007E0CD0" w:rsidRDefault="007E0CD0">
      <w:r>
        <w:separator/>
      </w:r>
    </w:p>
  </w:footnote>
  <w:footnote w:type="continuationSeparator" w:id="0">
    <w:p w14:paraId="105F80C9" w14:textId="77777777" w:rsidR="007E0CD0" w:rsidRDefault="007E0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323E" w14:textId="77777777" w:rsidR="007A58F6" w:rsidRDefault="007A58F6">
    <w:pPr>
      <w:pStyle w:val="Encabezado"/>
    </w:pPr>
    <w:r>
      <w:rPr>
        <w:noProof/>
      </w:rPr>
      <w:drawing>
        <wp:anchor distT="0" distB="0" distL="114300" distR="114300" simplePos="0" relativeHeight="251659264" behindDoc="0" locked="0" layoutInCell="1" allowOverlap="1" wp14:anchorId="33FA14E8" wp14:editId="1C00DCBA">
          <wp:simplePos x="0" y="0"/>
          <wp:positionH relativeFrom="page">
            <wp:posOffset>900430</wp:posOffset>
          </wp:positionH>
          <wp:positionV relativeFrom="page">
            <wp:posOffset>540385</wp:posOffset>
          </wp:positionV>
          <wp:extent cx="7569186" cy="1803059"/>
          <wp:effectExtent l="25400" t="0" r="14" b="0"/>
          <wp:wrapNone/>
          <wp:docPr id="5" name="Imagen 5" descr="DG Funcion 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G Funcion Publica"/>
                  <pic:cNvPicPr>
                    <a:picLocks noChangeAspect="1" noChangeArrowheads="1"/>
                  </pic:cNvPicPr>
                </pic:nvPicPr>
                <pic:blipFill>
                  <a:blip r:embed="rId1"/>
                  <a:stretch>
                    <a:fillRect/>
                  </a:stretch>
                </pic:blipFill>
                <pic:spPr bwMode="auto">
                  <a:xfrm>
                    <a:off x="0" y="0"/>
                    <a:ext cx="7569186" cy="1803059"/>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3C29" w14:textId="77777777" w:rsidR="00C6085F" w:rsidRPr="007250F0" w:rsidRDefault="00C6085F" w:rsidP="00B17CCC">
    <w:pPr>
      <w:pStyle w:val="Encabezado"/>
      <w:tabs>
        <w:tab w:val="clear" w:pos="4252"/>
        <w:tab w:val="clear" w:pos="8504"/>
        <w:tab w:val="left" w:pos="7860"/>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A5264"/>
    <w:multiLevelType w:val="hybridMultilevel"/>
    <w:tmpl w:val="342CC5BC"/>
    <w:lvl w:ilvl="0" w:tplc="AF5A7E0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7531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12C5C"/>
    <w:rsid w:val="00054B92"/>
    <w:rsid w:val="00071D98"/>
    <w:rsid w:val="000729E0"/>
    <w:rsid w:val="0008040E"/>
    <w:rsid w:val="0008067F"/>
    <w:rsid w:val="0009463A"/>
    <w:rsid w:val="000A60E7"/>
    <w:rsid w:val="000B64A1"/>
    <w:rsid w:val="000D08B3"/>
    <w:rsid w:val="000F555B"/>
    <w:rsid w:val="00103C1A"/>
    <w:rsid w:val="0013035B"/>
    <w:rsid w:val="001516D5"/>
    <w:rsid w:val="00163AE1"/>
    <w:rsid w:val="00164D90"/>
    <w:rsid w:val="00165D79"/>
    <w:rsid w:val="0016656D"/>
    <w:rsid w:val="0018244E"/>
    <w:rsid w:val="00183BFB"/>
    <w:rsid w:val="00192C26"/>
    <w:rsid w:val="00197C17"/>
    <w:rsid w:val="002015F8"/>
    <w:rsid w:val="0020337B"/>
    <w:rsid w:val="00211C02"/>
    <w:rsid w:val="00213839"/>
    <w:rsid w:val="002168BE"/>
    <w:rsid w:val="00277C9A"/>
    <w:rsid w:val="00286808"/>
    <w:rsid w:val="002C073E"/>
    <w:rsid w:val="002D4196"/>
    <w:rsid w:val="002D661C"/>
    <w:rsid w:val="0031033D"/>
    <w:rsid w:val="003416AC"/>
    <w:rsid w:val="0035141E"/>
    <w:rsid w:val="00364EC9"/>
    <w:rsid w:val="003877FD"/>
    <w:rsid w:val="00387AC3"/>
    <w:rsid w:val="003965CA"/>
    <w:rsid w:val="003B08B5"/>
    <w:rsid w:val="003C5A76"/>
    <w:rsid w:val="003E26CD"/>
    <w:rsid w:val="003F1206"/>
    <w:rsid w:val="00402607"/>
    <w:rsid w:val="004031A8"/>
    <w:rsid w:val="00403320"/>
    <w:rsid w:val="00420464"/>
    <w:rsid w:val="00426486"/>
    <w:rsid w:val="004541B8"/>
    <w:rsid w:val="00461C13"/>
    <w:rsid w:val="00467F32"/>
    <w:rsid w:val="00487D59"/>
    <w:rsid w:val="004A012A"/>
    <w:rsid w:val="004A0492"/>
    <w:rsid w:val="004A3615"/>
    <w:rsid w:val="004C58DB"/>
    <w:rsid w:val="004F4088"/>
    <w:rsid w:val="00524782"/>
    <w:rsid w:val="005367EB"/>
    <w:rsid w:val="005462C7"/>
    <w:rsid w:val="0056604A"/>
    <w:rsid w:val="00590A40"/>
    <w:rsid w:val="00597336"/>
    <w:rsid w:val="005A2BFD"/>
    <w:rsid w:val="005B095B"/>
    <w:rsid w:val="005C1796"/>
    <w:rsid w:val="005E7B5D"/>
    <w:rsid w:val="005F0FA5"/>
    <w:rsid w:val="005F40A3"/>
    <w:rsid w:val="006025B9"/>
    <w:rsid w:val="00610AAA"/>
    <w:rsid w:val="0063182E"/>
    <w:rsid w:val="00632306"/>
    <w:rsid w:val="006504AE"/>
    <w:rsid w:val="006764C1"/>
    <w:rsid w:val="00696F6F"/>
    <w:rsid w:val="006A1959"/>
    <w:rsid w:val="006A5952"/>
    <w:rsid w:val="006C7BF8"/>
    <w:rsid w:val="006E6291"/>
    <w:rsid w:val="00716AC4"/>
    <w:rsid w:val="00717748"/>
    <w:rsid w:val="0072622D"/>
    <w:rsid w:val="00743748"/>
    <w:rsid w:val="00751D32"/>
    <w:rsid w:val="00773EC1"/>
    <w:rsid w:val="00774755"/>
    <w:rsid w:val="0077698D"/>
    <w:rsid w:val="00777334"/>
    <w:rsid w:val="00780CA4"/>
    <w:rsid w:val="00793F61"/>
    <w:rsid w:val="007A58F6"/>
    <w:rsid w:val="007B2245"/>
    <w:rsid w:val="007C3B08"/>
    <w:rsid w:val="007E0CD0"/>
    <w:rsid w:val="007E640E"/>
    <w:rsid w:val="00800181"/>
    <w:rsid w:val="0081397E"/>
    <w:rsid w:val="00815E62"/>
    <w:rsid w:val="00821DC6"/>
    <w:rsid w:val="00832136"/>
    <w:rsid w:val="00867AF1"/>
    <w:rsid w:val="0089110A"/>
    <w:rsid w:val="008921E9"/>
    <w:rsid w:val="008A3BE8"/>
    <w:rsid w:val="008C03EF"/>
    <w:rsid w:val="008C6887"/>
    <w:rsid w:val="008F50EB"/>
    <w:rsid w:val="0091739C"/>
    <w:rsid w:val="009226EF"/>
    <w:rsid w:val="00931BF2"/>
    <w:rsid w:val="00937EFB"/>
    <w:rsid w:val="00940296"/>
    <w:rsid w:val="009809A9"/>
    <w:rsid w:val="00984DEC"/>
    <w:rsid w:val="00993099"/>
    <w:rsid w:val="00994342"/>
    <w:rsid w:val="009D3B9A"/>
    <w:rsid w:val="009D5132"/>
    <w:rsid w:val="009D73FA"/>
    <w:rsid w:val="009E202F"/>
    <w:rsid w:val="009E381E"/>
    <w:rsid w:val="009E3B7C"/>
    <w:rsid w:val="00A117E7"/>
    <w:rsid w:val="00A2145B"/>
    <w:rsid w:val="00A3315E"/>
    <w:rsid w:val="00A41F09"/>
    <w:rsid w:val="00A6414C"/>
    <w:rsid w:val="00A761DD"/>
    <w:rsid w:val="00A80A6B"/>
    <w:rsid w:val="00A94979"/>
    <w:rsid w:val="00AB2C9C"/>
    <w:rsid w:val="00AC53B4"/>
    <w:rsid w:val="00AD1BE0"/>
    <w:rsid w:val="00AD2EFC"/>
    <w:rsid w:val="00AD4D7C"/>
    <w:rsid w:val="00AE362A"/>
    <w:rsid w:val="00AF1FD7"/>
    <w:rsid w:val="00B17CCC"/>
    <w:rsid w:val="00B31EBA"/>
    <w:rsid w:val="00B46857"/>
    <w:rsid w:val="00B6314F"/>
    <w:rsid w:val="00B7594D"/>
    <w:rsid w:val="00BD6A02"/>
    <w:rsid w:val="00BE3891"/>
    <w:rsid w:val="00BE7E60"/>
    <w:rsid w:val="00BF2366"/>
    <w:rsid w:val="00C007AF"/>
    <w:rsid w:val="00C24003"/>
    <w:rsid w:val="00C44F62"/>
    <w:rsid w:val="00C6085F"/>
    <w:rsid w:val="00C7645D"/>
    <w:rsid w:val="00C93DAF"/>
    <w:rsid w:val="00CA2943"/>
    <w:rsid w:val="00CA3D0B"/>
    <w:rsid w:val="00CC186C"/>
    <w:rsid w:val="00CC687A"/>
    <w:rsid w:val="00CD3AC5"/>
    <w:rsid w:val="00CD3EBC"/>
    <w:rsid w:val="00CD7032"/>
    <w:rsid w:val="00CF0D1D"/>
    <w:rsid w:val="00D0395D"/>
    <w:rsid w:val="00D06E36"/>
    <w:rsid w:val="00D37E42"/>
    <w:rsid w:val="00D41871"/>
    <w:rsid w:val="00D50A28"/>
    <w:rsid w:val="00D53839"/>
    <w:rsid w:val="00D66DFD"/>
    <w:rsid w:val="00D72A63"/>
    <w:rsid w:val="00DA6D6E"/>
    <w:rsid w:val="00DB21FD"/>
    <w:rsid w:val="00DB64E2"/>
    <w:rsid w:val="00DE06A5"/>
    <w:rsid w:val="00DE0EF4"/>
    <w:rsid w:val="00DE72DB"/>
    <w:rsid w:val="00DF6784"/>
    <w:rsid w:val="00E163F4"/>
    <w:rsid w:val="00E20F74"/>
    <w:rsid w:val="00E21BF7"/>
    <w:rsid w:val="00E26569"/>
    <w:rsid w:val="00E85656"/>
    <w:rsid w:val="00ED31EE"/>
    <w:rsid w:val="00ED5CA9"/>
    <w:rsid w:val="00EF60C4"/>
    <w:rsid w:val="00EF66E5"/>
    <w:rsid w:val="00F1674F"/>
    <w:rsid w:val="00F31CB0"/>
    <w:rsid w:val="00F323EB"/>
    <w:rsid w:val="00F47A28"/>
    <w:rsid w:val="00F557BC"/>
    <w:rsid w:val="00F727BA"/>
    <w:rsid w:val="00F771E9"/>
    <w:rsid w:val="00F77DFD"/>
    <w:rsid w:val="00F90C5C"/>
    <w:rsid w:val="00F90E09"/>
    <w:rsid w:val="00F953C9"/>
    <w:rsid w:val="00FB46FF"/>
    <w:rsid w:val="00FD2712"/>
    <w:rsid w:val="00FF057C"/>
    <w:rsid w:val="00FF1231"/>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A2206"/>
  <w15:docId w15:val="{AD389B8D-CBBF-4D3D-887C-C7236B92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link w:val="PiedepginaCar"/>
    <w:uiPriority w:val="99"/>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character" w:customStyle="1" w:styleId="PiedepginaCar">
    <w:name w:val="Pie de página Car"/>
    <w:basedOn w:val="Fuentedeprrafopredeter"/>
    <w:link w:val="Piedepgina"/>
    <w:uiPriority w:val="99"/>
    <w:rsid w:val="003965CA"/>
    <w:rPr>
      <w:lang w:val="eu-ES" w:eastAsia="es-ES"/>
    </w:rPr>
  </w:style>
  <w:style w:type="paragraph" w:customStyle="1" w:styleId="Default">
    <w:name w:val="Default"/>
    <w:rsid w:val="006A1959"/>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716AC4"/>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652676">
      <w:bodyDiv w:val="1"/>
      <w:marLeft w:val="0"/>
      <w:marRight w:val="0"/>
      <w:marTop w:val="0"/>
      <w:marBottom w:val="0"/>
      <w:divBdr>
        <w:top w:val="none" w:sz="0" w:space="0" w:color="auto"/>
        <w:left w:val="none" w:sz="0" w:space="0" w:color="auto"/>
        <w:bottom w:val="none" w:sz="0" w:space="0" w:color="auto"/>
        <w:right w:val="none" w:sz="0" w:space="0" w:color="auto"/>
      </w:divBdr>
    </w:div>
    <w:div w:id="175461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16A0C-FA2B-4256-AAB4-64C4F3EF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722</Words>
  <Characters>3975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dc:creator>
  <cp:keywords/>
  <dc:description/>
  <cp:lastModifiedBy>Martin Cestao, Nerea</cp:lastModifiedBy>
  <cp:revision>4</cp:revision>
  <cp:lastPrinted>2025-06-30T11:35:00Z</cp:lastPrinted>
  <dcterms:created xsi:type="dcterms:W3CDTF">2026-01-13T13:06:00Z</dcterms:created>
  <dcterms:modified xsi:type="dcterms:W3CDTF">2026-02-18T06:37:00Z</dcterms:modified>
</cp:coreProperties>
</file>