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231F" w14:textId="7077887B" w:rsidR="00211860" w:rsidRPr="00FC60A2" w:rsidRDefault="007F793C" w:rsidP="00FC60A2">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2026ko martxoaren 11n</w:t>
      </w:r>
    </w:p>
    <w:p w14:paraId="0A282DB6" w14:textId="6B808473" w:rsidR="00934199" w:rsidRPr="00FC60A2" w:rsidRDefault="00B07455" w:rsidP="00FC60A2">
      <w:pPr>
        <w:spacing w:after="120" w:line="276" w:lineRule="auto"/>
        <w:rPr>
          <w:sz w:val="22"/>
          <w:szCs w:val="22"/>
          <w:rFonts w:asciiTheme="minorHAnsi" w:hAnsiTheme="minorHAnsi" w:cstheme="minorHAnsi"/>
        </w:rPr>
      </w:pPr>
      <w:r>
        <w:rPr>
          <w:sz w:val="22"/>
          <w:rFonts w:asciiTheme="minorHAnsi" w:hAnsiTheme="minorHAnsi"/>
        </w:rPr>
        <w:t xml:space="preserve">EH Bildu Nafarroa talde parlamentarioari atxikitako foru-parlamentari Adolfo Araiz Flamarique jaunak egindako 11-26/PES-00046 idatzizko galderari buruz, hona hemen Landa Garapeneko eta Ingurumeneko kontseilariak galdera horiei emandako erantzuna:</w:t>
      </w:r>
    </w:p>
    <w:p w14:paraId="1FEFE589" w14:textId="03718CF6" w:rsidR="00855D3E" w:rsidRPr="00FC60A2" w:rsidRDefault="00FC60A2" w:rsidP="00FC60A2">
      <w:pPr>
        <w:spacing w:after="120" w:line="276" w:lineRule="auto"/>
        <w:rPr>
          <w:b/>
          <w:color w:val="000000"/>
          <w:sz w:val="22"/>
          <w:szCs w:val="22"/>
          <w:rFonts w:asciiTheme="minorHAnsi" w:eastAsia="Arial" w:hAnsiTheme="minorHAnsi" w:cstheme="minorHAnsi"/>
        </w:rPr>
      </w:pPr>
      <w:r>
        <w:rPr>
          <w:b/>
          <w:color w:val="000000"/>
          <w:sz w:val="22"/>
          <w:rFonts w:asciiTheme="minorHAnsi" w:hAnsiTheme="minorHAnsi"/>
        </w:rPr>
        <w:t xml:space="preserve">1- Egin du Departamentuak kudeaketarik Nafarroan baimendutako Ekoizlearen Erantzukizun Hedatuko Sistema Kolektiboekin (EEHSK)?</w:t>
      </w:r>
    </w:p>
    <w:p w14:paraId="72CEB698" w14:textId="77777777"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Errefusaren zatikian ontziak izateari lotutako kostuaren finantzaketa Nafarroako Gobernuaren eta ontzien EEHSKen arteko esparru hitzarmenen negoziazio fasean landu zen, toki-entitateekin koordinatuta.</w:t>
      </w:r>
      <w:r>
        <w:rPr>
          <w:sz w:val="22"/>
          <w:rFonts w:asciiTheme="minorHAnsi" w:hAnsiTheme="minorHAnsi"/>
        </w:rPr>
        <w:t xml:space="preserve"> </w:t>
      </w:r>
    </w:p>
    <w:p w14:paraId="50235FA2" w14:textId="77777777"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Gai hori Trantsizio Ekologirako eta Erronka Demografikorako Ministerioaren (TEEDM) Ontzien Lantaldearen bileretan ere aztertu da, zeinetan autonomia-erkidegoek parte hartu baitute.</w:t>
      </w:r>
      <w:r>
        <w:rPr>
          <w:sz w:val="22"/>
          <w:rFonts w:asciiTheme="minorHAnsi" w:hAnsiTheme="minorHAnsi"/>
        </w:rPr>
        <w:t xml:space="preserve"> </w:t>
      </w:r>
      <w:r>
        <w:rPr>
          <w:sz w:val="22"/>
          <w:rFonts w:asciiTheme="minorHAnsi" w:hAnsiTheme="minorHAnsi"/>
        </w:rPr>
        <w:t xml:space="preserve">Gainera, legeria betetzen dela ikuskatzeko TEEDMko lantaldearen bileretan ere landu da, zeinetan autonomia-erkidegoetako zuzendari nagusiek parte hartu baitzuten; zehazki, modu espezifikoan, Murtzian 2025eko azaroaren 25ean egindako bileran.</w:t>
      </w:r>
      <w:r>
        <w:rPr>
          <w:sz w:val="22"/>
          <w:rFonts w:asciiTheme="minorHAnsi" w:hAnsiTheme="minorHAnsi"/>
        </w:rPr>
        <w:t xml:space="preserve"> </w:t>
      </w:r>
    </w:p>
    <w:p w14:paraId="67EFE512" w14:textId="739BA268"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Aldi berean, Foru Komunitatean, Nafarroako Foru Komunitatearen eta Ecoembalajes España SAren arteko Esparru Hitzarmenaren Jarraipen Batzordearen lehen bileran, 2025eko azaroaren 11n, jakinarazi zen hitzarmenak kostu espezifikoen azterketak egiteko aukera ematen duela, hori justifikatzen duten inguruabarrak badaude.</w:t>
      </w:r>
      <w:r>
        <w:rPr>
          <w:sz w:val="22"/>
          <w:rFonts w:asciiTheme="minorHAnsi" w:hAnsiTheme="minorHAnsi"/>
        </w:rPr>
        <w:t xml:space="preserve"> </w:t>
      </w:r>
      <w:r>
        <w:rPr>
          <w:sz w:val="22"/>
          <w:rFonts w:asciiTheme="minorHAnsi" w:hAnsiTheme="minorHAnsi"/>
        </w:rPr>
        <w:t xml:space="preserve">Horri buruz, entitateek adierazi dute gaikako bilketaren kostuen azterketa egin zela hitzarmena negoziatzeko prozesuan.</w:t>
      </w:r>
      <w:r>
        <w:rPr>
          <w:sz w:val="22"/>
          <w:rFonts w:asciiTheme="minorHAnsi" w:hAnsiTheme="minorHAnsi"/>
        </w:rPr>
        <w:t xml:space="preserve"> </w:t>
      </w:r>
      <w:r>
        <w:rPr>
          <w:sz w:val="22"/>
          <w:rFonts w:asciiTheme="minorHAnsi" w:hAnsiTheme="minorHAnsi"/>
        </w:rPr>
        <w:t xml:space="preserve">Gainera, kontuan hartuta Ontzien Europako Erregelamendu berria 2026ko abuztutik aurrera aplikatuko dela, eta ontzien inguruko estatu mailako errege dekretu berria egiteko prozesua abian dela, uste da esparru berri horrek zehaztuko duela zer urrats egin.</w:t>
      </w:r>
      <w:r>
        <w:rPr>
          <w:sz w:val="22"/>
          <w:rFonts w:asciiTheme="minorHAnsi" w:hAnsiTheme="minorHAnsi"/>
        </w:rPr>
        <w:t xml:space="preserve"> </w:t>
      </w:r>
    </w:p>
    <w:p w14:paraId="5208F77E" w14:textId="77777777"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2026ko urtarrilaren 19an, Trantsizio Ekologikorako eta Erronka Demografikorako Ministerioko Ingurumen Kalitate eta Ebaluazioko Zuzendaritza Nagusiak Hondakinen arloko Koordinazio Batzordearen ohar teknikoa helarazi zuen, 1055/2022 Errege Dekretuaren 34.1.b) artikuluari buruzkoa, besteak beste honako alderdi hauek ezartzen dituena:</w:t>
      </w:r>
    </w:p>
    <w:p w14:paraId="3D0B90B0" w14:textId="77777777" w:rsidR="00855D3E" w:rsidRPr="00FC60A2" w:rsidRDefault="00855D3E" w:rsidP="00FC60A2">
      <w:pPr>
        <w:numPr>
          <w:ilvl w:val="0"/>
          <w:numId w:val="19"/>
        </w:numPr>
        <w:spacing w:before="100" w:beforeAutospacing="1" w:after="120" w:line="276" w:lineRule="auto"/>
        <w:rPr>
          <w:color w:val="000000"/>
          <w:sz w:val="22"/>
          <w:szCs w:val="22"/>
          <w:rFonts w:asciiTheme="minorHAnsi" w:hAnsiTheme="minorHAnsi" w:cstheme="minorHAnsi"/>
        </w:rPr>
      </w:pPr>
      <w:r>
        <w:rPr>
          <w:color w:val="000000"/>
          <w:sz w:val="22"/>
          <w:rFonts w:asciiTheme="minorHAnsi" w:hAnsiTheme="minorHAnsi"/>
        </w:rPr>
        <w:t xml:space="preserve">EEHSKek errefusaren zatikian dauden ontzien garraioaren kostu osoa finantzatu behar dute, benetan bildutako ontzien arabera, eta ez soilik berreskuratutakoen arabera.</w:t>
      </w:r>
    </w:p>
    <w:p w14:paraId="7FBA89B3" w14:textId="77777777" w:rsidR="00855D3E" w:rsidRPr="00FC60A2" w:rsidRDefault="00855D3E" w:rsidP="00FC60A2">
      <w:pPr>
        <w:numPr>
          <w:ilvl w:val="0"/>
          <w:numId w:val="19"/>
        </w:numPr>
        <w:spacing w:before="100" w:beforeAutospacing="1" w:after="120" w:line="276" w:lineRule="auto"/>
        <w:rPr>
          <w:color w:val="000000"/>
          <w:sz w:val="22"/>
          <w:szCs w:val="22"/>
          <w:rFonts w:asciiTheme="minorHAnsi" w:hAnsiTheme="minorHAnsi" w:cstheme="minorHAnsi"/>
        </w:rPr>
      </w:pPr>
      <w:r>
        <w:rPr>
          <w:color w:val="000000"/>
          <w:sz w:val="22"/>
          <w:rFonts w:asciiTheme="minorHAnsi" w:hAnsiTheme="minorHAnsi"/>
        </w:rPr>
        <w:t xml:space="preserve">EEHSKek ontziei egotz dakizkiekeen instalazioko funtzionamendu-kostuen zati proportzionala hartu behar dute beren gain.</w:t>
      </w:r>
      <w:r>
        <w:rPr>
          <w:color w:val="000000"/>
          <w:sz w:val="22"/>
          <w:rFonts w:asciiTheme="minorHAnsi" w:hAnsiTheme="minorHAnsi"/>
        </w:rPr>
        <w:t xml:space="preserve"> </w:t>
      </w:r>
    </w:p>
    <w:p w14:paraId="32418918" w14:textId="77777777" w:rsidR="00855D3E" w:rsidRPr="00FC60A2" w:rsidRDefault="00855D3E" w:rsidP="00FC60A2">
      <w:pPr>
        <w:numPr>
          <w:ilvl w:val="0"/>
          <w:numId w:val="19"/>
        </w:numPr>
        <w:spacing w:before="100" w:beforeAutospacing="1" w:after="120" w:line="276" w:lineRule="auto"/>
        <w:rPr>
          <w:color w:val="000000"/>
          <w:sz w:val="22"/>
          <w:szCs w:val="22"/>
          <w:rFonts w:asciiTheme="minorHAnsi" w:hAnsiTheme="minorHAnsi" w:cstheme="minorHAnsi"/>
        </w:rPr>
      </w:pPr>
      <w:r>
        <w:rPr>
          <w:color w:val="000000"/>
          <w:sz w:val="22"/>
          <w:rFonts w:asciiTheme="minorHAnsi" w:hAnsiTheme="minorHAnsi"/>
        </w:rPr>
        <w:t xml:space="preserve">TEOekiko eraginkortasunik ezak ez die EEHSKei eragin behar.</w:t>
      </w:r>
    </w:p>
    <w:p w14:paraId="17353B4F" w14:textId="77777777"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Gai hori berriro landuko da Ecoembesekin eta Ecovidriorekin sinatutako hitzarmenen jarraipen-batzordeetan, eta, aurrerapenak lortzen diren heinean, gainerako toki-entitateei helaraziko zaizkie.</w:t>
      </w:r>
      <w:r>
        <w:rPr>
          <w:sz w:val="22"/>
          <w:rFonts w:asciiTheme="minorHAnsi" w:hAnsiTheme="minorHAnsi"/>
        </w:rPr>
        <w:t xml:space="preserve"> </w:t>
      </w:r>
    </w:p>
    <w:p w14:paraId="21136DB0" w14:textId="14E86F67" w:rsidR="00855D3E" w:rsidRPr="00FC60A2" w:rsidRDefault="00FC60A2" w:rsidP="00FC60A2">
      <w:pPr>
        <w:spacing w:after="120" w:line="276" w:lineRule="auto"/>
        <w:rPr>
          <w:b/>
          <w:color w:val="000000"/>
          <w:sz w:val="22"/>
          <w:szCs w:val="22"/>
          <w:rFonts w:asciiTheme="minorHAnsi" w:eastAsia="Arial" w:hAnsiTheme="minorHAnsi" w:cstheme="minorHAnsi"/>
        </w:rPr>
      </w:pPr>
      <w:r>
        <w:rPr>
          <w:b/>
          <w:color w:val="000000"/>
          <w:sz w:val="22"/>
          <w:rFonts w:asciiTheme="minorHAnsi" w:hAnsiTheme="minorHAnsi"/>
        </w:rPr>
        <w:t xml:space="preserve">2- Zer erabaki hartuko dira EEHSKei kostu osoa ordain dezatela eskatzeko?</w:t>
      </w:r>
    </w:p>
    <w:p w14:paraId="68EE23C3" w14:textId="061083F9"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Ohar teknikoak ekoizlearen betebeharrei aurre egiteko haren finantza-ekarpenaren irismenari buruz argia ematen badu ere, uste dugu gaur egun ez dela zuzenean aplikatu behar sinatutako hitzarmenetan.</w:t>
      </w:r>
      <w:r>
        <w:rPr>
          <w:sz w:val="22"/>
          <w:rFonts w:asciiTheme="minorHAnsi" w:hAnsiTheme="minorHAnsi"/>
        </w:rPr>
        <w:t xml:space="preserve"> </w:t>
      </w:r>
      <w:r>
        <w:rPr>
          <w:sz w:val="22"/>
          <w:rFonts w:asciiTheme="minorHAnsi" w:hAnsiTheme="minorHAnsi"/>
        </w:rPr>
        <w:t xml:space="preserve">Izan ere, ohar horren inplikazio juridikoez luze eta zabal eztabaidatzen ari da, eta ez da adostasunik lortu oraindik.</w:t>
      </w:r>
      <w:r>
        <w:rPr>
          <w:sz w:val="22"/>
          <w:rFonts w:asciiTheme="minorHAnsi" w:hAnsiTheme="minorHAnsi"/>
        </w:rPr>
        <w:t xml:space="preserve"> </w:t>
      </w:r>
    </w:p>
    <w:p w14:paraId="0BCE889B" w14:textId="77777777"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Hala ere, ohar hori bereziki esanguratsutzat jotzen da, ministerioak ontzien errege dekretu berria egin behar duen testuinguru honetan, irizpide horiek testu horretan osorik jaso ahal izanen baitira, eta, beraz, horien erabateko estaldura juridikoa bermatu ahal izanen baita.</w:t>
      </w:r>
      <w:r>
        <w:rPr>
          <w:sz w:val="22"/>
          <w:rFonts w:asciiTheme="minorHAnsi" w:hAnsiTheme="minorHAnsi"/>
        </w:rPr>
        <w:t xml:space="preserve"> </w:t>
      </w:r>
    </w:p>
    <w:p w14:paraId="01BACB6E" w14:textId="609BB8C7" w:rsidR="00855D3E" w:rsidRPr="00FC60A2" w:rsidRDefault="00855D3E" w:rsidP="00FC60A2">
      <w:pPr>
        <w:spacing w:after="120" w:line="276" w:lineRule="auto"/>
        <w:rPr>
          <w:color w:val="000000"/>
          <w:sz w:val="22"/>
          <w:szCs w:val="22"/>
          <w:rFonts w:asciiTheme="minorHAnsi" w:hAnsiTheme="minorHAnsi" w:cstheme="minorHAnsi"/>
        </w:rPr>
      </w:pPr>
      <w:r>
        <w:rPr>
          <w:sz w:val="22"/>
          <w:rFonts w:asciiTheme="minorHAnsi" w:hAnsiTheme="minorHAnsi"/>
        </w:rPr>
        <w:t xml:space="preserve">Nafarroan, gai horri buruzko aurrerapenen jarraipena egiten jarraitzen dugu, baina gogorarazi behar dugu, halaber, ez dela foru mailako hiri hondakinen kudeaketaren alderdi kritikoa; izan ere, dagoeneko gaikako bilketaren guztizko hedapena lortu duen komunitatea da, eta ontzien bilketaren emaitzarik onenak ditu, estatu mailan, bai edukiontzi horian bai urdinean. Horrez gain, beirazko ontzien presentzia urria du beste zatiki batzuetan.</w:t>
      </w:r>
      <w:r>
        <w:rPr>
          <w:sz w:val="22"/>
          <w:rFonts w:asciiTheme="minorHAnsi" w:hAnsiTheme="minorHAnsi"/>
        </w:rPr>
        <w:t xml:space="preserve"> </w:t>
      </w:r>
      <w:r>
        <w:rPr>
          <w:sz w:val="22"/>
          <w:rFonts w:asciiTheme="minorHAnsi" w:hAnsiTheme="minorHAnsi"/>
        </w:rPr>
        <w:t xml:space="preserve">Beraz, ohar horretan jasotako irizpideen aplikazioak eragin mugatua izanen luke Nafarroan, beste autonomia-erkidego batzuetan izanen lukeenarekin alderatuta, gaikako bilketari buruzko datu askoz ere txikiagoak baitituzte haiek, eta gehienek ez baitute esparru-hitzarmenik sinatuta.</w:t>
      </w:r>
      <w:r>
        <w:rPr>
          <w:sz w:val="22"/>
          <w:color w:val="000000"/>
          <w:rFonts w:asciiTheme="minorHAnsi" w:hAnsiTheme="minorHAnsi"/>
        </w:rPr>
        <w:t xml:space="preserve"> </w:t>
      </w:r>
    </w:p>
    <w:p w14:paraId="0453982F" w14:textId="510C9C68"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Hain zuzen ere, Nafarroako egoera bereizgarri horrek lagundu zuen mankomunitateetan eta toki-entitateetan gehiengoak lortzen, Nafarroako Foru Komunitatearen eta EEHSKen arteko hitzarmenen sinadurari babesa emateko.</w:t>
      </w:r>
      <w:r>
        <w:rPr>
          <w:sz w:val="22"/>
          <w:rFonts w:asciiTheme="minorHAnsi" w:hAnsiTheme="minorHAnsi"/>
        </w:rPr>
        <w:t xml:space="preserve"> </w:t>
      </w:r>
    </w:p>
    <w:p w14:paraId="617C7200" w14:textId="77777777"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Eta, nolanahi ere, gogorarazi behar da Ecoembesekin sinatutako hitzarmenak honako hau jasotzen duela 5.9 artikuluan: “Baldin eta Ecoembesek beste autonomia-erkidego batzuekin hitzarmen honen xede bererako hitzarmenak sinatzen baditu, eta itundutako baldintzak onuragarriagoak edo mesedegarriagoak badira autonomia-erkidego horientzat edo atxikitako toki-entitateentzat, hitzarmen honetan itundutakoekin alderatuta, horren berri eman beharko dio Nafarroako Komunitateari, eta berrikuspen mekanismoak abian jarriko dira, hitzarmena aldatzeko 21. artikuluan jasotakoak”.</w:t>
      </w:r>
      <w:r>
        <w:rPr>
          <w:sz w:val="22"/>
          <w:rFonts w:asciiTheme="minorHAnsi" w:hAnsiTheme="minorHAnsi"/>
        </w:rPr>
        <w:t xml:space="preserve"> </w:t>
      </w:r>
    </w:p>
    <w:p w14:paraId="52BC0072" w14:textId="77777777"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Azkenik, komeni da azpimarratzea, hondakinen prebentzioaren arloan aurrera egiten jarraitzeaz gain, Nafarroako Foru Komunitatearen beste helburu nagusia, mankomunitateekin eta toki-entitateekin partekatua, kalitate handiko gaikako bilketa sustatzen jarraitzea dela, jatorrian behar bezala bereiztean oinarrituta, eta horrek esan nahi duela errefusaren zatikian dauden hondakin desegokiak ahalik eta gehien murriztu behar direla, hala nola ontziak edo materia organikoa.</w:t>
      </w:r>
      <w:r>
        <w:rPr>
          <w:sz w:val="22"/>
          <w:rFonts w:asciiTheme="minorHAnsi" w:hAnsiTheme="minorHAnsi"/>
        </w:rPr>
        <w:t xml:space="preserve"> </w:t>
      </w:r>
    </w:p>
    <w:p w14:paraId="28CFD97E" w14:textId="6BD9341F"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Horregatik, hitzarmenaren negoziazioan lehentasunezkoa izan da lurralde bakoitzaren errealitatera egokitutako eta ondo hornitutako neurri eraginkorrak abian jartzea bermatuko duen finantzaketa bat lortzea; neurri horiek prebentzioa eta gaikako bilketa hobetzen jarraitzea eta instalazio gero eta espezializatuagoetan efizientzia handieneko tratamendua egitea dute helburu.</w:t>
      </w:r>
    </w:p>
    <w:p w14:paraId="0F01FDA9" w14:textId="06B16A26" w:rsidR="00855D3E" w:rsidRPr="00FC60A2" w:rsidRDefault="00855D3E" w:rsidP="00FC60A2">
      <w:pPr>
        <w:spacing w:after="120" w:line="276" w:lineRule="auto"/>
        <w:rPr>
          <w:sz w:val="22"/>
          <w:szCs w:val="22"/>
          <w:rFonts w:asciiTheme="minorHAnsi" w:hAnsiTheme="minorHAnsi" w:cstheme="minorHAnsi"/>
        </w:rPr>
      </w:pPr>
      <w:r>
        <w:rPr>
          <w:sz w:val="22"/>
          <w:rFonts w:asciiTheme="minorHAnsi" w:hAnsiTheme="minorHAnsi"/>
        </w:rPr>
        <w:t xml:space="preserve">Helburu horiek berak ditu hitzarmenen jarraipen eta ezarpenak, eta, beraz, 34.1.b artikuluaren interpretazioari jarraipena egiten jarraituko bada ere, gaur egun lehentasunezkoa da, Nafarroan, EEHSKekin batera gai espezifikoagoetan aurrera egitea: Biltegiratzeko, Uzteko eta Itzultzeko Sistemak sinatutako esparru hitzarmenen testuinguruan txertatzea, adibidez.</w:t>
      </w:r>
      <w:r>
        <w:rPr>
          <w:sz w:val="22"/>
          <w:rFonts w:asciiTheme="minorHAnsi" w:hAnsiTheme="minorHAnsi"/>
        </w:rPr>
        <w:t xml:space="preserve"> </w:t>
      </w:r>
    </w:p>
    <w:p w14:paraId="2279F5D2" w14:textId="1659D324" w:rsidR="00855D3E" w:rsidRPr="00FC60A2" w:rsidRDefault="00FC60A2" w:rsidP="00FC60A2">
      <w:pPr>
        <w:spacing w:after="120" w:line="276" w:lineRule="auto"/>
        <w:rPr>
          <w:b/>
          <w:color w:val="000000"/>
          <w:sz w:val="22"/>
          <w:szCs w:val="22"/>
          <w:rFonts w:asciiTheme="minorHAnsi" w:eastAsia="Arial" w:hAnsiTheme="minorHAnsi" w:cstheme="minorHAnsi"/>
        </w:rPr>
      </w:pPr>
      <w:r>
        <w:rPr>
          <w:b/>
          <w:color w:val="000000"/>
          <w:sz w:val="22"/>
          <w:rFonts w:asciiTheme="minorHAnsi" w:hAnsiTheme="minorHAnsi"/>
        </w:rPr>
        <w:t xml:space="preserve">3- EEHSKek ezezkoa emanez gero, zer jarduketa aurreikusi ditu Departamentuak?</w:t>
      </w:r>
    </w:p>
    <w:p w14:paraId="721FCB82" w14:textId="77777777" w:rsidR="00855D3E" w:rsidRPr="00FC60A2" w:rsidRDefault="00855D3E" w:rsidP="00FC60A2">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Une honetan, EEHSKak ez daude berariazko ezezko egoeran:</w:t>
      </w:r>
    </w:p>
    <w:p w14:paraId="48CF1E8E" w14:textId="77777777" w:rsidR="00855D3E" w:rsidRPr="00FC60A2" w:rsidRDefault="00855D3E" w:rsidP="00FC60A2">
      <w:pPr>
        <w:pStyle w:val="Prrafodelista"/>
        <w:numPr>
          <w:ilvl w:val="0"/>
          <w:numId w:val="20"/>
        </w:numPr>
        <w:spacing w:before="100" w:beforeAutospacing="1" w:after="120" w:line="276" w:lineRule="auto"/>
        <w:jc w:val="both"/>
        <w:rPr>
          <w:sz w:val="22"/>
          <w:szCs w:val="22"/>
          <w:rFonts w:asciiTheme="minorHAnsi" w:hAnsiTheme="minorHAnsi" w:cstheme="minorHAnsi"/>
        </w:rPr>
      </w:pPr>
      <w:r>
        <w:rPr>
          <w:sz w:val="22"/>
          <w:rFonts w:asciiTheme="minorHAnsi" w:hAnsiTheme="minorHAnsi"/>
        </w:rPr>
        <w:t xml:space="preserve">Ecoembesek adierazi du prest dagoela indarrean dagoen legediak ezartzen dituen kostuak bere gain hartzeko, errefusaren zatikian dauden ontzien ingurukoak barne, betiere babes juridiko argia badago.</w:t>
      </w:r>
    </w:p>
    <w:p w14:paraId="4CD40FD1" w14:textId="77777777" w:rsidR="00855D3E" w:rsidRPr="00FC60A2" w:rsidRDefault="00855D3E" w:rsidP="00FC60A2">
      <w:pPr>
        <w:pStyle w:val="Prrafodelista"/>
        <w:numPr>
          <w:ilvl w:val="0"/>
          <w:numId w:val="20"/>
        </w:numPr>
        <w:spacing w:before="100" w:beforeAutospacing="1" w:after="120" w:line="276" w:lineRule="auto"/>
        <w:jc w:val="both"/>
        <w:rPr>
          <w:sz w:val="22"/>
          <w:szCs w:val="22"/>
          <w:rFonts w:asciiTheme="minorHAnsi" w:hAnsiTheme="minorHAnsi" w:cstheme="minorHAnsi"/>
        </w:rPr>
      </w:pPr>
      <w:r>
        <w:rPr>
          <w:sz w:val="22"/>
          <w:rFonts w:asciiTheme="minorHAnsi" w:hAnsiTheme="minorHAnsi"/>
        </w:rPr>
        <w:t xml:space="preserve">Ecovidrioren ustez, bestalde, oharraren aplikazioak ez du eraginik Nafarroan, tratamendu instalazioetan ez baita beira berreskuratzen, eta, beraz, 34.1.b) artikulua ez litzateke aplikagarria izango fluxu horretan.</w:t>
      </w:r>
    </w:p>
    <w:p w14:paraId="7E6FA3C8" w14:textId="77777777" w:rsidR="00855D3E" w:rsidRPr="00FC60A2" w:rsidRDefault="00855D3E" w:rsidP="00FC60A2">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Nolanahi ere, alderdi horren jarraipena egiten ari da, eta desadostasuna balego, departamentuak bi printzipioren arabera jardungo luke:</w:t>
      </w:r>
    </w:p>
    <w:p w14:paraId="1BEB2E36" w14:textId="77777777" w:rsidR="00855D3E" w:rsidRPr="00FC60A2" w:rsidRDefault="00855D3E" w:rsidP="00FC60A2">
      <w:pPr>
        <w:pStyle w:val="Prrafodelista"/>
        <w:numPr>
          <w:ilvl w:val="0"/>
          <w:numId w:val="21"/>
        </w:numPr>
        <w:spacing w:before="100" w:beforeAutospacing="1" w:after="120" w:line="276" w:lineRule="auto"/>
        <w:jc w:val="both"/>
        <w:rPr>
          <w:sz w:val="22"/>
          <w:szCs w:val="22"/>
          <w:rFonts w:asciiTheme="minorHAnsi" w:hAnsiTheme="minorHAnsi" w:cstheme="minorHAnsi"/>
        </w:rPr>
      </w:pPr>
      <w:r>
        <w:rPr>
          <w:sz w:val="22"/>
          <w:rFonts w:asciiTheme="minorHAnsi" w:hAnsiTheme="minorHAnsi"/>
        </w:rPr>
        <w:t xml:space="preserve">Segurtasun juridikoa, maila egokiko arauen babesa ez duten aldebakarreko erabakiak saihestuz.</w:t>
      </w:r>
    </w:p>
    <w:p w14:paraId="28589F84" w14:textId="77777777" w:rsidR="00855D3E" w:rsidRPr="00FC60A2" w:rsidRDefault="00855D3E" w:rsidP="00FC60A2">
      <w:pPr>
        <w:pStyle w:val="Prrafodelista"/>
        <w:numPr>
          <w:ilvl w:val="0"/>
          <w:numId w:val="21"/>
        </w:numPr>
        <w:spacing w:before="100" w:beforeAutospacing="1" w:after="120" w:line="276" w:lineRule="auto"/>
        <w:jc w:val="both"/>
        <w:rPr>
          <w:sz w:val="22"/>
          <w:szCs w:val="22"/>
          <w:rFonts w:asciiTheme="minorHAnsi" w:hAnsiTheme="minorHAnsi" w:cstheme="minorHAnsi"/>
        </w:rPr>
      </w:pPr>
      <w:r>
        <w:rPr>
          <w:sz w:val="22"/>
          <w:rFonts w:asciiTheme="minorHAnsi" w:hAnsiTheme="minorHAnsi"/>
        </w:rPr>
        <w:t xml:space="preserve">Hitzarmen espezifikoekiko lotura, jarraipen-batzordeak eta kontratuetan desadostasunak ebazteko aurreikusitako prozedurak erabiliz.</w:t>
      </w:r>
    </w:p>
    <w:p w14:paraId="6AEC52E2" w14:textId="756F14F8" w:rsidR="00855D3E" w:rsidRPr="00FC60A2" w:rsidRDefault="00FC60A2" w:rsidP="00FC60A2">
      <w:pPr>
        <w:spacing w:after="120" w:line="276" w:lineRule="auto"/>
        <w:rPr>
          <w:b/>
          <w:color w:val="000000"/>
          <w:sz w:val="22"/>
          <w:szCs w:val="22"/>
          <w:rFonts w:asciiTheme="minorHAnsi" w:eastAsia="Arial" w:hAnsiTheme="minorHAnsi" w:cstheme="minorHAnsi"/>
        </w:rPr>
      </w:pPr>
      <w:r>
        <w:rPr>
          <w:b/>
          <w:color w:val="000000"/>
          <w:sz w:val="22"/>
          <w:rFonts w:asciiTheme="minorHAnsi" w:hAnsiTheme="minorHAnsi"/>
        </w:rPr>
        <w:t xml:space="preserve">4- Ohar teknikoa aplikatuz gero, zer eragin ekonomiko aurreikusi da Nafarroarentzat?</w:t>
      </w:r>
    </w:p>
    <w:p w14:paraId="0691B379" w14:textId="77777777" w:rsidR="00855D3E" w:rsidRPr="00FC60A2" w:rsidRDefault="00855D3E" w:rsidP="00FC60A2">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Ez da kalkulu ekonomiko espezifikorik egin Nafarroarako, espezifikoki gai horretarako.</w:t>
      </w:r>
      <w:r>
        <w:rPr>
          <w:color w:val="000000"/>
          <w:sz w:val="22"/>
          <w:rFonts w:asciiTheme="minorHAnsi" w:hAnsiTheme="minorHAnsi"/>
        </w:rPr>
        <w:t xml:space="preserve"> </w:t>
      </w:r>
    </w:p>
    <w:p w14:paraId="4CDD9E21" w14:textId="77777777" w:rsidR="00855D3E" w:rsidRPr="00FC60A2" w:rsidRDefault="00855D3E" w:rsidP="00FC60A2">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Beste autonomia-erkidego batzuetan, aurretiazko azterlanak egin dira errefusaren zatikian ontziak berreskuratzeak dakartzan kostuei buruz, baina aldakortasun handia dute; neurri batean, zatiki horretan ontziak hartzearen emaitzen heterogeneotasunagatik.</w:t>
      </w:r>
      <w:r>
        <w:rPr>
          <w:color w:val="000000"/>
          <w:sz w:val="22"/>
          <w:rFonts w:asciiTheme="minorHAnsi" w:hAnsiTheme="minorHAnsi"/>
        </w:rPr>
        <w:t xml:space="preserve"> </w:t>
      </w:r>
    </w:p>
    <w:p w14:paraId="6E864285" w14:textId="66186F07" w:rsidR="00855D3E" w:rsidRPr="00FC60A2" w:rsidRDefault="00855D3E" w:rsidP="00FC60A2">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Nolanahi ere, gogorarazi behar da hitzarmena negoziatu zenean mankomunitateek gaikako bilketaren kostu guztiak aztertu zituztela, eta haiek EEHSKek emandako aurreikuspen ekonomikoen arabera jarri zituztela.</w:t>
      </w:r>
    </w:p>
    <w:p w14:paraId="7DB18682" w14:textId="15191416" w:rsidR="00855D3E" w:rsidRPr="00FC60A2" w:rsidRDefault="00855D3E" w:rsidP="00FC60A2">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Hala ere, beharrezkoa bada, Nafarroako Esparru Hitzarmenak aukera ematen du kostuei buruzko azterketak egiteko.</w:t>
      </w:r>
      <w:r>
        <w:rPr>
          <w:color w:val="000000"/>
          <w:sz w:val="22"/>
          <w:rFonts w:asciiTheme="minorHAnsi" w:hAnsiTheme="minorHAnsi"/>
        </w:rPr>
        <w:t xml:space="preserve"> </w:t>
      </w:r>
    </w:p>
    <w:p w14:paraId="01CCDAAD" w14:textId="7E245200" w:rsidR="00A56CCF" w:rsidRPr="00FC60A2" w:rsidRDefault="00A56CCF" w:rsidP="00FC60A2">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 betez.</w:t>
      </w:r>
    </w:p>
    <w:p w14:paraId="001DB22B" w14:textId="346C1BC3" w:rsidR="00934199" w:rsidRPr="00FC60A2" w:rsidRDefault="003B51DA" w:rsidP="00FC60A2">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Iruñean, 2026ko martxoaren 10ean</w:t>
      </w:r>
    </w:p>
    <w:p w14:paraId="2526E3CE" w14:textId="2ECB6203" w:rsidR="00D77C2F" w:rsidRPr="00FC60A2" w:rsidRDefault="00FC60A2" w:rsidP="00FC60A2">
      <w:pPr>
        <w:rPr>
          <w:sz w:val="22"/>
          <w:szCs w:val="18"/>
          <w:rFonts w:asciiTheme="minorHAnsi" w:hAnsiTheme="minorHAnsi" w:cstheme="minorHAnsi"/>
        </w:rPr>
      </w:pPr>
      <w:r>
        <w:rPr>
          <w:sz w:val="22"/>
          <w:rFonts w:asciiTheme="minorHAnsi" w:hAnsiTheme="minorHAnsi"/>
        </w:rPr>
        <w:t xml:space="preserve">Landa Garapeneko eta Ingurumeneko kontseilaria: José María Aierdi Fernández de Barrena</w:t>
      </w:r>
    </w:p>
    <w:sectPr w:rsidR="00D77C2F" w:rsidRPr="00FC60A2" w:rsidSect="00FC60A2">
      <w:headerReference w:type="default" r:id="rId7"/>
      <w:footerReference w:type="even" r:id="rId8"/>
      <w:footerReference w:type="default" r:id="rId9"/>
      <w:pgSz w:w="11906" w:h="16838" w:code="9"/>
      <w:pgMar w:top="1702"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BC07" w14:textId="77777777" w:rsidR="00B061EC" w:rsidRDefault="00B061EC" w:rsidP="00381BB8">
      <w:pPr>
        <w:pStyle w:val="Encabezado"/>
      </w:pPr>
      <w:r>
        <w:separator/>
      </w:r>
    </w:p>
  </w:endnote>
  <w:endnote w:type="continuationSeparator" w:id="0">
    <w:p w14:paraId="31A683E7" w14:textId="77777777" w:rsidR="00B061EC" w:rsidRDefault="00B061EC"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C79A"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B061EC">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0ED6" w14:textId="65169650"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1274" w14:textId="77777777" w:rsidR="00B061EC" w:rsidRDefault="00B061EC" w:rsidP="00381BB8">
      <w:pPr>
        <w:pStyle w:val="Encabezado"/>
      </w:pPr>
      <w:r>
        <w:separator/>
      </w:r>
    </w:p>
  </w:footnote>
  <w:footnote w:type="continuationSeparator" w:id="0">
    <w:p w14:paraId="51686359" w14:textId="77777777" w:rsidR="00B061EC" w:rsidRDefault="00B061EC"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82F2" w14:textId="547C2D11"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0ECE1A74"/>
    <w:multiLevelType w:val="hybridMultilevel"/>
    <w:tmpl w:val="36E66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4007C0"/>
    <w:multiLevelType w:val="hybridMultilevel"/>
    <w:tmpl w:val="C42072D6"/>
    <w:lvl w:ilvl="0" w:tplc="765298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130441"/>
    <w:multiLevelType w:val="hybridMultilevel"/>
    <w:tmpl w:val="D5D60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766F5D"/>
    <w:multiLevelType w:val="hybridMultilevel"/>
    <w:tmpl w:val="35AA407C"/>
    <w:lvl w:ilvl="0" w:tplc="2F868052">
      <w:start w:val="1"/>
      <w:numFmt w:val="decimal"/>
      <w:lvlText w:val="%1."/>
      <w:lvlJc w:val="left"/>
      <w:pPr>
        <w:ind w:left="1443" w:hanging="360"/>
      </w:pPr>
      <w:rPr>
        <w:b/>
      </w:rPr>
    </w:lvl>
    <w:lvl w:ilvl="1" w:tplc="0C0A0019">
      <w:start w:val="1"/>
      <w:numFmt w:val="lowerLetter"/>
      <w:lvlText w:val="%2."/>
      <w:lvlJc w:val="left"/>
      <w:pPr>
        <w:ind w:left="2163" w:hanging="360"/>
      </w:pPr>
    </w:lvl>
    <w:lvl w:ilvl="2" w:tplc="0C0A001B" w:tentative="1">
      <w:start w:val="1"/>
      <w:numFmt w:val="lowerRoman"/>
      <w:lvlText w:val="%3."/>
      <w:lvlJc w:val="right"/>
      <w:pPr>
        <w:ind w:left="2883" w:hanging="180"/>
      </w:pPr>
    </w:lvl>
    <w:lvl w:ilvl="3" w:tplc="0C0A000F" w:tentative="1">
      <w:start w:val="1"/>
      <w:numFmt w:val="decimal"/>
      <w:lvlText w:val="%4."/>
      <w:lvlJc w:val="left"/>
      <w:pPr>
        <w:ind w:left="3603" w:hanging="360"/>
      </w:pPr>
    </w:lvl>
    <w:lvl w:ilvl="4" w:tplc="0C0A0019" w:tentative="1">
      <w:start w:val="1"/>
      <w:numFmt w:val="lowerLetter"/>
      <w:lvlText w:val="%5."/>
      <w:lvlJc w:val="left"/>
      <w:pPr>
        <w:ind w:left="4323" w:hanging="360"/>
      </w:pPr>
    </w:lvl>
    <w:lvl w:ilvl="5" w:tplc="0C0A001B" w:tentative="1">
      <w:start w:val="1"/>
      <w:numFmt w:val="lowerRoman"/>
      <w:lvlText w:val="%6."/>
      <w:lvlJc w:val="right"/>
      <w:pPr>
        <w:ind w:left="5043" w:hanging="180"/>
      </w:pPr>
    </w:lvl>
    <w:lvl w:ilvl="6" w:tplc="0C0A000F" w:tentative="1">
      <w:start w:val="1"/>
      <w:numFmt w:val="decimal"/>
      <w:lvlText w:val="%7."/>
      <w:lvlJc w:val="left"/>
      <w:pPr>
        <w:ind w:left="5763" w:hanging="360"/>
      </w:pPr>
    </w:lvl>
    <w:lvl w:ilvl="7" w:tplc="0C0A0019" w:tentative="1">
      <w:start w:val="1"/>
      <w:numFmt w:val="lowerLetter"/>
      <w:lvlText w:val="%8."/>
      <w:lvlJc w:val="left"/>
      <w:pPr>
        <w:ind w:left="6483" w:hanging="360"/>
      </w:pPr>
    </w:lvl>
    <w:lvl w:ilvl="8" w:tplc="0C0A001B" w:tentative="1">
      <w:start w:val="1"/>
      <w:numFmt w:val="lowerRoman"/>
      <w:lvlText w:val="%9."/>
      <w:lvlJc w:val="right"/>
      <w:pPr>
        <w:ind w:left="7203" w:hanging="180"/>
      </w:pPr>
    </w:lvl>
  </w:abstractNum>
  <w:abstractNum w:abstractNumId="10"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1"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4"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7335F44"/>
    <w:multiLevelType w:val="hybridMultilevel"/>
    <w:tmpl w:val="DDC69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11"/>
  </w:num>
  <w:num w:numId="2">
    <w:abstractNumId w:val="3"/>
  </w:num>
  <w:num w:numId="3">
    <w:abstractNumId w:val="12"/>
  </w:num>
  <w:num w:numId="4">
    <w:abstractNumId w:val="19"/>
  </w:num>
  <w:num w:numId="5">
    <w:abstractNumId w:val="1"/>
  </w:num>
  <w:num w:numId="6">
    <w:abstractNumId w:val="18"/>
  </w:num>
  <w:num w:numId="7">
    <w:abstractNumId w:val="6"/>
  </w:num>
  <w:num w:numId="8">
    <w:abstractNumId w:val="4"/>
  </w:num>
  <w:num w:numId="9">
    <w:abstractNumId w:val="10"/>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16"/>
  </w:num>
  <w:num w:numId="15">
    <w:abstractNumId w:val="0"/>
  </w:num>
  <w:num w:numId="16">
    <w:abstractNumId w:val="13"/>
  </w:num>
  <w:num w:numId="17">
    <w:abstractNumId w:val="15"/>
  </w:num>
  <w:num w:numId="18">
    <w:abstractNumId w:val="9"/>
  </w:num>
  <w:num w:numId="19">
    <w:abstractNumId w:val="8"/>
  </w:num>
  <w:num w:numId="20">
    <w:abstractNumId w:val="17"/>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EC"/>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2F582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4E5"/>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B51DA"/>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9AC"/>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780"/>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93C"/>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5D3E"/>
    <w:rsid w:val="00856C40"/>
    <w:rsid w:val="00856F11"/>
    <w:rsid w:val="00860D4A"/>
    <w:rsid w:val="008615E6"/>
    <w:rsid w:val="008627DD"/>
    <w:rsid w:val="00862A8E"/>
    <w:rsid w:val="00862B66"/>
    <w:rsid w:val="00863A8A"/>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1EC"/>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3B6"/>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0A2"/>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495B68"/>
  <w15:chartTrackingRefBased/>
  <w15:docId w15:val="{45E5FD32-18E5-468A-BBF4-4297E6C4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11</TotalTime>
  <Pages>3</Pages>
  <Words>1359</Words>
  <Characters>7091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4</cp:revision>
  <cp:lastPrinted>2018-10-15T10:28:00Z</cp:lastPrinted>
  <dcterms:created xsi:type="dcterms:W3CDTF">2026-03-11T16:21:00Z</dcterms:created>
  <dcterms:modified xsi:type="dcterms:W3CDTF">2026-03-16T10:41:00Z</dcterms:modified>
</cp:coreProperties>
</file>