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0EC5" w14:textId="1F97E203" w:rsidR="005E0C4F" w:rsidRPr="005E0C4F" w:rsidRDefault="005E0C4F" w:rsidP="005E0C4F">
      <w:pPr>
        <w:spacing w:after="120" w:line="276" w:lineRule="auto"/>
        <w:jc w:val="both"/>
        <w:rPr>
          <w:rFonts w:asciiTheme="minorHAnsi" w:hAnsiTheme="minorHAnsi" w:cstheme="minorHAnsi"/>
          <w:sz w:val="22"/>
          <w:szCs w:val="22"/>
        </w:rPr>
      </w:pPr>
      <w:r>
        <w:rPr>
          <w:rFonts w:asciiTheme="minorHAnsi" w:hAnsiTheme="minorHAnsi"/>
          <w:sz w:val="22"/>
        </w:rPr>
        <w:t>2026-03-17</w:t>
      </w:r>
    </w:p>
    <w:p w14:paraId="4ACC70BA" w14:textId="07A963BE" w:rsidR="0086488B" w:rsidRPr="005E0C4F" w:rsidRDefault="0086488B" w:rsidP="005E0C4F">
      <w:pPr>
        <w:spacing w:after="120" w:line="276" w:lineRule="auto"/>
        <w:jc w:val="both"/>
        <w:rPr>
          <w:rFonts w:asciiTheme="minorHAnsi" w:hAnsiTheme="minorHAnsi" w:cstheme="minorHAnsi"/>
          <w:sz w:val="22"/>
          <w:szCs w:val="22"/>
        </w:rPr>
      </w:pPr>
      <w:r>
        <w:rPr>
          <w:rFonts w:asciiTheme="minorHAnsi" w:hAnsiTheme="minorHAnsi"/>
          <w:sz w:val="22"/>
        </w:rPr>
        <w:t>Itxaso So</w:t>
      </w:r>
      <w:r w:rsidR="005648C3">
        <w:rPr>
          <w:rFonts w:asciiTheme="minorHAnsi" w:hAnsiTheme="minorHAnsi"/>
          <w:sz w:val="22"/>
        </w:rPr>
        <w:t>t</w:t>
      </w:r>
      <w:r>
        <w:rPr>
          <w:rFonts w:asciiTheme="minorHAnsi" w:hAnsiTheme="minorHAnsi"/>
          <w:sz w:val="22"/>
        </w:rPr>
        <w:t>o Díaz de Cerio foru-parlamentariak, Geroa Bai parlamentu-taldeko kideak, 11-26/PES-00058 galdera egin zuen, idatziz erantzun zekion. Bada, Eskubide Sozialetako, Ekonomia Sozialeko eta Enpleguko kontseilariak honako hau erantzun du:</w:t>
      </w:r>
    </w:p>
    <w:p w14:paraId="3BA34910" w14:textId="77777777" w:rsidR="002F796B" w:rsidRPr="005E0C4F" w:rsidRDefault="002F796B" w:rsidP="005E0C4F">
      <w:pPr>
        <w:spacing w:after="120" w:line="276" w:lineRule="auto"/>
        <w:jc w:val="both"/>
        <w:rPr>
          <w:rFonts w:asciiTheme="minorHAnsi" w:hAnsiTheme="minorHAnsi" w:cstheme="minorHAnsi"/>
          <w:b/>
          <w:i/>
          <w:sz w:val="22"/>
          <w:szCs w:val="22"/>
        </w:rPr>
      </w:pPr>
      <w:r>
        <w:rPr>
          <w:rFonts w:asciiTheme="minorHAnsi" w:hAnsiTheme="minorHAnsi"/>
          <w:b/>
          <w:i/>
          <w:sz w:val="22"/>
        </w:rPr>
        <w:t>Berdintasun-plana ezarrita daukaten enpresen portzentajea.</w:t>
      </w:r>
    </w:p>
    <w:p w14:paraId="070F6FC7" w14:textId="5DDD2B5A" w:rsidR="002F796B" w:rsidRPr="005E0C4F" w:rsidRDefault="002F796B" w:rsidP="005E0C4F">
      <w:pPr>
        <w:spacing w:after="120" w:line="276" w:lineRule="auto"/>
        <w:jc w:val="both"/>
        <w:rPr>
          <w:rFonts w:asciiTheme="minorHAnsi" w:hAnsiTheme="minorHAnsi" w:cstheme="minorHAnsi"/>
          <w:sz w:val="22"/>
          <w:szCs w:val="22"/>
        </w:rPr>
      </w:pPr>
      <w:r>
        <w:rPr>
          <w:rFonts w:asciiTheme="minorHAnsi" w:hAnsiTheme="minorHAnsi"/>
          <w:sz w:val="22"/>
        </w:rPr>
        <w:t>Berdintasun-plana ezarrita daukaten enpresen portzentajea % 71,8koa da.</w:t>
      </w:r>
    </w:p>
    <w:p w14:paraId="763FE8F4" w14:textId="77777777" w:rsidR="002F796B" w:rsidRPr="005E0C4F" w:rsidRDefault="002F796B" w:rsidP="005E0C4F">
      <w:pPr>
        <w:pStyle w:val="Prrafodelista"/>
        <w:numPr>
          <w:ilvl w:val="0"/>
          <w:numId w:val="2"/>
        </w:numPr>
        <w:spacing w:after="120" w:line="276" w:lineRule="auto"/>
        <w:jc w:val="both"/>
        <w:rPr>
          <w:rFonts w:asciiTheme="minorHAnsi" w:hAnsiTheme="minorHAnsi" w:cstheme="minorHAnsi"/>
          <w:sz w:val="22"/>
          <w:szCs w:val="22"/>
        </w:rPr>
      </w:pPr>
      <w:r>
        <w:rPr>
          <w:rFonts w:asciiTheme="minorHAnsi" w:hAnsiTheme="minorHAnsi"/>
          <w:sz w:val="22"/>
        </w:rPr>
        <w:t>Indarrean dagoen berdintasun-plana izateko betebeharra daukaten enpresak: 230 (Nafarroan erregistratutako indarrean dagoen plana duten enpresak) eta 111 (Ministerioan erregistratutako indarrean dagoen plana duten enpresak) batuz gero, 341 enpresa dira, 50 langiletik gora dituzten 475 enpresatik.</w:t>
      </w:r>
    </w:p>
    <w:p w14:paraId="0CD8CA4D" w14:textId="77777777" w:rsidR="002F796B" w:rsidRPr="005E0C4F" w:rsidRDefault="002F796B" w:rsidP="005E0C4F">
      <w:pPr>
        <w:pStyle w:val="Prrafodelista"/>
        <w:numPr>
          <w:ilvl w:val="0"/>
          <w:numId w:val="2"/>
        </w:numPr>
        <w:spacing w:after="120" w:line="276" w:lineRule="auto"/>
        <w:jc w:val="both"/>
        <w:rPr>
          <w:rFonts w:asciiTheme="minorHAnsi" w:hAnsiTheme="minorHAnsi" w:cstheme="minorHAnsi"/>
          <w:sz w:val="22"/>
          <w:szCs w:val="22"/>
        </w:rPr>
      </w:pPr>
      <w:r>
        <w:rPr>
          <w:rFonts w:asciiTheme="minorHAnsi" w:hAnsiTheme="minorHAnsi"/>
          <w:sz w:val="22"/>
        </w:rPr>
        <w:t>Indarrean dagoen berdintasun-plana izateko betebeharrik ez duten enpresak: 96.</w:t>
      </w:r>
    </w:p>
    <w:p w14:paraId="6633065C" w14:textId="77777777" w:rsidR="002F796B" w:rsidRPr="005E0C4F" w:rsidRDefault="002F796B" w:rsidP="005E0C4F">
      <w:pPr>
        <w:spacing w:after="120" w:line="276" w:lineRule="auto"/>
        <w:jc w:val="both"/>
        <w:rPr>
          <w:rFonts w:asciiTheme="minorHAnsi" w:hAnsiTheme="minorHAnsi" w:cstheme="minorHAnsi"/>
          <w:b/>
          <w:i/>
          <w:sz w:val="22"/>
          <w:szCs w:val="22"/>
        </w:rPr>
      </w:pPr>
      <w:r>
        <w:rPr>
          <w:rFonts w:asciiTheme="minorHAnsi" w:hAnsiTheme="minorHAnsi"/>
          <w:b/>
          <w:i/>
          <w:sz w:val="22"/>
        </w:rPr>
        <w:t xml:space="preserve">Berdintasun-plana ezarrita daukatela erregistratu ez duten enpresen portzentajea. </w:t>
      </w:r>
    </w:p>
    <w:p w14:paraId="4EF4A0A9" w14:textId="08D4FB62" w:rsidR="0086488B" w:rsidRPr="005E0C4F" w:rsidRDefault="002F796B" w:rsidP="005E0C4F">
      <w:pPr>
        <w:spacing w:after="120" w:line="276" w:lineRule="auto"/>
        <w:jc w:val="both"/>
        <w:rPr>
          <w:rFonts w:asciiTheme="minorHAnsi" w:hAnsiTheme="minorHAnsi" w:cstheme="minorHAnsi"/>
          <w:sz w:val="22"/>
          <w:szCs w:val="22"/>
        </w:rPr>
      </w:pPr>
      <w:r>
        <w:rPr>
          <w:rFonts w:asciiTheme="minorHAnsi" w:hAnsiTheme="minorHAnsi"/>
          <w:sz w:val="22"/>
        </w:rPr>
        <w:t>Berdintasun-plana ez Nafarroan ez Ministerioan erregistratu ez duten eta betebeharra daukaten enpresak 134 dira, hau da, % 28,2.</w:t>
      </w:r>
    </w:p>
    <w:p w14:paraId="19C45F5E" w14:textId="77777777" w:rsidR="0086488B" w:rsidRPr="005E0C4F" w:rsidRDefault="002F796B" w:rsidP="005E0C4F">
      <w:pPr>
        <w:spacing w:after="120" w:line="276" w:lineRule="auto"/>
        <w:jc w:val="both"/>
        <w:rPr>
          <w:rFonts w:asciiTheme="minorHAnsi" w:hAnsiTheme="minorHAnsi" w:cstheme="minorHAnsi"/>
          <w:b/>
          <w:i/>
          <w:sz w:val="22"/>
          <w:szCs w:val="22"/>
        </w:rPr>
      </w:pPr>
      <w:r>
        <w:rPr>
          <w:rFonts w:asciiTheme="minorHAnsi" w:hAnsiTheme="minorHAnsi"/>
          <w:b/>
          <w:i/>
          <w:sz w:val="22"/>
        </w:rPr>
        <w:t xml:space="preserve">Plan horiek betetzen direla ziurtatze aldera ikuskaritzak egiten dituen kontrol-neurriak. </w:t>
      </w:r>
    </w:p>
    <w:p w14:paraId="084E9687" w14:textId="77777777" w:rsidR="002F796B" w:rsidRPr="005E0C4F" w:rsidRDefault="002F796B" w:rsidP="005E0C4F">
      <w:pPr>
        <w:spacing w:after="120" w:line="276" w:lineRule="auto"/>
        <w:jc w:val="both"/>
        <w:rPr>
          <w:rFonts w:asciiTheme="minorHAnsi" w:hAnsiTheme="minorHAnsi" w:cstheme="minorHAnsi"/>
          <w:sz w:val="22"/>
          <w:szCs w:val="22"/>
        </w:rPr>
      </w:pPr>
      <w:r>
        <w:rPr>
          <w:rFonts w:asciiTheme="minorHAnsi" w:hAnsiTheme="minorHAnsi"/>
          <w:sz w:val="22"/>
        </w:rPr>
        <w:t>Honela deskribatzen du jarduketa horren edukia Laneko eta Gizarte Segurantzako Ikuskatzailetzak bere urteko programan:</w:t>
      </w:r>
    </w:p>
    <w:p w14:paraId="0C42C4EA" w14:textId="77777777" w:rsidR="002F796B" w:rsidRPr="005E0C4F" w:rsidRDefault="002F796B" w:rsidP="005E0C4F">
      <w:pPr>
        <w:pStyle w:val="Prrafodelista"/>
        <w:numPr>
          <w:ilvl w:val="0"/>
          <w:numId w:val="3"/>
        </w:numPr>
        <w:spacing w:after="120" w:line="276" w:lineRule="auto"/>
        <w:jc w:val="both"/>
        <w:rPr>
          <w:rFonts w:asciiTheme="minorHAnsi" w:hAnsiTheme="minorHAnsi" w:cstheme="minorHAnsi"/>
          <w:sz w:val="22"/>
          <w:szCs w:val="22"/>
        </w:rPr>
      </w:pPr>
      <w:r>
        <w:rPr>
          <w:rFonts w:asciiTheme="minorHAnsi" w:hAnsiTheme="minorHAnsi"/>
          <w:sz w:val="22"/>
        </w:rPr>
        <w:t>2.3.4.1 Kontrol-neurriak eta berdintasun-planak (kodea: NT0025).</w:t>
      </w:r>
    </w:p>
    <w:p w14:paraId="7888F87B" w14:textId="77777777" w:rsidR="002F796B" w:rsidRPr="005E0C4F" w:rsidRDefault="002F796B"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Kanpainaren helburua da berdintasun-planak egiteko eskakizuna betetzen dela kontrolatzea, bai eta enpresa guztiak behartuta dauden diskriminazio mota oro saihesteko neurriak egiaztatzea ere.</w:t>
      </w:r>
    </w:p>
    <w:p w14:paraId="39B17EB8" w14:textId="77777777" w:rsidR="002F796B" w:rsidRPr="005E0C4F" w:rsidRDefault="002F796B"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Berdintasun-planak egiteko eta aplikatzeko betebeharra barne hartzen duten hitzarmen kolektiboetan oinarrituta hautatuko dira enpresak, bai eta emakumeen eta gizonen arteko berdintasun eraginkorrerako neurriak hartzera behartzen duten klausulak dituzten hitzarmen kolektiboetan oinarrituta ere, berdintasun-planak egiteko betebeharrik ez dagoenean.</w:t>
      </w:r>
    </w:p>
    <w:p w14:paraId="69573262" w14:textId="77777777" w:rsidR="002F796B" w:rsidRPr="005E0C4F" w:rsidRDefault="002F796B"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Derrigorrean berdintasun-planak izan behar dituzten edo dituztenak osatzeko neurriak hartu behar dituzten enpresen kasuan, aurreko urteetan egindako eskakizunak eraginkortasunez betetzen dituztela egiaztatuko da.</w:t>
      </w:r>
    </w:p>
    <w:p w14:paraId="5134B5C3" w14:textId="77777777" w:rsidR="002F796B" w:rsidRPr="005E0C4F" w:rsidRDefault="002F796B"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Hemen sartzen dira, oro har, emakumeen eta gizonen arteko laneko edozein diskriminazio saihesteko neurriak hartzea, bai eta arlo horretako gainerako apartatuetan sartzen ez diren beste betebehar batzuk ere.</w:t>
      </w:r>
    </w:p>
    <w:p w14:paraId="6E2DE3B6" w14:textId="77777777" w:rsidR="002F796B" w:rsidRPr="005E0C4F" w:rsidRDefault="002F796B"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Kanpaina hori egitea bereziki garrantzitsua da 6/209 Errege Lege Dekretuak eta urriaren 13ko 901/2020 Errege Dekretuak sartutako aldaketetan oinarrituta, bereziki kontuan hartuta, 2022ko martxotik aurrera, betebehar hori 50 langile edo gehiagoko enpresei eska dakiekeela; beraz, 2025ean planifikatutako jarduketa kopuru berari eusten zaio.</w:t>
      </w:r>
    </w:p>
    <w:p w14:paraId="7185B034" w14:textId="77777777" w:rsidR="00B97582" w:rsidRPr="005E0C4F" w:rsidRDefault="00B97582" w:rsidP="005E0C4F">
      <w:pPr>
        <w:pStyle w:val="Prrafodelista"/>
        <w:spacing w:after="120" w:line="276" w:lineRule="auto"/>
        <w:jc w:val="both"/>
        <w:rPr>
          <w:rFonts w:asciiTheme="minorHAnsi" w:hAnsiTheme="minorHAnsi" w:cstheme="minorHAnsi"/>
          <w:sz w:val="22"/>
          <w:szCs w:val="22"/>
        </w:rPr>
      </w:pPr>
      <w:r>
        <w:rPr>
          <w:rFonts w:asciiTheme="minorHAnsi" w:hAnsiTheme="minorHAnsi"/>
          <w:sz w:val="22"/>
        </w:rPr>
        <w:t>Urtero 55 ikusketa-jarduketa planifikatzen dira.</w:t>
      </w:r>
    </w:p>
    <w:p w14:paraId="2CA75978" w14:textId="77777777" w:rsidR="002F796B" w:rsidRPr="005E0C4F" w:rsidRDefault="00B97582" w:rsidP="005E0C4F">
      <w:pPr>
        <w:spacing w:after="120" w:line="276" w:lineRule="auto"/>
        <w:jc w:val="both"/>
        <w:rPr>
          <w:rFonts w:asciiTheme="minorHAnsi" w:hAnsiTheme="minorHAnsi" w:cstheme="minorHAnsi"/>
          <w:b/>
          <w:i/>
          <w:sz w:val="22"/>
          <w:szCs w:val="22"/>
        </w:rPr>
      </w:pPr>
      <w:r>
        <w:rPr>
          <w:rFonts w:asciiTheme="minorHAnsi" w:hAnsiTheme="minorHAnsi"/>
          <w:b/>
          <w:i/>
          <w:sz w:val="22"/>
        </w:rPr>
        <w:t>Berdintasunaren arloan 2023tik gaur arte egindako ikuskapenak.</w:t>
      </w:r>
    </w:p>
    <w:p w14:paraId="07430CF7" w14:textId="6DBC905A"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t xml:space="preserve">2023an egindako ikuskapenak </w:t>
      </w:r>
      <w:r>
        <w:rPr>
          <w:rFonts w:asciiTheme="minorHAnsi" w:hAnsiTheme="minorHAnsi"/>
          <w:sz w:val="22"/>
        </w:rPr>
        <w:sym w:font="Wingdings" w:char="F0E0"/>
      </w:r>
      <w:r>
        <w:rPr>
          <w:rFonts w:asciiTheme="minorHAnsi" w:hAnsiTheme="minorHAnsi"/>
          <w:sz w:val="22"/>
        </w:rPr>
        <w:t xml:space="preserve"> 92 jarduketa</w:t>
      </w:r>
    </w:p>
    <w:p w14:paraId="3255057F" w14:textId="77777777"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lastRenderedPageBreak/>
        <w:t xml:space="preserve">2024an egindako ikuskapenak </w:t>
      </w:r>
      <w:r>
        <w:rPr>
          <w:rFonts w:asciiTheme="minorHAnsi" w:hAnsiTheme="minorHAnsi"/>
          <w:sz w:val="22"/>
        </w:rPr>
        <w:sym w:font="Wingdings" w:char="F0E0"/>
      </w:r>
      <w:r>
        <w:rPr>
          <w:rFonts w:asciiTheme="minorHAnsi" w:hAnsiTheme="minorHAnsi"/>
          <w:sz w:val="22"/>
        </w:rPr>
        <w:t xml:space="preserve"> 102 jarduketa</w:t>
      </w:r>
    </w:p>
    <w:p w14:paraId="02C0A199" w14:textId="77777777"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t xml:space="preserve">2025ean egindako ikuskapenak (urriaren 31ra arte) </w:t>
      </w:r>
      <w:r>
        <w:rPr>
          <w:rFonts w:asciiTheme="minorHAnsi" w:hAnsiTheme="minorHAnsi"/>
          <w:sz w:val="22"/>
        </w:rPr>
        <w:sym w:font="Wingdings" w:char="F0E0"/>
      </w:r>
      <w:r>
        <w:rPr>
          <w:rFonts w:asciiTheme="minorHAnsi" w:hAnsiTheme="minorHAnsi"/>
          <w:sz w:val="22"/>
        </w:rPr>
        <w:t xml:space="preserve"> 106 jarduketa</w:t>
      </w:r>
    </w:p>
    <w:p w14:paraId="3DF9AE88" w14:textId="77777777"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t xml:space="preserve">Egindako ikuskapenak guztira </w:t>
      </w:r>
      <w:r>
        <w:rPr>
          <w:rFonts w:asciiTheme="minorHAnsi" w:hAnsiTheme="minorHAnsi"/>
          <w:sz w:val="22"/>
        </w:rPr>
        <w:sym w:font="Wingdings" w:char="F0E0"/>
      </w:r>
      <w:r>
        <w:rPr>
          <w:rFonts w:asciiTheme="minorHAnsi" w:hAnsiTheme="minorHAnsi"/>
          <w:sz w:val="22"/>
        </w:rPr>
        <w:t xml:space="preserve"> 300 jarduketa</w:t>
      </w:r>
    </w:p>
    <w:p w14:paraId="35984D7E" w14:textId="77777777"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t>Honako arlo hauek ikuskatzen dira:</w:t>
      </w:r>
    </w:p>
    <w:p w14:paraId="2EE19897" w14:textId="77777777" w:rsidR="00567A89" w:rsidRPr="005E0C4F" w:rsidRDefault="00567A89" w:rsidP="005E0C4F">
      <w:pPr>
        <w:spacing w:after="120" w:line="276" w:lineRule="auto"/>
        <w:jc w:val="both"/>
        <w:rPr>
          <w:rFonts w:asciiTheme="minorHAnsi" w:hAnsiTheme="minorHAnsi" w:cstheme="minorHAnsi"/>
          <w:sz w:val="22"/>
          <w:szCs w:val="22"/>
        </w:rPr>
      </w:pPr>
      <w:r>
        <w:rPr>
          <w:rFonts w:asciiTheme="minorHAnsi" w:hAnsiTheme="minorHAnsi"/>
          <w:sz w:val="22"/>
        </w:rPr>
        <w:t>Emakumeen eta gizonen arteko benetako berdintasuna:</w:t>
      </w:r>
    </w:p>
    <w:p w14:paraId="1FA7AD14"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Bereizkeria enplegua lortzeko unean</w:t>
      </w:r>
    </w:p>
    <w:p w14:paraId="7EA79208"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Bereizkeria lan-harremanetan (diru-sarrerak, soldatak, igoera)</w:t>
      </w:r>
    </w:p>
    <w:p w14:paraId="7D9A3ED4"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Sexu-jazarpena eta sexuan oinarritutako jazarpena</w:t>
      </w:r>
    </w:p>
    <w:p w14:paraId="21694A05"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Berdintasun-neurriak eta -planak</w:t>
      </w:r>
    </w:p>
    <w:p w14:paraId="5F497728"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Familia- eta lan-bizitza bateragarri egiteko eskubideak</w:t>
      </w:r>
    </w:p>
    <w:p w14:paraId="206D3577" w14:textId="77777777" w:rsidR="00567A89" w:rsidRPr="005E0C4F" w:rsidRDefault="00567A89" w:rsidP="005E0C4F">
      <w:pPr>
        <w:pStyle w:val="Prrafodelista"/>
        <w:numPr>
          <w:ilvl w:val="0"/>
          <w:numId w:val="5"/>
        </w:numPr>
        <w:spacing w:after="120" w:line="276" w:lineRule="auto"/>
        <w:jc w:val="both"/>
        <w:rPr>
          <w:rFonts w:asciiTheme="minorHAnsi" w:hAnsiTheme="minorHAnsi" w:cstheme="minorHAnsi"/>
          <w:sz w:val="22"/>
          <w:szCs w:val="22"/>
        </w:rPr>
      </w:pPr>
      <w:r>
        <w:rPr>
          <w:rFonts w:asciiTheme="minorHAnsi" w:hAnsiTheme="minorHAnsi"/>
          <w:sz w:val="22"/>
        </w:rPr>
        <w:t>Bereizkeria negoziazio kolektiboan.</w:t>
      </w:r>
    </w:p>
    <w:p w14:paraId="20CD19B8" w14:textId="77777777" w:rsidR="00B607F5" w:rsidRPr="005E0C4F" w:rsidRDefault="00B607F5" w:rsidP="005E0C4F">
      <w:pPr>
        <w:spacing w:after="120" w:line="276" w:lineRule="auto"/>
        <w:jc w:val="both"/>
        <w:rPr>
          <w:rFonts w:asciiTheme="minorHAnsi" w:hAnsiTheme="minorHAnsi" w:cstheme="minorHAnsi"/>
          <w:b/>
          <w:i/>
          <w:sz w:val="22"/>
          <w:szCs w:val="22"/>
        </w:rPr>
      </w:pPr>
      <w:r>
        <w:rPr>
          <w:rFonts w:asciiTheme="minorHAnsi" w:hAnsiTheme="minorHAnsi"/>
          <w:b/>
          <w:i/>
          <w:sz w:val="22"/>
        </w:rPr>
        <w:t>Zehapenik ezarri al zaio enpresaren bati berariazko araudia (901/2020 Errege Dekretua) ez betetzeagatik?</w:t>
      </w:r>
    </w:p>
    <w:p w14:paraId="476B2126" w14:textId="77777777" w:rsidR="00B607F5" w:rsidRPr="005E0C4F" w:rsidRDefault="00B607F5" w:rsidP="005E0C4F">
      <w:pPr>
        <w:pStyle w:val="Prrafodelista"/>
        <w:numPr>
          <w:ilvl w:val="0"/>
          <w:numId w:val="4"/>
        </w:numPr>
        <w:spacing w:after="120" w:line="276" w:lineRule="auto"/>
        <w:jc w:val="both"/>
        <w:rPr>
          <w:rFonts w:asciiTheme="minorHAnsi" w:hAnsiTheme="minorHAnsi" w:cstheme="minorHAnsi"/>
          <w:sz w:val="22"/>
          <w:szCs w:val="22"/>
        </w:rPr>
      </w:pPr>
      <w:r>
        <w:rPr>
          <w:rFonts w:asciiTheme="minorHAnsi" w:hAnsiTheme="minorHAnsi"/>
          <w:sz w:val="22"/>
        </w:rPr>
        <w:t>3 espediente/enpresa 2025ean.</w:t>
      </w:r>
    </w:p>
    <w:p w14:paraId="73E39288" w14:textId="77777777" w:rsidR="00B607F5" w:rsidRPr="005E0C4F" w:rsidRDefault="00B607F5" w:rsidP="005E0C4F">
      <w:pPr>
        <w:pStyle w:val="Prrafodelista"/>
        <w:numPr>
          <w:ilvl w:val="0"/>
          <w:numId w:val="4"/>
        </w:numPr>
        <w:spacing w:after="120" w:line="276" w:lineRule="auto"/>
        <w:jc w:val="both"/>
        <w:rPr>
          <w:rFonts w:asciiTheme="minorHAnsi" w:hAnsiTheme="minorHAnsi" w:cstheme="minorHAnsi"/>
          <w:sz w:val="22"/>
          <w:szCs w:val="22"/>
        </w:rPr>
      </w:pPr>
      <w:r>
        <w:rPr>
          <w:rFonts w:asciiTheme="minorHAnsi" w:hAnsiTheme="minorHAnsi"/>
          <w:sz w:val="22"/>
        </w:rPr>
        <w:t>4 espediente/enpresa 2024an.</w:t>
      </w:r>
    </w:p>
    <w:p w14:paraId="57C64124" w14:textId="77777777" w:rsidR="0086488B" w:rsidRPr="005E0C4F" w:rsidRDefault="0086488B" w:rsidP="005E0C4F">
      <w:pPr>
        <w:spacing w:after="120" w:line="276" w:lineRule="auto"/>
        <w:jc w:val="both"/>
        <w:rPr>
          <w:rFonts w:asciiTheme="minorHAnsi" w:hAnsiTheme="minorHAnsi" w:cstheme="minorHAnsi"/>
          <w:sz w:val="22"/>
          <w:szCs w:val="22"/>
        </w:rPr>
      </w:pPr>
      <w:r>
        <w:rPr>
          <w:rFonts w:asciiTheme="minorHAnsi" w:hAnsiTheme="minorHAnsi"/>
          <w:sz w:val="22"/>
        </w:rPr>
        <w:t>Hori guztia jakinarazten dizut, Nafarroako Parlamentuko Erregelamenduaren 215. artikuluan xedatutakoa betez.</w:t>
      </w:r>
    </w:p>
    <w:p w14:paraId="6FB000C3" w14:textId="77777777" w:rsidR="0086488B" w:rsidRPr="005E0C4F" w:rsidRDefault="0086488B" w:rsidP="005E0C4F">
      <w:pPr>
        <w:spacing w:after="120" w:line="276" w:lineRule="auto"/>
        <w:jc w:val="both"/>
        <w:rPr>
          <w:rFonts w:asciiTheme="minorHAnsi" w:hAnsiTheme="minorHAnsi" w:cstheme="minorHAnsi"/>
          <w:sz w:val="22"/>
          <w:szCs w:val="22"/>
        </w:rPr>
      </w:pPr>
      <w:r>
        <w:rPr>
          <w:rFonts w:asciiTheme="minorHAnsi" w:hAnsiTheme="minorHAnsi"/>
          <w:sz w:val="22"/>
        </w:rPr>
        <w:t>Iruñean, 2026ko martxoaren 16an</w:t>
      </w:r>
    </w:p>
    <w:p w14:paraId="05CB6E34" w14:textId="018F0450" w:rsidR="0086488B" w:rsidRPr="005E0C4F" w:rsidRDefault="005E0C4F" w:rsidP="005E0C4F">
      <w:pPr>
        <w:spacing w:after="120" w:line="276" w:lineRule="auto"/>
        <w:jc w:val="both"/>
        <w:rPr>
          <w:rFonts w:asciiTheme="minorHAnsi" w:hAnsiTheme="minorHAnsi" w:cstheme="minorHAnsi"/>
          <w:sz w:val="22"/>
          <w:szCs w:val="22"/>
        </w:rPr>
      </w:pPr>
      <w:r>
        <w:rPr>
          <w:rFonts w:asciiTheme="minorHAnsi" w:hAnsiTheme="minorHAnsi"/>
          <w:sz w:val="22"/>
        </w:rPr>
        <w:t>Eskubide Sozialetako, Ekonomia Sozialeko eta Enpleguko kontseilaria: María Carmen Maeztu Villafranca</w:t>
      </w:r>
    </w:p>
    <w:sectPr w:rsidR="0086488B" w:rsidRPr="005E0C4F" w:rsidSect="005E0C4F">
      <w:footerReference w:type="default" r:id="rId7"/>
      <w:pgSz w:w="11906" w:h="16838"/>
      <w:pgMar w:top="1702"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800A" w14:textId="77777777" w:rsidR="009F63F3" w:rsidRDefault="009F63F3" w:rsidP="0086488B">
      <w:r>
        <w:separator/>
      </w:r>
    </w:p>
  </w:endnote>
  <w:endnote w:type="continuationSeparator" w:id="0">
    <w:p w14:paraId="0CE10F49" w14:textId="77777777" w:rsidR="009F63F3" w:rsidRDefault="009F63F3" w:rsidP="0086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4F6" w14:textId="77777777" w:rsidR="009F63F3" w:rsidRDefault="009F63F3"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BE6" w14:textId="77777777" w:rsidR="009F63F3" w:rsidRDefault="009F63F3" w:rsidP="0086488B">
      <w:r>
        <w:separator/>
      </w:r>
    </w:p>
  </w:footnote>
  <w:footnote w:type="continuationSeparator" w:id="0">
    <w:p w14:paraId="0F89A682" w14:textId="77777777" w:rsidR="009F63F3" w:rsidRDefault="009F63F3" w:rsidP="00864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7965"/>
    <w:multiLevelType w:val="hybridMultilevel"/>
    <w:tmpl w:val="D99484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36184B"/>
    <w:multiLevelType w:val="hybridMultilevel"/>
    <w:tmpl w:val="E0048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B9006B"/>
    <w:multiLevelType w:val="hybridMultilevel"/>
    <w:tmpl w:val="4E104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C51FB5"/>
    <w:multiLevelType w:val="hybridMultilevel"/>
    <w:tmpl w:val="17CADF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4F43DDD"/>
    <w:multiLevelType w:val="hybridMultilevel"/>
    <w:tmpl w:val="6562D5A0"/>
    <w:lvl w:ilvl="0" w:tplc="7FA454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3715679">
    <w:abstractNumId w:val="2"/>
  </w:num>
  <w:num w:numId="2" w16cid:durableId="836463574">
    <w:abstractNumId w:val="3"/>
  </w:num>
  <w:num w:numId="3" w16cid:durableId="875040345">
    <w:abstractNumId w:val="1"/>
  </w:num>
  <w:num w:numId="4" w16cid:durableId="1182356501">
    <w:abstractNumId w:val="0"/>
  </w:num>
  <w:num w:numId="5" w16cid:durableId="86601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EB"/>
    <w:rsid w:val="002D6AAC"/>
    <w:rsid w:val="002F796B"/>
    <w:rsid w:val="00490053"/>
    <w:rsid w:val="005648C3"/>
    <w:rsid w:val="00567A89"/>
    <w:rsid w:val="00572058"/>
    <w:rsid w:val="005E0C4F"/>
    <w:rsid w:val="00692F9A"/>
    <w:rsid w:val="007722E2"/>
    <w:rsid w:val="0086488B"/>
    <w:rsid w:val="008A2E3C"/>
    <w:rsid w:val="009F63F3"/>
    <w:rsid w:val="00B607F5"/>
    <w:rsid w:val="00B97582"/>
    <w:rsid w:val="00C34F32"/>
    <w:rsid w:val="00C73E2D"/>
    <w:rsid w:val="00C801EB"/>
    <w:rsid w:val="00EC4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CAA5"/>
  <w15:chartTrackingRefBased/>
  <w15:docId w15:val="{F94A7220-D418-4426-9E77-EDD7FE3F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8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88B"/>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488B"/>
  </w:style>
  <w:style w:type="paragraph" w:styleId="Piedepgina">
    <w:name w:val="footer"/>
    <w:basedOn w:val="Normal"/>
    <w:link w:val="PiedepginaCar"/>
    <w:unhideWhenUsed/>
    <w:rsid w:val="0086488B"/>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86488B"/>
  </w:style>
  <w:style w:type="paragraph" w:styleId="Textoindependiente">
    <w:name w:val="Body Text"/>
    <w:basedOn w:val="Normal"/>
    <w:link w:val="TextoindependienteCar"/>
    <w:rsid w:val="0086488B"/>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86488B"/>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86488B"/>
  </w:style>
  <w:style w:type="paragraph" w:styleId="Prrafodelista">
    <w:name w:val="List Paragraph"/>
    <w:basedOn w:val="Normal"/>
    <w:uiPriority w:val="34"/>
    <w:qFormat/>
    <w:rsid w:val="0086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3</cp:revision>
  <dcterms:created xsi:type="dcterms:W3CDTF">2026-03-17T09:00:00Z</dcterms:created>
  <dcterms:modified xsi:type="dcterms:W3CDTF">2026-04-29T06:03:00Z</dcterms:modified>
  <cp:contentStatus/>
</cp:coreProperties>
</file>