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873B7F" w:rsidRDefault="00CB70CD" w:rsidP="00175B28">
      <w:pPr>
        <w:pStyle w:val="EstiloPortada"/>
        <w:spacing w:before="0"/>
        <w:ind w:left="3839" w:right="-57"/>
        <w:rPr>
          <w:b w:val="0"/>
          <w:color w:val="BFBFBF" w:themeColor="background1" w:themeShade="BF"/>
        </w:rPr>
      </w:pPr>
      <w:r w:rsidRPr="00873B7F">
        <w:rPr>
          <w:b w:val="0"/>
          <w:noProof/>
          <w:color w:val="A6A6A6" w:themeColor="background1" w:themeShade="A6"/>
          <w:lang w:val="es-ES" w:eastAsia="es-ES"/>
        </w:rPr>
        <mc:AlternateContent>
          <mc:Choice Requires="wps">
            <w:drawing>
              <wp:anchor distT="0" distB="0" distL="114300" distR="114300" simplePos="0" relativeHeight="251657728" behindDoc="0" locked="0" layoutInCell="1" allowOverlap="1" wp14:anchorId="2D9148CD" wp14:editId="39A2A3E9">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D674B" w:rsidRPr="002C7026" w:rsidRDefault="002D674B" w:rsidP="002C7026">
                            <w:pPr>
                              <w:spacing w:after="0"/>
                              <w:ind w:firstLine="0"/>
                              <w:jc w:val="center"/>
                              <w:rPr>
                                <w:rFonts w:ascii="Trajan" w:hAnsi="Trajan"/>
                                <w:sz w:val="18"/>
                                <w:szCs w:val="18"/>
                                <w:lang w:val="es-ES"/>
                              </w:rPr>
                            </w:pPr>
                            <w:r w:rsidRPr="002C7026">
                              <w:rPr>
                                <w:rFonts w:ascii="Trajan" w:hAnsi="Trajan"/>
                                <w:sz w:val="18"/>
                                <w:szCs w:val="18"/>
                                <w:lang w:val="es-ES"/>
                              </w:rPr>
                              <w:t>Cámara de</w:t>
                            </w:r>
                          </w:p>
                          <w:p w:rsidR="002D674B" w:rsidRPr="002C7026" w:rsidRDefault="002D674B"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2D674B" w:rsidRPr="002C7026" w:rsidRDefault="002D674B"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2D674B" w:rsidRPr="002C7026" w:rsidRDefault="002D674B"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Nafarroako</w:t>
                            </w:r>
                          </w:p>
                          <w:p w:rsidR="002D674B" w:rsidRPr="002C7026" w:rsidRDefault="002D674B"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kontuen</w:t>
                            </w:r>
                          </w:p>
                          <w:p w:rsidR="002D674B" w:rsidRPr="002C7026" w:rsidRDefault="002D674B"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2D674B" w:rsidRPr="002C7026" w:rsidRDefault="002D674B" w:rsidP="002C7026">
                      <w:pPr>
                        <w:spacing w:after="0"/>
                        <w:ind w:firstLine="0"/>
                        <w:jc w:val="center"/>
                        <w:rPr>
                          <w:rFonts w:ascii="Trajan" w:hAnsi="Trajan"/>
                          <w:sz w:val="18"/>
                          <w:szCs w:val="18"/>
                          <w:lang w:val="es-ES"/>
                        </w:rPr>
                      </w:pPr>
                      <w:r w:rsidRPr="002C7026">
                        <w:rPr>
                          <w:rFonts w:ascii="Trajan" w:hAnsi="Trajan"/>
                          <w:sz w:val="18"/>
                          <w:szCs w:val="18"/>
                          <w:lang w:val="es-ES"/>
                        </w:rPr>
                        <w:t>Cámara de</w:t>
                      </w:r>
                    </w:p>
                    <w:p w:rsidR="002D674B" w:rsidRPr="002C7026" w:rsidRDefault="002D674B"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2D674B" w:rsidRPr="002C7026" w:rsidRDefault="002D674B"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2D674B" w:rsidRPr="002C7026" w:rsidRDefault="002D674B"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Nafarroako</w:t>
                      </w:r>
                    </w:p>
                    <w:p w:rsidR="002D674B" w:rsidRPr="002C7026" w:rsidRDefault="002D674B"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kontuen</w:t>
                      </w:r>
                    </w:p>
                    <w:p w:rsidR="002D674B" w:rsidRPr="002C7026" w:rsidRDefault="002D674B"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ganbera</w:t>
                      </w:r>
                    </w:p>
                  </w:txbxContent>
                </v:textbox>
              </v:shape>
            </w:pict>
          </mc:Fallback>
        </mc:AlternateContent>
      </w:r>
    </w:p>
    <w:p w:rsidR="001C3A32" w:rsidRPr="003C4D81" w:rsidRDefault="001C3A32" w:rsidP="00891D73">
      <w:pPr>
        <w:pStyle w:val="texto"/>
        <w:rPr>
          <w:rFonts w:ascii="Arial" w:hAnsi="Arial" w:cs="Arial"/>
          <w:b/>
          <w:sz w:val="36"/>
          <w:szCs w:val="36"/>
        </w:rPr>
      </w:pPr>
    </w:p>
    <w:p w:rsidR="00DD786F" w:rsidRPr="00175B28" w:rsidRDefault="008340B3" w:rsidP="00DD786F">
      <w:pPr>
        <w:pStyle w:val="EstiloPortada"/>
        <w:ind w:left="3544"/>
        <w:rPr>
          <w:sz w:val="44"/>
          <w:szCs w:val="44"/>
        </w:rPr>
      </w:pPr>
      <w:r w:rsidRPr="00175B28">
        <w:rPr>
          <w:sz w:val="44"/>
          <w:szCs w:val="44"/>
        </w:rPr>
        <w:t>Subvenciones</w:t>
      </w:r>
      <w:r w:rsidR="00DD786F" w:rsidRPr="00175B28">
        <w:rPr>
          <w:sz w:val="44"/>
          <w:szCs w:val="44"/>
        </w:rPr>
        <w:t xml:space="preserve"> concedidas a la Fundación Miguel Induráin     (2005-2015)</w:t>
      </w:r>
    </w:p>
    <w:p w:rsidR="001C3A32" w:rsidRDefault="001C3A32" w:rsidP="00BB29A4">
      <w:pPr>
        <w:pStyle w:val="texto"/>
        <w:ind w:left="1843" w:right="-142"/>
      </w:pPr>
    </w:p>
    <w:p w:rsidR="00FE4963" w:rsidRDefault="00FE4963" w:rsidP="00891D73">
      <w:pPr>
        <w:pStyle w:val="texto"/>
      </w:pPr>
    </w:p>
    <w:p w:rsidR="00FE4963" w:rsidRPr="00204979" w:rsidRDefault="00FE4963"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BB29A4" w:rsidRDefault="00BB29A4" w:rsidP="00891D73">
      <w:pPr>
        <w:pStyle w:val="texto"/>
      </w:pPr>
    </w:p>
    <w:p w:rsidR="00BB29A4" w:rsidRDefault="00BB29A4" w:rsidP="00891D73">
      <w:pPr>
        <w:pStyle w:val="texto"/>
      </w:pPr>
    </w:p>
    <w:p w:rsidR="00BB29A4" w:rsidRDefault="00BB29A4" w:rsidP="00891D73">
      <w:pPr>
        <w:pStyle w:val="texto"/>
      </w:pPr>
    </w:p>
    <w:p w:rsidR="00BB29A4" w:rsidRDefault="00BB29A4" w:rsidP="00891D73">
      <w:pPr>
        <w:pStyle w:val="texto"/>
      </w:pPr>
    </w:p>
    <w:p w:rsidR="00BB29A4" w:rsidRPr="00204979" w:rsidRDefault="00BB29A4" w:rsidP="00891D73">
      <w:pPr>
        <w:pStyle w:val="texto"/>
      </w:pPr>
    </w:p>
    <w:p w:rsidR="00873B7F" w:rsidRDefault="00873B7F" w:rsidP="00764B5C">
      <w:pPr>
        <w:pStyle w:val="texto"/>
        <w:ind w:firstLine="0"/>
      </w:pPr>
    </w:p>
    <w:p w:rsidR="00873B7F" w:rsidRPr="00204979" w:rsidRDefault="00873B7F" w:rsidP="00891D73">
      <w:pPr>
        <w:pStyle w:val="texto"/>
      </w:pPr>
    </w:p>
    <w:p w:rsidR="00716463" w:rsidRPr="00B52998" w:rsidRDefault="0060206F" w:rsidP="009936FC">
      <w:pPr>
        <w:pStyle w:val="Fechaportada"/>
      </w:pPr>
      <w:r>
        <w:t>Agosto</w:t>
      </w:r>
      <w:r w:rsidR="00DD786F">
        <w:t>,</w:t>
      </w:r>
      <w:r w:rsidR="00882BEB" w:rsidRPr="00B52998">
        <w:t xml:space="preserve"> 201</w:t>
      </w:r>
      <w:r w:rsidR="00DD786F">
        <w:t>6</w:t>
      </w:r>
    </w:p>
    <w:p w:rsidR="008E3FFE" w:rsidRPr="00B52998" w:rsidRDefault="008E3FFE" w:rsidP="00891D73">
      <w:pPr>
        <w:pStyle w:val="ndice"/>
        <w:rPr>
          <w:rFonts w:ascii="Times New Roman" w:hAnsi="Times New Roman"/>
          <w:color w:val="auto"/>
        </w:rPr>
        <w:sectPr w:rsidR="008E3FFE" w:rsidRPr="00B52998" w:rsidSect="00C13CBB">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14728F" w:rsidRPr="004950CC" w:rsidRDefault="003C6E1D" w:rsidP="001841D5">
      <w:pPr>
        <w:pStyle w:val="texto"/>
        <w:ind w:right="-211"/>
        <w:jc w:val="right"/>
        <w:rPr>
          <w:smallCaps/>
          <w:sz w:val="20"/>
          <w:szCs w:val="20"/>
        </w:rPr>
      </w:pPr>
      <w:r>
        <w:t>.</w:t>
      </w:r>
      <w:r w:rsidR="004950CC">
        <w:tab/>
      </w:r>
      <w:r w:rsidR="004950CC">
        <w:tab/>
      </w:r>
      <w:r w:rsidR="004950CC">
        <w:tab/>
      </w:r>
      <w:r w:rsidR="004950CC">
        <w:tab/>
      </w:r>
      <w:r w:rsidR="004950CC">
        <w:tab/>
      </w:r>
      <w:r w:rsidR="004950CC">
        <w:rPr>
          <w:smallCaps/>
          <w:sz w:val="20"/>
          <w:szCs w:val="20"/>
        </w:rPr>
        <w:t>página</w:t>
      </w:r>
    </w:p>
    <w:p w:rsidR="00CA2338" w:rsidRDefault="00882BEB">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54441422" w:history="1">
        <w:r w:rsidR="00CA2338" w:rsidRPr="006744DF">
          <w:rPr>
            <w:rStyle w:val="Hipervnculo"/>
            <w:noProof/>
          </w:rPr>
          <w:t>I. Introducción</w:t>
        </w:r>
        <w:r w:rsidR="00CA2338">
          <w:rPr>
            <w:noProof/>
            <w:webHidden/>
          </w:rPr>
          <w:tab/>
        </w:r>
        <w:r w:rsidR="00CA2338">
          <w:rPr>
            <w:noProof/>
            <w:webHidden/>
          </w:rPr>
          <w:fldChar w:fldCharType="begin"/>
        </w:r>
        <w:r w:rsidR="00CA2338">
          <w:rPr>
            <w:noProof/>
            <w:webHidden/>
          </w:rPr>
          <w:instrText xml:space="preserve"> PAGEREF _Toc454441422 \h </w:instrText>
        </w:r>
        <w:r w:rsidR="00CA2338">
          <w:rPr>
            <w:noProof/>
            <w:webHidden/>
          </w:rPr>
        </w:r>
        <w:r w:rsidR="00CA2338">
          <w:rPr>
            <w:noProof/>
            <w:webHidden/>
          </w:rPr>
          <w:fldChar w:fldCharType="separate"/>
        </w:r>
        <w:r w:rsidR="000C7FAB">
          <w:rPr>
            <w:noProof/>
            <w:webHidden/>
          </w:rPr>
          <w:t>3</w:t>
        </w:r>
        <w:r w:rsidR="00CA2338">
          <w:rPr>
            <w:noProof/>
            <w:webHidden/>
          </w:rPr>
          <w:fldChar w:fldCharType="end"/>
        </w:r>
      </w:hyperlink>
    </w:p>
    <w:p w:rsidR="00CA2338" w:rsidRDefault="002E7F95">
      <w:pPr>
        <w:pStyle w:val="TDC1"/>
        <w:rPr>
          <w:rFonts w:asciiTheme="minorHAnsi" w:eastAsiaTheme="minorEastAsia" w:hAnsiTheme="minorHAnsi" w:cstheme="minorBidi"/>
          <w:smallCaps w:val="0"/>
          <w:noProof/>
          <w:szCs w:val="22"/>
          <w:lang w:val="es-ES" w:eastAsia="es-ES"/>
        </w:rPr>
      </w:pPr>
      <w:hyperlink w:anchor="_Toc454441423" w:history="1">
        <w:r w:rsidR="00CA2338" w:rsidRPr="006744DF">
          <w:rPr>
            <w:rStyle w:val="Hipervnculo"/>
            <w:noProof/>
          </w:rPr>
          <w:t>II. La Fundación Miguel Induráin</w:t>
        </w:r>
        <w:r w:rsidR="00CA2338">
          <w:rPr>
            <w:noProof/>
            <w:webHidden/>
          </w:rPr>
          <w:tab/>
        </w:r>
        <w:r w:rsidR="00CA2338">
          <w:rPr>
            <w:noProof/>
            <w:webHidden/>
          </w:rPr>
          <w:fldChar w:fldCharType="begin"/>
        </w:r>
        <w:r w:rsidR="00CA2338">
          <w:rPr>
            <w:noProof/>
            <w:webHidden/>
          </w:rPr>
          <w:instrText xml:space="preserve"> PAGEREF _Toc454441423 \h </w:instrText>
        </w:r>
        <w:r w:rsidR="00CA2338">
          <w:rPr>
            <w:noProof/>
            <w:webHidden/>
          </w:rPr>
        </w:r>
        <w:r w:rsidR="00CA2338">
          <w:rPr>
            <w:noProof/>
            <w:webHidden/>
          </w:rPr>
          <w:fldChar w:fldCharType="separate"/>
        </w:r>
        <w:r w:rsidR="000C7FAB">
          <w:rPr>
            <w:noProof/>
            <w:webHidden/>
          </w:rPr>
          <w:t>5</w:t>
        </w:r>
        <w:r w:rsidR="00CA2338">
          <w:rPr>
            <w:noProof/>
            <w:webHidden/>
          </w:rPr>
          <w:fldChar w:fldCharType="end"/>
        </w:r>
      </w:hyperlink>
    </w:p>
    <w:p w:rsidR="00CA2338" w:rsidRDefault="002E7F95">
      <w:pPr>
        <w:pStyle w:val="TDC2"/>
        <w:rPr>
          <w:rFonts w:asciiTheme="minorHAnsi" w:eastAsiaTheme="minorEastAsia" w:hAnsiTheme="minorHAnsi" w:cstheme="minorBidi"/>
          <w:noProof/>
          <w:szCs w:val="22"/>
          <w:lang w:val="es-ES" w:eastAsia="es-ES"/>
        </w:rPr>
      </w:pPr>
      <w:hyperlink w:anchor="_Toc454441424" w:history="1">
        <w:r w:rsidR="00CA2338" w:rsidRPr="006744DF">
          <w:rPr>
            <w:rStyle w:val="Hipervnculo"/>
            <w:noProof/>
          </w:rPr>
          <w:t>II.1. Principales características de la Fundación Miguel Induráin</w:t>
        </w:r>
        <w:r w:rsidR="00CA2338">
          <w:rPr>
            <w:noProof/>
            <w:webHidden/>
          </w:rPr>
          <w:tab/>
        </w:r>
        <w:r w:rsidR="00CA2338">
          <w:rPr>
            <w:noProof/>
            <w:webHidden/>
          </w:rPr>
          <w:fldChar w:fldCharType="begin"/>
        </w:r>
        <w:r w:rsidR="00CA2338">
          <w:rPr>
            <w:noProof/>
            <w:webHidden/>
          </w:rPr>
          <w:instrText xml:space="preserve"> PAGEREF _Toc454441424 \h </w:instrText>
        </w:r>
        <w:r w:rsidR="00CA2338">
          <w:rPr>
            <w:noProof/>
            <w:webHidden/>
          </w:rPr>
        </w:r>
        <w:r w:rsidR="00CA2338">
          <w:rPr>
            <w:noProof/>
            <w:webHidden/>
          </w:rPr>
          <w:fldChar w:fldCharType="separate"/>
        </w:r>
        <w:r w:rsidR="000C7FAB">
          <w:rPr>
            <w:noProof/>
            <w:webHidden/>
          </w:rPr>
          <w:t>5</w:t>
        </w:r>
        <w:r w:rsidR="00CA2338">
          <w:rPr>
            <w:noProof/>
            <w:webHidden/>
          </w:rPr>
          <w:fldChar w:fldCharType="end"/>
        </w:r>
      </w:hyperlink>
    </w:p>
    <w:p w:rsidR="00CA2338" w:rsidRDefault="002E7F95">
      <w:pPr>
        <w:pStyle w:val="TDC2"/>
        <w:rPr>
          <w:rFonts w:asciiTheme="minorHAnsi" w:eastAsiaTheme="minorEastAsia" w:hAnsiTheme="minorHAnsi" w:cstheme="minorBidi"/>
          <w:noProof/>
          <w:szCs w:val="22"/>
          <w:lang w:val="es-ES" w:eastAsia="es-ES"/>
        </w:rPr>
      </w:pPr>
      <w:hyperlink w:anchor="_Toc454441425" w:history="1">
        <w:r w:rsidR="00CA2338" w:rsidRPr="006744DF">
          <w:rPr>
            <w:rStyle w:val="Hipervnculo"/>
            <w:noProof/>
          </w:rPr>
          <w:t>II.2. Subvenciones públicas percibidas por la Fundación entre 2005 y 2015 y breve referencia a sus cuentas anuales</w:t>
        </w:r>
        <w:r w:rsidR="00CA2338">
          <w:rPr>
            <w:noProof/>
            <w:webHidden/>
          </w:rPr>
          <w:tab/>
        </w:r>
        <w:r w:rsidR="00CA2338">
          <w:rPr>
            <w:noProof/>
            <w:webHidden/>
          </w:rPr>
          <w:fldChar w:fldCharType="begin"/>
        </w:r>
        <w:r w:rsidR="00CA2338">
          <w:rPr>
            <w:noProof/>
            <w:webHidden/>
          </w:rPr>
          <w:instrText xml:space="preserve"> PAGEREF _Toc454441425 \h </w:instrText>
        </w:r>
        <w:r w:rsidR="00CA2338">
          <w:rPr>
            <w:noProof/>
            <w:webHidden/>
          </w:rPr>
        </w:r>
        <w:r w:rsidR="00CA2338">
          <w:rPr>
            <w:noProof/>
            <w:webHidden/>
          </w:rPr>
          <w:fldChar w:fldCharType="separate"/>
        </w:r>
        <w:r w:rsidR="000C7FAB">
          <w:rPr>
            <w:noProof/>
            <w:webHidden/>
          </w:rPr>
          <w:t>8</w:t>
        </w:r>
        <w:r w:rsidR="00CA2338">
          <w:rPr>
            <w:noProof/>
            <w:webHidden/>
          </w:rPr>
          <w:fldChar w:fldCharType="end"/>
        </w:r>
      </w:hyperlink>
    </w:p>
    <w:p w:rsidR="00CA2338" w:rsidRDefault="002E7F95">
      <w:pPr>
        <w:pStyle w:val="TDC1"/>
        <w:rPr>
          <w:rFonts w:asciiTheme="minorHAnsi" w:eastAsiaTheme="minorEastAsia" w:hAnsiTheme="minorHAnsi" w:cstheme="minorBidi"/>
          <w:smallCaps w:val="0"/>
          <w:noProof/>
          <w:szCs w:val="22"/>
          <w:lang w:val="es-ES" w:eastAsia="es-ES"/>
        </w:rPr>
      </w:pPr>
      <w:hyperlink w:anchor="_Toc454441426" w:history="1">
        <w:r w:rsidR="00CA2338" w:rsidRPr="006744DF">
          <w:rPr>
            <w:rStyle w:val="Hipervnculo"/>
            <w:noProof/>
          </w:rPr>
          <w:t>III. Opinión de cumplimiento de legalidad</w:t>
        </w:r>
        <w:r w:rsidR="00CA2338">
          <w:rPr>
            <w:noProof/>
            <w:webHidden/>
          </w:rPr>
          <w:tab/>
        </w:r>
        <w:r w:rsidR="00CA2338">
          <w:rPr>
            <w:noProof/>
            <w:webHidden/>
          </w:rPr>
          <w:fldChar w:fldCharType="begin"/>
        </w:r>
        <w:r w:rsidR="00CA2338">
          <w:rPr>
            <w:noProof/>
            <w:webHidden/>
          </w:rPr>
          <w:instrText xml:space="preserve"> PAGEREF _Toc454441426 \h </w:instrText>
        </w:r>
        <w:r w:rsidR="00CA2338">
          <w:rPr>
            <w:noProof/>
            <w:webHidden/>
          </w:rPr>
        </w:r>
        <w:r w:rsidR="00CA2338">
          <w:rPr>
            <w:noProof/>
            <w:webHidden/>
          </w:rPr>
          <w:fldChar w:fldCharType="separate"/>
        </w:r>
        <w:r w:rsidR="000C7FAB">
          <w:rPr>
            <w:noProof/>
            <w:webHidden/>
          </w:rPr>
          <w:t>11</w:t>
        </w:r>
        <w:r w:rsidR="00CA2338">
          <w:rPr>
            <w:noProof/>
            <w:webHidden/>
          </w:rPr>
          <w:fldChar w:fldCharType="end"/>
        </w:r>
      </w:hyperlink>
    </w:p>
    <w:p w:rsidR="00CA2338" w:rsidRDefault="002E7F95">
      <w:pPr>
        <w:pStyle w:val="TDC1"/>
        <w:rPr>
          <w:rFonts w:asciiTheme="minorHAnsi" w:eastAsiaTheme="minorEastAsia" w:hAnsiTheme="minorHAnsi" w:cstheme="minorBidi"/>
          <w:smallCaps w:val="0"/>
          <w:noProof/>
          <w:szCs w:val="22"/>
          <w:lang w:val="es-ES" w:eastAsia="es-ES"/>
        </w:rPr>
      </w:pPr>
      <w:hyperlink w:anchor="_Toc454441427" w:history="1">
        <w:r w:rsidR="00CA2338" w:rsidRPr="006744DF">
          <w:rPr>
            <w:rStyle w:val="Hipervnculo"/>
            <w:noProof/>
            <w:spacing w:val="-2"/>
          </w:rPr>
          <w:t>IV. Observaciones que no afectan a la opinión emitida y recomendaciones</w:t>
        </w:r>
        <w:r w:rsidR="00CA2338">
          <w:rPr>
            <w:noProof/>
            <w:webHidden/>
          </w:rPr>
          <w:tab/>
        </w:r>
        <w:r w:rsidR="00CA2338">
          <w:rPr>
            <w:noProof/>
            <w:webHidden/>
          </w:rPr>
          <w:fldChar w:fldCharType="begin"/>
        </w:r>
        <w:r w:rsidR="00CA2338">
          <w:rPr>
            <w:noProof/>
            <w:webHidden/>
          </w:rPr>
          <w:instrText xml:space="preserve"> PAGEREF _Toc454441427 \h </w:instrText>
        </w:r>
        <w:r w:rsidR="00CA2338">
          <w:rPr>
            <w:noProof/>
            <w:webHidden/>
          </w:rPr>
        </w:r>
        <w:r w:rsidR="00CA2338">
          <w:rPr>
            <w:noProof/>
            <w:webHidden/>
          </w:rPr>
          <w:fldChar w:fldCharType="separate"/>
        </w:r>
        <w:r w:rsidR="000C7FAB">
          <w:rPr>
            <w:noProof/>
            <w:webHidden/>
          </w:rPr>
          <w:t>13</w:t>
        </w:r>
        <w:r w:rsidR="00CA2338">
          <w:rPr>
            <w:noProof/>
            <w:webHidden/>
          </w:rPr>
          <w:fldChar w:fldCharType="end"/>
        </w:r>
      </w:hyperlink>
    </w:p>
    <w:p w:rsidR="00CA2338" w:rsidRDefault="002E7F95">
      <w:pPr>
        <w:pStyle w:val="TDC2"/>
        <w:rPr>
          <w:rFonts w:asciiTheme="minorHAnsi" w:eastAsiaTheme="minorEastAsia" w:hAnsiTheme="minorHAnsi" w:cstheme="minorBidi"/>
          <w:noProof/>
          <w:szCs w:val="22"/>
          <w:lang w:val="es-ES" w:eastAsia="es-ES"/>
        </w:rPr>
      </w:pPr>
      <w:hyperlink w:anchor="_Toc454441428" w:history="1">
        <w:r w:rsidR="00CA2338" w:rsidRPr="006744DF">
          <w:rPr>
            <w:rStyle w:val="Hipervnculo"/>
            <w:noProof/>
          </w:rPr>
          <w:t>IV.1. Conclusiones u observaciones.</w:t>
        </w:r>
        <w:r w:rsidR="00CA2338">
          <w:rPr>
            <w:noProof/>
            <w:webHidden/>
          </w:rPr>
          <w:tab/>
        </w:r>
        <w:r w:rsidR="00CA2338">
          <w:rPr>
            <w:noProof/>
            <w:webHidden/>
          </w:rPr>
          <w:fldChar w:fldCharType="begin"/>
        </w:r>
        <w:r w:rsidR="00CA2338">
          <w:rPr>
            <w:noProof/>
            <w:webHidden/>
          </w:rPr>
          <w:instrText xml:space="preserve"> PAGEREF _Toc454441428 \h </w:instrText>
        </w:r>
        <w:r w:rsidR="00CA2338">
          <w:rPr>
            <w:noProof/>
            <w:webHidden/>
          </w:rPr>
        </w:r>
        <w:r w:rsidR="00CA2338">
          <w:rPr>
            <w:noProof/>
            <w:webHidden/>
          </w:rPr>
          <w:fldChar w:fldCharType="separate"/>
        </w:r>
        <w:r w:rsidR="000C7FAB">
          <w:rPr>
            <w:noProof/>
            <w:webHidden/>
          </w:rPr>
          <w:t>13</w:t>
        </w:r>
        <w:r w:rsidR="00CA2338">
          <w:rPr>
            <w:noProof/>
            <w:webHidden/>
          </w:rPr>
          <w:fldChar w:fldCharType="end"/>
        </w:r>
      </w:hyperlink>
    </w:p>
    <w:p w:rsidR="00CA2338" w:rsidRDefault="002E7F95">
      <w:pPr>
        <w:pStyle w:val="TDC2"/>
        <w:rPr>
          <w:rFonts w:asciiTheme="minorHAnsi" w:eastAsiaTheme="minorEastAsia" w:hAnsiTheme="minorHAnsi" w:cstheme="minorBidi"/>
          <w:noProof/>
          <w:szCs w:val="22"/>
          <w:lang w:val="es-ES" w:eastAsia="es-ES"/>
        </w:rPr>
      </w:pPr>
      <w:hyperlink w:anchor="_Toc454441429" w:history="1">
        <w:r w:rsidR="00CA2338" w:rsidRPr="006744DF">
          <w:rPr>
            <w:rStyle w:val="Hipervnculo"/>
            <w:noProof/>
          </w:rPr>
          <w:t>IV.2. Recomendaciones.</w:t>
        </w:r>
        <w:r w:rsidR="00CA2338">
          <w:rPr>
            <w:noProof/>
            <w:webHidden/>
          </w:rPr>
          <w:tab/>
        </w:r>
        <w:r w:rsidR="00CA2338">
          <w:rPr>
            <w:noProof/>
            <w:webHidden/>
          </w:rPr>
          <w:fldChar w:fldCharType="begin"/>
        </w:r>
        <w:r w:rsidR="00CA2338">
          <w:rPr>
            <w:noProof/>
            <w:webHidden/>
          </w:rPr>
          <w:instrText xml:space="preserve"> PAGEREF _Toc454441429 \h </w:instrText>
        </w:r>
        <w:r w:rsidR="00CA2338">
          <w:rPr>
            <w:noProof/>
            <w:webHidden/>
          </w:rPr>
        </w:r>
        <w:r w:rsidR="00CA2338">
          <w:rPr>
            <w:noProof/>
            <w:webHidden/>
          </w:rPr>
          <w:fldChar w:fldCharType="separate"/>
        </w:r>
        <w:r w:rsidR="000C7FAB">
          <w:rPr>
            <w:noProof/>
            <w:webHidden/>
          </w:rPr>
          <w:t>21</w:t>
        </w:r>
        <w:r w:rsidR="00CA2338">
          <w:rPr>
            <w:noProof/>
            <w:webHidden/>
          </w:rPr>
          <w:fldChar w:fldCharType="end"/>
        </w:r>
      </w:hyperlink>
    </w:p>
    <w:p w:rsidR="00CA2338" w:rsidRDefault="002E7F95">
      <w:pPr>
        <w:pStyle w:val="TDC2"/>
        <w:rPr>
          <w:rFonts w:asciiTheme="minorHAnsi" w:eastAsiaTheme="minorEastAsia" w:hAnsiTheme="minorHAnsi" w:cstheme="minorBidi"/>
          <w:noProof/>
          <w:szCs w:val="22"/>
          <w:lang w:val="es-ES" w:eastAsia="es-ES"/>
        </w:rPr>
      </w:pPr>
      <w:hyperlink w:anchor="_Toc454441430" w:history="1">
        <w:r w:rsidR="00CA2338" w:rsidRPr="006744DF">
          <w:rPr>
            <w:rStyle w:val="Hipervnculo"/>
            <w:noProof/>
          </w:rPr>
          <w:t>IV.3. Reflexiones sobre la naturaleza jurídica de la Fundación</w:t>
        </w:r>
        <w:r w:rsidR="00CA2338">
          <w:rPr>
            <w:noProof/>
            <w:webHidden/>
          </w:rPr>
          <w:tab/>
        </w:r>
        <w:r w:rsidR="00CA2338">
          <w:rPr>
            <w:noProof/>
            <w:webHidden/>
          </w:rPr>
          <w:fldChar w:fldCharType="begin"/>
        </w:r>
        <w:r w:rsidR="00CA2338">
          <w:rPr>
            <w:noProof/>
            <w:webHidden/>
          </w:rPr>
          <w:instrText xml:space="preserve"> PAGEREF _Toc454441430 \h </w:instrText>
        </w:r>
        <w:r w:rsidR="00CA2338">
          <w:rPr>
            <w:noProof/>
            <w:webHidden/>
          </w:rPr>
        </w:r>
        <w:r w:rsidR="00CA2338">
          <w:rPr>
            <w:noProof/>
            <w:webHidden/>
          </w:rPr>
          <w:fldChar w:fldCharType="separate"/>
        </w:r>
        <w:r w:rsidR="000C7FAB">
          <w:rPr>
            <w:noProof/>
            <w:webHidden/>
          </w:rPr>
          <w:t>22</w:t>
        </w:r>
        <w:r w:rsidR="00CA2338">
          <w:rPr>
            <w:noProof/>
            <w:webHidden/>
          </w:rPr>
          <w:fldChar w:fldCharType="end"/>
        </w:r>
      </w:hyperlink>
    </w:p>
    <w:p w:rsidR="00891D73" w:rsidRDefault="00882BEB" w:rsidP="00146342">
      <w:pPr>
        <w:pStyle w:val="texto"/>
      </w:pPr>
      <w:r>
        <w:fldChar w:fldCharType="end"/>
      </w:r>
    </w:p>
    <w:p w:rsidR="00891D73" w:rsidRDefault="00891D73" w:rsidP="00146342">
      <w:pPr>
        <w:pStyle w:val="texto"/>
      </w:pPr>
    </w:p>
    <w:p w:rsidR="008E3FFE" w:rsidRDefault="008E3FFE" w:rsidP="00587AC6">
      <w:pPr>
        <w:pStyle w:val="texto"/>
        <w:ind w:firstLine="0"/>
        <w:sectPr w:rsidR="008E3FFE" w:rsidSect="00C13CBB">
          <w:type w:val="oddPage"/>
          <w:pgSz w:w="11907" w:h="16840" w:code="9"/>
          <w:pgMar w:top="2109" w:right="1559" w:bottom="1644" w:left="1559" w:header="369" w:footer="402" w:gutter="0"/>
          <w:pgNumType w:start="3"/>
          <w:cols w:space="720"/>
          <w:docGrid w:linePitch="360"/>
        </w:sectPr>
      </w:pPr>
    </w:p>
    <w:p w:rsidR="00432E52" w:rsidRDefault="00882BEB" w:rsidP="008900BC">
      <w:pPr>
        <w:pStyle w:val="atitulo1"/>
      </w:pPr>
      <w:bookmarkStart w:id="1" w:name="_Toc303592528"/>
      <w:bookmarkStart w:id="2" w:name="_Toc309383711"/>
      <w:bookmarkStart w:id="3" w:name="_Toc339016600"/>
      <w:bookmarkStart w:id="4" w:name="_Toc454441422"/>
      <w:r w:rsidRPr="00FB570E">
        <w:lastRenderedPageBreak/>
        <w:t>I. Introducción</w:t>
      </w:r>
      <w:bookmarkEnd w:id="1"/>
      <w:bookmarkEnd w:id="2"/>
      <w:bookmarkEnd w:id="3"/>
      <w:bookmarkEnd w:id="4"/>
      <w:r w:rsidR="00F60E62">
        <w:t xml:space="preserve"> </w:t>
      </w:r>
    </w:p>
    <w:p w:rsidR="00DD786F" w:rsidRPr="00DD786F" w:rsidRDefault="00DD786F" w:rsidP="00DD786F">
      <w:pPr>
        <w:pStyle w:val="texto"/>
        <w:tabs>
          <w:tab w:val="clear" w:pos="2835"/>
          <w:tab w:val="clear" w:pos="3969"/>
          <w:tab w:val="clear" w:pos="5103"/>
          <w:tab w:val="clear" w:pos="6237"/>
          <w:tab w:val="clear" w:pos="7371"/>
        </w:tabs>
        <w:rPr>
          <w:szCs w:val="26"/>
        </w:rPr>
      </w:pPr>
      <w:r w:rsidRPr="00DD786F">
        <w:rPr>
          <w:szCs w:val="26"/>
        </w:rPr>
        <w:t>De acuerdo con la Ley Foral 19/1984, de 20 de diciembre, reguladora de la Cámara de Comptos de Navarra-Nafarroako Kontuen Ganbara y a petición de los grupos parlamentarios Geroa Bai, EH Bildu Nafarroa, Podemos-Ahal Dugu y la agrupación de parlamentarios forales de Izquierda-Ezkerra –acuerdo de la Junta de Portavoces del Parlamento de Navarra del 28 de diciembre de 2015</w:t>
      </w:r>
      <w:r w:rsidR="00175B28">
        <w:rPr>
          <w:szCs w:val="26"/>
        </w:rPr>
        <w:t>–</w:t>
      </w:r>
      <w:r w:rsidRPr="00DD786F">
        <w:rPr>
          <w:szCs w:val="26"/>
        </w:rPr>
        <w:t xml:space="preserve">, se </w:t>
      </w:r>
      <w:r w:rsidR="009C1DC3">
        <w:rPr>
          <w:szCs w:val="26"/>
        </w:rPr>
        <w:t>incluyó</w:t>
      </w:r>
      <w:r w:rsidRPr="00DD786F">
        <w:rPr>
          <w:szCs w:val="26"/>
        </w:rPr>
        <w:t xml:space="preserve"> en el Programa de Actuación de 2016 la fiscalización</w:t>
      </w:r>
      <w:r w:rsidR="00911E06">
        <w:rPr>
          <w:szCs w:val="26"/>
        </w:rPr>
        <w:t xml:space="preserve"> de cumpl</w:t>
      </w:r>
      <w:r w:rsidR="00911E06">
        <w:rPr>
          <w:szCs w:val="26"/>
        </w:rPr>
        <w:t>i</w:t>
      </w:r>
      <w:r w:rsidR="00911E06">
        <w:rPr>
          <w:szCs w:val="26"/>
        </w:rPr>
        <w:t>miento de legalidad</w:t>
      </w:r>
      <w:r w:rsidRPr="00DD786F">
        <w:rPr>
          <w:szCs w:val="26"/>
        </w:rPr>
        <w:t xml:space="preserve"> sobre “</w:t>
      </w:r>
      <w:r w:rsidRPr="00DD786F">
        <w:rPr>
          <w:i/>
          <w:szCs w:val="26"/>
        </w:rPr>
        <w:t>la gestión de los fondos públicos recibidos por la Fundación Miguel Induráin, ejercicios de 2005 a 2015</w:t>
      </w:r>
      <w:r w:rsidRPr="00DD786F">
        <w:rPr>
          <w:szCs w:val="26"/>
        </w:rPr>
        <w:t>”.</w:t>
      </w:r>
    </w:p>
    <w:p w:rsidR="00074A4C" w:rsidRDefault="00352E70" w:rsidP="00074A4C">
      <w:pPr>
        <w:pStyle w:val="texto"/>
        <w:tabs>
          <w:tab w:val="clear" w:pos="2835"/>
          <w:tab w:val="clear" w:pos="3969"/>
          <w:tab w:val="clear" w:pos="5103"/>
          <w:tab w:val="clear" w:pos="6237"/>
          <w:tab w:val="clear" w:pos="7371"/>
        </w:tabs>
        <w:rPr>
          <w:szCs w:val="26"/>
        </w:rPr>
      </w:pPr>
      <w:r>
        <w:rPr>
          <w:szCs w:val="26"/>
        </w:rPr>
        <w:t xml:space="preserve">La Cámara de Comptos </w:t>
      </w:r>
      <w:r w:rsidRPr="0076219E">
        <w:rPr>
          <w:szCs w:val="26"/>
        </w:rPr>
        <w:t>h</w:t>
      </w:r>
      <w:r>
        <w:rPr>
          <w:szCs w:val="26"/>
        </w:rPr>
        <w:t>a</w:t>
      </w:r>
      <w:r w:rsidRPr="0076219E">
        <w:rPr>
          <w:szCs w:val="26"/>
        </w:rPr>
        <w:t xml:space="preserve"> planificado y ejecutado una fiscalización de cu</w:t>
      </w:r>
      <w:r w:rsidRPr="0076219E">
        <w:rPr>
          <w:szCs w:val="26"/>
        </w:rPr>
        <w:t>m</w:t>
      </w:r>
      <w:r w:rsidRPr="0076219E">
        <w:rPr>
          <w:szCs w:val="26"/>
        </w:rPr>
        <w:t>plimiento de la legalidad para emitir una opinión sobre si</w:t>
      </w:r>
      <w:r>
        <w:rPr>
          <w:szCs w:val="26"/>
        </w:rPr>
        <w:t xml:space="preserve"> la concesión de su</w:t>
      </w:r>
      <w:r>
        <w:rPr>
          <w:szCs w:val="26"/>
        </w:rPr>
        <w:t>b</w:t>
      </w:r>
      <w:r>
        <w:rPr>
          <w:szCs w:val="26"/>
        </w:rPr>
        <w:t xml:space="preserve">venciones públicas a la Fundación Miguel Induráin (en adelante, Fundación) </w:t>
      </w:r>
      <w:r w:rsidRPr="0076219E">
        <w:rPr>
          <w:szCs w:val="26"/>
        </w:rPr>
        <w:t xml:space="preserve">resulta conforme en todos los aspectos significativos con las normas aplicables a la gestión de los fondos públicos. </w:t>
      </w:r>
      <w:r w:rsidR="00074A4C">
        <w:rPr>
          <w:szCs w:val="26"/>
        </w:rPr>
        <w:t>En concreto si, en esa concesión, se han respetado los principios básicos de:</w:t>
      </w:r>
    </w:p>
    <w:p w:rsidR="00074A4C" w:rsidRPr="00175B28" w:rsidRDefault="00074A4C" w:rsidP="00FF4AA3">
      <w:pPr>
        <w:pStyle w:val="texto"/>
        <w:numPr>
          <w:ilvl w:val="0"/>
          <w:numId w:val="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pacing w:val="-4"/>
          <w:szCs w:val="26"/>
        </w:rPr>
      </w:pPr>
      <w:r w:rsidRPr="00175B28">
        <w:rPr>
          <w:spacing w:val="-4"/>
          <w:szCs w:val="26"/>
        </w:rPr>
        <w:t>Publicidad, transparencia, concurrencia, objetividad, igualdad y no discriminación.</w:t>
      </w:r>
    </w:p>
    <w:p w:rsidR="00074A4C" w:rsidRPr="00043757" w:rsidRDefault="00074A4C" w:rsidP="00FF4AA3">
      <w:pPr>
        <w:pStyle w:val="texto"/>
        <w:numPr>
          <w:ilvl w:val="0"/>
          <w:numId w:val="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sidRPr="00043757">
        <w:rPr>
          <w:szCs w:val="26"/>
        </w:rPr>
        <w:t>Eficacia en el cumplimiento de los objetivos fijados por la Administración.</w:t>
      </w:r>
    </w:p>
    <w:p w:rsidR="00074A4C" w:rsidRDefault="00074A4C" w:rsidP="00FF4AA3">
      <w:pPr>
        <w:pStyle w:val="texto"/>
        <w:numPr>
          <w:ilvl w:val="0"/>
          <w:numId w:val="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sidRPr="00043757">
        <w:rPr>
          <w:szCs w:val="26"/>
        </w:rPr>
        <w:t>Eficiencia en la asignación y utilización de los recursos económicos</w:t>
      </w:r>
      <w:r>
        <w:rPr>
          <w:szCs w:val="26"/>
        </w:rPr>
        <w:t>.</w:t>
      </w:r>
    </w:p>
    <w:p w:rsidR="00352E70" w:rsidRPr="00074A4C" w:rsidRDefault="00074A4C" w:rsidP="00FF4AA3">
      <w:pPr>
        <w:pStyle w:val="texto"/>
        <w:numPr>
          <w:ilvl w:val="0"/>
          <w:numId w:val="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Buena gestión financiera.</w:t>
      </w:r>
    </w:p>
    <w:p w:rsidR="004A0E8B" w:rsidRDefault="004A0E8B" w:rsidP="004A0E8B">
      <w:pPr>
        <w:pStyle w:val="texto"/>
        <w:tabs>
          <w:tab w:val="clear" w:pos="2835"/>
          <w:tab w:val="clear" w:pos="3969"/>
          <w:tab w:val="clear" w:pos="5103"/>
          <w:tab w:val="clear" w:pos="6237"/>
          <w:tab w:val="clear" w:pos="7371"/>
        </w:tabs>
        <w:rPr>
          <w:szCs w:val="26"/>
        </w:rPr>
      </w:pPr>
      <w:r w:rsidRPr="00633D2F">
        <w:rPr>
          <w:szCs w:val="26"/>
        </w:rPr>
        <w:t xml:space="preserve">El ámbito temporal de nuestro trabajo se </w:t>
      </w:r>
      <w:r>
        <w:rPr>
          <w:szCs w:val="26"/>
        </w:rPr>
        <w:t>ha extendido, de acuerdo con la p</w:t>
      </w:r>
      <w:r>
        <w:rPr>
          <w:szCs w:val="26"/>
        </w:rPr>
        <w:t>e</w:t>
      </w:r>
      <w:r>
        <w:rPr>
          <w:szCs w:val="26"/>
        </w:rPr>
        <w:t>tición parlamentaria, al periodo de 2005 a 2015.</w:t>
      </w:r>
    </w:p>
    <w:p w:rsidR="009F795A" w:rsidRPr="00633D2F" w:rsidRDefault="009F795A" w:rsidP="004A0E8B">
      <w:pPr>
        <w:pStyle w:val="texto"/>
        <w:tabs>
          <w:tab w:val="clear" w:pos="2835"/>
          <w:tab w:val="clear" w:pos="3969"/>
          <w:tab w:val="clear" w:pos="5103"/>
          <w:tab w:val="clear" w:pos="6237"/>
          <w:tab w:val="clear" w:pos="7371"/>
        </w:tabs>
        <w:rPr>
          <w:szCs w:val="26"/>
        </w:rPr>
      </w:pPr>
      <w:r>
        <w:rPr>
          <w:szCs w:val="26"/>
        </w:rPr>
        <w:t>Las subvenciones públicas recibidas por la citada Fundación proceden bás</w:t>
      </w:r>
      <w:r>
        <w:rPr>
          <w:szCs w:val="26"/>
        </w:rPr>
        <w:t>i</w:t>
      </w:r>
      <w:r>
        <w:rPr>
          <w:szCs w:val="26"/>
        </w:rPr>
        <w:t>camente del Gobierno de Navarra-Instituto Navarro de Deporte y Juventud</w:t>
      </w:r>
      <w:r w:rsidR="008340B3">
        <w:rPr>
          <w:szCs w:val="26"/>
        </w:rPr>
        <w:t>-</w:t>
      </w:r>
      <w:r>
        <w:rPr>
          <w:szCs w:val="26"/>
        </w:rPr>
        <w:t xml:space="preserve"> y, en menor medida cuantitativa, del Ayuntamiento de Pamplona.</w:t>
      </w:r>
    </w:p>
    <w:p w:rsidR="002A2863" w:rsidRDefault="00B27AF4" w:rsidP="002A2863">
      <w:pPr>
        <w:pStyle w:val="texto"/>
        <w:tabs>
          <w:tab w:val="clear" w:pos="2835"/>
          <w:tab w:val="clear" w:pos="3969"/>
          <w:tab w:val="clear" w:pos="5103"/>
          <w:tab w:val="clear" w:pos="6237"/>
          <w:tab w:val="clear" w:pos="7371"/>
        </w:tabs>
        <w:rPr>
          <w:szCs w:val="26"/>
        </w:rPr>
      </w:pPr>
      <w:r>
        <w:rPr>
          <w:szCs w:val="26"/>
        </w:rPr>
        <w:t xml:space="preserve">Dado el carácter </w:t>
      </w:r>
      <w:r w:rsidR="002A2863">
        <w:rPr>
          <w:szCs w:val="26"/>
        </w:rPr>
        <w:t>privad</w:t>
      </w:r>
      <w:r>
        <w:rPr>
          <w:szCs w:val="26"/>
        </w:rPr>
        <w:t>o</w:t>
      </w:r>
      <w:r w:rsidR="002A2863">
        <w:rPr>
          <w:szCs w:val="26"/>
        </w:rPr>
        <w:t xml:space="preserve"> de la Fundación, nuestra actuación se </w:t>
      </w:r>
      <w:r>
        <w:rPr>
          <w:szCs w:val="26"/>
        </w:rPr>
        <w:t xml:space="preserve">ha </w:t>
      </w:r>
      <w:r w:rsidR="002A2863">
        <w:rPr>
          <w:szCs w:val="26"/>
        </w:rPr>
        <w:t>centrado en la revisión de la concesión y justificación de las subvenciones y ayudas otorgadas a la misma por las entidades públicas.</w:t>
      </w:r>
    </w:p>
    <w:p w:rsidR="00352E70" w:rsidRPr="00175B28" w:rsidRDefault="00352E70" w:rsidP="00352E70">
      <w:pPr>
        <w:pStyle w:val="texto"/>
        <w:tabs>
          <w:tab w:val="clear" w:pos="2835"/>
          <w:tab w:val="clear" w:pos="3969"/>
          <w:tab w:val="clear" w:pos="5103"/>
          <w:tab w:val="clear" w:pos="6237"/>
          <w:tab w:val="clear" w:pos="7371"/>
        </w:tabs>
        <w:rPr>
          <w:spacing w:val="0"/>
          <w:szCs w:val="26"/>
        </w:rPr>
      </w:pPr>
      <w:r w:rsidRPr="00175B28">
        <w:rPr>
          <w:spacing w:val="0"/>
          <w:szCs w:val="26"/>
        </w:rPr>
        <w:t>El marco normativo que resulta aplicable está constituido fundamentalmente por:</w:t>
      </w:r>
    </w:p>
    <w:p w:rsidR="00CE4379" w:rsidRDefault="00CE4379"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rPr>
          <w:szCs w:val="26"/>
        </w:rPr>
      </w:pPr>
      <w:r w:rsidRPr="00633D2F">
        <w:rPr>
          <w:szCs w:val="26"/>
        </w:rPr>
        <w:t>Ley Fo</w:t>
      </w:r>
      <w:r>
        <w:rPr>
          <w:szCs w:val="26"/>
        </w:rPr>
        <w:t xml:space="preserve">ral 11/2005, de 9 de noviembre, </w:t>
      </w:r>
      <w:r w:rsidRPr="00633D2F">
        <w:rPr>
          <w:szCs w:val="26"/>
        </w:rPr>
        <w:t>de Subvenciones</w:t>
      </w:r>
      <w:r>
        <w:rPr>
          <w:szCs w:val="26"/>
        </w:rPr>
        <w:t>.</w:t>
      </w:r>
    </w:p>
    <w:p w:rsidR="00B935B5" w:rsidRPr="00B935B5" w:rsidRDefault="00CE4379"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rPr>
          <w:szCs w:val="26"/>
        </w:rPr>
      </w:pPr>
      <w:r>
        <w:rPr>
          <w:rFonts w:cs="Lucida Sans Unicode"/>
        </w:rPr>
        <w:t>Ley 38/2003, de 17 de noviembre, General de Subvenciones.</w:t>
      </w:r>
    </w:p>
    <w:p w:rsidR="00B935B5" w:rsidRDefault="00B935B5"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rPr>
          <w:szCs w:val="26"/>
        </w:rPr>
      </w:pPr>
      <w:r w:rsidRPr="00B935B5">
        <w:rPr>
          <w:szCs w:val="26"/>
        </w:rPr>
        <w:t xml:space="preserve">Ley </w:t>
      </w:r>
      <w:r>
        <w:rPr>
          <w:szCs w:val="26"/>
        </w:rPr>
        <w:t>F</w:t>
      </w:r>
      <w:r w:rsidRPr="00B935B5">
        <w:rPr>
          <w:szCs w:val="26"/>
        </w:rPr>
        <w:t>oral 10/1996, de 2 de julio, reguladora del régimen tributario de las fundaciones y de las actividades de patrocinio</w:t>
      </w:r>
      <w:r>
        <w:rPr>
          <w:szCs w:val="26"/>
        </w:rPr>
        <w:t>.</w:t>
      </w:r>
      <w:r w:rsidRPr="00B935B5">
        <w:rPr>
          <w:szCs w:val="26"/>
        </w:rPr>
        <w:t xml:space="preserve"> </w:t>
      </w:r>
    </w:p>
    <w:p w:rsidR="00CE4379" w:rsidRPr="0060206F" w:rsidRDefault="00CE4379"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rPr>
          <w:spacing w:val="-2"/>
          <w:szCs w:val="26"/>
        </w:rPr>
      </w:pPr>
      <w:r w:rsidRPr="0060206F">
        <w:rPr>
          <w:spacing w:val="-2"/>
          <w:szCs w:val="26"/>
        </w:rPr>
        <w:t xml:space="preserve">Decreto Foral 59/2013, por el que se regulan las obligaciones de transparencia de los beneficiarios de subvenciones con cargo a los presupuestos generales de Navarra. </w:t>
      </w:r>
    </w:p>
    <w:p w:rsidR="009A6577" w:rsidRPr="00175B28" w:rsidRDefault="00CE4379"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rPr>
          <w:spacing w:val="4"/>
          <w:szCs w:val="26"/>
        </w:rPr>
      </w:pPr>
      <w:r w:rsidRPr="00175B28">
        <w:rPr>
          <w:spacing w:val="4"/>
          <w:szCs w:val="26"/>
        </w:rPr>
        <w:t xml:space="preserve">Los correspondientes convenios y bases reguladoras de las distintas ayudas. </w:t>
      </w:r>
    </w:p>
    <w:p w:rsidR="00026242" w:rsidRPr="008D1EB9" w:rsidRDefault="007B0ACE" w:rsidP="00B51AF0">
      <w:pPr>
        <w:pStyle w:val="texto"/>
        <w:tabs>
          <w:tab w:val="clear" w:pos="2835"/>
          <w:tab w:val="clear" w:pos="3969"/>
          <w:tab w:val="clear" w:pos="5103"/>
          <w:tab w:val="clear" w:pos="6237"/>
          <w:tab w:val="clear" w:pos="7371"/>
        </w:tabs>
        <w:rPr>
          <w:szCs w:val="26"/>
        </w:rPr>
      </w:pPr>
      <w:r w:rsidRPr="008D1EB9">
        <w:rPr>
          <w:szCs w:val="26"/>
        </w:rPr>
        <w:lastRenderedPageBreak/>
        <w:t xml:space="preserve">El informe se estructura en </w:t>
      </w:r>
      <w:r w:rsidR="0038122A">
        <w:rPr>
          <w:szCs w:val="26"/>
        </w:rPr>
        <w:t>cuatro</w:t>
      </w:r>
      <w:r w:rsidRPr="008D1EB9">
        <w:rPr>
          <w:szCs w:val="26"/>
        </w:rPr>
        <w:t xml:space="preserve"> epígrafes, incluyendo esta introducción</w:t>
      </w:r>
      <w:r w:rsidR="008D1EB9">
        <w:rPr>
          <w:szCs w:val="26"/>
        </w:rPr>
        <w:t>; e</w:t>
      </w:r>
      <w:r w:rsidR="00FE4963" w:rsidRPr="008D1EB9">
        <w:rPr>
          <w:szCs w:val="26"/>
        </w:rPr>
        <w:t xml:space="preserve">n el segundo, </w:t>
      </w:r>
      <w:r w:rsidR="00422598" w:rsidRPr="008D1EB9">
        <w:rPr>
          <w:szCs w:val="26"/>
        </w:rPr>
        <w:t xml:space="preserve">mostramos </w:t>
      </w:r>
      <w:r w:rsidR="008D1EB9">
        <w:rPr>
          <w:szCs w:val="26"/>
        </w:rPr>
        <w:t>l</w:t>
      </w:r>
      <w:r w:rsidR="009E4D1C">
        <w:rPr>
          <w:szCs w:val="26"/>
        </w:rPr>
        <w:t>as principales características de la Fundación y los fondos públicos percibidos</w:t>
      </w:r>
      <w:r w:rsidR="000564FA">
        <w:rPr>
          <w:szCs w:val="26"/>
        </w:rPr>
        <w:t xml:space="preserve"> por la misma</w:t>
      </w:r>
      <w:r w:rsidR="009E4D1C">
        <w:rPr>
          <w:szCs w:val="26"/>
        </w:rPr>
        <w:t xml:space="preserve"> en el periodo de 2005 a 2015</w:t>
      </w:r>
      <w:r w:rsidR="008D1EB9">
        <w:rPr>
          <w:szCs w:val="26"/>
        </w:rPr>
        <w:t>.</w:t>
      </w:r>
      <w:r w:rsidR="0038122A">
        <w:rPr>
          <w:szCs w:val="26"/>
        </w:rPr>
        <w:t xml:space="preserve"> El te</w:t>
      </w:r>
      <w:r w:rsidR="0038122A">
        <w:rPr>
          <w:szCs w:val="26"/>
        </w:rPr>
        <w:t>r</w:t>
      </w:r>
      <w:r w:rsidR="0038122A">
        <w:rPr>
          <w:szCs w:val="26"/>
        </w:rPr>
        <w:t>cero indica nuestra opinión sobre el cumplimiento de legalidad en la</w:t>
      </w:r>
      <w:r w:rsidR="009E4D1C">
        <w:rPr>
          <w:szCs w:val="26"/>
        </w:rPr>
        <w:t xml:space="preserve"> concesión de las</w:t>
      </w:r>
      <w:r w:rsidR="0038122A">
        <w:rPr>
          <w:szCs w:val="26"/>
        </w:rPr>
        <w:t xml:space="preserve"> subvenciones analizadas. Finalmente, en el cuarto,</w:t>
      </w:r>
      <w:r w:rsidR="008D1EB9">
        <w:rPr>
          <w:szCs w:val="26"/>
        </w:rPr>
        <w:t xml:space="preserve"> </w:t>
      </w:r>
      <w:r w:rsidRPr="008D1EB9">
        <w:rPr>
          <w:szCs w:val="26"/>
        </w:rPr>
        <w:t>reflejamos las concl</w:t>
      </w:r>
      <w:r w:rsidRPr="008D1EB9">
        <w:rPr>
          <w:szCs w:val="26"/>
        </w:rPr>
        <w:t>u</w:t>
      </w:r>
      <w:r w:rsidRPr="008D1EB9">
        <w:rPr>
          <w:szCs w:val="26"/>
        </w:rPr>
        <w:t>siones</w:t>
      </w:r>
      <w:r w:rsidR="002B12E4">
        <w:rPr>
          <w:szCs w:val="26"/>
        </w:rPr>
        <w:t xml:space="preserve"> u observaciones</w:t>
      </w:r>
      <w:r w:rsidRPr="008D1EB9">
        <w:rPr>
          <w:szCs w:val="26"/>
        </w:rPr>
        <w:t xml:space="preserve"> obtenidas</w:t>
      </w:r>
      <w:r w:rsidR="001F6A19">
        <w:rPr>
          <w:szCs w:val="26"/>
        </w:rPr>
        <w:t xml:space="preserve"> que no afectan a la opinión </w:t>
      </w:r>
      <w:r w:rsidR="003370A3">
        <w:rPr>
          <w:szCs w:val="26"/>
        </w:rPr>
        <w:t>así como las r</w:t>
      </w:r>
      <w:r w:rsidR="003370A3">
        <w:rPr>
          <w:szCs w:val="26"/>
        </w:rPr>
        <w:t>e</w:t>
      </w:r>
      <w:r w:rsidR="003370A3">
        <w:rPr>
          <w:szCs w:val="26"/>
        </w:rPr>
        <w:t>comendaciones que se emiten al objeto de mejorar la gestión de estas ayudas</w:t>
      </w:r>
      <w:r w:rsidR="008340B3">
        <w:rPr>
          <w:szCs w:val="26"/>
        </w:rPr>
        <w:t>; igualmente incluye unas reflexiones sobre la naturaleza jurídica de la Fund</w:t>
      </w:r>
      <w:r w:rsidR="008340B3">
        <w:rPr>
          <w:szCs w:val="26"/>
        </w:rPr>
        <w:t>a</w:t>
      </w:r>
      <w:r w:rsidR="008340B3">
        <w:rPr>
          <w:szCs w:val="26"/>
        </w:rPr>
        <w:t>ción</w:t>
      </w:r>
      <w:r w:rsidR="003370A3">
        <w:rPr>
          <w:szCs w:val="26"/>
        </w:rPr>
        <w:t>.</w:t>
      </w:r>
      <w:r w:rsidRPr="008D1EB9">
        <w:rPr>
          <w:szCs w:val="26"/>
        </w:rPr>
        <w:t xml:space="preserve"> </w:t>
      </w:r>
    </w:p>
    <w:p w:rsidR="006F1331" w:rsidRPr="008D1EB9" w:rsidRDefault="006F1331" w:rsidP="00806DAC">
      <w:pPr>
        <w:pStyle w:val="texto"/>
        <w:tabs>
          <w:tab w:val="clear" w:pos="2835"/>
          <w:tab w:val="clear" w:pos="3969"/>
          <w:tab w:val="clear" w:pos="5103"/>
          <w:tab w:val="clear" w:pos="6237"/>
          <w:tab w:val="clear" w:pos="7371"/>
        </w:tabs>
        <w:rPr>
          <w:szCs w:val="26"/>
        </w:rPr>
      </w:pPr>
      <w:r w:rsidRPr="008D1EB9">
        <w:rPr>
          <w:szCs w:val="26"/>
        </w:rPr>
        <w:t>El</w:t>
      </w:r>
      <w:r w:rsidR="00026242" w:rsidRPr="008D1EB9">
        <w:rPr>
          <w:szCs w:val="26"/>
        </w:rPr>
        <w:t xml:space="preserve"> trabajo de campo se ejecut</w:t>
      </w:r>
      <w:r w:rsidR="008900BC" w:rsidRPr="008D1EB9">
        <w:rPr>
          <w:szCs w:val="26"/>
        </w:rPr>
        <w:t xml:space="preserve">ó </w:t>
      </w:r>
      <w:r w:rsidR="00107B90">
        <w:rPr>
          <w:szCs w:val="26"/>
        </w:rPr>
        <w:t xml:space="preserve">entre </w:t>
      </w:r>
      <w:r w:rsidR="00911E06">
        <w:rPr>
          <w:szCs w:val="26"/>
        </w:rPr>
        <w:t>marzo y mayo</w:t>
      </w:r>
      <w:r w:rsidRPr="008D1EB9">
        <w:rPr>
          <w:szCs w:val="26"/>
        </w:rPr>
        <w:t xml:space="preserve"> de 201</w:t>
      </w:r>
      <w:r w:rsidR="00911E06">
        <w:rPr>
          <w:szCs w:val="26"/>
        </w:rPr>
        <w:t>6</w:t>
      </w:r>
      <w:r w:rsidRPr="008D1EB9">
        <w:rPr>
          <w:szCs w:val="26"/>
        </w:rPr>
        <w:t xml:space="preserve"> por un equipo integrado por </w:t>
      </w:r>
      <w:r w:rsidR="00806DAC" w:rsidRPr="008D1EB9">
        <w:rPr>
          <w:szCs w:val="26"/>
        </w:rPr>
        <w:t>un</w:t>
      </w:r>
      <w:r w:rsidRPr="008D1EB9">
        <w:rPr>
          <w:szCs w:val="26"/>
        </w:rPr>
        <w:t xml:space="preserve"> técnic</w:t>
      </w:r>
      <w:r w:rsidR="00911E06">
        <w:rPr>
          <w:szCs w:val="26"/>
        </w:rPr>
        <w:t>o</w:t>
      </w:r>
      <w:r w:rsidRPr="008D1EB9">
        <w:rPr>
          <w:szCs w:val="26"/>
        </w:rPr>
        <w:t xml:space="preserve"> de auditoría y un auditor, con la colaboración de los servicios jurídicos, informáticos y administrativos de la Cámara. </w:t>
      </w:r>
    </w:p>
    <w:p w:rsidR="009E4D1C" w:rsidRDefault="009E4D1C" w:rsidP="009E4D1C">
      <w:pPr>
        <w:pStyle w:val="texto"/>
        <w:rPr>
          <w:szCs w:val="26"/>
        </w:rPr>
      </w:pPr>
      <w:r>
        <w:rPr>
          <w:szCs w:val="26"/>
        </w:rPr>
        <w:t>En nuestr</w:t>
      </w:r>
      <w:r w:rsidR="001F6A19">
        <w:rPr>
          <w:szCs w:val="26"/>
        </w:rPr>
        <w:t>o</w:t>
      </w:r>
      <w:r>
        <w:rPr>
          <w:szCs w:val="26"/>
        </w:rPr>
        <w:t xml:space="preserve"> </w:t>
      </w:r>
      <w:r w:rsidR="001F6A19">
        <w:rPr>
          <w:szCs w:val="26"/>
        </w:rPr>
        <w:t>trabajo</w:t>
      </w:r>
      <w:r>
        <w:rPr>
          <w:szCs w:val="26"/>
        </w:rPr>
        <w:t xml:space="preserve"> se</w:t>
      </w:r>
      <w:r w:rsidRPr="003006DF">
        <w:rPr>
          <w:szCs w:val="26"/>
        </w:rPr>
        <w:t xml:space="preserve"> ha tenido en </w:t>
      </w:r>
      <w:r>
        <w:rPr>
          <w:szCs w:val="26"/>
        </w:rPr>
        <w:t xml:space="preserve">cuenta </w:t>
      </w:r>
      <w:r w:rsidRPr="003006DF">
        <w:rPr>
          <w:szCs w:val="26"/>
        </w:rPr>
        <w:t>los informes</w:t>
      </w:r>
      <w:r>
        <w:rPr>
          <w:szCs w:val="26"/>
        </w:rPr>
        <w:t xml:space="preserve"> y actuaciones</w:t>
      </w:r>
      <w:r w:rsidRPr="003006DF">
        <w:rPr>
          <w:szCs w:val="26"/>
        </w:rPr>
        <w:t xml:space="preserve"> realiz</w:t>
      </w:r>
      <w:r w:rsidRPr="003006DF">
        <w:rPr>
          <w:szCs w:val="26"/>
        </w:rPr>
        <w:t>a</w:t>
      </w:r>
      <w:r w:rsidRPr="003006DF">
        <w:rPr>
          <w:szCs w:val="26"/>
        </w:rPr>
        <w:t>d</w:t>
      </w:r>
      <w:r>
        <w:rPr>
          <w:szCs w:val="26"/>
        </w:rPr>
        <w:t>as</w:t>
      </w:r>
      <w:r w:rsidRPr="003006DF">
        <w:rPr>
          <w:szCs w:val="26"/>
        </w:rPr>
        <w:t xml:space="preserve"> por </w:t>
      </w:r>
      <w:r>
        <w:rPr>
          <w:szCs w:val="26"/>
        </w:rPr>
        <w:t>el servicio de Intervención del Gobierno de Navarra.</w:t>
      </w:r>
      <w:r w:rsidRPr="003006DF">
        <w:rPr>
          <w:szCs w:val="26"/>
        </w:rPr>
        <w:t xml:space="preserve"> </w:t>
      </w:r>
    </w:p>
    <w:p w:rsidR="001F6A19" w:rsidRPr="0091722B" w:rsidRDefault="001F6A19" w:rsidP="001F6A19">
      <w:pPr>
        <w:pStyle w:val="texto"/>
        <w:tabs>
          <w:tab w:val="clear" w:pos="2835"/>
          <w:tab w:val="clear" w:pos="3969"/>
          <w:tab w:val="clear" w:pos="5103"/>
          <w:tab w:val="clear" w:pos="6237"/>
          <w:tab w:val="clear" w:pos="7371"/>
        </w:tabs>
        <w:rPr>
          <w:szCs w:val="26"/>
        </w:rPr>
      </w:pPr>
      <w:r w:rsidRPr="0091722B">
        <w:rPr>
          <w:szCs w:val="26"/>
        </w:rPr>
        <w:t xml:space="preserve">Los resultados de esta actuación se pusieron de manifiesto al actual Director Gerente del Instituto Navarro de Deporte y Juventud y </w:t>
      </w:r>
      <w:r w:rsidR="00D96076" w:rsidRPr="0091722B">
        <w:rPr>
          <w:szCs w:val="26"/>
        </w:rPr>
        <w:t>a los que</w:t>
      </w:r>
      <w:r w:rsidRPr="0091722B">
        <w:rPr>
          <w:szCs w:val="26"/>
        </w:rPr>
        <w:t xml:space="preserve"> ejerci</w:t>
      </w:r>
      <w:r w:rsidR="00D96076" w:rsidRPr="0091722B">
        <w:rPr>
          <w:szCs w:val="26"/>
        </w:rPr>
        <w:t>eron</w:t>
      </w:r>
      <w:r w:rsidRPr="0091722B">
        <w:rPr>
          <w:szCs w:val="26"/>
        </w:rPr>
        <w:t xml:space="preserve"> d</w:t>
      </w:r>
      <w:r w:rsidRPr="0091722B">
        <w:rPr>
          <w:szCs w:val="26"/>
        </w:rPr>
        <w:t>i</w:t>
      </w:r>
      <w:r w:rsidRPr="0091722B">
        <w:rPr>
          <w:szCs w:val="26"/>
        </w:rPr>
        <w:t>cho cargo hasta 2015, para que formulasen, en su caso, las alegaciones que e</w:t>
      </w:r>
      <w:r w:rsidRPr="0091722B">
        <w:rPr>
          <w:szCs w:val="26"/>
        </w:rPr>
        <w:t>s</w:t>
      </w:r>
      <w:r w:rsidRPr="0091722B">
        <w:rPr>
          <w:szCs w:val="26"/>
        </w:rPr>
        <w:t>timasen oportunas, de conformidad con lo previsto en el art. 11.2 de la Ley F</w:t>
      </w:r>
      <w:r w:rsidRPr="0091722B">
        <w:rPr>
          <w:szCs w:val="26"/>
        </w:rPr>
        <w:t>o</w:t>
      </w:r>
      <w:r w:rsidRPr="0091722B">
        <w:rPr>
          <w:szCs w:val="26"/>
        </w:rPr>
        <w:t xml:space="preserve">ral 19/1984, reguladora de la Cámara de Comptos de Navarra. </w:t>
      </w:r>
      <w:r w:rsidR="007B62C8">
        <w:rPr>
          <w:szCs w:val="26"/>
        </w:rPr>
        <w:t>Transcurrido el plazo fijado, no se han recibido alegaciones.</w:t>
      </w:r>
    </w:p>
    <w:p w:rsidR="006F1331" w:rsidRDefault="006F1331" w:rsidP="006F1331">
      <w:pPr>
        <w:pStyle w:val="texto"/>
        <w:tabs>
          <w:tab w:val="clear" w:pos="2835"/>
          <w:tab w:val="clear" w:pos="3969"/>
          <w:tab w:val="clear" w:pos="5103"/>
          <w:tab w:val="clear" w:pos="6237"/>
          <w:tab w:val="clear" w:pos="7371"/>
        </w:tabs>
        <w:rPr>
          <w:szCs w:val="26"/>
        </w:rPr>
      </w:pPr>
      <w:r w:rsidRPr="00A522C1">
        <w:rPr>
          <w:szCs w:val="26"/>
        </w:rPr>
        <w:t xml:space="preserve">Agradecemos al </w:t>
      </w:r>
      <w:r w:rsidR="008900BC">
        <w:rPr>
          <w:szCs w:val="26"/>
        </w:rPr>
        <w:t>personal de</w:t>
      </w:r>
      <w:r w:rsidR="00DD786F">
        <w:rPr>
          <w:szCs w:val="26"/>
        </w:rPr>
        <w:t>l Insti</w:t>
      </w:r>
      <w:r w:rsidR="00911E06">
        <w:rPr>
          <w:szCs w:val="26"/>
        </w:rPr>
        <w:t>tuto Navarro de Deporte y Juventud del Gobierno de Navarra</w:t>
      </w:r>
      <w:r w:rsidR="00904A4D">
        <w:rPr>
          <w:szCs w:val="26"/>
        </w:rPr>
        <w:t xml:space="preserve"> y</w:t>
      </w:r>
      <w:r w:rsidR="00911E06">
        <w:rPr>
          <w:szCs w:val="26"/>
        </w:rPr>
        <w:t xml:space="preserve"> del Ayuntamiento de Pamplona</w:t>
      </w:r>
      <w:r w:rsidR="005D4B8A">
        <w:rPr>
          <w:szCs w:val="26"/>
        </w:rPr>
        <w:t xml:space="preserve"> </w:t>
      </w:r>
      <w:r w:rsidRPr="00A522C1">
        <w:rPr>
          <w:szCs w:val="26"/>
        </w:rPr>
        <w:t>la colaboración prestada en la realización del presente trabajo.</w:t>
      </w:r>
    </w:p>
    <w:p w:rsidR="007D68BD" w:rsidRDefault="00882BEB" w:rsidP="00633D2F">
      <w:pPr>
        <w:pStyle w:val="atitulo1"/>
        <w:rPr>
          <w:b w:val="0"/>
        </w:rPr>
      </w:pPr>
      <w:r>
        <w:rPr>
          <w:rFonts w:cs="Arial"/>
        </w:rPr>
        <w:br w:type="page"/>
      </w:r>
      <w:bookmarkStart w:id="5" w:name="_Toc188167194"/>
      <w:bookmarkStart w:id="6" w:name="_Toc303592531"/>
      <w:bookmarkStart w:id="7" w:name="_Toc309383714"/>
      <w:bookmarkStart w:id="8" w:name="_Toc339016603"/>
    </w:p>
    <w:p w:rsidR="00F76DCF" w:rsidRDefault="00600704" w:rsidP="00600704">
      <w:pPr>
        <w:pStyle w:val="atitulo1"/>
      </w:pPr>
      <w:bookmarkStart w:id="9" w:name="_Toc454441423"/>
      <w:r w:rsidRPr="003B63A7">
        <w:lastRenderedPageBreak/>
        <w:t xml:space="preserve">II. </w:t>
      </w:r>
      <w:r w:rsidR="00F76DCF">
        <w:t>La Fundación Miguel Induráin</w:t>
      </w:r>
      <w:bookmarkEnd w:id="9"/>
    </w:p>
    <w:p w:rsidR="004A0E8B" w:rsidRDefault="004A0E8B" w:rsidP="004A0E8B">
      <w:pPr>
        <w:pStyle w:val="atitulo2"/>
        <w:spacing w:before="240"/>
      </w:pPr>
      <w:bookmarkStart w:id="10" w:name="_Toc454441424"/>
      <w:r>
        <w:t xml:space="preserve">II.1. </w:t>
      </w:r>
      <w:bookmarkStart w:id="11" w:name="_Toc414360531"/>
      <w:bookmarkStart w:id="12" w:name="_Toc442276964"/>
      <w:r w:rsidRPr="00806F00">
        <w:t>Principales características de la Fundación</w:t>
      </w:r>
      <w:bookmarkEnd w:id="11"/>
      <w:r>
        <w:t xml:space="preserve"> Miguel Induráin</w:t>
      </w:r>
      <w:bookmarkEnd w:id="10"/>
      <w:bookmarkEnd w:id="12"/>
    </w:p>
    <w:p w:rsidR="009E4D1C" w:rsidRDefault="009E4D1C" w:rsidP="009E4D1C">
      <w:pPr>
        <w:pStyle w:val="texto"/>
        <w:tabs>
          <w:tab w:val="clear" w:pos="2835"/>
          <w:tab w:val="clear" w:pos="3969"/>
          <w:tab w:val="clear" w:pos="5103"/>
          <w:tab w:val="clear" w:pos="6237"/>
          <w:tab w:val="clear" w:pos="7371"/>
        </w:tabs>
        <w:rPr>
          <w:szCs w:val="26"/>
        </w:rPr>
      </w:pPr>
      <w:r>
        <w:rPr>
          <w:szCs w:val="26"/>
        </w:rPr>
        <w:t>Como principales características de la</w:t>
      </w:r>
      <w:r w:rsidR="004A0E8B">
        <w:rPr>
          <w:szCs w:val="26"/>
        </w:rPr>
        <w:t xml:space="preserve"> citada</w:t>
      </w:r>
      <w:r>
        <w:rPr>
          <w:szCs w:val="26"/>
        </w:rPr>
        <w:t xml:space="preserve"> Fundación, </w:t>
      </w:r>
      <w:r w:rsidR="004A0E8B">
        <w:rPr>
          <w:szCs w:val="26"/>
        </w:rPr>
        <w:t>señalamos</w:t>
      </w:r>
      <w:r>
        <w:rPr>
          <w:szCs w:val="26"/>
        </w:rPr>
        <w:t>:</w:t>
      </w:r>
    </w:p>
    <w:p w:rsidR="009F795A" w:rsidRPr="00175B28" w:rsidRDefault="009F795A"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rPr>
          <w:rFonts w:cs="Lucida Sans Unicode"/>
          <w:spacing w:val="4"/>
        </w:rPr>
      </w:pPr>
      <w:r w:rsidRPr="00175B28">
        <w:rPr>
          <w:rFonts w:cs="Lucida Sans Unicode"/>
          <w:spacing w:val="4"/>
        </w:rPr>
        <w:t xml:space="preserve">En abril de 1998, el Gobierno de Navarra acuerda autorizar </w:t>
      </w:r>
      <w:r w:rsidR="0097655A" w:rsidRPr="00175B28">
        <w:rPr>
          <w:rFonts w:cs="Lucida Sans Unicode"/>
          <w:spacing w:val="4"/>
        </w:rPr>
        <w:t>su</w:t>
      </w:r>
      <w:r w:rsidRPr="00175B28">
        <w:rPr>
          <w:rFonts w:cs="Lucida Sans Unicode"/>
          <w:spacing w:val="4"/>
        </w:rPr>
        <w:t xml:space="preserve"> participación</w:t>
      </w:r>
      <w:r w:rsidR="0097655A" w:rsidRPr="00175B28">
        <w:rPr>
          <w:rFonts w:cs="Lucida Sans Unicode"/>
          <w:spacing w:val="4"/>
        </w:rPr>
        <w:t xml:space="preserve"> </w:t>
      </w:r>
      <w:r w:rsidRPr="00175B28">
        <w:rPr>
          <w:rFonts w:cs="Lucida Sans Unicode"/>
          <w:spacing w:val="4"/>
        </w:rPr>
        <w:t>–a través del Instituto Navarro de Deporte y Juventud (en adelante, INDyJ)</w:t>
      </w:r>
      <w:r w:rsidR="00175B28" w:rsidRPr="00175B28">
        <w:rPr>
          <w:rFonts w:cs="Lucida Sans Unicode"/>
          <w:spacing w:val="4"/>
        </w:rPr>
        <w:t>–</w:t>
      </w:r>
      <w:r w:rsidRPr="00175B28">
        <w:rPr>
          <w:rFonts w:cs="Lucida Sans Unicode"/>
          <w:spacing w:val="4"/>
        </w:rPr>
        <w:t xml:space="preserve"> y en calidad de fundador, en la Fundación</w:t>
      </w:r>
      <w:r w:rsidR="0097655A" w:rsidRPr="00175B28">
        <w:rPr>
          <w:rFonts w:cs="Lucida Sans Unicode"/>
          <w:spacing w:val="4"/>
        </w:rPr>
        <w:t xml:space="preserve"> Miguel Induráin. En el mismo a</w:t>
      </w:r>
      <w:r w:rsidRPr="00175B28">
        <w:rPr>
          <w:rFonts w:cs="Lucida Sans Unicode"/>
          <w:spacing w:val="4"/>
        </w:rPr>
        <w:t>cuerdo se aprueban sus estatutos</w:t>
      </w:r>
      <w:r w:rsidR="0097655A" w:rsidRPr="00175B28">
        <w:rPr>
          <w:rFonts w:cs="Lucida Sans Unicode"/>
          <w:spacing w:val="4"/>
        </w:rPr>
        <w:t xml:space="preserve"> –pendientes, en ese momento, de aprobar por el resto de fundadores</w:t>
      </w:r>
      <w:r w:rsidR="008D3B9A">
        <w:rPr>
          <w:rFonts w:cs="Lucida Sans Unicode"/>
          <w:spacing w:val="4"/>
        </w:rPr>
        <w:t>–</w:t>
      </w:r>
      <w:r w:rsidRPr="00175B28">
        <w:rPr>
          <w:rFonts w:cs="Lucida Sans Unicode"/>
          <w:spacing w:val="4"/>
        </w:rPr>
        <w:t>, se designa los miembros del comité de honor</w:t>
      </w:r>
      <w:r w:rsidR="0097655A" w:rsidRPr="00175B28">
        <w:rPr>
          <w:rFonts w:cs="Lucida Sans Unicode"/>
          <w:spacing w:val="4"/>
        </w:rPr>
        <w:t xml:space="preserve"> –el presidente del Gobierno y el </w:t>
      </w:r>
      <w:r w:rsidR="00EB14C2">
        <w:rPr>
          <w:rFonts w:cs="Lucida Sans Unicode"/>
          <w:spacing w:val="4"/>
        </w:rPr>
        <w:t>consejero</w:t>
      </w:r>
      <w:r w:rsidR="0097655A" w:rsidRPr="00175B28">
        <w:rPr>
          <w:rFonts w:cs="Lucida Sans Unicode"/>
          <w:spacing w:val="4"/>
        </w:rPr>
        <w:t xml:space="preserve"> de</w:t>
      </w:r>
      <w:r w:rsidR="00EB14C2">
        <w:rPr>
          <w:rFonts w:cs="Lucida Sans Unicode"/>
          <w:spacing w:val="4"/>
        </w:rPr>
        <w:t xml:space="preserve"> deporte</w:t>
      </w:r>
      <w:r w:rsidR="00175B28" w:rsidRPr="00175B28">
        <w:rPr>
          <w:rFonts w:cs="Lucida Sans Unicode"/>
          <w:spacing w:val="4"/>
        </w:rPr>
        <w:t>–</w:t>
      </w:r>
      <w:r w:rsidR="009C1DC3">
        <w:rPr>
          <w:rFonts w:cs="Lucida Sans Unicode"/>
          <w:spacing w:val="4"/>
        </w:rPr>
        <w:t xml:space="preserve"> </w:t>
      </w:r>
      <w:r w:rsidRPr="00175B28">
        <w:rPr>
          <w:rFonts w:cs="Lucida Sans Unicode"/>
          <w:spacing w:val="4"/>
        </w:rPr>
        <w:t xml:space="preserve">y se faculta al Director Gerente del INDyJ para designar a los </w:t>
      </w:r>
      <w:r w:rsidR="0097655A" w:rsidRPr="00175B28">
        <w:rPr>
          <w:rFonts w:cs="Lucida Sans Unicode"/>
          <w:spacing w:val="4"/>
        </w:rPr>
        <w:t>m</w:t>
      </w:r>
      <w:r w:rsidRPr="00175B28">
        <w:rPr>
          <w:rFonts w:cs="Lucida Sans Unicode"/>
          <w:spacing w:val="4"/>
        </w:rPr>
        <w:t>iembros del patronato y del comité ejecutivo.</w:t>
      </w:r>
    </w:p>
    <w:p w:rsidR="0097655A" w:rsidRPr="000564FA" w:rsidRDefault="0097655A" w:rsidP="000564FA">
      <w:pPr>
        <w:pStyle w:val="texto"/>
        <w:tabs>
          <w:tab w:val="clear" w:pos="2835"/>
          <w:tab w:val="clear" w:pos="3969"/>
          <w:tab w:val="clear" w:pos="5103"/>
          <w:tab w:val="clear" w:pos="6237"/>
          <w:tab w:val="clear" w:pos="7371"/>
          <w:tab w:val="left" w:pos="480"/>
          <w:tab w:val="num" w:pos="720"/>
          <w:tab w:val="num" w:pos="928"/>
          <w:tab w:val="num" w:pos="6597"/>
        </w:tabs>
        <w:rPr>
          <w:szCs w:val="26"/>
          <w:lang w:eastAsia="es-ES"/>
        </w:rPr>
      </w:pPr>
      <w:r w:rsidRPr="000564FA">
        <w:rPr>
          <w:szCs w:val="26"/>
          <w:lang w:eastAsia="es-ES"/>
        </w:rPr>
        <w:t>Se justifica el anterior acuerdo en la necesidad de mejorar los resultados o</w:t>
      </w:r>
      <w:r w:rsidRPr="000564FA">
        <w:rPr>
          <w:szCs w:val="26"/>
          <w:lang w:eastAsia="es-ES"/>
        </w:rPr>
        <w:t>b</w:t>
      </w:r>
      <w:r w:rsidRPr="000564FA">
        <w:rPr>
          <w:szCs w:val="26"/>
          <w:lang w:eastAsia="es-ES"/>
        </w:rPr>
        <w:t>tenidos por los deportistas navarros en competiciones nacionales e internaci</w:t>
      </w:r>
      <w:r w:rsidRPr="000564FA">
        <w:rPr>
          <w:szCs w:val="26"/>
          <w:lang w:eastAsia="es-ES"/>
        </w:rPr>
        <w:t>o</w:t>
      </w:r>
      <w:r w:rsidRPr="000564FA">
        <w:rPr>
          <w:szCs w:val="26"/>
          <w:lang w:eastAsia="es-ES"/>
        </w:rPr>
        <w:t>nales. Ante los insuficientes recurso</w:t>
      </w:r>
      <w:r w:rsidR="000D67B3" w:rsidRPr="000564FA">
        <w:rPr>
          <w:szCs w:val="26"/>
          <w:lang w:eastAsia="es-ES"/>
        </w:rPr>
        <w:t>s</w:t>
      </w:r>
      <w:r w:rsidRPr="000564FA">
        <w:rPr>
          <w:szCs w:val="26"/>
          <w:lang w:eastAsia="es-ES"/>
        </w:rPr>
        <w:t xml:space="preserve"> que para tal fin dispone el INDyJ se co</w:t>
      </w:r>
      <w:r w:rsidRPr="000564FA">
        <w:rPr>
          <w:szCs w:val="26"/>
          <w:lang w:eastAsia="es-ES"/>
        </w:rPr>
        <w:t>n</w:t>
      </w:r>
      <w:r w:rsidRPr="000564FA">
        <w:rPr>
          <w:szCs w:val="26"/>
          <w:lang w:eastAsia="es-ES"/>
        </w:rPr>
        <w:t>sidera como más adecu</w:t>
      </w:r>
      <w:r w:rsidR="000D67B3" w:rsidRPr="000564FA">
        <w:rPr>
          <w:szCs w:val="26"/>
          <w:lang w:eastAsia="es-ES"/>
        </w:rPr>
        <w:t>a</w:t>
      </w:r>
      <w:r w:rsidRPr="000564FA">
        <w:rPr>
          <w:szCs w:val="26"/>
          <w:lang w:eastAsia="es-ES"/>
        </w:rPr>
        <w:t xml:space="preserve">do la figura de una fundación privada que garantice, por un lado, una búsqueda de nuevas fuentes de financiación y, por otro, una autonomía económica y una mayor agilidad en la gestión. </w:t>
      </w:r>
    </w:p>
    <w:p w:rsidR="009E4D1C" w:rsidRPr="00C200E9" w:rsidRDefault="009E4D1C"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rPr>
          <w:rFonts w:cs="Lucida Sans Unicode"/>
        </w:rPr>
      </w:pPr>
      <w:r w:rsidRPr="00B2150D">
        <w:rPr>
          <w:rFonts w:cs="Lucida Sans Unicode"/>
        </w:rPr>
        <w:t>Se constituye en septiembre de 1998, siendo sus socios fundadores: G</w:t>
      </w:r>
      <w:r w:rsidRPr="00B2150D">
        <w:rPr>
          <w:rFonts w:cs="Lucida Sans Unicode"/>
        </w:rPr>
        <w:t>o</w:t>
      </w:r>
      <w:r w:rsidRPr="00B2150D">
        <w:rPr>
          <w:rFonts w:cs="Lucida Sans Unicode"/>
        </w:rPr>
        <w:t>bierno de Navarra (Instituto Navarro de Deporte y Juventud), Cámara Navarra de Comercio e Industr</w:t>
      </w:r>
      <w:r w:rsidR="00072967">
        <w:rPr>
          <w:rFonts w:cs="Lucida Sans Unicode"/>
        </w:rPr>
        <w:t>ia y Caja de Ahorros de Navarra; su</w:t>
      </w:r>
      <w:r w:rsidRPr="00C200E9">
        <w:rPr>
          <w:rFonts w:cs="Lucida Sans Unicode"/>
        </w:rPr>
        <w:t xml:space="preserve"> dotación inicial a</w:t>
      </w:r>
      <w:r w:rsidRPr="00C200E9">
        <w:rPr>
          <w:rFonts w:cs="Lucida Sans Unicode"/>
        </w:rPr>
        <w:t>s</w:t>
      </w:r>
      <w:r w:rsidRPr="00C200E9">
        <w:rPr>
          <w:rFonts w:cs="Lucida Sans Unicode"/>
        </w:rPr>
        <w:t>cendió a 270.</w:t>
      </w:r>
      <w:r w:rsidR="002A2863" w:rsidRPr="00C200E9">
        <w:rPr>
          <w:rFonts w:cs="Lucida Sans Unicode"/>
        </w:rPr>
        <w:t>000</w:t>
      </w:r>
      <w:r w:rsidRPr="00C200E9">
        <w:rPr>
          <w:rFonts w:cs="Lucida Sans Unicode"/>
        </w:rPr>
        <w:t xml:space="preserve"> euros (45 millones de pesetas) desembolsados a partes iguales por los tres socios fundadores.</w:t>
      </w:r>
      <w:r w:rsidR="00072967">
        <w:rPr>
          <w:rFonts w:cs="Lucida Sans Unicode"/>
        </w:rPr>
        <w:t xml:space="preserve"> Conviene precisar que, de los anteriores socios fundadores, solo el Gobierno de Navarra ha ido aportando anualmente subve</w:t>
      </w:r>
      <w:r w:rsidR="00072967">
        <w:rPr>
          <w:rFonts w:cs="Lucida Sans Unicode"/>
        </w:rPr>
        <w:t>n</w:t>
      </w:r>
      <w:r w:rsidR="00072967">
        <w:rPr>
          <w:rFonts w:cs="Lucida Sans Unicode"/>
        </w:rPr>
        <w:t>ciones para financiar los fines de la Fundación.</w:t>
      </w:r>
    </w:p>
    <w:p w:rsidR="009E4D1C" w:rsidRPr="00C200E9" w:rsidRDefault="00ED5B0C"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rPr>
          <w:rFonts w:cs="Lucida Sans Unicode"/>
        </w:rPr>
      </w:pPr>
      <w:r>
        <w:rPr>
          <w:rFonts w:cs="Lucida Sans Unicode"/>
        </w:rPr>
        <w:t>Tiene</w:t>
      </w:r>
      <w:r w:rsidR="009E4D1C" w:rsidRPr="00B2150D">
        <w:rPr>
          <w:rFonts w:cs="Lucida Sans Unicode"/>
        </w:rPr>
        <w:t xml:space="preserve"> carácter privado</w:t>
      </w:r>
      <w:r>
        <w:rPr>
          <w:rFonts w:cs="Lucida Sans Unicode"/>
        </w:rPr>
        <w:t xml:space="preserve"> e interés social</w:t>
      </w:r>
      <w:r w:rsidR="009E4D1C" w:rsidRPr="00B2150D">
        <w:rPr>
          <w:rFonts w:cs="Lucida Sans Unicode"/>
        </w:rPr>
        <w:t xml:space="preserve">, </w:t>
      </w:r>
      <w:r>
        <w:rPr>
          <w:rFonts w:cs="Lucida Sans Unicode"/>
        </w:rPr>
        <w:t>con personalidad jurídica propia e independiente y</w:t>
      </w:r>
      <w:r w:rsidR="009E4D1C" w:rsidRPr="00B2150D">
        <w:rPr>
          <w:rFonts w:cs="Lucida Sans Unicode"/>
        </w:rPr>
        <w:t xml:space="preserve"> </w:t>
      </w:r>
      <w:r w:rsidR="009E4D1C">
        <w:rPr>
          <w:rFonts w:cs="Lucida Sans Unicode"/>
        </w:rPr>
        <w:t>carece de</w:t>
      </w:r>
      <w:r w:rsidR="009E4D1C" w:rsidRPr="00B2150D">
        <w:rPr>
          <w:rFonts w:cs="Lucida Sans Unicode"/>
        </w:rPr>
        <w:t xml:space="preserve"> ánimo de lucro.</w:t>
      </w:r>
      <w:r w:rsidR="00C200E9">
        <w:rPr>
          <w:rFonts w:cs="Lucida Sans Unicode"/>
        </w:rPr>
        <w:t xml:space="preserve"> </w:t>
      </w:r>
      <w:r w:rsidR="009E4D1C" w:rsidRPr="00C200E9">
        <w:rPr>
          <w:rFonts w:cs="Lucida Sans Unicode"/>
        </w:rPr>
        <w:t>Su domicilio se ubica en la ciudad de Pamplona, en concreto, en la Casa del Deporte</w:t>
      </w:r>
      <w:r w:rsidR="000564FA">
        <w:rPr>
          <w:rFonts w:cs="Lucida Sans Unicode"/>
        </w:rPr>
        <w:t xml:space="preserve"> del INDyJ</w:t>
      </w:r>
      <w:r w:rsidR="009E4D1C" w:rsidRPr="00C200E9">
        <w:rPr>
          <w:rFonts w:cs="Lucida Sans Unicode"/>
        </w:rPr>
        <w:t>.</w:t>
      </w:r>
      <w:r>
        <w:rPr>
          <w:rFonts w:cs="Lucida Sans Unicode"/>
        </w:rPr>
        <w:t xml:space="preserve"> Se inscribe en el Registro de Fundaciones del Gobierno</w:t>
      </w:r>
      <w:r w:rsidR="00D96076">
        <w:rPr>
          <w:rFonts w:cs="Lucida Sans Unicode"/>
        </w:rPr>
        <w:t xml:space="preserve"> d</w:t>
      </w:r>
      <w:r>
        <w:rPr>
          <w:rFonts w:cs="Lucida Sans Unicode"/>
        </w:rPr>
        <w:t>e Navarra en diciembre de 1999</w:t>
      </w:r>
      <w:r w:rsidR="000564FA">
        <w:rPr>
          <w:rFonts w:cs="Lucida Sans Unicode"/>
        </w:rPr>
        <w:t>.</w:t>
      </w:r>
    </w:p>
    <w:p w:rsidR="009E4D1C" w:rsidRDefault="009E4D1C"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rPr>
          <w:rFonts w:cs="Lucida Sans Unicode"/>
        </w:rPr>
      </w:pPr>
      <w:r>
        <w:rPr>
          <w:rFonts w:cs="Lucida Sans Unicode"/>
        </w:rPr>
        <w:t>Sus fines los resumimos en:</w:t>
      </w:r>
    </w:p>
    <w:p w:rsidR="009E4D1C" w:rsidRPr="008D3B9A" w:rsidRDefault="008D3B9A" w:rsidP="008D3B9A">
      <w:pPr>
        <w:pStyle w:val="texto"/>
        <w:tabs>
          <w:tab w:val="clear" w:pos="2835"/>
          <w:tab w:val="clear" w:pos="3969"/>
          <w:tab w:val="clear" w:pos="5103"/>
          <w:tab w:val="clear" w:pos="6237"/>
          <w:tab w:val="clear" w:pos="7371"/>
          <w:tab w:val="left" w:pos="480"/>
        </w:tabs>
        <w:rPr>
          <w:rFonts w:cs="Lucida Sans Unicode"/>
          <w:spacing w:val="0"/>
        </w:rPr>
      </w:pPr>
      <w:r>
        <w:rPr>
          <w:rFonts w:cs="Lucida Sans Unicode"/>
        </w:rPr>
        <w:t xml:space="preserve">a) </w:t>
      </w:r>
      <w:r w:rsidR="009E4D1C" w:rsidRPr="008D3B9A">
        <w:rPr>
          <w:rFonts w:cs="Lucida Sans Unicode"/>
          <w:spacing w:val="0"/>
        </w:rPr>
        <w:t>Promover y desarrollar la práctica del deporte de alto rendimiento en Navarra.</w:t>
      </w:r>
    </w:p>
    <w:p w:rsidR="009E4D1C" w:rsidRPr="00B2150D" w:rsidRDefault="008D3B9A" w:rsidP="008D3B9A">
      <w:pPr>
        <w:pStyle w:val="texto"/>
        <w:tabs>
          <w:tab w:val="clear" w:pos="2835"/>
          <w:tab w:val="clear" w:pos="3969"/>
          <w:tab w:val="clear" w:pos="5103"/>
          <w:tab w:val="clear" w:pos="6237"/>
          <w:tab w:val="clear" w:pos="7371"/>
          <w:tab w:val="left" w:pos="480"/>
        </w:tabs>
        <w:rPr>
          <w:rFonts w:cs="Lucida Sans Unicode"/>
        </w:rPr>
      </w:pPr>
      <w:r>
        <w:rPr>
          <w:rFonts w:cs="Lucida Sans Unicode"/>
        </w:rPr>
        <w:t xml:space="preserve">b) </w:t>
      </w:r>
      <w:r w:rsidR="009E4D1C">
        <w:rPr>
          <w:rFonts w:cs="Lucida Sans Unicode"/>
        </w:rPr>
        <w:t>Obtener recursos económicos de cualquier persona física y/o jurídica, p</w:t>
      </w:r>
      <w:r w:rsidR="009E4D1C">
        <w:rPr>
          <w:rFonts w:cs="Lucida Sans Unicode"/>
        </w:rPr>
        <w:t>ú</w:t>
      </w:r>
      <w:r w:rsidR="009E4D1C">
        <w:rPr>
          <w:rFonts w:cs="Lucida Sans Unicode"/>
        </w:rPr>
        <w:t>blica y/o privada, para financiar</w:t>
      </w:r>
      <w:r w:rsidR="009E4D1C" w:rsidRPr="00B2150D">
        <w:rPr>
          <w:rFonts w:cs="Lucida Sans Unicode"/>
        </w:rPr>
        <w:t xml:space="preserve"> las subvenciones y ayudas de cualquier natur</w:t>
      </w:r>
      <w:r w:rsidR="009E4D1C" w:rsidRPr="00B2150D">
        <w:rPr>
          <w:rFonts w:cs="Lucida Sans Unicode"/>
        </w:rPr>
        <w:t>a</w:t>
      </w:r>
      <w:r w:rsidR="009E4D1C" w:rsidRPr="00B2150D">
        <w:rPr>
          <w:rFonts w:cs="Lucida Sans Unicode"/>
        </w:rPr>
        <w:t>leza que sean precisas para el adecuado desarrollo del deporte navarro.</w:t>
      </w:r>
    </w:p>
    <w:p w:rsidR="009E4D1C" w:rsidRPr="008D3B9A" w:rsidRDefault="008D3B9A" w:rsidP="008D3B9A">
      <w:pPr>
        <w:pStyle w:val="texto"/>
        <w:tabs>
          <w:tab w:val="clear" w:pos="2835"/>
          <w:tab w:val="clear" w:pos="3969"/>
          <w:tab w:val="clear" w:pos="5103"/>
          <w:tab w:val="clear" w:pos="6237"/>
          <w:tab w:val="clear" w:pos="7371"/>
          <w:tab w:val="left" w:pos="480"/>
        </w:tabs>
        <w:rPr>
          <w:rFonts w:cs="Lucida Sans Unicode"/>
          <w:spacing w:val="4"/>
        </w:rPr>
      </w:pPr>
      <w:r>
        <w:rPr>
          <w:rFonts w:cs="Lucida Sans Unicode"/>
        </w:rPr>
        <w:t xml:space="preserve">c) </w:t>
      </w:r>
      <w:r w:rsidR="009E4D1C" w:rsidRPr="008D3B9A">
        <w:rPr>
          <w:rFonts w:cs="Lucida Sans Unicode"/>
          <w:spacing w:val="4"/>
        </w:rPr>
        <w:t>Participar en la preparación, control y puesta a punto de los deportistas n</w:t>
      </w:r>
      <w:r w:rsidR="009E4D1C" w:rsidRPr="008D3B9A">
        <w:rPr>
          <w:rFonts w:cs="Lucida Sans Unicode"/>
          <w:spacing w:val="4"/>
        </w:rPr>
        <w:t>a</w:t>
      </w:r>
      <w:r w:rsidR="009E4D1C" w:rsidRPr="008D3B9A">
        <w:rPr>
          <w:rFonts w:cs="Lucida Sans Unicode"/>
          <w:spacing w:val="4"/>
        </w:rPr>
        <w:t>varros destacados que vayan a ser destinatarios de las subvenciones y ayudas.</w:t>
      </w:r>
    </w:p>
    <w:p w:rsidR="009E4D1C" w:rsidRDefault="008D3B9A" w:rsidP="008D3B9A">
      <w:pPr>
        <w:pStyle w:val="texto"/>
        <w:tabs>
          <w:tab w:val="clear" w:pos="2835"/>
          <w:tab w:val="clear" w:pos="3969"/>
          <w:tab w:val="clear" w:pos="5103"/>
          <w:tab w:val="clear" w:pos="6237"/>
          <w:tab w:val="clear" w:pos="7371"/>
          <w:tab w:val="left" w:pos="480"/>
        </w:tabs>
        <w:rPr>
          <w:rFonts w:cs="Lucida Sans Unicode"/>
        </w:rPr>
      </w:pPr>
      <w:r>
        <w:rPr>
          <w:rFonts w:cs="Lucida Sans Unicode"/>
        </w:rPr>
        <w:t xml:space="preserve">d) </w:t>
      </w:r>
      <w:r w:rsidR="009E4D1C">
        <w:rPr>
          <w:rFonts w:cs="Lucida Sans Unicode"/>
        </w:rPr>
        <w:t>Velar por la adecuada utilización de los recurso</w:t>
      </w:r>
      <w:r w:rsidR="002A2863">
        <w:rPr>
          <w:rFonts w:cs="Lucida Sans Unicode"/>
        </w:rPr>
        <w:t>s</w:t>
      </w:r>
      <w:r w:rsidR="009E4D1C">
        <w:rPr>
          <w:rFonts w:cs="Lucida Sans Unicode"/>
        </w:rPr>
        <w:t xml:space="preserve"> económicos disponibles.</w:t>
      </w:r>
    </w:p>
    <w:p w:rsidR="009E4D1C" w:rsidRPr="00B2150D" w:rsidRDefault="008D3B9A" w:rsidP="008D3B9A">
      <w:pPr>
        <w:pStyle w:val="texto"/>
        <w:tabs>
          <w:tab w:val="clear" w:pos="2835"/>
          <w:tab w:val="clear" w:pos="3969"/>
          <w:tab w:val="clear" w:pos="5103"/>
          <w:tab w:val="clear" w:pos="6237"/>
          <w:tab w:val="clear" w:pos="7371"/>
          <w:tab w:val="left" w:pos="480"/>
        </w:tabs>
        <w:rPr>
          <w:rFonts w:cs="Lucida Sans Unicode"/>
        </w:rPr>
      </w:pPr>
      <w:r>
        <w:rPr>
          <w:rFonts w:cs="Lucida Sans Unicode"/>
        </w:rPr>
        <w:t xml:space="preserve">e) </w:t>
      </w:r>
      <w:r w:rsidR="009E4D1C" w:rsidRPr="00B2150D">
        <w:rPr>
          <w:rFonts w:cs="Lucida Sans Unicode"/>
        </w:rPr>
        <w:t>Fomentar y preparar programas de investigación y formación que ayuden al desarrollo del deporte navarro de alto rendimiento.</w:t>
      </w:r>
    </w:p>
    <w:p w:rsidR="009E4D1C" w:rsidRDefault="008D3B9A" w:rsidP="008D3B9A">
      <w:pPr>
        <w:pStyle w:val="texto"/>
        <w:tabs>
          <w:tab w:val="clear" w:pos="2835"/>
          <w:tab w:val="clear" w:pos="3969"/>
          <w:tab w:val="clear" w:pos="5103"/>
          <w:tab w:val="clear" w:pos="6237"/>
          <w:tab w:val="clear" w:pos="7371"/>
          <w:tab w:val="left" w:pos="480"/>
        </w:tabs>
        <w:rPr>
          <w:rFonts w:cs="Lucida Sans Unicode"/>
        </w:rPr>
      </w:pPr>
      <w:r>
        <w:rPr>
          <w:rFonts w:cs="Lucida Sans Unicode"/>
        </w:rPr>
        <w:lastRenderedPageBreak/>
        <w:t xml:space="preserve">f) </w:t>
      </w:r>
      <w:r w:rsidR="009E4D1C" w:rsidRPr="00B2150D">
        <w:rPr>
          <w:rFonts w:cs="Lucida Sans Unicode"/>
        </w:rPr>
        <w:t>Divulgar entre el público cuantas actuaciones realice, con la finalidad de un mayor conocimiento y contribución a</w:t>
      </w:r>
      <w:r w:rsidR="009E4D1C">
        <w:rPr>
          <w:rFonts w:cs="Lucida Sans Unicode"/>
        </w:rPr>
        <w:t xml:space="preserve"> sus fines</w:t>
      </w:r>
      <w:r w:rsidR="009E4D1C" w:rsidRPr="00B2150D">
        <w:rPr>
          <w:rFonts w:cs="Lucida Sans Unicode"/>
        </w:rPr>
        <w:t>.</w:t>
      </w:r>
    </w:p>
    <w:p w:rsidR="004A0E8B" w:rsidRPr="00EA3D0C" w:rsidRDefault="008D3B9A" w:rsidP="008D3B9A">
      <w:pPr>
        <w:pStyle w:val="texto"/>
        <w:tabs>
          <w:tab w:val="clear" w:pos="2835"/>
          <w:tab w:val="clear" w:pos="3969"/>
          <w:tab w:val="clear" w:pos="5103"/>
          <w:tab w:val="clear" w:pos="6237"/>
          <w:tab w:val="clear" w:pos="7371"/>
          <w:tab w:val="left" w:pos="480"/>
        </w:tabs>
        <w:rPr>
          <w:rFonts w:cs="Lucida Sans Unicode"/>
        </w:rPr>
      </w:pPr>
      <w:r>
        <w:rPr>
          <w:rFonts w:cs="Lucida Sans Unicode"/>
        </w:rPr>
        <w:t xml:space="preserve">g) </w:t>
      </w:r>
      <w:r w:rsidR="009E4D1C" w:rsidRPr="00D168EF">
        <w:rPr>
          <w:rFonts w:cs="Lucida Sans Unicode"/>
        </w:rPr>
        <w:t xml:space="preserve">Realizar cualesquiera otras actividades que contribuyan al cumplimiento de los fines fundacionales. </w:t>
      </w:r>
    </w:p>
    <w:p w:rsidR="00ED5B0C" w:rsidRPr="000564FA" w:rsidRDefault="00ED5B0C" w:rsidP="000564FA">
      <w:pPr>
        <w:pStyle w:val="texto"/>
        <w:tabs>
          <w:tab w:val="clear" w:pos="2835"/>
          <w:tab w:val="clear" w:pos="3969"/>
          <w:tab w:val="clear" w:pos="5103"/>
          <w:tab w:val="clear" w:pos="6237"/>
          <w:tab w:val="clear" w:pos="7371"/>
          <w:tab w:val="left" w:pos="480"/>
          <w:tab w:val="num" w:pos="720"/>
          <w:tab w:val="num" w:pos="928"/>
          <w:tab w:val="num" w:pos="6597"/>
        </w:tabs>
        <w:rPr>
          <w:szCs w:val="26"/>
          <w:lang w:eastAsia="es-ES"/>
        </w:rPr>
      </w:pPr>
      <w:r w:rsidRPr="000564FA">
        <w:rPr>
          <w:szCs w:val="26"/>
          <w:lang w:eastAsia="es-ES"/>
        </w:rPr>
        <w:t>Los fines anteriores coinciden con parte de los objetivos y finalidades del Gobierno</w:t>
      </w:r>
      <w:r w:rsidR="00B06A6B" w:rsidRPr="000564FA">
        <w:rPr>
          <w:szCs w:val="26"/>
          <w:lang w:eastAsia="es-ES"/>
        </w:rPr>
        <w:t xml:space="preserve"> de Navarra</w:t>
      </w:r>
      <w:r w:rsidRPr="000564FA">
        <w:rPr>
          <w:szCs w:val="26"/>
          <w:lang w:eastAsia="es-ES"/>
        </w:rPr>
        <w:t xml:space="preserve"> previstos en la Ley 15/2001 del Deporte</w:t>
      </w:r>
      <w:r w:rsidR="00B06A6B" w:rsidRPr="000564FA">
        <w:rPr>
          <w:szCs w:val="26"/>
          <w:lang w:eastAsia="es-ES"/>
        </w:rPr>
        <w:t xml:space="preserve"> en Navarra</w:t>
      </w:r>
      <w:r w:rsidR="002B1C08" w:rsidRPr="000564FA">
        <w:rPr>
          <w:szCs w:val="26"/>
          <w:lang w:eastAsia="es-ES"/>
        </w:rPr>
        <w:t xml:space="preserve"> y más en concreto, con la </w:t>
      </w:r>
      <w:r w:rsidRPr="000564FA">
        <w:rPr>
          <w:szCs w:val="26"/>
          <w:lang w:eastAsia="es-ES"/>
        </w:rPr>
        <w:t xml:space="preserve">aprobación </w:t>
      </w:r>
      <w:r w:rsidR="003B6851">
        <w:rPr>
          <w:szCs w:val="26"/>
          <w:lang w:eastAsia="es-ES"/>
        </w:rPr>
        <w:t xml:space="preserve">de </w:t>
      </w:r>
      <w:r w:rsidRPr="000564FA">
        <w:rPr>
          <w:szCs w:val="26"/>
          <w:lang w:eastAsia="es-ES"/>
        </w:rPr>
        <w:t>programas específicos que busquen la pr</w:t>
      </w:r>
      <w:r w:rsidRPr="000564FA">
        <w:rPr>
          <w:szCs w:val="26"/>
          <w:lang w:eastAsia="es-ES"/>
        </w:rPr>
        <w:t>o</w:t>
      </w:r>
      <w:r w:rsidRPr="000564FA">
        <w:rPr>
          <w:szCs w:val="26"/>
          <w:lang w:eastAsia="es-ES"/>
        </w:rPr>
        <w:t>moción de la actividad  deportiva de alto nivel</w:t>
      </w:r>
      <w:r w:rsidR="008824BE" w:rsidRPr="000564FA">
        <w:rPr>
          <w:szCs w:val="26"/>
          <w:lang w:eastAsia="es-ES"/>
        </w:rPr>
        <w:t>,</w:t>
      </w:r>
      <w:r w:rsidRPr="000564FA">
        <w:rPr>
          <w:szCs w:val="26"/>
          <w:lang w:eastAsia="es-ES"/>
        </w:rPr>
        <w:t xml:space="preserve"> en colaboración con entidades deportivas</w:t>
      </w:r>
      <w:r w:rsidR="008824BE" w:rsidRPr="000564FA">
        <w:rPr>
          <w:szCs w:val="26"/>
          <w:lang w:eastAsia="es-ES"/>
        </w:rPr>
        <w:t xml:space="preserve"> de Navarra</w:t>
      </w:r>
      <w:r w:rsidR="002B1C08" w:rsidRPr="000564FA">
        <w:rPr>
          <w:szCs w:val="26"/>
          <w:lang w:eastAsia="es-ES"/>
        </w:rPr>
        <w:t>.</w:t>
      </w:r>
    </w:p>
    <w:p w:rsidR="00EA3D0C" w:rsidRDefault="009C1DC3"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rPr>
          <w:szCs w:val="26"/>
          <w:lang w:val="es-ES" w:eastAsia="es-ES"/>
        </w:rPr>
      </w:pPr>
      <w:r>
        <w:rPr>
          <w:szCs w:val="26"/>
          <w:lang w:eastAsia="es-ES"/>
        </w:rPr>
        <w:t>L</w:t>
      </w:r>
      <w:r w:rsidR="00EA3D0C">
        <w:rPr>
          <w:szCs w:val="26"/>
          <w:lang w:val="es-ES" w:eastAsia="es-ES"/>
        </w:rPr>
        <w:t>os actuales órganos de gobierno de la fundación</w:t>
      </w:r>
      <w:r>
        <w:rPr>
          <w:szCs w:val="26"/>
          <w:lang w:val="es-ES" w:eastAsia="es-ES"/>
        </w:rPr>
        <w:t xml:space="preserve"> y su composición</w:t>
      </w:r>
      <w:r w:rsidR="00EA3D0C">
        <w:rPr>
          <w:szCs w:val="26"/>
          <w:lang w:val="es-ES" w:eastAsia="es-ES"/>
        </w:rPr>
        <w:t xml:space="preserve"> se r</w:t>
      </w:r>
      <w:r w:rsidR="00EA3D0C">
        <w:rPr>
          <w:szCs w:val="26"/>
          <w:lang w:val="es-ES" w:eastAsia="es-ES"/>
        </w:rPr>
        <w:t>e</w:t>
      </w:r>
      <w:r w:rsidR="00EA3D0C">
        <w:rPr>
          <w:szCs w:val="26"/>
          <w:lang w:val="es-ES" w:eastAsia="es-ES"/>
        </w:rPr>
        <w:t xml:space="preserve">flejan </w:t>
      </w:r>
      <w:r w:rsidR="00BF7F46">
        <w:rPr>
          <w:szCs w:val="26"/>
          <w:lang w:val="es-ES" w:eastAsia="es-ES"/>
        </w:rPr>
        <w:t>a continuación</w:t>
      </w:r>
      <w:r w:rsidR="00EA3D0C">
        <w:rPr>
          <w:szCs w:val="26"/>
          <w:lang w:val="es-ES" w:eastAsia="es-ES"/>
        </w:rPr>
        <w:t>:</w:t>
      </w:r>
    </w:p>
    <w:p w:rsidR="00EA3D0C" w:rsidRDefault="008D3B9A" w:rsidP="008D3B9A">
      <w:pPr>
        <w:pStyle w:val="texto"/>
        <w:tabs>
          <w:tab w:val="clear" w:pos="2835"/>
          <w:tab w:val="clear" w:pos="3969"/>
          <w:tab w:val="clear" w:pos="5103"/>
          <w:tab w:val="clear" w:pos="6237"/>
          <w:tab w:val="clear" w:pos="7371"/>
          <w:tab w:val="left" w:pos="480"/>
        </w:tabs>
        <w:rPr>
          <w:rFonts w:cs="Lucida Sans Unicode"/>
        </w:rPr>
      </w:pPr>
      <w:r>
        <w:rPr>
          <w:rFonts w:cs="Lucida Sans Unicode"/>
        </w:rPr>
        <w:t xml:space="preserve">a) </w:t>
      </w:r>
      <w:r w:rsidR="00EA3D0C" w:rsidRPr="00EA3D0C">
        <w:rPr>
          <w:rFonts w:cs="Lucida Sans Unicode"/>
        </w:rPr>
        <w:t>Comité de Honor, presidido por Miguel Induráin, la presidenta del G</w:t>
      </w:r>
      <w:r w:rsidR="00EA3D0C" w:rsidRPr="00EA3D0C">
        <w:rPr>
          <w:rFonts w:cs="Lucida Sans Unicode"/>
        </w:rPr>
        <w:t>o</w:t>
      </w:r>
      <w:r w:rsidR="00EA3D0C" w:rsidRPr="00EA3D0C">
        <w:rPr>
          <w:rFonts w:cs="Lucida Sans Unicode"/>
        </w:rPr>
        <w:t>bierno de Navarra, la consejera de Cultura, Deporte y Juventud, el presidente de la Cámara Navarra de Industria y Comercio y el presidente del Comité Olímpico Español</w:t>
      </w:r>
      <w:r w:rsidR="00EA3D0C">
        <w:rPr>
          <w:rFonts w:cs="Lucida Sans Unicode"/>
        </w:rPr>
        <w:t xml:space="preserve"> (en adelante, COE)</w:t>
      </w:r>
      <w:r w:rsidR="00EA3D0C" w:rsidRPr="00EA3D0C">
        <w:rPr>
          <w:rFonts w:cs="Lucida Sans Unicode"/>
        </w:rPr>
        <w:t>.</w:t>
      </w:r>
    </w:p>
    <w:p w:rsidR="00EA3D0C" w:rsidRDefault="008D3B9A" w:rsidP="008D3B9A">
      <w:pPr>
        <w:pStyle w:val="texto"/>
        <w:tabs>
          <w:tab w:val="clear" w:pos="2835"/>
          <w:tab w:val="clear" w:pos="3969"/>
          <w:tab w:val="clear" w:pos="5103"/>
          <w:tab w:val="clear" w:pos="6237"/>
          <w:tab w:val="clear" w:pos="7371"/>
          <w:tab w:val="left" w:pos="480"/>
        </w:tabs>
        <w:rPr>
          <w:rFonts w:cs="Lucida Sans Unicode"/>
        </w:rPr>
      </w:pPr>
      <w:r>
        <w:rPr>
          <w:rFonts w:cs="Lucida Sans Unicode"/>
        </w:rPr>
        <w:t xml:space="preserve">b) </w:t>
      </w:r>
      <w:r w:rsidR="00EA3D0C">
        <w:rPr>
          <w:rFonts w:cs="Lucida Sans Unicode"/>
        </w:rPr>
        <w:t xml:space="preserve">El </w:t>
      </w:r>
      <w:r w:rsidR="00176DE5">
        <w:rPr>
          <w:rFonts w:cs="Lucida Sans Unicode"/>
        </w:rPr>
        <w:t>P</w:t>
      </w:r>
      <w:r w:rsidR="00EA3D0C">
        <w:rPr>
          <w:rFonts w:cs="Lucida Sans Unicode"/>
        </w:rPr>
        <w:t xml:space="preserve">atronato, presidido por el director gerente del </w:t>
      </w:r>
      <w:r w:rsidR="00B27AF4">
        <w:rPr>
          <w:rFonts w:cs="Lucida Sans Unicode"/>
        </w:rPr>
        <w:t>INDyJ</w:t>
      </w:r>
      <w:r w:rsidR="00EA3D0C">
        <w:rPr>
          <w:rFonts w:cs="Lucida Sans Unicode"/>
        </w:rPr>
        <w:t>, como vicepres</w:t>
      </w:r>
      <w:r w:rsidR="00EA3D0C">
        <w:rPr>
          <w:rFonts w:cs="Lucida Sans Unicode"/>
        </w:rPr>
        <w:t>i</w:t>
      </w:r>
      <w:r w:rsidR="00EA3D0C">
        <w:rPr>
          <w:rFonts w:cs="Lucida Sans Unicode"/>
        </w:rPr>
        <w:t>dente un representante de la Cámara Navarra de Industria y Comercio, como secretario, un representante del INDyJ y dos vocales, uno por el INDyJ y otro por el COE.</w:t>
      </w:r>
    </w:p>
    <w:p w:rsidR="00EA3D0C" w:rsidRDefault="008D3B9A" w:rsidP="008D3B9A">
      <w:pPr>
        <w:pStyle w:val="texto"/>
        <w:tabs>
          <w:tab w:val="clear" w:pos="2835"/>
          <w:tab w:val="clear" w:pos="3969"/>
          <w:tab w:val="clear" w:pos="5103"/>
          <w:tab w:val="clear" w:pos="6237"/>
          <w:tab w:val="clear" w:pos="7371"/>
          <w:tab w:val="left" w:pos="480"/>
        </w:tabs>
        <w:rPr>
          <w:rFonts w:cs="Lucida Sans Unicode"/>
        </w:rPr>
      </w:pPr>
      <w:r>
        <w:rPr>
          <w:rFonts w:cs="Lucida Sans Unicode"/>
        </w:rPr>
        <w:t xml:space="preserve">c) </w:t>
      </w:r>
      <w:r w:rsidR="00EA3D0C">
        <w:rPr>
          <w:rFonts w:cs="Lucida Sans Unicode"/>
        </w:rPr>
        <w:t xml:space="preserve">El </w:t>
      </w:r>
      <w:r w:rsidR="00176DE5">
        <w:rPr>
          <w:rFonts w:cs="Lucida Sans Unicode"/>
        </w:rPr>
        <w:t>C</w:t>
      </w:r>
      <w:r w:rsidR="00EA3D0C">
        <w:rPr>
          <w:rFonts w:cs="Lucida Sans Unicode"/>
        </w:rPr>
        <w:t xml:space="preserve">omité </w:t>
      </w:r>
      <w:r w:rsidR="00176DE5">
        <w:rPr>
          <w:rFonts w:cs="Lucida Sans Unicode"/>
        </w:rPr>
        <w:t>E</w:t>
      </w:r>
      <w:r w:rsidR="00EA3D0C">
        <w:rPr>
          <w:rFonts w:cs="Lucida Sans Unicode"/>
        </w:rPr>
        <w:t>jecutivo, presidido por</w:t>
      </w:r>
      <w:r w:rsidR="00EA3D0C" w:rsidRPr="00EA3D0C">
        <w:rPr>
          <w:rFonts w:cs="Lucida Sans Unicode"/>
        </w:rPr>
        <w:t xml:space="preserve"> </w:t>
      </w:r>
      <w:r w:rsidR="00EA3D0C">
        <w:rPr>
          <w:rFonts w:cs="Lucida Sans Unicode"/>
        </w:rPr>
        <w:t>el director gerente del INDyJ, como vicepresidente un representante de la Cámara Navarra de Industria y Comercio, como secretario un representante del INDyJ y un vocal del INDyJ.</w:t>
      </w:r>
    </w:p>
    <w:p w:rsidR="00EA3D0C" w:rsidRPr="00EA3D0C" w:rsidRDefault="008D3B9A" w:rsidP="008D3B9A">
      <w:pPr>
        <w:pStyle w:val="texto"/>
        <w:tabs>
          <w:tab w:val="clear" w:pos="2835"/>
          <w:tab w:val="clear" w:pos="3969"/>
          <w:tab w:val="clear" w:pos="5103"/>
          <w:tab w:val="clear" w:pos="6237"/>
          <w:tab w:val="clear" w:pos="7371"/>
          <w:tab w:val="left" w:pos="480"/>
        </w:tabs>
        <w:rPr>
          <w:rFonts w:cs="Lucida Sans Unicode"/>
        </w:rPr>
      </w:pPr>
      <w:r>
        <w:rPr>
          <w:rFonts w:cs="Lucida Sans Unicode"/>
        </w:rPr>
        <w:t xml:space="preserve">d) </w:t>
      </w:r>
      <w:r w:rsidR="00EA3D0C">
        <w:rPr>
          <w:rFonts w:cs="Lucida Sans Unicode"/>
        </w:rPr>
        <w:t xml:space="preserve">La </w:t>
      </w:r>
      <w:r w:rsidR="00176DE5">
        <w:rPr>
          <w:rFonts w:cs="Lucida Sans Unicode"/>
        </w:rPr>
        <w:t>C</w:t>
      </w:r>
      <w:r w:rsidR="00EA3D0C">
        <w:rPr>
          <w:rFonts w:cs="Lucida Sans Unicode"/>
        </w:rPr>
        <w:t xml:space="preserve">omisión de </w:t>
      </w:r>
      <w:r w:rsidR="00176DE5">
        <w:rPr>
          <w:rFonts w:cs="Lucida Sans Unicode"/>
        </w:rPr>
        <w:t>S</w:t>
      </w:r>
      <w:r w:rsidR="00EA3D0C">
        <w:rPr>
          <w:rFonts w:cs="Lucida Sans Unicode"/>
        </w:rPr>
        <w:t>eguimiento integrada por cuatro miem</w:t>
      </w:r>
      <w:r w:rsidR="00084C4D">
        <w:rPr>
          <w:rFonts w:cs="Lucida Sans Unicode"/>
        </w:rPr>
        <w:t>bros del INDyJ y dos miembros</w:t>
      </w:r>
      <w:r w:rsidR="0091722B">
        <w:rPr>
          <w:rFonts w:cs="Lucida Sans Unicode"/>
        </w:rPr>
        <w:t xml:space="preserve"> de la empresa que gestiona la actividad económic</w:t>
      </w:r>
      <w:r w:rsidR="00135C51">
        <w:rPr>
          <w:rFonts w:cs="Lucida Sans Unicode"/>
        </w:rPr>
        <w:t>o-contable</w:t>
      </w:r>
      <w:r w:rsidR="0091722B">
        <w:rPr>
          <w:rFonts w:cs="Lucida Sans Unicode"/>
        </w:rPr>
        <w:t xml:space="preserve"> de la</w:t>
      </w:r>
      <w:r w:rsidR="00EA3D0C">
        <w:rPr>
          <w:rFonts w:cs="Lucida Sans Unicode"/>
        </w:rPr>
        <w:t xml:space="preserve"> Fundación.</w:t>
      </w:r>
    </w:p>
    <w:p w:rsidR="00EA3D0C" w:rsidRDefault="000677CD" w:rsidP="00EA3D0C">
      <w:pPr>
        <w:pStyle w:val="texto"/>
        <w:tabs>
          <w:tab w:val="clear" w:pos="2835"/>
          <w:tab w:val="clear" w:pos="3969"/>
          <w:tab w:val="clear" w:pos="5103"/>
          <w:tab w:val="clear" w:pos="6237"/>
          <w:tab w:val="clear" w:pos="7371"/>
          <w:tab w:val="left" w:pos="480"/>
          <w:tab w:val="num" w:pos="720"/>
          <w:tab w:val="num" w:pos="928"/>
          <w:tab w:val="num" w:pos="6597"/>
        </w:tabs>
        <w:rPr>
          <w:szCs w:val="26"/>
          <w:lang w:val="es-ES" w:eastAsia="es-ES"/>
        </w:rPr>
      </w:pPr>
      <w:r>
        <w:rPr>
          <w:szCs w:val="26"/>
          <w:lang w:eastAsia="es-ES"/>
        </w:rPr>
        <w:t>Como se observa</w:t>
      </w:r>
      <w:r w:rsidR="006D31DC">
        <w:rPr>
          <w:szCs w:val="26"/>
          <w:lang w:eastAsia="es-ES"/>
        </w:rPr>
        <w:t>,</w:t>
      </w:r>
      <w:r>
        <w:rPr>
          <w:szCs w:val="26"/>
          <w:lang w:eastAsia="es-ES"/>
        </w:rPr>
        <w:t xml:space="preserve"> en todos los órganos de </w:t>
      </w:r>
      <w:r w:rsidR="00072967">
        <w:rPr>
          <w:szCs w:val="26"/>
          <w:lang w:eastAsia="es-ES"/>
        </w:rPr>
        <w:t xml:space="preserve">dirección y </w:t>
      </w:r>
      <w:r>
        <w:rPr>
          <w:szCs w:val="26"/>
          <w:lang w:eastAsia="es-ES"/>
        </w:rPr>
        <w:t>gestión anteriores la presencia del Gobierno de Navarra, a través del INDyJ, es mayoritaria.</w:t>
      </w:r>
    </w:p>
    <w:p w:rsidR="00EA3D0C" w:rsidRDefault="00084C4D"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rPr>
          <w:szCs w:val="26"/>
          <w:lang w:val="es-ES" w:eastAsia="es-ES"/>
        </w:rPr>
      </w:pPr>
      <w:r>
        <w:rPr>
          <w:szCs w:val="26"/>
          <w:lang w:val="es-ES" w:eastAsia="es-ES"/>
        </w:rPr>
        <w:t xml:space="preserve">La Fundación no tiene personal propio, </w:t>
      </w:r>
      <w:r w:rsidR="001300AC">
        <w:rPr>
          <w:szCs w:val="26"/>
          <w:lang w:val="es-ES" w:eastAsia="es-ES"/>
        </w:rPr>
        <w:t>siendo realizadas las</w:t>
      </w:r>
      <w:r>
        <w:rPr>
          <w:szCs w:val="26"/>
          <w:lang w:val="es-ES" w:eastAsia="es-ES"/>
        </w:rPr>
        <w:t xml:space="preserve"> actividades de </w:t>
      </w:r>
      <w:r w:rsidR="000564FA">
        <w:rPr>
          <w:szCs w:val="26"/>
          <w:lang w:val="es-ES" w:eastAsia="es-ES"/>
        </w:rPr>
        <w:t>gerencia</w:t>
      </w:r>
      <w:r>
        <w:rPr>
          <w:szCs w:val="26"/>
          <w:lang w:val="es-ES" w:eastAsia="es-ES"/>
        </w:rPr>
        <w:t xml:space="preserve"> </w:t>
      </w:r>
      <w:r w:rsidR="001300AC">
        <w:rPr>
          <w:szCs w:val="26"/>
          <w:lang w:val="es-ES" w:eastAsia="es-ES"/>
        </w:rPr>
        <w:t xml:space="preserve">por </w:t>
      </w:r>
      <w:r>
        <w:rPr>
          <w:szCs w:val="26"/>
          <w:lang w:val="es-ES" w:eastAsia="es-ES"/>
        </w:rPr>
        <w:t>una empresa</w:t>
      </w:r>
      <w:r w:rsidR="001300AC">
        <w:rPr>
          <w:szCs w:val="26"/>
          <w:lang w:val="es-ES" w:eastAsia="es-ES"/>
        </w:rPr>
        <w:t xml:space="preserve"> de servicios deportivos</w:t>
      </w:r>
      <w:r>
        <w:rPr>
          <w:szCs w:val="26"/>
          <w:lang w:val="es-ES" w:eastAsia="es-ES"/>
        </w:rPr>
        <w:t xml:space="preserve"> </w:t>
      </w:r>
      <w:r w:rsidR="001300AC">
        <w:rPr>
          <w:szCs w:val="26"/>
          <w:lang w:val="es-ES" w:eastAsia="es-ES"/>
        </w:rPr>
        <w:t>contratada</w:t>
      </w:r>
      <w:r>
        <w:rPr>
          <w:szCs w:val="26"/>
          <w:lang w:val="es-ES" w:eastAsia="es-ES"/>
        </w:rPr>
        <w:t>.</w:t>
      </w:r>
    </w:p>
    <w:p w:rsidR="00C41E96" w:rsidRPr="008D3B9A" w:rsidRDefault="00C41E96"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rPr>
          <w:spacing w:val="0"/>
          <w:szCs w:val="26"/>
          <w:lang w:val="es-ES" w:eastAsia="es-ES"/>
        </w:rPr>
      </w:pPr>
      <w:r w:rsidRPr="006756B2">
        <w:rPr>
          <w:szCs w:val="26"/>
          <w:lang w:val="es-ES" w:eastAsia="es-ES"/>
        </w:rPr>
        <w:t>Para el cump</w:t>
      </w:r>
      <w:r>
        <w:rPr>
          <w:szCs w:val="26"/>
          <w:lang w:val="es-ES" w:eastAsia="es-ES"/>
        </w:rPr>
        <w:t>limiento d</w:t>
      </w:r>
      <w:r w:rsidRPr="006756B2">
        <w:rPr>
          <w:szCs w:val="26"/>
          <w:lang w:val="es-ES" w:eastAsia="es-ES"/>
        </w:rPr>
        <w:t>e</w:t>
      </w:r>
      <w:r>
        <w:rPr>
          <w:szCs w:val="26"/>
          <w:lang w:val="es-ES" w:eastAsia="es-ES"/>
        </w:rPr>
        <w:t xml:space="preserve"> </w:t>
      </w:r>
      <w:r w:rsidRPr="006756B2">
        <w:rPr>
          <w:szCs w:val="26"/>
          <w:lang w:val="es-ES" w:eastAsia="es-ES"/>
        </w:rPr>
        <w:t xml:space="preserve">los </w:t>
      </w:r>
      <w:r w:rsidR="009C1DC3">
        <w:rPr>
          <w:szCs w:val="26"/>
          <w:lang w:val="es-ES" w:eastAsia="es-ES"/>
        </w:rPr>
        <w:t>citados</w:t>
      </w:r>
      <w:r w:rsidRPr="006756B2">
        <w:rPr>
          <w:szCs w:val="26"/>
          <w:lang w:val="es-ES" w:eastAsia="es-ES"/>
        </w:rPr>
        <w:t xml:space="preserve"> fines, </w:t>
      </w:r>
      <w:r>
        <w:rPr>
          <w:szCs w:val="26"/>
          <w:lang w:val="es-ES" w:eastAsia="es-ES"/>
        </w:rPr>
        <w:t>la Fundación</w:t>
      </w:r>
      <w:r w:rsidRPr="006756B2">
        <w:rPr>
          <w:szCs w:val="26"/>
          <w:lang w:val="es-ES" w:eastAsia="es-ES"/>
        </w:rPr>
        <w:t xml:space="preserve"> trata de ofrecer a los deportistas navarros de alto rendimiento un "apoyo integral" para mejorar sus condiciones de trabajo, aumentar su rendimiento deportivo y optimizar sus resultados en competiciones de alto nivel.</w:t>
      </w:r>
      <w:r w:rsidRPr="008D3B9A">
        <w:rPr>
          <w:spacing w:val="0"/>
          <w:szCs w:val="26"/>
          <w:lang w:val="es-ES" w:eastAsia="es-ES"/>
        </w:rPr>
        <w:t xml:space="preserve"> Para ello, ha ido desarrollando a lo la</w:t>
      </w:r>
      <w:r w:rsidRPr="008D3B9A">
        <w:rPr>
          <w:spacing w:val="0"/>
          <w:szCs w:val="26"/>
          <w:lang w:val="es-ES" w:eastAsia="es-ES"/>
        </w:rPr>
        <w:t>r</w:t>
      </w:r>
      <w:r w:rsidRPr="008D3B9A">
        <w:rPr>
          <w:spacing w:val="0"/>
          <w:szCs w:val="26"/>
          <w:lang w:val="es-ES" w:eastAsia="es-ES"/>
        </w:rPr>
        <w:t>go del tiempo una serie de programas, tratando de entrar en todos los campos donde el deportista pueda necesitar ayuda. Así, se gestionan los siguientes programas:</w:t>
      </w:r>
    </w:p>
    <w:p w:rsidR="00C41E96" w:rsidRPr="00C200E9" w:rsidRDefault="00C200E9" w:rsidP="00C200E9">
      <w:pPr>
        <w:pStyle w:val="texto"/>
        <w:tabs>
          <w:tab w:val="clear" w:pos="2835"/>
          <w:tab w:val="clear" w:pos="3969"/>
          <w:tab w:val="clear" w:pos="5103"/>
          <w:tab w:val="clear" w:pos="6237"/>
          <w:tab w:val="clear" w:pos="7371"/>
          <w:tab w:val="left" w:pos="480"/>
          <w:tab w:val="num" w:pos="720"/>
          <w:tab w:val="num" w:pos="928"/>
          <w:tab w:val="num" w:pos="6597"/>
        </w:tabs>
        <w:rPr>
          <w:szCs w:val="26"/>
          <w:lang w:eastAsia="es-ES"/>
        </w:rPr>
      </w:pPr>
      <w:r>
        <w:rPr>
          <w:szCs w:val="26"/>
          <w:lang w:eastAsia="es-ES"/>
        </w:rPr>
        <w:t xml:space="preserve">a) </w:t>
      </w:r>
      <w:r w:rsidR="00C41E96" w:rsidRPr="00C200E9">
        <w:rPr>
          <w:szCs w:val="26"/>
          <w:lang w:eastAsia="es-ES"/>
        </w:rPr>
        <w:t>Programa de "Ayudas económicas a deportistas de alto nivel en el ámbito nacional". A través de este programa, se conceden una serie de ayudas econ</w:t>
      </w:r>
      <w:r w:rsidR="00C41E96" w:rsidRPr="00C200E9">
        <w:rPr>
          <w:szCs w:val="26"/>
          <w:lang w:eastAsia="es-ES"/>
        </w:rPr>
        <w:t>ó</w:t>
      </w:r>
      <w:r w:rsidR="00C41E96" w:rsidRPr="00C200E9">
        <w:rPr>
          <w:szCs w:val="26"/>
          <w:lang w:eastAsia="es-ES"/>
        </w:rPr>
        <w:t>micas (becas) a los deportistas no profesionales de mayor nivel de Navarra, p</w:t>
      </w:r>
      <w:r w:rsidR="00C41E96" w:rsidRPr="00C200E9">
        <w:rPr>
          <w:szCs w:val="26"/>
          <w:lang w:eastAsia="es-ES"/>
        </w:rPr>
        <w:t>a</w:t>
      </w:r>
      <w:r w:rsidR="00C41E96" w:rsidRPr="00C200E9">
        <w:rPr>
          <w:szCs w:val="26"/>
          <w:lang w:eastAsia="es-ES"/>
        </w:rPr>
        <w:lastRenderedPageBreak/>
        <w:t>ra que puedan tener una mayor dedicación al entrenamiento o realicen éste en mejores condiciones. Así</w:t>
      </w:r>
      <w:r w:rsidR="006D31DC">
        <w:rPr>
          <w:szCs w:val="26"/>
          <w:lang w:eastAsia="es-ES"/>
        </w:rPr>
        <w:t>,</w:t>
      </w:r>
      <w:r w:rsidR="00C41E96" w:rsidRPr="00C200E9">
        <w:rPr>
          <w:szCs w:val="26"/>
          <w:lang w:eastAsia="es-ES"/>
        </w:rPr>
        <w:t xml:space="preserve"> se contemplan las siguientes líneas de actuación:</w:t>
      </w:r>
    </w:p>
    <w:p w:rsidR="00C41E96" w:rsidRPr="006756B2" w:rsidRDefault="00C41E96" w:rsidP="00C41E96">
      <w:pPr>
        <w:pStyle w:val="texto"/>
        <w:rPr>
          <w:szCs w:val="26"/>
          <w:lang w:val="es-ES" w:eastAsia="es-ES"/>
        </w:rPr>
      </w:pPr>
      <w:r w:rsidRPr="00E240D8">
        <w:rPr>
          <w:szCs w:val="26"/>
          <w:lang w:val="es-ES" w:eastAsia="es-ES"/>
        </w:rPr>
        <w:t>1</w:t>
      </w:r>
      <w:r>
        <w:rPr>
          <w:szCs w:val="26"/>
          <w:lang w:val="es-ES" w:eastAsia="es-ES"/>
        </w:rPr>
        <w:t>º</w:t>
      </w:r>
      <w:r w:rsidRPr="00E240D8">
        <w:rPr>
          <w:szCs w:val="26"/>
          <w:lang w:val="es-ES" w:eastAsia="es-ES"/>
        </w:rPr>
        <w:t>. Ayudas económicas a deportistas con posibilidades de asistencia a los Juegos Olímpicos.</w:t>
      </w:r>
      <w:r>
        <w:rPr>
          <w:szCs w:val="26"/>
          <w:lang w:val="es-ES" w:eastAsia="es-ES"/>
        </w:rPr>
        <w:t xml:space="preserve"> </w:t>
      </w:r>
    </w:p>
    <w:p w:rsidR="00C41E96" w:rsidRPr="006756B2" w:rsidRDefault="00C41E96" w:rsidP="00C41E96">
      <w:pPr>
        <w:pStyle w:val="texto"/>
        <w:rPr>
          <w:szCs w:val="26"/>
          <w:lang w:val="es-ES" w:eastAsia="es-ES"/>
        </w:rPr>
      </w:pPr>
      <w:r w:rsidRPr="00E240D8">
        <w:rPr>
          <w:szCs w:val="26"/>
          <w:lang w:val="es-ES" w:eastAsia="es-ES"/>
        </w:rPr>
        <w:t>2</w:t>
      </w:r>
      <w:r>
        <w:rPr>
          <w:szCs w:val="26"/>
          <w:lang w:val="es-ES" w:eastAsia="es-ES"/>
        </w:rPr>
        <w:t>º</w:t>
      </w:r>
      <w:r w:rsidRPr="00E240D8">
        <w:rPr>
          <w:szCs w:val="26"/>
          <w:lang w:val="es-ES" w:eastAsia="es-ES"/>
        </w:rPr>
        <w:t>. Ayudas económicas a deportistas de alto nivel en el ámbito nacional.</w:t>
      </w:r>
      <w:r>
        <w:rPr>
          <w:szCs w:val="26"/>
          <w:lang w:val="es-ES" w:eastAsia="es-ES"/>
        </w:rPr>
        <w:t xml:space="preserve"> </w:t>
      </w:r>
    </w:p>
    <w:p w:rsidR="00C41E96" w:rsidRDefault="00C41E96" w:rsidP="00C41E96">
      <w:pPr>
        <w:pStyle w:val="texto"/>
        <w:rPr>
          <w:szCs w:val="26"/>
          <w:lang w:val="es-ES" w:eastAsia="es-ES"/>
        </w:rPr>
      </w:pPr>
      <w:r w:rsidRPr="00E240D8">
        <w:rPr>
          <w:szCs w:val="26"/>
          <w:lang w:val="es-ES" w:eastAsia="es-ES"/>
        </w:rPr>
        <w:t>3</w:t>
      </w:r>
      <w:r>
        <w:rPr>
          <w:szCs w:val="26"/>
          <w:lang w:val="es-ES" w:eastAsia="es-ES"/>
        </w:rPr>
        <w:t>º</w:t>
      </w:r>
      <w:r w:rsidRPr="00E240D8">
        <w:rPr>
          <w:szCs w:val="26"/>
          <w:lang w:val="es-ES" w:eastAsia="es-ES"/>
        </w:rPr>
        <w:t>. Ayudas económicas a técnicos de deportistas becados.</w:t>
      </w:r>
      <w:r>
        <w:rPr>
          <w:szCs w:val="26"/>
          <w:lang w:val="es-ES" w:eastAsia="es-ES"/>
        </w:rPr>
        <w:t xml:space="preserve"> </w:t>
      </w:r>
    </w:p>
    <w:p w:rsidR="00C41E96" w:rsidRPr="008D3B9A" w:rsidRDefault="00C41E96" w:rsidP="00C41E96">
      <w:pPr>
        <w:pStyle w:val="texto"/>
        <w:rPr>
          <w:spacing w:val="4"/>
          <w:szCs w:val="26"/>
          <w:lang w:val="es-ES" w:eastAsia="es-ES"/>
        </w:rPr>
      </w:pPr>
      <w:r w:rsidRPr="00E240D8">
        <w:rPr>
          <w:szCs w:val="26"/>
          <w:lang w:val="es-ES" w:eastAsia="es-ES"/>
        </w:rPr>
        <w:t>4</w:t>
      </w:r>
      <w:r>
        <w:rPr>
          <w:szCs w:val="26"/>
          <w:lang w:val="es-ES" w:eastAsia="es-ES"/>
        </w:rPr>
        <w:t>º</w:t>
      </w:r>
      <w:r w:rsidRPr="00E240D8">
        <w:rPr>
          <w:szCs w:val="26"/>
          <w:lang w:val="es-ES" w:eastAsia="es-ES"/>
        </w:rPr>
        <w:t xml:space="preserve">. </w:t>
      </w:r>
      <w:r w:rsidRPr="008D3B9A">
        <w:rPr>
          <w:spacing w:val="4"/>
          <w:szCs w:val="26"/>
          <w:lang w:val="es-ES" w:eastAsia="es-ES"/>
        </w:rPr>
        <w:t>Programas especiales de ayudas convenidas con las Federaciones Nav</w:t>
      </w:r>
      <w:r w:rsidRPr="008D3B9A">
        <w:rPr>
          <w:spacing w:val="4"/>
          <w:szCs w:val="26"/>
          <w:lang w:val="es-ES" w:eastAsia="es-ES"/>
        </w:rPr>
        <w:t>a</w:t>
      </w:r>
      <w:r w:rsidRPr="008D3B9A">
        <w:rPr>
          <w:spacing w:val="4"/>
          <w:szCs w:val="26"/>
          <w:lang w:val="es-ES" w:eastAsia="es-ES"/>
        </w:rPr>
        <w:t>rras. En este caso, la forma de colaboración de la fundación es variada, desde i</w:t>
      </w:r>
      <w:r w:rsidRPr="008D3B9A">
        <w:rPr>
          <w:spacing w:val="4"/>
          <w:szCs w:val="26"/>
          <w:lang w:val="es-ES" w:eastAsia="es-ES"/>
        </w:rPr>
        <w:t>n</w:t>
      </w:r>
      <w:r w:rsidRPr="008D3B9A">
        <w:rPr>
          <w:spacing w:val="4"/>
          <w:szCs w:val="26"/>
          <w:lang w:val="es-ES" w:eastAsia="es-ES"/>
        </w:rPr>
        <w:t>centivos económicos a los deportistas, hasta ayuda en material o infraestructura.</w:t>
      </w:r>
    </w:p>
    <w:p w:rsidR="00C41E96" w:rsidRPr="006756B2" w:rsidRDefault="00C41E96" w:rsidP="00C41E96">
      <w:pPr>
        <w:pStyle w:val="texto"/>
        <w:rPr>
          <w:szCs w:val="26"/>
          <w:lang w:val="es-ES" w:eastAsia="es-ES"/>
        </w:rPr>
      </w:pPr>
      <w:r>
        <w:rPr>
          <w:szCs w:val="26"/>
          <w:lang w:val="es-ES" w:eastAsia="es-ES"/>
        </w:rPr>
        <w:t>5º. Programa de becas–</w:t>
      </w:r>
      <w:r w:rsidRPr="00E240D8">
        <w:rPr>
          <w:szCs w:val="26"/>
          <w:lang w:val="es-ES" w:eastAsia="es-ES"/>
        </w:rPr>
        <w:t>préstamo</w:t>
      </w:r>
      <w:r>
        <w:rPr>
          <w:szCs w:val="26"/>
          <w:lang w:val="es-ES" w:eastAsia="es-ES"/>
        </w:rPr>
        <w:t xml:space="preserve">, que </w:t>
      </w:r>
      <w:r w:rsidRPr="006756B2">
        <w:rPr>
          <w:szCs w:val="26"/>
          <w:lang w:val="es-ES" w:eastAsia="es-ES"/>
        </w:rPr>
        <w:t>tiene como objetivo ayudar a aquellos deportistas con especial proyección deportiva, que practiquen disciplinas en las que se puede alcanzar el profesionalismo.</w:t>
      </w:r>
    </w:p>
    <w:p w:rsidR="00C41E96" w:rsidRPr="00C200E9" w:rsidRDefault="00C200E9" w:rsidP="00C200E9">
      <w:pPr>
        <w:pStyle w:val="texto"/>
        <w:tabs>
          <w:tab w:val="clear" w:pos="2835"/>
          <w:tab w:val="clear" w:pos="3969"/>
          <w:tab w:val="clear" w:pos="5103"/>
          <w:tab w:val="clear" w:pos="6237"/>
          <w:tab w:val="clear" w:pos="7371"/>
          <w:tab w:val="left" w:pos="480"/>
          <w:tab w:val="num" w:pos="720"/>
          <w:tab w:val="num" w:pos="928"/>
          <w:tab w:val="num" w:pos="6597"/>
        </w:tabs>
        <w:rPr>
          <w:szCs w:val="26"/>
          <w:lang w:eastAsia="es-ES"/>
        </w:rPr>
      </w:pPr>
      <w:r>
        <w:rPr>
          <w:szCs w:val="26"/>
          <w:lang w:eastAsia="es-ES"/>
        </w:rPr>
        <w:t xml:space="preserve">b) </w:t>
      </w:r>
      <w:r w:rsidR="00C41E96" w:rsidRPr="00C200E9">
        <w:rPr>
          <w:szCs w:val="26"/>
          <w:lang w:eastAsia="es-ES"/>
        </w:rPr>
        <w:t>Programa de “</w:t>
      </w:r>
      <w:r w:rsidR="00176DE5" w:rsidRPr="00C200E9">
        <w:rPr>
          <w:szCs w:val="26"/>
          <w:lang w:eastAsia="es-ES"/>
        </w:rPr>
        <w:t>F</w:t>
      </w:r>
      <w:r w:rsidR="00C41E96" w:rsidRPr="00C200E9">
        <w:rPr>
          <w:szCs w:val="26"/>
          <w:lang w:eastAsia="es-ES"/>
        </w:rPr>
        <w:t xml:space="preserve">ormación e </w:t>
      </w:r>
      <w:r w:rsidR="00176DE5" w:rsidRPr="00C200E9">
        <w:rPr>
          <w:szCs w:val="26"/>
          <w:lang w:eastAsia="es-ES"/>
        </w:rPr>
        <w:t>I</w:t>
      </w:r>
      <w:r w:rsidR="00C41E96" w:rsidRPr="00C200E9">
        <w:rPr>
          <w:szCs w:val="26"/>
          <w:lang w:eastAsia="es-ES"/>
        </w:rPr>
        <w:t xml:space="preserve">nserción </w:t>
      </w:r>
      <w:r w:rsidR="00176DE5" w:rsidRPr="00C200E9">
        <w:rPr>
          <w:szCs w:val="26"/>
          <w:lang w:eastAsia="es-ES"/>
        </w:rPr>
        <w:t>L</w:t>
      </w:r>
      <w:r w:rsidR="00C41E96" w:rsidRPr="00C200E9">
        <w:rPr>
          <w:szCs w:val="26"/>
          <w:lang w:eastAsia="es-ES"/>
        </w:rPr>
        <w:t>aboral”. El objetivo de este pr</w:t>
      </w:r>
      <w:r w:rsidR="00C41E96" w:rsidRPr="00C200E9">
        <w:rPr>
          <w:szCs w:val="26"/>
          <w:lang w:eastAsia="es-ES"/>
        </w:rPr>
        <w:t>o</w:t>
      </w:r>
      <w:r w:rsidR="00C41E96" w:rsidRPr="00C200E9">
        <w:rPr>
          <w:szCs w:val="26"/>
          <w:lang w:eastAsia="es-ES"/>
        </w:rPr>
        <w:t>grama es doble. Por un lado, se trata de ayudar a algunos deportistas a comp</w:t>
      </w:r>
      <w:r w:rsidR="00C41E96" w:rsidRPr="00C200E9">
        <w:rPr>
          <w:szCs w:val="26"/>
          <w:lang w:eastAsia="es-ES"/>
        </w:rPr>
        <w:t>a</w:t>
      </w:r>
      <w:r w:rsidR="00C41E96" w:rsidRPr="00C200E9">
        <w:rPr>
          <w:szCs w:val="26"/>
          <w:lang w:eastAsia="es-ES"/>
        </w:rPr>
        <w:t>tibilizar su formación académica con su práctica deportiva de alto nivel y</w:t>
      </w:r>
      <w:r w:rsidR="006D31DC">
        <w:rPr>
          <w:szCs w:val="26"/>
          <w:lang w:eastAsia="es-ES"/>
        </w:rPr>
        <w:t>,</w:t>
      </w:r>
      <w:r w:rsidR="00C41E96" w:rsidRPr="00C200E9">
        <w:rPr>
          <w:szCs w:val="26"/>
          <w:lang w:eastAsia="es-ES"/>
        </w:rPr>
        <w:t xml:space="preserve"> por otro, dotar a los deportistas que hayan tenido que retrasar su formación o dejar para más adelante sus expectativas de trabajo de los conocimientos, el método y las herramientas necesarias para reubicarse en el entorno laboral, en las mej</w:t>
      </w:r>
      <w:r w:rsidR="00C41E96" w:rsidRPr="00C200E9">
        <w:rPr>
          <w:szCs w:val="26"/>
          <w:lang w:eastAsia="es-ES"/>
        </w:rPr>
        <w:t>o</w:t>
      </w:r>
      <w:r w:rsidR="00C41E96" w:rsidRPr="00C200E9">
        <w:rPr>
          <w:szCs w:val="26"/>
          <w:lang w:eastAsia="es-ES"/>
        </w:rPr>
        <w:t>res condiciones y en el menor tiempo posible.</w:t>
      </w:r>
    </w:p>
    <w:p w:rsidR="00C41E96" w:rsidRPr="00C200E9" w:rsidRDefault="00C200E9" w:rsidP="00C200E9">
      <w:pPr>
        <w:pStyle w:val="texto"/>
        <w:tabs>
          <w:tab w:val="clear" w:pos="2835"/>
          <w:tab w:val="clear" w:pos="3969"/>
          <w:tab w:val="clear" w:pos="5103"/>
          <w:tab w:val="clear" w:pos="6237"/>
          <w:tab w:val="clear" w:pos="7371"/>
          <w:tab w:val="left" w:pos="480"/>
          <w:tab w:val="num" w:pos="720"/>
          <w:tab w:val="num" w:pos="928"/>
          <w:tab w:val="num" w:pos="6597"/>
        </w:tabs>
        <w:rPr>
          <w:szCs w:val="26"/>
          <w:lang w:eastAsia="es-ES"/>
        </w:rPr>
      </w:pPr>
      <w:r>
        <w:rPr>
          <w:szCs w:val="26"/>
          <w:lang w:eastAsia="es-ES"/>
        </w:rPr>
        <w:t xml:space="preserve">c) </w:t>
      </w:r>
      <w:r w:rsidR="00C41E96" w:rsidRPr="00C200E9">
        <w:rPr>
          <w:szCs w:val="26"/>
          <w:lang w:eastAsia="es-ES"/>
        </w:rPr>
        <w:t>Programa de “Facilitación de Recursos Complementarios a Deportistas y Entrenadores”. Se pretende ofrecer una ayuda integral a sus deportistas, y no limitarse exclusivamente a una ayuda económica.</w:t>
      </w:r>
      <w:r w:rsidR="0026108F" w:rsidRPr="00C200E9">
        <w:rPr>
          <w:szCs w:val="26"/>
          <w:lang w:eastAsia="es-ES"/>
        </w:rPr>
        <w:t xml:space="preserve"> </w:t>
      </w:r>
      <w:r w:rsidR="00C41E96" w:rsidRPr="00C200E9">
        <w:rPr>
          <w:szCs w:val="26"/>
          <w:lang w:eastAsia="es-ES"/>
        </w:rPr>
        <w:t>Por ello, se establece este programa que trata de satisfacer, en la medida de lo posible, otra serie de d</w:t>
      </w:r>
      <w:r w:rsidR="00C41E96" w:rsidRPr="00C200E9">
        <w:rPr>
          <w:szCs w:val="26"/>
          <w:lang w:eastAsia="es-ES"/>
        </w:rPr>
        <w:t>e</w:t>
      </w:r>
      <w:r w:rsidR="00C41E96" w:rsidRPr="00C200E9">
        <w:rPr>
          <w:szCs w:val="26"/>
          <w:lang w:eastAsia="es-ES"/>
        </w:rPr>
        <w:t>mandas no monetarias que permitan una mejora en las condiciones de práctica deportiva de algunos deportistas, tales como acceso a instalaciones</w:t>
      </w:r>
      <w:r w:rsidR="009C1DC3">
        <w:rPr>
          <w:szCs w:val="26"/>
          <w:lang w:eastAsia="es-ES"/>
        </w:rPr>
        <w:t xml:space="preserve"> y a medios materiales especiales</w:t>
      </w:r>
      <w:r w:rsidR="00C41E96" w:rsidRPr="00C200E9">
        <w:rPr>
          <w:szCs w:val="26"/>
          <w:lang w:eastAsia="es-ES"/>
        </w:rPr>
        <w:t>, facilitación de horarios, etc...</w:t>
      </w:r>
    </w:p>
    <w:p w:rsidR="00C41E96" w:rsidRPr="00104AD3" w:rsidRDefault="00C200E9" w:rsidP="00C200E9">
      <w:pPr>
        <w:pStyle w:val="texto"/>
        <w:tabs>
          <w:tab w:val="clear" w:pos="2835"/>
          <w:tab w:val="clear" w:pos="3969"/>
          <w:tab w:val="clear" w:pos="5103"/>
          <w:tab w:val="clear" w:pos="6237"/>
          <w:tab w:val="clear" w:pos="7371"/>
          <w:tab w:val="left" w:pos="480"/>
          <w:tab w:val="num" w:pos="720"/>
          <w:tab w:val="num" w:pos="928"/>
          <w:tab w:val="num" w:pos="6597"/>
        </w:tabs>
        <w:rPr>
          <w:szCs w:val="26"/>
          <w:lang w:eastAsia="es-ES"/>
        </w:rPr>
      </w:pPr>
      <w:r>
        <w:rPr>
          <w:szCs w:val="26"/>
          <w:lang w:eastAsia="es-ES"/>
        </w:rPr>
        <w:t xml:space="preserve">d) </w:t>
      </w:r>
      <w:r w:rsidR="00C41E96" w:rsidRPr="00104AD3">
        <w:rPr>
          <w:szCs w:val="26"/>
          <w:lang w:eastAsia="es-ES"/>
        </w:rPr>
        <w:t xml:space="preserve">Programa de </w:t>
      </w:r>
      <w:r w:rsidR="00C41E96">
        <w:rPr>
          <w:szCs w:val="26"/>
          <w:lang w:eastAsia="es-ES"/>
        </w:rPr>
        <w:t>“</w:t>
      </w:r>
      <w:r w:rsidR="00C41E96" w:rsidRPr="00104AD3">
        <w:rPr>
          <w:szCs w:val="26"/>
          <w:lang w:eastAsia="es-ES"/>
        </w:rPr>
        <w:t>Lucha Integral contra el Dopaje en el Deporte</w:t>
      </w:r>
      <w:r w:rsidR="00C41E96">
        <w:rPr>
          <w:szCs w:val="26"/>
          <w:lang w:eastAsia="es-ES"/>
        </w:rPr>
        <w:t>”. La Fund</w:t>
      </w:r>
      <w:r w:rsidR="00C41E96">
        <w:rPr>
          <w:szCs w:val="26"/>
          <w:lang w:eastAsia="es-ES"/>
        </w:rPr>
        <w:t>a</w:t>
      </w:r>
      <w:r w:rsidR="00C41E96">
        <w:rPr>
          <w:szCs w:val="26"/>
          <w:lang w:eastAsia="es-ES"/>
        </w:rPr>
        <w:t xml:space="preserve">ción, por su constante contacto con </w:t>
      </w:r>
      <w:r w:rsidR="00C41E96" w:rsidRPr="00104AD3">
        <w:rPr>
          <w:szCs w:val="26"/>
          <w:lang w:eastAsia="es-ES"/>
        </w:rPr>
        <w:t xml:space="preserve">deportistas de alto rendimiento, </w:t>
      </w:r>
      <w:r w:rsidR="00C41E96">
        <w:rPr>
          <w:szCs w:val="26"/>
          <w:lang w:eastAsia="es-ES"/>
        </w:rPr>
        <w:t>se consid</w:t>
      </w:r>
      <w:r w:rsidR="00C41E96">
        <w:rPr>
          <w:szCs w:val="26"/>
          <w:lang w:eastAsia="es-ES"/>
        </w:rPr>
        <w:t>e</w:t>
      </w:r>
      <w:r w:rsidR="00C41E96">
        <w:rPr>
          <w:szCs w:val="26"/>
          <w:lang w:eastAsia="es-ES"/>
        </w:rPr>
        <w:t>ra obligada</w:t>
      </w:r>
      <w:r w:rsidR="00C41E96" w:rsidRPr="00104AD3">
        <w:rPr>
          <w:szCs w:val="26"/>
          <w:lang w:eastAsia="es-ES"/>
        </w:rPr>
        <w:t xml:space="preserve"> a colaborar en la lucha contra el dopaje desde el punto de vista de la prevención, de la información y de las alternativas al mismo, ya que del co</w:t>
      </w:r>
      <w:r w:rsidR="00C41E96" w:rsidRPr="00104AD3">
        <w:rPr>
          <w:szCs w:val="26"/>
          <w:lang w:eastAsia="es-ES"/>
        </w:rPr>
        <w:t>n</w:t>
      </w:r>
      <w:r w:rsidR="00C41E96" w:rsidRPr="00104AD3">
        <w:rPr>
          <w:szCs w:val="26"/>
          <w:lang w:eastAsia="es-ES"/>
        </w:rPr>
        <w:t>trol y represión ya se encargan otros organismos.</w:t>
      </w:r>
    </w:p>
    <w:p w:rsidR="001300AC" w:rsidRPr="00EB7F8B" w:rsidRDefault="00C200E9" w:rsidP="00EB7F8B">
      <w:pPr>
        <w:pStyle w:val="texto"/>
        <w:tabs>
          <w:tab w:val="clear" w:pos="2835"/>
          <w:tab w:val="clear" w:pos="3969"/>
          <w:tab w:val="clear" w:pos="5103"/>
          <w:tab w:val="clear" w:pos="6237"/>
          <w:tab w:val="clear" w:pos="7371"/>
          <w:tab w:val="left" w:pos="480"/>
          <w:tab w:val="num" w:pos="720"/>
          <w:tab w:val="num" w:pos="928"/>
          <w:tab w:val="num" w:pos="6597"/>
        </w:tabs>
        <w:rPr>
          <w:szCs w:val="26"/>
          <w:lang w:eastAsia="es-ES"/>
        </w:rPr>
      </w:pPr>
      <w:r>
        <w:rPr>
          <w:szCs w:val="26"/>
          <w:lang w:eastAsia="es-ES"/>
        </w:rPr>
        <w:t xml:space="preserve">e) </w:t>
      </w:r>
      <w:r w:rsidR="00C41E96" w:rsidRPr="00C41E96">
        <w:rPr>
          <w:szCs w:val="26"/>
          <w:lang w:eastAsia="es-ES"/>
        </w:rPr>
        <w:t>P</w:t>
      </w:r>
      <w:r w:rsidR="00C41E96">
        <w:rPr>
          <w:szCs w:val="26"/>
          <w:lang w:eastAsia="es-ES"/>
        </w:rPr>
        <w:t xml:space="preserve">rograma de “Jóvenes Talentos”. </w:t>
      </w:r>
      <w:r w:rsidR="00C41E96" w:rsidRPr="00C41E96">
        <w:rPr>
          <w:szCs w:val="26"/>
          <w:lang w:eastAsia="es-ES"/>
        </w:rPr>
        <w:t>El objetivo general de este nuevo pr</w:t>
      </w:r>
      <w:r w:rsidR="00C41E96" w:rsidRPr="00C41E96">
        <w:rPr>
          <w:szCs w:val="26"/>
          <w:lang w:eastAsia="es-ES"/>
        </w:rPr>
        <w:t>o</w:t>
      </w:r>
      <w:r w:rsidR="00C41E96" w:rsidRPr="00C41E96">
        <w:rPr>
          <w:szCs w:val="26"/>
          <w:lang w:eastAsia="es-ES"/>
        </w:rPr>
        <w:t>grama será detectar a deportistas que destaquen en edades tempranas, siguiendo su trayectoria y apoyándoles en sus necesidades deportivas, educativas o soci</w:t>
      </w:r>
      <w:r w:rsidR="00C41E96" w:rsidRPr="00C41E96">
        <w:rPr>
          <w:szCs w:val="26"/>
          <w:lang w:eastAsia="es-ES"/>
        </w:rPr>
        <w:t>a</w:t>
      </w:r>
      <w:r w:rsidR="00C41E96" w:rsidRPr="00C41E96">
        <w:rPr>
          <w:szCs w:val="26"/>
          <w:lang w:eastAsia="es-ES"/>
        </w:rPr>
        <w:t>les básicas, y seleccionar de entre ellos a jóvenes deportistas navarros que rev</w:t>
      </w:r>
      <w:r w:rsidR="00C41E96" w:rsidRPr="00C41E96">
        <w:rPr>
          <w:szCs w:val="26"/>
          <w:lang w:eastAsia="es-ES"/>
        </w:rPr>
        <w:t>e</w:t>
      </w:r>
      <w:r w:rsidR="00C41E96" w:rsidRPr="00C41E96">
        <w:rPr>
          <w:szCs w:val="26"/>
          <w:lang w:eastAsia="es-ES"/>
        </w:rPr>
        <w:t>len condiciones morfofuncionales, motrices, de personalidad, intelectuales, humanas y de motivación suficientes para llegar en un futuro al alto rendimie</w:t>
      </w:r>
      <w:r w:rsidR="00C41E96" w:rsidRPr="00C41E96">
        <w:rPr>
          <w:szCs w:val="26"/>
          <w:lang w:eastAsia="es-ES"/>
        </w:rPr>
        <w:t>n</w:t>
      </w:r>
      <w:r w:rsidR="00C41E96" w:rsidRPr="00C41E96">
        <w:rPr>
          <w:szCs w:val="26"/>
          <w:lang w:eastAsia="es-ES"/>
        </w:rPr>
        <w:t>to deportivo, ayudándoles a conseguirlo mediante un conjunto de actuaciones organizadas y especialmente diseñadas para cada uno de ellos.</w:t>
      </w:r>
    </w:p>
    <w:p w:rsidR="00176DE5" w:rsidRDefault="00176DE5" w:rsidP="00176DE5">
      <w:pPr>
        <w:pStyle w:val="atitulo2"/>
        <w:spacing w:before="240"/>
      </w:pPr>
      <w:bookmarkStart w:id="13" w:name="_Toc454441425"/>
      <w:r>
        <w:lastRenderedPageBreak/>
        <w:t xml:space="preserve">II.2. Subvenciones </w:t>
      </w:r>
      <w:r w:rsidR="001300AC">
        <w:t>p</w:t>
      </w:r>
      <w:r>
        <w:t>úblicas percibidas por la Fundación entre 2005 y 2015</w:t>
      </w:r>
      <w:r w:rsidR="00106186">
        <w:t xml:space="preserve"> y </w:t>
      </w:r>
      <w:r w:rsidR="00D74AE3">
        <w:t xml:space="preserve">breve referencia a </w:t>
      </w:r>
      <w:r w:rsidR="00BE2AD4">
        <w:t>sus</w:t>
      </w:r>
      <w:r w:rsidR="00D74AE3">
        <w:t xml:space="preserve"> </w:t>
      </w:r>
      <w:r w:rsidR="00106186">
        <w:t>cuentas anuales</w:t>
      </w:r>
      <w:bookmarkEnd w:id="13"/>
    </w:p>
    <w:p w:rsidR="00600704" w:rsidRDefault="009E4D1C" w:rsidP="00400D20">
      <w:pPr>
        <w:pStyle w:val="texto"/>
        <w:rPr>
          <w:szCs w:val="26"/>
        </w:rPr>
      </w:pPr>
      <w:r>
        <w:rPr>
          <w:szCs w:val="26"/>
        </w:rPr>
        <w:t>Entre 2005 y 2015</w:t>
      </w:r>
      <w:r w:rsidR="002675D9">
        <w:rPr>
          <w:szCs w:val="26"/>
        </w:rPr>
        <w:t>, la Fundación ha recibido un total de 2,44 millones, de los que un 87 por ciento proceden del Gobierno de Navarra y el resto del Ayunt</w:t>
      </w:r>
      <w:r w:rsidR="002675D9">
        <w:rPr>
          <w:szCs w:val="26"/>
        </w:rPr>
        <w:t>a</w:t>
      </w:r>
      <w:r w:rsidR="002675D9">
        <w:rPr>
          <w:szCs w:val="26"/>
        </w:rPr>
        <w:t>miento de Pamplona. En los cuadros siguientes se muestra, por años y entidad concedente, el anterior importe:</w:t>
      </w:r>
    </w:p>
    <w:p w:rsidR="00862228" w:rsidRPr="002675D9" w:rsidRDefault="00862228" w:rsidP="003C4B46">
      <w:pPr>
        <w:pStyle w:val="texto"/>
        <w:spacing w:before="120" w:after="240"/>
        <w:ind w:left="646" w:firstLine="0"/>
        <w:jc w:val="center"/>
        <w:rPr>
          <w:szCs w:val="26"/>
        </w:rPr>
      </w:pPr>
      <w:r>
        <w:rPr>
          <w:szCs w:val="26"/>
        </w:rPr>
        <w:t>Gobierno de Navarra</w:t>
      </w:r>
    </w:p>
    <w:tbl>
      <w:tblPr>
        <w:tblW w:w="8871" w:type="dxa"/>
        <w:jc w:val="center"/>
        <w:tblCellSpacing w:w="0" w:type="dxa"/>
        <w:tblInd w:w="-965" w:type="dxa"/>
        <w:tblCellMar>
          <w:left w:w="0" w:type="dxa"/>
          <w:right w:w="0" w:type="dxa"/>
        </w:tblCellMar>
        <w:tblLook w:val="04A0" w:firstRow="1" w:lastRow="0" w:firstColumn="1" w:lastColumn="0" w:noHBand="0" w:noVBand="1"/>
      </w:tblPr>
      <w:tblGrid>
        <w:gridCol w:w="6678"/>
        <w:gridCol w:w="2193"/>
      </w:tblGrid>
      <w:tr w:rsidR="002675D9" w:rsidRPr="00734D84" w:rsidTr="00FF4AA3">
        <w:trPr>
          <w:trHeight w:val="255"/>
          <w:tblCellSpacing w:w="0" w:type="dxa"/>
          <w:jc w:val="center"/>
        </w:trPr>
        <w:tc>
          <w:tcPr>
            <w:tcW w:w="6678" w:type="dxa"/>
            <w:tcBorders>
              <w:top w:val="single" w:sz="8" w:space="0" w:color="auto"/>
              <w:left w:val="nil"/>
              <w:bottom w:val="single" w:sz="8" w:space="0" w:color="auto"/>
              <w:right w:val="nil"/>
            </w:tcBorders>
            <w:shd w:val="clear" w:color="auto" w:fill="A8CBEE" w:themeFill="accent2" w:themeFillTint="66"/>
            <w:noWrap/>
            <w:tcMar>
              <w:top w:w="0" w:type="dxa"/>
              <w:left w:w="108" w:type="dxa"/>
              <w:bottom w:w="0" w:type="dxa"/>
              <w:right w:w="108" w:type="dxa"/>
            </w:tcMar>
            <w:vAlign w:val="center"/>
            <w:hideMark/>
          </w:tcPr>
          <w:p w:rsidR="002675D9" w:rsidRPr="00734D84" w:rsidRDefault="002675D9" w:rsidP="00734D84">
            <w:pPr>
              <w:spacing w:after="0"/>
              <w:ind w:firstLine="0"/>
              <w:jc w:val="left"/>
              <w:rPr>
                <w:sz w:val="24"/>
                <w:szCs w:val="24"/>
                <w:lang w:val="es-ES" w:eastAsia="es-ES"/>
              </w:rPr>
            </w:pPr>
            <w:r>
              <w:rPr>
                <w:rFonts w:ascii="Arial" w:hAnsi="Arial" w:cs="Arial"/>
                <w:sz w:val="18"/>
                <w:szCs w:val="18"/>
                <w:lang w:val="es-ES" w:eastAsia="es-ES"/>
              </w:rPr>
              <w:t xml:space="preserve">Gobierno de Navarra- </w:t>
            </w:r>
            <w:r w:rsidRPr="00734D84">
              <w:rPr>
                <w:rFonts w:ascii="Arial" w:hAnsi="Arial" w:cs="Arial"/>
                <w:sz w:val="18"/>
                <w:szCs w:val="18"/>
                <w:lang w:val="es-ES" w:eastAsia="es-ES"/>
              </w:rPr>
              <w:t>Subvenciones</w:t>
            </w:r>
            <w:r>
              <w:rPr>
                <w:rFonts w:ascii="Arial" w:hAnsi="Arial" w:cs="Arial"/>
                <w:sz w:val="18"/>
                <w:szCs w:val="18"/>
                <w:lang w:val="es-ES" w:eastAsia="es-ES"/>
              </w:rPr>
              <w:t xml:space="preserve"> </w:t>
            </w:r>
            <w:r w:rsidRPr="00734D84">
              <w:rPr>
                <w:rFonts w:ascii="Arial" w:hAnsi="Arial" w:cs="Arial"/>
                <w:sz w:val="18"/>
                <w:szCs w:val="18"/>
                <w:lang w:val="es-ES" w:eastAsia="es-ES"/>
              </w:rPr>
              <w:t>Fundación Induráin</w:t>
            </w:r>
          </w:p>
        </w:tc>
        <w:tc>
          <w:tcPr>
            <w:tcW w:w="0" w:type="auto"/>
            <w:tcBorders>
              <w:top w:val="single" w:sz="8" w:space="0" w:color="auto"/>
              <w:left w:val="nil"/>
              <w:bottom w:val="single" w:sz="8" w:space="0" w:color="auto"/>
              <w:right w:val="nil"/>
            </w:tcBorders>
            <w:shd w:val="clear" w:color="auto" w:fill="A8CBEE" w:themeFill="accent2" w:themeFillTint="66"/>
            <w:noWrap/>
            <w:tcMar>
              <w:top w:w="0" w:type="dxa"/>
              <w:left w:w="108" w:type="dxa"/>
              <w:bottom w:w="0" w:type="dxa"/>
              <w:right w:w="108" w:type="dxa"/>
            </w:tcMar>
            <w:vAlign w:val="center"/>
            <w:hideMark/>
          </w:tcPr>
          <w:p w:rsidR="002675D9" w:rsidRPr="00734D84" w:rsidRDefault="002675D9" w:rsidP="002675D9">
            <w:pPr>
              <w:spacing w:after="0"/>
              <w:ind w:firstLine="0"/>
              <w:jc w:val="right"/>
              <w:rPr>
                <w:sz w:val="24"/>
                <w:szCs w:val="24"/>
                <w:lang w:val="es-ES" w:eastAsia="es-ES"/>
              </w:rPr>
            </w:pPr>
            <w:r>
              <w:rPr>
                <w:rFonts w:ascii="Arial" w:hAnsi="Arial" w:cs="Arial"/>
                <w:sz w:val="18"/>
                <w:szCs w:val="18"/>
                <w:lang w:val="es-ES" w:eastAsia="es-ES"/>
              </w:rPr>
              <w:t>Subvención abonada</w:t>
            </w:r>
          </w:p>
        </w:tc>
      </w:tr>
      <w:tr w:rsidR="002675D9" w:rsidRPr="00734D84" w:rsidTr="00FF4AA3">
        <w:trPr>
          <w:trHeight w:val="255"/>
          <w:tblCellSpacing w:w="0" w:type="dxa"/>
          <w:jc w:val="center"/>
        </w:trPr>
        <w:tc>
          <w:tcPr>
            <w:tcW w:w="6678"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left"/>
              <w:rPr>
                <w:sz w:val="24"/>
                <w:szCs w:val="24"/>
                <w:lang w:val="es-ES" w:eastAsia="es-ES"/>
              </w:rPr>
            </w:pPr>
            <w:r w:rsidRPr="00734D84">
              <w:rPr>
                <w:rFonts w:ascii="Arial Narrow" w:hAnsi="Arial Narrow"/>
                <w:lang w:val="es-ES" w:eastAsia="es-ES"/>
              </w:rPr>
              <w:t>2005</w:t>
            </w:r>
          </w:p>
        </w:tc>
        <w:tc>
          <w:tcPr>
            <w:tcW w:w="0" w:type="auto"/>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right"/>
              <w:rPr>
                <w:sz w:val="24"/>
                <w:szCs w:val="24"/>
                <w:lang w:val="es-ES" w:eastAsia="es-ES"/>
              </w:rPr>
            </w:pPr>
            <w:r w:rsidRPr="00734D84">
              <w:rPr>
                <w:rFonts w:ascii="Arial Narrow" w:hAnsi="Arial Narrow"/>
                <w:lang w:val="es-ES" w:eastAsia="es-ES"/>
              </w:rPr>
              <w:t>180.000</w:t>
            </w:r>
          </w:p>
        </w:tc>
      </w:tr>
      <w:tr w:rsidR="002675D9" w:rsidRPr="00734D84" w:rsidTr="00FF4AA3">
        <w:trPr>
          <w:trHeight w:val="255"/>
          <w:tblCellSpacing w:w="0" w:type="dxa"/>
          <w:jc w:val="center"/>
        </w:trPr>
        <w:tc>
          <w:tcPr>
            <w:tcW w:w="6678"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left"/>
              <w:rPr>
                <w:sz w:val="24"/>
                <w:szCs w:val="24"/>
                <w:lang w:val="es-ES" w:eastAsia="es-ES"/>
              </w:rPr>
            </w:pPr>
            <w:r w:rsidRPr="00734D84">
              <w:rPr>
                <w:rFonts w:ascii="Arial Narrow" w:hAnsi="Arial Narrow"/>
                <w:lang w:val="es-ES" w:eastAsia="es-ES"/>
              </w:rPr>
              <w:t>2006</w:t>
            </w:r>
          </w:p>
        </w:tc>
        <w:tc>
          <w:tcPr>
            <w:tcW w:w="0" w:type="auto"/>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right"/>
              <w:rPr>
                <w:sz w:val="24"/>
                <w:szCs w:val="24"/>
                <w:lang w:val="es-ES" w:eastAsia="es-ES"/>
              </w:rPr>
            </w:pPr>
            <w:r w:rsidRPr="00734D84">
              <w:rPr>
                <w:rFonts w:ascii="Arial Narrow" w:hAnsi="Arial Narrow"/>
                <w:lang w:val="es-ES" w:eastAsia="es-ES"/>
              </w:rPr>
              <w:t>185.300</w:t>
            </w:r>
          </w:p>
        </w:tc>
      </w:tr>
      <w:tr w:rsidR="002675D9" w:rsidRPr="00734D84" w:rsidTr="00FF4AA3">
        <w:trPr>
          <w:trHeight w:val="255"/>
          <w:tblCellSpacing w:w="0" w:type="dxa"/>
          <w:jc w:val="center"/>
        </w:trPr>
        <w:tc>
          <w:tcPr>
            <w:tcW w:w="6678"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left"/>
              <w:rPr>
                <w:sz w:val="24"/>
                <w:szCs w:val="24"/>
                <w:lang w:val="es-ES" w:eastAsia="es-ES"/>
              </w:rPr>
            </w:pPr>
            <w:r w:rsidRPr="00734D84">
              <w:rPr>
                <w:rFonts w:ascii="Arial Narrow" w:hAnsi="Arial Narrow"/>
                <w:lang w:val="es-ES" w:eastAsia="es-ES"/>
              </w:rPr>
              <w:t>2007</w:t>
            </w:r>
          </w:p>
        </w:tc>
        <w:tc>
          <w:tcPr>
            <w:tcW w:w="0" w:type="auto"/>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right"/>
              <w:rPr>
                <w:sz w:val="24"/>
                <w:szCs w:val="24"/>
                <w:lang w:val="es-ES" w:eastAsia="es-ES"/>
              </w:rPr>
            </w:pPr>
            <w:r w:rsidRPr="00734D84">
              <w:rPr>
                <w:rFonts w:ascii="Arial Narrow" w:hAnsi="Arial Narrow"/>
                <w:lang w:val="es-ES" w:eastAsia="es-ES"/>
              </w:rPr>
              <w:t>185.300</w:t>
            </w:r>
          </w:p>
        </w:tc>
      </w:tr>
      <w:tr w:rsidR="002675D9" w:rsidRPr="00734D84" w:rsidTr="00FF4AA3">
        <w:trPr>
          <w:trHeight w:val="255"/>
          <w:tblCellSpacing w:w="0" w:type="dxa"/>
          <w:jc w:val="center"/>
        </w:trPr>
        <w:tc>
          <w:tcPr>
            <w:tcW w:w="6678"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left"/>
              <w:rPr>
                <w:sz w:val="24"/>
                <w:szCs w:val="24"/>
                <w:lang w:val="es-ES" w:eastAsia="es-ES"/>
              </w:rPr>
            </w:pPr>
            <w:r w:rsidRPr="00734D84">
              <w:rPr>
                <w:rFonts w:ascii="Arial Narrow" w:hAnsi="Arial Narrow"/>
                <w:lang w:val="es-ES" w:eastAsia="es-ES"/>
              </w:rPr>
              <w:t>2008</w:t>
            </w:r>
          </w:p>
        </w:tc>
        <w:tc>
          <w:tcPr>
            <w:tcW w:w="0" w:type="auto"/>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right"/>
              <w:rPr>
                <w:sz w:val="24"/>
                <w:szCs w:val="24"/>
                <w:lang w:val="es-ES" w:eastAsia="es-ES"/>
              </w:rPr>
            </w:pPr>
            <w:r w:rsidRPr="00734D84">
              <w:rPr>
                <w:rFonts w:ascii="Arial Narrow" w:hAnsi="Arial Narrow"/>
                <w:lang w:val="es-ES" w:eastAsia="es-ES"/>
              </w:rPr>
              <w:t>285.300</w:t>
            </w:r>
          </w:p>
        </w:tc>
      </w:tr>
      <w:tr w:rsidR="002675D9" w:rsidRPr="00734D84" w:rsidTr="00FF4AA3">
        <w:trPr>
          <w:trHeight w:val="255"/>
          <w:tblCellSpacing w:w="0" w:type="dxa"/>
          <w:jc w:val="center"/>
        </w:trPr>
        <w:tc>
          <w:tcPr>
            <w:tcW w:w="6678"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left"/>
              <w:rPr>
                <w:sz w:val="24"/>
                <w:szCs w:val="24"/>
                <w:lang w:val="es-ES" w:eastAsia="es-ES"/>
              </w:rPr>
            </w:pPr>
            <w:r w:rsidRPr="00734D84">
              <w:rPr>
                <w:rFonts w:ascii="Arial Narrow" w:hAnsi="Arial Narrow"/>
                <w:lang w:val="es-ES" w:eastAsia="es-ES"/>
              </w:rPr>
              <w:t>2009</w:t>
            </w:r>
          </w:p>
        </w:tc>
        <w:tc>
          <w:tcPr>
            <w:tcW w:w="0" w:type="auto"/>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right"/>
              <w:rPr>
                <w:sz w:val="24"/>
                <w:szCs w:val="24"/>
                <w:lang w:val="es-ES" w:eastAsia="es-ES"/>
              </w:rPr>
            </w:pPr>
            <w:r w:rsidRPr="00734D84">
              <w:rPr>
                <w:rFonts w:ascii="Arial Narrow" w:hAnsi="Arial Narrow"/>
                <w:lang w:val="es-ES" w:eastAsia="es-ES"/>
              </w:rPr>
              <w:t>285.300</w:t>
            </w:r>
          </w:p>
        </w:tc>
      </w:tr>
      <w:tr w:rsidR="002675D9" w:rsidRPr="00734D84" w:rsidTr="00FF4AA3">
        <w:trPr>
          <w:trHeight w:val="255"/>
          <w:tblCellSpacing w:w="0" w:type="dxa"/>
          <w:jc w:val="center"/>
        </w:trPr>
        <w:tc>
          <w:tcPr>
            <w:tcW w:w="6678"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left"/>
              <w:rPr>
                <w:sz w:val="24"/>
                <w:szCs w:val="24"/>
                <w:lang w:val="es-ES" w:eastAsia="es-ES"/>
              </w:rPr>
            </w:pPr>
            <w:r w:rsidRPr="00734D84">
              <w:rPr>
                <w:rFonts w:ascii="Arial Narrow" w:hAnsi="Arial Narrow"/>
                <w:lang w:val="es-ES" w:eastAsia="es-ES"/>
              </w:rPr>
              <w:t>2010</w:t>
            </w:r>
          </w:p>
        </w:tc>
        <w:tc>
          <w:tcPr>
            <w:tcW w:w="0" w:type="auto"/>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right"/>
              <w:rPr>
                <w:sz w:val="24"/>
                <w:szCs w:val="24"/>
                <w:lang w:val="es-ES" w:eastAsia="es-ES"/>
              </w:rPr>
            </w:pPr>
            <w:r w:rsidRPr="00734D84">
              <w:rPr>
                <w:rFonts w:ascii="Arial Narrow" w:hAnsi="Arial Narrow"/>
                <w:lang w:val="es-ES" w:eastAsia="es-ES"/>
              </w:rPr>
              <w:t>255.000</w:t>
            </w:r>
          </w:p>
        </w:tc>
      </w:tr>
      <w:tr w:rsidR="002675D9" w:rsidRPr="00734D84" w:rsidTr="00FF4AA3">
        <w:trPr>
          <w:trHeight w:val="255"/>
          <w:tblCellSpacing w:w="0" w:type="dxa"/>
          <w:jc w:val="center"/>
        </w:trPr>
        <w:tc>
          <w:tcPr>
            <w:tcW w:w="6678"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left"/>
              <w:rPr>
                <w:sz w:val="24"/>
                <w:szCs w:val="24"/>
                <w:lang w:val="es-ES" w:eastAsia="es-ES"/>
              </w:rPr>
            </w:pPr>
            <w:r w:rsidRPr="00734D84">
              <w:rPr>
                <w:rFonts w:ascii="Arial Narrow" w:hAnsi="Arial Narrow"/>
                <w:lang w:val="es-ES" w:eastAsia="es-ES"/>
              </w:rPr>
              <w:t>2011</w:t>
            </w:r>
          </w:p>
        </w:tc>
        <w:tc>
          <w:tcPr>
            <w:tcW w:w="0" w:type="auto"/>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right"/>
              <w:rPr>
                <w:sz w:val="24"/>
                <w:szCs w:val="24"/>
                <w:lang w:val="es-ES" w:eastAsia="es-ES"/>
              </w:rPr>
            </w:pPr>
            <w:r w:rsidRPr="00734D84">
              <w:rPr>
                <w:rFonts w:ascii="Arial Narrow" w:hAnsi="Arial Narrow"/>
                <w:lang w:val="es-ES" w:eastAsia="es-ES"/>
              </w:rPr>
              <w:t>285.000</w:t>
            </w:r>
          </w:p>
        </w:tc>
      </w:tr>
      <w:tr w:rsidR="002675D9" w:rsidRPr="00734D84" w:rsidTr="00FF4AA3">
        <w:trPr>
          <w:trHeight w:val="255"/>
          <w:tblCellSpacing w:w="0" w:type="dxa"/>
          <w:jc w:val="center"/>
        </w:trPr>
        <w:tc>
          <w:tcPr>
            <w:tcW w:w="6678"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left"/>
              <w:rPr>
                <w:sz w:val="24"/>
                <w:szCs w:val="24"/>
                <w:lang w:val="es-ES" w:eastAsia="es-ES"/>
              </w:rPr>
            </w:pPr>
            <w:r w:rsidRPr="00734D84">
              <w:rPr>
                <w:rFonts w:ascii="Arial Narrow" w:hAnsi="Arial Narrow"/>
                <w:lang w:val="es-ES" w:eastAsia="es-ES"/>
              </w:rPr>
              <w:t>2012</w:t>
            </w:r>
          </w:p>
        </w:tc>
        <w:tc>
          <w:tcPr>
            <w:tcW w:w="0" w:type="auto"/>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right"/>
              <w:rPr>
                <w:sz w:val="24"/>
                <w:szCs w:val="24"/>
                <w:lang w:val="es-ES" w:eastAsia="es-ES"/>
              </w:rPr>
            </w:pPr>
            <w:r w:rsidRPr="00734D84">
              <w:rPr>
                <w:rFonts w:ascii="Arial Narrow" w:hAnsi="Arial Narrow"/>
                <w:lang w:val="es-ES" w:eastAsia="es-ES"/>
              </w:rPr>
              <w:t>150.000</w:t>
            </w:r>
          </w:p>
        </w:tc>
      </w:tr>
      <w:tr w:rsidR="002675D9" w:rsidRPr="00734D84" w:rsidTr="00FF4AA3">
        <w:trPr>
          <w:trHeight w:val="255"/>
          <w:tblCellSpacing w:w="0" w:type="dxa"/>
          <w:jc w:val="center"/>
        </w:trPr>
        <w:tc>
          <w:tcPr>
            <w:tcW w:w="6678"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left"/>
              <w:rPr>
                <w:sz w:val="24"/>
                <w:szCs w:val="24"/>
                <w:lang w:val="es-ES" w:eastAsia="es-ES"/>
              </w:rPr>
            </w:pPr>
            <w:r w:rsidRPr="00734D84">
              <w:rPr>
                <w:rFonts w:ascii="Arial Narrow" w:hAnsi="Arial Narrow"/>
                <w:lang w:val="es-ES" w:eastAsia="es-ES"/>
              </w:rPr>
              <w:t xml:space="preserve">2013 </w:t>
            </w:r>
          </w:p>
        </w:tc>
        <w:tc>
          <w:tcPr>
            <w:tcW w:w="0" w:type="auto"/>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right"/>
              <w:rPr>
                <w:sz w:val="24"/>
                <w:szCs w:val="24"/>
                <w:lang w:val="es-ES" w:eastAsia="es-ES"/>
              </w:rPr>
            </w:pPr>
            <w:r w:rsidRPr="00734D84">
              <w:rPr>
                <w:rFonts w:ascii="Arial Narrow" w:hAnsi="Arial Narrow"/>
                <w:lang w:val="es-ES" w:eastAsia="es-ES"/>
              </w:rPr>
              <w:t>60.613</w:t>
            </w:r>
          </w:p>
        </w:tc>
      </w:tr>
      <w:tr w:rsidR="002675D9" w:rsidRPr="00734D84" w:rsidTr="00FF4AA3">
        <w:trPr>
          <w:trHeight w:val="255"/>
          <w:tblCellSpacing w:w="0" w:type="dxa"/>
          <w:jc w:val="center"/>
        </w:trPr>
        <w:tc>
          <w:tcPr>
            <w:tcW w:w="6678"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left"/>
              <w:rPr>
                <w:sz w:val="24"/>
                <w:szCs w:val="24"/>
                <w:lang w:val="es-ES" w:eastAsia="es-ES"/>
              </w:rPr>
            </w:pPr>
            <w:r w:rsidRPr="00734D84">
              <w:rPr>
                <w:rFonts w:ascii="Arial Narrow" w:hAnsi="Arial Narrow"/>
                <w:lang w:val="es-ES" w:eastAsia="es-ES"/>
              </w:rPr>
              <w:t xml:space="preserve">2014 </w:t>
            </w:r>
          </w:p>
        </w:tc>
        <w:tc>
          <w:tcPr>
            <w:tcW w:w="0" w:type="auto"/>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right"/>
              <w:rPr>
                <w:sz w:val="24"/>
                <w:szCs w:val="24"/>
                <w:lang w:val="es-ES" w:eastAsia="es-ES"/>
              </w:rPr>
            </w:pPr>
            <w:r w:rsidRPr="00734D84">
              <w:rPr>
                <w:rFonts w:ascii="Arial Narrow" w:hAnsi="Arial Narrow"/>
                <w:lang w:val="es-ES" w:eastAsia="es-ES"/>
              </w:rPr>
              <w:t>100.000</w:t>
            </w:r>
          </w:p>
        </w:tc>
      </w:tr>
      <w:tr w:rsidR="002675D9" w:rsidRPr="00734D84" w:rsidTr="00FF4AA3">
        <w:trPr>
          <w:trHeight w:val="255"/>
          <w:tblCellSpacing w:w="0" w:type="dxa"/>
          <w:jc w:val="center"/>
        </w:trPr>
        <w:tc>
          <w:tcPr>
            <w:tcW w:w="6678"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left"/>
              <w:rPr>
                <w:sz w:val="24"/>
                <w:szCs w:val="24"/>
                <w:lang w:val="es-ES" w:eastAsia="es-ES"/>
              </w:rPr>
            </w:pPr>
            <w:r w:rsidRPr="00734D84">
              <w:rPr>
                <w:rFonts w:ascii="Arial Narrow" w:hAnsi="Arial Narrow"/>
                <w:lang w:val="es-ES" w:eastAsia="es-ES"/>
              </w:rPr>
              <w:t>2015</w:t>
            </w:r>
          </w:p>
        </w:tc>
        <w:tc>
          <w:tcPr>
            <w:tcW w:w="0" w:type="auto"/>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right"/>
              <w:rPr>
                <w:sz w:val="24"/>
                <w:szCs w:val="24"/>
                <w:lang w:val="es-ES" w:eastAsia="es-ES"/>
              </w:rPr>
            </w:pPr>
            <w:r w:rsidRPr="00734D84">
              <w:rPr>
                <w:rFonts w:ascii="Arial Narrow" w:hAnsi="Arial Narrow"/>
                <w:lang w:val="es-ES" w:eastAsia="es-ES"/>
              </w:rPr>
              <w:t>120.000</w:t>
            </w:r>
          </w:p>
        </w:tc>
      </w:tr>
      <w:tr w:rsidR="002675D9" w:rsidRPr="008D3B9A" w:rsidTr="00FF4AA3">
        <w:trPr>
          <w:trHeight w:val="255"/>
          <w:tblCellSpacing w:w="0" w:type="dxa"/>
          <w:jc w:val="center"/>
        </w:trPr>
        <w:tc>
          <w:tcPr>
            <w:tcW w:w="6678" w:type="dxa"/>
            <w:tcBorders>
              <w:top w:val="nil"/>
              <w:left w:val="nil"/>
              <w:bottom w:val="single" w:sz="8" w:space="0" w:color="auto"/>
              <w:right w:val="nil"/>
            </w:tcBorders>
            <w:shd w:val="clear" w:color="auto" w:fill="FFFFFF" w:themeFill="background1"/>
            <w:noWrap/>
            <w:tcMar>
              <w:top w:w="0" w:type="dxa"/>
              <w:left w:w="108" w:type="dxa"/>
              <w:bottom w:w="0" w:type="dxa"/>
              <w:right w:w="108" w:type="dxa"/>
            </w:tcMar>
            <w:vAlign w:val="center"/>
            <w:hideMark/>
          </w:tcPr>
          <w:p w:rsidR="002675D9" w:rsidRPr="008D3B9A" w:rsidRDefault="002675D9" w:rsidP="00A21F58">
            <w:pPr>
              <w:spacing w:after="0"/>
              <w:ind w:firstLine="0"/>
              <w:jc w:val="left"/>
              <w:rPr>
                <w:b/>
                <w:i/>
                <w:sz w:val="24"/>
                <w:szCs w:val="24"/>
                <w:lang w:val="es-ES" w:eastAsia="es-ES"/>
              </w:rPr>
            </w:pPr>
            <w:r w:rsidRPr="008D3B9A">
              <w:rPr>
                <w:rFonts w:ascii="Arial" w:hAnsi="Arial" w:cs="Arial"/>
                <w:b/>
                <w:i/>
                <w:sz w:val="18"/>
                <w:szCs w:val="18"/>
                <w:lang w:val="es-ES" w:eastAsia="es-ES"/>
              </w:rPr>
              <w:t>Subtotal subvenciones anuales</w:t>
            </w:r>
          </w:p>
        </w:tc>
        <w:tc>
          <w:tcPr>
            <w:tcW w:w="0" w:type="auto"/>
            <w:tcBorders>
              <w:top w:val="nil"/>
              <w:left w:val="nil"/>
              <w:bottom w:val="single" w:sz="8" w:space="0" w:color="auto"/>
              <w:right w:val="nil"/>
            </w:tcBorders>
            <w:shd w:val="clear" w:color="auto" w:fill="FFFFFF" w:themeFill="background1"/>
            <w:noWrap/>
            <w:tcMar>
              <w:top w:w="0" w:type="dxa"/>
              <w:left w:w="108" w:type="dxa"/>
              <w:bottom w:w="0" w:type="dxa"/>
              <w:right w:w="108" w:type="dxa"/>
            </w:tcMar>
            <w:vAlign w:val="center"/>
            <w:hideMark/>
          </w:tcPr>
          <w:p w:rsidR="002675D9" w:rsidRPr="008D3B9A" w:rsidRDefault="002675D9" w:rsidP="00734D84">
            <w:pPr>
              <w:spacing w:after="0"/>
              <w:ind w:firstLine="0"/>
              <w:jc w:val="right"/>
              <w:rPr>
                <w:b/>
                <w:i/>
                <w:sz w:val="24"/>
                <w:szCs w:val="24"/>
                <w:lang w:val="es-ES" w:eastAsia="es-ES"/>
              </w:rPr>
            </w:pPr>
            <w:r w:rsidRPr="008D3B9A">
              <w:rPr>
                <w:rFonts w:ascii="Arial" w:hAnsi="Arial" w:cs="Arial"/>
                <w:b/>
                <w:i/>
                <w:sz w:val="18"/>
                <w:szCs w:val="18"/>
                <w:lang w:val="es-ES" w:eastAsia="es-ES"/>
              </w:rPr>
              <w:t>2.091.813</w:t>
            </w:r>
          </w:p>
        </w:tc>
      </w:tr>
      <w:tr w:rsidR="002675D9" w:rsidRPr="00734D84" w:rsidTr="00FF4AA3">
        <w:trPr>
          <w:trHeight w:val="255"/>
          <w:tblCellSpacing w:w="0" w:type="dxa"/>
          <w:jc w:val="center"/>
        </w:trPr>
        <w:tc>
          <w:tcPr>
            <w:tcW w:w="6678"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left"/>
              <w:rPr>
                <w:sz w:val="24"/>
                <w:szCs w:val="24"/>
                <w:lang w:val="es-ES" w:eastAsia="es-ES"/>
              </w:rPr>
            </w:pPr>
            <w:r w:rsidRPr="00734D84">
              <w:rPr>
                <w:rFonts w:ascii="Arial Narrow" w:hAnsi="Arial Narrow"/>
                <w:lang w:val="es-ES" w:eastAsia="es-ES"/>
              </w:rPr>
              <w:t>2005 Programa extraordinario lucha dopaje</w:t>
            </w:r>
          </w:p>
        </w:tc>
        <w:tc>
          <w:tcPr>
            <w:tcW w:w="0" w:type="auto"/>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675D9" w:rsidRPr="00734D84" w:rsidRDefault="002675D9" w:rsidP="00734D84">
            <w:pPr>
              <w:spacing w:after="0"/>
              <w:ind w:firstLine="0"/>
              <w:jc w:val="right"/>
              <w:rPr>
                <w:sz w:val="24"/>
                <w:szCs w:val="24"/>
                <w:lang w:val="es-ES" w:eastAsia="es-ES"/>
              </w:rPr>
            </w:pPr>
            <w:r w:rsidRPr="00734D84">
              <w:rPr>
                <w:rFonts w:ascii="Arial Narrow" w:hAnsi="Arial Narrow"/>
                <w:lang w:val="es-ES" w:eastAsia="es-ES"/>
              </w:rPr>
              <w:t>25.000</w:t>
            </w:r>
          </w:p>
        </w:tc>
      </w:tr>
      <w:tr w:rsidR="002675D9" w:rsidRPr="00734D84" w:rsidTr="00FF4AA3">
        <w:trPr>
          <w:trHeight w:val="255"/>
          <w:tblCellSpacing w:w="0" w:type="dxa"/>
          <w:jc w:val="center"/>
        </w:trPr>
        <w:tc>
          <w:tcPr>
            <w:tcW w:w="6678" w:type="dxa"/>
            <w:tcBorders>
              <w:top w:val="nil"/>
              <w:left w:val="nil"/>
              <w:bottom w:val="single" w:sz="8" w:space="0" w:color="auto"/>
              <w:right w:val="nil"/>
            </w:tcBorders>
            <w:shd w:val="clear" w:color="auto" w:fill="A8CBEE" w:themeFill="accent2" w:themeFillTint="66"/>
            <w:noWrap/>
            <w:tcMar>
              <w:top w:w="0" w:type="dxa"/>
              <w:left w:w="108" w:type="dxa"/>
              <w:bottom w:w="0" w:type="dxa"/>
              <w:right w:w="108" w:type="dxa"/>
            </w:tcMar>
            <w:vAlign w:val="center"/>
            <w:hideMark/>
          </w:tcPr>
          <w:p w:rsidR="002675D9" w:rsidRPr="00734D84" w:rsidRDefault="002675D9" w:rsidP="00A21F58">
            <w:pPr>
              <w:spacing w:after="0"/>
              <w:ind w:firstLine="0"/>
              <w:jc w:val="left"/>
              <w:rPr>
                <w:sz w:val="24"/>
                <w:szCs w:val="24"/>
                <w:lang w:val="es-ES" w:eastAsia="es-ES"/>
              </w:rPr>
            </w:pPr>
            <w:r w:rsidRPr="00734D84">
              <w:rPr>
                <w:rFonts w:ascii="Arial" w:hAnsi="Arial" w:cs="Arial"/>
                <w:sz w:val="18"/>
                <w:szCs w:val="18"/>
                <w:lang w:val="es-ES" w:eastAsia="es-ES"/>
              </w:rPr>
              <w:t xml:space="preserve">Total subvenciones </w:t>
            </w:r>
            <w:r>
              <w:rPr>
                <w:rFonts w:ascii="Arial" w:hAnsi="Arial" w:cs="Arial"/>
                <w:sz w:val="18"/>
                <w:szCs w:val="18"/>
                <w:lang w:val="es-ES" w:eastAsia="es-ES"/>
              </w:rPr>
              <w:t>F</w:t>
            </w:r>
            <w:r w:rsidRPr="00734D84">
              <w:rPr>
                <w:rFonts w:ascii="Arial" w:hAnsi="Arial" w:cs="Arial"/>
                <w:sz w:val="18"/>
                <w:szCs w:val="18"/>
                <w:lang w:val="es-ES" w:eastAsia="es-ES"/>
              </w:rPr>
              <w:t>undación 2005-2015</w:t>
            </w:r>
          </w:p>
        </w:tc>
        <w:tc>
          <w:tcPr>
            <w:tcW w:w="0" w:type="auto"/>
            <w:tcBorders>
              <w:top w:val="nil"/>
              <w:left w:val="nil"/>
              <w:bottom w:val="single" w:sz="8" w:space="0" w:color="auto"/>
              <w:right w:val="nil"/>
            </w:tcBorders>
            <w:shd w:val="clear" w:color="auto" w:fill="A8CBEE" w:themeFill="accent2" w:themeFillTint="66"/>
            <w:noWrap/>
            <w:tcMar>
              <w:top w:w="0" w:type="dxa"/>
              <w:left w:w="108" w:type="dxa"/>
              <w:bottom w:w="0" w:type="dxa"/>
              <w:right w:w="108" w:type="dxa"/>
            </w:tcMar>
            <w:vAlign w:val="center"/>
            <w:hideMark/>
          </w:tcPr>
          <w:p w:rsidR="002675D9" w:rsidRPr="00734D84" w:rsidRDefault="002675D9" w:rsidP="00734D84">
            <w:pPr>
              <w:spacing w:after="0"/>
              <w:ind w:firstLine="0"/>
              <w:jc w:val="right"/>
              <w:rPr>
                <w:sz w:val="24"/>
                <w:szCs w:val="24"/>
                <w:lang w:val="es-ES" w:eastAsia="es-ES"/>
              </w:rPr>
            </w:pPr>
            <w:r w:rsidRPr="00734D84">
              <w:rPr>
                <w:rFonts w:ascii="Arial" w:hAnsi="Arial" w:cs="Arial"/>
                <w:sz w:val="18"/>
                <w:szCs w:val="18"/>
                <w:lang w:val="es-ES" w:eastAsia="es-ES"/>
              </w:rPr>
              <w:t>2.116.813</w:t>
            </w:r>
          </w:p>
        </w:tc>
      </w:tr>
    </w:tbl>
    <w:p w:rsidR="00072967" w:rsidRDefault="00072967" w:rsidP="00FF4AA3">
      <w:pPr>
        <w:pStyle w:val="texto"/>
        <w:ind w:firstLine="0"/>
        <w:rPr>
          <w:szCs w:val="26"/>
        </w:rPr>
      </w:pPr>
    </w:p>
    <w:p w:rsidR="00862228" w:rsidRDefault="00862228" w:rsidP="00FF4AA3">
      <w:pPr>
        <w:pStyle w:val="texto"/>
        <w:spacing w:before="120" w:after="240"/>
        <w:ind w:left="646" w:firstLine="0"/>
        <w:jc w:val="center"/>
        <w:rPr>
          <w:szCs w:val="26"/>
        </w:rPr>
      </w:pPr>
      <w:r>
        <w:rPr>
          <w:szCs w:val="26"/>
        </w:rPr>
        <w:t>Ayuntamiento de Pamplona</w:t>
      </w:r>
    </w:p>
    <w:tbl>
      <w:tblPr>
        <w:tblW w:w="8914" w:type="dxa"/>
        <w:jc w:val="center"/>
        <w:tblCellSpacing w:w="0" w:type="dxa"/>
        <w:tblInd w:w="-343" w:type="dxa"/>
        <w:tblCellMar>
          <w:left w:w="0" w:type="dxa"/>
          <w:right w:w="0" w:type="dxa"/>
        </w:tblCellMar>
        <w:tblLook w:val="04A0" w:firstRow="1" w:lastRow="0" w:firstColumn="1" w:lastColumn="0" w:noHBand="0" w:noVBand="1"/>
      </w:tblPr>
      <w:tblGrid>
        <w:gridCol w:w="7038"/>
        <w:gridCol w:w="1876"/>
      </w:tblGrid>
      <w:tr w:rsidR="00A21F58" w:rsidRPr="00734D84" w:rsidTr="00FF4AA3">
        <w:trPr>
          <w:trHeight w:val="255"/>
          <w:tblCellSpacing w:w="0" w:type="dxa"/>
          <w:jc w:val="center"/>
        </w:trPr>
        <w:tc>
          <w:tcPr>
            <w:tcW w:w="7038" w:type="dxa"/>
            <w:tcBorders>
              <w:top w:val="single" w:sz="8" w:space="0" w:color="auto"/>
              <w:left w:val="nil"/>
              <w:bottom w:val="single" w:sz="8" w:space="0" w:color="auto"/>
              <w:right w:val="nil"/>
            </w:tcBorders>
            <w:shd w:val="clear" w:color="auto" w:fill="A8CBEE" w:themeFill="accent2" w:themeFillTint="66"/>
            <w:noWrap/>
            <w:tcMar>
              <w:top w:w="0" w:type="dxa"/>
              <w:left w:w="108" w:type="dxa"/>
              <w:bottom w:w="0" w:type="dxa"/>
              <w:right w:w="108" w:type="dxa"/>
            </w:tcMar>
            <w:vAlign w:val="center"/>
            <w:hideMark/>
          </w:tcPr>
          <w:p w:rsidR="00A21F58" w:rsidRPr="00734D84" w:rsidRDefault="00A21F58" w:rsidP="00A21F58">
            <w:pPr>
              <w:spacing w:after="0"/>
              <w:ind w:firstLine="0"/>
              <w:jc w:val="left"/>
              <w:rPr>
                <w:sz w:val="24"/>
                <w:szCs w:val="24"/>
                <w:lang w:val="es-ES" w:eastAsia="es-ES"/>
              </w:rPr>
            </w:pPr>
            <w:bookmarkStart w:id="14" w:name="_Toc423419507"/>
            <w:r>
              <w:rPr>
                <w:rFonts w:ascii="Arial" w:hAnsi="Arial" w:cs="Arial"/>
                <w:sz w:val="18"/>
                <w:szCs w:val="18"/>
                <w:lang w:val="es-ES" w:eastAsia="es-ES"/>
              </w:rPr>
              <w:t xml:space="preserve">Ayuntamiento de Pamplona- </w:t>
            </w:r>
            <w:r w:rsidRPr="00734D84">
              <w:rPr>
                <w:rFonts w:ascii="Arial" w:hAnsi="Arial" w:cs="Arial"/>
                <w:sz w:val="18"/>
                <w:szCs w:val="18"/>
                <w:lang w:val="es-ES" w:eastAsia="es-ES"/>
              </w:rPr>
              <w:t>Subvenciones</w:t>
            </w:r>
            <w:r>
              <w:rPr>
                <w:rFonts w:ascii="Arial" w:hAnsi="Arial" w:cs="Arial"/>
                <w:sz w:val="18"/>
                <w:szCs w:val="18"/>
                <w:lang w:val="es-ES" w:eastAsia="es-ES"/>
              </w:rPr>
              <w:t xml:space="preserve"> </w:t>
            </w:r>
            <w:r w:rsidRPr="00734D84">
              <w:rPr>
                <w:rFonts w:ascii="Arial" w:hAnsi="Arial" w:cs="Arial"/>
                <w:sz w:val="18"/>
                <w:szCs w:val="18"/>
                <w:lang w:val="es-ES" w:eastAsia="es-ES"/>
              </w:rPr>
              <w:t>Fundación Induráin</w:t>
            </w:r>
          </w:p>
        </w:tc>
        <w:tc>
          <w:tcPr>
            <w:tcW w:w="1876" w:type="dxa"/>
            <w:tcBorders>
              <w:top w:val="single" w:sz="8" w:space="0" w:color="auto"/>
              <w:left w:val="nil"/>
              <w:bottom w:val="single" w:sz="8" w:space="0" w:color="auto"/>
              <w:right w:val="nil"/>
            </w:tcBorders>
            <w:shd w:val="clear" w:color="auto" w:fill="A8CBEE" w:themeFill="accent2" w:themeFillTint="66"/>
            <w:noWrap/>
            <w:tcMar>
              <w:top w:w="0" w:type="dxa"/>
              <w:left w:w="108" w:type="dxa"/>
              <w:bottom w:w="0" w:type="dxa"/>
              <w:right w:w="108" w:type="dxa"/>
            </w:tcMar>
            <w:vAlign w:val="center"/>
            <w:hideMark/>
          </w:tcPr>
          <w:p w:rsidR="00A21F58" w:rsidRPr="00734D84" w:rsidRDefault="00A21F58" w:rsidP="00385FDA">
            <w:pPr>
              <w:spacing w:after="0"/>
              <w:ind w:firstLine="0"/>
              <w:jc w:val="right"/>
              <w:rPr>
                <w:sz w:val="24"/>
                <w:szCs w:val="24"/>
                <w:lang w:val="es-ES" w:eastAsia="es-ES"/>
              </w:rPr>
            </w:pPr>
            <w:r>
              <w:rPr>
                <w:rFonts w:ascii="Arial" w:hAnsi="Arial" w:cs="Arial"/>
                <w:sz w:val="18"/>
                <w:szCs w:val="18"/>
                <w:lang w:val="es-ES" w:eastAsia="es-ES"/>
              </w:rPr>
              <w:t>Importe abonado</w:t>
            </w:r>
          </w:p>
        </w:tc>
      </w:tr>
      <w:tr w:rsidR="00A21F58" w:rsidRPr="00734D84" w:rsidTr="00FF4AA3">
        <w:trPr>
          <w:trHeight w:val="255"/>
          <w:tblCellSpacing w:w="0" w:type="dxa"/>
          <w:jc w:val="center"/>
        </w:trPr>
        <w:tc>
          <w:tcPr>
            <w:tcW w:w="7038"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A21F58" w:rsidRPr="00734D84" w:rsidRDefault="00A21F58" w:rsidP="00385FDA">
            <w:pPr>
              <w:spacing w:after="0"/>
              <w:ind w:firstLine="0"/>
              <w:jc w:val="left"/>
              <w:rPr>
                <w:sz w:val="24"/>
                <w:szCs w:val="24"/>
                <w:lang w:val="es-ES" w:eastAsia="es-ES"/>
              </w:rPr>
            </w:pPr>
            <w:r w:rsidRPr="00734D84">
              <w:rPr>
                <w:rFonts w:ascii="Arial Narrow" w:hAnsi="Arial Narrow"/>
                <w:lang w:val="es-ES" w:eastAsia="es-ES"/>
              </w:rPr>
              <w:t>2005</w:t>
            </w:r>
          </w:p>
        </w:tc>
        <w:tc>
          <w:tcPr>
            <w:tcW w:w="1876" w:type="dxa"/>
            <w:tcBorders>
              <w:top w:val="nil"/>
              <w:left w:val="nil"/>
              <w:bottom w:val="single" w:sz="8" w:space="0" w:color="auto"/>
              <w:right w:val="nil"/>
            </w:tcBorders>
            <w:shd w:val="clear" w:color="auto" w:fill="auto"/>
            <w:noWrap/>
            <w:tcMar>
              <w:top w:w="0" w:type="dxa"/>
              <w:left w:w="108" w:type="dxa"/>
              <w:bottom w:w="0" w:type="dxa"/>
              <w:right w:w="108" w:type="dxa"/>
            </w:tcMar>
            <w:vAlign w:val="center"/>
          </w:tcPr>
          <w:p w:rsidR="00A21F58" w:rsidRPr="00A21F58" w:rsidRDefault="00A21F58" w:rsidP="00385FDA">
            <w:pPr>
              <w:spacing w:after="0"/>
              <w:ind w:firstLine="0"/>
              <w:jc w:val="right"/>
              <w:rPr>
                <w:rFonts w:ascii="Arial Narrow" w:hAnsi="Arial Narrow"/>
                <w:lang w:val="es-ES" w:eastAsia="es-ES"/>
              </w:rPr>
            </w:pPr>
            <w:r w:rsidRPr="00A21F58">
              <w:rPr>
                <w:rFonts w:ascii="Arial Narrow" w:hAnsi="Arial Narrow"/>
                <w:lang w:val="es-ES" w:eastAsia="es-ES"/>
              </w:rPr>
              <w:t>35.205</w:t>
            </w:r>
          </w:p>
        </w:tc>
      </w:tr>
      <w:tr w:rsidR="00A21F58" w:rsidRPr="00734D84" w:rsidTr="00FF4AA3">
        <w:trPr>
          <w:trHeight w:val="255"/>
          <w:tblCellSpacing w:w="0" w:type="dxa"/>
          <w:jc w:val="center"/>
        </w:trPr>
        <w:tc>
          <w:tcPr>
            <w:tcW w:w="7038"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A21F58" w:rsidRPr="00734D84" w:rsidRDefault="00A21F58" w:rsidP="00385FDA">
            <w:pPr>
              <w:spacing w:after="0"/>
              <w:ind w:firstLine="0"/>
              <w:jc w:val="left"/>
              <w:rPr>
                <w:sz w:val="24"/>
                <w:szCs w:val="24"/>
                <w:lang w:val="es-ES" w:eastAsia="es-ES"/>
              </w:rPr>
            </w:pPr>
            <w:r w:rsidRPr="00734D84">
              <w:rPr>
                <w:rFonts w:ascii="Arial Narrow" w:hAnsi="Arial Narrow"/>
                <w:lang w:val="es-ES" w:eastAsia="es-ES"/>
              </w:rPr>
              <w:t>2006</w:t>
            </w:r>
          </w:p>
        </w:tc>
        <w:tc>
          <w:tcPr>
            <w:tcW w:w="1876" w:type="dxa"/>
            <w:tcBorders>
              <w:top w:val="nil"/>
              <w:left w:val="nil"/>
              <w:bottom w:val="single" w:sz="8" w:space="0" w:color="auto"/>
              <w:right w:val="nil"/>
            </w:tcBorders>
            <w:shd w:val="clear" w:color="auto" w:fill="auto"/>
            <w:noWrap/>
            <w:tcMar>
              <w:top w:w="0" w:type="dxa"/>
              <w:left w:w="108" w:type="dxa"/>
              <w:bottom w:w="0" w:type="dxa"/>
              <w:right w:w="108" w:type="dxa"/>
            </w:tcMar>
            <w:vAlign w:val="center"/>
          </w:tcPr>
          <w:p w:rsidR="00A21F58" w:rsidRPr="00A21F58" w:rsidRDefault="00A21F58" w:rsidP="00385FDA">
            <w:pPr>
              <w:spacing w:after="0"/>
              <w:ind w:firstLine="0"/>
              <w:jc w:val="right"/>
              <w:rPr>
                <w:rFonts w:ascii="Arial Narrow" w:hAnsi="Arial Narrow"/>
                <w:lang w:val="es-ES" w:eastAsia="es-ES"/>
              </w:rPr>
            </w:pPr>
            <w:r w:rsidRPr="00A21F58">
              <w:rPr>
                <w:rFonts w:ascii="Arial Narrow" w:hAnsi="Arial Narrow"/>
                <w:lang w:val="es-ES" w:eastAsia="es-ES"/>
              </w:rPr>
              <w:t>36.500</w:t>
            </w:r>
          </w:p>
        </w:tc>
      </w:tr>
      <w:tr w:rsidR="00A21F58" w:rsidRPr="00734D84" w:rsidTr="00FF4AA3">
        <w:trPr>
          <w:trHeight w:val="255"/>
          <w:tblCellSpacing w:w="0" w:type="dxa"/>
          <w:jc w:val="center"/>
        </w:trPr>
        <w:tc>
          <w:tcPr>
            <w:tcW w:w="7038"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A21F58" w:rsidRPr="00734D84" w:rsidRDefault="00A21F58" w:rsidP="00385FDA">
            <w:pPr>
              <w:spacing w:after="0"/>
              <w:ind w:firstLine="0"/>
              <w:jc w:val="left"/>
              <w:rPr>
                <w:sz w:val="24"/>
                <w:szCs w:val="24"/>
                <w:lang w:val="es-ES" w:eastAsia="es-ES"/>
              </w:rPr>
            </w:pPr>
            <w:r w:rsidRPr="00734D84">
              <w:rPr>
                <w:rFonts w:ascii="Arial Narrow" w:hAnsi="Arial Narrow"/>
                <w:lang w:val="es-ES" w:eastAsia="es-ES"/>
              </w:rPr>
              <w:t>2007</w:t>
            </w:r>
          </w:p>
        </w:tc>
        <w:tc>
          <w:tcPr>
            <w:tcW w:w="1876" w:type="dxa"/>
            <w:tcBorders>
              <w:top w:val="nil"/>
              <w:left w:val="nil"/>
              <w:bottom w:val="single" w:sz="8" w:space="0" w:color="auto"/>
              <w:right w:val="nil"/>
            </w:tcBorders>
            <w:shd w:val="clear" w:color="auto" w:fill="auto"/>
            <w:noWrap/>
            <w:tcMar>
              <w:top w:w="0" w:type="dxa"/>
              <w:left w:w="108" w:type="dxa"/>
              <w:bottom w:w="0" w:type="dxa"/>
              <w:right w:w="108" w:type="dxa"/>
            </w:tcMar>
            <w:vAlign w:val="center"/>
          </w:tcPr>
          <w:p w:rsidR="00A21F58" w:rsidRPr="00A21F58" w:rsidRDefault="00A21F58" w:rsidP="00385FDA">
            <w:pPr>
              <w:spacing w:after="0"/>
              <w:ind w:firstLine="0"/>
              <w:jc w:val="right"/>
              <w:rPr>
                <w:rFonts w:ascii="Arial Narrow" w:hAnsi="Arial Narrow"/>
                <w:lang w:val="es-ES" w:eastAsia="es-ES"/>
              </w:rPr>
            </w:pPr>
            <w:r w:rsidRPr="00A21F58">
              <w:rPr>
                <w:rFonts w:ascii="Arial Narrow" w:hAnsi="Arial Narrow"/>
                <w:lang w:val="es-ES" w:eastAsia="es-ES"/>
              </w:rPr>
              <w:t>38.000</w:t>
            </w:r>
          </w:p>
        </w:tc>
      </w:tr>
      <w:tr w:rsidR="00A21F58" w:rsidRPr="00734D84" w:rsidTr="00FF4AA3">
        <w:trPr>
          <w:trHeight w:val="255"/>
          <w:tblCellSpacing w:w="0" w:type="dxa"/>
          <w:jc w:val="center"/>
        </w:trPr>
        <w:tc>
          <w:tcPr>
            <w:tcW w:w="7038"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A21F58" w:rsidRPr="00734D84" w:rsidRDefault="00A21F58" w:rsidP="00385FDA">
            <w:pPr>
              <w:spacing w:after="0"/>
              <w:ind w:firstLine="0"/>
              <w:jc w:val="left"/>
              <w:rPr>
                <w:sz w:val="24"/>
                <w:szCs w:val="24"/>
                <w:lang w:val="es-ES" w:eastAsia="es-ES"/>
              </w:rPr>
            </w:pPr>
            <w:r w:rsidRPr="00734D84">
              <w:rPr>
                <w:rFonts w:ascii="Arial Narrow" w:hAnsi="Arial Narrow"/>
                <w:lang w:val="es-ES" w:eastAsia="es-ES"/>
              </w:rPr>
              <w:t>2008</w:t>
            </w:r>
          </w:p>
        </w:tc>
        <w:tc>
          <w:tcPr>
            <w:tcW w:w="1876" w:type="dxa"/>
            <w:tcBorders>
              <w:top w:val="nil"/>
              <w:left w:val="nil"/>
              <w:bottom w:val="single" w:sz="8" w:space="0" w:color="auto"/>
              <w:right w:val="nil"/>
            </w:tcBorders>
            <w:shd w:val="clear" w:color="auto" w:fill="auto"/>
            <w:noWrap/>
            <w:tcMar>
              <w:top w:w="0" w:type="dxa"/>
              <w:left w:w="108" w:type="dxa"/>
              <w:bottom w:w="0" w:type="dxa"/>
              <w:right w:w="108" w:type="dxa"/>
            </w:tcMar>
            <w:vAlign w:val="center"/>
          </w:tcPr>
          <w:p w:rsidR="00A21F58" w:rsidRPr="00A21F58" w:rsidRDefault="00A21F58" w:rsidP="00385FDA">
            <w:pPr>
              <w:spacing w:after="0"/>
              <w:ind w:firstLine="0"/>
              <w:jc w:val="right"/>
              <w:rPr>
                <w:rFonts w:ascii="Arial Narrow" w:hAnsi="Arial Narrow"/>
                <w:lang w:val="es-ES" w:eastAsia="es-ES"/>
              </w:rPr>
            </w:pPr>
            <w:r w:rsidRPr="00A21F58">
              <w:rPr>
                <w:rFonts w:ascii="Arial Narrow" w:hAnsi="Arial Narrow"/>
                <w:lang w:val="es-ES" w:eastAsia="es-ES"/>
              </w:rPr>
              <w:t>38.000</w:t>
            </w:r>
          </w:p>
        </w:tc>
      </w:tr>
      <w:tr w:rsidR="00A21F58" w:rsidRPr="00734D84" w:rsidTr="00FF4AA3">
        <w:trPr>
          <w:trHeight w:val="255"/>
          <w:tblCellSpacing w:w="0" w:type="dxa"/>
          <w:jc w:val="center"/>
        </w:trPr>
        <w:tc>
          <w:tcPr>
            <w:tcW w:w="7038"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A21F58" w:rsidRPr="00734D84" w:rsidRDefault="00A21F58" w:rsidP="00385FDA">
            <w:pPr>
              <w:spacing w:after="0"/>
              <w:ind w:firstLine="0"/>
              <w:jc w:val="left"/>
              <w:rPr>
                <w:sz w:val="24"/>
                <w:szCs w:val="24"/>
                <w:lang w:val="es-ES" w:eastAsia="es-ES"/>
              </w:rPr>
            </w:pPr>
            <w:r w:rsidRPr="00734D84">
              <w:rPr>
                <w:rFonts w:ascii="Arial Narrow" w:hAnsi="Arial Narrow"/>
                <w:lang w:val="es-ES" w:eastAsia="es-ES"/>
              </w:rPr>
              <w:t>2009</w:t>
            </w:r>
          </w:p>
        </w:tc>
        <w:tc>
          <w:tcPr>
            <w:tcW w:w="1876" w:type="dxa"/>
            <w:tcBorders>
              <w:top w:val="nil"/>
              <w:left w:val="nil"/>
              <w:bottom w:val="single" w:sz="8" w:space="0" w:color="auto"/>
              <w:right w:val="nil"/>
            </w:tcBorders>
            <w:shd w:val="clear" w:color="auto" w:fill="auto"/>
            <w:noWrap/>
            <w:tcMar>
              <w:top w:w="0" w:type="dxa"/>
              <w:left w:w="108" w:type="dxa"/>
              <w:bottom w:w="0" w:type="dxa"/>
              <w:right w:w="108" w:type="dxa"/>
            </w:tcMar>
            <w:vAlign w:val="center"/>
          </w:tcPr>
          <w:p w:rsidR="00A21F58" w:rsidRPr="00A21F58" w:rsidRDefault="00A21F58" w:rsidP="00385FDA">
            <w:pPr>
              <w:spacing w:after="0"/>
              <w:ind w:firstLine="0"/>
              <w:jc w:val="right"/>
              <w:rPr>
                <w:rFonts w:ascii="Arial Narrow" w:hAnsi="Arial Narrow"/>
                <w:lang w:val="es-ES" w:eastAsia="es-ES"/>
              </w:rPr>
            </w:pPr>
            <w:r w:rsidRPr="00A21F58">
              <w:rPr>
                <w:rFonts w:ascii="Arial Narrow" w:hAnsi="Arial Narrow"/>
                <w:lang w:val="es-ES" w:eastAsia="es-ES"/>
              </w:rPr>
              <w:t>38.000</w:t>
            </w:r>
          </w:p>
        </w:tc>
      </w:tr>
      <w:tr w:rsidR="00A21F58" w:rsidRPr="00734D84" w:rsidTr="00FF4AA3">
        <w:trPr>
          <w:trHeight w:val="255"/>
          <w:tblCellSpacing w:w="0" w:type="dxa"/>
          <w:jc w:val="center"/>
        </w:trPr>
        <w:tc>
          <w:tcPr>
            <w:tcW w:w="7038"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A21F58" w:rsidRPr="00734D84" w:rsidRDefault="00A21F58" w:rsidP="00385FDA">
            <w:pPr>
              <w:spacing w:after="0"/>
              <w:ind w:firstLine="0"/>
              <w:jc w:val="left"/>
              <w:rPr>
                <w:sz w:val="24"/>
                <w:szCs w:val="24"/>
                <w:lang w:val="es-ES" w:eastAsia="es-ES"/>
              </w:rPr>
            </w:pPr>
            <w:r w:rsidRPr="00734D84">
              <w:rPr>
                <w:rFonts w:ascii="Arial Narrow" w:hAnsi="Arial Narrow"/>
                <w:lang w:val="es-ES" w:eastAsia="es-ES"/>
              </w:rPr>
              <w:t>2010</w:t>
            </w:r>
          </w:p>
        </w:tc>
        <w:tc>
          <w:tcPr>
            <w:tcW w:w="1876" w:type="dxa"/>
            <w:tcBorders>
              <w:top w:val="nil"/>
              <w:left w:val="nil"/>
              <w:bottom w:val="single" w:sz="8" w:space="0" w:color="auto"/>
              <w:right w:val="nil"/>
            </w:tcBorders>
            <w:shd w:val="clear" w:color="auto" w:fill="auto"/>
            <w:noWrap/>
            <w:tcMar>
              <w:top w:w="0" w:type="dxa"/>
              <w:left w:w="108" w:type="dxa"/>
              <w:bottom w:w="0" w:type="dxa"/>
              <w:right w:w="108" w:type="dxa"/>
            </w:tcMar>
            <w:vAlign w:val="center"/>
          </w:tcPr>
          <w:p w:rsidR="00A21F58" w:rsidRPr="00A21F58" w:rsidRDefault="00A21F58" w:rsidP="00385FDA">
            <w:pPr>
              <w:spacing w:after="0"/>
              <w:ind w:firstLine="0"/>
              <w:jc w:val="right"/>
              <w:rPr>
                <w:rFonts w:ascii="Arial Narrow" w:hAnsi="Arial Narrow"/>
                <w:lang w:val="es-ES" w:eastAsia="es-ES"/>
              </w:rPr>
            </w:pPr>
            <w:r w:rsidRPr="00A21F58">
              <w:rPr>
                <w:rFonts w:ascii="Arial Narrow" w:hAnsi="Arial Narrow"/>
                <w:lang w:val="es-ES" w:eastAsia="es-ES"/>
              </w:rPr>
              <w:t>38.000</w:t>
            </w:r>
          </w:p>
        </w:tc>
      </w:tr>
      <w:tr w:rsidR="00A21F58" w:rsidRPr="00734D84" w:rsidTr="00FF4AA3">
        <w:trPr>
          <w:trHeight w:val="255"/>
          <w:tblCellSpacing w:w="0" w:type="dxa"/>
          <w:jc w:val="center"/>
        </w:trPr>
        <w:tc>
          <w:tcPr>
            <w:tcW w:w="7038"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A21F58" w:rsidRPr="00734D84" w:rsidRDefault="00A21F58" w:rsidP="00385FDA">
            <w:pPr>
              <w:spacing w:after="0"/>
              <w:ind w:firstLine="0"/>
              <w:jc w:val="left"/>
              <w:rPr>
                <w:sz w:val="24"/>
                <w:szCs w:val="24"/>
                <w:lang w:val="es-ES" w:eastAsia="es-ES"/>
              </w:rPr>
            </w:pPr>
            <w:r w:rsidRPr="00734D84">
              <w:rPr>
                <w:rFonts w:ascii="Arial Narrow" w:hAnsi="Arial Narrow"/>
                <w:lang w:val="es-ES" w:eastAsia="es-ES"/>
              </w:rPr>
              <w:t>2011</w:t>
            </w:r>
          </w:p>
        </w:tc>
        <w:tc>
          <w:tcPr>
            <w:tcW w:w="1876" w:type="dxa"/>
            <w:tcBorders>
              <w:top w:val="nil"/>
              <w:left w:val="nil"/>
              <w:bottom w:val="single" w:sz="8" w:space="0" w:color="auto"/>
              <w:right w:val="nil"/>
            </w:tcBorders>
            <w:shd w:val="clear" w:color="auto" w:fill="auto"/>
            <w:noWrap/>
            <w:tcMar>
              <w:top w:w="0" w:type="dxa"/>
              <w:left w:w="108" w:type="dxa"/>
              <w:bottom w:w="0" w:type="dxa"/>
              <w:right w:w="108" w:type="dxa"/>
            </w:tcMar>
            <w:vAlign w:val="center"/>
          </w:tcPr>
          <w:p w:rsidR="00A21F58" w:rsidRPr="00A21F58" w:rsidRDefault="00A21F58" w:rsidP="00385FDA">
            <w:pPr>
              <w:spacing w:after="0"/>
              <w:ind w:firstLine="0"/>
              <w:jc w:val="right"/>
              <w:rPr>
                <w:rFonts w:ascii="Arial Narrow" w:hAnsi="Arial Narrow"/>
                <w:lang w:val="es-ES" w:eastAsia="es-ES"/>
              </w:rPr>
            </w:pPr>
            <w:r w:rsidRPr="00A21F58">
              <w:rPr>
                <w:rFonts w:ascii="Arial Narrow" w:hAnsi="Arial Narrow"/>
                <w:lang w:val="es-ES" w:eastAsia="es-ES"/>
              </w:rPr>
              <w:t>38.000</w:t>
            </w:r>
          </w:p>
        </w:tc>
      </w:tr>
      <w:tr w:rsidR="00A21F58" w:rsidRPr="00734D84" w:rsidTr="00FF4AA3">
        <w:trPr>
          <w:trHeight w:val="255"/>
          <w:tblCellSpacing w:w="0" w:type="dxa"/>
          <w:jc w:val="center"/>
        </w:trPr>
        <w:tc>
          <w:tcPr>
            <w:tcW w:w="7038"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A21F58" w:rsidRPr="00734D84" w:rsidRDefault="00A21F58" w:rsidP="00385FDA">
            <w:pPr>
              <w:spacing w:after="0"/>
              <w:ind w:firstLine="0"/>
              <w:jc w:val="left"/>
              <w:rPr>
                <w:sz w:val="24"/>
                <w:szCs w:val="24"/>
                <w:lang w:val="es-ES" w:eastAsia="es-ES"/>
              </w:rPr>
            </w:pPr>
            <w:r w:rsidRPr="00734D84">
              <w:rPr>
                <w:rFonts w:ascii="Arial Narrow" w:hAnsi="Arial Narrow"/>
                <w:lang w:val="es-ES" w:eastAsia="es-ES"/>
              </w:rPr>
              <w:t>2012</w:t>
            </w:r>
          </w:p>
        </w:tc>
        <w:tc>
          <w:tcPr>
            <w:tcW w:w="1876" w:type="dxa"/>
            <w:tcBorders>
              <w:top w:val="nil"/>
              <w:left w:val="nil"/>
              <w:bottom w:val="single" w:sz="8" w:space="0" w:color="auto"/>
              <w:right w:val="nil"/>
            </w:tcBorders>
            <w:shd w:val="clear" w:color="auto" w:fill="auto"/>
            <w:noWrap/>
            <w:tcMar>
              <w:top w:w="0" w:type="dxa"/>
              <w:left w:w="108" w:type="dxa"/>
              <w:bottom w:w="0" w:type="dxa"/>
              <w:right w:w="108" w:type="dxa"/>
            </w:tcMar>
            <w:vAlign w:val="center"/>
          </w:tcPr>
          <w:p w:rsidR="00A21F58" w:rsidRPr="00A21F58" w:rsidRDefault="00A21F58" w:rsidP="00385FDA">
            <w:pPr>
              <w:spacing w:after="0"/>
              <w:ind w:firstLine="0"/>
              <w:jc w:val="right"/>
              <w:rPr>
                <w:rFonts w:ascii="Arial Narrow" w:hAnsi="Arial Narrow"/>
                <w:lang w:val="es-ES" w:eastAsia="es-ES"/>
              </w:rPr>
            </w:pPr>
            <w:r w:rsidRPr="00A21F58">
              <w:rPr>
                <w:rFonts w:ascii="Arial Narrow" w:hAnsi="Arial Narrow"/>
                <w:lang w:val="es-ES" w:eastAsia="es-ES"/>
              </w:rPr>
              <w:t>30.400</w:t>
            </w:r>
          </w:p>
        </w:tc>
      </w:tr>
      <w:tr w:rsidR="00A21F58" w:rsidRPr="00734D84" w:rsidTr="00FF4AA3">
        <w:trPr>
          <w:trHeight w:val="255"/>
          <w:tblCellSpacing w:w="0" w:type="dxa"/>
          <w:jc w:val="center"/>
        </w:trPr>
        <w:tc>
          <w:tcPr>
            <w:tcW w:w="7038"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A21F58" w:rsidRPr="00734D84" w:rsidRDefault="00A21F58" w:rsidP="00A21F58">
            <w:pPr>
              <w:spacing w:after="0"/>
              <w:ind w:firstLine="0"/>
              <w:jc w:val="left"/>
              <w:rPr>
                <w:sz w:val="24"/>
                <w:szCs w:val="24"/>
                <w:lang w:val="es-ES" w:eastAsia="es-ES"/>
              </w:rPr>
            </w:pPr>
            <w:r w:rsidRPr="00734D84">
              <w:rPr>
                <w:rFonts w:ascii="Arial Narrow" w:hAnsi="Arial Narrow"/>
                <w:lang w:val="es-ES" w:eastAsia="es-ES"/>
              </w:rPr>
              <w:t xml:space="preserve">2013 </w:t>
            </w:r>
          </w:p>
        </w:tc>
        <w:tc>
          <w:tcPr>
            <w:tcW w:w="1876" w:type="dxa"/>
            <w:tcBorders>
              <w:top w:val="nil"/>
              <w:left w:val="nil"/>
              <w:bottom w:val="single" w:sz="8" w:space="0" w:color="auto"/>
              <w:right w:val="nil"/>
            </w:tcBorders>
            <w:shd w:val="clear" w:color="auto" w:fill="auto"/>
            <w:noWrap/>
            <w:tcMar>
              <w:top w:w="0" w:type="dxa"/>
              <w:left w:w="108" w:type="dxa"/>
              <w:bottom w:w="0" w:type="dxa"/>
              <w:right w:w="108" w:type="dxa"/>
            </w:tcMar>
            <w:vAlign w:val="center"/>
          </w:tcPr>
          <w:p w:rsidR="00A21F58" w:rsidRPr="00A21F58" w:rsidRDefault="00A21F58" w:rsidP="00385FDA">
            <w:pPr>
              <w:spacing w:after="0"/>
              <w:ind w:firstLine="0"/>
              <w:jc w:val="right"/>
              <w:rPr>
                <w:rFonts w:ascii="Arial Narrow" w:hAnsi="Arial Narrow"/>
                <w:lang w:val="es-ES" w:eastAsia="es-ES"/>
              </w:rPr>
            </w:pPr>
            <w:r w:rsidRPr="00A21F58">
              <w:rPr>
                <w:rFonts w:ascii="Arial Narrow" w:hAnsi="Arial Narrow"/>
                <w:lang w:val="es-ES" w:eastAsia="es-ES"/>
              </w:rPr>
              <w:t>30.400</w:t>
            </w:r>
          </w:p>
        </w:tc>
      </w:tr>
      <w:tr w:rsidR="00A21F58" w:rsidRPr="00734D84" w:rsidTr="00FF4AA3">
        <w:trPr>
          <w:trHeight w:val="255"/>
          <w:tblCellSpacing w:w="0" w:type="dxa"/>
          <w:jc w:val="center"/>
        </w:trPr>
        <w:tc>
          <w:tcPr>
            <w:tcW w:w="7038"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A21F58" w:rsidRPr="00734D84" w:rsidRDefault="00A21F58" w:rsidP="00385FDA">
            <w:pPr>
              <w:spacing w:after="0"/>
              <w:ind w:firstLine="0"/>
              <w:jc w:val="left"/>
              <w:rPr>
                <w:sz w:val="24"/>
                <w:szCs w:val="24"/>
                <w:lang w:val="es-ES" w:eastAsia="es-ES"/>
              </w:rPr>
            </w:pPr>
            <w:r w:rsidRPr="00734D84">
              <w:rPr>
                <w:rFonts w:ascii="Arial Narrow" w:hAnsi="Arial Narrow"/>
                <w:lang w:val="es-ES" w:eastAsia="es-ES"/>
              </w:rPr>
              <w:t xml:space="preserve">2014 </w:t>
            </w:r>
          </w:p>
        </w:tc>
        <w:tc>
          <w:tcPr>
            <w:tcW w:w="1876" w:type="dxa"/>
            <w:tcBorders>
              <w:top w:val="nil"/>
              <w:left w:val="nil"/>
              <w:bottom w:val="single" w:sz="8" w:space="0" w:color="auto"/>
              <w:right w:val="nil"/>
            </w:tcBorders>
            <w:shd w:val="clear" w:color="auto" w:fill="auto"/>
            <w:noWrap/>
            <w:tcMar>
              <w:top w:w="0" w:type="dxa"/>
              <w:left w:w="108" w:type="dxa"/>
              <w:bottom w:w="0" w:type="dxa"/>
              <w:right w:w="108" w:type="dxa"/>
            </w:tcMar>
            <w:vAlign w:val="center"/>
          </w:tcPr>
          <w:p w:rsidR="00A21F58" w:rsidRPr="00A21F58" w:rsidRDefault="00A21F58" w:rsidP="00385FDA">
            <w:pPr>
              <w:spacing w:after="0"/>
              <w:ind w:firstLine="0"/>
              <w:jc w:val="right"/>
              <w:rPr>
                <w:rFonts w:ascii="Arial Narrow" w:hAnsi="Arial Narrow"/>
                <w:lang w:val="es-ES" w:eastAsia="es-ES"/>
              </w:rPr>
            </w:pPr>
            <w:r w:rsidRPr="00A21F58">
              <w:rPr>
                <w:rFonts w:ascii="Arial Narrow" w:hAnsi="Arial Narrow"/>
                <w:lang w:val="es-ES" w:eastAsia="es-ES"/>
              </w:rPr>
              <w:t>-</w:t>
            </w:r>
          </w:p>
        </w:tc>
      </w:tr>
      <w:tr w:rsidR="00A21F58" w:rsidRPr="00734D84" w:rsidTr="00FF4AA3">
        <w:trPr>
          <w:trHeight w:val="255"/>
          <w:tblCellSpacing w:w="0" w:type="dxa"/>
          <w:jc w:val="center"/>
        </w:trPr>
        <w:tc>
          <w:tcPr>
            <w:tcW w:w="7038"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A21F58" w:rsidRPr="00734D84" w:rsidRDefault="00A21F58" w:rsidP="00385FDA">
            <w:pPr>
              <w:spacing w:after="0"/>
              <w:ind w:firstLine="0"/>
              <w:jc w:val="left"/>
              <w:rPr>
                <w:sz w:val="24"/>
                <w:szCs w:val="24"/>
                <w:lang w:val="es-ES" w:eastAsia="es-ES"/>
              </w:rPr>
            </w:pPr>
            <w:r w:rsidRPr="00734D84">
              <w:rPr>
                <w:rFonts w:ascii="Arial Narrow" w:hAnsi="Arial Narrow"/>
                <w:lang w:val="es-ES" w:eastAsia="es-ES"/>
              </w:rPr>
              <w:t>2015</w:t>
            </w:r>
          </w:p>
        </w:tc>
        <w:tc>
          <w:tcPr>
            <w:tcW w:w="1876" w:type="dxa"/>
            <w:tcBorders>
              <w:top w:val="nil"/>
              <w:left w:val="nil"/>
              <w:bottom w:val="single" w:sz="8" w:space="0" w:color="auto"/>
              <w:right w:val="nil"/>
            </w:tcBorders>
            <w:shd w:val="clear" w:color="auto" w:fill="auto"/>
            <w:noWrap/>
            <w:tcMar>
              <w:top w:w="0" w:type="dxa"/>
              <w:left w:w="108" w:type="dxa"/>
              <w:bottom w:w="0" w:type="dxa"/>
              <w:right w:w="108" w:type="dxa"/>
            </w:tcMar>
            <w:vAlign w:val="center"/>
          </w:tcPr>
          <w:p w:rsidR="00A21F58" w:rsidRPr="00A21F58" w:rsidRDefault="00A21F58" w:rsidP="00385FDA">
            <w:pPr>
              <w:spacing w:after="0"/>
              <w:ind w:firstLine="0"/>
              <w:jc w:val="right"/>
              <w:rPr>
                <w:rFonts w:ascii="Arial Narrow" w:hAnsi="Arial Narrow"/>
                <w:lang w:val="es-ES" w:eastAsia="es-ES"/>
              </w:rPr>
            </w:pPr>
            <w:r w:rsidRPr="00A21F58">
              <w:rPr>
                <w:rFonts w:ascii="Arial Narrow" w:hAnsi="Arial Narrow"/>
                <w:lang w:val="es-ES" w:eastAsia="es-ES"/>
              </w:rPr>
              <w:t>-</w:t>
            </w:r>
          </w:p>
        </w:tc>
      </w:tr>
      <w:tr w:rsidR="00A21F58" w:rsidRPr="00734D84" w:rsidTr="00FF4AA3">
        <w:trPr>
          <w:trHeight w:val="255"/>
          <w:tblCellSpacing w:w="0" w:type="dxa"/>
          <w:jc w:val="center"/>
        </w:trPr>
        <w:tc>
          <w:tcPr>
            <w:tcW w:w="7038" w:type="dxa"/>
            <w:tcBorders>
              <w:top w:val="nil"/>
              <w:left w:val="nil"/>
              <w:bottom w:val="single" w:sz="8" w:space="0" w:color="auto"/>
              <w:right w:val="nil"/>
            </w:tcBorders>
            <w:shd w:val="clear" w:color="auto" w:fill="A8CBEE" w:themeFill="accent2" w:themeFillTint="66"/>
            <w:noWrap/>
            <w:tcMar>
              <w:top w:w="0" w:type="dxa"/>
              <w:left w:w="108" w:type="dxa"/>
              <w:bottom w:w="0" w:type="dxa"/>
              <w:right w:w="108" w:type="dxa"/>
            </w:tcMar>
            <w:vAlign w:val="center"/>
            <w:hideMark/>
          </w:tcPr>
          <w:p w:rsidR="00A21F58" w:rsidRPr="00734D84" w:rsidRDefault="00A21F58" w:rsidP="00385FDA">
            <w:pPr>
              <w:spacing w:after="0"/>
              <w:ind w:firstLine="0"/>
              <w:jc w:val="left"/>
              <w:rPr>
                <w:sz w:val="24"/>
                <w:szCs w:val="24"/>
                <w:lang w:val="es-ES" w:eastAsia="es-ES"/>
              </w:rPr>
            </w:pPr>
            <w:r w:rsidRPr="00734D84">
              <w:rPr>
                <w:rFonts w:ascii="Arial" w:hAnsi="Arial" w:cs="Arial"/>
                <w:sz w:val="18"/>
                <w:szCs w:val="18"/>
                <w:lang w:val="es-ES" w:eastAsia="es-ES"/>
              </w:rPr>
              <w:t xml:space="preserve">Total subvenciones </w:t>
            </w:r>
            <w:r>
              <w:rPr>
                <w:rFonts w:ascii="Arial" w:hAnsi="Arial" w:cs="Arial"/>
                <w:sz w:val="18"/>
                <w:szCs w:val="18"/>
                <w:lang w:val="es-ES" w:eastAsia="es-ES"/>
              </w:rPr>
              <w:t>F</w:t>
            </w:r>
            <w:r w:rsidRPr="00734D84">
              <w:rPr>
                <w:rFonts w:ascii="Arial" w:hAnsi="Arial" w:cs="Arial"/>
                <w:sz w:val="18"/>
                <w:szCs w:val="18"/>
                <w:lang w:val="es-ES" w:eastAsia="es-ES"/>
              </w:rPr>
              <w:t>undación 2005-2015</w:t>
            </w:r>
          </w:p>
        </w:tc>
        <w:tc>
          <w:tcPr>
            <w:tcW w:w="1876" w:type="dxa"/>
            <w:tcBorders>
              <w:top w:val="nil"/>
              <w:left w:val="nil"/>
              <w:bottom w:val="single" w:sz="8" w:space="0" w:color="auto"/>
              <w:right w:val="nil"/>
            </w:tcBorders>
            <w:shd w:val="clear" w:color="auto" w:fill="A8CBEE" w:themeFill="accent2" w:themeFillTint="66"/>
            <w:noWrap/>
            <w:tcMar>
              <w:top w:w="0" w:type="dxa"/>
              <w:left w:w="108" w:type="dxa"/>
              <w:bottom w:w="0" w:type="dxa"/>
              <w:right w:w="108" w:type="dxa"/>
            </w:tcMar>
            <w:vAlign w:val="center"/>
          </w:tcPr>
          <w:p w:rsidR="00A21F58" w:rsidRPr="002675D9" w:rsidRDefault="00A21F58" w:rsidP="00385FDA">
            <w:pPr>
              <w:spacing w:after="0"/>
              <w:ind w:firstLine="0"/>
              <w:jc w:val="right"/>
              <w:rPr>
                <w:rFonts w:ascii="Arial" w:hAnsi="Arial" w:cs="Arial"/>
                <w:sz w:val="18"/>
                <w:szCs w:val="18"/>
                <w:lang w:val="es-ES" w:eastAsia="es-ES"/>
              </w:rPr>
            </w:pPr>
            <w:r w:rsidRPr="002675D9">
              <w:rPr>
                <w:rFonts w:ascii="Arial" w:hAnsi="Arial" w:cs="Arial"/>
                <w:sz w:val="18"/>
                <w:szCs w:val="18"/>
                <w:lang w:val="es-ES" w:eastAsia="es-ES"/>
              </w:rPr>
              <w:t>322.505</w:t>
            </w:r>
          </w:p>
        </w:tc>
      </w:tr>
    </w:tbl>
    <w:p w:rsidR="00072967" w:rsidRPr="00072967" w:rsidRDefault="00072967" w:rsidP="00FF4AA3">
      <w:pPr>
        <w:pStyle w:val="texto"/>
        <w:spacing w:after="0"/>
        <w:rPr>
          <w:szCs w:val="26"/>
        </w:rPr>
      </w:pPr>
    </w:p>
    <w:p w:rsidR="00DB04D2" w:rsidRDefault="00DB04D2" w:rsidP="00FF4AA3">
      <w:pPr>
        <w:pStyle w:val="texto"/>
        <w:rPr>
          <w:szCs w:val="26"/>
        </w:rPr>
      </w:pPr>
      <w:r>
        <w:rPr>
          <w:szCs w:val="26"/>
        </w:rPr>
        <w:t>Todas las subvenciones anteriores se reflejan de forma nominativa en los presupuestos generales de ambas entidades</w:t>
      </w:r>
      <w:r w:rsidR="008824BE">
        <w:rPr>
          <w:szCs w:val="26"/>
        </w:rPr>
        <w:t xml:space="preserve"> y su finalidad básica es apoyar la financiación de los programas de ayudas a deportistas navarros de alto nivel desarrollados por la Fundación</w:t>
      </w:r>
      <w:r>
        <w:rPr>
          <w:szCs w:val="26"/>
        </w:rPr>
        <w:t>.</w:t>
      </w:r>
    </w:p>
    <w:p w:rsidR="00673C1C" w:rsidRDefault="00673C1C" w:rsidP="00FF4AA3">
      <w:pPr>
        <w:pStyle w:val="texto"/>
        <w:rPr>
          <w:szCs w:val="26"/>
        </w:rPr>
      </w:pPr>
      <w:r>
        <w:rPr>
          <w:szCs w:val="26"/>
        </w:rPr>
        <w:lastRenderedPageBreak/>
        <w:t xml:space="preserve">Desde 2014, el Ayuntamiento de Pamplona, considerando que la actividad de la Fundación está dirigida fundamentalmente al deporte de alta competición, descarta la concesión de subvenciones a la misma.  </w:t>
      </w:r>
    </w:p>
    <w:p w:rsidR="00BE388C" w:rsidRDefault="00106186" w:rsidP="00FF4AA3">
      <w:pPr>
        <w:pStyle w:val="texto"/>
        <w:rPr>
          <w:szCs w:val="26"/>
        </w:rPr>
      </w:pPr>
      <w:r>
        <w:rPr>
          <w:szCs w:val="26"/>
        </w:rPr>
        <w:t>En el periodo analizado, las cuentas anuales de la Fundación no han sido o</w:t>
      </w:r>
      <w:r>
        <w:rPr>
          <w:szCs w:val="26"/>
        </w:rPr>
        <w:t>b</w:t>
      </w:r>
      <w:r>
        <w:rPr>
          <w:szCs w:val="26"/>
        </w:rPr>
        <w:t>jeto de auditoría externa por una firma privada. Al respecto</w:t>
      </w:r>
      <w:r w:rsidR="000564FA">
        <w:rPr>
          <w:szCs w:val="26"/>
        </w:rPr>
        <w:t>, señalamos</w:t>
      </w:r>
      <w:r>
        <w:rPr>
          <w:szCs w:val="26"/>
        </w:rPr>
        <w:t xml:space="preserve"> que </w:t>
      </w:r>
      <w:r w:rsidR="00BE388C">
        <w:rPr>
          <w:szCs w:val="26"/>
        </w:rPr>
        <w:t>no concurren en las mismas los impo</w:t>
      </w:r>
      <w:r w:rsidR="000E6E44">
        <w:rPr>
          <w:szCs w:val="26"/>
        </w:rPr>
        <w:t>rtes o parámetros</w:t>
      </w:r>
      <w:r w:rsidR="00BE388C">
        <w:rPr>
          <w:szCs w:val="26"/>
        </w:rPr>
        <w:t xml:space="preserve"> mínimos que, para tal obl</w:t>
      </w:r>
      <w:r w:rsidR="00BE388C">
        <w:rPr>
          <w:szCs w:val="26"/>
        </w:rPr>
        <w:t>i</w:t>
      </w:r>
      <w:r w:rsidR="00BE388C">
        <w:rPr>
          <w:szCs w:val="26"/>
        </w:rPr>
        <w:t xml:space="preserve">gación, establece la </w:t>
      </w:r>
      <w:r>
        <w:rPr>
          <w:szCs w:val="26"/>
        </w:rPr>
        <w:t>Ley Foral 10/1996</w:t>
      </w:r>
      <w:r w:rsidR="00BE388C">
        <w:rPr>
          <w:szCs w:val="26"/>
        </w:rPr>
        <w:t xml:space="preserve">. </w:t>
      </w:r>
    </w:p>
    <w:p w:rsidR="008F2606" w:rsidRDefault="00106186" w:rsidP="00FF4AA3">
      <w:pPr>
        <w:pStyle w:val="texto"/>
        <w:spacing w:after="240"/>
        <w:rPr>
          <w:szCs w:val="26"/>
        </w:rPr>
      </w:pPr>
      <w:r>
        <w:rPr>
          <w:szCs w:val="26"/>
        </w:rPr>
        <w:t>De acuerdo con la cuenta de resultados,</w:t>
      </w:r>
      <w:r w:rsidR="00EB0EBD" w:rsidRPr="00EB0EBD">
        <w:rPr>
          <w:szCs w:val="26"/>
        </w:rPr>
        <w:t xml:space="preserve"> </w:t>
      </w:r>
      <w:r w:rsidR="00EB0EBD">
        <w:rPr>
          <w:szCs w:val="26"/>
        </w:rPr>
        <w:t>el total de gastos</w:t>
      </w:r>
      <w:r w:rsidR="00EB0EBD" w:rsidRPr="00EB0EBD">
        <w:rPr>
          <w:szCs w:val="26"/>
        </w:rPr>
        <w:t xml:space="preserve"> e ingresos</w:t>
      </w:r>
      <w:r>
        <w:rPr>
          <w:szCs w:val="26"/>
        </w:rPr>
        <w:t xml:space="preserve"> </w:t>
      </w:r>
      <w:r w:rsidR="00EB0EBD" w:rsidRPr="00EB0EBD">
        <w:rPr>
          <w:szCs w:val="26"/>
        </w:rPr>
        <w:t xml:space="preserve">de la </w:t>
      </w:r>
      <w:r w:rsidR="00EB0EBD">
        <w:rPr>
          <w:szCs w:val="26"/>
        </w:rPr>
        <w:t>F</w:t>
      </w:r>
      <w:r w:rsidR="00EB0EBD" w:rsidRPr="00EB0EBD">
        <w:rPr>
          <w:szCs w:val="26"/>
        </w:rPr>
        <w:t>undación</w:t>
      </w:r>
      <w:r w:rsidR="008F2606">
        <w:rPr>
          <w:szCs w:val="26"/>
        </w:rPr>
        <w:t xml:space="preserve"> por ejercicio</w:t>
      </w:r>
      <w:r>
        <w:rPr>
          <w:szCs w:val="26"/>
        </w:rPr>
        <w:t xml:space="preserve"> así como su resultado</w:t>
      </w:r>
      <w:r w:rsidR="00AF439A">
        <w:rPr>
          <w:szCs w:val="26"/>
        </w:rPr>
        <w:t xml:space="preserve"> contable</w:t>
      </w:r>
      <w:r w:rsidR="00DB04D2">
        <w:rPr>
          <w:szCs w:val="26"/>
        </w:rPr>
        <w:t>,</w:t>
      </w:r>
      <w:r w:rsidR="00EB0EBD">
        <w:rPr>
          <w:szCs w:val="26"/>
        </w:rPr>
        <w:t xml:space="preserve"> se refleja</w:t>
      </w:r>
      <w:r w:rsidR="001C2A60">
        <w:rPr>
          <w:szCs w:val="26"/>
        </w:rPr>
        <w:t>n</w:t>
      </w:r>
      <w:r w:rsidR="00EB0EBD">
        <w:rPr>
          <w:szCs w:val="26"/>
        </w:rPr>
        <w:t xml:space="preserve"> en el cuadro siguiente:</w:t>
      </w:r>
    </w:p>
    <w:tbl>
      <w:tblPr>
        <w:tblW w:w="8798" w:type="dxa"/>
        <w:jc w:val="center"/>
        <w:tblCellSpacing w:w="0" w:type="dxa"/>
        <w:tblCellMar>
          <w:left w:w="0" w:type="dxa"/>
          <w:right w:w="0" w:type="dxa"/>
        </w:tblCellMar>
        <w:tblLook w:val="04A0" w:firstRow="1" w:lastRow="0" w:firstColumn="1" w:lastColumn="0" w:noHBand="0" w:noVBand="1"/>
      </w:tblPr>
      <w:tblGrid>
        <w:gridCol w:w="4094"/>
        <w:gridCol w:w="1506"/>
        <w:gridCol w:w="1418"/>
        <w:gridCol w:w="1780"/>
      </w:tblGrid>
      <w:tr w:rsidR="00EB0EBD" w:rsidRPr="008D3B9A" w:rsidTr="00FF4AA3">
        <w:trPr>
          <w:trHeight w:val="255"/>
          <w:tblCellSpacing w:w="0" w:type="dxa"/>
          <w:jc w:val="center"/>
        </w:trPr>
        <w:tc>
          <w:tcPr>
            <w:tcW w:w="4094" w:type="dxa"/>
            <w:tcBorders>
              <w:top w:val="single" w:sz="8" w:space="0" w:color="auto"/>
              <w:left w:val="nil"/>
              <w:bottom w:val="single" w:sz="8" w:space="0" w:color="auto"/>
              <w:right w:val="nil"/>
            </w:tcBorders>
            <w:shd w:val="clear" w:color="auto" w:fill="A8CBEE" w:themeFill="accent2" w:themeFillTint="66"/>
            <w:noWrap/>
            <w:tcMar>
              <w:top w:w="0" w:type="dxa"/>
              <w:left w:w="108" w:type="dxa"/>
              <w:bottom w:w="0" w:type="dxa"/>
              <w:right w:w="108" w:type="dxa"/>
            </w:tcMar>
            <w:vAlign w:val="center"/>
          </w:tcPr>
          <w:p w:rsidR="00EB0EBD" w:rsidRPr="008D3B9A" w:rsidRDefault="00EB0EBD" w:rsidP="00EB0EBD">
            <w:pPr>
              <w:spacing w:after="0"/>
              <w:ind w:firstLine="0"/>
              <w:jc w:val="left"/>
              <w:rPr>
                <w:rFonts w:ascii="Arial" w:hAnsi="Arial" w:cs="Arial"/>
                <w:sz w:val="18"/>
                <w:szCs w:val="18"/>
                <w:lang w:val="es-ES" w:eastAsia="es-ES"/>
              </w:rPr>
            </w:pPr>
            <w:r w:rsidRPr="008D3B9A">
              <w:rPr>
                <w:rFonts w:ascii="Arial" w:hAnsi="Arial" w:cs="Arial"/>
                <w:sz w:val="18"/>
                <w:szCs w:val="18"/>
                <w:lang w:val="es-ES" w:eastAsia="es-ES"/>
              </w:rPr>
              <w:t>Fundación M. Induráin</w:t>
            </w:r>
          </w:p>
        </w:tc>
        <w:tc>
          <w:tcPr>
            <w:tcW w:w="1506" w:type="dxa"/>
            <w:tcBorders>
              <w:top w:val="single" w:sz="8" w:space="0" w:color="auto"/>
              <w:left w:val="nil"/>
              <w:bottom w:val="single" w:sz="8" w:space="0" w:color="auto"/>
              <w:right w:val="nil"/>
            </w:tcBorders>
            <w:shd w:val="clear" w:color="auto" w:fill="A8CBEE" w:themeFill="accent2" w:themeFillTint="66"/>
            <w:noWrap/>
            <w:tcMar>
              <w:top w:w="0" w:type="dxa"/>
              <w:left w:w="108" w:type="dxa"/>
              <w:bottom w:w="0" w:type="dxa"/>
              <w:right w:w="108" w:type="dxa"/>
            </w:tcMar>
            <w:vAlign w:val="center"/>
            <w:hideMark/>
          </w:tcPr>
          <w:p w:rsidR="00EB0EBD" w:rsidRPr="008D3B9A" w:rsidRDefault="00EB0EBD" w:rsidP="00EB0EBD">
            <w:pPr>
              <w:spacing w:after="0"/>
              <w:ind w:firstLine="0"/>
              <w:jc w:val="center"/>
              <w:rPr>
                <w:rFonts w:ascii="Arial" w:hAnsi="Arial" w:cs="Arial"/>
                <w:sz w:val="18"/>
                <w:szCs w:val="18"/>
                <w:lang w:val="es-ES" w:eastAsia="es-ES"/>
              </w:rPr>
            </w:pPr>
            <w:r w:rsidRPr="008D3B9A">
              <w:rPr>
                <w:rFonts w:ascii="Arial" w:hAnsi="Arial" w:cs="Arial"/>
                <w:sz w:val="18"/>
                <w:szCs w:val="18"/>
                <w:lang w:val="es-ES" w:eastAsia="es-ES"/>
              </w:rPr>
              <w:t>Gastos</w:t>
            </w:r>
          </w:p>
        </w:tc>
        <w:tc>
          <w:tcPr>
            <w:tcW w:w="1418" w:type="dxa"/>
            <w:tcBorders>
              <w:top w:val="single" w:sz="8" w:space="0" w:color="auto"/>
              <w:left w:val="nil"/>
              <w:bottom w:val="single" w:sz="8" w:space="0" w:color="auto"/>
              <w:right w:val="nil"/>
            </w:tcBorders>
            <w:shd w:val="clear" w:color="auto" w:fill="A8CBEE" w:themeFill="accent2" w:themeFillTint="66"/>
            <w:vAlign w:val="center"/>
          </w:tcPr>
          <w:p w:rsidR="00EB0EBD" w:rsidRPr="008D3B9A" w:rsidRDefault="00EB0EBD" w:rsidP="00EB0EBD">
            <w:pPr>
              <w:spacing w:after="0"/>
              <w:ind w:right="222" w:firstLine="0"/>
              <w:jc w:val="center"/>
              <w:rPr>
                <w:rFonts w:ascii="Arial" w:hAnsi="Arial" w:cs="Arial"/>
                <w:sz w:val="18"/>
                <w:szCs w:val="18"/>
                <w:lang w:val="es-ES" w:eastAsia="es-ES"/>
              </w:rPr>
            </w:pPr>
            <w:r w:rsidRPr="008D3B9A">
              <w:rPr>
                <w:rFonts w:ascii="Arial" w:hAnsi="Arial" w:cs="Arial"/>
                <w:sz w:val="18"/>
                <w:szCs w:val="18"/>
                <w:lang w:val="es-ES" w:eastAsia="es-ES"/>
              </w:rPr>
              <w:t>Ingresos</w:t>
            </w:r>
          </w:p>
        </w:tc>
        <w:tc>
          <w:tcPr>
            <w:tcW w:w="1780" w:type="dxa"/>
            <w:tcBorders>
              <w:top w:val="single" w:sz="8" w:space="0" w:color="auto"/>
              <w:left w:val="nil"/>
              <w:bottom w:val="single" w:sz="8" w:space="0" w:color="auto"/>
              <w:right w:val="nil"/>
            </w:tcBorders>
            <w:shd w:val="clear" w:color="auto" w:fill="A8CBEE" w:themeFill="accent2" w:themeFillTint="66"/>
            <w:vAlign w:val="center"/>
          </w:tcPr>
          <w:p w:rsidR="00EB0EBD" w:rsidRPr="008D3B9A" w:rsidRDefault="00EB0EBD" w:rsidP="008D3B9A">
            <w:pPr>
              <w:spacing w:after="0"/>
              <w:ind w:right="79" w:firstLine="0"/>
              <w:jc w:val="center"/>
              <w:rPr>
                <w:rFonts w:ascii="Arial" w:hAnsi="Arial" w:cs="Arial"/>
                <w:sz w:val="18"/>
                <w:szCs w:val="18"/>
                <w:lang w:val="es-ES" w:eastAsia="es-ES"/>
              </w:rPr>
            </w:pPr>
            <w:r w:rsidRPr="008D3B9A">
              <w:rPr>
                <w:rFonts w:ascii="Arial" w:hAnsi="Arial" w:cs="Arial"/>
                <w:sz w:val="18"/>
                <w:szCs w:val="18"/>
                <w:lang w:val="es-ES" w:eastAsia="es-ES"/>
              </w:rPr>
              <w:t>Resultado ejercicio</w:t>
            </w:r>
          </w:p>
        </w:tc>
      </w:tr>
      <w:tr w:rsidR="00EB0EBD" w:rsidRPr="00734D84" w:rsidTr="00FF4AA3">
        <w:trPr>
          <w:trHeight w:val="255"/>
          <w:tblCellSpacing w:w="0" w:type="dxa"/>
          <w:jc w:val="center"/>
        </w:trPr>
        <w:tc>
          <w:tcPr>
            <w:tcW w:w="4094"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EB0EBD" w:rsidRPr="00734D84" w:rsidRDefault="00EB0EBD" w:rsidP="00EB0EBD">
            <w:pPr>
              <w:spacing w:after="0"/>
              <w:ind w:firstLine="0"/>
              <w:jc w:val="left"/>
              <w:rPr>
                <w:sz w:val="24"/>
                <w:szCs w:val="24"/>
                <w:lang w:val="es-ES" w:eastAsia="es-ES"/>
              </w:rPr>
            </w:pPr>
            <w:r w:rsidRPr="00734D84">
              <w:rPr>
                <w:rFonts w:ascii="Arial Narrow" w:hAnsi="Arial Narrow"/>
                <w:lang w:val="es-ES" w:eastAsia="es-ES"/>
              </w:rPr>
              <w:t>2005</w:t>
            </w:r>
          </w:p>
        </w:tc>
        <w:tc>
          <w:tcPr>
            <w:tcW w:w="1506" w:type="dxa"/>
            <w:tcBorders>
              <w:top w:val="nil"/>
              <w:left w:val="nil"/>
              <w:bottom w:val="single" w:sz="8" w:space="0" w:color="auto"/>
              <w:right w:val="nil"/>
            </w:tcBorders>
            <w:shd w:val="clear" w:color="auto" w:fill="auto"/>
            <w:noWrap/>
            <w:tcMar>
              <w:top w:w="0" w:type="dxa"/>
              <w:left w:w="108" w:type="dxa"/>
              <w:bottom w:w="0" w:type="dxa"/>
              <w:right w:w="108" w:type="dxa"/>
            </w:tcMar>
            <w:vAlign w:val="center"/>
          </w:tcPr>
          <w:p w:rsidR="00EB0EBD" w:rsidRPr="00A21F58" w:rsidRDefault="00EB0EBD" w:rsidP="007C21D6">
            <w:pPr>
              <w:spacing w:after="0"/>
              <w:ind w:firstLine="0"/>
              <w:jc w:val="right"/>
              <w:rPr>
                <w:rFonts w:ascii="Arial Narrow" w:hAnsi="Arial Narrow"/>
                <w:lang w:val="es-ES" w:eastAsia="es-ES"/>
              </w:rPr>
            </w:pPr>
            <w:r w:rsidRPr="007C21D6">
              <w:rPr>
                <w:rFonts w:ascii="Arial Narrow" w:hAnsi="Arial Narrow"/>
                <w:lang w:val="es-ES" w:eastAsia="es-ES"/>
              </w:rPr>
              <w:t>527.595</w:t>
            </w:r>
          </w:p>
        </w:tc>
        <w:tc>
          <w:tcPr>
            <w:tcW w:w="1418" w:type="dxa"/>
            <w:tcBorders>
              <w:top w:val="nil"/>
              <w:left w:val="nil"/>
              <w:bottom w:val="single" w:sz="8" w:space="0" w:color="auto"/>
              <w:right w:val="nil"/>
            </w:tcBorders>
            <w:vAlign w:val="center"/>
          </w:tcPr>
          <w:p w:rsidR="00EB0EBD" w:rsidRPr="00A21F58" w:rsidRDefault="00EB0EBD" w:rsidP="007C21D6">
            <w:pPr>
              <w:spacing w:after="0"/>
              <w:ind w:right="80" w:firstLine="0"/>
              <w:jc w:val="right"/>
              <w:rPr>
                <w:rFonts w:ascii="Arial Narrow" w:hAnsi="Arial Narrow"/>
                <w:lang w:val="es-ES" w:eastAsia="es-ES"/>
              </w:rPr>
            </w:pPr>
            <w:r w:rsidRPr="007C21D6">
              <w:rPr>
                <w:rFonts w:ascii="Arial Narrow" w:hAnsi="Arial Narrow"/>
                <w:lang w:val="es-ES" w:eastAsia="es-ES"/>
              </w:rPr>
              <w:t>552.611</w:t>
            </w:r>
          </w:p>
        </w:tc>
        <w:tc>
          <w:tcPr>
            <w:tcW w:w="1780" w:type="dxa"/>
            <w:tcBorders>
              <w:top w:val="nil"/>
              <w:left w:val="nil"/>
              <w:bottom w:val="single" w:sz="8" w:space="0" w:color="auto"/>
              <w:right w:val="nil"/>
            </w:tcBorders>
            <w:vAlign w:val="center"/>
          </w:tcPr>
          <w:p w:rsidR="00EB0EBD" w:rsidRPr="00A21F58" w:rsidRDefault="0089015A" w:rsidP="0089015A">
            <w:pPr>
              <w:spacing w:after="0"/>
              <w:ind w:right="221" w:firstLine="0"/>
              <w:jc w:val="right"/>
              <w:rPr>
                <w:rFonts w:ascii="Arial Narrow" w:hAnsi="Arial Narrow"/>
                <w:lang w:val="es-ES" w:eastAsia="es-ES"/>
              </w:rPr>
            </w:pPr>
            <w:r>
              <w:rPr>
                <w:rFonts w:ascii="Arial Narrow" w:hAnsi="Arial Narrow"/>
                <w:lang w:val="es-ES" w:eastAsia="es-ES"/>
              </w:rPr>
              <w:t>25.016</w:t>
            </w:r>
          </w:p>
        </w:tc>
      </w:tr>
      <w:tr w:rsidR="00EB0EBD" w:rsidRPr="00734D84" w:rsidTr="00FF4AA3">
        <w:trPr>
          <w:trHeight w:val="255"/>
          <w:tblCellSpacing w:w="0" w:type="dxa"/>
          <w:jc w:val="center"/>
        </w:trPr>
        <w:tc>
          <w:tcPr>
            <w:tcW w:w="4094"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EB0EBD" w:rsidRPr="00734D84" w:rsidRDefault="00EB0EBD" w:rsidP="00EB0EBD">
            <w:pPr>
              <w:spacing w:after="0"/>
              <w:ind w:firstLine="0"/>
              <w:jc w:val="left"/>
              <w:rPr>
                <w:sz w:val="24"/>
                <w:szCs w:val="24"/>
                <w:lang w:val="es-ES" w:eastAsia="es-ES"/>
              </w:rPr>
            </w:pPr>
            <w:r w:rsidRPr="00734D84">
              <w:rPr>
                <w:rFonts w:ascii="Arial Narrow" w:hAnsi="Arial Narrow"/>
                <w:lang w:val="es-ES" w:eastAsia="es-ES"/>
              </w:rPr>
              <w:t>2006</w:t>
            </w:r>
          </w:p>
        </w:tc>
        <w:tc>
          <w:tcPr>
            <w:tcW w:w="1506" w:type="dxa"/>
            <w:tcBorders>
              <w:top w:val="nil"/>
              <w:left w:val="nil"/>
              <w:bottom w:val="single" w:sz="8" w:space="0" w:color="auto"/>
              <w:right w:val="nil"/>
            </w:tcBorders>
            <w:shd w:val="clear" w:color="auto" w:fill="auto"/>
            <w:noWrap/>
            <w:tcMar>
              <w:top w:w="0" w:type="dxa"/>
              <w:left w:w="108" w:type="dxa"/>
              <w:bottom w:w="0" w:type="dxa"/>
              <w:right w:w="108" w:type="dxa"/>
            </w:tcMar>
            <w:vAlign w:val="center"/>
          </w:tcPr>
          <w:p w:rsidR="00EB0EBD" w:rsidRPr="00A21F58" w:rsidRDefault="00EB0EBD" w:rsidP="007C21D6">
            <w:pPr>
              <w:spacing w:after="0"/>
              <w:ind w:firstLine="0"/>
              <w:jc w:val="right"/>
              <w:rPr>
                <w:rFonts w:ascii="Arial Narrow" w:hAnsi="Arial Narrow"/>
                <w:lang w:val="es-ES" w:eastAsia="es-ES"/>
              </w:rPr>
            </w:pPr>
            <w:r w:rsidRPr="007C21D6">
              <w:rPr>
                <w:rFonts w:ascii="Arial Narrow" w:hAnsi="Arial Narrow"/>
                <w:lang w:val="es-ES" w:eastAsia="es-ES"/>
              </w:rPr>
              <w:t>476.306</w:t>
            </w:r>
          </w:p>
        </w:tc>
        <w:tc>
          <w:tcPr>
            <w:tcW w:w="1418" w:type="dxa"/>
            <w:tcBorders>
              <w:top w:val="nil"/>
              <w:left w:val="nil"/>
              <w:bottom w:val="single" w:sz="8" w:space="0" w:color="auto"/>
              <w:right w:val="nil"/>
            </w:tcBorders>
            <w:vAlign w:val="center"/>
          </w:tcPr>
          <w:p w:rsidR="00EB0EBD" w:rsidRPr="00A21F58" w:rsidRDefault="00EB0EBD" w:rsidP="007C21D6">
            <w:pPr>
              <w:spacing w:after="0"/>
              <w:ind w:right="80" w:firstLine="0"/>
              <w:jc w:val="right"/>
              <w:rPr>
                <w:rFonts w:ascii="Arial Narrow" w:hAnsi="Arial Narrow"/>
                <w:lang w:val="es-ES" w:eastAsia="es-ES"/>
              </w:rPr>
            </w:pPr>
            <w:r w:rsidRPr="007C21D6">
              <w:rPr>
                <w:rFonts w:ascii="Arial Narrow" w:hAnsi="Arial Narrow"/>
                <w:lang w:val="es-ES" w:eastAsia="es-ES"/>
              </w:rPr>
              <w:t>486.418</w:t>
            </w:r>
          </w:p>
        </w:tc>
        <w:tc>
          <w:tcPr>
            <w:tcW w:w="1780" w:type="dxa"/>
            <w:tcBorders>
              <w:top w:val="nil"/>
              <w:left w:val="nil"/>
              <w:bottom w:val="single" w:sz="8" w:space="0" w:color="auto"/>
              <w:right w:val="nil"/>
            </w:tcBorders>
            <w:vAlign w:val="center"/>
          </w:tcPr>
          <w:p w:rsidR="00EB0EBD" w:rsidRPr="00A21F58" w:rsidRDefault="0089015A" w:rsidP="0089015A">
            <w:pPr>
              <w:spacing w:after="0"/>
              <w:ind w:right="221" w:firstLine="0"/>
              <w:jc w:val="right"/>
              <w:rPr>
                <w:rFonts w:ascii="Arial Narrow" w:hAnsi="Arial Narrow"/>
                <w:lang w:val="es-ES" w:eastAsia="es-ES"/>
              </w:rPr>
            </w:pPr>
            <w:r>
              <w:rPr>
                <w:rFonts w:ascii="Arial Narrow" w:hAnsi="Arial Narrow"/>
                <w:lang w:val="es-ES" w:eastAsia="es-ES"/>
              </w:rPr>
              <w:t>10.112</w:t>
            </w:r>
          </w:p>
        </w:tc>
      </w:tr>
      <w:tr w:rsidR="00EB0EBD" w:rsidRPr="00734D84" w:rsidTr="00FF4AA3">
        <w:trPr>
          <w:trHeight w:val="255"/>
          <w:tblCellSpacing w:w="0" w:type="dxa"/>
          <w:jc w:val="center"/>
        </w:trPr>
        <w:tc>
          <w:tcPr>
            <w:tcW w:w="4094"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EB0EBD" w:rsidRPr="00734D84" w:rsidRDefault="00EB0EBD" w:rsidP="00EB0EBD">
            <w:pPr>
              <w:spacing w:after="0"/>
              <w:ind w:firstLine="0"/>
              <w:jc w:val="left"/>
              <w:rPr>
                <w:sz w:val="24"/>
                <w:szCs w:val="24"/>
                <w:lang w:val="es-ES" w:eastAsia="es-ES"/>
              </w:rPr>
            </w:pPr>
            <w:r w:rsidRPr="00734D84">
              <w:rPr>
                <w:rFonts w:ascii="Arial Narrow" w:hAnsi="Arial Narrow"/>
                <w:lang w:val="es-ES" w:eastAsia="es-ES"/>
              </w:rPr>
              <w:t>2007</w:t>
            </w:r>
          </w:p>
        </w:tc>
        <w:tc>
          <w:tcPr>
            <w:tcW w:w="1506" w:type="dxa"/>
            <w:tcBorders>
              <w:top w:val="nil"/>
              <w:left w:val="nil"/>
              <w:bottom w:val="single" w:sz="8" w:space="0" w:color="auto"/>
              <w:right w:val="nil"/>
            </w:tcBorders>
            <w:shd w:val="clear" w:color="auto" w:fill="auto"/>
            <w:noWrap/>
            <w:tcMar>
              <w:top w:w="0" w:type="dxa"/>
              <w:left w:w="108" w:type="dxa"/>
              <w:bottom w:w="0" w:type="dxa"/>
              <w:right w:w="108" w:type="dxa"/>
            </w:tcMar>
            <w:vAlign w:val="center"/>
          </w:tcPr>
          <w:p w:rsidR="00EB0EBD" w:rsidRPr="00A21F58" w:rsidRDefault="00EB0EBD" w:rsidP="007C21D6">
            <w:pPr>
              <w:spacing w:after="0"/>
              <w:ind w:firstLine="0"/>
              <w:jc w:val="right"/>
              <w:rPr>
                <w:rFonts w:ascii="Arial Narrow" w:hAnsi="Arial Narrow"/>
                <w:lang w:val="es-ES" w:eastAsia="es-ES"/>
              </w:rPr>
            </w:pPr>
            <w:r w:rsidRPr="007C21D6">
              <w:rPr>
                <w:rFonts w:ascii="Arial Narrow" w:hAnsi="Arial Narrow"/>
                <w:lang w:val="es-ES" w:eastAsia="es-ES"/>
              </w:rPr>
              <w:t>615.974</w:t>
            </w:r>
          </w:p>
        </w:tc>
        <w:tc>
          <w:tcPr>
            <w:tcW w:w="1418" w:type="dxa"/>
            <w:tcBorders>
              <w:top w:val="nil"/>
              <w:left w:val="nil"/>
              <w:bottom w:val="single" w:sz="8" w:space="0" w:color="auto"/>
              <w:right w:val="nil"/>
            </w:tcBorders>
            <w:vAlign w:val="center"/>
          </w:tcPr>
          <w:p w:rsidR="00EB0EBD" w:rsidRPr="00A21F58" w:rsidRDefault="00EB0EBD" w:rsidP="007C21D6">
            <w:pPr>
              <w:spacing w:after="0"/>
              <w:ind w:right="80" w:firstLine="0"/>
              <w:jc w:val="right"/>
              <w:rPr>
                <w:rFonts w:ascii="Arial Narrow" w:hAnsi="Arial Narrow"/>
                <w:lang w:val="es-ES" w:eastAsia="es-ES"/>
              </w:rPr>
            </w:pPr>
            <w:r w:rsidRPr="007C21D6">
              <w:rPr>
                <w:rFonts w:ascii="Arial Narrow" w:hAnsi="Arial Narrow"/>
                <w:lang w:val="es-ES" w:eastAsia="es-ES"/>
              </w:rPr>
              <w:t>602.698</w:t>
            </w:r>
          </w:p>
        </w:tc>
        <w:tc>
          <w:tcPr>
            <w:tcW w:w="1780" w:type="dxa"/>
            <w:tcBorders>
              <w:top w:val="nil"/>
              <w:left w:val="nil"/>
              <w:bottom w:val="single" w:sz="8" w:space="0" w:color="auto"/>
              <w:right w:val="nil"/>
            </w:tcBorders>
            <w:vAlign w:val="center"/>
          </w:tcPr>
          <w:p w:rsidR="00EB0EBD" w:rsidRPr="00A21F58" w:rsidRDefault="0089015A" w:rsidP="0089015A">
            <w:pPr>
              <w:spacing w:after="0"/>
              <w:ind w:right="221" w:firstLine="0"/>
              <w:jc w:val="right"/>
              <w:rPr>
                <w:rFonts w:ascii="Arial Narrow" w:hAnsi="Arial Narrow"/>
                <w:lang w:val="es-ES" w:eastAsia="es-ES"/>
              </w:rPr>
            </w:pPr>
            <w:r>
              <w:rPr>
                <w:rFonts w:ascii="Arial Narrow" w:hAnsi="Arial Narrow"/>
                <w:lang w:val="es-ES" w:eastAsia="es-ES"/>
              </w:rPr>
              <w:t>-13.276</w:t>
            </w:r>
          </w:p>
        </w:tc>
      </w:tr>
      <w:tr w:rsidR="00EB0EBD" w:rsidRPr="00734D84" w:rsidTr="00FF4AA3">
        <w:trPr>
          <w:trHeight w:val="255"/>
          <w:tblCellSpacing w:w="0" w:type="dxa"/>
          <w:jc w:val="center"/>
        </w:trPr>
        <w:tc>
          <w:tcPr>
            <w:tcW w:w="4094"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EB0EBD" w:rsidRPr="00734D84" w:rsidRDefault="00EB0EBD" w:rsidP="00EB0EBD">
            <w:pPr>
              <w:spacing w:after="0"/>
              <w:ind w:firstLine="0"/>
              <w:jc w:val="left"/>
              <w:rPr>
                <w:sz w:val="24"/>
                <w:szCs w:val="24"/>
                <w:lang w:val="es-ES" w:eastAsia="es-ES"/>
              </w:rPr>
            </w:pPr>
            <w:r w:rsidRPr="00734D84">
              <w:rPr>
                <w:rFonts w:ascii="Arial Narrow" w:hAnsi="Arial Narrow"/>
                <w:lang w:val="es-ES" w:eastAsia="es-ES"/>
              </w:rPr>
              <w:t>2008</w:t>
            </w:r>
          </w:p>
        </w:tc>
        <w:tc>
          <w:tcPr>
            <w:tcW w:w="1506" w:type="dxa"/>
            <w:tcBorders>
              <w:top w:val="nil"/>
              <w:left w:val="nil"/>
              <w:bottom w:val="single" w:sz="8" w:space="0" w:color="auto"/>
              <w:right w:val="nil"/>
            </w:tcBorders>
            <w:shd w:val="clear" w:color="auto" w:fill="auto"/>
            <w:noWrap/>
            <w:tcMar>
              <w:top w:w="0" w:type="dxa"/>
              <w:left w:w="108" w:type="dxa"/>
              <w:bottom w:w="0" w:type="dxa"/>
              <w:right w:w="108" w:type="dxa"/>
            </w:tcMar>
            <w:vAlign w:val="center"/>
          </w:tcPr>
          <w:p w:rsidR="00EB0EBD" w:rsidRPr="00A21F58" w:rsidRDefault="00EB0EBD" w:rsidP="007C21D6">
            <w:pPr>
              <w:spacing w:after="0"/>
              <w:ind w:firstLine="0"/>
              <w:jc w:val="right"/>
              <w:rPr>
                <w:rFonts w:ascii="Arial Narrow" w:hAnsi="Arial Narrow"/>
                <w:lang w:val="es-ES" w:eastAsia="es-ES"/>
              </w:rPr>
            </w:pPr>
            <w:r w:rsidRPr="007C21D6">
              <w:rPr>
                <w:rFonts w:ascii="Arial Narrow" w:hAnsi="Arial Narrow"/>
                <w:lang w:val="es-ES" w:eastAsia="es-ES"/>
              </w:rPr>
              <w:t>622.912</w:t>
            </w:r>
          </w:p>
        </w:tc>
        <w:tc>
          <w:tcPr>
            <w:tcW w:w="1418" w:type="dxa"/>
            <w:tcBorders>
              <w:top w:val="nil"/>
              <w:left w:val="nil"/>
              <w:bottom w:val="single" w:sz="8" w:space="0" w:color="auto"/>
              <w:right w:val="nil"/>
            </w:tcBorders>
            <w:vAlign w:val="center"/>
          </w:tcPr>
          <w:p w:rsidR="00EB0EBD" w:rsidRPr="00A21F58" w:rsidRDefault="00EB0EBD" w:rsidP="007C21D6">
            <w:pPr>
              <w:spacing w:after="0"/>
              <w:ind w:right="80" w:firstLine="0"/>
              <w:jc w:val="right"/>
              <w:rPr>
                <w:rFonts w:ascii="Arial Narrow" w:hAnsi="Arial Narrow"/>
                <w:lang w:val="es-ES" w:eastAsia="es-ES"/>
              </w:rPr>
            </w:pPr>
            <w:r w:rsidRPr="007C21D6">
              <w:rPr>
                <w:rFonts w:ascii="Arial Narrow" w:hAnsi="Arial Narrow"/>
                <w:lang w:val="es-ES" w:eastAsia="es-ES"/>
              </w:rPr>
              <w:t>631.516</w:t>
            </w:r>
          </w:p>
        </w:tc>
        <w:tc>
          <w:tcPr>
            <w:tcW w:w="1780" w:type="dxa"/>
            <w:tcBorders>
              <w:top w:val="nil"/>
              <w:left w:val="nil"/>
              <w:bottom w:val="single" w:sz="8" w:space="0" w:color="auto"/>
              <w:right w:val="nil"/>
            </w:tcBorders>
            <w:vAlign w:val="center"/>
          </w:tcPr>
          <w:p w:rsidR="00EB0EBD" w:rsidRPr="00A21F58" w:rsidRDefault="0089015A" w:rsidP="0089015A">
            <w:pPr>
              <w:spacing w:after="0"/>
              <w:ind w:right="221" w:firstLine="0"/>
              <w:jc w:val="right"/>
              <w:rPr>
                <w:rFonts w:ascii="Arial Narrow" w:hAnsi="Arial Narrow"/>
                <w:lang w:val="es-ES" w:eastAsia="es-ES"/>
              </w:rPr>
            </w:pPr>
            <w:r>
              <w:rPr>
                <w:rFonts w:ascii="Arial Narrow" w:hAnsi="Arial Narrow"/>
                <w:lang w:val="es-ES" w:eastAsia="es-ES"/>
              </w:rPr>
              <w:t>8.604</w:t>
            </w:r>
          </w:p>
        </w:tc>
      </w:tr>
      <w:tr w:rsidR="00EB0EBD" w:rsidRPr="00734D84" w:rsidTr="00FF4AA3">
        <w:trPr>
          <w:trHeight w:val="255"/>
          <w:tblCellSpacing w:w="0" w:type="dxa"/>
          <w:jc w:val="center"/>
        </w:trPr>
        <w:tc>
          <w:tcPr>
            <w:tcW w:w="4094"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EB0EBD" w:rsidRPr="00734D84" w:rsidRDefault="00EB0EBD" w:rsidP="00EB0EBD">
            <w:pPr>
              <w:spacing w:after="0"/>
              <w:ind w:firstLine="0"/>
              <w:jc w:val="left"/>
              <w:rPr>
                <w:sz w:val="24"/>
                <w:szCs w:val="24"/>
                <w:lang w:val="es-ES" w:eastAsia="es-ES"/>
              </w:rPr>
            </w:pPr>
            <w:r w:rsidRPr="00734D84">
              <w:rPr>
                <w:rFonts w:ascii="Arial Narrow" w:hAnsi="Arial Narrow"/>
                <w:lang w:val="es-ES" w:eastAsia="es-ES"/>
              </w:rPr>
              <w:t>2009</w:t>
            </w:r>
          </w:p>
        </w:tc>
        <w:tc>
          <w:tcPr>
            <w:tcW w:w="1506" w:type="dxa"/>
            <w:tcBorders>
              <w:top w:val="nil"/>
              <w:left w:val="nil"/>
              <w:bottom w:val="single" w:sz="8" w:space="0" w:color="auto"/>
              <w:right w:val="nil"/>
            </w:tcBorders>
            <w:shd w:val="clear" w:color="auto" w:fill="auto"/>
            <w:noWrap/>
            <w:tcMar>
              <w:top w:w="0" w:type="dxa"/>
              <w:left w:w="108" w:type="dxa"/>
              <w:bottom w:w="0" w:type="dxa"/>
              <w:right w:w="108" w:type="dxa"/>
            </w:tcMar>
            <w:vAlign w:val="center"/>
          </w:tcPr>
          <w:p w:rsidR="00EB0EBD" w:rsidRPr="00A21F58" w:rsidRDefault="00EB0EBD" w:rsidP="007C21D6">
            <w:pPr>
              <w:spacing w:after="0"/>
              <w:ind w:firstLine="0"/>
              <w:jc w:val="right"/>
              <w:rPr>
                <w:rFonts w:ascii="Arial Narrow" w:hAnsi="Arial Narrow"/>
                <w:lang w:val="es-ES" w:eastAsia="es-ES"/>
              </w:rPr>
            </w:pPr>
            <w:r w:rsidRPr="007C21D6">
              <w:rPr>
                <w:rFonts w:ascii="Arial Narrow" w:hAnsi="Arial Narrow"/>
                <w:lang w:val="es-ES" w:eastAsia="es-ES"/>
              </w:rPr>
              <w:t>603.359</w:t>
            </w:r>
          </w:p>
        </w:tc>
        <w:tc>
          <w:tcPr>
            <w:tcW w:w="1418" w:type="dxa"/>
            <w:tcBorders>
              <w:top w:val="nil"/>
              <w:left w:val="nil"/>
              <w:bottom w:val="single" w:sz="8" w:space="0" w:color="auto"/>
              <w:right w:val="nil"/>
            </w:tcBorders>
            <w:vAlign w:val="center"/>
          </w:tcPr>
          <w:p w:rsidR="00EB0EBD" w:rsidRPr="00A21F58" w:rsidRDefault="00EB0EBD" w:rsidP="007C21D6">
            <w:pPr>
              <w:spacing w:after="0"/>
              <w:ind w:right="80" w:firstLine="0"/>
              <w:jc w:val="right"/>
              <w:rPr>
                <w:rFonts w:ascii="Arial Narrow" w:hAnsi="Arial Narrow"/>
                <w:lang w:val="es-ES" w:eastAsia="es-ES"/>
              </w:rPr>
            </w:pPr>
            <w:r w:rsidRPr="007C21D6">
              <w:rPr>
                <w:rFonts w:ascii="Arial Narrow" w:hAnsi="Arial Narrow"/>
                <w:lang w:val="es-ES" w:eastAsia="es-ES"/>
              </w:rPr>
              <w:t>602.607</w:t>
            </w:r>
          </w:p>
        </w:tc>
        <w:tc>
          <w:tcPr>
            <w:tcW w:w="1780" w:type="dxa"/>
            <w:tcBorders>
              <w:top w:val="nil"/>
              <w:left w:val="nil"/>
              <w:bottom w:val="single" w:sz="8" w:space="0" w:color="auto"/>
              <w:right w:val="nil"/>
            </w:tcBorders>
            <w:vAlign w:val="center"/>
          </w:tcPr>
          <w:p w:rsidR="00EB0EBD" w:rsidRPr="00A21F58" w:rsidRDefault="008F2606" w:rsidP="0089015A">
            <w:pPr>
              <w:spacing w:after="0"/>
              <w:ind w:right="221" w:firstLine="0"/>
              <w:jc w:val="right"/>
              <w:rPr>
                <w:rFonts w:ascii="Arial Narrow" w:hAnsi="Arial Narrow"/>
                <w:lang w:val="es-ES" w:eastAsia="es-ES"/>
              </w:rPr>
            </w:pPr>
            <w:r>
              <w:rPr>
                <w:rFonts w:ascii="Arial Narrow" w:hAnsi="Arial Narrow"/>
                <w:lang w:val="es-ES" w:eastAsia="es-ES"/>
              </w:rPr>
              <w:t>-752</w:t>
            </w:r>
          </w:p>
        </w:tc>
      </w:tr>
      <w:tr w:rsidR="00EB0EBD" w:rsidRPr="00734D84" w:rsidTr="00FF4AA3">
        <w:trPr>
          <w:trHeight w:val="255"/>
          <w:tblCellSpacing w:w="0" w:type="dxa"/>
          <w:jc w:val="center"/>
        </w:trPr>
        <w:tc>
          <w:tcPr>
            <w:tcW w:w="4094"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EB0EBD" w:rsidRPr="00734D84" w:rsidRDefault="00EB0EBD" w:rsidP="00EB0EBD">
            <w:pPr>
              <w:spacing w:after="0"/>
              <w:ind w:firstLine="0"/>
              <w:jc w:val="left"/>
              <w:rPr>
                <w:sz w:val="24"/>
                <w:szCs w:val="24"/>
                <w:lang w:val="es-ES" w:eastAsia="es-ES"/>
              </w:rPr>
            </w:pPr>
            <w:r w:rsidRPr="00734D84">
              <w:rPr>
                <w:rFonts w:ascii="Arial Narrow" w:hAnsi="Arial Narrow"/>
                <w:lang w:val="es-ES" w:eastAsia="es-ES"/>
              </w:rPr>
              <w:t>2010</w:t>
            </w:r>
          </w:p>
        </w:tc>
        <w:tc>
          <w:tcPr>
            <w:tcW w:w="1506" w:type="dxa"/>
            <w:tcBorders>
              <w:top w:val="nil"/>
              <w:left w:val="nil"/>
              <w:bottom w:val="single" w:sz="8" w:space="0" w:color="auto"/>
              <w:right w:val="nil"/>
            </w:tcBorders>
            <w:shd w:val="clear" w:color="auto" w:fill="auto"/>
            <w:noWrap/>
            <w:tcMar>
              <w:top w:w="0" w:type="dxa"/>
              <w:left w:w="108" w:type="dxa"/>
              <w:bottom w:w="0" w:type="dxa"/>
              <w:right w:w="108" w:type="dxa"/>
            </w:tcMar>
            <w:vAlign w:val="center"/>
          </w:tcPr>
          <w:p w:rsidR="00EB0EBD" w:rsidRPr="00A21F58" w:rsidRDefault="00EB0EBD" w:rsidP="007C21D6">
            <w:pPr>
              <w:spacing w:after="0"/>
              <w:ind w:firstLine="0"/>
              <w:jc w:val="right"/>
              <w:rPr>
                <w:rFonts w:ascii="Arial Narrow" w:hAnsi="Arial Narrow"/>
                <w:lang w:val="es-ES" w:eastAsia="es-ES"/>
              </w:rPr>
            </w:pPr>
            <w:r w:rsidRPr="007C21D6">
              <w:rPr>
                <w:rFonts w:ascii="Arial Narrow" w:hAnsi="Arial Narrow"/>
                <w:lang w:val="es-ES" w:eastAsia="es-ES"/>
              </w:rPr>
              <w:t>605.195</w:t>
            </w:r>
          </w:p>
        </w:tc>
        <w:tc>
          <w:tcPr>
            <w:tcW w:w="1418" w:type="dxa"/>
            <w:tcBorders>
              <w:top w:val="nil"/>
              <w:left w:val="nil"/>
              <w:bottom w:val="single" w:sz="8" w:space="0" w:color="auto"/>
              <w:right w:val="nil"/>
            </w:tcBorders>
            <w:vAlign w:val="center"/>
          </w:tcPr>
          <w:p w:rsidR="00EB0EBD" w:rsidRPr="00A21F58" w:rsidRDefault="00EB0EBD" w:rsidP="007C21D6">
            <w:pPr>
              <w:spacing w:after="0"/>
              <w:ind w:right="80" w:firstLine="0"/>
              <w:jc w:val="right"/>
              <w:rPr>
                <w:rFonts w:ascii="Arial Narrow" w:hAnsi="Arial Narrow"/>
                <w:lang w:val="es-ES" w:eastAsia="es-ES"/>
              </w:rPr>
            </w:pPr>
            <w:r w:rsidRPr="007C21D6">
              <w:rPr>
                <w:rFonts w:ascii="Arial Narrow" w:hAnsi="Arial Narrow"/>
                <w:lang w:val="es-ES" w:eastAsia="es-ES"/>
              </w:rPr>
              <w:t>615.664</w:t>
            </w:r>
          </w:p>
        </w:tc>
        <w:tc>
          <w:tcPr>
            <w:tcW w:w="1780" w:type="dxa"/>
            <w:tcBorders>
              <w:top w:val="nil"/>
              <w:left w:val="nil"/>
              <w:bottom w:val="single" w:sz="8" w:space="0" w:color="auto"/>
              <w:right w:val="nil"/>
            </w:tcBorders>
            <w:vAlign w:val="center"/>
          </w:tcPr>
          <w:p w:rsidR="00EB0EBD" w:rsidRPr="00A21F58" w:rsidRDefault="008F2606" w:rsidP="0089015A">
            <w:pPr>
              <w:spacing w:after="0"/>
              <w:ind w:right="221" w:firstLine="0"/>
              <w:jc w:val="right"/>
              <w:rPr>
                <w:rFonts w:ascii="Arial Narrow" w:hAnsi="Arial Narrow"/>
                <w:lang w:val="es-ES" w:eastAsia="es-ES"/>
              </w:rPr>
            </w:pPr>
            <w:r>
              <w:rPr>
                <w:rFonts w:ascii="Arial Narrow" w:hAnsi="Arial Narrow"/>
                <w:lang w:val="es-ES" w:eastAsia="es-ES"/>
              </w:rPr>
              <w:t>10.469</w:t>
            </w:r>
          </w:p>
        </w:tc>
      </w:tr>
      <w:tr w:rsidR="00EB0EBD" w:rsidRPr="00734D84" w:rsidTr="00FF4AA3">
        <w:trPr>
          <w:trHeight w:val="255"/>
          <w:tblCellSpacing w:w="0" w:type="dxa"/>
          <w:jc w:val="center"/>
        </w:trPr>
        <w:tc>
          <w:tcPr>
            <w:tcW w:w="4094"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EB0EBD" w:rsidRPr="00734D84" w:rsidRDefault="00EB0EBD" w:rsidP="00EB0EBD">
            <w:pPr>
              <w:spacing w:after="0"/>
              <w:ind w:firstLine="0"/>
              <w:jc w:val="left"/>
              <w:rPr>
                <w:sz w:val="24"/>
                <w:szCs w:val="24"/>
                <w:lang w:val="es-ES" w:eastAsia="es-ES"/>
              </w:rPr>
            </w:pPr>
            <w:r w:rsidRPr="00734D84">
              <w:rPr>
                <w:rFonts w:ascii="Arial Narrow" w:hAnsi="Arial Narrow"/>
                <w:lang w:val="es-ES" w:eastAsia="es-ES"/>
              </w:rPr>
              <w:t>2011</w:t>
            </w:r>
          </w:p>
        </w:tc>
        <w:tc>
          <w:tcPr>
            <w:tcW w:w="1506" w:type="dxa"/>
            <w:tcBorders>
              <w:top w:val="nil"/>
              <w:left w:val="nil"/>
              <w:bottom w:val="single" w:sz="8" w:space="0" w:color="auto"/>
              <w:right w:val="nil"/>
            </w:tcBorders>
            <w:shd w:val="clear" w:color="auto" w:fill="auto"/>
            <w:noWrap/>
            <w:tcMar>
              <w:top w:w="0" w:type="dxa"/>
              <w:left w:w="108" w:type="dxa"/>
              <w:bottom w:w="0" w:type="dxa"/>
              <w:right w:w="108" w:type="dxa"/>
            </w:tcMar>
            <w:vAlign w:val="center"/>
          </w:tcPr>
          <w:p w:rsidR="00EB0EBD" w:rsidRPr="00A21F58" w:rsidRDefault="00EB0EBD" w:rsidP="007C21D6">
            <w:pPr>
              <w:spacing w:after="0"/>
              <w:ind w:firstLine="0"/>
              <w:jc w:val="right"/>
              <w:rPr>
                <w:rFonts w:ascii="Arial Narrow" w:hAnsi="Arial Narrow"/>
                <w:lang w:val="es-ES" w:eastAsia="es-ES"/>
              </w:rPr>
            </w:pPr>
            <w:r w:rsidRPr="007C21D6">
              <w:rPr>
                <w:rFonts w:ascii="Arial Narrow" w:hAnsi="Arial Narrow"/>
                <w:lang w:val="es-ES" w:eastAsia="es-ES"/>
              </w:rPr>
              <w:t>591.505</w:t>
            </w:r>
          </w:p>
        </w:tc>
        <w:tc>
          <w:tcPr>
            <w:tcW w:w="1418" w:type="dxa"/>
            <w:tcBorders>
              <w:top w:val="nil"/>
              <w:left w:val="nil"/>
              <w:bottom w:val="single" w:sz="8" w:space="0" w:color="auto"/>
              <w:right w:val="nil"/>
            </w:tcBorders>
            <w:vAlign w:val="center"/>
          </w:tcPr>
          <w:p w:rsidR="00EB0EBD" w:rsidRPr="00A21F58" w:rsidRDefault="00EB0EBD" w:rsidP="007C21D6">
            <w:pPr>
              <w:spacing w:after="0"/>
              <w:ind w:right="80" w:firstLine="0"/>
              <w:jc w:val="right"/>
              <w:rPr>
                <w:rFonts w:ascii="Arial Narrow" w:hAnsi="Arial Narrow"/>
                <w:lang w:val="es-ES" w:eastAsia="es-ES"/>
              </w:rPr>
            </w:pPr>
            <w:r w:rsidRPr="007C21D6">
              <w:rPr>
                <w:rFonts w:ascii="Arial Narrow" w:hAnsi="Arial Narrow"/>
                <w:lang w:val="es-ES" w:eastAsia="es-ES"/>
              </w:rPr>
              <w:t>628.463</w:t>
            </w:r>
          </w:p>
        </w:tc>
        <w:tc>
          <w:tcPr>
            <w:tcW w:w="1780" w:type="dxa"/>
            <w:tcBorders>
              <w:top w:val="nil"/>
              <w:left w:val="nil"/>
              <w:bottom w:val="single" w:sz="8" w:space="0" w:color="auto"/>
              <w:right w:val="nil"/>
            </w:tcBorders>
            <w:vAlign w:val="center"/>
          </w:tcPr>
          <w:p w:rsidR="00EB0EBD" w:rsidRPr="00A21F58" w:rsidRDefault="008F2606" w:rsidP="0089015A">
            <w:pPr>
              <w:spacing w:after="0"/>
              <w:ind w:right="221" w:firstLine="0"/>
              <w:jc w:val="right"/>
              <w:rPr>
                <w:rFonts w:ascii="Arial Narrow" w:hAnsi="Arial Narrow"/>
                <w:lang w:val="es-ES" w:eastAsia="es-ES"/>
              </w:rPr>
            </w:pPr>
            <w:r>
              <w:rPr>
                <w:rFonts w:ascii="Arial Narrow" w:hAnsi="Arial Narrow"/>
                <w:lang w:val="es-ES" w:eastAsia="es-ES"/>
              </w:rPr>
              <w:t>36.958</w:t>
            </w:r>
          </w:p>
        </w:tc>
      </w:tr>
      <w:tr w:rsidR="00EB0EBD" w:rsidRPr="00734D84" w:rsidTr="00FF4AA3">
        <w:trPr>
          <w:trHeight w:val="255"/>
          <w:tblCellSpacing w:w="0" w:type="dxa"/>
          <w:jc w:val="center"/>
        </w:trPr>
        <w:tc>
          <w:tcPr>
            <w:tcW w:w="4094"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EB0EBD" w:rsidRPr="00734D84" w:rsidRDefault="00EB0EBD" w:rsidP="00EB0EBD">
            <w:pPr>
              <w:spacing w:after="0"/>
              <w:ind w:firstLine="0"/>
              <w:jc w:val="left"/>
              <w:rPr>
                <w:sz w:val="24"/>
                <w:szCs w:val="24"/>
                <w:lang w:val="es-ES" w:eastAsia="es-ES"/>
              </w:rPr>
            </w:pPr>
            <w:r w:rsidRPr="00734D84">
              <w:rPr>
                <w:rFonts w:ascii="Arial Narrow" w:hAnsi="Arial Narrow"/>
                <w:lang w:val="es-ES" w:eastAsia="es-ES"/>
              </w:rPr>
              <w:t>2012</w:t>
            </w:r>
          </w:p>
        </w:tc>
        <w:tc>
          <w:tcPr>
            <w:tcW w:w="1506" w:type="dxa"/>
            <w:tcBorders>
              <w:top w:val="nil"/>
              <w:left w:val="nil"/>
              <w:bottom w:val="single" w:sz="8" w:space="0" w:color="auto"/>
              <w:right w:val="nil"/>
            </w:tcBorders>
            <w:shd w:val="clear" w:color="auto" w:fill="auto"/>
            <w:noWrap/>
            <w:tcMar>
              <w:top w:w="0" w:type="dxa"/>
              <w:left w:w="108" w:type="dxa"/>
              <w:bottom w:w="0" w:type="dxa"/>
              <w:right w:w="108" w:type="dxa"/>
            </w:tcMar>
            <w:vAlign w:val="center"/>
          </w:tcPr>
          <w:p w:rsidR="00EB0EBD" w:rsidRPr="00A21F58" w:rsidRDefault="00EB0EBD" w:rsidP="007C21D6">
            <w:pPr>
              <w:spacing w:after="0"/>
              <w:ind w:firstLine="0"/>
              <w:jc w:val="right"/>
              <w:rPr>
                <w:rFonts w:ascii="Arial Narrow" w:hAnsi="Arial Narrow"/>
                <w:lang w:val="es-ES" w:eastAsia="es-ES"/>
              </w:rPr>
            </w:pPr>
            <w:r w:rsidRPr="007C21D6">
              <w:rPr>
                <w:rFonts w:ascii="Arial Narrow" w:hAnsi="Arial Narrow"/>
                <w:lang w:val="es-ES" w:eastAsia="es-ES"/>
              </w:rPr>
              <w:t>488.730</w:t>
            </w:r>
          </w:p>
        </w:tc>
        <w:tc>
          <w:tcPr>
            <w:tcW w:w="1418" w:type="dxa"/>
            <w:tcBorders>
              <w:top w:val="nil"/>
              <w:left w:val="nil"/>
              <w:bottom w:val="single" w:sz="8" w:space="0" w:color="auto"/>
              <w:right w:val="nil"/>
            </w:tcBorders>
            <w:vAlign w:val="center"/>
          </w:tcPr>
          <w:p w:rsidR="00EB0EBD" w:rsidRPr="00A21F58" w:rsidRDefault="00EB0EBD" w:rsidP="007C21D6">
            <w:pPr>
              <w:spacing w:after="0"/>
              <w:ind w:right="80" w:firstLine="0"/>
              <w:jc w:val="right"/>
              <w:rPr>
                <w:rFonts w:ascii="Arial Narrow" w:hAnsi="Arial Narrow"/>
                <w:lang w:val="es-ES" w:eastAsia="es-ES"/>
              </w:rPr>
            </w:pPr>
            <w:r w:rsidRPr="007C21D6">
              <w:rPr>
                <w:rFonts w:ascii="Arial Narrow" w:hAnsi="Arial Narrow"/>
                <w:lang w:val="es-ES" w:eastAsia="es-ES"/>
              </w:rPr>
              <w:t>508.139</w:t>
            </w:r>
          </w:p>
        </w:tc>
        <w:tc>
          <w:tcPr>
            <w:tcW w:w="1780" w:type="dxa"/>
            <w:tcBorders>
              <w:top w:val="nil"/>
              <w:left w:val="nil"/>
              <w:bottom w:val="single" w:sz="8" w:space="0" w:color="auto"/>
              <w:right w:val="nil"/>
            </w:tcBorders>
            <w:vAlign w:val="center"/>
          </w:tcPr>
          <w:p w:rsidR="00EB0EBD" w:rsidRPr="00A21F58" w:rsidRDefault="008F2606" w:rsidP="0089015A">
            <w:pPr>
              <w:spacing w:after="0"/>
              <w:ind w:right="221" w:firstLine="0"/>
              <w:jc w:val="right"/>
              <w:rPr>
                <w:rFonts w:ascii="Arial Narrow" w:hAnsi="Arial Narrow"/>
                <w:lang w:val="es-ES" w:eastAsia="es-ES"/>
              </w:rPr>
            </w:pPr>
            <w:r>
              <w:rPr>
                <w:rFonts w:ascii="Arial Narrow" w:hAnsi="Arial Narrow"/>
                <w:lang w:val="es-ES" w:eastAsia="es-ES"/>
              </w:rPr>
              <w:t>19.409</w:t>
            </w:r>
          </w:p>
        </w:tc>
      </w:tr>
      <w:tr w:rsidR="00EB0EBD" w:rsidRPr="00734D84" w:rsidTr="00FF4AA3">
        <w:trPr>
          <w:trHeight w:val="255"/>
          <w:tblCellSpacing w:w="0" w:type="dxa"/>
          <w:jc w:val="center"/>
        </w:trPr>
        <w:tc>
          <w:tcPr>
            <w:tcW w:w="4094"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EB0EBD" w:rsidRPr="00734D84" w:rsidRDefault="00EB0EBD" w:rsidP="00EB0EBD">
            <w:pPr>
              <w:spacing w:after="0"/>
              <w:ind w:firstLine="0"/>
              <w:jc w:val="left"/>
              <w:rPr>
                <w:sz w:val="24"/>
                <w:szCs w:val="24"/>
                <w:lang w:val="es-ES" w:eastAsia="es-ES"/>
              </w:rPr>
            </w:pPr>
            <w:r w:rsidRPr="00734D84">
              <w:rPr>
                <w:rFonts w:ascii="Arial Narrow" w:hAnsi="Arial Narrow"/>
                <w:lang w:val="es-ES" w:eastAsia="es-ES"/>
              </w:rPr>
              <w:t xml:space="preserve">2013 </w:t>
            </w:r>
          </w:p>
        </w:tc>
        <w:tc>
          <w:tcPr>
            <w:tcW w:w="1506" w:type="dxa"/>
            <w:tcBorders>
              <w:top w:val="nil"/>
              <w:left w:val="nil"/>
              <w:bottom w:val="single" w:sz="8" w:space="0" w:color="auto"/>
              <w:right w:val="nil"/>
            </w:tcBorders>
            <w:shd w:val="clear" w:color="auto" w:fill="auto"/>
            <w:noWrap/>
            <w:tcMar>
              <w:top w:w="0" w:type="dxa"/>
              <w:left w:w="108" w:type="dxa"/>
              <w:bottom w:w="0" w:type="dxa"/>
              <w:right w:w="108" w:type="dxa"/>
            </w:tcMar>
            <w:vAlign w:val="center"/>
          </w:tcPr>
          <w:p w:rsidR="00EB0EBD" w:rsidRPr="00A21F58" w:rsidRDefault="00EB0EBD" w:rsidP="007C21D6">
            <w:pPr>
              <w:spacing w:after="0"/>
              <w:ind w:firstLine="0"/>
              <w:jc w:val="right"/>
              <w:rPr>
                <w:rFonts w:ascii="Arial Narrow" w:hAnsi="Arial Narrow"/>
                <w:lang w:val="es-ES" w:eastAsia="es-ES"/>
              </w:rPr>
            </w:pPr>
            <w:r w:rsidRPr="007C21D6">
              <w:rPr>
                <w:rFonts w:ascii="Arial Narrow" w:hAnsi="Arial Narrow"/>
                <w:lang w:val="es-ES" w:eastAsia="es-ES"/>
              </w:rPr>
              <w:t>581.455</w:t>
            </w:r>
          </w:p>
        </w:tc>
        <w:tc>
          <w:tcPr>
            <w:tcW w:w="1418" w:type="dxa"/>
            <w:tcBorders>
              <w:top w:val="nil"/>
              <w:left w:val="nil"/>
              <w:bottom w:val="single" w:sz="8" w:space="0" w:color="auto"/>
              <w:right w:val="nil"/>
            </w:tcBorders>
            <w:vAlign w:val="center"/>
          </w:tcPr>
          <w:p w:rsidR="00EB0EBD" w:rsidRPr="00A21F58" w:rsidRDefault="00EB0EBD" w:rsidP="007C21D6">
            <w:pPr>
              <w:spacing w:after="0"/>
              <w:ind w:right="80" w:firstLine="0"/>
              <w:jc w:val="right"/>
              <w:rPr>
                <w:rFonts w:ascii="Arial Narrow" w:hAnsi="Arial Narrow"/>
                <w:lang w:val="es-ES" w:eastAsia="es-ES"/>
              </w:rPr>
            </w:pPr>
            <w:r w:rsidRPr="007C21D6">
              <w:rPr>
                <w:rFonts w:ascii="Arial Narrow" w:hAnsi="Arial Narrow"/>
                <w:lang w:val="es-ES" w:eastAsia="es-ES"/>
              </w:rPr>
              <w:t>589.317</w:t>
            </w:r>
          </w:p>
        </w:tc>
        <w:tc>
          <w:tcPr>
            <w:tcW w:w="1780" w:type="dxa"/>
            <w:tcBorders>
              <w:top w:val="nil"/>
              <w:left w:val="nil"/>
              <w:bottom w:val="single" w:sz="8" w:space="0" w:color="auto"/>
              <w:right w:val="nil"/>
            </w:tcBorders>
            <w:vAlign w:val="center"/>
          </w:tcPr>
          <w:p w:rsidR="00EB0EBD" w:rsidRPr="00A21F58" w:rsidRDefault="008F2606" w:rsidP="0089015A">
            <w:pPr>
              <w:spacing w:after="0"/>
              <w:ind w:right="221" w:firstLine="0"/>
              <w:jc w:val="right"/>
              <w:rPr>
                <w:rFonts w:ascii="Arial Narrow" w:hAnsi="Arial Narrow"/>
                <w:lang w:val="es-ES" w:eastAsia="es-ES"/>
              </w:rPr>
            </w:pPr>
            <w:r>
              <w:rPr>
                <w:rFonts w:ascii="Arial Narrow" w:hAnsi="Arial Narrow"/>
                <w:lang w:val="es-ES" w:eastAsia="es-ES"/>
              </w:rPr>
              <w:t>7.862</w:t>
            </w:r>
          </w:p>
        </w:tc>
      </w:tr>
      <w:tr w:rsidR="00EB0EBD" w:rsidRPr="00734D84" w:rsidTr="00FF4AA3">
        <w:trPr>
          <w:trHeight w:val="255"/>
          <w:tblCellSpacing w:w="0" w:type="dxa"/>
          <w:jc w:val="center"/>
        </w:trPr>
        <w:tc>
          <w:tcPr>
            <w:tcW w:w="4094"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EB0EBD" w:rsidRPr="00734D84" w:rsidRDefault="00EB0EBD" w:rsidP="00EB0EBD">
            <w:pPr>
              <w:spacing w:after="0"/>
              <w:ind w:firstLine="0"/>
              <w:jc w:val="left"/>
              <w:rPr>
                <w:sz w:val="24"/>
                <w:szCs w:val="24"/>
                <w:lang w:val="es-ES" w:eastAsia="es-ES"/>
              </w:rPr>
            </w:pPr>
            <w:r w:rsidRPr="00734D84">
              <w:rPr>
                <w:rFonts w:ascii="Arial Narrow" w:hAnsi="Arial Narrow"/>
                <w:lang w:val="es-ES" w:eastAsia="es-ES"/>
              </w:rPr>
              <w:t xml:space="preserve">2014 </w:t>
            </w:r>
          </w:p>
        </w:tc>
        <w:tc>
          <w:tcPr>
            <w:tcW w:w="1506" w:type="dxa"/>
            <w:tcBorders>
              <w:top w:val="nil"/>
              <w:left w:val="nil"/>
              <w:bottom w:val="single" w:sz="8" w:space="0" w:color="auto"/>
              <w:right w:val="nil"/>
            </w:tcBorders>
            <w:shd w:val="clear" w:color="auto" w:fill="auto"/>
            <w:noWrap/>
            <w:tcMar>
              <w:top w:w="0" w:type="dxa"/>
              <w:left w:w="108" w:type="dxa"/>
              <w:bottom w:w="0" w:type="dxa"/>
              <w:right w:w="108" w:type="dxa"/>
            </w:tcMar>
            <w:vAlign w:val="center"/>
          </w:tcPr>
          <w:p w:rsidR="00EB0EBD" w:rsidRPr="00A21F58" w:rsidRDefault="00EB0EBD" w:rsidP="007C21D6">
            <w:pPr>
              <w:spacing w:after="0"/>
              <w:ind w:firstLine="0"/>
              <w:jc w:val="right"/>
              <w:rPr>
                <w:rFonts w:ascii="Arial Narrow" w:hAnsi="Arial Narrow"/>
                <w:lang w:val="es-ES" w:eastAsia="es-ES"/>
              </w:rPr>
            </w:pPr>
            <w:r w:rsidRPr="007C21D6">
              <w:rPr>
                <w:rFonts w:ascii="Arial Narrow" w:hAnsi="Arial Narrow"/>
                <w:lang w:val="es-ES" w:eastAsia="es-ES"/>
              </w:rPr>
              <w:t>539.134</w:t>
            </w:r>
          </w:p>
        </w:tc>
        <w:tc>
          <w:tcPr>
            <w:tcW w:w="1418" w:type="dxa"/>
            <w:tcBorders>
              <w:top w:val="nil"/>
              <w:left w:val="nil"/>
              <w:bottom w:val="single" w:sz="8" w:space="0" w:color="auto"/>
              <w:right w:val="nil"/>
            </w:tcBorders>
            <w:vAlign w:val="center"/>
          </w:tcPr>
          <w:p w:rsidR="00EB0EBD" w:rsidRPr="00A21F58" w:rsidRDefault="00EB0EBD" w:rsidP="007C21D6">
            <w:pPr>
              <w:spacing w:after="0"/>
              <w:ind w:right="80" w:firstLine="0"/>
              <w:jc w:val="right"/>
              <w:rPr>
                <w:rFonts w:ascii="Arial Narrow" w:hAnsi="Arial Narrow"/>
                <w:lang w:val="es-ES" w:eastAsia="es-ES"/>
              </w:rPr>
            </w:pPr>
            <w:r w:rsidRPr="007C21D6">
              <w:rPr>
                <w:rFonts w:ascii="Arial Narrow" w:hAnsi="Arial Narrow"/>
                <w:lang w:val="es-ES" w:eastAsia="es-ES"/>
              </w:rPr>
              <w:t>540.073</w:t>
            </w:r>
          </w:p>
        </w:tc>
        <w:tc>
          <w:tcPr>
            <w:tcW w:w="1780" w:type="dxa"/>
            <w:tcBorders>
              <w:top w:val="nil"/>
              <w:left w:val="nil"/>
              <w:bottom w:val="single" w:sz="8" w:space="0" w:color="auto"/>
              <w:right w:val="nil"/>
            </w:tcBorders>
            <w:vAlign w:val="center"/>
          </w:tcPr>
          <w:p w:rsidR="00EB0EBD" w:rsidRPr="00A21F58" w:rsidRDefault="008F2606" w:rsidP="0089015A">
            <w:pPr>
              <w:spacing w:after="0"/>
              <w:ind w:right="221" w:firstLine="0"/>
              <w:jc w:val="right"/>
              <w:rPr>
                <w:rFonts w:ascii="Arial Narrow" w:hAnsi="Arial Narrow"/>
                <w:lang w:val="es-ES" w:eastAsia="es-ES"/>
              </w:rPr>
            </w:pPr>
            <w:r>
              <w:rPr>
                <w:rFonts w:ascii="Arial Narrow" w:hAnsi="Arial Narrow"/>
                <w:lang w:val="es-ES" w:eastAsia="es-ES"/>
              </w:rPr>
              <w:t>939</w:t>
            </w:r>
          </w:p>
        </w:tc>
      </w:tr>
      <w:tr w:rsidR="00EB0EBD" w:rsidRPr="00734D84" w:rsidTr="00FF4AA3">
        <w:trPr>
          <w:trHeight w:val="255"/>
          <w:tblCellSpacing w:w="0" w:type="dxa"/>
          <w:jc w:val="center"/>
        </w:trPr>
        <w:tc>
          <w:tcPr>
            <w:tcW w:w="4094" w:type="dxa"/>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EB0EBD" w:rsidRPr="00734D84" w:rsidRDefault="00EB0EBD" w:rsidP="00EB0EBD">
            <w:pPr>
              <w:spacing w:after="0"/>
              <w:ind w:firstLine="0"/>
              <w:jc w:val="left"/>
              <w:rPr>
                <w:sz w:val="24"/>
                <w:szCs w:val="24"/>
                <w:lang w:val="es-ES" w:eastAsia="es-ES"/>
              </w:rPr>
            </w:pPr>
            <w:r w:rsidRPr="00734D84">
              <w:rPr>
                <w:rFonts w:ascii="Arial Narrow" w:hAnsi="Arial Narrow"/>
                <w:lang w:val="es-ES" w:eastAsia="es-ES"/>
              </w:rPr>
              <w:t>2015</w:t>
            </w:r>
            <w:r w:rsidR="00A1646C">
              <w:rPr>
                <w:rFonts w:ascii="Arial Narrow" w:hAnsi="Arial Narrow"/>
                <w:lang w:val="es-ES" w:eastAsia="es-ES"/>
              </w:rPr>
              <w:t xml:space="preserve"> (*)</w:t>
            </w:r>
          </w:p>
        </w:tc>
        <w:tc>
          <w:tcPr>
            <w:tcW w:w="1506" w:type="dxa"/>
            <w:tcBorders>
              <w:top w:val="nil"/>
              <w:left w:val="nil"/>
              <w:bottom w:val="single" w:sz="8" w:space="0" w:color="auto"/>
              <w:right w:val="nil"/>
            </w:tcBorders>
            <w:shd w:val="clear" w:color="auto" w:fill="auto"/>
            <w:noWrap/>
            <w:tcMar>
              <w:top w:w="0" w:type="dxa"/>
              <w:left w:w="108" w:type="dxa"/>
              <w:bottom w:w="0" w:type="dxa"/>
              <w:right w:w="108" w:type="dxa"/>
            </w:tcMar>
            <w:vAlign w:val="center"/>
          </w:tcPr>
          <w:p w:rsidR="00EB0EBD" w:rsidRPr="00A21F58" w:rsidRDefault="00EB0EBD" w:rsidP="007C21D6">
            <w:pPr>
              <w:spacing w:after="0"/>
              <w:ind w:firstLine="0"/>
              <w:jc w:val="right"/>
              <w:rPr>
                <w:rFonts w:ascii="Arial Narrow" w:hAnsi="Arial Narrow"/>
                <w:lang w:val="es-ES" w:eastAsia="es-ES"/>
              </w:rPr>
            </w:pPr>
            <w:r>
              <w:rPr>
                <w:rFonts w:ascii="Arial Narrow" w:hAnsi="Arial Narrow"/>
                <w:lang w:val="es-ES" w:eastAsia="es-ES"/>
              </w:rPr>
              <w:t>n/d</w:t>
            </w:r>
          </w:p>
        </w:tc>
        <w:tc>
          <w:tcPr>
            <w:tcW w:w="1418" w:type="dxa"/>
            <w:tcBorders>
              <w:top w:val="nil"/>
              <w:left w:val="nil"/>
              <w:bottom w:val="single" w:sz="8" w:space="0" w:color="auto"/>
              <w:right w:val="nil"/>
            </w:tcBorders>
            <w:vAlign w:val="center"/>
          </w:tcPr>
          <w:p w:rsidR="00EB0EBD" w:rsidRPr="00A21F58" w:rsidRDefault="00EB0EBD" w:rsidP="007C21D6">
            <w:pPr>
              <w:spacing w:after="0"/>
              <w:ind w:right="80" w:firstLine="0"/>
              <w:jc w:val="right"/>
              <w:rPr>
                <w:rFonts w:ascii="Arial Narrow" w:hAnsi="Arial Narrow"/>
                <w:lang w:val="es-ES" w:eastAsia="es-ES"/>
              </w:rPr>
            </w:pPr>
            <w:r>
              <w:rPr>
                <w:rFonts w:ascii="Arial Narrow" w:hAnsi="Arial Narrow"/>
                <w:lang w:val="es-ES" w:eastAsia="es-ES"/>
              </w:rPr>
              <w:t>n/d</w:t>
            </w:r>
          </w:p>
        </w:tc>
        <w:tc>
          <w:tcPr>
            <w:tcW w:w="1780" w:type="dxa"/>
            <w:tcBorders>
              <w:top w:val="nil"/>
              <w:left w:val="nil"/>
              <w:bottom w:val="single" w:sz="8" w:space="0" w:color="auto"/>
              <w:right w:val="nil"/>
            </w:tcBorders>
            <w:vAlign w:val="center"/>
          </w:tcPr>
          <w:p w:rsidR="00EB0EBD" w:rsidRPr="00A21F58" w:rsidRDefault="008F2606" w:rsidP="0089015A">
            <w:pPr>
              <w:spacing w:after="0"/>
              <w:ind w:right="221" w:firstLine="0"/>
              <w:jc w:val="right"/>
              <w:rPr>
                <w:rFonts w:ascii="Arial Narrow" w:hAnsi="Arial Narrow"/>
                <w:lang w:val="es-ES" w:eastAsia="es-ES"/>
              </w:rPr>
            </w:pPr>
            <w:r>
              <w:rPr>
                <w:rFonts w:ascii="Arial Narrow" w:hAnsi="Arial Narrow"/>
                <w:lang w:val="es-ES" w:eastAsia="es-ES"/>
              </w:rPr>
              <w:t>n/d</w:t>
            </w:r>
          </w:p>
        </w:tc>
      </w:tr>
    </w:tbl>
    <w:p w:rsidR="007954F0" w:rsidRPr="003606BE" w:rsidRDefault="00A1646C" w:rsidP="00FF4AA3">
      <w:pPr>
        <w:pStyle w:val="cuatexto"/>
        <w:spacing w:before="60"/>
        <w:rPr>
          <w:sz w:val="18"/>
          <w:szCs w:val="18"/>
        </w:rPr>
      </w:pPr>
      <w:r w:rsidRPr="003606BE">
        <w:rPr>
          <w:sz w:val="18"/>
          <w:szCs w:val="18"/>
        </w:rPr>
        <w:t xml:space="preserve">  (*) En el momento de redactar este informe, no disponemos de las cuentas de 2015</w:t>
      </w:r>
    </w:p>
    <w:p w:rsidR="00A1646C" w:rsidRDefault="00A1646C" w:rsidP="00FF4AA3">
      <w:pPr>
        <w:pStyle w:val="texto"/>
        <w:spacing w:after="0"/>
      </w:pPr>
    </w:p>
    <w:p w:rsidR="007954F0" w:rsidRDefault="007954F0" w:rsidP="00FF4AA3">
      <w:pPr>
        <w:pStyle w:val="texto"/>
        <w:rPr>
          <w:lang w:val="es-ES"/>
        </w:rPr>
      </w:pPr>
      <w:r>
        <w:rPr>
          <w:lang w:val="es-ES"/>
        </w:rPr>
        <w:t>En ingresos, l</w:t>
      </w:r>
      <w:r w:rsidR="00B3740A">
        <w:rPr>
          <w:lang w:val="es-ES"/>
        </w:rPr>
        <w:t>os</w:t>
      </w:r>
      <w:r>
        <w:rPr>
          <w:lang w:val="es-ES"/>
        </w:rPr>
        <w:t xml:space="preserve"> más relevantes son l</w:t>
      </w:r>
      <w:r w:rsidR="00B3740A">
        <w:rPr>
          <w:lang w:val="es-ES"/>
        </w:rPr>
        <w:t>o</w:t>
      </w:r>
      <w:r>
        <w:rPr>
          <w:lang w:val="es-ES"/>
        </w:rPr>
        <w:t xml:space="preserve">s procedentes de </w:t>
      </w:r>
      <w:r w:rsidR="00B3740A">
        <w:rPr>
          <w:lang w:val="es-ES"/>
        </w:rPr>
        <w:t xml:space="preserve">aportaciones de </w:t>
      </w:r>
      <w:r>
        <w:rPr>
          <w:lang w:val="es-ES"/>
        </w:rPr>
        <w:t>col</w:t>
      </w:r>
      <w:r>
        <w:rPr>
          <w:lang w:val="es-ES"/>
        </w:rPr>
        <w:t>a</w:t>
      </w:r>
      <w:r>
        <w:rPr>
          <w:lang w:val="es-ES"/>
        </w:rPr>
        <w:t xml:space="preserve">boradores </w:t>
      </w:r>
      <w:r w:rsidR="00DB04D2">
        <w:rPr>
          <w:lang w:val="es-ES"/>
        </w:rPr>
        <w:t>(</w:t>
      </w:r>
      <w:r>
        <w:rPr>
          <w:lang w:val="es-ES"/>
        </w:rPr>
        <w:t>administraciones públicas y patrocinadores</w:t>
      </w:r>
      <w:r w:rsidR="00DB04D2">
        <w:rPr>
          <w:lang w:val="es-ES"/>
        </w:rPr>
        <w:t>) –que representan más del 9</w:t>
      </w:r>
      <w:r w:rsidR="00B27AF4">
        <w:rPr>
          <w:lang w:val="es-ES"/>
        </w:rPr>
        <w:t>2</w:t>
      </w:r>
      <w:r w:rsidR="00DB04D2">
        <w:rPr>
          <w:lang w:val="es-ES"/>
        </w:rPr>
        <w:t xml:space="preserve"> por ciento de los ingresos totales del periodo</w:t>
      </w:r>
      <w:r w:rsidR="008D3B9A">
        <w:rPr>
          <w:lang w:val="es-ES"/>
        </w:rPr>
        <w:t>–</w:t>
      </w:r>
      <w:r>
        <w:rPr>
          <w:lang w:val="es-ES"/>
        </w:rPr>
        <w:t xml:space="preserve"> y de cursos impartidos</w:t>
      </w:r>
      <w:r w:rsidR="00DB04D2">
        <w:rPr>
          <w:lang w:val="es-ES"/>
        </w:rPr>
        <w:t xml:space="preserve"> –en torno al siete por ciento</w:t>
      </w:r>
      <w:r w:rsidR="008D3B9A">
        <w:rPr>
          <w:lang w:val="es-ES"/>
        </w:rPr>
        <w:t>–</w:t>
      </w:r>
      <w:r>
        <w:rPr>
          <w:lang w:val="es-ES"/>
        </w:rPr>
        <w:t>.</w:t>
      </w:r>
    </w:p>
    <w:p w:rsidR="00BA075D" w:rsidRPr="00D74AE3" w:rsidRDefault="007954F0" w:rsidP="00FF4AA3">
      <w:pPr>
        <w:pStyle w:val="texto"/>
        <w:rPr>
          <w:lang w:val="es-ES"/>
        </w:rPr>
      </w:pPr>
      <w:r>
        <w:rPr>
          <w:lang w:val="es-ES"/>
        </w:rPr>
        <w:t>En gastos, destacan especialmente el conjunto de becas y ayudas a depor</w:t>
      </w:r>
      <w:r w:rsidR="004B0C79">
        <w:rPr>
          <w:lang w:val="es-ES"/>
        </w:rPr>
        <w:t>ti</w:t>
      </w:r>
      <w:r w:rsidR="004B0C79">
        <w:rPr>
          <w:lang w:val="es-ES"/>
        </w:rPr>
        <w:t>s</w:t>
      </w:r>
      <w:r w:rsidR="004B0C79">
        <w:rPr>
          <w:lang w:val="es-ES"/>
        </w:rPr>
        <w:t>t</w:t>
      </w:r>
      <w:r>
        <w:rPr>
          <w:lang w:val="es-ES"/>
        </w:rPr>
        <w:t>as</w:t>
      </w:r>
      <w:r w:rsidR="008D3B9A">
        <w:rPr>
          <w:lang w:val="es-ES"/>
        </w:rPr>
        <w:t xml:space="preserve"> y técnicos –</w:t>
      </w:r>
      <w:r w:rsidR="00B3740A">
        <w:rPr>
          <w:lang w:val="es-ES"/>
        </w:rPr>
        <w:t>que suponen en torno al 50 por ciento de los gastos totales del periodo</w:t>
      </w:r>
      <w:r w:rsidR="008D3B9A">
        <w:rPr>
          <w:lang w:val="es-ES"/>
        </w:rPr>
        <w:t>–</w:t>
      </w:r>
      <w:r w:rsidR="00BA075D">
        <w:rPr>
          <w:lang w:val="es-ES"/>
        </w:rPr>
        <w:t xml:space="preserve"> y aprovisionamientos, con un 40 por ciento. Dentro de éstos últimos se encuentra registrado el contrato de gestión económico-contable de la Fund</w:t>
      </w:r>
      <w:r w:rsidR="00BA075D">
        <w:rPr>
          <w:lang w:val="es-ES"/>
        </w:rPr>
        <w:t>a</w:t>
      </w:r>
      <w:r w:rsidR="00BA075D">
        <w:rPr>
          <w:lang w:val="es-ES"/>
        </w:rPr>
        <w:t>ción con una empresa especializada en gestión deportiva</w:t>
      </w:r>
      <w:r w:rsidR="00F56C10">
        <w:rPr>
          <w:rStyle w:val="Refdenotaalpie"/>
          <w:lang w:val="es-ES"/>
        </w:rPr>
        <w:footnoteReference w:id="1"/>
      </w:r>
      <w:r w:rsidR="00BA075D">
        <w:rPr>
          <w:lang w:val="es-ES"/>
        </w:rPr>
        <w:t>, con un coste medio anual sobre los 50.000 euros.</w:t>
      </w:r>
    </w:p>
    <w:p w:rsidR="001F5A62" w:rsidRDefault="001F5A62" w:rsidP="00FF4AA3">
      <w:pPr>
        <w:pStyle w:val="texto"/>
        <w:rPr>
          <w:lang w:val="es-ES"/>
        </w:rPr>
      </w:pPr>
      <w:r>
        <w:rPr>
          <w:lang w:val="es-ES"/>
        </w:rPr>
        <w:t xml:space="preserve">No constan gastos de personal </w:t>
      </w:r>
      <w:r w:rsidR="0038075B">
        <w:rPr>
          <w:lang w:val="es-ES"/>
        </w:rPr>
        <w:t>ni</w:t>
      </w:r>
      <w:r>
        <w:rPr>
          <w:lang w:val="es-ES"/>
        </w:rPr>
        <w:t xml:space="preserve"> que los miembros de sus órganos de dire</w:t>
      </w:r>
      <w:r>
        <w:rPr>
          <w:lang w:val="es-ES"/>
        </w:rPr>
        <w:t>c</w:t>
      </w:r>
      <w:r>
        <w:rPr>
          <w:lang w:val="es-ES"/>
        </w:rPr>
        <w:t xml:space="preserve">ción y gestión hayan percibido </w:t>
      </w:r>
      <w:r w:rsidR="00995787">
        <w:rPr>
          <w:lang w:val="es-ES"/>
        </w:rPr>
        <w:t xml:space="preserve">compensación económica o </w:t>
      </w:r>
      <w:r>
        <w:rPr>
          <w:lang w:val="es-ES"/>
        </w:rPr>
        <w:t>retribución alguna por el desarrollo de su actividad profesional en la Fundación.</w:t>
      </w:r>
    </w:p>
    <w:p w:rsidR="00116DA7" w:rsidRDefault="00116DA7" w:rsidP="00FF4AA3">
      <w:pPr>
        <w:pStyle w:val="texto"/>
        <w:rPr>
          <w:lang w:val="es-ES"/>
        </w:rPr>
      </w:pPr>
      <w:r>
        <w:rPr>
          <w:lang w:val="es-ES"/>
        </w:rPr>
        <w:lastRenderedPageBreak/>
        <w:t>El resultado neto positivo obtenido en los ejercicios analizados asciende a un total de 105.343 euros.</w:t>
      </w:r>
    </w:p>
    <w:p w:rsidR="00D10C79" w:rsidRPr="00F721E0" w:rsidRDefault="00A1646C" w:rsidP="00FF4AA3">
      <w:pPr>
        <w:pStyle w:val="texto"/>
        <w:spacing w:after="240"/>
        <w:rPr>
          <w:lang w:val="es-ES"/>
        </w:rPr>
      </w:pPr>
      <w:r>
        <w:rPr>
          <w:lang w:val="es-ES"/>
        </w:rPr>
        <w:t>El balance de situación a 31 de diciembre de 2005 y de 2014, se refleja</w:t>
      </w:r>
      <w:r w:rsidR="000564FA">
        <w:rPr>
          <w:lang w:val="es-ES"/>
        </w:rPr>
        <w:t xml:space="preserve">, en resumen, </w:t>
      </w:r>
      <w:r>
        <w:rPr>
          <w:lang w:val="es-ES"/>
        </w:rPr>
        <w:t>en el siguiente cuadro:</w:t>
      </w:r>
    </w:p>
    <w:tbl>
      <w:tblPr>
        <w:tblW w:w="8920" w:type="dxa"/>
        <w:jc w:val="center"/>
        <w:tblCellSpacing w:w="0" w:type="dxa"/>
        <w:tblInd w:w="74" w:type="dxa"/>
        <w:tblCellMar>
          <w:left w:w="0" w:type="dxa"/>
          <w:right w:w="0" w:type="dxa"/>
        </w:tblCellMar>
        <w:tblLook w:val="04A0" w:firstRow="1" w:lastRow="0" w:firstColumn="1" w:lastColumn="0" w:noHBand="0" w:noVBand="1"/>
      </w:tblPr>
      <w:tblGrid>
        <w:gridCol w:w="2167"/>
        <w:gridCol w:w="958"/>
        <w:gridCol w:w="907"/>
        <w:gridCol w:w="2650"/>
        <w:gridCol w:w="1073"/>
        <w:gridCol w:w="1165"/>
      </w:tblGrid>
      <w:tr w:rsidR="00F721E0" w:rsidRPr="00B53343" w:rsidTr="00FF4AA3">
        <w:trPr>
          <w:trHeight w:val="255"/>
          <w:tblCellSpacing w:w="0" w:type="dxa"/>
          <w:jc w:val="center"/>
        </w:trPr>
        <w:tc>
          <w:tcPr>
            <w:tcW w:w="2167" w:type="dxa"/>
            <w:tcBorders>
              <w:top w:val="single" w:sz="4" w:space="0" w:color="auto"/>
              <w:bottom w:val="single" w:sz="4" w:space="0" w:color="auto"/>
            </w:tcBorders>
            <w:shd w:val="clear" w:color="auto" w:fill="A8CBEE" w:themeFill="accent2" w:themeFillTint="66"/>
            <w:noWrap/>
            <w:tcMar>
              <w:top w:w="0" w:type="dxa"/>
              <w:left w:w="108" w:type="dxa"/>
              <w:bottom w:w="0" w:type="dxa"/>
              <w:right w:w="108" w:type="dxa"/>
            </w:tcMar>
            <w:vAlign w:val="center"/>
          </w:tcPr>
          <w:p w:rsidR="00F721E0" w:rsidRPr="00B53343" w:rsidRDefault="00F721E0" w:rsidP="00B53343">
            <w:pPr>
              <w:spacing w:after="0"/>
              <w:ind w:firstLine="0"/>
              <w:jc w:val="left"/>
              <w:rPr>
                <w:rFonts w:ascii="Arial" w:hAnsi="Arial" w:cs="Arial"/>
                <w:sz w:val="18"/>
                <w:szCs w:val="18"/>
                <w:lang w:val="es-ES" w:eastAsia="es-ES"/>
              </w:rPr>
            </w:pPr>
            <w:r w:rsidRPr="00B53343">
              <w:rPr>
                <w:rFonts w:ascii="Arial" w:hAnsi="Arial" w:cs="Arial"/>
                <w:sz w:val="18"/>
                <w:szCs w:val="18"/>
                <w:lang w:val="es-ES" w:eastAsia="es-ES"/>
              </w:rPr>
              <w:t>Activo</w:t>
            </w:r>
          </w:p>
        </w:tc>
        <w:tc>
          <w:tcPr>
            <w:tcW w:w="958" w:type="dxa"/>
            <w:tcBorders>
              <w:top w:val="single" w:sz="4" w:space="0" w:color="auto"/>
              <w:bottom w:val="single" w:sz="4" w:space="0" w:color="auto"/>
            </w:tcBorders>
            <w:shd w:val="clear" w:color="auto" w:fill="A8CBEE" w:themeFill="accent2" w:themeFillTint="66"/>
            <w:noWrap/>
            <w:tcMar>
              <w:top w:w="0" w:type="dxa"/>
              <w:left w:w="108" w:type="dxa"/>
              <w:bottom w:w="0" w:type="dxa"/>
              <w:right w:w="108" w:type="dxa"/>
            </w:tcMar>
            <w:vAlign w:val="center"/>
          </w:tcPr>
          <w:p w:rsidR="00F721E0" w:rsidRPr="00B53343" w:rsidRDefault="00F721E0" w:rsidP="00B53343">
            <w:pPr>
              <w:spacing w:after="0"/>
              <w:ind w:right="57" w:firstLine="0"/>
              <w:jc w:val="right"/>
              <w:rPr>
                <w:rFonts w:ascii="Arial" w:hAnsi="Arial" w:cs="Arial"/>
                <w:sz w:val="18"/>
                <w:szCs w:val="18"/>
                <w:lang w:val="es-ES" w:eastAsia="es-ES"/>
              </w:rPr>
            </w:pPr>
            <w:r w:rsidRPr="00B53343">
              <w:rPr>
                <w:rFonts w:ascii="Arial" w:hAnsi="Arial" w:cs="Arial"/>
                <w:sz w:val="18"/>
                <w:szCs w:val="18"/>
                <w:lang w:val="es-ES" w:eastAsia="es-ES"/>
              </w:rPr>
              <w:t>2005</w:t>
            </w:r>
          </w:p>
        </w:tc>
        <w:tc>
          <w:tcPr>
            <w:tcW w:w="907" w:type="dxa"/>
            <w:tcBorders>
              <w:top w:val="single" w:sz="4" w:space="0" w:color="auto"/>
              <w:bottom w:val="single" w:sz="4" w:space="0" w:color="auto"/>
            </w:tcBorders>
            <w:shd w:val="clear" w:color="auto" w:fill="A8CBEE" w:themeFill="accent2" w:themeFillTint="66"/>
            <w:vAlign w:val="center"/>
          </w:tcPr>
          <w:p w:rsidR="00F721E0" w:rsidRPr="00B53343" w:rsidRDefault="00F721E0" w:rsidP="00B53343">
            <w:pPr>
              <w:spacing w:after="0"/>
              <w:ind w:right="82" w:firstLine="0"/>
              <w:jc w:val="right"/>
              <w:rPr>
                <w:rFonts w:ascii="Arial" w:hAnsi="Arial" w:cs="Arial"/>
                <w:sz w:val="18"/>
                <w:szCs w:val="18"/>
                <w:lang w:val="es-ES" w:eastAsia="es-ES"/>
              </w:rPr>
            </w:pPr>
            <w:r w:rsidRPr="00B53343">
              <w:rPr>
                <w:rFonts w:ascii="Arial" w:hAnsi="Arial" w:cs="Arial"/>
                <w:sz w:val="18"/>
                <w:szCs w:val="18"/>
                <w:lang w:val="es-ES" w:eastAsia="es-ES"/>
              </w:rPr>
              <w:t>2014</w:t>
            </w:r>
          </w:p>
        </w:tc>
        <w:tc>
          <w:tcPr>
            <w:tcW w:w="2650" w:type="dxa"/>
            <w:tcBorders>
              <w:top w:val="single" w:sz="4" w:space="0" w:color="auto"/>
              <w:bottom w:val="single" w:sz="4" w:space="0" w:color="auto"/>
            </w:tcBorders>
            <w:shd w:val="clear" w:color="auto" w:fill="A8CBEE" w:themeFill="accent2" w:themeFillTint="66"/>
            <w:vAlign w:val="center"/>
          </w:tcPr>
          <w:p w:rsidR="00F721E0" w:rsidRPr="00B53343" w:rsidRDefault="00F721E0" w:rsidP="00B53343">
            <w:pPr>
              <w:spacing w:after="0"/>
              <w:ind w:left="141" w:right="79" w:firstLine="0"/>
              <w:jc w:val="left"/>
              <w:rPr>
                <w:rFonts w:ascii="Arial" w:hAnsi="Arial" w:cs="Arial"/>
                <w:sz w:val="18"/>
                <w:szCs w:val="18"/>
                <w:lang w:val="es-ES" w:eastAsia="es-ES"/>
              </w:rPr>
            </w:pPr>
            <w:r w:rsidRPr="00B53343">
              <w:rPr>
                <w:rFonts w:ascii="Arial" w:hAnsi="Arial" w:cs="Arial"/>
                <w:sz w:val="18"/>
                <w:szCs w:val="18"/>
                <w:lang w:val="es-ES" w:eastAsia="es-ES"/>
              </w:rPr>
              <w:t>Neto y Pasivo</w:t>
            </w:r>
          </w:p>
        </w:tc>
        <w:tc>
          <w:tcPr>
            <w:tcW w:w="1073" w:type="dxa"/>
            <w:tcBorders>
              <w:top w:val="single" w:sz="4" w:space="0" w:color="auto"/>
              <w:bottom w:val="single" w:sz="4" w:space="0" w:color="auto"/>
            </w:tcBorders>
            <w:shd w:val="clear" w:color="auto" w:fill="A8CBEE" w:themeFill="accent2" w:themeFillTint="66"/>
            <w:vAlign w:val="center"/>
          </w:tcPr>
          <w:p w:rsidR="00F721E0" w:rsidRPr="00B53343" w:rsidRDefault="00F721E0" w:rsidP="00197A61">
            <w:pPr>
              <w:spacing w:after="0"/>
              <w:ind w:right="79" w:firstLine="0"/>
              <w:jc w:val="right"/>
              <w:rPr>
                <w:rFonts w:ascii="Arial" w:hAnsi="Arial" w:cs="Arial"/>
                <w:sz w:val="18"/>
                <w:szCs w:val="18"/>
                <w:lang w:val="es-ES" w:eastAsia="es-ES"/>
              </w:rPr>
            </w:pPr>
            <w:r w:rsidRPr="00B53343">
              <w:rPr>
                <w:rFonts w:ascii="Arial" w:hAnsi="Arial" w:cs="Arial"/>
                <w:sz w:val="18"/>
                <w:szCs w:val="18"/>
                <w:lang w:val="es-ES" w:eastAsia="es-ES"/>
              </w:rPr>
              <w:t>2005</w:t>
            </w:r>
          </w:p>
        </w:tc>
        <w:tc>
          <w:tcPr>
            <w:tcW w:w="1165" w:type="dxa"/>
            <w:tcBorders>
              <w:top w:val="single" w:sz="4" w:space="0" w:color="auto"/>
              <w:bottom w:val="single" w:sz="4" w:space="0" w:color="auto"/>
            </w:tcBorders>
            <w:shd w:val="clear" w:color="auto" w:fill="A8CBEE" w:themeFill="accent2" w:themeFillTint="66"/>
            <w:vAlign w:val="center"/>
          </w:tcPr>
          <w:p w:rsidR="00F721E0" w:rsidRPr="00B53343" w:rsidRDefault="00F721E0" w:rsidP="00197A61">
            <w:pPr>
              <w:spacing w:after="0"/>
              <w:ind w:left="112" w:right="79" w:firstLine="0"/>
              <w:jc w:val="right"/>
              <w:rPr>
                <w:rFonts w:ascii="Arial" w:hAnsi="Arial" w:cs="Arial"/>
                <w:sz w:val="18"/>
                <w:szCs w:val="18"/>
                <w:lang w:val="es-ES" w:eastAsia="es-ES"/>
              </w:rPr>
            </w:pPr>
            <w:r w:rsidRPr="00B53343">
              <w:rPr>
                <w:rFonts w:ascii="Arial" w:hAnsi="Arial" w:cs="Arial"/>
                <w:sz w:val="18"/>
                <w:szCs w:val="18"/>
                <w:lang w:val="es-ES" w:eastAsia="es-ES"/>
              </w:rPr>
              <w:t>2014</w:t>
            </w:r>
          </w:p>
        </w:tc>
      </w:tr>
      <w:tr w:rsidR="00F721E0" w:rsidRPr="00197A61" w:rsidTr="00FF4AA3">
        <w:trPr>
          <w:trHeight w:val="255"/>
          <w:tblCellSpacing w:w="0" w:type="dxa"/>
          <w:jc w:val="center"/>
        </w:trPr>
        <w:tc>
          <w:tcPr>
            <w:tcW w:w="2167" w:type="dxa"/>
            <w:shd w:val="clear" w:color="auto" w:fill="auto"/>
            <w:noWrap/>
            <w:tcMar>
              <w:top w:w="0" w:type="dxa"/>
              <w:left w:w="108" w:type="dxa"/>
              <w:bottom w:w="0" w:type="dxa"/>
              <w:right w:w="108" w:type="dxa"/>
            </w:tcMar>
            <w:vAlign w:val="center"/>
          </w:tcPr>
          <w:p w:rsidR="00F721E0" w:rsidRPr="00197A61" w:rsidRDefault="00F721E0" w:rsidP="00B53343">
            <w:pPr>
              <w:spacing w:after="0"/>
              <w:ind w:firstLine="0"/>
              <w:rPr>
                <w:sz w:val="24"/>
                <w:szCs w:val="24"/>
                <w:lang w:val="es-ES" w:eastAsia="es-ES"/>
              </w:rPr>
            </w:pPr>
            <w:r w:rsidRPr="00197A61">
              <w:rPr>
                <w:rFonts w:ascii="Arial Narrow" w:hAnsi="Arial Narrow"/>
                <w:lang w:val="es-ES" w:eastAsia="es-ES"/>
              </w:rPr>
              <w:t>Total Activo No Corriente</w:t>
            </w:r>
          </w:p>
        </w:tc>
        <w:tc>
          <w:tcPr>
            <w:tcW w:w="958" w:type="dxa"/>
            <w:shd w:val="clear" w:color="auto" w:fill="auto"/>
            <w:noWrap/>
            <w:tcMar>
              <w:top w:w="0" w:type="dxa"/>
              <w:left w:w="108" w:type="dxa"/>
              <w:bottom w:w="0" w:type="dxa"/>
              <w:right w:w="108" w:type="dxa"/>
            </w:tcMar>
            <w:vAlign w:val="center"/>
          </w:tcPr>
          <w:p w:rsidR="00F721E0" w:rsidRPr="00197A61" w:rsidRDefault="00F721E0" w:rsidP="00B53343">
            <w:pPr>
              <w:spacing w:after="0"/>
              <w:ind w:right="57" w:firstLine="0"/>
              <w:jc w:val="right"/>
              <w:rPr>
                <w:rFonts w:ascii="Arial Narrow" w:hAnsi="Arial Narrow"/>
                <w:lang w:val="es-ES" w:eastAsia="es-ES"/>
              </w:rPr>
            </w:pPr>
            <w:r w:rsidRPr="00197A61">
              <w:rPr>
                <w:rFonts w:ascii="Arial Narrow" w:hAnsi="Arial Narrow"/>
                <w:lang w:val="es-ES" w:eastAsia="es-ES"/>
              </w:rPr>
              <w:t>49.0</w:t>
            </w:r>
            <w:r w:rsidR="006C3212" w:rsidRPr="00197A61">
              <w:rPr>
                <w:rFonts w:ascii="Arial Narrow" w:hAnsi="Arial Narrow"/>
                <w:lang w:val="es-ES" w:eastAsia="es-ES"/>
              </w:rPr>
              <w:t>0</w:t>
            </w:r>
            <w:r w:rsidRPr="00197A61">
              <w:rPr>
                <w:rFonts w:ascii="Arial Narrow" w:hAnsi="Arial Narrow"/>
                <w:lang w:val="es-ES" w:eastAsia="es-ES"/>
              </w:rPr>
              <w:t>4</w:t>
            </w:r>
          </w:p>
        </w:tc>
        <w:tc>
          <w:tcPr>
            <w:tcW w:w="907" w:type="dxa"/>
            <w:vAlign w:val="center"/>
          </w:tcPr>
          <w:p w:rsidR="00F721E0" w:rsidRPr="00197A61" w:rsidRDefault="006C3212" w:rsidP="00B53343">
            <w:pPr>
              <w:spacing w:after="0"/>
              <w:ind w:right="82" w:firstLine="0"/>
              <w:jc w:val="right"/>
              <w:rPr>
                <w:rFonts w:ascii="Arial Narrow" w:hAnsi="Arial Narrow"/>
                <w:lang w:val="es-ES" w:eastAsia="es-ES"/>
              </w:rPr>
            </w:pPr>
            <w:r w:rsidRPr="00197A61">
              <w:rPr>
                <w:rFonts w:ascii="Arial Narrow" w:hAnsi="Arial Narrow"/>
                <w:lang w:val="es-ES" w:eastAsia="es-ES"/>
              </w:rPr>
              <w:t>0</w:t>
            </w:r>
          </w:p>
        </w:tc>
        <w:tc>
          <w:tcPr>
            <w:tcW w:w="2650" w:type="dxa"/>
            <w:vAlign w:val="center"/>
          </w:tcPr>
          <w:p w:rsidR="00F721E0" w:rsidRPr="00197A61" w:rsidRDefault="00F721E0" w:rsidP="00B53343">
            <w:pPr>
              <w:spacing w:after="0"/>
              <w:ind w:left="141" w:right="79" w:firstLine="0"/>
              <w:jc w:val="left"/>
              <w:rPr>
                <w:rFonts w:ascii="Arial Narrow" w:hAnsi="Arial Narrow"/>
                <w:lang w:val="es-ES" w:eastAsia="es-ES"/>
              </w:rPr>
            </w:pPr>
            <w:r w:rsidRPr="00197A61">
              <w:rPr>
                <w:rFonts w:ascii="Arial Narrow" w:hAnsi="Arial Narrow"/>
                <w:lang w:val="es-ES" w:eastAsia="es-ES"/>
              </w:rPr>
              <w:t>Fondo Social</w:t>
            </w:r>
          </w:p>
        </w:tc>
        <w:tc>
          <w:tcPr>
            <w:tcW w:w="1073" w:type="dxa"/>
            <w:vAlign w:val="center"/>
          </w:tcPr>
          <w:p w:rsidR="00F721E0" w:rsidRPr="00197A61" w:rsidRDefault="00F721E0" w:rsidP="00197A61">
            <w:pPr>
              <w:spacing w:after="0"/>
              <w:ind w:left="180" w:right="79" w:firstLine="0"/>
              <w:jc w:val="right"/>
              <w:rPr>
                <w:rFonts w:ascii="Arial Narrow" w:hAnsi="Arial Narrow"/>
                <w:lang w:val="es-ES" w:eastAsia="es-ES"/>
              </w:rPr>
            </w:pPr>
            <w:r w:rsidRPr="00197A61">
              <w:rPr>
                <w:rFonts w:ascii="Arial Narrow" w:hAnsi="Arial Narrow"/>
                <w:lang w:val="es-ES" w:eastAsia="es-ES"/>
              </w:rPr>
              <w:t>270.000</w:t>
            </w:r>
          </w:p>
        </w:tc>
        <w:tc>
          <w:tcPr>
            <w:tcW w:w="1165" w:type="dxa"/>
            <w:vAlign w:val="center"/>
          </w:tcPr>
          <w:p w:rsidR="00F721E0" w:rsidRPr="00197A61" w:rsidRDefault="006C3212" w:rsidP="00197A61">
            <w:pPr>
              <w:spacing w:after="0"/>
              <w:ind w:left="112" w:right="79" w:firstLine="0"/>
              <w:jc w:val="right"/>
              <w:rPr>
                <w:rFonts w:ascii="Arial Narrow" w:hAnsi="Arial Narrow"/>
                <w:lang w:val="es-ES" w:eastAsia="es-ES"/>
              </w:rPr>
            </w:pPr>
            <w:r w:rsidRPr="00197A61">
              <w:rPr>
                <w:rFonts w:ascii="Arial Narrow" w:hAnsi="Arial Narrow"/>
                <w:lang w:val="es-ES" w:eastAsia="es-ES"/>
              </w:rPr>
              <w:t>270.000</w:t>
            </w:r>
          </w:p>
        </w:tc>
      </w:tr>
      <w:tr w:rsidR="00F721E0" w:rsidRPr="00197A61" w:rsidTr="00FF4AA3">
        <w:trPr>
          <w:trHeight w:val="255"/>
          <w:tblCellSpacing w:w="0" w:type="dxa"/>
          <w:jc w:val="center"/>
        </w:trPr>
        <w:tc>
          <w:tcPr>
            <w:tcW w:w="2167" w:type="dxa"/>
            <w:tcBorders>
              <w:top w:val="single" w:sz="2" w:space="0" w:color="auto"/>
              <w:bottom w:val="single" w:sz="2" w:space="0" w:color="auto"/>
            </w:tcBorders>
            <w:shd w:val="clear" w:color="auto" w:fill="auto"/>
            <w:noWrap/>
            <w:tcMar>
              <w:top w:w="0" w:type="dxa"/>
              <w:left w:w="108" w:type="dxa"/>
              <w:bottom w:w="0" w:type="dxa"/>
              <w:right w:w="108" w:type="dxa"/>
            </w:tcMar>
            <w:vAlign w:val="center"/>
          </w:tcPr>
          <w:p w:rsidR="00F721E0" w:rsidRPr="00197A61" w:rsidRDefault="00F721E0" w:rsidP="00B53343">
            <w:pPr>
              <w:spacing w:after="0"/>
              <w:ind w:firstLine="0"/>
              <w:rPr>
                <w:rFonts w:ascii="Arial Narrow" w:hAnsi="Arial Narrow"/>
                <w:lang w:val="es-ES" w:eastAsia="es-ES"/>
              </w:rPr>
            </w:pPr>
            <w:r w:rsidRPr="00197A61">
              <w:rPr>
                <w:rFonts w:ascii="Arial Narrow" w:hAnsi="Arial Narrow"/>
                <w:lang w:val="es-ES" w:eastAsia="es-ES"/>
              </w:rPr>
              <w:t>Deudores</w:t>
            </w:r>
          </w:p>
        </w:tc>
        <w:tc>
          <w:tcPr>
            <w:tcW w:w="958" w:type="dxa"/>
            <w:tcBorders>
              <w:top w:val="single" w:sz="2" w:space="0" w:color="auto"/>
              <w:bottom w:val="single" w:sz="2" w:space="0" w:color="auto"/>
            </w:tcBorders>
            <w:shd w:val="clear" w:color="auto" w:fill="auto"/>
            <w:noWrap/>
            <w:tcMar>
              <w:top w:w="0" w:type="dxa"/>
              <w:left w:w="108" w:type="dxa"/>
              <w:bottom w:w="0" w:type="dxa"/>
              <w:right w:w="108" w:type="dxa"/>
            </w:tcMar>
            <w:vAlign w:val="center"/>
          </w:tcPr>
          <w:p w:rsidR="00F721E0" w:rsidRPr="00197A61" w:rsidRDefault="00F721E0" w:rsidP="00B53343">
            <w:pPr>
              <w:spacing w:after="0"/>
              <w:ind w:right="57" w:firstLine="0"/>
              <w:jc w:val="right"/>
              <w:rPr>
                <w:rFonts w:ascii="Arial Narrow" w:hAnsi="Arial Narrow"/>
                <w:lang w:val="es-ES" w:eastAsia="es-ES"/>
              </w:rPr>
            </w:pPr>
            <w:r w:rsidRPr="00197A61">
              <w:rPr>
                <w:rFonts w:ascii="Arial Narrow" w:hAnsi="Arial Narrow"/>
                <w:lang w:val="es-ES" w:eastAsia="es-ES"/>
              </w:rPr>
              <w:t>157.082</w:t>
            </w:r>
          </w:p>
        </w:tc>
        <w:tc>
          <w:tcPr>
            <w:tcW w:w="907" w:type="dxa"/>
            <w:tcBorders>
              <w:top w:val="single" w:sz="2" w:space="0" w:color="auto"/>
              <w:bottom w:val="single" w:sz="2" w:space="0" w:color="auto"/>
            </w:tcBorders>
            <w:vAlign w:val="center"/>
          </w:tcPr>
          <w:p w:rsidR="00F721E0" w:rsidRPr="00197A61" w:rsidRDefault="006C3212" w:rsidP="00B53343">
            <w:pPr>
              <w:spacing w:after="0"/>
              <w:ind w:right="82" w:firstLine="0"/>
              <w:jc w:val="right"/>
              <w:rPr>
                <w:rFonts w:ascii="Arial Narrow" w:hAnsi="Arial Narrow"/>
                <w:lang w:val="es-ES" w:eastAsia="es-ES"/>
              </w:rPr>
            </w:pPr>
            <w:r w:rsidRPr="00197A61">
              <w:rPr>
                <w:rFonts w:ascii="Arial Narrow" w:hAnsi="Arial Narrow"/>
                <w:lang w:val="es-ES" w:eastAsia="es-ES"/>
              </w:rPr>
              <w:t>398.</w:t>
            </w:r>
            <w:r w:rsidR="00B27AF4" w:rsidRPr="00197A61">
              <w:rPr>
                <w:rFonts w:ascii="Arial Narrow" w:hAnsi="Arial Narrow"/>
                <w:lang w:val="es-ES" w:eastAsia="es-ES"/>
              </w:rPr>
              <w:t>391</w:t>
            </w:r>
          </w:p>
        </w:tc>
        <w:tc>
          <w:tcPr>
            <w:tcW w:w="2650" w:type="dxa"/>
            <w:tcBorders>
              <w:top w:val="single" w:sz="2" w:space="0" w:color="auto"/>
              <w:bottom w:val="single" w:sz="2" w:space="0" w:color="auto"/>
            </w:tcBorders>
            <w:vAlign w:val="center"/>
          </w:tcPr>
          <w:p w:rsidR="00F721E0" w:rsidRPr="00197A61" w:rsidRDefault="00F721E0" w:rsidP="00B53343">
            <w:pPr>
              <w:spacing w:after="0"/>
              <w:ind w:left="141" w:right="79" w:firstLine="0"/>
              <w:jc w:val="left"/>
              <w:rPr>
                <w:rFonts w:ascii="Arial Narrow" w:hAnsi="Arial Narrow"/>
                <w:lang w:val="es-ES" w:eastAsia="es-ES"/>
              </w:rPr>
            </w:pPr>
            <w:r w:rsidRPr="00197A61">
              <w:rPr>
                <w:rFonts w:ascii="Arial Narrow" w:hAnsi="Arial Narrow"/>
                <w:lang w:val="es-ES" w:eastAsia="es-ES"/>
              </w:rPr>
              <w:t>Rtdos. negativos ejer</w:t>
            </w:r>
            <w:r w:rsidR="00B53343" w:rsidRPr="00197A61">
              <w:rPr>
                <w:rFonts w:ascii="Arial Narrow" w:hAnsi="Arial Narrow"/>
                <w:lang w:val="es-ES" w:eastAsia="es-ES"/>
              </w:rPr>
              <w:t xml:space="preserve"> anteriore</w:t>
            </w:r>
            <w:r w:rsidRPr="00197A61">
              <w:rPr>
                <w:rFonts w:ascii="Arial Narrow" w:hAnsi="Arial Narrow"/>
                <w:lang w:val="es-ES" w:eastAsia="es-ES"/>
              </w:rPr>
              <w:t>s</w:t>
            </w:r>
          </w:p>
        </w:tc>
        <w:tc>
          <w:tcPr>
            <w:tcW w:w="1073" w:type="dxa"/>
            <w:tcBorders>
              <w:top w:val="single" w:sz="2" w:space="0" w:color="auto"/>
              <w:bottom w:val="single" w:sz="2" w:space="0" w:color="auto"/>
            </w:tcBorders>
            <w:vAlign w:val="center"/>
          </w:tcPr>
          <w:p w:rsidR="00F721E0" w:rsidRPr="00197A61" w:rsidRDefault="00F721E0" w:rsidP="00197A61">
            <w:pPr>
              <w:spacing w:after="0"/>
              <w:ind w:left="180" w:right="79" w:firstLine="0"/>
              <w:jc w:val="right"/>
              <w:rPr>
                <w:rFonts w:ascii="Arial Narrow" w:hAnsi="Arial Narrow"/>
                <w:lang w:val="es-ES" w:eastAsia="es-ES"/>
              </w:rPr>
            </w:pPr>
            <w:r w:rsidRPr="00197A61">
              <w:rPr>
                <w:rFonts w:ascii="Arial Narrow" w:hAnsi="Arial Narrow"/>
                <w:lang w:val="es-ES" w:eastAsia="es-ES"/>
              </w:rPr>
              <w:t>-292.482</w:t>
            </w:r>
          </w:p>
        </w:tc>
        <w:tc>
          <w:tcPr>
            <w:tcW w:w="1165" w:type="dxa"/>
            <w:tcBorders>
              <w:top w:val="single" w:sz="2" w:space="0" w:color="auto"/>
              <w:bottom w:val="single" w:sz="2" w:space="0" w:color="auto"/>
            </w:tcBorders>
            <w:vAlign w:val="center"/>
          </w:tcPr>
          <w:p w:rsidR="00F721E0" w:rsidRPr="00197A61" w:rsidRDefault="006C3212" w:rsidP="00197A61">
            <w:pPr>
              <w:spacing w:after="0"/>
              <w:ind w:left="112" w:right="79" w:firstLine="0"/>
              <w:jc w:val="right"/>
              <w:rPr>
                <w:rFonts w:ascii="Arial Narrow" w:hAnsi="Arial Narrow"/>
                <w:lang w:val="es-ES" w:eastAsia="es-ES"/>
              </w:rPr>
            </w:pPr>
            <w:r w:rsidRPr="00197A61">
              <w:rPr>
                <w:rFonts w:ascii="Arial Narrow" w:hAnsi="Arial Narrow"/>
                <w:lang w:val="es-ES" w:eastAsia="es-ES"/>
              </w:rPr>
              <w:t>-188.078</w:t>
            </w:r>
          </w:p>
        </w:tc>
      </w:tr>
      <w:tr w:rsidR="00F721E0" w:rsidRPr="00197A61" w:rsidTr="00FF4AA3">
        <w:trPr>
          <w:trHeight w:val="255"/>
          <w:tblCellSpacing w:w="0" w:type="dxa"/>
          <w:jc w:val="center"/>
        </w:trPr>
        <w:tc>
          <w:tcPr>
            <w:tcW w:w="2167" w:type="dxa"/>
            <w:tcBorders>
              <w:top w:val="single" w:sz="2" w:space="0" w:color="auto"/>
              <w:bottom w:val="single" w:sz="2" w:space="0" w:color="auto"/>
            </w:tcBorders>
            <w:shd w:val="clear" w:color="auto" w:fill="auto"/>
            <w:noWrap/>
            <w:tcMar>
              <w:top w:w="0" w:type="dxa"/>
              <w:left w:w="108" w:type="dxa"/>
              <w:bottom w:w="0" w:type="dxa"/>
              <w:right w:w="108" w:type="dxa"/>
            </w:tcMar>
            <w:vAlign w:val="center"/>
          </w:tcPr>
          <w:p w:rsidR="00F721E0" w:rsidRPr="00197A61" w:rsidRDefault="00F721E0" w:rsidP="00B53343">
            <w:pPr>
              <w:spacing w:after="0"/>
              <w:ind w:firstLine="0"/>
              <w:rPr>
                <w:rFonts w:ascii="Arial Narrow" w:hAnsi="Arial Narrow"/>
                <w:lang w:val="es-ES" w:eastAsia="es-ES"/>
              </w:rPr>
            </w:pPr>
            <w:r w:rsidRPr="00197A61">
              <w:rPr>
                <w:rFonts w:ascii="Arial Narrow" w:hAnsi="Arial Narrow"/>
                <w:lang w:val="es-ES" w:eastAsia="es-ES"/>
              </w:rPr>
              <w:t>Efectivo</w:t>
            </w:r>
          </w:p>
        </w:tc>
        <w:tc>
          <w:tcPr>
            <w:tcW w:w="958" w:type="dxa"/>
            <w:tcBorders>
              <w:top w:val="single" w:sz="2" w:space="0" w:color="auto"/>
              <w:bottom w:val="single" w:sz="2" w:space="0" w:color="auto"/>
            </w:tcBorders>
            <w:shd w:val="clear" w:color="auto" w:fill="auto"/>
            <w:noWrap/>
            <w:tcMar>
              <w:top w:w="0" w:type="dxa"/>
              <w:left w:w="108" w:type="dxa"/>
              <w:bottom w:w="0" w:type="dxa"/>
              <w:right w:w="108" w:type="dxa"/>
            </w:tcMar>
            <w:vAlign w:val="center"/>
          </w:tcPr>
          <w:p w:rsidR="00F721E0" w:rsidRPr="00197A61" w:rsidRDefault="00F721E0" w:rsidP="00B53343">
            <w:pPr>
              <w:spacing w:after="0"/>
              <w:ind w:right="57" w:firstLine="0"/>
              <w:jc w:val="right"/>
              <w:rPr>
                <w:rFonts w:ascii="Arial Narrow" w:hAnsi="Arial Narrow"/>
                <w:lang w:val="es-ES" w:eastAsia="es-ES"/>
              </w:rPr>
            </w:pPr>
            <w:r w:rsidRPr="00197A61">
              <w:rPr>
                <w:rFonts w:ascii="Arial Narrow" w:hAnsi="Arial Narrow"/>
                <w:lang w:val="es-ES" w:eastAsia="es-ES"/>
              </w:rPr>
              <w:t>78.792</w:t>
            </w:r>
          </w:p>
        </w:tc>
        <w:tc>
          <w:tcPr>
            <w:tcW w:w="907" w:type="dxa"/>
            <w:tcBorders>
              <w:top w:val="single" w:sz="2" w:space="0" w:color="auto"/>
              <w:bottom w:val="single" w:sz="2" w:space="0" w:color="auto"/>
            </w:tcBorders>
            <w:vAlign w:val="center"/>
          </w:tcPr>
          <w:p w:rsidR="00F721E0" w:rsidRPr="00197A61" w:rsidRDefault="006C3212" w:rsidP="00B53343">
            <w:pPr>
              <w:spacing w:after="0"/>
              <w:ind w:right="82" w:firstLine="0"/>
              <w:jc w:val="right"/>
              <w:rPr>
                <w:rFonts w:ascii="Arial Narrow" w:hAnsi="Arial Narrow"/>
                <w:lang w:val="es-ES" w:eastAsia="es-ES"/>
              </w:rPr>
            </w:pPr>
            <w:r w:rsidRPr="00197A61">
              <w:rPr>
                <w:rFonts w:ascii="Arial Narrow" w:hAnsi="Arial Narrow"/>
                <w:lang w:val="es-ES" w:eastAsia="es-ES"/>
              </w:rPr>
              <w:t>14.376</w:t>
            </w:r>
          </w:p>
        </w:tc>
        <w:tc>
          <w:tcPr>
            <w:tcW w:w="2650" w:type="dxa"/>
            <w:tcBorders>
              <w:top w:val="single" w:sz="2" w:space="0" w:color="auto"/>
              <w:bottom w:val="single" w:sz="2" w:space="0" w:color="auto"/>
            </w:tcBorders>
            <w:vAlign w:val="center"/>
          </w:tcPr>
          <w:p w:rsidR="00F721E0" w:rsidRPr="00197A61" w:rsidRDefault="00F721E0" w:rsidP="00B53343">
            <w:pPr>
              <w:spacing w:after="0"/>
              <w:ind w:left="141" w:right="79" w:firstLine="0"/>
              <w:jc w:val="left"/>
              <w:rPr>
                <w:rFonts w:ascii="Arial Narrow" w:hAnsi="Arial Narrow"/>
                <w:lang w:val="es-ES" w:eastAsia="es-ES"/>
              </w:rPr>
            </w:pPr>
            <w:r w:rsidRPr="00197A61">
              <w:rPr>
                <w:rFonts w:ascii="Arial Narrow" w:hAnsi="Arial Narrow"/>
                <w:lang w:val="es-ES" w:eastAsia="es-ES"/>
              </w:rPr>
              <w:t>Pérdidas y Ganancias</w:t>
            </w:r>
          </w:p>
        </w:tc>
        <w:tc>
          <w:tcPr>
            <w:tcW w:w="1073" w:type="dxa"/>
            <w:tcBorders>
              <w:top w:val="single" w:sz="2" w:space="0" w:color="auto"/>
              <w:bottom w:val="single" w:sz="2" w:space="0" w:color="auto"/>
            </w:tcBorders>
            <w:vAlign w:val="center"/>
          </w:tcPr>
          <w:p w:rsidR="00F721E0" w:rsidRPr="00197A61" w:rsidRDefault="008662D6" w:rsidP="00197A61">
            <w:pPr>
              <w:spacing w:after="0"/>
              <w:ind w:left="180" w:right="79" w:firstLine="0"/>
              <w:jc w:val="right"/>
              <w:rPr>
                <w:rFonts w:ascii="Arial Narrow" w:hAnsi="Arial Narrow"/>
                <w:lang w:val="es-ES" w:eastAsia="es-ES"/>
              </w:rPr>
            </w:pPr>
            <w:r w:rsidRPr="00197A61">
              <w:rPr>
                <w:rFonts w:ascii="Arial Narrow" w:hAnsi="Arial Narrow"/>
                <w:lang w:val="es-ES" w:eastAsia="es-ES"/>
              </w:rPr>
              <w:t>25.016</w:t>
            </w:r>
          </w:p>
        </w:tc>
        <w:tc>
          <w:tcPr>
            <w:tcW w:w="1165" w:type="dxa"/>
            <w:tcBorders>
              <w:top w:val="single" w:sz="2" w:space="0" w:color="auto"/>
              <w:bottom w:val="single" w:sz="2" w:space="0" w:color="auto"/>
            </w:tcBorders>
            <w:vAlign w:val="center"/>
          </w:tcPr>
          <w:p w:rsidR="00F721E0" w:rsidRPr="00197A61" w:rsidRDefault="006C3212" w:rsidP="00197A61">
            <w:pPr>
              <w:spacing w:after="0"/>
              <w:ind w:left="112" w:right="79" w:firstLine="0"/>
              <w:jc w:val="right"/>
              <w:rPr>
                <w:rFonts w:ascii="Arial Narrow" w:hAnsi="Arial Narrow"/>
                <w:lang w:val="es-ES" w:eastAsia="es-ES"/>
              </w:rPr>
            </w:pPr>
            <w:r w:rsidRPr="00197A61">
              <w:rPr>
                <w:rFonts w:ascii="Arial Narrow" w:hAnsi="Arial Narrow"/>
                <w:lang w:val="es-ES" w:eastAsia="es-ES"/>
              </w:rPr>
              <w:t>939</w:t>
            </w:r>
          </w:p>
        </w:tc>
      </w:tr>
      <w:tr w:rsidR="00B27AF4" w:rsidRPr="00197A61" w:rsidTr="00FF4AA3">
        <w:trPr>
          <w:trHeight w:val="255"/>
          <w:tblCellSpacing w:w="0" w:type="dxa"/>
          <w:jc w:val="center"/>
        </w:trPr>
        <w:tc>
          <w:tcPr>
            <w:tcW w:w="2167" w:type="dxa"/>
            <w:tcBorders>
              <w:top w:val="single" w:sz="2" w:space="0" w:color="auto"/>
              <w:bottom w:val="single" w:sz="2" w:space="0" w:color="auto"/>
            </w:tcBorders>
            <w:shd w:val="clear" w:color="auto" w:fill="auto"/>
            <w:noWrap/>
            <w:tcMar>
              <w:top w:w="0" w:type="dxa"/>
              <w:left w:w="108" w:type="dxa"/>
              <w:bottom w:w="0" w:type="dxa"/>
              <w:right w:w="108" w:type="dxa"/>
            </w:tcMar>
            <w:vAlign w:val="center"/>
          </w:tcPr>
          <w:p w:rsidR="00B27AF4" w:rsidRPr="00197A61" w:rsidRDefault="00B27AF4" w:rsidP="00B53343">
            <w:pPr>
              <w:spacing w:after="0"/>
              <w:ind w:firstLine="0"/>
              <w:rPr>
                <w:rFonts w:ascii="Arial Narrow" w:hAnsi="Arial Narrow"/>
                <w:lang w:val="es-ES" w:eastAsia="es-ES"/>
              </w:rPr>
            </w:pPr>
            <w:r w:rsidRPr="00197A61">
              <w:rPr>
                <w:rFonts w:ascii="Arial Narrow" w:hAnsi="Arial Narrow"/>
                <w:lang w:val="es-ES" w:eastAsia="es-ES"/>
              </w:rPr>
              <w:t xml:space="preserve">Partidas </w:t>
            </w:r>
            <w:r w:rsidR="00A73CD2" w:rsidRPr="00197A61">
              <w:rPr>
                <w:rFonts w:ascii="Arial Narrow" w:hAnsi="Arial Narrow"/>
                <w:lang w:val="es-ES" w:eastAsia="es-ES"/>
              </w:rPr>
              <w:t>ptes de</w:t>
            </w:r>
            <w:r w:rsidRPr="00197A61">
              <w:rPr>
                <w:rFonts w:ascii="Arial Narrow" w:hAnsi="Arial Narrow"/>
                <w:lang w:val="es-ES" w:eastAsia="es-ES"/>
              </w:rPr>
              <w:t xml:space="preserve"> aplicar</w:t>
            </w:r>
          </w:p>
        </w:tc>
        <w:tc>
          <w:tcPr>
            <w:tcW w:w="958" w:type="dxa"/>
            <w:tcBorders>
              <w:top w:val="single" w:sz="2" w:space="0" w:color="auto"/>
              <w:bottom w:val="single" w:sz="2" w:space="0" w:color="auto"/>
            </w:tcBorders>
            <w:shd w:val="clear" w:color="auto" w:fill="auto"/>
            <w:noWrap/>
            <w:tcMar>
              <w:top w:w="0" w:type="dxa"/>
              <w:left w:w="108" w:type="dxa"/>
              <w:bottom w:w="0" w:type="dxa"/>
              <w:right w:w="108" w:type="dxa"/>
            </w:tcMar>
            <w:vAlign w:val="center"/>
          </w:tcPr>
          <w:p w:rsidR="00B27AF4" w:rsidRPr="00197A61" w:rsidRDefault="00B27AF4" w:rsidP="00B53343">
            <w:pPr>
              <w:spacing w:after="0"/>
              <w:ind w:right="57" w:firstLine="0"/>
              <w:jc w:val="right"/>
              <w:rPr>
                <w:rFonts w:ascii="Arial Narrow" w:hAnsi="Arial Narrow"/>
                <w:lang w:val="es-ES" w:eastAsia="es-ES"/>
              </w:rPr>
            </w:pPr>
            <w:r w:rsidRPr="00197A61">
              <w:rPr>
                <w:rFonts w:ascii="Arial Narrow" w:hAnsi="Arial Narrow"/>
                <w:lang w:val="es-ES" w:eastAsia="es-ES"/>
              </w:rPr>
              <w:t>1.202</w:t>
            </w:r>
          </w:p>
        </w:tc>
        <w:tc>
          <w:tcPr>
            <w:tcW w:w="907" w:type="dxa"/>
            <w:tcBorders>
              <w:top w:val="single" w:sz="2" w:space="0" w:color="auto"/>
              <w:bottom w:val="single" w:sz="2" w:space="0" w:color="auto"/>
            </w:tcBorders>
            <w:vAlign w:val="center"/>
          </w:tcPr>
          <w:p w:rsidR="00B27AF4" w:rsidRPr="00197A61" w:rsidRDefault="00B27AF4" w:rsidP="00B53343">
            <w:pPr>
              <w:spacing w:after="0"/>
              <w:ind w:right="82" w:firstLine="0"/>
              <w:jc w:val="right"/>
              <w:rPr>
                <w:rFonts w:ascii="Arial Narrow" w:hAnsi="Arial Narrow"/>
                <w:lang w:val="es-ES" w:eastAsia="es-ES"/>
              </w:rPr>
            </w:pPr>
            <w:r w:rsidRPr="00197A61">
              <w:rPr>
                <w:rFonts w:ascii="Arial Narrow" w:hAnsi="Arial Narrow"/>
                <w:lang w:val="es-ES" w:eastAsia="es-ES"/>
              </w:rPr>
              <w:t>0</w:t>
            </w:r>
          </w:p>
        </w:tc>
        <w:tc>
          <w:tcPr>
            <w:tcW w:w="2650" w:type="dxa"/>
            <w:tcBorders>
              <w:top w:val="single" w:sz="2" w:space="0" w:color="auto"/>
              <w:bottom w:val="single" w:sz="2" w:space="0" w:color="auto"/>
            </w:tcBorders>
            <w:vAlign w:val="center"/>
          </w:tcPr>
          <w:p w:rsidR="00B27AF4" w:rsidRPr="00197A61" w:rsidRDefault="00B27AF4" w:rsidP="00B53343">
            <w:pPr>
              <w:spacing w:after="0"/>
              <w:ind w:left="141" w:right="79" w:firstLine="0"/>
              <w:jc w:val="left"/>
              <w:rPr>
                <w:rFonts w:ascii="Arial Narrow" w:hAnsi="Arial Narrow"/>
                <w:lang w:val="es-ES" w:eastAsia="es-ES"/>
              </w:rPr>
            </w:pPr>
            <w:r w:rsidRPr="00197A61">
              <w:rPr>
                <w:rFonts w:ascii="Arial Narrow" w:hAnsi="Arial Narrow"/>
                <w:lang w:val="es-ES" w:eastAsia="es-ES"/>
              </w:rPr>
              <w:t>Total Patrimonio Neto</w:t>
            </w:r>
          </w:p>
        </w:tc>
        <w:tc>
          <w:tcPr>
            <w:tcW w:w="1073" w:type="dxa"/>
            <w:tcBorders>
              <w:top w:val="single" w:sz="2" w:space="0" w:color="auto"/>
              <w:bottom w:val="single" w:sz="2" w:space="0" w:color="auto"/>
            </w:tcBorders>
            <w:vAlign w:val="center"/>
          </w:tcPr>
          <w:p w:rsidR="00B27AF4" w:rsidRPr="00197A61" w:rsidRDefault="00B27AF4" w:rsidP="00197A61">
            <w:pPr>
              <w:spacing w:after="0"/>
              <w:ind w:right="79" w:firstLine="0"/>
              <w:jc w:val="right"/>
              <w:rPr>
                <w:rFonts w:ascii="Arial Narrow" w:hAnsi="Arial Narrow"/>
                <w:lang w:val="es-ES" w:eastAsia="es-ES"/>
              </w:rPr>
            </w:pPr>
            <w:r w:rsidRPr="00197A61">
              <w:rPr>
                <w:rFonts w:ascii="Arial Narrow" w:hAnsi="Arial Narrow"/>
                <w:lang w:val="es-ES" w:eastAsia="es-ES"/>
              </w:rPr>
              <w:t>2.534</w:t>
            </w:r>
          </w:p>
        </w:tc>
        <w:tc>
          <w:tcPr>
            <w:tcW w:w="1165" w:type="dxa"/>
            <w:tcBorders>
              <w:top w:val="single" w:sz="2" w:space="0" w:color="auto"/>
              <w:bottom w:val="single" w:sz="2" w:space="0" w:color="auto"/>
            </w:tcBorders>
            <w:vAlign w:val="center"/>
          </w:tcPr>
          <w:p w:rsidR="00B27AF4" w:rsidRPr="00197A61" w:rsidRDefault="00B27AF4" w:rsidP="00197A61">
            <w:pPr>
              <w:spacing w:after="0"/>
              <w:ind w:left="112" w:right="79" w:firstLine="0"/>
              <w:jc w:val="right"/>
              <w:rPr>
                <w:rFonts w:ascii="Arial Narrow" w:hAnsi="Arial Narrow"/>
                <w:lang w:val="es-ES" w:eastAsia="es-ES"/>
              </w:rPr>
            </w:pPr>
            <w:r w:rsidRPr="00197A61">
              <w:rPr>
                <w:rFonts w:ascii="Arial Narrow" w:hAnsi="Arial Narrow"/>
                <w:lang w:val="es-ES" w:eastAsia="es-ES"/>
              </w:rPr>
              <w:t>82.861</w:t>
            </w:r>
          </w:p>
        </w:tc>
      </w:tr>
      <w:tr w:rsidR="00B27AF4" w:rsidRPr="00197A61" w:rsidTr="00FF4AA3">
        <w:trPr>
          <w:trHeight w:val="255"/>
          <w:tblCellSpacing w:w="0" w:type="dxa"/>
          <w:jc w:val="center"/>
        </w:trPr>
        <w:tc>
          <w:tcPr>
            <w:tcW w:w="2167" w:type="dxa"/>
            <w:tcBorders>
              <w:top w:val="single" w:sz="2" w:space="0" w:color="auto"/>
              <w:bottom w:val="single" w:sz="2" w:space="0" w:color="auto"/>
            </w:tcBorders>
            <w:shd w:val="clear" w:color="auto" w:fill="auto"/>
            <w:noWrap/>
            <w:tcMar>
              <w:top w:w="0" w:type="dxa"/>
              <w:left w:w="108" w:type="dxa"/>
              <w:bottom w:w="0" w:type="dxa"/>
              <w:right w:w="108" w:type="dxa"/>
            </w:tcMar>
            <w:vAlign w:val="center"/>
          </w:tcPr>
          <w:p w:rsidR="00B27AF4" w:rsidRPr="00197A61" w:rsidRDefault="00B27AF4" w:rsidP="00B53343">
            <w:pPr>
              <w:spacing w:after="0"/>
              <w:ind w:firstLine="0"/>
              <w:rPr>
                <w:sz w:val="24"/>
                <w:szCs w:val="24"/>
                <w:lang w:val="es-ES" w:eastAsia="es-ES"/>
              </w:rPr>
            </w:pPr>
            <w:r w:rsidRPr="00197A61">
              <w:rPr>
                <w:rFonts w:ascii="Arial Narrow" w:hAnsi="Arial Narrow"/>
                <w:lang w:val="es-ES" w:eastAsia="es-ES"/>
              </w:rPr>
              <w:t>Total Activo Corriente</w:t>
            </w:r>
          </w:p>
        </w:tc>
        <w:tc>
          <w:tcPr>
            <w:tcW w:w="958" w:type="dxa"/>
            <w:tcBorders>
              <w:top w:val="single" w:sz="2" w:space="0" w:color="auto"/>
              <w:bottom w:val="single" w:sz="2" w:space="0" w:color="auto"/>
            </w:tcBorders>
            <w:shd w:val="clear" w:color="auto" w:fill="auto"/>
            <w:noWrap/>
            <w:tcMar>
              <w:top w:w="0" w:type="dxa"/>
              <w:left w:w="108" w:type="dxa"/>
              <w:bottom w:w="0" w:type="dxa"/>
              <w:right w:w="108" w:type="dxa"/>
            </w:tcMar>
            <w:vAlign w:val="center"/>
          </w:tcPr>
          <w:p w:rsidR="00B27AF4" w:rsidRPr="00197A61" w:rsidRDefault="00B27AF4" w:rsidP="00B53343">
            <w:pPr>
              <w:spacing w:after="0"/>
              <w:ind w:right="57" w:firstLine="0"/>
              <w:jc w:val="right"/>
              <w:rPr>
                <w:rFonts w:ascii="Arial Narrow" w:hAnsi="Arial Narrow"/>
                <w:lang w:val="es-ES" w:eastAsia="es-ES"/>
              </w:rPr>
            </w:pPr>
            <w:r w:rsidRPr="00197A61">
              <w:rPr>
                <w:rFonts w:ascii="Arial Narrow" w:hAnsi="Arial Narrow"/>
                <w:lang w:val="es-ES" w:eastAsia="es-ES"/>
              </w:rPr>
              <w:t>237.076</w:t>
            </w:r>
          </w:p>
        </w:tc>
        <w:tc>
          <w:tcPr>
            <w:tcW w:w="907" w:type="dxa"/>
            <w:tcBorders>
              <w:top w:val="single" w:sz="2" w:space="0" w:color="auto"/>
              <w:bottom w:val="single" w:sz="2" w:space="0" w:color="auto"/>
            </w:tcBorders>
            <w:vAlign w:val="center"/>
          </w:tcPr>
          <w:p w:rsidR="00B27AF4" w:rsidRPr="00197A61" w:rsidRDefault="00B27AF4" w:rsidP="00B53343">
            <w:pPr>
              <w:spacing w:after="0"/>
              <w:ind w:right="82" w:firstLine="0"/>
              <w:jc w:val="right"/>
              <w:rPr>
                <w:rFonts w:ascii="Arial Narrow" w:hAnsi="Arial Narrow"/>
                <w:lang w:val="es-ES" w:eastAsia="es-ES"/>
              </w:rPr>
            </w:pPr>
            <w:r w:rsidRPr="00197A61">
              <w:rPr>
                <w:rFonts w:ascii="Arial Narrow" w:hAnsi="Arial Narrow"/>
                <w:lang w:val="es-ES" w:eastAsia="es-ES"/>
              </w:rPr>
              <w:t>412.767</w:t>
            </w:r>
          </w:p>
        </w:tc>
        <w:tc>
          <w:tcPr>
            <w:tcW w:w="2650" w:type="dxa"/>
            <w:tcBorders>
              <w:top w:val="single" w:sz="2" w:space="0" w:color="auto"/>
              <w:bottom w:val="single" w:sz="2" w:space="0" w:color="auto"/>
            </w:tcBorders>
            <w:vAlign w:val="center"/>
          </w:tcPr>
          <w:p w:rsidR="00B27AF4" w:rsidRPr="00197A61" w:rsidRDefault="00B27AF4" w:rsidP="00B53343">
            <w:pPr>
              <w:spacing w:after="0"/>
              <w:ind w:left="141" w:right="79" w:firstLine="0"/>
              <w:jc w:val="left"/>
              <w:rPr>
                <w:rFonts w:ascii="Arial Narrow" w:hAnsi="Arial Narrow"/>
                <w:lang w:val="es-ES" w:eastAsia="es-ES"/>
              </w:rPr>
            </w:pPr>
            <w:r w:rsidRPr="00197A61">
              <w:rPr>
                <w:rFonts w:ascii="Arial Narrow" w:hAnsi="Arial Narrow"/>
                <w:lang w:val="es-ES" w:eastAsia="es-ES"/>
              </w:rPr>
              <w:t>Total Pasivo Corriente</w:t>
            </w:r>
          </w:p>
        </w:tc>
        <w:tc>
          <w:tcPr>
            <w:tcW w:w="1073" w:type="dxa"/>
            <w:tcBorders>
              <w:top w:val="single" w:sz="2" w:space="0" w:color="auto"/>
              <w:bottom w:val="single" w:sz="2" w:space="0" w:color="auto"/>
            </w:tcBorders>
            <w:vAlign w:val="center"/>
          </w:tcPr>
          <w:p w:rsidR="00B27AF4" w:rsidRPr="00197A61" w:rsidRDefault="00B27AF4" w:rsidP="00197A61">
            <w:pPr>
              <w:spacing w:after="0"/>
              <w:ind w:right="79" w:firstLine="0"/>
              <w:jc w:val="right"/>
              <w:rPr>
                <w:rFonts w:ascii="Arial Narrow" w:hAnsi="Arial Narrow"/>
                <w:lang w:val="es-ES" w:eastAsia="es-ES"/>
              </w:rPr>
            </w:pPr>
            <w:r w:rsidRPr="00197A61">
              <w:rPr>
                <w:rFonts w:ascii="Arial Narrow" w:hAnsi="Arial Narrow"/>
                <w:lang w:val="es-ES" w:eastAsia="es-ES"/>
              </w:rPr>
              <w:t>283.546</w:t>
            </w:r>
          </w:p>
        </w:tc>
        <w:tc>
          <w:tcPr>
            <w:tcW w:w="1165" w:type="dxa"/>
            <w:tcBorders>
              <w:top w:val="single" w:sz="2" w:space="0" w:color="auto"/>
              <w:bottom w:val="single" w:sz="2" w:space="0" w:color="auto"/>
            </w:tcBorders>
            <w:vAlign w:val="center"/>
          </w:tcPr>
          <w:p w:rsidR="00B27AF4" w:rsidRPr="00197A61" w:rsidRDefault="00B27AF4" w:rsidP="00197A61">
            <w:pPr>
              <w:spacing w:after="0"/>
              <w:ind w:left="112" w:right="79" w:firstLine="0"/>
              <w:jc w:val="right"/>
              <w:rPr>
                <w:rFonts w:ascii="Arial Narrow" w:hAnsi="Arial Narrow"/>
                <w:lang w:val="es-ES" w:eastAsia="es-ES"/>
              </w:rPr>
            </w:pPr>
            <w:r w:rsidRPr="00197A61">
              <w:rPr>
                <w:rFonts w:ascii="Arial Narrow" w:hAnsi="Arial Narrow"/>
                <w:lang w:val="es-ES" w:eastAsia="es-ES"/>
              </w:rPr>
              <w:t>329.906</w:t>
            </w:r>
          </w:p>
        </w:tc>
      </w:tr>
      <w:tr w:rsidR="00B53343" w:rsidRPr="00B53343" w:rsidTr="00FF4AA3">
        <w:trPr>
          <w:trHeight w:val="255"/>
          <w:tblCellSpacing w:w="0" w:type="dxa"/>
          <w:jc w:val="center"/>
        </w:trPr>
        <w:tc>
          <w:tcPr>
            <w:tcW w:w="2167" w:type="dxa"/>
            <w:tcBorders>
              <w:top w:val="single" w:sz="4" w:space="0" w:color="auto"/>
              <w:bottom w:val="single" w:sz="4" w:space="0" w:color="auto"/>
            </w:tcBorders>
            <w:shd w:val="clear" w:color="auto" w:fill="A8CBEE" w:themeFill="accent2" w:themeFillTint="66"/>
            <w:noWrap/>
            <w:tcMar>
              <w:top w:w="0" w:type="dxa"/>
              <w:left w:w="108" w:type="dxa"/>
              <w:bottom w:w="0" w:type="dxa"/>
              <w:right w:w="108" w:type="dxa"/>
            </w:tcMar>
            <w:vAlign w:val="center"/>
          </w:tcPr>
          <w:p w:rsidR="00B27AF4" w:rsidRPr="00B53343" w:rsidRDefault="00B53343" w:rsidP="00B53343">
            <w:pPr>
              <w:spacing w:after="0"/>
              <w:ind w:firstLine="0"/>
              <w:rPr>
                <w:rFonts w:ascii="Arial" w:hAnsi="Arial" w:cs="Arial"/>
                <w:sz w:val="18"/>
                <w:szCs w:val="18"/>
                <w:lang w:val="es-ES" w:eastAsia="es-ES"/>
              </w:rPr>
            </w:pPr>
            <w:r w:rsidRPr="00B53343">
              <w:rPr>
                <w:rFonts w:ascii="Arial" w:hAnsi="Arial" w:cs="Arial"/>
                <w:sz w:val="18"/>
                <w:szCs w:val="18"/>
                <w:lang w:val="es-ES" w:eastAsia="es-ES"/>
              </w:rPr>
              <w:t>Total activo</w:t>
            </w:r>
          </w:p>
        </w:tc>
        <w:tc>
          <w:tcPr>
            <w:tcW w:w="958" w:type="dxa"/>
            <w:tcBorders>
              <w:top w:val="single" w:sz="4" w:space="0" w:color="auto"/>
              <w:bottom w:val="single" w:sz="4" w:space="0" w:color="auto"/>
            </w:tcBorders>
            <w:shd w:val="clear" w:color="auto" w:fill="A8CBEE" w:themeFill="accent2" w:themeFillTint="66"/>
            <w:noWrap/>
            <w:tcMar>
              <w:top w:w="0" w:type="dxa"/>
              <w:left w:w="108" w:type="dxa"/>
              <w:bottom w:w="0" w:type="dxa"/>
              <w:right w:w="108" w:type="dxa"/>
            </w:tcMar>
            <w:vAlign w:val="center"/>
          </w:tcPr>
          <w:p w:rsidR="00B27AF4" w:rsidRPr="00B53343" w:rsidRDefault="00B53343" w:rsidP="00B53343">
            <w:pPr>
              <w:spacing w:after="0"/>
              <w:ind w:right="57" w:firstLine="0"/>
              <w:jc w:val="right"/>
              <w:rPr>
                <w:rFonts w:ascii="Arial" w:hAnsi="Arial" w:cs="Arial"/>
                <w:sz w:val="18"/>
                <w:szCs w:val="18"/>
                <w:lang w:val="es-ES" w:eastAsia="es-ES"/>
              </w:rPr>
            </w:pPr>
            <w:r w:rsidRPr="00B53343">
              <w:rPr>
                <w:rFonts w:ascii="Arial" w:hAnsi="Arial" w:cs="Arial"/>
                <w:sz w:val="18"/>
                <w:szCs w:val="18"/>
                <w:lang w:val="es-ES" w:eastAsia="es-ES"/>
              </w:rPr>
              <w:t>286.080</w:t>
            </w:r>
          </w:p>
        </w:tc>
        <w:tc>
          <w:tcPr>
            <w:tcW w:w="907" w:type="dxa"/>
            <w:tcBorders>
              <w:top w:val="single" w:sz="4" w:space="0" w:color="auto"/>
              <w:bottom w:val="single" w:sz="4" w:space="0" w:color="auto"/>
            </w:tcBorders>
            <w:shd w:val="clear" w:color="auto" w:fill="A8CBEE" w:themeFill="accent2" w:themeFillTint="66"/>
            <w:vAlign w:val="center"/>
          </w:tcPr>
          <w:p w:rsidR="00B27AF4" w:rsidRPr="00B53343" w:rsidRDefault="00B53343" w:rsidP="00B53343">
            <w:pPr>
              <w:spacing w:after="0"/>
              <w:ind w:right="82" w:firstLine="0"/>
              <w:jc w:val="right"/>
              <w:rPr>
                <w:rFonts w:ascii="Arial" w:hAnsi="Arial" w:cs="Arial"/>
                <w:sz w:val="18"/>
                <w:szCs w:val="18"/>
                <w:lang w:val="es-ES" w:eastAsia="es-ES"/>
              </w:rPr>
            </w:pPr>
            <w:r w:rsidRPr="00B53343">
              <w:rPr>
                <w:rFonts w:ascii="Arial" w:hAnsi="Arial" w:cs="Arial"/>
                <w:sz w:val="18"/>
                <w:szCs w:val="18"/>
                <w:lang w:val="es-ES" w:eastAsia="es-ES"/>
              </w:rPr>
              <w:t>412.767</w:t>
            </w:r>
          </w:p>
        </w:tc>
        <w:tc>
          <w:tcPr>
            <w:tcW w:w="2650" w:type="dxa"/>
            <w:tcBorders>
              <w:top w:val="single" w:sz="4" w:space="0" w:color="auto"/>
              <w:bottom w:val="single" w:sz="4" w:space="0" w:color="auto"/>
            </w:tcBorders>
            <w:shd w:val="clear" w:color="auto" w:fill="A8CBEE" w:themeFill="accent2" w:themeFillTint="66"/>
            <w:vAlign w:val="center"/>
          </w:tcPr>
          <w:p w:rsidR="00B27AF4" w:rsidRPr="00B53343" w:rsidRDefault="00B53343" w:rsidP="00B53343">
            <w:pPr>
              <w:spacing w:after="0"/>
              <w:ind w:left="141" w:right="79" w:firstLine="0"/>
              <w:jc w:val="left"/>
              <w:rPr>
                <w:rFonts w:ascii="Arial" w:hAnsi="Arial" w:cs="Arial"/>
                <w:sz w:val="18"/>
                <w:szCs w:val="18"/>
                <w:lang w:val="es-ES" w:eastAsia="es-ES"/>
              </w:rPr>
            </w:pPr>
            <w:r w:rsidRPr="00B53343">
              <w:rPr>
                <w:rFonts w:ascii="Arial" w:hAnsi="Arial" w:cs="Arial"/>
                <w:sz w:val="18"/>
                <w:szCs w:val="18"/>
                <w:lang w:val="es-ES" w:eastAsia="es-ES"/>
              </w:rPr>
              <w:t>total neto y pasivo</w:t>
            </w:r>
          </w:p>
        </w:tc>
        <w:tc>
          <w:tcPr>
            <w:tcW w:w="1073" w:type="dxa"/>
            <w:tcBorders>
              <w:top w:val="single" w:sz="4" w:space="0" w:color="auto"/>
              <w:bottom w:val="single" w:sz="4" w:space="0" w:color="auto"/>
            </w:tcBorders>
            <w:shd w:val="clear" w:color="auto" w:fill="A8CBEE" w:themeFill="accent2" w:themeFillTint="66"/>
            <w:vAlign w:val="center"/>
          </w:tcPr>
          <w:p w:rsidR="00B27AF4" w:rsidRPr="00B53343" w:rsidRDefault="00B53343" w:rsidP="00197A61">
            <w:pPr>
              <w:spacing w:after="0"/>
              <w:ind w:right="79" w:firstLine="0"/>
              <w:jc w:val="right"/>
              <w:rPr>
                <w:rFonts w:ascii="Arial" w:hAnsi="Arial" w:cs="Arial"/>
                <w:sz w:val="18"/>
                <w:szCs w:val="18"/>
                <w:lang w:val="es-ES" w:eastAsia="es-ES"/>
              </w:rPr>
            </w:pPr>
            <w:r w:rsidRPr="00B53343">
              <w:rPr>
                <w:rFonts w:ascii="Arial" w:hAnsi="Arial" w:cs="Arial"/>
                <w:sz w:val="18"/>
                <w:szCs w:val="18"/>
                <w:lang w:val="es-ES" w:eastAsia="es-ES"/>
              </w:rPr>
              <w:t>286.080</w:t>
            </w:r>
          </w:p>
        </w:tc>
        <w:tc>
          <w:tcPr>
            <w:tcW w:w="1165" w:type="dxa"/>
            <w:tcBorders>
              <w:top w:val="single" w:sz="4" w:space="0" w:color="auto"/>
              <w:bottom w:val="single" w:sz="4" w:space="0" w:color="auto"/>
            </w:tcBorders>
            <w:shd w:val="clear" w:color="auto" w:fill="A8CBEE" w:themeFill="accent2" w:themeFillTint="66"/>
            <w:vAlign w:val="center"/>
          </w:tcPr>
          <w:p w:rsidR="00B27AF4" w:rsidRPr="00B53343" w:rsidRDefault="00B53343" w:rsidP="00197A61">
            <w:pPr>
              <w:spacing w:after="0"/>
              <w:ind w:left="112" w:right="79" w:firstLine="0"/>
              <w:jc w:val="right"/>
              <w:rPr>
                <w:rFonts w:ascii="Arial" w:hAnsi="Arial" w:cs="Arial"/>
                <w:sz w:val="18"/>
                <w:szCs w:val="18"/>
                <w:lang w:val="es-ES" w:eastAsia="es-ES"/>
              </w:rPr>
            </w:pPr>
            <w:r w:rsidRPr="00B53343">
              <w:rPr>
                <w:rFonts w:ascii="Arial" w:hAnsi="Arial" w:cs="Arial"/>
                <w:sz w:val="18"/>
                <w:szCs w:val="18"/>
                <w:lang w:val="es-ES" w:eastAsia="es-ES"/>
              </w:rPr>
              <w:t>412.767</w:t>
            </w:r>
          </w:p>
        </w:tc>
      </w:tr>
    </w:tbl>
    <w:p w:rsidR="006C3212" w:rsidRDefault="006C3212" w:rsidP="00FF4AA3">
      <w:pPr>
        <w:pStyle w:val="texto"/>
        <w:spacing w:after="0"/>
        <w:rPr>
          <w:lang w:val="es-ES"/>
        </w:rPr>
      </w:pPr>
    </w:p>
    <w:p w:rsidR="002559AA" w:rsidRDefault="006C3212" w:rsidP="00FF4AA3">
      <w:pPr>
        <w:pStyle w:val="texto"/>
        <w:rPr>
          <w:lang w:val="es-ES"/>
        </w:rPr>
      </w:pPr>
      <w:r>
        <w:rPr>
          <w:lang w:val="es-ES"/>
        </w:rPr>
        <w:t>Como se observa, en 2005 los resultados negativos acumulados de años ant</w:t>
      </w:r>
      <w:r>
        <w:rPr>
          <w:lang w:val="es-ES"/>
        </w:rPr>
        <w:t>e</w:t>
      </w:r>
      <w:r>
        <w:rPr>
          <w:lang w:val="es-ES"/>
        </w:rPr>
        <w:t>riores</w:t>
      </w:r>
      <w:r w:rsidR="002559AA">
        <w:rPr>
          <w:lang w:val="es-ES"/>
        </w:rPr>
        <w:t xml:space="preserve"> eran superiores al Fondo Social, presentando un patrimonio neto de esc</w:t>
      </w:r>
      <w:r w:rsidR="002559AA">
        <w:rPr>
          <w:lang w:val="es-ES"/>
        </w:rPr>
        <w:t>a</w:t>
      </w:r>
      <w:r w:rsidR="002559AA">
        <w:rPr>
          <w:lang w:val="es-ES"/>
        </w:rPr>
        <w:t>samente 2.534 euros.</w:t>
      </w:r>
    </w:p>
    <w:p w:rsidR="00106186" w:rsidRDefault="002559AA" w:rsidP="00FF4AA3">
      <w:pPr>
        <w:pStyle w:val="texto"/>
        <w:rPr>
          <w:lang w:val="es-ES"/>
        </w:rPr>
      </w:pPr>
      <w:r>
        <w:rPr>
          <w:lang w:val="es-ES"/>
        </w:rPr>
        <w:t>En 2014, la situación de las anteriores magnitudes ha evolucionado posit</w:t>
      </w:r>
      <w:r>
        <w:rPr>
          <w:lang w:val="es-ES"/>
        </w:rPr>
        <w:t>i</w:t>
      </w:r>
      <w:r>
        <w:rPr>
          <w:lang w:val="es-ES"/>
        </w:rPr>
        <w:t>vamente, observándose un patrimonio neto de 82.861 euros</w:t>
      </w:r>
      <w:r w:rsidR="00106186">
        <w:rPr>
          <w:lang w:val="es-ES"/>
        </w:rPr>
        <w:t>, si bien los result</w:t>
      </w:r>
      <w:r w:rsidR="00106186">
        <w:rPr>
          <w:lang w:val="es-ES"/>
        </w:rPr>
        <w:t>a</w:t>
      </w:r>
      <w:r w:rsidR="00106186">
        <w:rPr>
          <w:lang w:val="es-ES"/>
        </w:rPr>
        <w:t>dos negativos de ejercicios anteriores aún present</w:t>
      </w:r>
      <w:r w:rsidR="00A175DA">
        <w:rPr>
          <w:lang w:val="es-ES"/>
        </w:rPr>
        <w:t>an</w:t>
      </w:r>
      <w:r w:rsidR="00106186">
        <w:rPr>
          <w:lang w:val="es-ES"/>
        </w:rPr>
        <w:t xml:space="preserve"> un volumen relevante, 188.078 euros.</w:t>
      </w:r>
    </w:p>
    <w:p w:rsidR="00000624" w:rsidRDefault="00106186" w:rsidP="00FF4AA3">
      <w:pPr>
        <w:pStyle w:val="texto"/>
        <w:rPr>
          <w:lang w:val="es-ES"/>
        </w:rPr>
      </w:pPr>
      <w:r>
        <w:rPr>
          <w:lang w:val="es-ES"/>
        </w:rPr>
        <w:t xml:space="preserve">La Fundación no </w:t>
      </w:r>
      <w:r w:rsidR="00A175DA">
        <w:rPr>
          <w:lang w:val="es-ES"/>
        </w:rPr>
        <w:t>muestra</w:t>
      </w:r>
      <w:r>
        <w:rPr>
          <w:lang w:val="es-ES"/>
        </w:rPr>
        <w:t>, en el periodo analizado, endeudamiento a largo plazo.</w:t>
      </w:r>
      <w:r w:rsidR="00A1646C">
        <w:rPr>
          <w:lang w:val="es-ES"/>
        </w:rPr>
        <w:t xml:space="preserve"> </w:t>
      </w:r>
      <w:r w:rsidR="00000624">
        <w:rPr>
          <w:lang w:val="es-ES"/>
        </w:rPr>
        <w:t>Así mi</w:t>
      </w:r>
      <w:r w:rsidR="00A1646C">
        <w:rPr>
          <w:lang w:val="es-ES"/>
        </w:rPr>
        <w:t xml:space="preserve">smo destacamos que </w:t>
      </w:r>
      <w:r w:rsidR="00000624">
        <w:rPr>
          <w:lang w:val="es-ES"/>
        </w:rPr>
        <w:t>no dispone de inmovilizado intangible ni m</w:t>
      </w:r>
      <w:r w:rsidR="00000624">
        <w:rPr>
          <w:lang w:val="es-ES"/>
        </w:rPr>
        <w:t>a</w:t>
      </w:r>
      <w:r w:rsidR="00000624">
        <w:rPr>
          <w:lang w:val="es-ES"/>
        </w:rPr>
        <w:t>terial</w:t>
      </w:r>
      <w:r w:rsidR="00A1646C">
        <w:rPr>
          <w:lang w:val="es-ES"/>
        </w:rPr>
        <w:t>; e</w:t>
      </w:r>
      <w:r w:rsidR="003A2A8F">
        <w:rPr>
          <w:lang w:val="es-ES"/>
        </w:rPr>
        <w:t xml:space="preserve">l importe </w:t>
      </w:r>
      <w:r w:rsidR="00000624">
        <w:rPr>
          <w:lang w:val="es-ES"/>
        </w:rPr>
        <w:t>que</w:t>
      </w:r>
      <w:r w:rsidR="00A1646C">
        <w:rPr>
          <w:lang w:val="es-ES"/>
        </w:rPr>
        <w:t>,</w:t>
      </w:r>
      <w:r w:rsidR="00000624">
        <w:rPr>
          <w:lang w:val="es-ES"/>
        </w:rPr>
        <w:t xml:space="preserve"> en 2005</w:t>
      </w:r>
      <w:r w:rsidR="00A1646C">
        <w:rPr>
          <w:lang w:val="es-ES"/>
        </w:rPr>
        <w:t>,</w:t>
      </w:r>
      <w:r w:rsidR="00000624">
        <w:rPr>
          <w:lang w:val="es-ES"/>
        </w:rPr>
        <w:t xml:space="preserve"> refleja </w:t>
      </w:r>
      <w:r w:rsidR="003A2A8F">
        <w:rPr>
          <w:lang w:val="es-ES"/>
        </w:rPr>
        <w:t>el</w:t>
      </w:r>
      <w:r w:rsidR="00000624">
        <w:rPr>
          <w:lang w:val="es-ES"/>
        </w:rPr>
        <w:t xml:space="preserve"> activo no corriente responde a inve</w:t>
      </w:r>
      <w:r w:rsidR="00000624">
        <w:rPr>
          <w:lang w:val="es-ES"/>
        </w:rPr>
        <w:t>r</w:t>
      </w:r>
      <w:r w:rsidR="00000624">
        <w:rPr>
          <w:lang w:val="es-ES"/>
        </w:rPr>
        <w:t>siones de naturaleza financiera.</w:t>
      </w:r>
    </w:p>
    <w:p w:rsidR="006C3212" w:rsidRPr="00F721E0" w:rsidRDefault="007954F0" w:rsidP="00FF4AA3">
      <w:pPr>
        <w:pStyle w:val="texto"/>
        <w:rPr>
          <w:lang w:val="es-ES"/>
        </w:rPr>
      </w:pPr>
      <w:r w:rsidRPr="00F721E0">
        <w:rPr>
          <w:lang w:val="es-ES"/>
        </w:rPr>
        <w:br w:type="page"/>
      </w:r>
    </w:p>
    <w:p w:rsidR="0038122A" w:rsidRPr="00DF51AE" w:rsidRDefault="0038122A" w:rsidP="00FF4AA3">
      <w:pPr>
        <w:pStyle w:val="atitulo1"/>
      </w:pPr>
      <w:bookmarkStart w:id="15" w:name="_Toc454441426"/>
      <w:r w:rsidRPr="00DF51AE">
        <w:lastRenderedPageBreak/>
        <w:t>I</w:t>
      </w:r>
      <w:r>
        <w:t>II</w:t>
      </w:r>
      <w:r w:rsidRPr="00DF51AE">
        <w:t xml:space="preserve">. </w:t>
      </w:r>
      <w:r>
        <w:t>Opinión de cumplimiento de legalidad</w:t>
      </w:r>
      <w:bookmarkEnd w:id="14"/>
      <w:bookmarkEnd w:id="15"/>
    </w:p>
    <w:p w:rsidR="0038122A" w:rsidRPr="004F32B1" w:rsidRDefault="0038122A" w:rsidP="00FF4AA3">
      <w:pPr>
        <w:pStyle w:val="atitulo3"/>
      </w:pPr>
      <w:r w:rsidRPr="004F32B1">
        <w:t>Responsabilidad de</w:t>
      </w:r>
      <w:r w:rsidR="001300AC">
        <w:t xml:space="preserve"> las administraciones públicas</w:t>
      </w:r>
      <w:r>
        <w:t xml:space="preserve"> </w:t>
      </w:r>
    </w:p>
    <w:p w:rsidR="008C434D" w:rsidRDefault="001300AC" w:rsidP="00FF4AA3">
      <w:pPr>
        <w:pStyle w:val="texto"/>
      </w:pPr>
      <w:r w:rsidRPr="00257D3F">
        <w:t>Las administraciones públicas concedentes de subvenciones a la Fundación</w:t>
      </w:r>
      <w:r w:rsidR="00FA3DEB" w:rsidRPr="00257D3F">
        <w:t xml:space="preserve"> –Gobierno de Navarra y Ayuntamiento de Pamplona</w:t>
      </w:r>
      <w:r w:rsidR="00D43402">
        <w:t xml:space="preserve">– </w:t>
      </w:r>
      <w:r w:rsidR="008C434D">
        <w:t xml:space="preserve">a través de sus órganos competentes en </w:t>
      </w:r>
      <w:r>
        <w:t xml:space="preserve">esta </w:t>
      </w:r>
      <w:r w:rsidR="008C434D">
        <w:t>materia,</w:t>
      </w:r>
      <w:r w:rsidR="001C16A2">
        <w:t xml:space="preserve"> </w:t>
      </w:r>
      <w:r w:rsidR="0038122A">
        <w:t>deberá</w:t>
      </w:r>
      <w:r>
        <w:t>n</w:t>
      </w:r>
      <w:r w:rsidR="0038122A">
        <w:t xml:space="preserve"> garantizar que las subvenciones conced</w:t>
      </w:r>
      <w:r w:rsidR="0038122A">
        <w:t>i</w:t>
      </w:r>
      <w:r w:rsidR="0038122A">
        <w:t xml:space="preserve">das y la información </w:t>
      </w:r>
      <w:r w:rsidR="00074ECC">
        <w:t>que de</w:t>
      </w:r>
      <w:r w:rsidR="0038122A">
        <w:t xml:space="preserve"> las mismas</w:t>
      </w:r>
      <w:r w:rsidR="00074ECC">
        <w:t xml:space="preserve"> se reflejan</w:t>
      </w:r>
      <w:r w:rsidR="0038122A">
        <w:t xml:space="preserve"> en </w:t>
      </w:r>
      <w:r w:rsidR="00074ECC">
        <w:t>sus</w:t>
      </w:r>
      <w:r w:rsidR="0038122A">
        <w:t xml:space="preserve"> estados financieros resultan conformes con la normativa vigente.</w:t>
      </w:r>
      <w:r w:rsidR="001C16A2" w:rsidRPr="001C16A2">
        <w:t xml:space="preserve"> </w:t>
      </w:r>
    </w:p>
    <w:p w:rsidR="0038122A" w:rsidRDefault="001C16A2" w:rsidP="00FF4AA3">
      <w:pPr>
        <w:pStyle w:val="texto"/>
        <w:spacing w:after="240"/>
      </w:pPr>
      <w:r>
        <w:t xml:space="preserve">Asimismo </w:t>
      </w:r>
      <w:r w:rsidR="001300AC" w:rsidRPr="00257D3F">
        <w:t>son</w:t>
      </w:r>
      <w:r w:rsidRPr="00257D3F">
        <w:t xml:space="preserve"> responsable</w:t>
      </w:r>
      <w:r w:rsidR="001300AC" w:rsidRPr="00257D3F">
        <w:t>s</w:t>
      </w:r>
      <w:r w:rsidRPr="00257D3F">
        <w:t xml:space="preserve"> </w:t>
      </w:r>
      <w:r>
        <w:t xml:space="preserve">del control interno que se considerara necesario para </w:t>
      </w:r>
      <w:r>
        <w:tab/>
        <w:t xml:space="preserve">que la gestión y registro de esas subvenciones estén libres de </w:t>
      </w:r>
      <w:r w:rsidR="00031839">
        <w:t>incumpl</w:t>
      </w:r>
      <w:r w:rsidR="00031839">
        <w:t>i</w:t>
      </w:r>
      <w:r w:rsidR="00031839">
        <w:t>miento</w:t>
      </w:r>
      <w:r w:rsidR="00775365">
        <w:t>s</w:t>
      </w:r>
      <w:r w:rsidR="00031839">
        <w:t xml:space="preserve"> legales y de </w:t>
      </w:r>
      <w:r>
        <w:t xml:space="preserve">incorrecciones materiales debidas a fraude o error. </w:t>
      </w:r>
    </w:p>
    <w:p w:rsidR="0038122A" w:rsidRPr="00F71FD2" w:rsidRDefault="0038122A" w:rsidP="00FF4AA3">
      <w:pPr>
        <w:pStyle w:val="atitulo3"/>
      </w:pPr>
      <w:r w:rsidRPr="00F71FD2">
        <w:t>Responsabilidad de la Cámara de Comptos de Navarra</w:t>
      </w:r>
    </w:p>
    <w:p w:rsidR="000B2764" w:rsidRDefault="0038122A" w:rsidP="00FF4AA3">
      <w:pPr>
        <w:pStyle w:val="texto"/>
      </w:pPr>
      <w:r w:rsidRPr="004F32B1">
        <w:t xml:space="preserve">Nuestra responsabilidad es expresar una opinión sobre </w:t>
      </w:r>
      <w:r w:rsidR="00074ECC">
        <w:t>la legalidad en la concesión, justificación</w:t>
      </w:r>
      <w:r w:rsidR="008C434D">
        <w:t>,</w:t>
      </w:r>
      <w:r w:rsidR="00074ECC">
        <w:t xml:space="preserve"> pago</w:t>
      </w:r>
      <w:r w:rsidR="008C434D">
        <w:t xml:space="preserve"> y registro</w:t>
      </w:r>
      <w:r w:rsidR="00074ECC">
        <w:t xml:space="preserve"> de las subvenciones analizadas</w:t>
      </w:r>
      <w:r w:rsidRPr="004F32B1">
        <w:t xml:space="preserve">. </w:t>
      </w:r>
      <w:r>
        <w:t>Para ello, h</w:t>
      </w:r>
      <w:r w:rsidRPr="004F32B1">
        <w:t xml:space="preserve">emos llevado a cabo </w:t>
      </w:r>
      <w:r>
        <w:t>la misma</w:t>
      </w:r>
      <w:r w:rsidRPr="004F32B1">
        <w:t xml:space="preserve"> de conformidad con los </w:t>
      </w:r>
      <w:r>
        <w:t>p</w:t>
      </w:r>
      <w:r w:rsidRPr="004F32B1">
        <w:t xml:space="preserve">rincipios </w:t>
      </w:r>
      <w:r w:rsidR="00911E06">
        <w:t>básicos</w:t>
      </w:r>
      <w:r w:rsidRPr="004F32B1">
        <w:t xml:space="preserve"> de fiscalización de las Instituciones</w:t>
      </w:r>
      <w:r>
        <w:t xml:space="preserve"> Públicas de Control Externo. </w:t>
      </w:r>
    </w:p>
    <w:p w:rsidR="008C434D" w:rsidRDefault="008C434D" w:rsidP="00FF4AA3">
      <w:pPr>
        <w:pStyle w:val="texto"/>
      </w:pPr>
      <w:r>
        <w:t xml:space="preserve">Dichos principios exigen que planifiquemos y ejecutemos la fiscalización con el fin de obtener una seguridad razonable de que la actividad subvencional analizada y desarrollada por </w:t>
      </w:r>
      <w:r w:rsidR="001300AC">
        <w:t>las distintas administraciones públicas corres</w:t>
      </w:r>
      <w:r>
        <w:t>po</w:t>
      </w:r>
      <w:r>
        <w:t>n</w:t>
      </w:r>
      <w:r>
        <w:t xml:space="preserve">diente </w:t>
      </w:r>
      <w:r w:rsidR="001300AC">
        <w:t>al periodo de 2005 a 2015</w:t>
      </w:r>
      <w:r>
        <w:t xml:space="preserve"> resulta conforme, en todos sus aspectos sign</w:t>
      </w:r>
      <w:r>
        <w:t>i</w:t>
      </w:r>
      <w:r>
        <w:t>ficativos, con la normativa aplicable.</w:t>
      </w:r>
    </w:p>
    <w:p w:rsidR="008C434D" w:rsidRDefault="008C434D" w:rsidP="00FF4AA3">
      <w:pPr>
        <w:pStyle w:val="texto"/>
      </w:pPr>
      <w:r>
        <w:t xml:space="preserve">Nuestra revisión ha consistido en verificar, mediante pruebas selectivas y la aplicación de los procedimientos </w:t>
      </w:r>
      <w:r w:rsidRPr="00D92896">
        <w:rPr>
          <w:szCs w:val="26"/>
        </w:rPr>
        <w:t>técnicos considerados</w:t>
      </w:r>
      <w:r>
        <w:rPr>
          <w:szCs w:val="26"/>
        </w:rPr>
        <w:t xml:space="preserve"> necesarios, el cumpl</w:t>
      </w:r>
      <w:r>
        <w:rPr>
          <w:szCs w:val="26"/>
        </w:rPr>
        <w:t>i</w:t>
      </w:r>
      <w:r>
        <w:rPr>
          <w:szCs w:val="26"/>
        </w:rPr>
        <w:t>miento de los aspectos relevantes establecidos en la normativa sobre concesión de subvenciones públicas.</w:t>
      </w:r>
      <w:r w:rsidRPr="008C434D">
        <w:t xml:space="preserve"> </w:t>
      </w:r>
      <w:r w:rsidRPr="004F32B1">
        <w:t>Los procedimientos seleccionados dependen del ju</w:t>
      </w:r>
      <w:r w:rsidRPr="004F32B1">
        <w:t>i</w:t>
      </w:r>
      <w:r w:rsidRPr="004F32B1">
        <w:t xml:space="preserve">cio del auditor, incluida la valoración de los riesgos </w:t>
      </w:r>
      <w:r>
        <w:t xml:space="preserve">tanto </w:t>
      </w:r>
      <w:r w:rsidRPr="004F32B1">
        <w:t>de incorrección mat</w:t>
      </w:r>
      <w:r w:rsidRPr="004F32B1">
        <w:t>e</w:t>
      </w:r>
      <w:r w:rsidRPr="004F32B1">
        <w:t xml:space="preserve">rial en </w:t>
      </w:r>
      <w:r>
        <w:t>su registro contable como de incumplimientos significativos de la citada normativa.</w:t>
      </w:r>
    </w:p>
    <w:p w:rsidR="0038122A" w:rsidRDefault="0038122A" w:rsidP="00FF4AA3">
      <w:pPr>
        <w:pStyle w:val="texto"/>
      </w:pPr>
      <w:r w:rsidRPr="004F32B1">
        <w:t xml:space="preserve">Consideramos que la evidencia de auditoría que hemos obtenido proporciona una base suficiente y adecuada para nuestra opinión de </w:t>
      </w:r>
      <w:r>
        <w:t>fiscalización</w:t>
      </w:r>
      <w:r w:rsidRPr="004F32B1">
        <w:t>.</w:t>
      </w:r>
    </w:p>
    <w:p w:rsidR="0038122A" w:rsidRDefault="0038122A" w:rsidP="00FF4AA3">
      <w:pPr>
        <w:pStyle w:val="texto"/>
        <w:spacing w:after="240"/>
      </w:pPr>
      <w:r w:rsidRPr="0026612D">
        <w:t>Como r</w:t>
      </w:r>
      <w:r>
        <w:t>esultado d</w:t>
      </w:r>
      <w:r w:rsidR="00074ECC">
        <w:t xml:space="preserve">e la fiscalización </w:t>
      </w:r>
      <w:r>
        <w:t>de cumplimiento de legalidad</w:t>
      </w:r>
      <w:r w:rsidRPr="0026612D">
        <w:t xml:space="preserve"> se despre</w:t>
      </w:r>
      <w:r w:rsidRPr="0026612D">
        <w:t>n</w:t>
      </w:r>
      <w:r w:rsidRPr="0026612D">
        <w:t>de la siguiente</w:t>
      </w:r>
      <w:r w:rsidRPr="00911E06">
        <w:t xml:space="preserve"> opinión</w:t>
      </w:r>
      <w:r w:rsidR="00911E06" w:rsidRPr="00911E06">
        <w:t xml:space="preserve"> no modificada</w:t>
      </w:r>
      <w:r>
        <w:t>.</w:t>
      </w:r>
    </w:p>
    <w:p w:rsidR="0038122A" w:rsidRPr="009D36F1" w:rsidRDefault="0038122A" w:rsidP="00FF4AA3">
      <w:pPr>
        <w:pStyle w:val="atitulo3"/>
        <w:spacing w:after="120"/>
      </w:pPr>
      <w:bookmarkStart w:id="16" w:name="_Toc305415950"/>
      <w:bookmarkStart w:id="17" w:name="_Toc305480468"/>
      <w:bookmarkStart w:id="18" w:name="_Toc402180175"/>
      <w:bookmarkStart w:id="19" w:name="_Toc188167196"/>
      <w:bookmarkStart w:id="20" w:name="_Toc303592533"/>
      <w:bookmarkStart w:id="21" w:name="_Toc309383716"/>
      <w:bookmarkStart w:id="22" w:name="_Toc339016605"/>
      <w:r w:rsidRPr="009D36F1">
        <w:t>Opinión sobre cumplimiento</w:t>
      </w:r>
      <w:bookmarkEnd w:id="16"/>
      <w:bookmarkEnd w:id="17"/>
      <w:r w:rsidRPr="009D36F1">
        <w:t xml:space="preserve"> de legalidad</w:t>
      </w:r>
      <w:bookmarkEnd w:id="18"/>
    </w:p>
    <w:p w:rsidR="0038122A" w:rsidRDefault="0038122A" w:rsidP="00FF4AA3">
      <w:pPr>
        <w:pStyle w:val="texto"/>
        <w:spacing w:after="180"/>
        <w:rPr>
          <w:szCs w:val="26"/>
        </w:rPr>
      </w:pPr>
      <w:r w:rsidRPr="00611F45">
        <w:rPr>
          <w:szCs w:val="26"/>
        </w:rPr>
        <w:t xml:space="preserve">En nuestra opinión, </w:t>
      </w:r>
      <w:r w:rsidR="00074ECC">
        <w:rPr>
          <w:szCs w:val="26"/>
        </w:rPr>
        <w:t xml:space="preserve">las operaciones de subvenciones analizadas </w:t>
      </w:r>
      <w:r w:rsidR="008C434D">
        <w:rPr>
          <w:szCs w:val="26"/>
        </w:rPr>
        <w:t xml:space="preserve">concedidas </w:t>
      </w:r>
      <w:r w:rsidR="008C434D" w:rsidRPr="00257D3F">
        <w:rPr>
          <w:szCs w:val="26"/>
        </w:rPr>
        <w:t xml:space="preserve">por </w:t>
      </w:r>
      <w:r w:rsidR="001300AC" w:rsidRPr="00257D3F">
        <w:rPr>
          <w:szCs w:val="26"/>
        </w:rPr>
        <w:t>las administraciones públicas</w:t>
      </w:r>
      <w:r w:rsidR="00D43402">
        <w:rPr>
          <w:szCs w:val="26"/>
        </w:rPr>
        <w:t xml:space="preserve"> –</w:t>
      </w:r>
      <w:r w:rsidR="00FA3DEB" w:rsidRPr="00257D3F">
        <w:t>Gobierno de Navarra y Ayuntamiento de Pamplona</w:t>
      </w:r>
      <w:r w:rsidR="00D43402">
        <w:t>–</w:t>
      </w:r>
      <w:r w:rsidR="001300AC" w:rsidRPr="00257D3F">
        <w:rPr>
          <w:szCs w:val="26"/>
        </w:rPr>
        <w:t xml:space="preserve"> </w:t>
      </w:r>
      <w:r w:rsidR="001300AC">
        <w:rPr>
          <w:szCs w:val="26"/>
        </w:rPr>
        <w:t>a la Fundación M</w:t>
      </w:r>
      <w:r w:rsidR="006D31DC">
        <w:rPr>
          <w:szCs w:val="26"/>
        </w:rPr>
        <w:t>iguel</w:t>
      </w:r>
      <w:r w:rsidR="001300AC">
        <w:rPr>
          <w:szCs w:val="26"/>
        </w:rPr>
        <w:t xml:space="preserve"> Induráin</w:t>
      </w:r>
      <w:r w:rsidR="008C434D">
        <w:rPr>
          <w:szCs w:val="26"/>
        </w:rPr>
        <w:t xml:space="preserve"> </w:t>
      </w:r>
      <w:r w:rsidR="00074ECC">
        <w:rPr>
          <w:szCs w:val="26"/>
        </w:rPr>
        <w:t xml:space="preserve">correspondientes al </w:t>
      </w:r>
      <w:r w:rsidR="009A6577">
        <w:rPr>
          <w:szCs w:val="26"/>
        </w:rPr>
        <w:t>periodo de 2005 a 2015</w:t>
      </w:r>
      <w:r>
        <w:rPr>
          <w:szCs w:val="26"/>
        </w:rPr>
        <w:t xml:space="preserve"> </w:t>
      </w:r>
      <w:r w:rsidRPr="00611F45">
        <w:rPr>
          <w:szCs w:val="26"/>
        </w:rPr>
        <w:t xml:space="preserve">resultan conformes, en todos </w:t>
      </w:r>
      <w:r>
        <w:rPr>
          <w:szCs w:val="26"/>
        </w:rPr>
        <w:t>sus</w:t>
      </w:r>
      <w:r w:rsidRPr="00611F45">
        <w:rPr>
          <w:szCs w:val="26"/>
        </w:rPr>
        <w:t xml:space="preserve"> aspectos significativos, con la norm</w:t>
      </w:r>
      <w:r w:rsidR="008C434D">
        <w:rPr>
          <w:szCs w:val="26"/>
        </w:rPr>
        <w:t>ativa sobre subvenciones públicas.</w:t>
      </w:r>
      <w:bookmarkEnd w:id="19"/>
      <w:bookmarkEnd w:id="20"/>
      <w:bookmarkEnd w:id="21"/>
      <w:bookmarkEnd w:id="22"/>
    </w:p>
    <w:p w:rsidR="00257D3F" w:rsidRDefault="00257D3F" w:rsidP="00FF4AA3">
      <w:pPr>
        <w:pStyle w:val="atitulo3"/>
        <w:spacing w:after="120"/>
      </w:pPr>
      <w:r>
        <w:lastRenderedPageBreak/>
        <w:t xml:space="preserve">Párrafo de otras cuestiones </w:t>
      </w:r>
      <w:r w:rsidR="007F21BE">
        <w:t>significativas</w:t>
      </w:r>
    </w:p>
    <w:p w:rsidR="00257D3F" w:rsidRDefault="007F21BE" w:rsidP="00FF4AA3">
      <w:pPr>
        <w:pStyle w:val="texto"/>
        <w:spacing w:after="180"/>
        <w:rPr>
          <w:szCs w:val="26"/>
        </w:rPr>
      </w:pPr>
      <w:r>
        <w:rPr>
          <w:szCs w:val="26"/>
        </w:rPr>
        <w:t xml:space="preserve">En el periodo analizado, se observa una evolución positiva </w:t>
      </w:r>
      <w:r w:rsidR="009B6DEF">
        <w:rPr>
          <w:szCs w:val="26"/>
        </w:rPr>
        <w:t>e</w:t>
      </w:r>
      <w:r>
        <w:rPr>
          <w:szCs w:val="26"/>
        </w:rPr>
        <w:t>n el control</w:t>
      </w:r>
      <w:r w:rsidR="009B6DEF">
        <w:rPr>
          <w:szCs w:val="26"/>
        </w:rPr>
        <w:t xml:space="preserve"> i</w:t>
      </w:r>
      <w:r w:rsidR="009B6DEF">
        <w:rPr>
          <w:szCs w:val="26"/>
        </w:rPr>
        <w:t>n</w:t>
      </w:r>
      <w:r w:rsidR="009B6DEF">
        <w:rPr>
          <w:szCs w:val="26"/>
        </w:rPr>
        <w:t>terno</w:t>
      </w:r>
      <w:r>
        <w:rPr>
          <w:szCs w:val="26"/>
        </w:rPr>
        <w:t xml:space="preserve"> ejercido por el INDyJ sobre la aplicación efectiva de las subvenciones</w:t>
      </w:r>
      <w:r w:rsidR="00EB14C2">
        <w:rPr>
          <w:szCs w:val="26"/>
        </w:rPr>
        <w:t xml:space="preserve"> otorgadas a la Fundación</w:t>
      </w:r>
      <w:r>
        <w:rPr>
          <w:szCs w:val="26"/>
        </w:rPr>
        <w:t xml:space="preserve">. </w:t>
      </w:r>
    </w:p>
    <w:p w:rsidR="0038075B" w:rsidRDefault="0038075B" w:rsidP="00FF4AA3">
      <w:pPr>
        <w:pStyle w:val="texto"/>
        <w:spacing w:after="180"/>
        <w:rPr>
          <w:szCs w:val="26"/>
        </w:rPr>
      </w:pPr>
      <w:r>
        <w:rPr>
          <w:szCs w:val="26"/>
        </w:rPr>
        <w:t>Así mismo, sobre la naturaleza jurídica de la Fundación, debe</w:t>
      </w:r>
      <w:r w:rsidR="006D31DC">
        <w:rPr>
          <w:szCs w:val="26"/>
        </w:rPr>
        <w:t>n</w:t>
      </w:r>
      <w:r>
        <w:rPr>
          <w:szCs w:val="26"/>
        </w:rPr>
        <w:t xml:space="preserve"> tenerse en cuenta las previsiones que contempla </w:t>
      </w:r>
      <w:r w:rsidRPr="00A826F4">
        <w:rPr>
          <w:spacing w:val="2"/>
        </w:rPr>
        <w:t>el artículo 129</w:t>
      </w:r>
      <w:r w:rsidR="00EB14C2">
        <w:rPr>
          <w:rStyle w:val="Refdenotaalpie"/>
          <w:spacing w:val="2"/>
        </w:rPr>
        <w:footnoteReference w:id="2"/>
      </w:r>
      <w:r w:rsidRPr="00A826F4">
        <w:rPr>
          <w:spacing w:val="2"/>
        </w:rPr>
        <w:t xml:space="preserve"> de la Ley 40/2015, de 1 de octubre, de Régimen Jurídico del Sector Público,</w:t>
      </w:r>
      <w:r w:rsidR="004B3CC9">
        <w:rPr>
          <w:spacing w:val="2"/>
        </w:rPr>
        <w:t xml:space="preserve"> </w:t>
      </w:r>
      <w:r w:rsidR="009461FF">
        <w:rPr>
          <w:spacing w:val="2"/>
        </w:rPr>
        <w:t>en el que se regula</w:t>
      </w:r>
      <w:r w:rsidR="00EB14C2">
        <w:rPr>
          <w:spacing w:val="2"/>
        </w:rPr>
        <w:t xml:space="preserve"> el régimen de adscripción de las fundaciones a una administración pública cuando cumplan d</w:t>
      </w:r>
      <w:r w:rsidR="00EB14C2">
        <w:rPr>
          <w:spacing w:val="2"/>
        </w:rPr>
        <w:t>e</w:t>
      </w:r>
      <w:r w:rsidR="00EB14C2">
        <w:rPr>
          <w:spacing w:val="2"/>
        </w:rPr>
        <w:t>terminados criterios o requisitos.</w:t>
      </w:r>
    </w:p>
    <w:p w:rsidR="00257D3F" w:rsidRDefault="00257D3F" w:rsidP="00FF4AA3">
      <w:pPr>
        <w:spacing w:after="0"/>
        <w:ind w:firstLine="0"/>
        <w:jc w:val="left"/>
        <w:rPr>
          <w:rFonts w:ascii="Arial" w:hAnsi="Arial"/>
          <w:b/>
          <w:color w:val="000000"/>
          <w:kern w:val="28"/>
          <w:sz w:val="25"/>
          <w:szCs w:val="26"/>
        </w:rPr>
      </w:pPr>
      <w:r>
        <w:br w:type="page"/>
      </w:r>
    </w:p>
    <w:p w:rsidR="00882BEB" w:rsidRPr="00635AD2" w:rsidRDefault="00107CC7" w:rsidP="00FF4AA3">
      <w:pPr>
        <w:pStyle w:val="atitulo1"/>
        <w:rPr>
          <w:spacing w:val="-2"/>
        </w:rPr>
      </w:pPr>
      <w:bookmarkStart w:id="23" w:name="_Toc454441427"/>
      <w:r w:rsidRPr="00635AD2">
        <w:rPr>
          <w:spacing w:val="-2"/>
        </w:rPr>
        <w:lastRenderedPageBreak/>
        <w:t>I</w:t>
      </w:r>
      <w:r w:rsidR="00074ECC" w:rsidRPr="00635AD2">
        <w:rPr>
          <w:spacing w:val="-2"/>
        </w:rPr>
        <w:t>V</w:t>
      </w:r>
      <w:r w:rsidR="00882BEB" w:rsidRPr="00635AD2">
        <w:rPr>
          <w:spacing w:val="-2"/>
        </w:rPr>
        <w:t xml:space="preserve">. </w:t>
      </w:r>
      <w:r w:rsidR="00360CBA" w:rsidRPr="00635AD2">
        <w:rPr>
          <w:spacing w:val="-2"/>
        </w:rPr>
        <w:t>O</w:t>
      </w:r>
      <w:r w:rsidR="000B7D3A" w:rsidRPr="00635AD2">
        <w:rPr>
          <w:spacing w:val="-2"/>
        </w:rPr>
        <w:t>bservaciones</w:t>
      </w:r>
      <w:r w:rsidR="003370A3" w:rsidRPr="00635AD2">
        <w:rPr>
          <w:spacing w:val="-2"/>
        </w:rPr>
        <w:t xml:space="preserve"> </w:t>
      </w:r>
      <w:r w:rsidR="000B7D3A" w:rsidRPr="00635AD2">
        <w:rPr>
          <w:spacing w:val="-2"/>
        </w:rPr>
        <w:t xml:space="preserve">que no afectan a la opinión emitida </w:t>
      </w:r>
      <w:r w:rsidR="003370A3" w:rsidRPr="00635AD2">
        <w:rPr>
          <w:spacing w:val="-2"/>
        </w:rPr>
        <w:t>y recomendaciones</w:t>
      </w:r>
      <w:bookmarkEnd w:id="5"/>
      <w:bookmarkEnd w:id="6"/>
      <w:bookmarkEnd w:id="7"/>
      <w:bookmarkEnd w:id="23"/>
      <w:r w:rsidR="00882BEB" w:rsidRPr="00635AD2">
        <w:rPr>
          <w:spacing w:val="-2"/>
        </w:rPr>
        <w:t xml:space="preserve"> </w:t>
      </w:r>
      <w:bookmarkEnd w:id="8"/>
    </w:p>
    <w:p w:rsidR="00C43DB0" w:rsidRPr="00A14F8A" w:rsidRDefault="003E4C43" w:rsidP="00FF4AA3">
      <w:pPr>
        <w:pStyle w:val="texto"/>
        <w:tabs>
          <w:tab w:val="clear" w:pos="2835"/>
          <w:tab w:val="clear" w:pos="3969"/>
          <w:tab w:val="clear" w:pos="5103"/>
          <w:tab w:val="clear" w:pos="6237"/>
          <w:tab w:val="clear" w:pos="7371"/>
        </w:tabs>
        <w:rPr>
          <w:spacing w:val="2"/>
          <w:szCs w:val="26"/>
        </w:rPr>
      </w:pPr>
      <w:r w:rsidRPr="00A14F8A">
        <w:rPr>
          <w:spacing w:val="2"/>
          <w:szCs w:val="26"/>
        </w:rPr>
        <w:t>A continuac</w:t>
      </w:r>
      <w:r w:rsidR="00BA6968" w:rsidRPr="00A14F8A">
        <w:rPr>
          <w:spacing w:val="2"/>
          <w:szCs w:val="26"/>
        </w:rPr>
        <w:t>ión, se expone</w:t>
      </w:r>
      <w:r w:rsidR="00E55C5B" w:rsidRPr="00A14F8A">
        <w:rPr>
          <w:spacing w:val="2"/>
          <w:szCs w:val="26"/>
        </w:rPr>
        <w:t>n las conclusiones</w:t>
      </w:r>
      <w:r w:rsidR="00360CBA" w:rsidRPr="00A14F8A">
        <w:rPr>
          <w:spacing w:val="2"/>
          <w:szCs w:val="26"/>
        </w:rPr>
        <w:t xml:space="preserve"> u observaciones </w:t>
      </w:r>
      <w:r w:rsidR="00E55C5B" w:rsidRPr="00A14F8A">
        <w:rPr>
          <w:spacing w:val="2"/>
          <w:szCs w:val="26"/>
        </w:rPr>
        <w:t>obtenidas del tr</w:t>
      </w:r>
      <w:r w:rsidR="00E55C5B" w:rsidRPr="00A14F8A">
        <w:rPr>
          <w:spacing w:val="2"/>
          <w:szCs w:val="26"/>
        </w:rPr>
        <w:t>a</w:t>
      </w:r>
      <w:r w:rsidR="00E55C5B" w:rsidRPr="00A14F8A">
        <w:rPr>
          <w:spacing w:val="2"/>
          <w:szCs w:val="26"/>
        </w:rPr>
        <w:t>bajo realizado así como las recomendaciones emitidas al objeto de mejorar la ge</w:t>
      </w:r>
      <w:r w:rsidR="00E55C5B" w:rsidRPr="00A14F8A">
        <w:rPr>
          <w:spacing w:val="2"/>
          <w:szCs w:val="26"/>
        </w:rPr>
        <w:t>s</w:t>
      </w:r>
      <w:r w:rsidR="00E55C5B" w:rsidRPr="00A14F8A">
        <w:rPr>
          <w:spacing w:val="2"/>
          <w:szCs w:val="26"/>
        </w:rPr>
        <w:t xml:space="preserve">tión de estas </w:t>
      </w:r>
      <w:r w:rsidR="00AA5B5A" w:rsidRPr="00A14F8A">
        <w:rPr>
          <w:spacing w:val="2"/>
          <w:szCs w:val="26"/>
        </w:rPr>
        <w:t>subvenciones</w:t>
      </w:r>
      <w:r w:rsidR="00E55C5B" w:rsidRPr="00A14F8A">
        <w:rPr>
          <w:spacing w:val="2"/>
          <w:szCs w:val="26"/>
        </w:rPr>
        <w:t>.</w:t>
      </w:r>
      <w:r w:rsidR="008C52BE" w:rsidRPr="00A14F8A">
        <w:rPr>
          <w:spacing w:val="2"/>
          <w:szCs w:val="26"/>
        </w:rPr>
        <w:t xml:space="preserve"> Estas </w:t>
      </w:r>
      <w:r w:rsidR="00360CBA" w:rsidRPr="00A14F8A">
        <w:rPr>
          <w:spacing w:val="2"/>
          <w:szCs w:val="26"/>
        </w:rPr>
        <w:t>observaciones</w:t>
      </w:r>
      <w:r w:rsidR="008C52BE" w:rsidRPr="00A14F8A">
        <w:rPr>
          <w:spacing w:val="2"/>
          <w:szCs w:val="26"/>
        </w:rPr>
        <w:t xml:space="preserve"> no afectan a la opinión emitida.</w:t>
      </w:r>
    </w:p>
    <w:p w:rsidR="00AA5B5A" w:rsidRDefault="00AA5B5A" w:rsidP="00FF4AA3">
      <w:pPr>
        <w:pStyle w:val="texto"/>
        <w:tabs>
          <w:tab w:val="clear" w:pos="2835"/>
          <w:tab w:val="clear" w:pos="3969"/>
          <w:tab w:val="clear" w:pos="5103"/>
          <w:tab w:val="clear" w:pos="6237"/>
          <w:tab w:val="clear" w:pos="7371"/>
        </w:tabs>
        <w:rPr>
          <w:szCs w:val="26"/>
        </w:rPr>
      </w:pPr>
      <w:r>
        <w:rPr>
          <w:szCs w:val="26"/>
        </w:rPr>
        <w:t>Se completa este apartado con unas reflexiones sobre la naturaleza jur</w:t>
      </w:r>
      <w:r w:rsidR="00A73CD2">
        <w:rPr>
          <w:szCs w:val="26"/>
        </w:rPr>
        <w:t xml:space="preserve">ídica de la propia Fundación </w:t>
      </w:r>
      <w:r>
        <w:rPr>
          <w:szCs w:val="26"/>
        </w:rPr>
        <w:t>Induráin.</w:t>
      </w:r>
    </w:p>
    <w:p w:rsidR="00E55C5B" w:rsidRDefault="0009411D" w:rsidP="00FF4AA3">
      <w:pPr>
        <w:pStyle w:val="atitulo2"/>
        <w:spacing w:before="240"/>
      </w:pPr>
      <w:bookmarkStart w:id="24" w:name="_Toc454441428"/>
      <w:r>
        <w:t>I</w:t>
      </w:r>
      <w:r w:rsidR="00074ECC">
        <w:t>V</w:t>
      </w:r>
      <w:r>
        <w:t xml:space="preserve">.1. </w:t>
      </w:r>
      <w:r w:rsidR="00E82690">
        <w:t xml:space="preserve">Conclusiones u </w:t>
      </w:r>
      <w:r w:rsidR="003E7AF8">
        <w:t>o</w:t>
      </w:r>
      <w:r w:rsidR="00360CBA">
        <w:t>bservaciones</w:t>
      </w:r>
      <w:r>
        <w:t>.</w:t>
      </w:r>
      <w:bookmarkEnd w:id="24"/>
    </w:p>
    <w:p w:rsidR="007F45AF" w:rsidRPr="007B3AEC" w:rsidRDefault="007F45AF" w:rsidP="00FF4AA3">
      <w:pPr>
        <w:pStyle w:val="atitulo3"/>
        <w:spacing w:after="120"/>
      </w:pPr>
      <w:r w:rsidRPr="007B3AEC">
        <w:t>Aspectos generales y presupuestarios</w:t>
      </w:r>
    </w:p>
    <w:p w:rsidR="00E82690" w:rsidRDefault="00B975D6" w:rsidP="00FF4AA3">
      <w:pPr>
        <w:pStyle w:val="texto"/>
        <w:tabs>
          <w:tab w:val="clear" w:pos="2835"/>
          <w:tab w:val="clear" w:pos="3969"/>
          <w:tab w:val="clear" w:pos="5103"/>
          <w:tab w:val="clear" w:pos="6237"/>
          <w:tab w:val="clear" w:pos="7371"/>
        </w:tabs>
      </w:pPr>
      <w:r w:rsidRPr="00A14F8A">
        <w:rPr>
          <w:b/>
        </w:rPr>
        <w:t>1</w:t>
      </w:r>
      <w:r w:rsidR="00A14F8A">
        <w:rPr>
          <w:b/>
        </w:rPr>
        <w:t>.</w:t>
      </w:r>
      <w:r w:rsidRPr="00A14F8A">
        <w:rPr>
          <w:b/>
        </w:rPr>
        <w:t xml:space="preserve">ª </w:t>
      </w:r>
      <w:r>
        <w:t>Las subvenciones analizadas tienen asignación nominativa</w:t>
      </w:r>
      <w:r w:rsidR="00D571FD">
        <w:t xml:space="preserve"> y directa</w:t>
      </w:r>
      <w:r>
        <w:t xml:space="preserve"> en los presupuestos generales de Navarra </w:t>
      </w:r>
      <w:r w:rsidR="00F60CCA">
        <w:t>y del Ayuntamiento de Pamplona</w:t>
      </w:r>
      <w:r w:rsidR="003B6851">
        <w:t xml:space="preserve"> qu</w:t>
      </w:r>
      <w:r w:rsidR="003B6851">
        <w:t>e</w:t>
      </w:r>
      <w:r w:rsidR="003B6851">
        <w:t>dando, en consecuencia, excluida la concurrencia</w:t>
      </w:r>
      <w:r w:rsidR="00435091">
        <w:t xml:space="preserve"> en su concesión</w:t>
      </w:r>
      <w:r w:rsidR="003B6851">
        <w:t>.</w:t>
      </w:r>
      <w:r>
        <w:t xml:space="preserve"> </w:t>
      </w:r>
    </w:p>
    <w:p w:rsidR="00B975D6" w:rsidRDefault="00400D20" w:rsidP="00FF4AA3">
      <w:pPr>
        <w:pStyle w:val="texto"/>
        <w:tabs>
          <w:tab w:val="clear" w:pos="2835"/>
          <w:tab w:val="clear" w:pos="3969"/>
          <w:tab w:val="clear" w:pos="5103"/>
          <w:tab w:val="clear" w:pos="6237"/>
          <w:tab w:val="clear" w:pos="7371"/>
        </w:tabs>
      </w:pPr>
      <w:r>
        <w:t xml:space="preserve">Su finalidad fundamental es </w:t>
      </w:r>
      <w:r w:rsidR="00482F93">
        <w:t>apoyar y colaborar</w:t>
      </w:r>
      <w:r w:rsidR="00BF3845">
        <w:t xml:space="preserve"> en su financiación</w:t>
      </w:r>
      <w:r w:rsidR="00482F93">
        <w:t xml:space="preserve"> con</w:t>
      </w:r>
      <w:r>
        <w:t xml:space="preserve"> los programas de ayudas a los deportistas</w:t>
      </w:r>
      <w:r w:rsidR="00BF3845">
        <w:t xml:space="preserve"> y técnicos</w:t>
      </w:r>
      <w:r>
        <w:t xml:space="preserve"> navarros de alto nivel desarr</w:t>
      </w:r>
      <w:r>
        <w:t>o</w:t>
      </w:r>
      <w:r>
        <w:t>llados por la Fundación</w:t>
      </w:r>
      <w:r w:rsidR="00616006">
        <w:t>, de acuerdo con los resultados deportivos alcanzados por los mismos</w:t>
      </w:r>
      <w:r>
        <w:t>.</w:t>
      </w:r>
    </w:p>
    <w:p w:rsidR="008E6AA6" w:rsidRDefault="008E6AA6" w:rsidP="00FF4AA3">
      <w:pPr>
        <w:pStyle w:val="texto"/>
        <w:tabs>
          <w:tab w:val="clear" w:pos="2835"/>
          <w:tab w:val="clear" w:pos="3969"/>
          <w:tab w:val="clear" w:pos="5103"/>
          <w:tab w:val="clear" w:pos="6237"/>
          <w:tab w:val="clear" w:pos="7371"/>
        </w:tabs>
        <w:spacing w:after="240"/>
      </w:pPr>
      <w:r w:rsidRPr="00A14F8A">
        <w:rPr>
          <w:b/>
        </w:rPr>
        <w:t>2</w:t>
      </w:r>
      <w:r w:rsidR="00A14F8A">
        <w:rPr>
          <w:b/>
        </w:rPr>
        <w:t>.</w:t>
      </w:r>
      <w:r w:rsidRPr="00A14F8A">
        <w:rPr>
          <w:b/>
        </w:rPr>
        <w:t xml:space="preserve">ª </w:t>
      </w:r>
      <w:r>
        <w:t>La ejecución de las correspondientes partidas reflejo de la</w:t>
      </w:r>
      <w:r w:rsidR="00E82690">
        <w:t>s</w:t>
      </w:r>
      <w:r>
        <w:t xml:space="preserve"> subvenci</w:t>
      </w:r>
      <w:r w:rsidR="00E82690">
        <w:t>ones</w:t>
      </w:r>
      <w:r w:rsidR="00F60CCA">
        <w:t xml:space="preserve"> en la contabilidad del Gobierno de Navarra</w:t>
      </w:r>
      <w:r>
        <w:t xml:space="preserve"> se muestra en el cuadro siguiente:</w:t>
      </w:r>
    </w:p>
    <w:tbl>
      <w:tblPr>
        <w:tblStyle w:val="Tablaconcuadrcula"/>
        <w:tblW w:w="86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1293"/>
        <w:gridCol w:w="1712"/>
      </w:tblGrid>
      <w:tr w:rsidR="008E6AA6" w:rsidRPr="003875B4" w:rsidTr="00FF4AA3">
        <w:trPr>
          <w:trHeight w:val="284"/>
          <w:jc w:val="center"/>
        </w:trPr>
        <w:tc>
          <w:tcPr>
            <w:tcW w:w="5684" w:type="dxa"/>
            <w:tcBorders>
              <w:top w:val="single" w:sz="4" w:space="0" w:color="auto"/>
              <w:bottom w:val="single" w:sz="4" w:space="0" w:color="auto"/>
            </w:tcBorders>
            <w:shd w:val="clear" w:color="auto" w:fill="A8CBEE" w:themeFill="accent2" w:themeFillTint="66"/>
            <w:vAlign w:val="center"/>
          </w:tcPr>
          <w:p w:rsidR="008E6AA6" w:rsidRPr="003875B4" w:rsidRDefault="008E6AA6" w:rsidP="00E55D80">
            <w:pPr>
              <w:pStyle w:val="cuatexto"/>
              <w:rPr>
                <w:rFonts w:ascii="Arial" w:hAnsi="Arial" w:cs="Arial"/>
                <w:sz w:val="18"/>
                <w:szCs w:val="18"/>
              </w:rPr>
            </w:pPr>
            <w:r>
              <w:rPr>
                <w:rFonts w:ascii="Arial" w:hAnsi="Arial" w:cs="Arial"/>
                <w:sz w:val="18"/>
                <w:szCs w:val="18"/>
              </w:rPr>
              <w:t>Subvenciones Gobierno de Navarra a Fundación Induráin</w:t>
            </w:r>
          </w:p>
        </w:tc>
        <w:tc>
          <w:tcPr>
            <w:tcW w:w="1293" w:type="dxa"/>
            <w:tcBorders>
              <w:top w:val="single" w:sz="4" w:space="0" w:color="auto"/>
              <w:bottom w:val="single" w:sz="4" w:space="0" w:color="auto"/>
            </w:tcBorders>
            <w:shd w:val="clear" w:color="auto" w:fill="A8CBEE" w:themeFill="accent2" w:themeFillTint="66"/>
            <w:vAlign w:val="center"/>
          </w:tcPr>
          <w:p w:rsidR="008E6AA6" w:rsidRPr="003875B4" w:rsidRDefault="008E6AA6" w:rsidP="00E55D80">
            <w:pPr>
              <w:pStyle w:val="cuatexto"/>
              <w:jc w:val="right"/>
              <w:rPr>
                <w:rFonts w:ascii="Arial" w:hAnsi="Arial" w:cs="Arial"/>
                <w:sz w:val="18"/>
                <w:szCs w:val="18"/>
              </w:rPr>
            </w:pPr>
            <w:r>
              <w:rPr>
                <w:rFonts w:ascii="Arial" w:hAnsi="Arial" w:cs="Arial"/>
                <w:sz w:val="18"/>
                <w:szCs w:val="18"/>
              </w:rPr>
              <w:t>Presupuesto</w:t>
            </w:r>
          </w:p>
        </w:tc>
        <w:tc>
          <w:tcPr>
            <w:tcW w:w="1712" w:type="dxa"/>
            <w:tcBorders>
              <w:top w:val="single" w:sz="4" w:space="0" w:color="auto"/>
              <w:bottom w:val="single" w:sz="4" w:space="0" w:color="auto"/>
            </w:tcBorders>
            <w:shd w:val="clear" w:color="auto" w:fill="A8CBEE" w:themeFill="accent2" w:themeFillTint="66"/>
            <w:vAlign w:val="center"/>
          </w:tcPr>
          <w:p w:rsidR="008E6AA6" w:rsidRPr="003875B4" w:rsidRDefault="008E6AA6" w:rsidP="00A14F8A">
            <w:pPr>
              <w:pStyle w:val="cuatexto"/>
              <w:jc w:val="right"/>
              <w:rPr>
                <w:rFonts w:ascii="Arial" w:hAnsi="Arial" w:cs="Arial"/>
                <w:sz w:val="18"/>
                <w:szCs w:val="18"/>
              </w:rPr>
            </w:pPr>
            <w:r>
              <w:rPr>
                <w:rFonts w:ascii="Arial" w:hAnsi="Arial" w:cs="Arial"/>
                <w:sz w:val="18"/>
                <w:szCs w:val="18"/>
              </w:rPr>
              <w:t>Subv</w:t>
            </w:r>
            <w:r w:rsidR="00A14F8A">
              <w:rPr>
                <w:rFonts w:ascii="Arial" w:hAnsi="Arial" w:cs="Arial"/>
                <w:sz w:val="18"/>
                <w:szCs w:val="18"/>
              </w:rPr>
              <w:t>.</w:t>
            </w:r>
            <w:r>
              <w:rPr>
                <w:rFonts w:ascii="Arial" w:hAnsi="Arial" w:cs="Arial"/>
                <w:sz w:val="18"/>
                <w:szCs w:val="18"/>
              </w:rPr>
              <w:t xml:space="preserve"> concedida</w:t>
            </w:r>
          </w:p>
        </w:tc>
      </w:tr>
      <w:tr w:rsidR="008E6AA6" w:rsidRPr="00C12E70" w:rsidTr="00FF4AA3">
        <w:trPr>
          <w:trHeight w:val="284"/>
          <w:jc w:val="center"/>
        </w:trPr>
        <w:tc>
          <w:tcPr>
            <w:tcW w:w="5684" w:type="dxa"/>
            <w:tcBorders>
              <w:top w:val="single" w:sz="4" w:space="0" w:color="auto"/>
              <w:bottom w:val="single" w:sz="2" w:space="0" w:color="auto"/>
            </w:tcBorders>
            <w:vAlign w:val="center"/>
          </w:tcPr>
          <w:p w:rsidR="008E6AA6" w:rsidRPr="00E32A4F" w:rsidRDefault="008E6AA6" w:rsidP="00445A54">
            <w:pPr>
              <w:pStyle w:val="cuatexto"/>
            </w:pPr>
            <w:r>
              <w:t>2005</w:t>
            </w:r>
            <w:r w:rsidRPr="00197A61">
              <w:rPr>
                <w:vertAlign w:val="superscript"/>
              </w:rPr>
              <w:t xml:space="preserve"> (</w:t>
            </w:r>
            <w:r w:rsidR="00445A54" w:rsidRPr="00197A61">
              <w:rPr>
                <w:vertAlign w:val="superscript"/>
              </w:rPr>
              <w:t>1</w:t>
            </w:r>
            <w:r w:rsidRPr="00197A61">
              <w:rPr>
                <w:vertAlign w:val="superscript"/>
              </w:rPr>
              <w:t>)</w:t>
            </w:r>
          </w:p>
        </w:tc>
        <w:tc>
          <w:tcPr>
            <w:tcW w:w="1293" w:type="dxa"/>
            <w:tcBorders>
              <w:top w:val="single" w:sz="4" w:space="0" w:color="auto"/>
              <w:bottom w:val="single" w:sz="2" w:space="0" w:color="auto"/>
            </w:tcBorders>
            <w:vAlign w:val="center"/>
          </w:tcPr>
          <w:p w:rsidR="008E6AA6" w:rsidRPr="009100B5" w:rsidRDefault="008E6AA6" w:rsidP="008E6AA6">
            <w:pPr>
              <w:pStyle w:val="cuatexto"/>
              <w:jc w:val="right"/>
            </w:pPr>
            <w:r>
              <w:t>180.000</w:t>
            </w:r>
          </w:p>
        </w:tc>
        <w:tc>
          <w:tcPr>
            <w:tcW w:w="1712" w:type="dxa"/>
            <w:tcBorders>
              <w:top w:val="single" w:sz="4" w:space="0" w:color="auto"/>
              <w:bottom w:val="single" w:sz="2" w:space="0" w:color="auto"/>
            </w:tcBorders>
            <w:vAlign w:val="center"/>
          </w:tcPr>
          <w:p w:rsidR="008E6AA6" w:rsidRPr="009100B5" w:rsidRDefault="008E6AA6" w:rsidP="00E55D80">
            <w:pPr>
              <w:pStyle w:val="cuatexto"/>
              <w:jc w:val="right"/>
            </w:pPr>
            <w:r>
              <w:t>205.000</w:t>
            </w:r>
          </w:p>
        </w:tc>
      </w:tr>
      <w:tr w:rsidR="008E6AA6" w:rsidRPr="00C12E70" w:rsidTr="00FF4AA3">
        <w:trPr>
          <w:trHeight w:val="284"/>
          <w:jc w:val="center"/>
        </w:trPr>
        <w:tc>
          <w:tcPr>
            <w:tcW w:w="5684" w:type="dxa"/>
            <w:tcBorders>
              <w:top w:val="single" w:sz="2" w:space="0" w:color="auto"/>
              <w:bottom w:val="single" w:sz="2" w:space="0" w:color="auto"/>
            </w:tcBorders>
            <w:vAlign w:val="center"/>
          </w:tcPr>
          <w:p w:rsidR="008E6AA6" w:rsidRPr="00E32A4F" w:rsidRDefault="008E6AA6" w:rsidP="00E55D80">
            <w:pPr>
              <w:pStyle w:val="cuatexto"/>
            </w:pPr>
            <w:r>
              <w:t>2006</w:t>
            </w:r>
          </w:p>
        </w:tc>
        <w:tc>
          <w:tcPr>
            <w:tcW w:w="1293" w:type="dxa"/>
            <w:tcBorders>
              <w:top w:val="single" w:sz="2" w:space="0" w:color="auto"/>
              <w:bottom w:val="single" w:sz="2" w:space="0" w:color="auto"/>
            </w:tcBorders>
            <w:vAlign w:val="center"/>
          </w:tcPr>
          <w:p w:rsidR="008E6AA6" w:rsidRPr="009100B5" w:rsidRDefault="008E6AA6" w:rsidP="00E55D80">
            <w:pPr>
              <w:pStyle w:val="cuatexto"/>
              <w:jc w:val="right"/>
            </w:pPr>
            <w:r>
              <w:t>185.300</w:t>
            </w:r>
          </w:p>
        </w:tc>
        <w:tc>
          <w:tcPr>
            <w:tcW w:w="1712" w:type="dxa"/>
            <w:tcBorders>
              <w:top w:val="single" w:sz="2" w:space="0" w:color="auto"/>
              <w:bottom w:val="single" w:sz="2" w:space="0" w:color="auto"/>
            </w:tcBorders>
            <w:vAlign w:val="center"/>
          </w:tcPr>
          <w:p w:rsidR="008E6AA6" w:rsidRPr="009100B5" w:rsidRDefault="008E6AA6" w:rsidP="00E55D80">
            <w:pPr>
              <w:pStyle w:val="cuatexto"/>
              <w:jc w:val="right"/>
            </w:pPr>
            <w:r>
              <w:t>185.300</w:t>
            </w:r>
          </w:p>
        </w:tc>
      </w:tr>
      <w:tr w:rsidR="008E6AA6" w:rsidRPr="00C12E70" w:rsidTr="00FF4AA3">
        <w:trPr>
          <w:trHeight w:val="284"/>
          <w:jc w:val="center"/>
        </w:trPr>
        <w:tc>
          <w:tcPr>
            <w:tcW w:w="5684" w:type="dxa"/>
            <w:tcBorders>
              <w:top w:val="single" w:sz="2" w:space="0" w:color="auto"/>
              <w:bottom w:val="single" w:sz="2" w:space="0" w:color="auto"/>
            </w:tcBorders>
            <w:vAlign w:val="center"/>
          </w:tcPr>
          <w:p w:rsidR="008E6AA6" w:rsidRPr="00E32A4F" w:rsidRDefault="008E6AA6" w:rsidP="00E55D80">
            <w:pPr>
              <w:pStyle w:val="cuatexto"/>
            </w:pPr>
            <w:r>
              <w:t>2007</w:t>
            </w:r>
          </w:p>
        </w:tc>
        <w:tc>
          <w:tcPr>
            <w:tcW w:w="1293" w:type="dxa"/>
            <w:tcBorders>
              <w:top w:val="single" w:sz="2" w:space="0" w:color="auto"/>
              <w:bottom w:val="single" w:sz="2" w:space="0" w:color="auto"/>
            </w:tcBorders>
            <w:vAlign w:val="center"/>
          </w:tcPr>
          <w:p w:rsidR="008E6AA6" w:rsidRPr="009100B5" w:rsidRDefault="008E6AA6" w:rsidP="00E55D80">
            <w:pPr>
              <w:pStyle w:val="cuatexto"/>
              <w:jc w:val="right"/>
            </w:pPr>
            <w:r>
              <w:t>185.300</w:t>
            </w:r>
          </w:p>
        </w:tc>
        <w:tc>
          <w:tcPr>
            <w:tcW w:w="1712" w:type="dxa"/>
            <w:tcBorders>
              <w:top w:val="single" w:sz="2" w:space="0" w:color="auto"/>
              <w:bottom w:val="single" w:sz="2" w:space="0" w:color="auto"/>
            </w:tcBorders>
            <w:vAlign w:val="center"/>
          </w:tcPr>
          <w:p w:rsidR="008E6AA6" w:rsidRPr="009100B5" w:rsidRDefault="008E6AA6" w:rsidP="00E55D80">
            <w:pPr>
              <w:pStyle w:val="cuatexto"/>
              <w:jc w:val="right"/>
            </w:pPr>
            <w:r>
              <w:t>185.300</w:t>
            </w:r>
          </w:p>
        </w:tc>
      </w:tr>
      <w:tr w:rsidR="008E6AA6" w:rsidRPr="00C12E70" w:rsidTr="00FF4AA3">
        <w:trPr>
          <w:trHeight w:val="284"/>
          <w:jc w:val="center"/>
        </w:trPr>
        <w:tc>
          <w:tcPr>
            <w:tcW w:w="5684" w:type="dxa"/>
            <w:tcBorders>
              <w:top w:val="single" w:sz="2" w:space="0" w:color="auto"/>
              <w:bottom w:val="single" w:sz="2" w:space="0" w:color="auto"/>
            </w:tcBorders>
            <w:vAlign w:val="center"/>
          </w:tcPr>
          <w:p w:rsidR="008E6AA6" w:rsidRPr="00E32A4F" w:rsidRDefault="008E6AA6" w:rsidP="00E55D80">
            <w:pPr>
              <w:pStyle w:val="cuatexto"/>
            </w:pPr>
            <w:r>
              <w:t>2008</w:t>
            </w:r>
          </w:p>
        </w:tc>
        <w:tc>
          <w:tcPr>
            <w:tcW w:w="1293" w:type="dxa"/>
            <w:tcBorders>
              <w:top w:val="single" w:sz="2" w:space="0" w:color="auto"/>
              <w:bottom w:val="single" w:sz="2" w:space="0" w:color="auto"/>
            </w:tcBorders>
            <w:vAlign w:val="center"/>
          </w:tcPr>
          <w:p w:rsidR="008E6AA6" w:rsidRPr="009100B5" w:rsidRDefault="008E6AA6" w:rsidP="00E55D80">
            <w:pPr>
              <w:pStyle w:val="cuatexto"/>
              <w:jc w:val="right"/>
            </w:pPr>
            <w:r>
              <w:t>285.300</w:t>
            </w:r>
          </w:p>
        </w:tc>
        <w:tc>
          <w:tcPr>
            <w:tcW w:w="1712" w:type="dxa"/>
            <w:tcBorders>
              <w:top w:val="single" w:sz="2" w:space="0" w:color="auto"/>
              <w:bottom w:val="single" w:sz="2" w:space="0" w:color="auto"/>
            </w:tcBorders>
            <w:vAlign w:val="center"/>
          </w:tcPr>
          <w:p w:rsidR="008E6AA6" w:rsidRPr="009100B5" w:rsidRDefault="008E6AA6" w:rsidP="00E55D80">
            <w:pPr>
              <w:pStyle w:val="cuatexto"/>
              <w:jc w:val="right"/>
            </w:pPr>
            <w:r>
              <w:t>285.300</w:t>
            </w:r>
          </w:p>
        </w:tc>
      </w:tr>
      <w:tr w:rsidR="008E6AA6" w:rsidRPr="00C12E70" w:rsidTr="00FF4AA3">
        <w:trPr>
          <w:trHeight w:val="284"/>
          <w:jc w:val="center"/>
        </w:trPr>
        <w:tc>
          <w:tcPr>
            <w:tcW w:w="5684" w:type="dxa"/>
            <w:tcBorders>
              <w:top w:val="single" w:sz="2" w:space="0" w:color="auto"/>
              <w:bottom w:val="single" w:sz="2" w:space="0" w:color="auto"/>
            </w:tcBorders>
            <w:vAlign w:val="center"/>
          </w:tcPr>
          <w:p w:rsidR="008E6AA6" w:rsidRPr="00E32A4F" w:rsidRDefault="008E6AA6" w:rsidP="00E55D80">
            <w:pPr>
              <w:pStyle w:val="cuatexto"/>
            </w:pPr>
            <w:r>
              <w:t>2009</w:t>
            </w:r>
          </w:p>
        </w:tc>
        <w:tc>
          <w:tcPr>
            <w:tcW w:w="1293" w:type="dxa"/>
            <w:tcBorders>
              <w:top w:val="single" w:sz="2" w:space="0" w:color="auto"/>
              <w:bottom w:val="single" w:sz="2" w:space="0" w:color="auto"/>
            </w:tcBorders>
            <w:vAlign w:val="center"/>
          </w:tcPr>
          <w:p w:rsidR="008E6AA6" w:rsidRPr="009100B5" w:rsidRDefault="008E6AA6" w:rsidP="00E55D80">
            <w:pPr>
              <w:pStyle w:val="cuatexto"/>
              <w:jc w:val="right"/>
            </w:pPr>
            <w:r>
              <w:t>285.300</w:t>
            </w:r>
          </w:p>
        </w:tc>
        <w:tc>
          <w:tcPr>
            <w:tcW w:w="1712" w:type="dxa"/>
            <w:tcBorders>
              <w:top w:val="single" w:sz="2" w:space="0" w:color="auto"/>
              <w:bottom w:val="single" w:sz="2" w:space="0" w:color="auto"/>
            </w:tcBorders>
            <w:vAlign w:val="center"/>
          </w:tcPr>
          <w:p w:rsidR="008E6AA6" w:rsidRPr="009100B5" w:rsidRDefault="008E6AA6" w:rsidP="00E55D80">
            <w:pPr>
              <w:pStyle w:val="cuatexto"/>
              <w:jc w:val="right"/>
            </w:pPr>
            <w:r>
              <w:t>285.300</w:t>
            </w:r>
          </w:p>
        </w:tc>
      </w:tr>
      <w:tr w:rsidR="008E6AA6" w:rsidRPr="00C12E70" w:rsidTr="00FF4AA3">
        <w:trPr>
          <w:trHeight w:val="284"/>
          <w:jc w:val="center"/>
        </w:trPr>
        <w:tc>
          <w:tcPr>
            <w:tcW w:w="5684" w:type="dxa"/>
            <w:tcBorders>
              <w:top w:val="single" w:sz="2" w:space="0" w:color="auto"/>
              <w:bottom w:val="single" w:sz="2" w:space="0" w:color="auto"/>
            </w:tcBorders>
            <w:vAlign w:val="center"/>
          </w:tcPr>
          <w:p w:rsidR="008E6AA6" w:rsidRPr="00E32A4F" w:rsidRDefault="008E6AA6" w:rsidP="00E55D80">
            <w:pPr>
              <w:pStyle w:val="cuatexto"/>
            </w:pPr>
            <w:r>
              <w:t>2010</w:t>
            </w:r>
          </w:p>
        </w:tc>
        <w:tc>
          <w:tcPr>
            <w:tcW w:w="1293" w:type="dxa"/>
            <w:tcBorders>
              <w:top w:val="single" w:sz="2" w:space="0" w:color="auto"/>
              <w:bottom w:val="single" w:sz="2" w:space="0" w:color="auto"/>
            </w:tcBorders>
            <w:vAlign w:val="center"/>
          </w:tcPr>
          <w:p w:rsidR="008E6AA6" w:rsidRPr="009100B5" w:rsidRDefault="008E6AA6" w:rsidP="00E55D80">
            <w:pPr>
              <w:pStyle w:val="cuatexto"/>
              <w:jc w:val="right"/>
            </w:pPr>
            <w:r>
              <w:t>285.000</w:t>
            </w:r>
          </w:p>
        </w:tc>
        <w:tc>
          <w:tcPr>
            <w:tcW w:w="1712" w:type="dxa"/>
            <w:tcBorders>
              <w:top w:val="single" w:sz="2" w:space="0" w:color="auto"/>
              <w:bottom w:val="single" w:sz="2" w:space="0" w:color="auto"/>
            </w:tcBorders>
            <w:vAlign w:val="center"/>
          </w:tcPr>
          <w:p w:rsidR="008E6AA6" w:rsidRPr="009100B5" w:rsidRDefault="008E6AA6" w:rsidP="00E55D80">
            <w:pPr>
              <w:pStyle w:val="cuatexto"/>
              <w:jc w:val="right"/>
            </w:pPr>
            <w:r>
              <w:t>255.000</w:t>
            </w:r>
          </w:p>
        </w:tc>
      </w:tr>
      <w:tr w:rsidR="008E6AA6" w:rsidRPr="00C12E70" w:rsidTr="00FF4AA3">
        <w:trPr>
          <w:trHeight w:val="284"/>
          <w:jc w:val="center"/>
        </w:trPr>
        <w:tc>
          <w:tcPr>
            <w:tcW w:w="5684" w:type="dxa"/>
            <w:tcBorders>
              <w:top w:val="single" w:sz="2" w:space="0" w:color="auto"/>
              <w:bottom w:val="single" w:sz="2" w:space="0" w:color="auto"/>
            </w:tcBorders>
            <w:vAlign w:val="center"/>
          </w:tcPr>
          <w:p w:rsidR="008E6AA6" w:rsidRPr="00E32A4F" w:rsidRDefault="008E6AA6" w:rsidP="00E55D80">
            <w:pPr>
              <w:pStyle w:val="cuatexto"/>
            </w:pPr>
            <w:r>
              <w:t>2011</w:t>
            </w:r>
          </w:p>
        </w:tc>
        <w:tc>
          <w:tcPr>
            <w:tcW w:w="1293" w:type="dxa"/>
            <w:tcBorders>
              <w:top w:val="single" w:sz="2" w:space="0" w:color="auto"/>
              <w:bottom w:val="single" w:sz="2" w:space="0" w:color="auto"/>
            </w:tcBorders>
            <w:vAlign w:val="center"/>
          </w:tcPr>
          <w:p w:rsidR="008E6AA6" w:rsidRPr="009100B5" w:rsidRDefault="008E6AA6" w:rsidP="00E55D80">
            <w:pPr>
              <w:pStyle w:val="cuatexto"/>
              <w:jc w:val="right"/>
            </w:pPr>
            <w:r>
              <w:t>285.000</w:t>
            </w:r>
          </w:p>
        </w:tc>
        <w:tc>
          <w:tcPr>
            <w:tcW w:w="1712" w:type="dxa"/>
            <w:tcBorders>
              <w:top w:val="single" w:sz="2" w:space="0" w:color="auto"/>
              <w:bottom w:val="single" w:sz="2" w:space="0" w:color="auto"/>
            </w:tcBorders>
            <w:vAlign w:val="center"/>
          </w:tcPr>
          <w:p w:rsidR="008E6AA6" w:rsidRPr="009100B5" w:rsidRDefault="008E6AA6" w:rsidP="00E55D80">
            <w:pPr>
              <w:pStyle w:val="cuatexto"/>
              <w:jc w:val="right"/>
            </w:pPr>
            <w:r>
              <w:t>285.000</w:t>
            </w:r>
          </w:p>
        </w:tc>
      </w:tr>
      <w:tr w:rsidR="008E6AA6" w:rsidRPr="00C12E70" w:rsidTr="00FF4AA3">
        <w:trPr>
          <w:trHeight w:val="284"/>
          <w:jc w:val="center"/>
        </w:trPr>
        <w:tc>
          <w:tcPr>
            <w:tcW w:w="5684" w:type="dxa"/>
            <w:tcBorders>
              <w:top w:val="single" w:sz="2" w:space="0" w:color="auto"/>
              <w:bottom w:val="single" w:sz="2" w:space="0" w:color="auto"/>
            </w:tcBorders>
            <w:vAlign w:val="center"/>
          </w:tcPr>
          <w:p w:rsidR="008E6AA6" w:rsidRPr="00E32A4F" w:rsidRDefault="008E6AA6" w:rsidP="00E55D80">
            <w:pPr>
              <w:pStyle w:val="cuatexto"/>
            </w:pPr>
            <w:r>
              <w:t>2012</w:t>
            </w:r>
            <w:r w:rsidR="00445A54">
              <w:t xml:space="preserve"> </w:t>
            </w:r>
            <w:r w:rsidR="00445A54" w:rsidRPr="00197A61">
              <w:rPr>
                <w:vertAlign w:val="superscript"/>
              </w:rPr>
              <w:t>(2)</w:t>
            </w:r>
          </w:p>
        </w:tc>
        <w:tc>
          <w:tcPr>
            <w:tcW w:w="1293" w:type="dxa"/>
            <w:tcBorders>
              <w:top w:val="single" w:sz="2" w:space="0" w:color="auto"/>
              <w:bottom w:val="single" w:sz="2" w:space="0" w:color="auto"/>
            </w:tcBorders>
            <w:vAlign w:val="center"/>
          </w:tcPr>
          <w:p w:rsidR="008E6AA6" w:rsidRPr="009100B5" w:rsidRDefault="008E6AA6" w:rsidP="00E55D80">
            <w:pPr>
              <w:pStyle w:val="cuatexto"/>
              <w:jc w:val="right"/>
            </w:pPr>
            <w:r>
              <w:t>280.000</w:t>
            </w:r>
          </w:p>
        </w:tc>
        <w:tc>
          <w:tcPr>
            <w:tcW w:w="1712" w:type="dxa"/>
            <w:tcBorders>
              <w:top w:val="single" w:sz="2" w:space="0" w:color="auto"/>
              <w:bottom w:val="single" w:sz="2" w:space="0" w:color="auto"/>
            </w:tcBorders>
            <w:vAlign w:val="center"/>
          </w:tcPr>
          <w:p w:rsidR="008E6AA6" w:rsidRPr="009100B5" w:rsidRDefault="008E6AA6" w:rsidP="00E55D80">
            <w:pPr>
              <w:pStyle w:val="cuatexto"/>
              <w:jc w:val="right"/>
            </w:pPr>
            <w:r>
              <w:t>150.000</w:t>
            </w:r>
          </w:p>
        </w:tc>
      </w:tr>
      <w:tr w:rsidR="008E6AA6" w:rsidRPr="00C12E70" w:rsidTr="00FF4AA3">
        <w:trPr>
          <w:trHeight w:val="284"/>
          <w:jc w:val="center"/>
        </w:trPr>
        <w:tc>
          <w:tcPr>
            <w:tcW w:w="5684" w:type="dxa"/>
            <w:tcBorders>
              <w:top w:val="single" w:sz="2" w:space="0" w:color="auto"/>
              <w:bottom w:val="single" w:sz="2" w:space="0" w:color="auto"/>
            </w:tcBorders>
            <w:vAlign w:val="center"/>
          </w:tcPr>
          <w:p w:rsidR="008E6AA6" w:rsidRPr="00E32A4F" w:rsidRDefault="008E6AA6" w:rsidP="00E55D80">
            <w:pPr>
              <w:pStyle w:val="cuatexto"/>
            </w:pPr>
            <w:r>
              <w:t xml:space="preserve">2013 </w:t>
            </w:r>
            <w:r w:rsidR="00445A54" w:rsidRPr="00197A61">
              <w:rPr>
                <w:vertAlign w:val="superscript"/>
              </w:rPr>
              <w:t>(2) (3)</w:t>
            </w:r>
          </w:p>
        </w:tc>
        <w:tc>
          <w:tcPr>
            <w:tcW w:w="1293" w:type="dxa"/>
            <w:tcBorders>
              <w:top w:val="single" w:sz="2" w:space="0" w:color="auto"/>
              <w:bottom w:val="single" w:sz="2" w:space="0" w:color="auto"/>
            </w:tcBorders>
            <w:vAlign w:val="center"/>
          </w:tcPr>
          <w:p w:rsidR="008E6AA6" w:rsidRPr="009100B5" w:rsidRDefault="008E6AA6" w:rsidP="00E55D80">
            <w:pPr>
              <w:pStyle w:val="cuatexto"/>
              <w:jc w:val="right"/>
            </w:pPr>
            <w:r>
              <w:t>270.400</w:t>
            </w:r>
          </w:p>
        </w:tc>
        <w:tc>
          <w:tcPr>
            <w:tcW w:w="1712" w:type="dxa"/>
            <w:tcBorders>
              <w:top w:val="single" w:sz="2" w:space="0" w:color="auto"/>
              <w:bottom w:val="single" w:sz="2" w:space="0" w:color="auto"/>
            </w:tcBorders>
            <w:vAlign w:val="center"/>
          </w:tcPr>
          <w:p w:rsidR="008E6AA6" w:rsidRPr="009100B5" w:rsidRDefault="008E6AA6" w:rsidP="00E55D80">
            <w:pPr>
              <w:pStyle w:val="cuatexto"/>
              <w:jc w:val="right"/>
            </w:pPr>
            <w:r>
              <w:t>60.613</w:t>
            </w:r>
          </w:p>
        </w:tc>
      </w:tr>
      <w:tr w:rsidR="008E6AA6" w:rsidRPr="00C12E70" w:rsidTr="00FF4AA3">
        <w:trPr>
          <w:trHeight w:val="284"/>
          <w:jc w:val="center"/>
        </w:trPr>
        <w:tc>
          <w:tcPr>
            <w:tcW w:w="5684" w:type="dxa"/>
            <w:tcBorders>
              <w:top w:val="single" w:sz="2" w:space="0" w:color="auto"/>
              <w:bottom w:val="single" w:sz="2" w:space="0" w:color="auto"/>
            </w:tcBorders>
            <w:vAlign w:val="center"/>
          </w:tcPr>
          <w:p w:rsidR="008E6AA6" w:rsidRPr="00E32A4F" w:rsidRDefault="008E6AA6" w:rsidP="00E55D80">
            <w:pPr>
              <w:pStyle w:val="cuatexto"/>
            </w:pPr>
            <w:r>
              <w:t xml:space="preserve">2014 </w:t>
            </w:r>
          </w:p>
        </w:tc>
        <w:tc>
          <w:tcPr>
            <w:tcW w:w="1293" w:type="dxa"/>
            <w:tcBorders>
              <w:top w:val="single" w:sz="2" w:space="0" w:color="auto"/>
              <w:bottom w:val="single" w:sz="2" w:space="0" w:color="auto"/>
            </w:tcBorders>
            <w:vAlign w:val="center"/>
          </w:tcPr>
          <w:p w:rsidR="008E6AA6" w:rsidRPr="009100B5" w:rsidRDefault="008E6AA6" w:rsidP="00E55D80">
            <w:pPr>
              <w:pStyle w:val="cuatexto"/>
              <w:jc w:val="right"/>
            </w:pPr>
            <w:r>
              <w:t>100.000</w:t>
            </w:r>
          </w:p>
        </w:tc>
        <w:tc>
          <w:tcPr>
            <w:tcW w:w="1712" w:type="dxa"/>
            <w:tcBorders>
              <w:top w:val="single" w:sz="2" w:space="0" w:color="auto"/>
              <w:bottom w:val="single" w:sz="2" w:space="0" w:color="auto"/>
            </w:tcBorders>
            <w:vAlign w:val="center"/>
          </w:tcPr>
          <w:p w:rsidR="008E6AA6" w:rsidRPr="009100B5" w:rsidRDefault="008E6AA6" w:rsidP="00E55D80">
            <w:pPr>
              <w:pStyle w:val="cuatexto"/>
              <w:jc w:val="right"/>
            </w:pPr>
            <w:r>
              <w:t>100.000</w:t>
            </w:r>
          </w:p>
        </w:tc>
      </w:tr>
      <w:tr w:rsidR="008E6AA6" w:rsidRPr="00C12E70" w:rsidTr="00FF4AA3">
        <w:trPr>
          <w:trHeight w:val="284"/>
          <w:jc w:val="center"/>
        </w:trPr>
        <w:tc>
          <w:tcPr>
            <w:tcW w:w="5684" w:type="dxa"/>
            <w:tcBorders>
              <w:top w:val="single" w:sz="2" w:space="0" w:color="auto"/>
              <w:bottom w:val="single" w:sz="4" w:space="0" w:color="auto"/>
            </w:tcBorders>
            <w:vAlign w:val="center"/>
          </w:tcPr>
          <w:p w:rsidR="008E6AA6" w:rsidRPr="00E32A4F" w:rsidRDefault="008E6AA6" w:rsidP="00E55D80">
            <w:pPr>
              <w:pStyle w:val="cuatexto"/>
            </w:pPr>
            <w:r>
              <w:t>2015</w:t>
            </w:r>
          </w:p>
        </w:tc>
        <w:tc>
          <w:tcPr>
            <w:tcW w:w="1293" w:type="dxa"/>
            <w:tcBorders>
              <w:top w:val="single" w:sz="2" w:space="0" w:color="auto"/>
              <w:bottom w:val="single" w:sz="4" w:space="0" w:color="auto"/>
            </w:tcBorders>
            <w:vAlign w:val="center"/>
          </w:tcPr>
          <w:p w:rsidR="008E6AA6" w:rsidRPr="009100B5" w:rsidRDefault="008E6AA6" w:rsidP="00E55D80">
            <w:pPr>
              <w:pStyle w:val="cuatexto"/>
              <w:jc w:val="right"/>
            </w:pPr>
            <w:r>
              <w:t>120.000</w:t>
            </w:r>
          </w:p>
        </w:tc>
        <w:tc>
          <w:tcPr>
            <w:tcW w:w="1712" w:type="dxa"/>
            <w:tcBorders>
              <w:top w:val="single" w:sz="2" w:space="0" w:color="auto"/>
              <w:bottom w:val="single" w:sz="4" w:space="0" w:color="auto"/>
            </w:tcBorders>
            <w:vAlign w:val="center"/>
          </w:tcPr>
          <w:p w:rsidR="008E6AA6" w:rsidRPr="009100B5" w:rsidRDefault="008E6AA6" w:rsidP="00E55D80">
            <w:pPr>
              <w:pStyle w:val="cuatexto"/>
              <w:jc w:val="right"/>
            </w:pPr>
            <w:r>
              <w:t>120.000</w:t>
            </w:r>
          </w:p>
        </w:tc>
      </w:tr>
      <w:tr w:rsidR="008E6AA6" w:rsidRPr="003875B4" w:rsidTr="00FF4AA3">
        <w:trPr>
          <w:trHeight w:val="284"/>
          <w:jc w:val="center"/>
        </w:trPr>
        <w:tc>
          <w:tcPr>
            <w:tcW w:w="5684" w:type="dxa"/>
            <w:tcBorders>
              <w:top w:val="single" w:sz="4" w:space="0" w:color="auto"/>
              <w:bottom w:val="single" w:sz="4" w:space="0" w:color="auto"/>
            </w:tcBorders>
            <w:shd w:val="clear" w:color="auto" w:fill="A8CBEE" w:themeFill="accent2" w:themeFillTint="66"/>
            <w:vAlign w:val="center"/>
          </w:tcPr>
          <w:p w:rsidR="008E6AA6" w:rsidRDefault="00E82690" w:rsidP="00E55D80">
            <w:pPr>
              <w:pStyle w:val="cuatexto"/>
              <w:rPr>
                <w:rFonts w:ascii="Arial" w:hAnsi="Arial" w:cs="Arial"/>
                <w:sz w:val="18"/>
                <w:szCs w:val="18"/>
              </w:rPr>
            </w:pPr>
            <w:r>
              <w:rPr>
                <w:rFonts w:ascii="Arial" w:hAnsi="Arial" w:cs="Arial"/>
                <w:sz w:val="18"/>
                <w:szCs w:val="18"/>
              </w:rPr>
              <w:t>Total subvenciones F</w:t>
            </w:r>
            <w:r w:rsidR="008E6AA6">
              <w:rPr>
                <w:rFonts w:ascii="Arial" w:hAnsi="Arial" w:cs="Arial"/>
                <w:sz w:val="18"/>
                <w:szCs w:val="18"/>
              </w:rPr>
              <w:t>undación 2005-2015</w:t>
            </w:r>
          </w:p>
        </w:tc>
        <w:tc>
          <w:tcPr>
            <w:tcW w:w="1293" w:type="dxa"/>
            <w:tcBorders>
              <w:top w:val="single" w:sz="4" w:space="0" w:color="auto"/>
              <w:bottom w:val="single" w:sz="4" w:space="0" w:color="auto"/>
            </w:tcBorders>
            <w:shd w:val="clear" w:color="auto" w:fill="A8CBEE" w:themeFill="accent2" w:themeFillTint="66"/>
            <w:vAlign w:val="center"/>
          </w:tcPr>
          <w:p w:rsidR="008E6AA6" w:rsidRDefault="008E6AA6" w:rsidP="00E55D80">
            <w:pPr>
              <w:pStyle w:val="cuatexto"/>
              <w:jc w:val="right"/>
              <w:rPr>
                <w:rFonts w:ascii="Arial" w:hAnsi="Arial" w:cs="Arial"/>
                <w:sz w:val="18"/>
                <w:szCs w:val="18"/>
              </w:rPr>
            </w:pPr>
            <w:r>
              <w:rPr>
                <w:rFonts w:ascii="Arial" w:hAnsi="Arial" w:cs="Arial"/>
                <w:sz w:val="18"/>
                <w:szCs w:val="18"/>
              </w:rPr>
              <w:t>2.416.600</w:t>
            </w:r>
          </w:p>
        </w:tc>
        <w:tc>
          <w:tcPr>
            <w:tcW w:w="1712" w:type="dxa"/>
            <w:tcBorders>
              <w:top w:val="single" w:sz="4" w:space="0" w:color="auto"/>
              <w:bottom w:val="single" w:sz="4" w:space="0" w:color="auto"/>
            </w:tcBorders>
            <w:shd w:val="clear" w:color="auto" w:fill="A8CBEE" w:themeFill="accent2" w:themeFillTint="66"/>
            <w:vAlign w:val="center"/>
          </w:tcPr>
          <w:p w:rsidR="008E6AA6" w:rsidRDefault="008E6AA6" w:rsidP="00E55D80">
            <w:pPr>
              <w:pStyle w:val="cuatexto"/>
              <w:jc w:val="right"/>
              <w:rPr>
                <w:rFonts w:ascii="Arial" w:hAnsi="Arial" w:cs="Arial"/>
                <w:sz w:val="18"/>
                <w:szCs w:val="18"/>
              </w:rPr>
            </w:pPr>
            <w:r>
              <w:rPr>
                <w:rFonts w:ascii="Arial" w:hAnsi="Arial" w:cs="Arial"/>
                <w:sz w:val="18"/>
                <w:szCs w:val="18"/>
              </w:rPr>
              <w:t>2.116.813</w:t>
            </w:r>
          </w:p>
        </w:tc>
      </w:tr>
    </w:tbl>
    <w:p w:rsidR="008E6AA6" w:rsidRPr="001F7894" w:rsidRDefault="008E6AA6" w:rsidP="00FF4AA3">
      <w:pPr>
        <w:pStyle w:val="cuatexto"/>
        <w:numPr>
          <w:ilvl w:val="0"/>
          <w:numId w:val="7"/>
        </w:numPr>
        <w:spacing w:before="60"/>
        <w:ind w:left="504" w:hanging="357"/>
        <w:rPr>
          <w:sz w:val="18"/>
          <w:szCs w:val="18"/>
        </w:rPr>
      </w:pPr>
      <w:r w:rsidRPr="001F7894">
        <w:rPr>
          <w:sz w:val="18"/>
          <w:szCs w:val="18"/>
        </w:rPr>
        <w:t>Incluye una ayuda extraordinaria de 25.000 euros para el programa de lucha contra el dopaje</w:t>
      </w:r>
      <w:r w:rsidR="00445A54" w:rsidRPr="001F7894">
        <w:rPr>
          <w:sz w:val="18"/>
          <w:szCs w:val="18"/>
        </w:rPr>
        <w:t>.</w:t>
      </w:r>
    </w:p>
    <w:p w:rsidR="00445A54" w:rsidRPr="001F7894" w:rsidRDefault="00445A54" w:rsidP="00FF4AA3">
      <w:pPr>
        <w:pStyle w:val="cuatexto"/>
        <w:numPr>
          <w:ilvl w:val="0"/>
          <w:numId w:val="7"/>
        </w:numPr>
        <w:ind w:left="504" w:hanging="357"/>
        <w:rPr>
          <w:sz w:val="18"/>
          <w:szCs w:val="18"/>
        </w:rPr>
      </w:pPr>
      <w:r w:rsidRPr="001F7894">
        <w:rPr>
          <w:sz w:val="18"/>
          <w:szCs w:val="18"/>
        </w:rPr>
        <w:t>Afectadas por el bloqu</w:t>
      </w:r>
      <w:r w:rsidR="002E1A8A" w:rsidRPr="001F7894">
        <w:rPr>
          <w:sz w:val="18"/>
          <w:szCs w:val="18"/>
        </w:rPr>
        <w:t>e</w:t>
      </w:r>
      <w:r w:rsidRPr="001F7894">
        <w:rPr>
          <w:sz w:val="18"/>
          <w:szCs w:val="18"/>
        </w:rPr>
        <w:t>o de partidas como resultado del acuerdo del Gobierno para controlar el déficit</w:t>
      </w:r>
      <w:r w:rsidR="002E1A8A" w:rsidRPr="001F7894">
        <w:rPr>
          <w:sz w:val="18"/>
          <w:szCs w:val="18"/>
        </w:rPr>
        <w:t>.</w:t>
      </w:r>
    </w:p>
    <w:p w:rsidR="002E1A8A" w:rsidRPr="001F7894" w:rsidRDefault="002E1A8A" w:rsidP="00FF4AA3">
      <w:pPr>
        <w:pStyle w:val="cuatexto"/>
        <w:numPr>
          <w:ilvl w:val="0"/>
          <w:numId w:val="7"/>
        </w:numPr>
        <w:rPr>
          <w:sz w:val="18"/>
          <w:szCs w:val="18"/>
        </w:rPr>
      </w:pPr>
      <w:r w:rsidRPr="001F7894">
        <w:rPr>
          <w:sz w:val="18"/>
          <w:szCs w:val="18"/>
        </w:rPr>
        <w:t>Se autoriza</w:t>
      </w:r>
      <w:r w:rsidR="00734A35" w:rsidRPr="001F7894">
        <w:rPr>
          <w:sz w:val="18"/>
          <w:szCs w:val="18"/>
        </w:rPr>
        <w:t xml:space="preserve"> inicialmente un gasto </w:t>
      </w:r>
      <w:r w:rsidRPr="001F7894">
        <w:rPr>
          <w:sz w:val="18"/>
          <w:szCs w:val="18"/>
        </w:rPr>
        <w:t>de 100.400 euros, aunque el abono efectivo es de 60.613 euros.</w:t>
      </w:r>
    </w:p>
    <w:p w:rsidR="008E6AA6" w:rsidRDefault="008E6AA6" w:rsidP="00FF4AA3">
      <w:pPr>
        <w:pStyle w:val="texto"/>
        <w:tabs>
          <w:tab w:val="clear" w:pos="2835"/>
          <w:tab w:val="clear" w:pos="3969"/>
          <w:tab w:val="clear" w:pos="5103"/>
          <w:tab w:val="clear" w:pos="6237"/>
          <w:tab w:val="clear" w:pos="7371"/>
        </w:tabs>
        <w:spacing w:after="0"/>
      </w:pPr>
    </w:p>
    <w:p w:rsidR="008E6AA6" w:rsidRDefault="008E6AA6" w:rsidP="00FF4AA3">
      <w:pPr>
        <w:pStyle w:val="texto"/>
        <w:tabs>
          <w:tab w:val="clear" w:pos="2835"/>
          <w:tab w:val="clear" w:pos="3969"/>
          <w:tab w:val="clear" w:pos="5103"/>
          <w:tab w:val="clear" w:pos="6237"/>
          <w:tab w:val="clear" w:pos="7371"/>
        </w:tabs>
      </w:pPr>
      <w:r>
        <w:t>Como se observa, hasta 2011 la subvención efectivamente concedida coinc</w:t>
      </w:r>
      <w:r>
        <w:t>i</w:t>
      </w:r>
      <w:r>
        <w:t>de con el importe del crédito presupuestario y su importe se va incrementando de forma p</w:t>
      </w:r>
      <w:r w:rsidR="00A95B32">
        <w:t>ro</w:t>
      </w:r>
      <w:r>
        <w:t xml:space="preserve">gresiva; después de ese </w:t>
      </w:r>
      <w:r w:rsidR="000564FA">
        <w:t xml:space="preserve">ejercicio, y coincidiendo </w:t>
      </w:r>
      <w:r>
        <w:t>con la política de ajuste presupuestari</w:t>
      </w:r>
      <w:r w:rsidR="007F45AF">
        <w:t>o</w:t>
      </w:r>
      <w:r>
        <w:t xml:space="preserve"> aplicada por el Gobierno de Navarra para la contención </w:t>
      </w:r>
      <w:r w:rsidR="000564FA">
        <w:t>del déficit</w:t>
      </w:r>
      <w:r>
        <w:t>,</w:t>
      </w:r>
      <w:r w:rsidR="00A95B32">
        <w:t xml:space="preserve"> la subvención se reduce de forma significativa tanto en crédito pr</w:t>
      </w:r>
      <w:r w:rsidR="00A95B32">
        <w:t>e</w:t>
      </w:r>
      <w:r w:rsidR="00A95B32">
        <w:lastRenderedPageBreak/>
        <w:t>supuestario como en importe efectivo</w:t>
      </w:r>
      <w:r w:rsidR="002D674B">
        <w:t>; t</w:t>
      </w:r>
      <w:r w:rsidR="00BF3845">
        <w:t>ambié</w:t>
      </w:r>
      <w:r w:rsidR="002D674B">
        <w:t>n ha influido</w:t>
      </w:r>
      <w:r w:rsidR="002C0F14">
        <w:t xml:space="preserve"> en esta situación</w:t>
      </w:r>
      <w:r w:rsidR="002D674B">
        <w:t xml:space="preserve"> la regulación más exhaustiva de las bases de concesión de la subvención</w:t>
      </w:r>
      <w:r w:rsidR="002C0F14">
        <w:t>,</w:t>
      </w:r>
      <w:r w:rsidR="002D674B">
        <w:t xml:space="preserve"> que ha permitido un mayor control </w:t>
      </w:r>
      <w:r w:rsidR="00BF3845">
        <w:t xml:space="preserve">por parte de los servicios técnicos del INDyJ y </w:t>
      </w:r>
      <w:r w:rsidR="00616006">
        <w:t xml:space="preserve">de </w:t>
      </w:r>
      <w:r w:rsidR="00BF3845">
        <w:t>la intervenci</w:t>
      </w:r>
      <w:r w:rsidR="00616006">
        <w:t>ón delegada.</w:t>
      </w:r>
    </w:p>
    <w:p w:rsidR="00F60CCA" w:rsidRDefault="00F60CCA" w:rsidP="00FF4AA3">
      <w:pPr>
        <w:pStyle w:val="texto"/>
        <w:tabs>
          <w:tab w:val="clear" w:pos="2835"/>
          <w:tab w:val="clear" w:pos="3969"/>
          <w:tab w:val="clear" w:pos="5103"/>
          <w:tab w:val="clear" w:pos="6237"/>
          <w:tab w:val="clear" w:pos="7371"/>
        </w:tabs>
      </w:pPr>
      <w:r>
        <w:t>En el Ayuntamiento de Pamplona, la subvención concedida coincide con la dotación presupuestaria correspondiente.</w:t>
      </w:r>
    </w:p>
    <w:p w:rsidR="008A0BB0" w:rsidRPr="003071BA" w:rsidRDefault="008A0BB0" w:rsidP="00FF4AA3">
      <w:pPr>
        <w:pStyle w:val="texto"/>
        <w:tabs>
          <w:tab w:val="clear" w:pos="2835"/>
          <w:tab w:val="clear" w:pos="3969"/>
          <w:tab w:val="clear" w:pos="5103"/>
          <w:tab w:val="clear" w:pos="6237"/>
          <w:tab w:val="clear" w:pos="7371"/>
        </w:tabs>
        <w:spacing w:after="240"/>
      </w:pPr>
      <w:r w:rsidRPr="00A14F8A">
        <w:rPr>
          <w:b/>
        </w:rPr>
        <w:t>3</w:t>
      </w:r>
      <w:r w:rsidR="00A14F8A">
        <w:rPr>
          <w:b/>
        </w:rPr>
        <w:t>.</w:t>
      </w:r>
      <w:r w:rsidRPr="00A14F8A">
        <w:rPr>
          <w:b/>
        </w:rPr>
        <w:t>ª</w:t>
      </w:r>
      <w:r w:rsidRPr="008A0BB0">
        <w:t xml:space="preserve"> Sobre el total de ingreso</w:t>
      </w:r>
      <w:r w:rsidR="00A429FB">
        <w:t>s</w:t>
      </w:r>
      <w:r w:rsidR="00ED2914">
        <w:t xml:space="preserve"> </w:t>
      </w:r>
      <w:r w:rsidR="003B6851" w:rsidRPr="008A0BB0">
        <w:t>de la Fundación</w:t>
      </w:r>
      <w:r w:rsidR="00EB14C2">
        <w:t xml:space="preserve">, </w:t>
      </w:r>
      <w:r w:rsidRPr="008A0BB0">
        <w:t>las anteriores subvenciones representan los siguientes porcentajes:</w:t>
      </w:r>
    </w:p>
    <w:tbl>
      <w:tblPr>
        <w:tblStyle w:val="Tablaconcuadrcula"/>
        <w:tblW w:w="8916" w:type="dxa"/>
        <w:jc w:val="center"/>
        <w:tblInd w:w="-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
        <w:gridCol w:w="3174"/>
        <w:gridCol w:w="4491"/>
      </w:tblGrid>
      <w:tr w:rsidR="00EB14C2" w:rsidRPr="003875B4" w:rsidTr="00FF4AA3">
        <w:trPr>
          <w:trHeight w:val="255"/>
          <w:jc w:val="center"/>
        </w:trPr>
        <w:tc>
          <w:tcPr>
            <w:tcW w:w="1251" w:type="dxa"/>
            <w:tcBorders>
              <w:top w:val="single" w:sz="4" w:space="0" w:color="auto"/>
              <w:bottom w:val="single" w:sz="4" w:space="0" w:color="auto"/>
            </w:tcBorders>
            <w:shd w:val="clear" w:color="auto" w:fill="A8CBEE" w:themeFill="accent2" w:themeFillTint="66"/>
            <w:vAlign w:val="center"/>
          </w:tcPr>
          <w:p w:rsidR="00EB14C2" w:rsidRPr="003875B4" w:rsidRDefault="00EB14C2" w:rsidP="009E58AB">
            <w:pPr>
              <w:pStyle w:val="cuatexto"/>
              <w:rPr>
                <w:rFonts w:ascii="Arial" w:hAnsi="Arial" w:cs="Arial"/>
                <w:sz w:val="18"/>
                <w:szCs w:val="18"/>
              </w:rPr>
            </w:pPr>
            <w:r>
              <w:rPr>
                <w:rFonts w:ascii="Arial" w:hAnsi="Arial" w:cs="Arial"/>
                <w:sz w:val="18"/>
                <w:szCs w:val="18"/>
              </w:rPr>
              <w:t>Ejercicio</w:t>
            </w:r>
          </w:p>
        </w:tc>
        <w:tc>
          <w:tcPr>
            <w:tcW w:w="3174" w:type="dxa"/>
            <w:tcBorders>
              <w:top w:val="single" w:sz="4" w:space="0" w:color="auto"/>
              <w:bottom w:val="single" w:sz="4" w:space="0" w:color="auto"/>
            </w:tcBorders>
            <w:shd w:val="clear" w:color="auto" w:fill="A8CBEE" w:themeFill="accent2" w:themeFillTint="66"/>
            <w:vAlign w:val="center"/>
          </w:tcPr>
          <w:p w:rsidR="00EB14C2" w:rsidRPr="003875B4" w:rsidRDefault="00EB14C2" w:rsidP="00816A94">
            <w:pPr>
              <w:pStyle w:val="cuatexto"/>
              <w:tabs>
                <w:tab w:val="clear" w:pos="2835"/>
              </w:tabs>
              <w:jc w:val="right"/>
              <w:rPr>
                <w:rFonts w:ascii="Arial" w:hAnsi="Arial" w:cs="Arial"/>
                <w:sz w:val="18"/>
                <w:szCs w:val="18"/>
              </w:rPr>
            </w:pPr>
            <w:r>
              <w:rPr>
                <w:rFonts w:ascii="Arial" w:hAnsi="Arial" w:cs="Arial"/>
                <w:sz w:val="18"/>
                <w:szCs w:val="18"/>
              </w:rPr>
              <w:t>% subvención GN/total ingresos</w:t>
            </w:r>
          </w:p>
        </w:tc>
        <w:tc>
          <w:tcPr>
            <w:tcW w:w="4491" w:type="dxa"/>
            <w:tcBorders>
              <w:top w:val="single" w:sz="4" w:space="0" w:color="auto"/>
              <w:bottom w:val="single" w:sz="4" w:space="0" w:color="auto"/>
            </w:tcBorders>
            <w:shd w:val="clear" w:color="auto" w:fill="A8CBEE" w:themeFill="accent2" w:themeFillTint="66"/>
            <w:vAlign w:val="center"/>
          </w:tcPr>
          <w:p w:rsidR="00EB14C2" w:rsidRDefault="003606BE" w:rsidP="003606BE">
            <w:pPr>
              <w:pStyle w:val="cuatexto"/>
              <w:tabs>
                <w:tab w:val="clear" w:pos="2835"/>
              </w:tabs>
              <w:jc w:val="right"/>
              <w:rPr>
                <w:rFonts w:ascii="Arial" w:hAnsi="Arial" w:cs="Arial"/>
                <w:sz w:val="18"/>
                <w:szCs w:val="18"/>
              </w:rPr>
            </w:pPr>
            <w:r>
              <w:rPr>
                <w:rFonts w:ascii="Arial" w:hAnsi="Arial" w:cs="Arial"/>
                <w:sz w:val="18"/>
                <w:szCs w:val="18"/>
              </w:rPr>
              <w:t>% Subv.</w:t>
            </w:r>
            <w:r w:rsidR="00EB14C2">
              <w:rPr>
                <w:rFonts w:ascii="Arial" w:hAnsi="Arial" w:cs="Arial"/>
                <w:sz w:val="18"/>
                <w:szCs w:val="18"/>
              </w:rPr>
              <w:t xml:space="preserve"> GN+Ay</w:t>
            </w:r>
            <w:r w:rsidR="00F842C4">
              <w:rPr>
                <w:rFonts w:ascii="Arial" w:hAnsi="Arial" w:cs="Arial"/>
                <w:sz w:val="18"/>
                <w:szCs w:val="18"/>
              </w:rPr>
              <w:t>unt</w:t>
            </w:r>
            <w:r w:rsidR="00EB14C2">
              <w:rPr>
                <w:rFonts w:ascii="Arial" w:hAnsi="Arial" w:cs="Arial"/>
                <w:sz w:val="18"/>
                <w:szCs w:val="18"/>
              </w:rPr>
              <w:t>. Pamplona/</w:t>
            </w:r>
            <w:r>
              <w:rPr>
                <w:rFonts w:ascii="Arial" w:hAnsi="Arial" w:cs="Arial"/>
                <w:sz w:val="18"/>
                <w:szCs w:val="18"/>
              </w:rPr>
              <w:t xml:space="preserve"> </w:t>
            </w:r>
            <w:r w:rsidR="00EB14C2">
              <w:rPr>
                <w:rFonts w:ascii="Arial" w:hAnsi="Arial" w:cs="Arial"/>
                <w:sz w:val="18"/>
                <w:szCs w:val="18"/>
              </w:rPr>
              <w:t>total ingresos</w:t>
            </w:r>
          </w:p>
        </w:tc>
      </w:tr>
      <w:tr w:rsidR="00EB14C2" w:rsidRPr="009100B5" w:rsidTr="00FF4AA3">
        <w:trPr>
          <w:trHeight w:val="255"/>
          <w:jc w:val="center"/>
        </w:trPr>
        <w:tc>
          <w:tcPr>
            <w:tcW w:w="1251" w:type="dxa"/>
            <w:tcBorders>
              <w:top w:val="single" w:sz="4" w:space="0" w:color="auto"/>
              <w:bottom w:val="single" w:sz="2" w:space="0" w:color="auto"/>
            </w:tcBorders>
            <w:vAlign w:val="center"/>
          </w:tcPr>
          <w:p w:rsidR="00EB14C2" w:rsidRPr="00E32A4F" w:rsidRDefault="00EB14C2" w:rsidP="009E58AB">
            <w:pPr>
              <w:pStyle w:val="cuatexto"/>
            </w:pPr>
            <w:r>
              <w:t xml:space="preserve">2005 </w:t>
            </w:r>
          </w:p>
        </w:tc>
        <w:tc>
          <w:tcPr>
            <w:tcW w:w="3174" w:type="dxa"/>
            <w:tcBorders>
              <w:top w:val="single" w:sz="4" w:space="0" w:color="auto"/>
              <w:bottom w:val="single" w:sz="2" w:space="0" w:color="auto"/>
            </w:tcBorders>
            <w:vAlign w:val="center"/>
          </w:tcPr>
          <w:p w:rsidR="00EB14C2" w:rsidRDefault="00EB14C2" w:rsidP="003606BE">
            <w:pPr>
              <w:pStyle w:val="cuatexto"/>
              <w:jc w:val="right"/>
            </w:pPr>
            <w:r>
              <w:t>33</w:t>
            </w:r>
          </w:p>
        </w:tc>
        <w:tc>
          <w:tcPr>
            <w:tcW w:w="4491" w:type="dxa"/>
            <w:tcBorders>
              <w:top w:val="single" w:sz="4" w:space="0" w:color="auto"/>
              <w:bottom w:val="single" w:sz="2" w:space="0" w:color="auto"/>
            </w:tcBorders>
            <w:vAlign w:val="center"/>
          </w:tcPr>
          <w:p w:rsidR="00EB14C2" w:rsidRDefault="00EB14C2" w:rsidP="003606BE">
            <w:pPr>
              <w:pStyle w:val="cuatexto"/>
              <w:jc w:val="right"/>
            </w:pPr>
            <w:r>
              <w:t>39</w:t>
            </w:r>
          </w:p>
        </w:tc>
      </w:tr>
      <w:tr w:rsidR="00EB14C2" w:rsidRPr="009100B5" w:rsidTr="00FF4AA3">
        <w:trPr>
          <w:trHeight w:val="255"/>
          <w:jc w:val="center"/>
        </w:trPr>
        <w:tc>
          <w:tcPr>
            <w:tcW w:w="1251" w:type="dxa"/>
            <w:tcBorders>
              <w:top w:val="single" w:sz="2" w:space="0" w:color="auto"/>
              <w:bottom w:val="single" w:sz="2" w:space="0" w:color="auto"/>
            </w:tcBorders>
            <w:vAlign w:val="center"/>
          </w:tcPr>
          <w:p w:rsidR="00EB14C2" w:rsidRPr="00E32A4F" w:rsidRDefault="00EB14C2" w:rsidP="009E58AB">
            <w:pPr>
              <w:pStyle w:val="cuatexto"/>
            </w:pPr>
            <w:r>
              <w:t>2006</w:t>
            </w:r>
          </w:p>
        </w:tc>
        <w:tc>
          <w:tcPr>
            <w:tcW w:w="3174" w:type="dxa"/>
            <w:tcBorders>
              <w:top w:val="single" w:sz="2" w:space="0" w:color="auto"/>
              <w:bottom w:val="single" w:sz="2" w:space="0" w:color="auto"/>
            </w:tcBorders>
            <w:vAlign w:val="center"/>
          </w:tcPr>
          <w:p w:rsidR="00EB14C2" w:rsidRDefault="00EB14C2" w:rsidP="003606BE">
            <w:pPr>
              <w:pStyle w:val="cuatexto"/>
              <w:jc w:val="right"/>
            </w:pPr>
            <w:r>
              <w:t>38</w:t>
            </w:r>
          </w:p>
        </w:tc>
        <w:tc>
          <w:tcPr>
            <w:tcW w:w="4491" w:type="dxa"/>
            <w:tcBorders>
              <w:top w:val="single" w:sz="2" w:space="0" w:color="auto"/>
              <w:bottom w:val="single" w:sz="2" w:space="0" w:color="auto"/>
            </w:tcBorders>
            <w:vAlign w:val="center"/>
          </w:tcPr>
          <w:p w:rsidR="00EB14C2" w:rsidRDefault="00EB14C2" w:rsidP="003606BE">
            <w:pPr>
              <w:pStyle w:val="cuatexto"/>
              <w:jc w:val="right"/>
            </w:pPr>
            <w:r>
              <w:t>46</w:t>
            </w:r>
          </w:p>
        </w:tc>
      </w:tr>
      <w:tr w:rsidR="00EB14C2" w:rsidRPr="009100B5" w:rsidTr="00FF4AA3">
        <w:trPr>
          <w:trHeight w:val="255"/>
          <w:jc w:val="center"/>
        </w:trPr>
        <w:tc>
          <w:tcPr>
            <w:tcW w:w="1251" w:type="dxa"/>
            <w:tcBorders>
              <w:top w:val="single" w:sz="2" w:space="0" w:color="auto"/>
              <w:bottom w:val="single" w:sz="2" w:space="0" w:color="auto"/>
            </w:tcBorders>
            <w:vAlign w:val="center"/>
          </w:tcPr>
          <w:p w:rsidR="00EB14C2" w:rsidRPr="00E32A4F" w:rsidRDefault="00EB14C2" w:rsidP="009E58AB">
            <w:pPr>
              <w:pStyle w:val="cuatexto"/>
            </w:pPr>
            <w:r>
              <w:t>2007</w:t>
            </w:r>
          </w:p>
        </w:tc>
        <w:tc>
          <w:tcPr>
            <w:tcW w:w="3174" w:type="dxa"/>
            <w:tcBorders>
              <w:top w:val="single" w:sz="2" w:space="0" w:color="auto"/>
              <w:bottom w:val="single" w:sz="2" w:space="0" w:color="auto"/>
            </w:tcBorders>
            <w:vAlign w:val="center"/>
          </w:tcPr>
          <w:p w:rsidR="00EB14C2" w:rsidRDefault="00EB14C2" w:rsidP="003606BE">
            <w:pPr>
              <w:pStyle w:val="cuatexto"/>
              <w:jc w:val="right"/>
            </w:pPr>
            <w:r>
              <w:t>47</w:t>
            </w:r>
          </w:p>
        </w:tc>
        <w:tc>
          <w:tcPr>
            <w:tcW w:w="4491" w:type="dxa"/>
            <w:tcBorders>
              <w:top w:val="single" w:sz="2" w:space="0" w:color="auto"/>
              <w:bottom w:val="single" w:sz="2" w:space="0" w:color="auto"/>
            </w:tcBorders>
            <w:vAlign w:val="center"/>
          </w:tcPr>
          <w:p w:rsidR="00EB14C2" w:rsidRDefault="00EB14C2" w:rsidP="003606BE">
            <w:pPr>
              <w:pStyle w:val="cuatexto"/>
              <w:jc w:val="right"/>
            </w:pPr>
            <w:r>
              <w:t>54</w:t>
            </w:r>
          </w:p>
        </w:tc>
      </w:tr>
      <w:tr w:rsidR="00EB14C2" w:rsidRPr="009100B5" w:rsidTr="00FF4AA3">
        <w:trPr>
          <w:trHeight w:val="255"/>
          <w:jc w:val="center"/>
        </w:trPr>
        <w:tc>
          <w:tcPr>
            <w:tcW w:w="1251" w:type="dxa"/>
            <w:tcBorders>
              <w:top w:val="single" w:sz="2" w:space="0" w:color="auto"/>
              <w:bottom w:val="single" w:sz="2" w:space="0" w:color="auto"/>
            </w:tcBorders>
            <w:vAlign w:val="center"/>
          </w:tcPr>
          <w:p w:rsidR="00EB14C2" w:rsidRPr="00E32A4F" w:rsidRDefault="00EB14C2" w:rsidP="009E58AB">
            <w:pPr>
              <w:pStyle w:val="cuatexto"/>
            </w:pPr>
            <w:r>
              <w:t>2008</w:t>
            </w:r>
          </w:p>
        </w:tc>
        <w:tc>
          <w:tcPr>
            <w:tcW w:w="3174" w:type="dxa"/>
            <w:tcBorders>
              <w:top w:val="single" w:sz="2" w:space="0" w:color="auto"/>
              <w:bottom w:val="single" w:sz="2" w:space="0" w:color="auto"/>
            </w:tcBorders>
            <w:vAlign w:val="center"/>
          </w:tcPr>
          <w:p w:rsidR="00EB14C2" w:rsidRDefault="00EB14C2" w:rsidP="003606BE">
            <w:pPr>
              <w:pStyle w:val="cuatexto"/>
              <w:jc w:val="right"/>
            </w:pPr>
            <w:r>
              <w:t>45</w:t>
            </w:r>
          </w:p>
        </w:tc>
        <w:tc>
          <w:tcPr>
            <w:tcW w:w="4491" w:type="dxa"/>
            <w:tcBorders>
              <w:top w:val="single" w:sz="2" w:space="0" w:color="auto"/>
              <w:bottom w:val="single" w:sz="2" w:space="0" w:color="auto"/>
            </w:tcBorders>
            <w:vAlign w:val="center"/>
          </w:tcPr>
          <w:p w:rsidR="00EB14C2" w:rsidRDefault="00EB14C2" w:rsidP="003606BE">
            <w:pPr>
              <w:pStyle w:val="cuatexto"/>
              <w:jc w:val="right"/>
            </w:pPr>
            <w:r>
              <w:t>51</w:t>
            </w:r>
          </w:p>
        </w:tc>
      </w:tr>
      <w:tr w:rsidR="00EB14C2" w:rsidRPr="009100B5" w:rsidTr="00FF4AA3">
        <w:trPr>
          <w:trHeight w:val="255"/>
          <w:jc w:val="center"/>
        </w:trPr>
        <w:tc>
          <w:tcPr>
            <w:tcW w:w="1251" w:type="dxa"/>
            <w:tcBorders>
              <w:top w:val="single" w:sz="2" w:space="0" w:color="auto"/>
              <w:bottom w:val="single" w:sz="2" w:space="0" w:color="auto"/>
            </w:tcBorders>
            <w:vAlign w:val="center"/>
          </w:tcPr>
          <w:p w:rsidR="00EB14C2" w:rsidRPr="00E32A4F" w:rsidRDefault="00EB14C2" w:rsidP="009E58AB">
            <w:pPr>
              <w:pStyle w:val="cuatexto"/>
            </w:pPr>
            <w:r>
              <w:t>2009</w:t>
            </w:r>
          </w:p>
        </w:tc>
        <w:tc>
          <w:tcPr>
            <w:tcW w:w="3174" w:type="dxa"/>
            <w:tcBorders>
              <w:top w:val="single" w:sz="2" w:space="0" w:color="auto"/>
              <w:bottom w:val="single" w:sz="2" w:space="0" w:color="auto"/>
            </w:tcBorders>
            <w:vAlign w:val="center"/>
          </w:tcPr>
          <w:p w:rsidR="00EB14C2" w:rsidRDefault="00EB14C2" w:rsidP="003606BE">
            <w:pPr>
              <w:pStyle w:val="cuatexto"/>
              <w:jc w:val="right"/>
            </w:pPr>
            <w:r>
              <w:t>47</w:t>
            </w:r>
          </w:p>
        </w:tc>
        <w:tc>
          <w:tcPr>
            <w:tcW w:w="4491" w:type="dxa"/>
            <w:tcBorders>
              <w:top w:val="single" w:sz="2" w:space="0" w:color="auto"/>
              <w:bottom w:val="single" w:sz="2" w:space="0" w:color="auto"/>
            </w:tcBorders>
            <w:vAlign w:val="center"/>
          </w:tcPr>
          <w:p w:rsidR="00EB14C2" w:rsidRDefault="00EB14C2" w:rsidP="003606BE">
            <w:pPr>
              <w:pStyle w:val="cuatexto"/>
              <w:jc w:val="right"/>
            </w:pPr>
            <w:r>
              <w:t>54</w:t>
            </w:r>
          </w:p>
        </w:tc>
      </w:tr>
      <w:tr w:rsidR="00EB14C2" w:rsidRPr="009100B5" w:rsidTr="00FF4AA3">
        <w:trPr>
          <w:trHeight w:val="255"/>
          <w:jc w:val="center"/>
        </w:trPr>
        <w:tc>
          <w:tcPr>
            <w:tcW w:w="1251" w:type="dxa"/>
            <w:tcBorders>
              <w:top w:val="single" w:sz="2" w:space="0" w:color="auto"/>
              <w:bottom w:val="single" w:sz="2" w:space="0" w:color="auto"/>
            </w:tcBorders>
            <w:vAlign w:val="center"/>
          </w:tcPr>
          <w:p w:rsidR="00EB14C2" w:rsidRPr="00E32A4F" w:rsidRDefault="00EB14C2" w:rsidP="009E58AB">
            <w:pPr>
              <w:pStyle w:val="cuatexto"/>
            </w:pPr>
            <w:r>
              <w:t>2010</w:t>
            </w:r>
          </w:p>
        </w:tc>
        <w:tc>
          <w:tcPr>
            <w:tcW w:w="3174" w:type="dxa"/>
            <w:tcBorders>
              <w:top w:val="single" w:sz="2" w:space="0" w:color="auto"/>
              <w:bottom w:val="single" w:sz="2" w:space="0" w:color="auto"/>
            </w:tcBorders>
            <w:vAlign w:val="center"/>
          </w:tcPr>
          <w:p w:rsidR="00EB14C2" w:rsidRDefault="00EB14C2" w:rsidP="003606BE">
            <w:pPr>
              <w:pStyle w:val="cuatexto"/>
              <w:jc w:val="right"/>
            </w:pPr>
            <w:r>
              <w:t>41</w:t>
            </w:r>
          </w:p>
        </w:tc>
        <w:tc>
          <w:tcPr>
            <w:tcW w:w="4491" w:type="dxa"/>
            <w:tcBorders>
              <w:top w:val="single" w:sz="2" w:space="0" w:color="auto"/>
              <w:bottom w:val="single" w:sz="2" w:space="0" w:color="auto"/>
            </w:tcBorders>
            <w:vAlign w:val="center"/>
          </w:tcPr>
          <w:p w:rsidR="00EB14C2" w:rsidRDefault="00EB14C2" w:rsidP="003606BE">
            <w:pPr>
              <w:pStyle w:val="cuatexto"/>
              <w:jc w:val="right"/>
            </w:pPr>
            <w:r>
              <w:t>48</w:t>
            </w:r>
          </w:p>
        </w:tc>
      </w:tr>
      <w:tr w:rsidR="00EB14C2" w:rsidRPr="009100B5" w:rsidTr="00FF4AA3">
        <w:trPr>
          <w:trHeight w:val="255"/>
          <w:jc w:val="center"/>
        </w:trPr>
        <w:tc>
          <w:tcPr>
            <w:tcW w:w="1251" w:type="dxa"/>
            <w:tcBorders>
              <w:top w:val="single" w:sz="2" w:space="0" w:color="auto"/>
              <w:bottom w:val="single" w:sz="2" w:space="0" w:color="auto"/>
            </w:tcBorders>
            <w:vAlign w:val="center"/>
          </w:tcPr>
          <w:p w:rsidR="00EB14C2" w:rsidRPr="00E32A4F" w:rsidRDefault="00EB14C2" w:rsidP="009E58AB">
            <w:pPr>
              <w:pStyle w:val="cuatexto"/>
            </w:pPr>
            <w:r>
              <w:t>2011</w:t>
            </w:r>
          </w:p>
        </w:tc>
        <w:tc>
          <w:tcPr>
            <w:tcW w:w="3174" w:type="dxa"/>
            <w:tcBorders>
              <w:top w:val="single" w:sz="2" w:space="0" w:color="auto"/>
              <w:bottom w:val="single" w:sz="2" w:space="0" w:color="auto"/>
            </w:tcBorders>
            <w:vAlign w:val="center"/>
          </w:tcPr>
          <w:p w:rsidR="00EB14C2" w:rsidRDefault="00EB14C2" w:rsidP="003606BE">
            <w:pPr>
              <w:pStyle w:val="cuatexto"/>
              <w:jc w:val="right"/>
            </w:pPr>
            <w:r>
              <w:t>45</w:t>
            </w:r>
          </w:p>
        </w:tc>
        <w:tc>
          <w:tcPr>
            <w:tcW w:w="4491" w:type="dxa"/>
            <w:tcBorders>
              <w:top w:val="single" w:sz="2" w:space="0" w:color="auto"/>
              <w:bottom w:val="single" w:sz="2" w:space="0" w:color="auto"/>
            </w:tcBorders>
            <w:vAlign w:val="center"/>
          </w:tcPr>
          <w:p w:rsidR="00EB14C2" w:rsidRDefault="00EB14C2" w:rsidP="003606BE">
            <w:pPr>
              <w:pStyle w:val="cuatexto"/>
              <w:jc w:val="right"/>
            </w:pPr>
            <w:r>
              <w:t>51</w:t>
            </w:r>
          </w:p>
        </w:tc>
      </w:tr>
      <w:tr w:rsidR="00EB14C2" w:rsidRPr="009100B5" w:rsidTr="00FF4AA3">
        <w:trPr>
          <w:trHeight w:val="255"/>
          <w:jc w:val="center"/>
        </w:trPr>
        <w:tc>
          <w:tcPr>
            <w:tcW w:w="1251" w:type="dxa"/>
            <w:tcBorders>
              <w:top w:val="single" w:sz="2" w:space="0" w:color="auto"/>
              <w:bottom w:val="single" w:sz="2" w:space="0" w:color="auto"/>
            </w:tcBorders>
            <w:vAlign w:val="center"/>
          </w:tcPr>
          <w:p w:rsidR="00EB14C2" w:rsidRPr="00E32A4F" w:rsidRDefault="00EB14C2" w:rsidP="009E58AB">
            <w:pPr>
              <w:pStyle w:val="cuatexto"/>
            </w:pPr>
            <w:r>
              <w:t>2012</w:t>
            </w:r>
          </w:p>
        </w:tc>
        <w:tc>
          <w:tcPr>
            <w:tcW w:w="3174" w:type="dxa"/>
            <w:tcBorders>
              <w:top w:val="single" w:sz="2" w:space="0" w:color="auto"/>
              <w:bottom w:val="single" w:sz="2" w:space="0" w:color="auto"/>
            </w:tcBorders>
            <w:vAlign w:val="center"/>
          </w:tcPr>
          <w:p w:rsidR="00EB14C2" w:rsidRDefault="00EB14C2" w:rsidP="003606BE">
            <w:pPr>
              <w:pStyle w:val="cuatexto"/>
              <w:jc w:val="right"/>
            </w:pPr>
            <w:r>
              <w:t>30</w:t>
            </w:r>
          </w:p>
        </w:tc>
        <w:tc>
          <w:tcPr>
            <w:tcW w:w="4491" w:type="dxa"/>
            <w:tcBorders>
              <w:top w:val="single" w:sz="2" w:space="0" w:color="auto"/>
              <w:bottom w:val="single" w:sz="2" w:space="0" w:color="auto"/>
            </w:tcBorders>
            <w:vAlign w:val="center"/>
          </w:tcPr>
          <w:p w:rsidR="00EB14C2" w:rsidRDefault="00EB14C2" w:rsidP="003606BE">
            <w:pPr>
              <w:pStyle w:val="cuatexto"/>
              <w:jc w:val="right"/>
            </w:pPr>
            <w:r>
              <w:t>36</w:t>
            </w:r>
          </w:p>
        </w:tc>
      </w:tr>
      <w:tr w:rsidR="00EB14C2" w:rsidRPr="009100B5" w:rsidTr="00FF4AA3">
        <w:trPr>
          <w:trHeight w:val="255"/>
          <w:jc w:val="center"/>
        </w:trPr>
        <w:tc>
          <w:tcPr>
            <w:tcW w:w="1251" w:type="dxa"/>
            <w:tcBorders>
              <w:top w:val="single" w:sz="2" w:space="0" w:color="auto"/>
              <w:bottom w:val="single" w:sz="2" w:space="0" w:color="auto"/>
            </w:tcBorders>
            <w:vAlign w:val="center"/>
          </w:tcPr>
          <w:p w:rsidR="00EB14C2" w:rsidRPr="00E32A4F" w:rsidRDefault="00EB14C2" w:rsidP="009E58AB">
            <w:pPr>
              <w:pStyle w:val="cuatexto"/>
            </w:pPr>
            <w:r>
              <w:t xml:space="preserve">2013 </w:t>
            </w:r>
          </w:p>
        </w:tc>
        <w:tc>
          <w:tcPr>
            <w:tcW w:w="3174" w:type="dxa"/>
            <w:tcBorders>
              <w:top w:val="single" w:sz="2" w:space="0" w:color="auto"/>
              <w:bottom w:val="single" w:sz="2" w:space="0" w:color="auto"/>
            </w:tcBorders>
            <w:vAlign w:val="center"/>
          </w:tcPr>
          <w:p w:rsidR="00EB14C2" w:rsidRDefault="00EB14C2" w:rsidP="003606BE">
            <w:pPr>
              <w:pStyle w:val="cuatexto"/>
              <w:jc w:val="right"/>
            </w:pPr>
            <w:r>
              <w:t>10</w:t>
            </w:r>
          </w:p>
        </w:tc>
        <w:tc>
          <w:tcPr>
            <w:tcW w:w="4491" w:type="dxa"/>
            <w:tcBorders>
              <w:top w:val="single" w:sz="2" w:space="0" w:color="auto"/>
              <w:bottom w:val="single" w:sz="2" w:space="0" w:color="auto"/>
            </w:tcBorders>
            <w:vAlign w:val="center"/>
          </w:tcPr>
          <w:p w:rsidR="00EB14C2" w:rsidRDefault="00EB14C2" w:rsidP="003606BE">
            <w:pPr>
              <w:pStyle w:val="cuatexto"/>
              <w:jc w:val="right"/>
            </w:pPr>
            <w:r>
              <w:t>15</w:t>
            </w:r>
          </w:p>
        </w:tc>
      </w:tr>
      <w:tr w:rsidR="00EB14C2" w:rsidRPr="009100B5" w:rsidTr="00FF4AA3">
        <w:trPr>
          <w:trHeight w:val="255"/>
          <w:jc w:val="center"/>
        </w:trPr>
        <w:tc>
          <w:tcPr>
            <w:tcW w:w="1251" w:type="dxa"/>
            <w:tcBorders>
              <w:top w:val="single" w:sz="2" w:space="0" w:color="auto"/>
              <w:bottom w:val="single" w:sz="2" w:space="0" w:color="auto"/>
            </w:tcBorders>
            <w:vAlign w:val="center"/>
          </w:tcPr>
          <w:p w:rsidR="00EB14C2" w:rsidRPr="00E32A4F" w:rsidRDefault="00EB14C2" w:rsidP="009E58AB">
            <w:pPr>
              <w:pStyle w:val="cuatexto"/>
            </w:pPr>
            <w:r>
              <w:t xml:space="preserve">2014 </w:t>
            </w:r>
          </w:p>
        </w:tc>
        <w:tc>
          <w:tcPr>
            <w:tcW w:w="3174" w:type="dxa"/>
            <w:tcBorders>
              <w:top w:val="single" w:sz="2" w:space="0" w:color="auto"/>
              <w:bottom w:val="single" w:sz="2" w:space="0" w:color="auto"/>
            </w:tcBorders>
            <w:vAlign w:val="center"/>
          </w:tcPr>
          <w:p w:rsidR="00EB14C2" w:rsidRDefault="00EB14C2" w:rsidP="003606BE">
            <w:pPr>
              <w:pStyle w:val="cuatexto"/>
              <w:jc w:val="right"/>
            </w:pPr>
            <w:r>
              <w:t>19</w:t>
            </w:r>
          </w:p>
        </w:tc>
        <w:tc>
          <w:tcPr>
            <w:tcW w:w="4491" w:type="dxa"/>
            <w:tcBorders>
              <w:top w:val="single" w:sz="2" w:space="0" w:color="auto"/>
              <w:bottom w:val="single" w:sz="2" w:space="0" w:color="auto"/>
            </w:tcBorders>
            <w:vAlign w:val="center"/>
          </w:tcPr>
          <w:p w:rsidR="00EB14C2" w:rsidRDefault="00EB14C2" w:rsidP="003606BE">
            <w:pPr>
              <w:pStyle w:val="cuatexto"/>
              <w:jc w:val="right"/>
            </w:pPr>
            <w:r>
              <w:t>19</w:t>
            </w:r>
          </w:p>
        </w:tc>
      </w:tr>
      <w:tr w:rsidR="00EB14C2" w:rsidRPr="009100B5" w:rsidTr="00FF4AA3">
        <w:trPr>
          <w:trHeight w:val="255"/>
          <w:jc w:val="center"/>
        </w:trPr>
        <w:tc>
          <w:tcPr>
            <w:tcW w:w="1251" w:type="dxa"/>
            <w:tcBorders>
              <w:top w:val="single" w:sz="2" w:space="0" w:color="auto"/>
              <w:bottom w:val="single" w:sz="4" w:space="0" w:color="auto"/>
            </w:tcBorders>
            <w:vAlign w:val="center"/>
          </w:tcPr>
          <w:p w:rsidR="00EB14C2" w:rsidRPr="00E32A4F" w:rsidRDefault="00EB14C2" w:rsidP="009E58AB">
            <w:pPr>
              <w:pStyle w:val="cuatexto"/>
            </w:pPr>
            <w:r>
              <w:t>2015</w:t>
            </w:r>
          </w:p>
        </w:tc>
        <w:tc>
          <w:tcPr>
            <w:tcW w:w="3174" w:type="dxa"/>
            <w:tcBorders>
              <w:top w:val="single" w:sz="2" w:space="0" w:color="auto"/>
              <w:bottom w:val="single" w:sz="4" w:space="0" w:color="auto"/>
            </w:tcBorders>
            <w:vAlign w:val="center"/>
          </w:tcPr>
          <w:p w:rsidR="00EB14C2" w:rsidRPr="009100B5" w:rsidRDefault="00EB14C2" w:rsidP="003606BE">
            <w:pPr>
              <w:pStyle w:val="cuatexto"/>
              <w:jc w:val="right"/>
            </w:pPr>
            <w:r>
              <w:t>n/d</w:t>
            </w:r>
          </w:p>
        </w:tc>
        <w:tc>
          <w:tcPr>
            <w:tcW w:w="4491" w:type="dxa"/>
            <w:tcBorders>
              <w:top w:val="single" w:sz="2" w:space="0" w:color="auto"/>
              <w:bottom w:val="single" w:sz="4" w:space="0" w:color="auto"/>
            </w:tcBorders>
            <w:vAlign w:val="center"/>
          </w:tcPr>
          <w:p w:rsidR="00EB14C2" w:rsidRDefault="00EB14C2" w:rsidP="003606BE">
            <w:pPr>
              <w:pStyle w:val="cuatexto"/>
              <w:jc w:val="right"/>
            </w:pPr>
            <w:r>
              <w:t>n/d</w:t>
            </w:r>
          </w:p>
        </w:tc>
      </w:tr>
    </w:tbl>
    <w:p w:rsidR="00851265" w:rsidRDefault="00851265" w:rsidP="00FF4AA3">
      <w:pPr>
        <w:pStyle w:val="texto"/>
        <w:tabs>
          <w:tab w:val="clear" w:pos="2835"/>
          <w:tab w:val="clear" w:pos="3969"/>
          <w:tab w:val="clear" w:pos="5103"/>
          <w:tab w:val="clear" w:pos="6237"/>
          <w:tab w:val="clear" w:pos="7371"/>
        </w:tabs>
        <w:spacing w:after="0"/>
        <w:ind w:firstLine="0"/>
        <w:rPr>
          <w:i/>
        </w:rPr>
      </w:pPr>
    </w:p>
    <w:p w:rsidR="003071BA" w:rsidRDefault="00A429FB" w:rsidP="00FF4AA3">
      <w:pPr>
        <w:pStyle w:val="texto"/>
        <w:tabs>
          <w:tab w:val="clear" w:pos="2835"/>
          <w:tab w:val="clear" w:pos="3969"/>
          <w:tab w:val="clear" w:pos="5103"/>
          <w:tab w:val="clear" w:pos="6237"/>
          <w:tab w:val="clear" w:pos="7371"/>
        </w:tabs>
      </w:pPr>
      <w:r w:rsidRPr="00A429FB">
        <w:t>Es decir, hasta 2011, las subvenciones concedi</w:t>
      </w:r>
      <w:r>
        <w:t>d</w:t>
      </w:r>
      <w:r w:rsidRPr="00A429FB">
        <w:t xml:space="preserve">as por el Gobierno </w:t>
      </w:r>
      <w:r>
        <w:t>represe</w:t>
      </w:r>
      <w:r>
        <w:t>n</w:t>
      </w:r>
      <w:r>
        <w:t>tan una parte</w:t>
      </w:r>
      <w:r w:rsidRPr="00A429FB">
        <w:t xml:space="preserve"> muy relevante sobre el t</w:t>
      </w:r>
      <w:r>
        <w:t>otal d</w:t>
      </w:r>
      <w:r w:rsidRPr="00A429FB">
        <w:t>e</w:t>
      </w:r>
      <w:r>
        <w:t xml:space="preserve"> ingresos</w:t>
      </w:r>
      <w:r w:rsidR="00EB14C2">
        <w:t xml:space="preserve"> </w:t>
      </w:r>
      <w:r>
        <w:t>d</w:t>
      </w:r>
      <w:r w:rsidRPr="00A429FB">
        <w:t>e</w:t>
      </w:r>
      <w:r>
        <w:t xml:space="preserve"> </w:t>
      </w:r>
      <w:r w:rsidRPr="00A429FB">
        <w:t>la Fundación</w:t>
      </w:r>
      <w:r w:rsidR="00EB14C2">
        <w:t xml:space="preserve">. </w:t>
      </w:r>
      <w:r>
        <w:t>Después de ese año,</w:t>
      </w:r>
      <w:r w:rsidRPr="00A429FB">
        <w:t xml:space="preserve"> </w:t>
      </w:r>
      <w:r>
        <w:t>disminuye tal peso de manera significativa.</w:t>
      </w:r>
    </w:p>
    <w:p w:rsidR="00F60CCA" w:rsidRDefault="00F60CCA" w:rsidP="00FF4AA3">
      <w:pPr>
        <w:pStyle w:val="texto"/>
        <w:tabs>
          <w:tab w:val="clear" w:pos="2835"/>
          <w:tab w:val="clear" w:pos="3969"/>
          <w:tab w:val="clear" w:pos="5103"/>
          <w:tab w:val="clear" w:pos="6237"/>
          <w:tab w:val="clear" w:pos="7371"/>
        </w:tabs>
      </w:pPr>
      <w:r>
        <w:t xml:space="preserve">Idénticos comentarios pueden hacerse si consideramos </w:t>
      </w:r>
      <w:r w:rsidR="003E4B12">
        <w:t>conjuntamente el efecto de</w:t>
      </w:r>
      <w:r>
        <w:t xml:space="preserve"> las subvenciones del Gobierno</w:t>
      </w:r>
      <w:r w:rsidR="003E4B12">
        <w:t xml:space="preserve"> y del</w:t>
      </w:r>
      <w:r>
        <w:t xml:space="preserve"> Ayuntamiento</w:t>
      </w:r>
      <w:r w:rsidR="003E4B12">
        <w:t xml:space="preserve"> de Pamplona</w:t>
      </w:r>
      <w:r w:rsidR="00EB14C2">
        <w:t>, a</w:t>
      </w:r>
      <w:r w:rsidR="00EB14C2">
        <w:t>l</w:t>
      </w:r>
      <w:r w:rsidR="00EB14C2">
        <w:t>canzando el valor máximo del 54 por ciento sobre el total de sus ingresos.</w:t>
      </w:r>
    </w:p>
    <w:p w:rsidR="007F45AF" w:rsidRPr="007B3AEC" w:rsidRDefault="007F45AF" w:rsidP="00FF4AA3">
      <w:pPr>
        <w:pStyle w:val="atitulo3"/>
        <w:spacing w:before="240" w:after="120"/>
      </w:pPr>
      <w:r w:rsidRPr="007B3AEC">
        <w:t xml:space="preserve">Expedientes de concesión y documentación justificativa </w:t>
      </w:r>
      <w:r w:rsidR="009461FF">
        <w:t>exigida a la</w:t>
      </w:r>
      <w:r w:rsidRPr="007B3AEC">
        <w:t xml:space="preserve"> Fundación</w:t>
      </w:r>
    </w:p>
    <w:p w:rsidR="00ED3FC1" w:rsidRDefault="00ED3FC1" w:rsidP="00FF4AA3">
      <w:pPr>
        <w:pStyle w:val="texto"/>
        <w:tabs>
          <w:tab w:val="clear" w:pos="2835"/>
          <w:tab w:val="clear" w:pos="3969"/>
          <w:tab w:val="clear" w:pos="5103"/>
          <w:tab w:val="clear" w:pos="6237"/>
          <w:tab w:val="clear" w:pos="7371"/>
        </w:tabs>
      </w:pPr>
      <w:r w:rsidRPr="00A14F8A">
        <w:rPr>
          <w:b/>
        </w:rPr>
        <w:t>4</w:t>
      </w:r>
      <w:r w:rsidR="00A14F8A">
        <w:rPr>
          <w:b/>
        </w:rPr>
        <w:t>.</w:t>
      </w:r>
      <w:r w:rsidRPr="00A14F8A">
        <w:rPr>
          <w:b/>
        </w:rPr>
        <w:t>ª</w:t>
      </w:r>
      <w:r>
        <w:t xml:space="preserve"> No constan en los expedientes analizados informes técnicos que justif</w:t>
      </w:r>
      <w:r>
        <w:t>i</w:t>
      </w:r>
      <w:r>
        <w:t>quen el importe de la subvención nominativa que contemplan los presupuestos. Parece que tal determinación se efectúa en función de</w:t>
      </w:r>
      <w:r w:rsidR="00EF19A5">
        <w:t xml:space="preserve"> </w:t>
      </w:r>
      <w:r>
        <w:t>l</w:t>
      </w:r>
      <w:r w:rsidR="00EF19A5">
        <w:t xml:space="preserve">a previsión de déficit </w:t>
      </w:r>
      <w:r>
        <w:t xml:space="preserve">estimado por la Fundación. </w:t>
      </w:r>
    </w:p>
    <w:p w:rsidR="00ED3FC1" w:rsidRDefault="00ED3FC1" w:rsidP="00FF4AA3">
      <w:pPr>
        <w:pStyle w:val="texto"/>
        <w:tabs>
          <w:tab w:val="clear" w:pos="2835"/>
          <w:tab w:val="clear" w:pos="3969"/>
          <w:tab w:val="clear" w:pos="5103"/>
          <w:tab w:val="clear" w:pos="6237"/>
          <w:tab w:val="clear" w:pos="7371"/>
        </w:tabs>
      </w:pPr>
      <w:r>
        <w:t>Por otra parte, ha de tenerse en cuenta que los representantes del INDyJ en los órganos de dirección y gestión de la Fundación –que tiene mayoría en d</w:t>
      </w:r>
      <w:r>
        <w:t>i</w:t>
      </w:r>
      <w:r>
        <w:t>chos órganos</w:t>
      </w:r>
      <w:r w:rsidR="00A14F8A">
        <w:t>–</w:t>
      </w:r>
      <w:r>
        <w:t xml:space="preserve"> son a su vez los responsables de dicho Instituto en la concesión de las subvenciones</w:t>
      </w:r>
      <w:r w:rsidR="002D674B">
        <w:t>. Por tanto</w:t>
      </w:r>
      <w:r w:rsidR="008F56F2">
        <w:t>,</w:t>
      </w:r>
      <w:r w:rsidR="002D674B">
        <w:t xml:space="preserve"> </w:t>
      </w:r>
      <w:r>
        <w:t>el Instituto dispon</w:t>
      </w:r>
      <w:r w:rsidR="002D674B">
        <w:t>ía</w:t>
      </w:r>
      <w:r>
        <w:t xml:space="preserve"> de la información econ</w:t>
      </w:r>
      <w:r>
        <w:t>ó</w:t>
      </w:r>
      <w:r>
        <w:t>mico-financiera relevante sobre el funcionamiento de dicha Fundación, pudie</w:t>
      </w:r>
      <w:r>
        <w:t>n</w:t>
      </w:r>
      <w:r>
        <w:t>do estimar, en consecuencia</w:t>
      </w:r>
      <w:r w:rsidR="006D31DC">
        <w:t>,</w:t>
      </w:r>
      <w:r>
        <w:t xml:space="preserve"> sus necesidades de financiación.</w:t>
      </w:r>
    </w:p>
    <w:p w:rsidR="00FF6396" w:rsidRPr="001C4173" w:rsidRDefault="00FF6396" w:rsidP="001C4173">
      <w:pPr>
        <w:pStyle w:val="texto"/>
        <w:tabs>
          <w:tab w:val="clear" w:pos="2835"/>
          <w:tab w:val="clear" w:pos="3969"/>
          <w:tab w:val="clear" w:pos="5103"/>
          <w:tab w:val="clear" w:pos="6237"/>
          <w:tab w:val="clear" w:pos="7371"/>
        </w:tabs>
      </w:pPr>
      <w:r>
        <w:lastRenderedPageBreak/>
        <w:t>Conviene precisar, por otra parte, que, al menos desde 2013, el informe jur</w:t>
      </w:r>
      <w:r>
        <w:t>í</w:t>
      </w:r>
      <w:r>
        <w:t xml:space="preserve">dico que acompaña al expediente de concesión pone de relieve la </w:t>
      </w:r>
      <w:r w:rsidR="007B62C8">
        <w:t>conveniencia</w:t>
      </w:r>
      <w:r>
        <w:t xml:space="preserve"> de que se abstengan en </w:t>
      </w:r>
      <w:r w:rsidR="001C4173">
        <w:t>su</w:t>
      </w:r>
      <w:r>
        <w:t xml:space="preserve"> tramitaci</w:t>
      </w:r>
      <w:r w:rsidR="001C4173">
        <w:t xml:space="preserve">ón </w:t>
      </w:r>
      <w:r>
        <w:t>los representantes del INDyJ en los ó</w:t>
      </w:r>
      <w:r>
        <w:t>r</w:t>
      </w:r>
      <w:r>
        <w:t xml:space="preserve">ganos de gobierno de la Fundación, constando tal abstención </w:t>
      </w:r>
      <w:r w:rsidR="001C4173">
        <w:t>y</w:t>
      </w:r>
      <w:r>
        <w:t xml:space="preserve"> siendo sustitu</w:t>
      </w:r>
      <w:r>
        <w:t>i</w:t>
      </w:r>
      <w:r>
        <w:t xml:space="preserve">dos los mismos por las personas habilitadas legalmente para ello. </w:t>
      </w:r>
    </w:p>
    <w:p w:rsidR="007F45AF" w:rsidRDefault="00ED3FC1" w:rsidP="00FF4AA3">
      <w:pPr>
        <w:pStyle w:val="texto"/>
        <w:tabs>
          <w:tab w:val="clear" w:pos="2835"/>
          <w:tab w:val="clear" w:pos="3969"/>
          <w:tab w:val="clear" w:pos="5103"/>
          <w:tab w:val="clear" w:pos="6237"/>
          <w:tab w:val="clear" w:pos="7371"/>
        </w:tabs>
      </w:pPr>
      <w:r w:rsidRPr="00A14F8A">
        <w:rPr>
          <w:b/>
        </w:rPr>
        <w:t>5</w:t>
      </w:r>
      <w:r w:rsidR="00A14F8A">
        <w:rPr>
          <w:b/>
        </w:rPr>
        <w:t>.</w:t>
      </w:r>
      <w:r w:rsidR="007F45AF" w:rsidRPr="00A14F8A">
        <w:rPr>
          <w:b/>
        </w:rPr>
        <w:t>ª</w:t>
      </w:r>
      <w:r w:rsidR="007F45AF">
        <w:t xml:space="preserve"> </w:t>
      </w:r>
      <w:r w:rsidR="008E6301">
        <w:t>Con carácter general, s</w:t>
      </w:r>
      <w:r w:rsidR="007F45AF">
        <w:t>e aprueban los correspondientes expedientes de concesión mediante el procedimiento establecido en la normativa, contando</w:t>
      </w:r>
      <w:r w:rsidR="008E6301">
        <w:t xml:space="preserve"> con la autorización del órgano concedente,</w:t>
      </w:r>
      <w:r w:rsidR="007F45AF">
        <w:t xml:space="preserve"> los pertinentes informes </w:t>
      </w:r>
      <w:r w:rsidR="008E6301">
        <w:t>técnicos y de</w:t>
      </w:r>
      <w:r w:rsidR="007F45AF">
        <w:t xml:space="preserve"> los servicios jurídicos y</w:t>
      </w:r>
      <w:r w:rsidR="008E6301">
        <w:t xml:space="preserve"> su fiscalización por la</w:t>
      </w:r>
      <w:r w:rsidR="007F45AF">
        <w:t xml:space="preserve"> intervención delegada. Respecto a esta última, hemos observado distintas actuaciones de la misma que se c</w:t>
      </w:r>
      <w:r w:rsidR="007F45AF">
        <w:t>o</w:t>
      </w:r>
      <w:r w:rsidR="007F45AF">
        <w:t xml:space="preserve">mentan en la conclusión </w:t>
      </w:r>
      <w:r w:rsidR="00D17679">
        <w:t>12ª</w:t>
      </w:r>
      <w:r w:rsidR="007F45AF">
        <w:t>.</w:t>
      </w:r>
    </w:p>
    <w:p w:rsidR="00616006" w:rsidRDefault="00524425" w:rsidP="00FF4AA3">
      <w:pPr>
        <w:pStyle w:val="texto"/>
        <w:tabs>
          <w:tab w:val="clear" w:pos="2835"/>
          <w:tab w:val="clear" w:pos="3969"/>
          <w:tab w:val="clear" w:pos="5103"/>
          <w:tab w:val="clear" w:pos="6237"/>
          <w:tab w:val="clear" w:pos="7371"/>
        </w:tabs>
      </w:pPr>
      <w:r>
        <w:t>No obstante</w:t>
      </w:r>
      <w:r w:rsidR="006D31DC">
        <w:t>,</w:t>
      </w:r>
      <w:r>
        <w:t xml:space="preserve"> observamos que, en determinadas ocasiones</w:t>
      </w:r>
      <w:r w:rsidR="00180FFB">
        <w:t xml:space="preserve"> y especialmente a partir de 2012</w:t>
      </w:r>
      <w:r>
        <w:t>, los expedientes de concesión se han tramitado en fechas cerc</w:t>
      </w:r>
      <w:r>
        <w:t>a</w:t>
      </w:r>
      <w:r>
        <w:t>nas al final del ejercicio, lo que dificulta su fiscalización y control. Además, podría poner en riesgo la propia viabilidad financiera de la Fundación en el s</w:t>
      </w:r>
      <w:r>
        <w:t>u</w:t>
      </w:r>
      <w:r>
        <w:t>puesto de que, finalmente, no se aprobara</w:t>
      </w:r>
      <w:r w:rsidR="000564FA">
        <w:t>n tales concesiones</w:t>
      </w:r>
      <w:r>
        <w:t xml:space="preserve"> y la citada Fund</w:t>
      </w:r>
      <w:r>
        <w:t>a</w:t>
      </w:r>
      <w:r>
        <w:t>ción ya h</w:t>
      </w:r>
      <w:r w:rsidR="000564FA">
        <w:t>ubiera</w:t>
      </w:r>
      <w:r>
        <w:t xml:space="preserve"> ejecutado la actividad subvencionada. </w:t>
      </w:r>
    </w:p>
    <w:p w:rsidR="00524425" w:rsidRDefault="00616006" w:rsidP="00FF4AA3">
      <w:pPr>
        <w:pStyle w:val="texto"/>
        <w:tabs>
          <w:tab w:val="clear" w:pos="2835"/>
          <w:tab w:val="clear" w:pos="3969"/>
          <w:tab w:val="clear" w:pos="5103"/>
          <w:tab w:val="clear" w:pos="6237"/>
          <w:tab w:val="clear" w:pos="7371"/>
        </w:tabs>
      </w:pPr>
      <w:r>
        <w:t>Igualmente hemos de destacar que la concesión de las ayudas a los deporti</w:t>
      </w:r>
      <w:r>
        <w:t>s</w:t>
      </w:r>
      <w:r>
        <w:t xml:space="preserve">tas/técnicos se ampara </w:t>
      </w:r>
      <w:r w:rsidR="002D674B">
        <w:t xml:space="preserve">fundamentalmente </w:t>
      </w:r>
      <w:r>
        <w:t>en los resultados deportivos obten</w:t>
      </w:r>
      <w:r>
        <w:t>i</w:t>
      </w:r>
      <w:r>
        <w:t>dos por los mismos el año anterior al de concesión de la subvención.</w:t>
      </w:r>
      <w:r w:rsidR="00524425">
        <w:t xml:space="preserve"> </w:t>
      </w:r>
    </w:p>
    <w:p w:rsidR="007F45AF" w:rsidRPr="007375CA" w:rsidRDefault="003071BA" w:rsidP="00FF4AA3">
      <w:pPr>
        <w:pStyle w:val="texto"/>
        <w:tabs>
          <w:tab w:val="clear" w:pos="2835"/>
          <w:tab w:val="clear" w:pos="3969"/>
          <w:tab w:val="clear" w:pos="5103"/>
          <w:tab w:val="clear" w:pos="6237"/>
          <w:tab w:val="clear" w:pos="7371"/>
        </w:tabs>
      </w:pPr>
      <w:r w:rsidRPr="00A14F8A">
        <w:rPr>
          <w:b/>
        </w:rPr>
        <w:t>6</w:t>
      </w:r>
      <w:r w:rsidR="00A14F8A">
        <w:rPr>
          <w:b/>
        </w:rPr>
        <w:t>.</w:t>
      </w:r>
      <w:r w:rsidR="007F45AF" w:rsidRPr="00A14F8A">
        <w:rPr>
          <w:b/>
        </w:rPr>
        <w:t>ª</w:t>
      </w:r>
      <w:r w:rsidR="007F45AF">
        <w:t xml:space="preserve"> Hasta 2011, estas subvenciones se instrumentalizan a través de convenios de colaboración entre el INDyJ y la Fundación; después de ese ejercicio, se formalizan mediante las oportunas </w:t>
      </w:r>
      <w:r w:rsidR="003B6851">
        <w:t xml:space="preserve">resoluciones que contienen las </w:t>
      </w:r>
      <w:r w:rsidR="007F45AF">
        <w:t>bases regul</w:t>
      </w:r>
      <w:r w:rsidR="007F45AF">
        <w:t>a</w:t>
      </w:r>
      <w:r w:rsidR="007F45AF">
        <w:t xml:space="preserve">doras. </w:t>
      </w:r>
      <w:r w:rsidR="007F45AF" w:rsidRPr="007375CA">
        <w:t>En ambos instrumentos se reconoce la compatibilidad de estas subve</w:t>
      </w:r>
      <w:r w:rsidR="007F45AF" w:rsidRPr="007375CA">
        <w:t>n</w:t>
      </w:r>
      <w:r w:rsidR="007F45AF" w:rsidRPr="007375CA">
        <w:t>ciones con otras que pudieran ser concedidas por el propio Gobierno de Nav</w:t>
      </w:r>
      <w:r w:rsidR="007F45AF" w:rsidRPr="007375CA">
        <w:t>a</w:t>
      </w:r>
      <w:r w:rsidR="007F45AF" w:rsidRPr="007375CA">
        <w:t>rra, por otras administraciones públicas o por otros entes públicos o privados nacionales o internacionales.</w:t>
      </w:r>
    </w:p>
    <w:p w:rsidR="00482F93" w:rsidRDefault="00170A61" w:rsidP="00FF4AA3">
      <w:pPr>
        <w:pStyle w:val="texto"/>
        <w:tabs>
          <w:tab w:val="clear" w:pos="2835"/>
          <w:tab w:val="clear" w:pos="3969"/>
          <w:tab w:val="clear" w:pos="5103"/>
          <w:tab w:val="clear" w:pos="6237"/>
          <w:tab w:val="clear" w:pos="7371"/>
        </w:tabs>
      </w:pPr>
      <w:r w:rsidRPr="00A14F8A">
        <w:rPr>
          <w:b/>
        </w:rPr>
        <w:t>7</w:t>
      </w:r>
      <w:r w:rsidR="00A14F8A">
        <w:rPr>
          <w:b/>
        </w:rPr>
        <w:t>.</w:t>
      </w:r>
      <w:r w:rsidR="00CC4DC2" w:rsidRPr="00A14F8A">
        <w:rPr>
          <w:b/>
        </w:rPr>
        <w:t>ª</w:t>
      </w:r>
      <w:r w:rsidR="00CC4DC2">
        <w:t xml:space="preserve"> Sobre los </w:t>
      </w:r>
      <w:r w:rsidR="00482F93">
        <w:t>con</w:t>
      </w:r>
      <w:r w:rsidR="00DB77B0">
        <w:t>v</w:t>
      </w:r>
      <w:r w:rsidR="00482F93">
        <w:t>enios de colaboración</w:t>
      </w:r>
      <w:r w:rsidR="00CC4DC2">
        <w:t xml:space="preserve"> firmados</w:t>
      </w:r>
      <w:r w:rsidR="00482F93">
        <w:t>, destac</w:t>
      </w:r>
      <w:r w:rsidR="00DB77B0">
        <w:t>a</w:t>
      </w:r>
      <w:r w:rsidR="00482F93">
        <w:t>mos:</w:t>
      </w:r>
    </w:p>
    <w:p w:rsidR="00DB77B0" w:rsidRDefault="00DB77B0"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Los correspondientes al periodo de 2005 a 2008 contemplaban un pago único para el pago de la subvención. Posteriormente se introduce el abono en dos y hasta en tres plazos.</w:t>
      </w:r>
    </w:p>
    <w:p w:rsidR="00104363" w:rsidRDefault="00DB77B0"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 xml:space="preserve">En los de </w:t>
      </w:r>
      <w:r w:rsidRPr="00197A61">
        <w:t>pago único</w:t>
      </w:r>
      <w:r w:rsidR="00830CE0" w:rsidRPr="00197A61">
        <w:t xml:space="preserve"> </w:t>
      </w:r>
      <w:r w:rsidR="00830CE0" w:rsidRPr="00830CE0">
        <w:t>–convenios de 2005 a 2008</w:t>
      </w:r>
      <w:r w:rsidR="00A14F8A">
        <w:t>–</w:t>
      </w:r>
      <w:r>
        <w:t xml:space="preserve">, </w:t>
      </w:r>
      <w:r w:rsidR="00104363">
        <w:t>se contemplaba la ex</w:t>
      </w:r>
      <w:r w:rsidR="00104363">
        <w:t>i</w:t>
      </w:r>
      <w:r w:rsidR="00104363">
        <w:t>gencia de la siguiente documentación</w:t>
      </w:r>
      <w:r w:rsidR="00830CE0">
        <w:t>:</w:t>
      </w:r>
      <w:r w:rsidR="00104363">
        <w:t xml:space="preserve"> </w:t>
      </w:r>
    </w:p>
    <w:p w:rsidR="00DB77B0" w:rsidRDefault="00104363" w:rsidP="00FF4AA3">
      <w:pPr>
        <w:pStyle w:val="texto"/>
        <w:tabs>
          <w:tab w:val="clear" w:pos="2835"/>
          <w:tab w:val="clear" w:pos="3969"/>
          <w:tab w:val="clear" w:pos="5103"/>
          <w:tab w:val="clear" w:pos="6237"/>
          <w:tab w:val="clear" w:pos="7371"/>
          <w:tab w:val="left" w:pos="480"/>
          <w:tab w:val="num" w:pos="720"/>
          <w:tab w:val="num" w:pos="928"/>
          <w:tab w:val="num" w:pos="6597"/>
        </w:tabs>
        <w:ind w:left="290" w:firstLine="0"/>
      </w:pPr>
      <w:r>
        <w:t>a) C</w:t>
      </w:r>
      <w:r w:rsidR="00DB77B0">
        <w:t>omo requisito previo</w:t>
      </w:r>
      <w:r w:rsidR="00830CE0">
        <w:t xml:space="preserve"> al pago</w:t>
      </w:r>
      <w:r>
        <w:t>,</w:t>
      </w:r>
      <w:r w:rsidR="00DB77B0">
        <w:t xml:space="preserve"> que la Fundaci</w:t>
      </w:r>
      <w:r w:rsidR="00A1386C">
        <w:t xml:space="preserve">ón aportara </w:t>
      </w:r>
      <w:r w:rsidR="00F116E7">
        <w:t xml:space="preserve">al INDyJ </w:t>
      </w:r>
      <w:r w:rsidR="00A1386C">
        <w:t>bás</w:t>
      </w:r>
      <w:r w:rsidR="00A1386C">
        <w:t>i</w:t>
      </w:r>
      <w:r w:rsidR="00A1386C">
        <w:t xml:space="preserve">camente </w:t>
      </w:r>
      <w:r w:rsidR="00F116E7">
        <w:t>la siguiente documentación</w:t>
      </w:r>
      <w:r w:rsidR="00DB77B0">
        <w:t>:</w:t>
      </w:r>
    </w:p>
    <w:p w:rsidR="00DB77B0" w:rsidRDefault="001F7894" w:rsidP="00FF4AA3">
      <w:pPr>
        <w:pStyle w:val="texto"/>
        <w:tabs>
          <w:tab w:val="clear" w:pos="2835"/>
          <w:tab w:val="clear" w:pos="3969"/>
          <w:tab w:val="clear" w:pos="5103"/>
          <w:tab w:val="clear" w:pos="6237"/>
          <w:tab w:val="clear" w:pos="7371"/>
        </w:tabs>
        <w:ind w:left="284" w:firstLine="0"/>
      </w:pPr>
      <w:r>
        <w:t xml:space="preserve">a.1) </w:t>
      </w:r>
      <w:r w:rsidR="00DB77B0">
        <w:t>Memoria deportiva y económica del año anterior</w:t>
      </w:r>
      <w:r w:rsidR="00A1386C">
        <w:t>.</w:t>
      </w:r>
    </w:p>
    <w:p w:rsidR="00DB77B0" w:rsidRDefault="001F7894" w:rsidP="00FF4AA3">
      <w:pPr>
        <w:pStyle w:val="texto"/>
        <w:tabs>
          <w:tab w:val="clear" w:pos="2835"/>
          <w:tab w:val="clear" w:pos="3969"/>
          <w:tab w:val="clear" w:pos="5103"/>
          <w:tab w:val="clear" w:pos="6237"/>
          <w:tab w:val="clear" w:pos="7371"/>
        </w:tabs>
        <w:ind w:left="284" w:firstLine="0"/>
      </w:pPr>
      <w:r>
        <w:t xml:space="preserve">a.2) </w:t>
      </w:r>
      <w:r w:rsidR="00DB77B0">
        <w:t>Balance y cuenta de resultados del ejercicio anterior</w:t>
      </w:r>
      <w:r w:rsidR="00A1386C">
        <w:t>.</w:t>
      </w:r>
    </w:p>
    <w:p w:rsidR="00DB77B0" w:rsidRDefault="001F7894" w:rsidP="00FF4AA3">
      <w:pPr>
        <w:pStyle w:val="texto"/>
        <w:tabs>
          <w:tab w:val="clear" w:pos="2835"/>
          <w:tab w:val="clear" w:pos="3969"/>
          <w:tab w:val="clear" w:pos="5103"/>
          <w:tab w:val="clear" w:pos="6237"/>
          <w:tab w:val="clear" w:pos="7371"/>
        </w:tabs>
        <w:ind w:left="284" w:firstLine="0"/>
      </w:pPr>
      <w:r>
        <w:t xml:space="preserve">a.3) </w:t>
      </w:r>
      <w:r w:rsidR="00F116E7">
        <w:t>Actas del Comité Ejecutivo y del Patronato del año anterior</w:t>
      </w:r>
      <w:r w:rsidR="00A1386C">
        <w:t>.</w:t>
      </w:r>
    </w:p>
    <w:p w:rsidR="00F116E7" w:rsidRDefault="001F7894" w:rsidP="00FF4AA3">
      <w:pPr>
        <w:pStyle w:val="texto"/>
        <w:tabs>
          <w:tab w:val="clear" w:pos="2835"/>
          <w:tab w:val="clear" w:pos="3969"/>
          <w:tab w:val="clear" w:pos="5103"/>
          <w:tab w:val="clear" w:pos="6237"/>
          <w:tab w:val="clear" w:pos="7371"/>
        </w:tabs>
        <w:ind w:left="284" w:firstLine="0"/>
      </w:pPr>
      <w:r>
        <w:lastRenderedPageBreak/>
        <w:t xml:space="preserve">a.4) </w:t>
      </w:r>
      <w:r w:rsidR="00F116E7">
        <w:t>Proyecto deportivo del ejercicio</w:t>
      </w:r>
      <w:r w:rsidR="00A1386C">
        <w:t>.</w:t>
      </w:r>
    </w:p>
    <w:p w:rsidR="00F116E7" w:rsidRDefault="001F7894" w:rsidP="00FF4AA3">
      <w:pPr>
        <w:pStyle w:val="texto"/>
        <w:tabs>
          <w:tab w:val="clear" w:pos="2835"/>
          <w:tab w:val="clear" w:pos="3969"/>
          <w:tab w:val="clear" w:pos="5103"/>
          <w:tab w:val="clear" w:pos="6237"/>
          <w:tab w:val="clear" w:pos="7371"/>
        </w:tabs>
        <w:ind w:left="284" w:firstLine="0"/>
      </w:pPr>
      <w:r>
        <w:t xml:space="preserve">a.5) </w:t>
      </w:r>
      <w:r w:rsidR="00F116E7">
        <w:t>Relación nominal de facturas o justificantes de gastos con su anotación contable, por un importe como mínimo igual al de la subvención concedida.</w:t>
      </w:r>
    </w:p>
    <w:p w:rsidR="00DB77B0" w:rsidRDefault="00104363" w:rsidP="00FF4AA3">
      <w:pPr>
        <w:pStyle w:val="texto"/>
        <w:tabs>
          <w:tab w:val="clear" w:pos="2835"/>
          <w:tab w:val="clear" w:pos="3969"/>
          <w:tab w:val="clear" w:pos="5103"/>
          <w:tab w:val="clear" w:pos="6237"/>
          <w:tab w:val="clear" w:pos="7371"/>
        </w:tabs>
      </w:pPr>
      <w:r>
        <w:t xml:space="preserve">b) </w:t>
      </w:r>
      <w:r w:rsidR="00CC4DC2">
        <w:t>Así mismo, la Fundación deberá asumir las siguientes obligaciones</w:t>
      </w:r>
      <w:r>
        <w:t>:</w:t>
      </w:r>
    </w:p>
    <w:p w:rsidR="00F116E7" w:rsidRDefault="001F7894" w:rsidP="00FF4AA3">
      <w:pPr>
        <w:pStyle w:val="texto"/>
        <w:tabs>
          <w:tab w:val="clear" w:pos="2835"/>
          <w:tab w:val="clear" w:pos="3969"/>
          <w:tab w:val="clear" w:pos="5103"/>
          <w:tab w:val="clear" w:pos="6237"/>
          <w:tab w:val="clear" w:pos="7371"/>
        </w:tabs>
        <w:ind w:left="284" w:firstLine="0"/>
      </w:pPr>
      <w:r>
        <w:t xml:space="preserve">b.1) </w:t>
      </w:r>
      <w:r w:rsidR="00F116E7">
        <w:t>Destinar las cantidades aportadas por el INDyJ a los fines por los que se conceden</w:t>
      </w:r>
      <w:r w:rsidR="00A1386C">
        <w:t xml:space="preserve"> y registrarlas en su contabilidad</w:t>
      </w:r>
      <w:r w:rsidR="00104363">
        <w:t>.</w:t>
      </w:r>
    </w:p>
    <w:p w:rsidR="00104363" w:rsidRDefault="001F7894" w:rsidP="00FF4AA3">
      <w:pPr>
        <w:pStyle w:val="texto"/>
        <w:tabs>
          <w:tab w:val="clear" w:pos="2835"/>
          <w:tab w:val="clear" w:pos="3969"/>
          <w:tab w:val="clear" w:pos="5103"/>
          <w:tab w:val="clear" w:pos="6237"/>
          <w:tab w:val="clear" w:pos="7371"/>
        </w:tabs>
        <w:ind w:left="284" w:firstLine="0"/>
      </w:pPr>
      <w:r>
        <w:t xml:space="preserve">b.2) </w:t>
      </w:r>
      <w:r w:rsidR="00104363">
        <w:t>Presentar en el primer trimestre del año siguiente al de la concesión: memoria deportiva y económica, balance, cuentas de resultados y actas del ejercicio de concesión de la subvención.</w:t>
      </w:r>
    </w:p>
    <w:p w:rsidR="00104363" w:rsidRDefault="001F7894" w:rsidP="00FF4AA3">
      <w:pPr>
        <w:pStyle w:val="texto"/>
        <w:tabs>
          <w:tab w:val="clear" w:pos="2835"/>
          <w:tab w:val="clear" w:pos="3969"/>
          <w:tab w:val="clear" w:pos="5103"/>
          <w:tab w:val="clear" w:pos="6237"/>
          <w:tab w:val="clear" w:pos="7371"/>
        </w:tabs>
        <w:ind w:left="284" w:firstLine="0"/>
      </w:pPr>
      <w:r>
        <w:t xml:space="preserve">b.3) </w:t>
      </w:r>
      <w:r w:rsidR="00104363">
        <w:t>Publicitar la subvención concedida</w:t>
      </w:r>
      <w:r w:rsidR="00A1386C">
        <w:t>.</w:t>
      </w:r>
    </w:p>
    <w:p w:rsidR="00104363" w:rsidRPr="001F7894" w:rsidRDefault="001F7894" w:rsidP="00FF4AA3">
      <w:pPr>
        <w:pStyle w:val="texto"/>
        <w:tabs>
          <w:tab w:val="clear" w:pos="2835"/>
          <w:tab w:val="clear" w:pos="3969"/>
          <w:tab w:val="clear" w:pos="5103"/>
          <w:tab w:val="clear" w:pos="6237"/>
          <w:tab w:val="clear" w:pos="7371"/>
        </w:tabs>
        <w:ind w:left="284" w:firstLine="0"/>
      </w:pPr>
      <w:r>
        <w:t xml:space="preserve">b.4) </w:t>
      </w:r>
      <w:r w:rsidR="00104363" w:rsidRPr="001F7894">
        <w:t>Acreditar mediante una declaración responsable que la elección de pr</w:t>
      </w:r>
      <w:r w:rsidR="00104363" w:rsidRPr="001F7894">
        <w:t>o</w:t>
      </w:r>
      <w:r w:rsidR="00104363" w:rsidRPr="001F7894">
        <w:t>veedores se ha realizado de acuerdo a criterios de eficiencia y a precios de mercado.</w:t>
      </w:r>
    </w:p>
    <w:p w:rsidR="00104363" w:rsidRPr="003606BE" w:rsidRDefault="001F7894" w:rsidP="00FF4AA3">
      <w:pPr>
        <w:pStyle w:val="texto"/>
        <w:tabs>
          <w:tab w:val="clear" w:pos="2835"/>
          <w:tab w:val="clear" w:pos="3969"/>
          <w:tab w:val="clear" w:pos="5103"/>
          <w:tab w:val="clear" w:pos="6237"/>
          <w:tab w:val="clear" w:pos="7371"/>
        </w:tabs>
        <w:ind w:left="284" w:firstLine="0"/>
        <w:rPr>
          <w:spacing w:val="2"/>
        </w:rPr>
      </w:pPr>
      <w:r>
        <w:t xml:space="preserve">b.5) </w:t>
      </w:r>
      <w:r w:rsidR="00104363" w:rsidRPr="001F7894">
        <w:t>Admitir cua</w:t>
      </w:r>
      <w:r w:rsidR="00104363" w:rsidRPr="003606BE">
        <w:rPr>
          <w:spacing w:val="2"/>
        </w:rPr>
        <w:t>ntas comprobaciones considere conveniente realizar el INDyJ.</w:t>
      </w:r>
    </w:p>
    <w:p w:rsidR="00482F93" w:rsidRDefault="00104363"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 xml:space="preserve">En los </w:t>
      </w:r>
      <w:r w:rsidR="00830CE0">
        <w:t xml:space="preserve">convenios </w:t>
      </w:r>
      <w:r>
        <w:t xml:space="preserve">de </w:t>
      </w:r>
      <w:r w:rsidRPr="00197A61">
        <w:t xml:space="preserve">pago </w:t>
      </w:r>
      <w:r w:rsidR="00A1386C" w:rsidRPr="00197A61">
        <w:t xml:space="preserve">en </w:t>
      </w:r>
      <w:r w:rsidR="00883270" w:rsidRPr="00197A61">
        <w:t>dos</w:t>
      </w:r>
      <w:r w:rsidR="00A1386C" w:rsidRPr="00197A61">
        <w:t xml:space="preserve"> plazos</w:t>
      </w:r>
      <w:r w:rsidR="00830CE0" w:rsidRPr="00197A61">
        <w:t xml:space="preserve"> –2</w:t>
      </w:r>
      <w:r w:rsidR="00830CE0" w:rsidRPr="00830CE0">
        <w:t>009 y 2010</w:t>
      </w:r>
      <w:r w:rsidR="00A14F8A">
        <w:t>–</w:t>
      </w:r>
      <w:r w:rsidR="00A1386C">
        <w:t>, la documentación a aportar por la Fundación era la siguiente:</w:t>
      </w:r>
    </w:p>
    <w:p w:rsidR="00A1386C" w:rsidRDefault="007E57C8" w:rsidP="00FF4AA3">
      <w:pPr>
        <w:pStyle w:val="texto"/>
        <w:tabs>
          <w:tab w:val="clear" w:pos="2835"/>
          <w:tab w:val="clear" w:pos="3969"/>
          <w:tab w:val="clear" w:pos="5103"/>
          <w:tab w:val="clear" w:pos="6237"/>
          <w:tab w:val="clear" w:pos="7371"/>
        </w:tabs>
      </w:pPr>
      <w:r>
        <w:t>a)</w:t>
      </w:r>
      <w:r w:rsidR="00A1386C">
        <w:t xml:space="preserve"> Con carácter previo a la firma del convenio: memoria deportiva y econ</w:t>
      </w:r>
      <w:r w:rsidR="00A1386C">
        <w:t>ó</w:t>
      </w:r>
      <w:r w:rsidR="00A1386C">
        <w:t>mica, balance, cuentas de resultados y actas del ejercicio anterior de la conc</w:t>
      </w:r>
      <w:r w:rsidR="00A1386C">
        <w:t>e</w:t>
      </w:r>
      <w:r w:rsidR="00A1386C">
        <w:t>sión y proyecto deportivo</w:t>
      </w:r>
      <w:r w:rsidR="002C1EB8">
        <w:t xml:space="preserve"> y económico</w:t>
      </w:r>
      <w:r w:rsidR="00A1386C">
        <w:t xml:space="preserve"> del ejercicio de concesión.</w:t>
      </w:r>
    </w:p>
    <w:p w:rsidR="00A1386C" w:rsidRDefault="00A1386C" w:rsidP="00FF4AA3">
      <w:pPr>
        <w:pStyle w:val="texto"/>
        <w:tabs>
          <w:tab w:val="clear" w:pos="2835"/>
          <w:tab w:val="clear" w:pos="3969"/>
          <w:tab w:val="clear" w:pos="5103"/>
          <w:tab w:val="clear" w:pos="6237"/>
          <w:tab w:val="clear" w:pos="7371"/>
        </w:tabs>
      </w:pPr>
      <w:r>
        <w:t>b) En el primer pago, se abonará el importe de subvención que pueda estar justificado</w:t>
      </w:r>
      <w:r w:rsidRPr="00A1386C">
        <w:t xml:space="preserve"> </w:t>
      </w:r>
      <w:r>
        <w:t>con una relación nominal de facturas o justificantes de gastos con su anotación contable</w:t>
      </w:r>
      <w:r w:rsidR="00AD795C">
        <w:t xml:space="preserve"> y sellada y firmada por los órganos competentes de la Fu</w:t>
      </w:r>
      <w:r w:rsidR="00AD795C">
        <w:t>n</w:t>
      </w:r>
      <w:r w:rsidR="00AD795C">
        <w:t>dación</w:t>
      </w:r>
      <w:r>
        <w:t>.</w:t>
      </w:r>
    </w:p>
    <w:p w:rsidR="00A1386C" w:rsidRDefault="00A1386C" w:rsidP="00FF4AA3">
      <w:pPr>
        <w:pStyle w:val="texto"/>
        <w:tabs>
          <w:tab w:val="clear" w:pos="2835"/>
          <w:tab w:val="clear" w:pos="3969"/>
          <w:tab w:val="clear" w:pos="5103"/>
          <w:tab w:val="clear" w:pos="6237"/>
          <w:tab w:val="clear" w:pos="7371"/>
        </w:tabs>
      </w:pPr>
      <w:r>
        <w:t>c) Antes del 1 de diciembre del ejercicio</w:t>
      </w:r>
      <w:r w:rsidR="00883270">
        <w:t xml:space="preserve"> y para el segundo plazo y último</w:t>
      </w:r>
      <w:r>
        <w:t>, una relación nominal de facturas o justificantes de gastos con su anotación co</w:t>
      </w:r>
      <w:r>
        <w:t>n</w:t>
      </w:r>
      <w:r>
        <w:t>table,</w:t>
      </w:r>
      <w:r w:rsidR="00AD795C" w:rsidRPr="00AD795C">
        <w:t xml:space="preserve"> </w:t>
      </w:r>
      <w:r w:rsidR="00AD795C">
        <w:t>selladas y firmadas por los órganos competentes de la Fundación y</w:t>
      </w:r>
      <w:r>
        <w:t xml:space="preserve"> por un importe como mínimo igual al de la subvención concedida</w:t>
      </w:r>
      <w:r w:rsidR="00883270">
        <w:t>.</w:t>
      </w:r>
    </w:p>
    <w:p w:rsidR="00883270" w:rsidRDefault="00883270" w:rsidP="00FF4AA3">
      <w:pPr>
        <w:pStyle w:val="texto"/>
        <w:tabs>
          <w:tab w:val="clear" w:pos="2835"/>
          <w:tab w:val="clear" w:pos="3969"/>
          <w:tab w:val="clear" w:pos="5103"/>
          <w:tab w:val="clear" w:pos="6237"/>
          <w:tab w:val="clear" w:pos="7371"/>
        </w:tabs>
      </w:pPr>
      <w:r>
        <w:t xml:space="preserve">d) Además deberá </w:t>
      </w:r>
      <w:r w:rsidR="00CC4DC2">
        <w:t>cumplir las obligaciones</w:t>
      </w:r>
      <w:r>
        <w:t xml:space="preserve"> señalada</w:t>
      </w:r>
      <w:r w:rsidR="00C246CE">
        <w:t>s</w:t>
      </w:r>
      <w:r>
        <w:t xml:space="preserve"> en la letra b) de</w:t>
      </w:r>
      <w:r w:rsidR="00CC4DC2">
        <w:t xml:space="preserve"> </w:t>
      </w:r>
      <w:r>
        <w:t>l</w:t>
      </w:r>
      <w:r w:rsidR="00CC4DC2">
        <w:t>os</w:t>
      </w:r>
      <w:r>
        <w:t xml:space="preserve"> convenio</w:t>
      </w:r>
      <w:r w:rsidR="00CC4DC2">
        <w:t>s</w:t>
      </w:r>
      <w:r>
        <w:t xml:space="preserve"> de pago único.</w:t>
      </w:r>
    </w:p>
    <w:p w:rsidR="00104363" w:rsidRDefault="007E57C8"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En el convenio de 201</w:t>
      </w:r>
      <w:r w:rsidR="00883270">
        <w:t>1</w:t>
      </w:r>
      <w:r w:rsidR="00830CE0">
        <w:t xml:space="preserve">, además de </w:t>
      </w:r>
      <w:r w:rsidR="00CC4DC2">
        <w:t>establecer la fórmula de</w:t>
      </w:r>
      <w:r w:rsidR="00830CE0">
        <w:t xml:space="preserve"> </w:t>
      </w:r>
      <w:r w:rsidR="00830CE0" w:rsidRPr="009461FF">
        <w:t>tres pagos</w:t>
      </w:r>
      <w:r w:rsidR="00CC4DC2">
        <w:t>, s</w:t>
      </w:r>
      <w:r w:rsidR="00CC4DC2">
        <w:t>e</w:t>
      </w:r>
      <w:r w:rsidR="00CC4DC2">
        <w:t>ñala la siguiente documentación a presentar por la Fundación:</w:t>
      </w:r>
    </w:p>
    <w:p w:rsidR="00CC4DC2" w:rsidRDefault="002B2F18" w:rsidP="00FF4AA3">
      <w:pPr>
        <w:pStyle w:val="texto"/>
        <w:tabs>
          <w:tab w:val="clear" w:pos="2835"/>
          <w:tab w:val="clear" w:pos="3969"/>
          <w:tab w:val="clear" w:pos="5103"/>
          <w:tab w:val="clear" w:pos="6237"/>
          <w:tab w:val="clear" w:pos="7371"/>
        </w:tabs>
      </w:pPr>
      <w:r>
        <w:t>a)</w:t>
      </w:r>
      <w:r w:rsidR="00CC4DC2">
        <w:t xml:space="preserve"> Cuenta justificativa de gastos e ingresos</w:t>
      </w:r>
      <w:r w:rsidR="00C246CE">
        <w:t>: cuenta de resultados del proye</w:t>
      </w:r>
      <w:r w:rsidR="00C246CE">
        <w:t>c</w:t>
      </w:r>
      <w:r w:rsidR="00C246CE">
        <w:t>to del ejercicio, relación de facturas/justificantes de gastos abonadas, relación de todos los ingresos recibidos –tanto de entidades públicas como privadas</w:t>
      </w:r>
      <w:r w:rsidR="00971852">
        <w:t>–</w:t>
      </w:r>
      <w:r w:rsidR="00C246CE">
        <w:t xml:space="preserve"> y facturas originales de gastos y su correspondiente abono.</w:t>
      </w:r>
    </w:p>
    <w:p w:rsidR="00C246CE" w:rsidRDefault="00C246CE" w:rsidP="00FF4AA3">
      <w:pPr>
        <w:pStyle w:val="texto"/>
        <w:tabs>
          <w:tab w:val="clear" w:pos="2835"/>
          <w:tab w:val="clear" w:pos="3969"/>
          <w:tab w:val="clear" w:pos="5103"/>
          <w:tab w:val="clear" w:pos="6237"/>
          <w:tab w:val="clear" w:pos="7371"/>
        </w:tabs>
      </w:pPr>
      <w:r>
        <w:lastRenderedPageBreak/>
        <w:t>b) Memoria deportiva y de evaluación, con inclusión tanto de las actividades deportivas ya ejecutadas como del impacto y evaluación de tales actividades en Navarra.</w:t>
      </w:r>
    </w:p>
    <w:p w:rsidR="00C246CE" w:rsidRDefault="00C246CE" w:rsidP="00FF4AA3">
      <w:pPr>
        <w:pStyle w:val="texto"/>
        <w:tabs>
          <w:tab w:val="clear" w:pos="2835"/>
          <w:tab w:val="clear" w:pos="3969"/>
          <w:tab w:val="clear" w:pos="5103"/>
          <w:tab w:val="clear" w:pos="6237"/>
          <w:tab w:val="clear" w:pos="7371"/>
        </w:tabs>
      </w:pPr>
      <w:r>
        <w:t>c) Memoria de presencia institucional</w:t>
      </w:r>
    </w:p>
    <w:p w:rsidR="00C246CE" w:rsidRDefault="00C246CE" w:rsidP="00FF4AA3">
      <w:pPr>
        <w:pStyle w:val="texto"/>
        <w:tabs>
          <w:tab w:val="clear" w:pos="2835"/>
          <w:tab w:val="clear" w:pos="3969"/>
          <w:tab w:val="clear" w:pos="5103"/>
          <w:tab w:val="clear" w:pos="6237"/>
          <w:tab w:val="clear" w:pos="7371"/>
        </w:tabs>
      </w:pPr>
      <w:r>
        <w:t>d) Además</w:t>
      </w:r>
      <w:r w:rsidR="006D31DC">
        <w:t>,</w:t>
      </w:r>
      <w:r>
        <w:t xml:space="preserve"> asumirá las obligaciones señaladas en el punto b) de los conv</w:t>
      </w:r>
      <w:r>
        <w:t>e</w:t>
      </w:r>
      <w:r>
        <w:t>nios de pago único, con dos peculiaridades relevantes que se introducen expr</w:t>
      </w:r>
      <w:r>
        <w:t>e</w:t>
      </w:r>
      <w:r>
        <w:t>samente como novedades:</w:t>
      </w:r>
    </w:p>
    <w:p w:rsidR="00C246CE" w:rsidRDefault="001F7894" w:rsidP="00FF4AA3">
      <w:pPr>
        <w:pStyle w:val="texto"/>
        <w:tabs>
          <w:tab w:val="clear" w:pos="2835"/>
          <w:tab w:val="clear" w:pos="3969"/>
          <w:tab w:val="clear" w:pos="5103"/>
          <w:tab w:val="clear" w:pos="6237"/>
          <w:tab w:val="clear" w:pos="7371"/>
        </w:tabs>
      </w:pPr>
      <w:r>
        <w:t xml:space="preserve">d.1) </w:t>
      </w:r>
      <w:r w:rsidR="00C246CE">
        <w:t>El impor</w:t>
      </w:r>
      <w:r w:rsidR="00A16AD4">
        <w:t>te de todos los ingresos, cual</w:t>
      </w:r>
      <w:r w:rsidR="00C246CE">
        <w:t>quiera que sea su origen, no p</w:t>
      </w:r>
      <w:r w:rsidR="00C246CE">
        <w:t>o</w:t>
      </w:r>
      <w:r w:rsidR="00C246CE">
        <w:t>drán superar el coste de la actividad desarrollada.</w:t>
      </w:r>
    </w:p>
    <w:p w:rsidR="00C246CE" w:rsidRDefault="001F7894" w:rsidP="00FF4AA3">
      <w:pPr>
        <w:pStyle w:val="texto"/>
        <w:tabs>
          <w:tab w:val="clear" w:pos="2835"/>
          <w:tab w:val="clear" w:pos="3969"/>
          <w:tab w:val="clear" w:pos="5103"/>
          <w:tab w:val="clear" w:pos="6237"/>
          <w:tab w:val="clear" w:pos="7371"/>
        </w:tabs>
      </w:pPr>
      <w:r>
        <w:t xml:space="preserve">d.2) </w:t>
      </w:r>
      <w:r w:rsidR="00C246CE">
        <w:t xml:space="preserve">Estar al corriente del cumplimiento de sus obligaciones fiscales y de la </w:t>
      </w:r>
      <w:r w:rsidR="008F56F2">
        <w:t>S</w:t>
      </w:r>
      <w:r w:rsidR="00C246CE">
        <w:t xml:space="preserve">eguridad Social. </w:t>
      </w:r>
    </w:p>
    <w:p w:rsidR="007375CA" w:rsidRDefault="007375CA" w:rsidP="00FF4AA3">
      <w:pPr>
        <w:pStyle w:val="texto"/>
        <w:tabs>
          <w:tab w:val="clear" w:pos="2835"/>
          <w:tab w:val="clear" w:pos="3969"/>
          <w:tab w:val="clear" w:pos="5103"/>
          <w:tab w:val="clear" w:pos="6237"/>
          <w:tab w:val="clear" w:pos="7371"/>
        </w:tabs>
      </w:pPr>
      <w:r w:rsidRPr="00971852">
        <w:rPr>
          <w:b/>
        </w:rPr>
        <w:t>8</w:t>
      </w:r>
      <w:r w:rsidR="00971852" w:rsidRPr="00971852">
        <w:rPr>
          <w:b/>
        </w:rPr>
        <w:t>.</w:t>
      </w:r>
      <w:r w:rsidRPr="00971852">
        <w:rPr>
          <w:b/>
        </w:rPr>
        <w:t xml:space="preserve">ª </w:t>
      </w:r>
      <w:r>
        <w:t xml:space="preserve">A partir del ejercicio de 2012, la concesión de la subvención nominativa se </w:t>
      </w:r>
      <w:r w:rsidR="0078433C">
        <w:t>rige</w:t>
      </w:r>
      <w:r>
        <w:t xml:space="preserve"> por </w:t>
      </w:r>
      <w:r w:rsidR="003C6207">
        <w:t xml:space="preserve">unas </w:t>
      </w:r>
      <w:r>
        <w:t>bases reguladoras</w:t>
      </w:r>
      <w:r w:rsidR="003B6851">
        <w:t xml:space="preserve"> más detalladas</w:t>
      </w:r>
      <w:r>
        <w:t>.</w:t>
      </w:r>
      <w:r w:rsidR="001E4E1B">
        <w:t xml:space="preserve"> En ellas se contempla el p</w:t>
      </w:r>
      <w:r w:rsidR="001E4E1B">
        <w:t>a</w:t>
      </w:r>
      <w:r w:rsidR="001E4E1B">
        <w:t>go único para el abono de la subvención.</w:t>
      </w:r>
      <w:r w:rsidR="003B6851">
        <w:t xml:space="preserve"> </w:t>
      </w:r>
      <w:r w:rsidR="003C6207">
        <w:t>Así mismo, d</w:t>
      </w:r>
      <w:r w:rsidR="003B6851">
        <w:t>estacamos:</w:t>
      </w:r>
    </w:p>
    <w:p w:rsidR="007375CA" w:rsidRDefault="007375CA"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 xml:space="preserve">En las </w:t>
      </w:r>
      <w:r w:rsidR="003B6851">
        <w:t xml:space="preserve">citadas </w:t>
      </w:r>
      <w:r>
        <w:t>bases se regula de forma exhaustiva tanto el p</w:t>
      </w:r>
      <w:r w:rsidR="00135051">
        <w:t>ro</w:t>
      </w:r>
      <w:r>
        <w:t>grama</w:t>
      </w:r>
      <w:r w:rsidR="00135051">
        <w:t xml:space="preserve"> co</w:t>
      </w:r>
      <w:r w:rsidR="00135051">
        <w:t>n</w:t>
      </w:r>
      <w:r w:rsidR="00135051">
        <w:t>creto</w:t>
      </w:r>
      <w:r>
        <w:t xml:space="preserve"> de la Fundación que</w:t>
      </w:r>
      <w:r w:rsidR="00135051">
        <w:t xml:space="preserve"> apoya el Gobierno de Navarra con sus subvenciones –</w:t>
      </w:r>
      <w:r w:rsidR="002B2F18">
        <w:t>“</w:t>
      </w:r>
      <w:r w:rsidR="00135051">
        <w:t>ayudas a deportistas/técnicos olímpicos por resultados</w:t>
      </w:r>
      <w:r w:rsidR="002B2F18">
        <w:t>”</w:t>
      </w:r>
      <w:r w:rsidR="00971852">
        <w:t>–</w:t>
      </w:r>
      <w:r w:rsidR="00135051">
        <w:t>, el coste del mismo estimado por la citada Fundación, la naturaleza de la</w:t>
      </w:r>
      <w:r w:rsidR="00851265">
        <w:t>s</w:t>
      </w:r>
      <w:r w:rsidR="00135051">
        <w:t xml:space="preserve"> ayuda</w:t>
      </w:r>
      <w:r w:rsidR="00851265">
        <w:t>s a conceder por la Fundación</w:t>
      </w:r>
      <w:r w:rsidR="00135051">
        <w:t xml:space="preserve"> y los requisitos</w:t>
      </w:r>
      <w:r w:rsidR="002B2F18">
        <w:t>/criterios</w:t>
      </w:r>
      <w:r w:rsidR="008E4E9A">
        <w:rPr>
          <w:rStyle w:val="Refdenotaalpie"/>
        </w:rPr>
        <w:footnoteReference w:id="3"/>
      </w:r>
      <w:r w:rsidR="00135051">
        <w:t xml:space="preserve"> que han de cumplir los posibles percept</w:t>
      </w:r>
      <w:r w:rsidR="00135051">
        <w:t>o</w:t>
      </w:r>
      <w:r w:rsidR="00135051">
        <w:t>res de dichas ayudas</w:t>
      </w:r>
      <w:r w:rsidR="00FA6CE5">
        <w:t xml:space="preserve"> sobre su resultados deportivos obtenidos el año anterior.</w:t>
      </w:r>
    </w:p>
    <w:p w:rsidR="007F45AF" w:rsidRDefault="00345559"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Como justificación de la aplicación de la subvención, la Fundación deberá asumir las siguientes obligaciones</w:t>
      </w:r>
      <w:r w:rsidR="00135051">
        <w:t>:</w:t>
      </w:r>
    </w:p>
    <w:p w:rsidR="002B2F18" w:rsidRDefault="00197A61" w:rsidP="00FF4AA3">
      <w:pPr>
        <w:pStyle w:val="texto"/>
        <w:tabs>
          <w:tab w:val="clear" w:pos="2835"/>
          <w:tab w:val="clear" w:pos="3969"/>
          <w:tab w:val="clear" w:pos="5103"/>
          <w:tab w:val="clear" w:pos="6237"/>
          <w:tab w:val="clear" w:pos="7371"/>
        </w:tabs>
      </w:pPr>
      <w:r>
        <w:t xml:space="preserve">a) </w:t>
      </w:r>
      <w:r w:rsidR="002B2F18">
        <w:t>Justificación de todos los gastos abonados e ingreso</w:t>
      </w:r>
      <w:r w:rsidR="00345559">
        <w:t>s</w:t>
      </w:r>
      <w:r w:rsidR="002B2F18">
        <w:t xml:space="preserve"> obtenidos por la Fundación relativos al programa subvencionado con i</w:t>
      </w:r>
      <w:r w:rsidR="00345559">
        <w:t>dentificación del tercero, concepto, fecha del cobro/pago</w:t>
      </w:r>
      <w:r w:rsidR="00EA4060">
        <w:t>. A esta documentación se unirá la</w:t>
      </w:r>
      <w:r w:rsidR="00345559">
        <w:t xml:space="preserve"> memoria d</w:t>
      </w:r>
      <w:r w:rsidR="00345559">
        <w:t>e</w:t>
      </w:r>
      <w:r w:rsidR="00345559">
        <w:t xml:space="preserve">portiva del programa y </w:t>
      </w:r>
      <w:r w:rsidR="00EA4060">
        <w:t xml:space="preserve">la </w:t>
      </w:r>
      <w:r w:rsidR="00345559">
        <w:t>memoria de presencia institucional.</w:t>
      </w:r>
    </w:p>
    <w:p w:rsidR="00135051" w:rsidRDefault="00197A61" w:rsidP="00FF4AA3">
      <w:pPr>
        <w:pStyle w:val="texto"/>
        <w:tabs>
          <w:tab w:val="clear" w:pos="2835"/>
          <w:tab w:val="clear" w:pos="3969"/>
          <w:tab w:val="clear" w:pos="5103"/>
          <w:tab w:val="clear" w:pos="6237"/>
          <w:tab w:val="clear" w:pos="7371"/>
        </w:tabs>
      </w:pPr>
      <w:r>
        <w:t xml:space="preserve">b) </w:t>
      </w:r>
      <w:r w:rsidR="00135051">
        <w:t>Estar al corriente de sus obligaciones fiscales y con la Seguridad Social.</w:t>
      </w:r>
      <w:r w:rsidR="00971852">
        <w:t xml:space="preserve"> </w:t>
      </w:r>
    </w:p>
    <w:p w:rsidR="00135051" w:rsidRDefault="00197A61" w:rsidP="00FF4AA3">
      <w:pPr>
        <w:pStyle w:val="texto"/>
        <w:tabs>
          <w:tab w:val="clear" w:pos="2835"/>
          <w:tab w:val="clear" w:pos="3969"/>
          <w:tab w:val="clear" w:pos="5103"/>
          <w:tab w:val="clear" w:pos="6237"/>
          <w:tab w:val="clear" w:pos="7371"/>
        </w:tabs>
      </w:pPr>
      <w:r>
        <w:t xml:space="preserve">c) </w:t>
      </w:r>
      <w:r w:rsidR="00135051">
        <w:t>Comunicar al INDyJ las subvenciones o ayudas percibidas por la Fund</w:t>
      </w:r>
      <w:r w:rsidR="00135051">
        <w:t>a</w:t>
      </w:r>
      <w:r w:rsidR="00135051">
        <w:t>ción con la finalidad de apoyar el programa</w:t>
      </w:r>
      <w:r w:rsidR="002B2F18">
        <w:t xml:space="preserve"> concreto</w:t>
      </w:r>
      <w:r w:rsidR="00135051">
        <w:t xml:space="preserve"> subvencionado por el G</w:t>
      </w:r>
      <w:r w:rsidR="00135051">
        <w:t>o</w:t>
      </w:r>
      <w:r w:rsidR="00135051">
        <w:t>bierno de Navarra.</w:t>
      </w:r>
    </w:p>
    <w:p w:rsidR="00851265" w:rsidRDefault="00197A61" w:rsidP="00FF4AA3">
      <w:pPr>
        <w:pStyle w:val="texto"/>
        <w:tabs>
          <w:tab w:val="clear" w:pos="2835"/>
          <w:tab w:val="clear" w:pos="3969"/>
          <w:tab w:val="clear" w:pos="5103"/>
          <w:tab w:val="clear" w:pos="6237"/>
          <w:tab w:val="clear" w:pos="7371"/>
        </w:tabs>
      </w:pPr>
      <w:r>
        <w:t xml:space="preserve">d) </w:t>
      </w:r>
      <w:r w:rsidR="00851265">
        <w:t>El conjunto de ingresos percibidos por la Fundación no podrá superar el coste total del programa financiado.</w:t>
      </w:r>
    </w:p>
    <w:p w:rsidR="00135051" w:rsidRDefault="00197A61" w:rsidP="00FF4AA3">
      <w:pPr>
        <w:pStyle w:val="texto"/>
        <w:tabs>
          <w:tab w:val="clear" w:pos="2835"/>
          <w:tab w:val="clear" w:pos="3969"/>
          <w:tab w:val="clear" w:pos="5103"/>
          <w:tab w:val="clear" w:pos="6237"/>
          <w:tab w:val="clear" w:pos="7371"/>
        </w:tabs>
      </w:pPr>
      <w:r>
        <w:t xml:space="preserve">e) </w:t>
      </w:r>
      <w:r w:rsidR="00135051">
        <w:t>Se contempla expresamente el mecanismo de reintegro de la subvención, en el supuesto de no eje</w:t>
      </w:r>
      <w:r w:rsidR="001E4E1B">
        <w:t>cutarse la actividad financiada</w:t>
      </w:r>
      <w:r w:rsidR="00185432">
        <w:t xml:space="preserve"> en las condiciones pa</w:t>
      </w:r>
      <w:r w:rsidR="00185432">
        <w:t>c</w:t>
      </w:r>
      <w:r w:rsidR="00185432">
        <w:lastRenderedPageBreak/>
        <w:t>tadas</w:t>
      </w:r>
      <w:r w:rsidR="001E4E1B">
        <w:t xml:space="preserve"> así como el régimen de responsabilidades y sancionador que pudiera d</w:t>
      </w:r>
      <w:r w:rsidR="001E4E1B">
        <w:t>e</w:t>
      </w:r>
      <w:r w:rsidR="001E4E1B">
        <w:t>rivarse de una inadecuada aplicación de la subvención.</w:t>
      </w:r>
    </w:p>
    <w:p w:rsidR="007F45AF" w:rsidRPr="00EA4060" w:rsidRDefault="00197A61" w:rsidP="00FF4AA3">
      <w:pPr>
        <w:pStyle w:val="texto"/>
        <w:tabs>
          <w:tab w:val="clear" w:pos="2835"/>
          <w:tab w:val="clear" w:pos="3969"/>
          <w:tab w:val="clear" w:pos="5103"/>
          <w:tab w:val="clear" w:pos="6237"/>
          <w:tab w:val="clear" w:pos="7371"/>
        </w:tabs>
        <w:spacing w:after="360"/>
      </w:pPr>
      <w:r>
        <w:t xml:space="preserve">f) </w:t>
      </w:r>
      <w:r w:rsidR="001E4E1B">
        <w:t>Obligaciones de transparencia establecidas en la normativa vigente.</w:t>
      </w:r>
    </w:p>
    <w:p w:rsidR="00E55D80" w:rsidRPr="00197A61" w:rsidRDefault="00E55D80" w:rsidP="00FF4AA3">
      <w:pPr>
        <w:pStyle w:val="atitulo3"/>
        <w:spacing w:after="120"/>
        <w:rPr>
          <w:spacing w:val="6"/>
        </w:rPr>
      </w:pPr>
      <w:r w:rsidRPr="00197A61">
        <w:rPr>
          <w:spacing w:val="6"/>
        </w:rPr>
        <w:t xml:space="preserve">Control </w:t>
      </w:r>
      <w:r w:rsidR="00784D20" w:rsidRPr="00197A61">
        <w:rPr>
          <w:spacing w:val="6"/>
        </w:rPr>
        <w:t xml:space="preserve">interno </w:t>
      </w:r>
      <w:r w:rsidRPr="00197A61">
        <w:rPr>
          <w:spacing w:val="6"/>
        </w:rPr>
        <w:t>sobre la aplicación efectiva de las subvenciones recibidas</w:t>
      </w:r>
    </w:p>
    <w:p w:rsidR="00786D29" w:rsidRDefault="00786D29" w:rsidP="00FF4AA3">
      <w:pPr>
        <w:pStyle w:val="texto"/>
        <w:tabs>
          <w:tab w:val="clear" w:pos="2835"/>
          <w:tab w:val="clear" w:pos="3969"/>
          <w:tab w:val="clear" w:pos="5103"/>
          <w:tab w:val="clear" w:pos="6237"/>
          <w:tab w:val="clear" w:pos="7371"/>
        </w:tabs>
      </w:pPr>
      <w:r w:rsidRPr="00971852">
        <w:rPr>
          <w:b/>
        </w:rPr>
        <w:t>9</w:t>
      </w:r>
      <w:r w:rsidR="00971852" w:rsidRPr="00971852">
        <w:rPr>
          <w:b/>
        </w:rPr>
        <w:t>.</w:t>
      </w:r>
      <w:r w:rsidRPr="00971852">
        <w:rPr>
          <w:b/>
        </w:rPr>
        <w:t>ª</w:t>
      </w:r>
      <w:r>
        <w:t xml:space="preserve"> Sobre el control realizado por el INDyJ sobre la aplicación de </w:t>
      </w:r>
      <w:r w:rsidR="00383A2E">
        <w:t xml:space="preserve">dichas subvenciones, </w:t>
      </w:r>
      <w:r>
        <w:t>insisti</w:t>
      </w:r>
      <w:r w:rsidR="00383A2E">
        <w:t>mos, como primer aspecto a reseñar,</w:t>
      </w:r>
      <w:r>
        <w:t xml:space="preserve"> en el hecho de que los </w:t>
      </w:r>
      <w:r w:rsidR="00383A2E">
        <w:t>representantes del INDyJ</w:t>
      </w:r>
      <w:r>
        <w:t xml:space="preserve"> forman parte</w:t>
      </w:r>
      <w:r w:rsidR="00383A2E">
        <w:t xml:space="preserve"> mayoritaria</w:t>
      </w:r>
      <w:r>
        <w:t xml:space="preserve"> de los órganos de dire</w:t>
      </w:r>
      <w:r>
        <w:t>c</w:t>
      </w:r>
      <w:r>
        <w:t>ción y gestión de la Fundación.</w:t>
      </w:r>
      <w:r w:rsidR="00383A2E">
        <w:t xml:space="preserve"> </w:t>
      </w:r>
    </w:p>
    <w:p w:rsidR="00E55D80" w:rsidRDefault="00786D29" w:rsidP="00FF4AA3">
      <w:pPr>
        <w:pStyle w:val="texto"/>
        <w:tabs>
          <w:tab w:val="clear" w:pos="2835"/>
          <w:tab w:val="clear" w:pos="3969"/>
          <w:tab w:val="clear" w:pos="5103"/>
          <w:tab w:val="clear" w:pos="6237"/>
          <w:tab w:val="clear" w:pos="7371"/>
        </w:tabs>
      </w:pPr>
      <w:r w:rsidRPr="00971852">
        <w:rPr>
          <w:b/>
        </w:rPr>
        <w:t>10</w:t>
      </w:r>
      <w:r w:rsidR="00971852" w:rsidRPr="00971852">
        <w:rPr>
          <w:b/>
        </w:rPr>
        <w:t>.</w:t>
      </w:r>
      <w:r w:rsidR="00EA4060" w:rsidRPr="00971852">
        <w:rPr>
          <w:b/>
        </w:rPr>
        <w:t xml:space="preserve">ª </w:t>
      </w:r>
      <w:r w:rsidR="00EA4060">
        <w:t>En el periodo en que las subvenciones estaban reguladas por convenios de colaboración</w:t>
      </w:r>
      <w:r w:rsidR="00EF19A5">
        <w:t>, ejercicios de 2005 a 2011</w:t>
      </w:r>
      <w:r w:rsidR="00EA4060">
        <w:t xml:space="preserve">, podemos </w:t>
      </w:r>
      <w:r w:rsidR="009E58AB">
        <w:t xml:space="preserve">calificar </w:t>
      </w:r>
      <w:r w:rsidR="00FF6396">
        <w:t xml:space="preserve">como limitado </w:t>
      </w:r>
      <w:r w:rsidR="009E58AB">
        <w:t>el</w:t>
      </w:r>
      <w:r w:rsidR="00EA4060">
        <w:t xml:space="preserve"> control ejerci</w:t>
      </w:r>
      <w:r w:rsidR="009E58AB">
        <w:t>do</w:t>
      </w:r>
      <w:r w:rsidR="00EA4060">
        <w:t xml:space="preserve"> por el INDyJ </w:t>
      </w:r>
      <w:r w:rsidR="009E58AB">
        <w:t>sobre la aplicación efectiva de las subvenciones por la Fundación. En ello influyen especialmente los siguientes aspectos:</w:t>
      </w:r>
    </w:p>
    <w:p w:rsidR="009E58AB" w:rsidRDefault="009E58AB"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El objeto de la subvención esté escasamente especificado</w:t>
      </w:r>
      <w:r w:rsidR="00383A2E">
        <w:t xml:space="preserve"> o precisado</w:t>
      </w:r>
      <w:r>
        <w:t xml:space="preserve">. En consecuencia, la revisión se centra </w:t>
      </w:r>
      <w:r w:rsidR="00AD6624">
        <w:t xml:space="preserve">básicamente </w:t>
      </w:r>
      <w:r>
        <w:t>en el conjunto de actividades desarrolladas por la Fundación.</w:t>
      </w:r>
    </w:p>
    <w:p w:rsidR="00786D29" w:rsidRDefault="00786D29"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La documentación exigida es muy amplia, lo que exige una gran dedic</w:t>
      </w:r>
      <w:r>
        <w:t>a</w:t>
      </w:r>
      <w:r>
        <w:t xml:space="preserve">ción en su revisión, lo que no siempre es posible además de </w:t>
      </w:r>
      <w:r w:rsidR="007B3AEC">
        <w:t xml:space="preserve">presentar </w:t>
      </w:r>
      <w:r>
        <w:t>escasos resultados en la práctica.</w:t>
      </w:r>
    </w:p>
    <w:p w:rsidR="009E58AB" w:rsidRPr="00EA4060" w:rsidRDefault="009E58AB"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Salvo en 2011, que s</w:t>
      </w:r>
      <w:r w:rsidR="00524425">
        <w:t>í</w:t>
      </w:r>
      <w:r>
        <w:t xml:space="preserve"> se exigen como requisitos</w:t>
      </w:r>
      <w:r w:rsidR="00AD6624">
        <w:t xml:space="preserve"> en el convenio</w:t>
      </w:r>
      <w:r>
        <w:t xml:space="preserve">, en el resto de </w:t>
      </w:r>
      <w:r w:rsidR="00180FFB">
        <w:t>convenios no se contemplan</w:t>
      </w:r>
      <w:r w:rsidR="008E4E9A">
        <w:t xml:space="preserve"> expresamente</w:t>
      </w:r>
      <w:r w:rsidR="00180FFB">
        <w:t xml:space="preserve"> </w:t>
      </w:r>
      <w:r w:rsidR="008E4E9A">
        <w:t>exigencias</w:t>
      </w:r>
      <w:r w:rsidR="00180FFB">
        <w:t xml:space="preserve"> tales como</w:t>
      </w:r>
      <w:r>
        <w:t>: cumpl</w:t>
      </w:r>
      <w:r>
        <w:t>i</w:t>
      </w:r>
      <w:r>
        <w:t xml:space="preserve">miento de sus obligaciones fiscales y que los ingresos percibidos </w:t>
      </w:r>
      <w:r w:rsidR="003B6851">
        <w:t xml:space="preserve">no </w:t>
      </w:r>
      <w:r>
        <w:t xml:space="preserve">superen el coste total de la actividad desarrollada. </w:t>
      </w:r>
    </w:p>
    <w:p w:rsidR="00971852" w:rsidRDefault="009E58AB" w:rsidP="00FF4AA3">
      <w:pPr>
        <w:pStyle w:val="texto"/>
        <w:tabs>
          <w:tab w:val="clear" w:pos="2835"/>
          <w:tab w:val="clear" w:pos="3969"/>
          <w:tab w:val="clear" w:pos="5103"/>
          <w:tab w:val="clear" w:pos="6237"/>
          <w:tab w:val="clear" w:pos="7371"/>
        </w:tabs>
      </w:pPr>
      <w:r w:rsidRPr="00971852">
        <w:rPr>
          <w:b/>
        </w:rPr>
        <w:t>1</w:t>
      </w:r>
      <w:r w:rsidR="00786D29" w:rsidRPr="00971852">
        <w:rPr>
          <w:b/>
        </w:rPr>
        <w:t>1</w:t>
      </w:r>
      <w:r w:rsidR="00971852" w:rsidRPr="00971852">
        <w:rPr>
          <w:b/>
        </w:rPr>
        <w:t>.</w:t>
      </w:r>
      <w:r w:rsidRPr="00971852">
        <w:rPr>
          <w:b/>
        </w:rPr>
        <w:t xml:space="preserve">ª </w:t>
      </w:r>
      <w:r>
        <w:t xml:space="preserve">Con la introducción de las bases reguladoras, ese control pasa a ser </w:t>
      </w:r>
      <w:r w:rsidR="008F56F2">
        <w:t>más</w:t>
      </w:r>
      <w:r>
        <w:t xml:space="preserve"> exhaustivo</w:t>
      </w:r>
      <w:r w:rsidR="008F56F2">
        <w:t xml:space="preserve"> y riguroso</w:t>
      </w:r>
      <w:r w:rsidR="00786D29">
        <w:t>, revisándose tanto la justificación concreta aportada c</w:t>
      </w:r>
      <w:r w:rsidR="00786D29">
        <w:t>o</w:t>
      </w:r>
      <w:r w:rsidR="00786D29">
        <w:t>mo su aplicación efectiva.</w:t>
      </w:r>
      <w:r>
        <w:t xml:space="preserve"> En este</w:t>
      </w:r>
      <w:r w:rsidR="008C6B0E" w:rsidRPr="00EA4060">
        <w:t xml:space="preserve"> cambio incide esencialmente</w:t>
      </w:r>
      <w:r>
        <w:t xml:space="preserve"> tanto el cont</w:t>
      </w:r>
      <w:r>
        <w:t>e</w:t>
      </w:r>
      <w:r>
        <w:t>nido</w:t>
      </w:r>
      <w:r w:rsidR="00786D29">
        <w:t xml:space="preserve"> y exigencias</w:t>
      </w:r>
      <w:r>
        <w:t xml:space="preserve"> de dichas bases</w:t>
      </w:r>
      <w:r w:rsidR="00383A2E">
        <w:t xml:space="preserve"> y</w:t>
      </w:r>
      <w:r>
        <w:t xml:space="preserve"> la </w:t>
      </w:r>
      <w:r w:rsidR="00786D29">
        <w:t>concreción de la actividad subvencion</w:t>
      </w:r>
      <w:r w:rsidR="00786D29">
        <w:t>a</w:t>
      </w:r>
      <w:r w:rsidR="00786D29">
        <w:t>da</w:t>
      </w:r>
      <w:r w:rsidR="00383A2E">
        <w:t xml:space="preserve"> como</w:t>
      </w:r>
      <w:r w:rsidR="00786D29">
        <w:t xml:space="preserve"> </w:t>
      </w:r>
      <w:r w:rsidR="00A24C40">
        <w:t>la</w:t>
      </w:r>
      <w:r w:rsidR="00383A2E">
        <w:t>s</w:t>
      </w:r>
      <w:r w:rsidR="00A24C40">
        <w:t xml:space="preserve"> acciones</w:t>
      </w:r>
      <w:r w:rsidR="00383A2E">
        <w:t xml:space="preserve"> de fiscalización llevadas a cabo por la</w:t>
      </w:r>
      <w:r>
        <w:t xml:space="preserve"> intervención del</w:t>
      </w:r>
      <w:r>
        <w:t>e</w:t>
      </w:r>
      <w:r>
        <w:t>gada.</w:t>
      </w:r>
    </w:p>
    <w:p w:rsidR="00DD7824" w:rsidRDefault="00DD7824" w:rsidP="00FF4AA3">
      <w:pPr>
        <w:pStyle w:val="texto"/>
        <w:tabs>
          <w:tab w:val="clear" w:pos="2835"/>
          <w:tab w:val="clear" w:pos="3969"/>
          <w:tab w:val="clear" w:pos="5103"/>
          <w:tab w:val="clear" w:pos="6237"/>
          <w:tab w:val="clear" w:pos="7371"/>
        </w:tabs>
      </w:pPr>
      <w:r w:rsidRPr="00971852">
        <w:rPr>
          <w:b/>
        </w:rPr>
        <w:t>12</w:t>
      </w:r>
      <w:r w:rsidR="00971852" w:rsidRPr="00971852">
        <w:rPr>
          <w:b/>
        </w:rPr>
        <w:t>.</w:t>
      </w:r>
      <w:r w:rsidRPr="00971852">
        <w:rPr>
          <w:b/>
        </w:rPr>
        <w:t xml:space="preserve">ª </w:t>
      </w:r>
      <w:r>
        <w:t>Actuación de la intervención delegada en el INDyJ. En el periodo rev</w:t>
      </w:r>
      <w:r>
        <w:t>i</w:t>
      </w:r>
      <w:r>
        <w:t xml:space="preserve">sado, este servicio ha </w:t>
      </w:r>
      <w:r w:rsidR="00EF19A5">
        <w:t>formulado reparos en</w:t>
      </w:r>
      <w:r>
        <w:t xml:space="preserve"> la concesión de subvenciones a la Fundación de los siguientes ejercicios:</w:t>
      </w:r>
    </w:p>
    <w:p w:rsidR="00DD7824" w:rsidRDefault="00DD7824"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Subvención plan extraordinario de lucha contra el dopaje de 2005</w:t>
      </w:r>
      <w:r w:rsidR="001F7894">
        <w:t>.</w:t>
      </w:r>
    </w:p>
    <w:p w:rsidR="00DD7824" w:rsidRDefault="00DD7824"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Subvención anual 2012</w:t>
      </w:r>
      <w:r w:rsidR="001F7894">
        <w:t>.</w:t>
      </w:r>
    </w:p>
    <w:p w:rsidR="00DD7824" w:rsidRDefault="00DD7824"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Subvención anual 2013</w:t>
      </w:r>
      <w:r w:rsidR="001F7894">
        <w:t>.</w:t>
      </w:r>
    </w:p>
    <w:p w:rsidR="00DD7824" w:rsidRDefault="00DD7824"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Subvención anual 2014</w:t>
      </w:r>
      <w:r w:rsidR="001F7894">
        <w:t>.</w:t>
      </w:r>
    </w:p>
    <w:p w:rsidR="00DD7824" w:rsidRDefault="00DD7824"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Subvención anual 2015</w:t>
      </w:r>
      <w:r w:rsidR="001F7894">
        <w:t>.</w:t>
      </w:r>
    </w:p>
    <w:p w:rsidR="00DD7824" w:rsidRDefault="0014707F" w:rsidP="00FF4AA3">
      <w:pPr>
        <w:pStyle w:val="texto"/>
        <w:tabs>
          <w:tab w:val="clear" w:pos="2835"/>
          <w:tab w:val="clear" w:pos="3969"/>
          <w:tab w:val="clear" w:pos="5103"/>
          <w:tab w:val="clear" w:pos="6237"/>
          <w:tab w:val="clear" w:pos="7371"/>
        </w:tabs>
      </w:pPr>
      <w:r>
        <w:lastRenderedPageBreak/>
        <w:t>De estos reparos, destacamos</w:t>
      </w:r>
      <w:r w:rsidR="00DD7824">
        <w:t xml:space="preserve"> básicamente </w:t>
      </w:r>
      <w:r>
        <w:t>los siguientes aspectos</w:t>
      </w:r>
      <w:r w:rsidR="00DD7824">
        <w:t>:</w:t>
      </w:r>
    </w:p>
    <w:p w:rsidR="0014707F" w:rsidRDefault="0014707F"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Salvo el de 2013</w:t>
      </w:r>
      <w:r w:rsidR="006D31DC">
        <w:t>,</w:t>
      </w:r>
      <w:r>
        <w:t xml:space="preserve"> que es suspensivo, el resto de reparos son no suspens</w:t>
      </w:r>
      <w:r>
        <w:t>i</w:t>
      </w:r>
      <w:r>
        <w:t xml:space="preserve">vos. El de 2013, </w:t>
      </w:r>
      <w:r w:rsidR="00603B46">
        <w:t xml:space="preserve">además de no resolverse la discrepancia, </w:t>
      </w:r>
      <w:r>
        <w:t>implicó la retirada del expediente y la tramitación de uno nuevo.</w:t>
      </w:r>
    </w:p>
    <w:p w:rsidR="002D674B" w:rsidRDefault="00EF19A5"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Sobre</w:t>
      </w:r>
      <w:r w:rsidR="00DD7824">
        <w:t xml:space="preserve"> la tramitación del expediente a fiscalizar que, en concretos ejerc</w:t>
      </w:r>
      <w:r w:rsidR="00DD7824">
        <w:t>i</w:t>
      </w:r>
      <w:r w:rsidR="00DD7824">
        <w:t>cios, incluye</w:t>
      </w:r>
      <w:r w:rsidR="00DD7824" w:rsidRPr="00782FFD">
        <w:t xml:space="preserve"> </w:t>
      </w:r>
      <w:r w:rsidR="00DD7824">
        <w:t>todas las fases del mismo: autorización del gasto, aprobación de las bases reguladoras, concesión de la subvención y abono de la misma o su p</w:t>
      </w:r>
      <w:r w:rsidR="00DD7824">
        <w:t>a</w:t>
      </w:r>
      <w:r w:rsidR="00DD7824">
        <w:t>se a resultas</w:t>
      </w:r>
      <w:r w:rsidR="0014707F">
        <w:t>; a</w:t>
      </w:r>
      <w:r w:rsidR="00DD7824">
        <w:t>demás han sido presentados, en algunos casos, a finales de d</w:t>
      </w:r>
      <w:r w:rsidR="00DD7824">
        <w:t>i</w:t>
      </w:r>
      <w:r w:rsidR="00DD7824">
        <w:t>ciembre del año de concesión.</w:t>
      </w:r>
      <w:r w:rsidR="0014707F">
        <w:t xml:space="preserve"> Esta forma de actuar “perjudica y limita el co</w:t>
      </w:r>
      <w:r w:rsidR="0014707F">
        <w:t>n</w:t>
      </w:r>
      <w:r w:rsidR="0014707F">
        <w:t>trol y la fiscalización a realizar”.</w:t>
      </w:r>
      <w:r w:rsidR="002D674B">
        <w:t xml:space="preserve"> </w:t>
      </w:r>
    </w:p>
    <w:p w:rsidR="00DD7824" w:rsidRPr="00603B46" w:rsidRDefault="002D674B" w:rsidP="002D674B">
      <w:pPr>
        <w:pStyle w:val="texto"/>
        <w:tabs>
          <w:tab w:val="clear" w:pos="2835"/>
          <w:tab w:val="clear" w:pos="3969"/>
          <w:tab w:val="clear" w:pos="5103"/>
          <w:tab w:val="clear" w:pos="6237"/>
          <w:tab w:val="clear" w:pos="7371"/>
        </w:tabs>
      </w:pPr>
      <w:r w:rsidRPr="00603B46">
        <w:t>No obstante, también conviene precisar</w:t>
      </w:r>
      <w:r w:rsidR="00B71B78">
        <w:t>, por nuestra parte,</w:t>
      </w:r>
      <w:r w:rsidRPr="00603B46">
        <w:t xml:space="preserve"> que la política de bloqueo de partidas aplicada por el Gobierno de Navarra para controlar el déf</w:t>
      </w:r>
      <w:r w:rsidRPr="00603B46">
        <w:t>i</w:t>
      </w:r>
      <w:r w:rsidRPr="00603B46">
        <w:t>cit presupuestario</w:t>
      </w:r>
      <w:r w:rsidR="00603B46" w:rsidRPr="00603B46">
        <w:t>, supuso en retraso en la tramitación de la concesión de su</w:t>
      </w:r>
      <w:r w:rsidR="00603B46" w:rsidRPr="00603B46">
        <w:t>b</w:t>
      </w:r>
      <w:r w:rsidR="00603B46" w:rsidRPr="00603B46">
        <w:t>venciones.</w:t>
      </w:r>
      <w:r w:rsidRPr="00603B46">
        <w:t xml:space="preserve"> </w:t>
      </w:r>
    </w:p>
    <w:p w:rsidR="00DD7824" w:rsidRDefault="00DD7824"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La anterior tramitación se realiza una vez que la Fundación ya ha ejecutado los gastos objeto de subvención.</w:t>
      </w:r>
    </w:p>
    <w:p w:rsidR="0014707F" w:rsidRDefault="0014707F"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Se observa una información insuficiente sobre los ingresos obtenidos por la Fundación.</w:t>
      </w:r>
    </w:p>
    <w:p w:rsidR="00DD7824" w:rsidRDefault="00DD7824"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spacing w:after="240"/>
        <w:ind w:left="0" w:firstLine="289"/>
      </w:pPr>
      <w:r>
        <w:t>No siempre estaba perfectamente concretado el importe del déficit a fina</w:t>
      </w:r>
      <w:r>
        <w:t>n</w:t>
      </w:r>
      <w:r>
        <w:t>ciar con la subvención.</w:t>
      </w:r>
    </w:p>
    <w:p w:rsidR="00EA4060" w:rsidRPr="007B3AEC" w:rsidRDefault="00784D20" w:rsidP="00FF4AA3">
      <w:pPr>
        <w:pStyle w:val="atitulo3"/>
        <w:spacing w:after="120"/>
      </w:pPr>
      <w:r>
        <w:t>Revisión de los expedientes de concesión efectuada por la Cámara de Comptos</w:t>
      </w:r>
      <w:r w:rsidR="00383A2E">
        <w:t xml:space="preserve"> </w:t>
      </w:r>
    </w:p>
    <w:p w:rsidR="0080218D" w:rsidRDefault="002D161C" w:rsidP="00FF4AA3">
      <w:pPr>
        <w:pStyle w:val="texto"/>
        <w:tabs>
          <w:tab w:val="clear" w:pos="2835"/>
          <w:tab w:val="clear" w:pos="3969"/>
          <w:tab w:val="clear" w:pos="5103"/>
          <w:tab w:val="clear" w:pos="6237"/>
          <w:tab w:val="clear" w:pos="7371"/>
        </w:tabs>
      </w:pPr>
      <w:r w:rsidRPr="00971852">
        <w:rPr>
          <w:b/>
        </w:rPr>
        <w:t>13</w:t>
      </w:r>
      <w:r w:rsidR="00971852" w:rsidRPr="00971852">
        <w:rPr>
          <w:b/>
        </w:rPr>
        <w:t>.</w:t>
      </w:r>
      <w:r w:rsidRPr="00971852">
        <w:rPr>
          <w:b/>
        </w:rPr>
        <w:t xml:space="preserve">ª </w:t>
      </w:r>
      <w:r>
        <w:t>De la revisión efectuada por esta Cámara se concluye que todos los ga</w:t>
      </w:r>
      <w:r>
        <w:t>s</w:t>
      </w:r>
      <w:r>
        <w:t>tos e ingresos presentados por la Fundación para justificar su actividad están, en términos generales, respaldados documentalmente y reflejados en sus extra</w:t>
      </w:r>
      <w:r>
        <w:t>c</w:t>
      </w:r>
      <w:r>
        <w:t>tos bancarios.</w:t>
      </w:r>
      <w:r w:rsidR="0080218D">
        <w:t xml:space="preserve"> Igualmente apreciamos en la Fundación una evolución positiva en materia de justificación de la subvenciones.</w:t>
      </w:r>
      <w:r>
        <w:t xml:space="preserve"> </w:t>
      </w:r>
    </w:p>
    <w:p w:rsidR="002D161C" w:rsidRDefault="002D161C" w:rsidP="00FF4AA3">
      <w:pPr>
        <w:pStyle w:val="texto"/>
        <w:tabs>
          <w:tab w:val="clear" w:pos="2835"/>
          <w:tab w:val="clear" w:pos="3969"/>
          <w:tab w:val="clear" w:pos="5103"/>
          <w:tab w:val="clear" w:pos="6237"/>
          <w:tab w:val="clear" w:pos="7371"/>
        </w:tabs>
      </w:pPr>
      <w:r>
        <w:t>No obstante</w:t>
      </w:r>
      <w:r w:rsidR="006D31DC">
        <w:t>,</w:t>
      </w:r>
      <w:r>
        <w:t xml:space="preserve"> hemos observado las siguientes incidencias</w:t>
      </w:r>
      <w:r w:rsidR="00AD5D0A">
        <w:t>, especialmente cuando la subvención se regulaba mediante convenio</w:t>
      </w:r>
      <w:r w:rsidR="002D674B">
        <w:t xml:space="preserve"> (hasta 2011)</w:t>
      </w:r>
      <w:r>
        <w:t>:</w:t>
      </w:r>
    </w:p>
    <w:p w:rsidR="002D161C" w:rsidRDefault="002D161C"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No siempre hay coherencia interna entre las liquidaciones finales y bala</w:t>
      </w:r>
      <w:r>
        <w:t>n</w:t>
      </w:r>
      <w:r>
        <w:t>ces de gastos e ingresos presentados</w:t>
      </w:r>
      <w:r w:rsidR="00784D20">
        <w:t xml:space="preserve"> al INDyJ</w:t>
      </w:r>
      <w:r>
        <w:t xml:space="preserve"> con los estados financieros de sus cuentas anuales.</w:t>
      </w:r>
    </w:p>
    <w:p w:rsidR="002D161C" w:rsidRDefault="00AD5D0A"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L</w:t>
      </w:r>
      <w:r w:rsidR="002D161C">
        <w:t>a Fundació</w:t>
      </w:r>
      <w:r w:rsidR="00980D22">
        <w:t xml:space="preserve">n no siempre informaba </w:t>
      </w:r>
      <w:r w:rsidR="002D161C">
        <w:t>de los ingresos procedentes de patr</w:t>
      </w:r>
      <w:r w:rsidR="002D161C">
        <w:t>o</w:t>
      </w:r>
      <w:r w:rsidR="002D161C">
        <w:t>cinadores.</w:t>
      </w:r>
    </w:p>
    <w:p w:rsidR="00AD5D0A" w:rsidRDefault="00AD5D0A"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En determinados ejercicios, no ha sido posible contrastar las becas conc</w:t>
      </w:r>
      <w:r>
        <w:t>e</w:t>
      </w:r>
      <w:r>
        <w:t>didas a los deportistas</w:t>
      </w:r>
      <w:r w:rsidR="002C1EB8">
        <w:t xml:space="preserve"> por resultados</w:t>
      </w:r>
      <w:r>
        <w:t xml:space="preserve"> con la información contable, al realizarse su asiento de forma global. </w:t>
      </w:r>
    </w:p>
    <w:p w:rsidR="00AD5D0A" w:rsidRDefault="00AD5D0A"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lastRenderedPageBreak/>
        <w:t xml:space="preserve">En algunos </w:t>
      </w:r>
      <w:r w:rsidR="00736DE4">
        <w:t>ejercicios</w:t>
      </w:r>
      <w:r>
        <w:t>, la Fundación no ha aportado toda la información r</w:t>
      </w:r>
      <w:r>
        <w:t>e</w:t>
      </w:r>
      <w:r>
        <w:t>querida</w:t>
      </w:r>
      <w:r w:rsidR="002C1EB8">
        <w:t xml:space="preserve"> (soportes informáticos, facturas originales, declaración responsable…)</w:t>
      </w:r>
      <w:r>
        <w:t>.</w:t>
      </w:r>
    </w:p>
    <w:p w:rsidR="00AD5D0A" w:rsidRDefault="00AD5D0A" w:rsidP="00FF4AA3">
      <w:pPr>
        <w:pStyle w:val="texto"/>
        <w:tabs>
          <w:tab w:val="clear" w:pos="2835"/>
          <w:tab w:val="clear" w:pos="3969"/>
          <w:tab w:val="clear" w:pos="5103"/>
          <w:tab w:val="clear" w:pos="6237"/>
          <w:tab w:val="clear" w:pos="7371"/>
        </w:tabs>
      </w:pPr>
      <w:r w:rsidRPr="00971852">
        <w:rPr>
          <w:b/>
        </w:rPr>
        <w:t>1</w:t>
      </w:r>
      <w:r w:rsidR="009F336B" w:rsidRPr="00971852">
        <w:rPr>
          <w:b/>
        </w:rPr>
        <w:t>4</w:t>
      </w:r>
      <w:r w:rsidR="00971852" w:rsidRPr="00971852">
        <w:rPr>
          <w:b/>
        </w:rPr>
        <w:t>.</w:t>
      </w:r>
      <w:r w:rsidRPr="00971852">
        <w:rPr>
          <w:b/>
        </w:rPr>
        <w:t xml:space="preserve">ª </w:t>
      </w:r>
      <w:r>
        <w:t>Sobre la documentación justificativa presentada ante el Ayuntamiento de Pamplona señalamos:</w:t>
      </w:r>
    </w:p>
    <w:p w:rsidR="00281726" w:rsidRDefault="00AD5D0A"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En la petición de la subvención se adjunta, básicamente, el presupuesto de la Fundación, el presupuesto previsto de gastos para deportistas residentes en la ciudad de Pamplona</w:t>
      </w:r>
      <w:r w:rsidR="005D36F2">
        <w:t xml:space="preserve"> (becas)</w:t>
      </w:r>
      <w:r>
        <w:t xml:space="preserve"> y certificados de estar al corriente de sus oblig</w:t>
      </w:r>
      <w:r>
        <w:t>a</w:t>
      </w:r>
      <w:r>
        <w:t>ciones fiscales.</w:t>
      </w:r>
    </w:p>
    <w:p w:rsidR="00AD5D0A" w:rsidRDefault="00AD5D0A"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Relación de ayudas concedidas</w:t>
      </w:r>
      <w:r w:rsidR="005D36F2">
        <w:t>.</w:t>
      </w:r>
    </w:p>
    <w:p w:rsidR="00AD5D0A" w:rsidRDefault="00AD5D0A"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t>Relación de gastos e ingresos a financiar por la subvención municipal.</w:t>
      </w:r>
    </w:p>
    <w:p w:rsidR="005D36F2" w:rsidRDefault="005D36F2" w:rsidP="00FF4AA3">
      <w:pPr>
        <w:pStyle w:val="texto"/>
        <w:tabs>
          <w:tab w:val="clear" w:pos="2835"/>
          <w:tab w:val="clear" w:pos="3969"/>
          <w:tab w:val="clear" w:pos="5103"/>
          <w:tab w:val="clear" w:pos="6237"/>
          <w:tab w:val="clear" w:pos="7371"/>
        </w:tabs>
      </w:pPr>
      <w:r>
        <w:t>Con carácter general estos gastos coinciden con los presentados ante el G</w:t>
      </w:r>
      <w:r>
        <w:t>o</w:t>
      </w:r>
      <w:r>
        <w:t>bierno de Navarra y esta subvención municipal se contempla en la determin</w:t>
      </w:r>
      <w:r>
        <w:t>a</w:t>
      </w:r>
      <w:r>
        <w:t>ción del déficit de los programas financiados por el mismo.</w:t>
      </w:r>
    </w:p>
    <w:p w:rsidR="002C1EB8" w:rsidRDefault="002C1EB8" w:rsidP="00FF4AA3">
      <w:pPr>
        <w:pStyle w:val="texto"/>
        <w:tabs>
          <w:tab w:val="clear" w:pos="2835"/>
          <w:tab w:val="clear" w:pos="3969"/>
          <w:tab w:val="clear" w:pos="5103"/>
          <w:tab w:val="clear" w:pos="6237"/>
          <w:tab w:val="clear" w:pos="7371"/>
        </w:tabs>
      </w:pPr>
      <w:r w:rsidRPr="00971852">
        <w:rPr>
          <w:b/>
        </w:rPr>
        <w:t>15</w:t>
      </w:r>
      <w:r w:rsidR="00971852" w:rsidRPr="00971852">
        <w:rPr>
          <w:b/>
        </w:rPr>
        <w:t>.</w:t>
      </w:r>
      <w:r w:rsidRPr="00971852">
        <w:rPr>
          <w:b/>
        </w:rPr>
        <w:t>ª</w:t>
      </w:r>
      <w:r>
        <w:t xml:space="preserve"> En el periodo analizado, la Fundación ha obtenido unos resultados netos positivos de 105.343 euros. Est</w:t>
      </w:r>
      <w:r w:rsidR="00225D28">
        <w:t>e</w:t>
      </w:r>
      <w:r>
        <w:t xml:space="preserve"> importe</w:t>
      </w:r>
      <w:r w:rsidR="00225D28">
        <w:t xml:space="preserve"> es indicativo de que la misma ha o</w:t>
      </w:r>
      <w:r w:rsidR="00225D28">
        <w:t>b</w:t>
      </w:r>
      <w:r w:rsidR="00225D28">
        <w:t>tenido financiación suficiente en el conjunto de los ejercicios analizados.</w:t>
      </w:r>
    </w:p>
    <w:p w:rsidR="009F336B" w:rsidRDefault="009F336B" w:rsidP="00FF4AA3">
      <w:pPr>
        <w:pStyle w:val="texto"/>
        <w:tabs>
          <w:tab w:val="clear" w:pos="2835"/>
          <w:tab w:val="clear" w:pos="3969"/>
          <w:tab w:val="clear" w:pos="5103"/>
          <w:tab w:val="clear" w:pos="6237"/>
          <w:tab w:val="clear" w:pos="7371"/>
        </w:tabs>
      </w:pPr>
      <w:r w:rsidRPr="00971852">
        <w:rPr>
          <w:b/>
        </w:rPr>
        <w:t>1</w:t>
      </w:r>
      <w:r w:rsidR="007C5BFE" w:rsidRPr="00971852">
        <w:rPr>
          <w:b/>
        </w:rPr>
        <w:t>6</w:t>
      </w:r>
      <w:r w:rsidR="00971852" w:rsidRPr="00971852">
        <w:rPr>
          <w:b/>
        </w:rPr>
        <w:t>.</w:t>
      </w:r>
      <w:r w:rsidRPr="00971852">
        <w:rPr>
          <w:b/>
        </w:rPr>
        <w:t xml:space="preserve">ª </w:t>
      </w:r>
      <w:r w:rsidR="008E4A59">
        <w:t xml:space="preserve"> La justificación de que la Fundación ha elegido a sus proveedores con </w:t>
      </w:r>
      <w:r>
        <w:t>criterios de eficiencia y a precios de mercado se limita a una declaración re</w:t>
      </w:r>
      <w:r>
        <w:t>s</w:t>
      </w:r>
      <w:r>
        <w:t>ponsable. No consta, en la documentación analizada, actuaciones de la</w:t>
      </w:r>
      <w:r w:rsidR="008E4A59">
        <w:t xml:space="preserve"> misma</w:t>
      </w:r>
      <w:r>
        <w:t xml:space="preserve"> que permitan verificar tal obligación legal establecida en el art. 28.3 de la Ley Foral 11/2005, de Subvenciones. </w:t>
      </w:r>
    </w:p>
    <w:p w:rsidR="009F336B" w:rsidRDefault="008E4A59" w:rsidP="00FF4AA3">
      <w:pPr>
        <w:pStyle w:val="texto"/>
        <w:tabs>
          <w:tab w:val="clear" w:pos="2835"/>
          <w:tab w:val="clear" w:pos="3969"/>
          <w:tab w:val="clear" w:pos="5103"/>
          <w:tab w:val="clear" w:pos="6237"/>
          <w:tab w:val="clear" w:pos="7371"/>
        </w:tabs>
      </w:pPr>
      <w:r>
        <w:t>Así mismo,</w:t>
      </w:r>
      <w:r w:rsidR="0080218D">
        <w:t xml:space="preserve"> </w:t>
      </w:r>
      <w:r w:rsidR="009F336B">
        <w:t>la vigente Ley Foral</w:t>
      </w:r>
      <w:r w:rsidR="00784D20">
        <w:t xml:space="preserve"> 6/2006,</w:t>
      </w:r>
      <w:r w:rsidR="009F336B">
        <w:t xml:space="preserve"> de Contratos Públicos incorpora en su ámbito subjetivo de aplicación </w:t>
      </w:r>
      <w:r w:rsidR="00784D20">
        <w:t xml:space="preserve">plena </w:t>
      </w:r>
      <w:r w:rsidR="009F336B">
        <w:t>a las fundaciones (públicas o privadas) cuando concurran –como así ocurre en la Fundación Induráin</w:t>
      </w:r>
      <w:r w:rsidR="00635AD2">
        <w:t>–</w:t>
      </w:r>
      <w:r w:rsidR="009F336B">
        <w:t xml:space="preserve"> los dos requis</w:t>
      </w:r>
      <w:r w:rsidR="009F336B">
        <w:t>i</w:t>
      </w:r>
      <w:r w:rsidR="009F336B">
        <w:t>tos siguientes:</w:t>
      </w:r>
    </w:p>
    <w:p w:rsidR="009F336B" w:rsidRPr="00281726" w:rsidRDefault="009F336B"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rsidRPr="00281726">
        <w:t>Que en su actividad satisfagan, al menos parcialmente, fines de interés p</w:t>
      </w:r>
      <w:r w:rsidRPr="00281726">
        <w:t>ú</w:t>
      </w:r>
      <w:r w:rsidRPr="00281726">
        <w:t>blico que no tengan carácter industrial o mercantil.</w:t>
      </w:r>
    </w:p>
    <w:p w:rsidR="009F336B" w:rsidRPr="00281726" w:rsidRDefault="009F336B"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928"/>
          <w:tab w:val="num" w:pos="6597"/>
        </w:tabs>
        <w:ind w:left="0" w:firstLine="290"/>
      </w:pPr>
      <w:r w:rsidRPr="00281726">
        <w:t>Que las Administraciones Públicas de Navarra financien, directa o indire</w:t>
      </w:r>
      <w:r w:rsidRPr="00281726">
        <w:t>c</w:t>
      </w:r>
      <w:r w:rsidRPr="00281726">
        <w:t>tamente, más de la mitad de su actividad, o bien tengan influencia dominante sobre las mismas a través de mecanismos que controlen su gestión, o bien pe</w:t>
      </w:r>
      <w:r w:rsidRPr="00281726">
        <w:t>r</w:t>
      </w:r>
      <w:r w:rsidRPr="00281726">
        <w:t>mitan designar a más de la mitad de los miembros de sus órganos de admini</w:t>
      </w:r>
      <w:r w:rsidRPr="00281726">
        <w:t>s</w:t>
      </w:r>
      <w:r w:rsidRPr="00281726">
        <w:t>tración, de dirección o de vigilancia.</w:t>
      </w:r>
    </w:p>
    <w:p w:rsidR="007C5BFE" w:rsidRDefault="007C5BFE" w:rsidP="00FF4AA3">
      <w:pPr>
        <w:pStyle w:val="texto"/>
        <w:tabs>
          <w:tab w:val="clear" w:pos="2835"/>
          <w:tab w:val="clear" w:pos="3969"/>
          <w:tab w:val="clear" w:pos="5103"/>
          <w:tab w:val="clear" w:pos="6237"/>
          <w:tab w:val="clear" w:pos="7371"/>
        </w:tabs>
      </w:pPr>
      <w:r>
        <w:t>Esta aplicación debería analizarse especialmente para el contrato de gestión económico-contable suscrito por la Fundación.</w:t>
      </w:r>
    </w:p>
    <w:p w:rsidR="009F336B" w:rsidRDefault="009F336B" w:rsidP="00FF4AA3">
      <w:pPr>
        <w:pStyle w:val="texto"/>
        <w:tabs>
          <w:tab w:val="clear" w:pos="2835"/>
          <w:tab w:val="clear" w:pos="3969"/>
          <w:tab w:val="clear" w:pos="5103"/>
          <w:tab w:val="clear" w:pos="6237"/>
          <w:tab w:val="clear" w:pos="7371"/>
        </w:tabs>
      </w:pPr>
      <w:r w:rsidRPr="00197A61">
        <w:rPr>
          <w:b/>
        </w:rPr>
        <w:t>1</w:t>
      </w:r>
      <w:r w:rsidR="007C5BFE" w:rsidRPr="00197A61">
        <w:rPr>
          <w:b/>
        </w:rPr>
        <w:t>7</w:t>
      </w:r>
      <w:r w:rsidR="00197A61" w:rsidRPr="00197A61">
        <w:rPr>
          <w:b/>
        </w:rPr>
        <w:t>.</w:t>
      </w:r>
      <w:r w:rsidRPr="00197A61">
        <w:rPr>
          <w:b/>
        </w:rPr>
        <w:t xml:space="preserve">ª </w:t>
      </w:r>
      <w:r>
        <w:t>Ingreso por patrocinadores en especie. Con carácter general, los contr</w:t>
      </w:r>
      <w:r>
        <w:t>a</w:t>
      </w:r>
      <w:r>
        <w:t>tos de patrocinio firmados no se vinculan con alguna actividad concreta a des</w:t>
      </w:r>
      <w:r>
        <w:t>a</w:t>
      </w:r>
      <w:r>
        <w:t xml:space="preserve">rrollar por la Fundación. Así mismo observamos que, en el caso de patrocinio en especie, </w:t>
      </w:r>
      <w:r w:rsidR="0080218D">
        <w:t xml:space="preserve">no siempre se delimita perfectamente la naturaleza de la actividad o </w:t>
      </w:r>
      <w:r w:rsidR="0080218D">
        <w:lastRenderedPageBreak/>
        <w:t xml:space="preserve">servicios a prestar y </w:t>
      </w:r>
      <w:r>
        <w:t>la información que se aporta en las factu</w:t>
      </w:r>
      <w:r w:rsidR="0080218D">
        <w:t xml:space="preserve">ras no </w:t>
      </w:r>
      <w:r>
        <w:t>ofrece i</w:t>
      </w:r>
      <w:r>
        <w:t>n</w:t>
      </w:r>
      <w:r>
        <w:t xml:space="preserve">formación detallada de </w:t>
      </w:r>
      <w:r w:rsidR="0080218D">
        <w:t>tales servicios</w:t>
      </w:r>
      <w:r>
        <w:t xml:space="preserve"> y de su valoración acorde a los precios de mercado. </w:t>
      </w:r>
    </w:p>
    <w:p w:rsidR="002D161C" w:rsidRDefault="0080218D" w:rsidP="00FF4AA3">
      <w:pPr>
        <w:pStyle w:val="texto"/>
        <w:tabs>
          <w:tab w:val="clear" w:pos="2835"/>
          <w:tab w:val="clear" w:pos="3969"/>
          <w:tab w:val="clear" w:pos="5103"/>
          <w:tab w:val="clear" w:pos="6237"/>
          <w:tab w:val="clear" w:pos="7371"/>
        </w:tabs>
      </w:pPr>
      <w:r w:rsidRPr="00197A61">
        <w:rPr>
          <w:b/>
        </w:rPr>
        <w:t>1</w:t>
      </w:r>
      <w:r w:rsidR="007C5BFE" w:rsidRPr="00197A61">
        <w:rPr>
          <w:b/>
        </w:rPr>
        <w:t>8</w:t>
      </w:r>
      <w:r w:rsidR="00197A61" w:rsidRPr="00197A61">
        <w:rPr>
          <w:b/>
        </w:rPr>
        <w:t>.</w:t>
      </w:r>
      <w:r w:rsidR="002D161C" w:rsidRPr="00197A61">
        <w:rPr>
          <w:b/>
        </w:rPr>
        <w:t>ª</w:t>
      </w:r>
      <w:r w:rsidR="002D161C">
        <w:t xml:space="preserve"> </w:t>
      </w:r>
      <w:r w:rsidR="002D674B">
        <w:t xml:space="preserve">La Fundación ha cumplido </w:t>
      </w:r>
      <w:r w:rsidR="002D161C">
        <w:t>con las obligaciones de transparencia que e</w:t>
      </w:r>
      <w:r w:rsidR="002D161C">
        <w:t>s</w:t>
      </w:r>
      <w:r w:rsidR="002D161C">
        <w:t>tablece el artículo 4 del DF 59/2013, ya que su subvención recibida supera el umbral de los 20.000 euros. Estas obligaciones hacen referencia básicamente a comunicar al órgano concedente: sus órganos de gobierno, cargos y sus retrib</w:t>
      </w:r>
      <w:r w:rsidR="002D161C">
        <w:t>u</w:t>
      </w:r>
      <w:r w:rsidR="002D161C">
        <w:t>ciones y últimas cuentas anuales; esta información se ha publicado en la página web del Gobierno de Navarra.</w:t>
      </w:r>
    </w:p>
    <w:p w:rsidR="0080218D" w:rsidRDefault="0080218D" w:rsidP="00FF4AA3">
      <w:pPr>
        <w:pStyle w:val="texto"/>
        <w:tabs>
          <w:tab w:val="clear" w:pos="2835"/>
          <w:tab w:val="clear" w:pos="3969"/>
          <w:tab w:val="clear" w:pos="5103"/>
          <w:tab w:val="clear" w:pos="6237"/>
          <w:tab w:val="clear" w:pos="7371"/>
        </w:tabs>
        <w:spacing w:after="0"/>
      </w:pPr>
    </w:p>
    <w:p w:rsidR="00ED5B0C" w:rsidRPr="0080218D" w:rsidRDefault="00ED5B0C" w:rsidP="00FF4AA3">
      <w:pPr>
        <w:pStyle w:val="texto"/>
        <w:tabs>
          <w:tab w:val="clear" w:pos="2835"/>
          <w:tab w:val="clear" w:pos="3969"/>
          <w:tab w:val="clear" w:pos="5103"/>
          <w:tab w:val="clear" w:pos="6237"/>
          <w:tab w:val="clear" w:pos="7371"/>
        </w:tabs>
      </w:pPr>
      <w:r w:rsidRPr="0080218D">
        <w:t>Finalmente señalamos</w:t>
      </w:r>
      <w:r w:rsidR="0080218D">
        <w:t>, tal y como viene indicando esta Cámara en anteriores informes sobre subvenciones,</w:t>
      </w:r>
      <w:r w:rsidRPr="0080218D">
        <w:t xml:space="preserve"> que, contrariamente a lo señalado en el art. 5 bis de la Ley Foral 11/2005, incorporado en abril de 2014</w:t>
      </w:r>
      <w:r w:rsidRPr="0080218D">
        <w:rPr>
          <w:rStyle w:val="Refdenotaalpie"/>
        </w:rPr>
        <w:footnoteReference w:id="4"/>
      </w:r>
      <w:r w:rsidRPr="0080218D">
        <w:t xml:space="preserve"> por una modificación introducida en la misma, el Gobierno de Navarra no ha aprobado un plan estr</w:t>
      </w:r>
      <w:r w:rsidRPr="0080218D">
        <w:t>a</w:t>
      </w:r>
      <w:r w:rsidRPr="0080218D">
        <w:t>tégico de subvenciones desglosado por departamentos y líneas de actuación y con vigencia trienal.</w:t>
      </w:r>
    </w:p>
    <w:p w:rsidR="00212B59" w:rsidRDefault="00212B59" w:rsidP="00FF4AA3">
      <w:pPr>
        <w:pStyle w:val="atitulo2"/>
        <w:spacing w:before="240"/>
      </w:pPr>
      <w:bookmarkStart w:id="25" w:name="_Toc454441429"/>
      <w:r>
        <w:t>I</w:t>
      </w:r>
      <w:r w:rsidR="00074ECC">
        <w:t>V</w:t>
      </w:r>
      <w:r>
        <w:t>.2. Recomendaciones</w:t>
      </w:r>
      <w:bookmarkEnd w:id="25"/>
    </w:p>
    <w:p w:rsidR="000F73EA" w:rsidRDefault="00212B59" w:rsidP="00FF4AA3">
      <w:pPr>
        <w:pStyle w:val="texto"/>
        <w:tabs>
          <w:tab w:val="clear" w:pos="2835"/>
          <w:tab w:val="clear" w:pos="3969"/>
          <w:tab w:val="clear" w:pos="5103"/>
          <w:tab w:val="clear" w:pos="6237"/>
          <w:tab w:val="clear" w:pos="7371"/>
        </w:tabs>
      </w:pPr>
      <w:r>
        <w:t xml:space="preserve">Teniendo en cuenta las </w:t>
      </w:r>
      <w:r w:rsidR="00EC575F">
        <w:t>observaciones</w:t>
      </w:r>
      <w:r>
        <w:t xml:space="preserve"> anteriores, esta Cámara recomienda:</w:t>
      </w:r>
    </w:p>
    <w:p w:rsidR="00FB1C88" w:rsidRPr="00597B9A" w:rsidRDefault="00FB1C88"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pPr>
      <w:r w:rsidRPr="00597B9A">
        <w:rPr>
          <w:i/>
          <w:szCs w:val="26"/>
        </w:rPr>
        <w:t>Analizar la actual composición de los representantes del Gobierno de N</w:t>
      </w:r>
      <w:r w:rsidRPr="00597B9A">
        <w:rPr>
          <w:i/>
          <w:szCs w:val="26"/>
        </w:rPr>
        <w:t>a</w:t>
      </w:r>
      <w:r w:rsidRPr="00597B9A">
        <w:rPr>
          <w:i/>
          <w:szCs w:val="26"/>
        </w:rPr>
        <w:t>varra-INDyJ en los órganos de gestión y dirección de la Fundación para so</w:t>
      </w:r>
      <w:r w:rsidRPr="00597B9A">
        <w:rPr>
          <w:i/>
          <w:szCs w:val="26"/>
        </w:rPr>
        <w:t>l</w:t>
      </w:r>
      <w:r w:rsidRPr="00597B9A">
        <w:rPr>
          <w:i/>
          <w:szCs w:val="26"/>
        </w:rPr>
        <w:t xml:space="preserve">ventar la </w:t>
      </w:r>
      <w:r w:rsidR="00B71B78">
        <w:rPr>
          <w:i/>
          <w:szCs w:val="26"/>
        </w:rPr>
        <w:t>exigencia</w:t>
      </w:r>
      <w:r w:rsidR="00312F69">
        <w:rPr>
          <w:i/>
          <w:szCs w:val="26"/>
        </w:rPr>
        <w:t xml:space="preserve"> legal</w:t>
      </w:r>
      <w:r w:rsidR="00B71B78">
        <w:rPr>
          <w:i/>
          <w:szCs w:val="26"/>
        </w:rPr>
        <w:t xml:space="preserve"> de abstención</w:t>
      </w:r>
      <w:r w:rsidR="00597B9A" w:rsidRPr="00597B9A">
        <w:rPr>
          <w:i/>
          <w:szCs w:val="26"/>
        </w:rPr>
        <w:t xml:space="preserve"> de estos representantes en el proceso de concesión de las </w:t>
      </w:r>
      <w:r w:rsidR="001C4173">
        <w:rPr>
          <w:i/>
          <w:szCs w:val="26"/>
        </w:rPr>
        <w:t>subvenciones a la misma</w:t>
      </w:r>
      <w:r w:rsidR="00597B9A" w:rsidRPr="00597B9A">
        <w:rPr>
          <w:i/>
          <w:szCs w:val="26"/>
        </w:rPr>
        <w:t>.</w:t>
      </w:r>
    </w:p>
    <w:p w:rsidR="00142581" w:rsidRDefault="00142581"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rPr>
          <w:i/>
          <w:szCs w:val="26"/>
        </w:rPr>
      </w:pPr>
      <w:r>
        <w:rPr>
          <w:i/>
          <w:szCs w:val="26"/>
        </w:rPr>
        <w:t>Regular adecuadamente las relaciones, funciones, financiación y activid</w:t>
      </w:r>
      <w:r>
        <w:rPr>
          <w:i/>
          <w:szCs w:val="26"/>
        </w:rPr>
        <w:t>a</w:t>
      </w:r>
      <w:r>
        <w:rPr>
          <w:i/>
          <w:szCs w:val="26"/>
        </w:rPr>
        <w:t>des a desarrollar entre el INDyJ y la Fundación</w:t>
      </w:r>
      <w:r w:rsidR="007C5BFE">
        <w:rPr>
          <w:i/>
          <w:szCs w:val="26"/>
        </w:rPr>
        <w:t>, incluyendo los cursos gesti</w:t>
      </w:r>
      <w:r w:rsidR="007C5BFE">
        <w:rPr>
          <w:i/>
          <w:szCs w:val="26"/>
        </w:rPr>
        <w:t>o</w:t>
      </w:r>
      <w:r w:rsidR="007C5BFE">
        <w:rPr>
          <w:i/>
          <w:szCs w:val="26"/>
        </w:rPr>
        <w:t>nados por ésta</w:t>
      </w:r>
      <w:r>
        <w:rPr>
          <w:i/>
          <w:szCs w:val="26"/>
        </w:rPr>
        <w:t>. En esta línea, consideramos conveniente que la Fundación el</w:t>
      </w:r>
      <w:r>
        <w:rPr>
          <w:i/>
          <w:szCs w:val="26"/>
        </w:rPr>
        <w:t>a</w:t>
      </w:r>
      <w:r>
        <w:rPr>
          <w:i/>
          <w:szCs w:val="26"/>
        </w:rPr>
        <w:t>bore y presente a la administración pública un plan estratégico a medio plazo en el que se contemple todas las acciones a desarrollar y sus necesidades de financiación</w:t>
      </w:r>
      <w:r w:rsidR="00966A48">
        <w:rPr>
          <w:i/>
          <w:szCs w:val="26"/>
        </w:rPr>
        <w:t xml:space="preserve"> </w:t>
      </w:r>
      <w:r>
        <w:rPr>
          <w:i/>
          <w:szCs w:val="26"/>
        </w:rPr>
        <w:t xml:space="preserve">propias </w:t>
      </w:r>
      <w:r w:rsidR="00966A48">
        <w:rPr>
          <w:i/>
          <w:szCs w:val="26"/>
        </w:rPr>
        <w:t>y</w:t>
      </w:r>
      <w:r>
        <w:rPr>
          <w:i/>
          <w:szCs w:val="26"/>
        </w:rPr>
        <w:t xml:space="preserve"> externas.</w:t>
      </w:r>
    </w:p>
    <w:p w:rsidR="00667D7D" w:rsidRDefault="00667D7D"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rPr>
          <w:i/>
          <w:szCs w:val="26"/>
        </w:rPr>
      </w:pPr>
      <w:r>
        <w:rPr>
          <w:i/>
          <w:szCs w:val="26"/>
        </w:rPr>
        <w:t>R</w:t>
      </w:r>
      <w:r w:rsidR="00142581">
        <w:rPr>
          <w:i/>
          <w:szCs w:val="26"/>
        </w:rPr>
        <w:t xml:space="preserve">evisar el actual </w:t>
      </w:r>
      <w:r>
        <w:rPr>
          <w:i/>
          <w:szCs w:val="26"/>
        </w:rPr>
        <w:t xml:space="preserve">procedimiento de concesión de las subvenciones en </w:t>
      </w:r>
      <w:r w:rsidR="00142581">
        <w:rPr>
          <w:i/>
          <w:szCs w:val="26"/>
        </w:rPr>
        <w:t>los siguientes</w:t>
      </w:r>
      <w:r>
        <w:rPr>
          <w:i/>
          <w:szCs w:val="26"/>
        </w:rPr>
        <w:t xml:space="preserve"> aspectos básicos:</w:t>
      </w:r>
    </w:p>
    <w:p w:rsidR="00667D7D" w:rsidRPr="00DE55FC" w:rsidRDefault="00197A61" w:rsidP="00FF4AA3">
      <w:pPr>
        <w:pStyle w:val="texto"/>
        <w:tabs>
          <w:tab w:val="clear" w:pos="2835"/>
          <w:tab w:val="clear" w:pos="3969"/>
          <w:tab w:val="clear" w:pos="5103"/>
          <w:tab w:val="clear" w:pos="6237"/>
          <w:tab w:val="clear" w:pos="7371"/>
        </w:tabs>
        <w:rPr>
          <w:i/>
          <w:szCs w:val="26"/>
        </w:rPr>
      </w:pPr>
      <w:r>
        <w:rPr>
          <w:i/>
          <w:szCs w:val="26"/>
        </w:rPr>
        <w:t xml:space="preserve">a) </w:t>
      </w:r>
      <w:r w:rsidR="00142581">
        <w:rPr>
          <w:i/>
          <w:szCs w:val="26"/>
        </w:rPr>
        <w:t>Que se concrete lo máximo el</w:t>
      </w:r>
      <w:r w:rsidR="00DE55FC">
        <w:rPr>
          <w:i/>
          <w:szCs w:val="26"/>
        </w:rPr>
        <w:t xml:space="preserve"> destino específico de la subvención</w:t>
      </w:r>
      <w:r w:rsidR="00142581">
        <w:rPr>
          <w:i/>
          <w:szCs w:val="26"/>
        </w:rPr>
        <w:t>, la n</w:t>
      </w:r>
      <w:r w:rsidR="00142581">
        <w:rPr>
          <w:i/>
          <w:szCs w:val="26"/>
        </w:rPr>
        <w:t>a</w:t>
      </w:r>
      <w:r w:rsidR="00142581">
        <w:rPr>
          <w:i/>
          <w:szCs w:val="26"/>
        </w:rPr>
        <w:t>turaleza de los gastos elegibles y su justificación y la determinación del déficit a finan</w:t>
      </w:r>
      <w:r w:rsidR="00705450">
        <w:rPr>
          <w:i/>
          <w:szCs w:val="26"/>
        </w:rPr>
        <w:t>ciar</w:t>
      </w:r>
      <w:r w:rsidR="00DE55FC">
        <w:rPr>
          <w:i/>
          <w:szCs w:val="26"/>
        </w:rPr>
        <w:t>, simplificando, en la medida de lo posible, la petición de docume</w:t>
      </w:r>
      <w:r w:rsidR="00DE55FC">
        <w:rPr>
          <w:i/>
          <w:szCs w:val="26"/>
        </w:rPr>
        <w:t>n</w:t>
      </w:r>
      <w:r w:rsidR="00DE55FC">
        <w:rPr>
          <w:i/>
          <w:szCs w:val="26"/>
        </w:rPr>
        <w:t xml:space="preserve">tación. </w:t>
      </w:r>
    </w:p>
    <w:p w:rsidR="00DE55FC" w:rsidRPr="00597B9A" w:rsidRDefault="00197A61" w:rsidP="00FF4AA3">
      <w:pPr>
        <w:pStyle w:val="texto"/>
        <w:tabs>
          <w:tab w:val="clear" w:pos="2835"/>
          <w:tab w:val="clear" w:pos="3969"/>
          <w:tab w:val="clear" w:pos="5103"/>
          <w:tab w:val="clear" w:pos="6237"/>
          <w:tab w:val="clear" w:pos="7371"/>
        </w:tabs>
        <w:rPr>
          <w:i/>
          <w:szCs w:val="26"/>
        </w:rPr>
      </w:pPr>
      <w:r>
        <w:rPr>
          <w:i/>
          <w:szCs w:val="26"/>
        </w:rPr>
        <w:lastRenderedPageBreak/>
        <w:t xml:space="preserve">b) </w:t>
      </w:r>
      <w:r w:rsidR="00597B9A">
        <w:rPr>
          <w:i/>
          <w:szCs w:val="26"/>
        </w:rPr>
        <w:t>Que se garantice expresamente</w:t>
      </w:r>
      <w:r w:rsidR="00DE55FC" w:rsidRPr="00DE55FC">
        <w:rPr>
          <w:i/>
          <w:szCs w:val="26"/>
        </w:rPr>
        <w:t xml:space="preserve"> que no exista sobrefinanciación de la a</w:t>
      </w:r>
      <w:r w:rsidR="00DE55FC" w:rsidRPr="00DE55FC">
        <w:rPr>
          <w:i/>
          <w:szCs w:val="26"/>
        </w:rPr>
        <w:t>c</w:t>
      </w:r>
      <w:r w:rsidR="00DE55FC" w:rsidRPr="00DE55FC">
        <w:rPr>
          <w:i/>
          <w:szCs w:val="26"/>
        </w:rPr>
        <w:t>tividad subvencionada, teniendo en cuenta</w:t>
      </w:r>
      <w:r w:rsidR="00705450">
        <w:rPr>
          <w:i/>
          <w:szCs w:val="26"/>
        </w:rPr>
        <w:t xml:space="preserve"> todas las fuentes de financiación de la</w:t>
      </w:r>
      <w:r w:rsidR="00597B9A">
        <w:rPr>
          <w:i/>
          <w:szCs w:val="26"/>
        </w:rPr>
        <w:t xml:space="preserve"> Fundación</w:t>
      </w:r>
      <w:r w:rsidR="00DE55FC" w:rsidRPr="00DE55FC">
        <w:rPr>
          <w:i/>
          <w:szCs w:val="26"/>
        </w:rPr>
        <w:t>.</w:t>
      </w:r>
    </w:p>
    <w:p w:rsidR="007C5BFE" w:rsidRDefault="007C5BFE"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rPr>
          <w:i/>
          <w:szCs w:val="26"/>
        </w:rPr>
      </w:pPr>
      <w:r>
        <w:rPr>
          <w:i/>
          <w:szCs w:val="26"/>
        </w:rPr>
        <w:t xml:space="preserve">En los </w:t>
      </w:r>
      <w:r w:rsidR="00CE72AE">
        <w:rPr>
          <w:i/>
          <w:szCs w:val="26"/>
        </w:rPr>
        <w:t xml:space="preserve">contratos de </w:t>
      </w:r>
      <w:r>
        <w:rPr>
          <w:i/>
          <w:szCs w:val="26"/>
        </w:rPr>
        <w:t xml:space="preserve">patrocinios en especie, debe delimitarse claramente la naturaleza de la actividad o servicios a prestar así como que su valoración </w:t>
      </w:r>
      <w:r w:rsidR="0026786B">
        <w:rPr>
          <w:i/>
          <w:szCs w:val="26"/>
        </w:rPr>
        <w:t>sea</w:t>
      </w:r>
      <w:r>
        <w:rPr>
          <w:i/>
          <w:szCs w:val="26"/>
        </w:rPr>
        <w:t xml:space="preserve"> acorde a los precios de mercado, </w:t>
      </w:r>
      <w:r w:rsidR="00A73CD2">
        <w:rPr>
          <w:i/>
          <w:szCs w:val="26"/>
        </w:rPr>
        <w:t>aspectos</w:t>
      </w:r>
      <w:r>
        <w:rPr>
          <w:i/>
          <w:szCs w:val="26"/>
        </w:rPr>
        <w:t xml:space="preserve"> también exigid</w:t>
      </w:r>
      <w:r w:rsidR="00A73CD2">
        <w:rPr>
          <w:i/>
          <w:szCs w:val="26"/>
        </w:rPr>
        <w:t>o</w:t>
      </w:r>
      <w:r>
        <w:rPr>
          <w:i/>
          <w:szCs w:val="26"/>
        </w:rPr>
        <w:t xml:space="preserve">s por la vigente normativa fiscal. </w:t>
      </w:r>
    </w:p>
    <w:p w:rsidR="00966A48" w:rsidRPr="007C5BFE" w:rsidRDefault="00142581"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rPr>
          <w:i/>
          <w:szCs w:val="26"/>
        </w:rPr>
      </w:pPr>
      <w:r>
        <w:rPr>
          <w:i/>
          <w:szCs w:val="26"/>
        </w:rPr>
        <w:t xml:space="preserve">Ante la dependencia financiera de la Fundación respecto a la subvención recibida del Gobierno de Navarra y considerando que sus fines son de interés público, </w:t>
      </w:r>
      <w:r w:rsidR="007C5BFE">
        <w:rPr>
          <w:i/>
          <w:szCs w:val="26"/>
        </w:rPr>
        <w:t>podría analizarse l</w:t>
      </w:r>
      <w:r w:rsidR="00966A48" w:rsidRPr="007C5BFE">
        <w:rPr>
          <w:i/>
          <w:szCs w:val="26"/>
        </w:rPr>
        <w:t xml:space="preserve">a firma de un convenio de financiación plurianual entre el INDyJ y la Fundación al objeto de </w:t>
      </w:r>
      <w:r w:rsidR="00705450" w:rsidRPr="007C5BFE">
        <w:rPr>
          <w:i/>
          <w:szCs w:val="26"/>
        </w:rPr>
        <w:t>asegurar</w:t>
      </w:r>
      <w:r w:rsidR="00C13BAF" w:rsidRPr="007C5BFE">
        <w:rPr>
          <w:i/>
          <w:szCs w:val="26"/>
        </w:rPr>
        <w:t xml:space="preserve"> su viabilidad y estabilidad financiera.</w:t>
      </w:r>
    </w:p>
    <w:p w:rsidR="00667D7D" w:rsidRDefault="003B6851"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rPr>
          <w:i/>
          <w:szCs w:val="26"/>
        </w:rPr>
      </w:pPr>
      <w:r>
        <w:rPr>
          <w:i/>
          <w:szCs w:val="26"/>
        </w:rPr>
        <w:t>Valorar la exigencia de</w:t>
      </w:r>
      <w:r w:rsidR="00667D7D">
        <w:rPr>
          <w:i/>
          <w:szCs w:val="26"/>
        </w:rPr>
        <w:t xml:space="preserve"> auditoría externa de </w:t>
      </w:r>
      <w:r>
        <w:rPr>
          <w:i/>
          <w:szCs w:val="26"/>
        </w:rPr>
        <w:t>las</w:t>
      </w:r>
      <w:r w:rsidR="00667D7D">
        <w:rPr>
          <w:i/>
          <w:szCs w:val="26"/>
        </w:rPr>
        <w:t xml:space="preserve"> cuentas anuales</w:t>
      </w:r>
      <w:r>
        <w:rPr>
          <w:i/>
          <w:szCs w:val="26"/>
        </w:rPr>
        <w:t xml:space="preserve"> de la Fundación</w:t>
      </w:r>
      <w:r w:rsidR="00667D7D">
        <w:rPr>
          <w:i/>
          <w:szCs w:val="26"/>
        </w:rPr>
        <w:t>.</w:t>
      </w:r>
    </w:p>
    <w:p w:rsidR="002D674B" w:rsidRDefault="002D674B" w:rsidP="002D674B">
      <w:pPr>
        <w:pStyle w:val="texto"/>
        <w:tabs>
          <w:tab w:val="clear" w:pos="2835"/>
          <w:tab w:val="clear" w:pos="3969"/>
          <w:tab w:val="clear" w:pos="5103"/>
          <w:tab w:val="clear" w:pos="6237"/>
          <w:tab w:val="clear" w:pos="7371"/>
          <w:tab w:val="num" w:pos="720"/>
          <w:tab w:val="num" w:pos="6597"/>
        </w:tabs>
        <w:spacing w:after="0"/>
        <w:ind w:left="289" w:firstLine="0"/>
        <w:rPr>
          <w:i/>
          <w:szCs w:val="26"/>
        </w:rPr>
      </w:pPr>
    </w:p>
    <w:p w:rsidR="002D674B" w:rsidRPr="002D674B" w:rsidRDefault="002D674B" w:rsidP="002D674B">
      <w:pPr>
        <w:pStyle w:val="texto"/>
        <w:tabs>
          <w:tab w:val="clear" w:pos="2835"/>
          <w:tab w:val="clear" w:pos="3969"/>
          <w:tab w:val="clear" w:pos="5103"/>
          <w:tab w:val="clear" w:pos="6237"/>
          <w:tab w:val="clear" w:pos="7371"/>
          <w:tab w:val="num" w:pos="720"/>
          <w:tab w:val="num" w:pos="6597"/>
        </w:tabs>
        <w:spacing w:after="0"/>
        <w:ind w:left="289" w:firstLine="0"/>
        <w:rPr>
          <w:szCs w:val="26"/>
        </w:rPr>
      </w:pPr>
      <w:r w:rsidRPr="002D674B">
        <w:rPr>
          <w:szCs w:val="26"/>
        </w:rPr>
        <w:t>Para el Gobierno de Navarra:</w:t>
      </w:r>
    </w:p>
    <w:p w:rsidR="002D674B" w:rsidRDefault="002D674B" w:rsidP="002D674B">
      <w:pPr>
        <w:pStyle w:val="texto"/>
        <w:tabs>
          <w:tab w:val="clear" w:pos="2835"/>
          <w:tab w:val="clear" w:pos="3969"/>
          <w:tab w:val="clear" w:pos="5103"/>
          <w:tab w:val="clear" w:pos="6237"/>
          <w:tab w:val="clear" w:pos="7371"/>
          <w:tab w:val="num" w:pos="720"/>
          <w:tab w:val="num" w:pos="6597"/>
        </w:tabs>
        <w:spacing w:after="0"/>
        <w:ind w:left="289" w:firstLine="0"/>
        <w:rPr>
          <w:i/>
          <w:szCs w:val="26"/>
        </w:rPr>
      </w:pPr>
    </w:p>
    <w:p w:rsidR="00C00113" w:rsidRPr="002D674B" w:rsidRDefault="00232A1E" w:rsidP="00816A94">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spacing w:after="0"/>
        <w:ind w:left="0" w:firstLine="289"/>
        <w:rPr>
          <w:i/>
        </w:rPr>
      </w:pPr>
      <w:r w:rsidRPr="002D674B">
        <w:rPr>
          <w:i/>
        </w:rPr>
        <w:t>Aprobar el Plan Estratégico de subvenciones del Gobierno de Navarra, como instrumento relevante para estructurar de forma global la política de subvenciones del Gobierno, definiendo claramente los objetivos perseguidos por cada departamento y línea de actuación y revisando la idoneidad y raci</w:t>
      </w:r>
      <w:r w:rsidRPr="002D674B">
        <w:rPr>
          <w:i/>
        </w:rPr>
        <w:t>o</w:t>
      </w:r>
      <w:r w:rsidRPr="002D674B">
        <w:rPr>
          <w:i/>
        </w:rPr>
        <w:t>nalidad de las múltiples subvenciones concedidas y su coherencia interdepa</w:t>
      </w:r>
      <w:r w:rsidRPr="002D674B">
        <w:rPr>
          <w:i/>
        </w:rPr>
        <w:t>r</w:t>
      </w:r>
      <w:r w:rsidRPr="002D674B">
        <w:rPr>
          <w:i/>
        </w:rPr>
        <w:t>tamental. Todo ello desde una perspectiva de largo plazo, introduciéndose m</w:t>
      </w:r>
      <w:r w:rsidRPr="002D674B">
        <w:rPr>
          <w:i/>
        </w:rPr>
        <w:t>e</w:t>
      </w:r>
      <w:r w:rsidRPr="002D674B">
        <w:rPr>
          <w:i/>
        </w:rPr>
        <w:t xml:space="preserve">canismos de evaluación anuales. </w:t>
      </w:r>
    </w:p>
    <w:p w:rsidR="00A826F4" w:rsidRPr="004F662D" w:rsidRDefault="00A826F4" w:rsidP="00FF4AA3">
      <w:pPr>
        <w:pStyle w:val="texto"/>
        <w:tabs>
          <w:tab w:val="clear" w:pos="2835"/>
          <w:tab w:val="clear" w:pos="3969"/>
          <w:tab w:val="clear" w:pos="5103"/>
          <w:tab w:val="clear" w:pos="6237"/>
          <w:tab w:val="clear" w:pos="7371"/>
          <w:tab w:val="num" w:pos="720"/>
          <w:tab w:val="num" w:pos="6597"/>
        </w:tabs>
        <w:spacing w:after="0"/>
        <w:ind w:left="289" w:firstLine="0"/>
        <w:rPr>
          <w:i/>
          <w:szCs w:val="26"/>
        </w:rPr>
      </w:pPr>
    </w:p>
    <w:p w:rsidR="00DB06C2" w:rsidRDefault="00DB06C2" w:rsidP="00FF4AA3">
      <w:pPr>
        <w:pStyle w:val="atitulo2"/>
        <w:spacing w:before="240"/>
      </w:pPr>
      <w:bookmarkStart w:id="26" w:name="_Toc454441430"/>
      <w:r>
        <w:t>IV.3. Reflexiones sobre la naturaleza jurídica de la Fundación</w:t>
      </w:r>
      <w:bookmarkEnd w:id="26"/>
    </w:p>
    <w:p w:rsidR="00DB06C2" w:rsidRDefault="00DB06C2" w:rsidP="00FF4AA3">
      <w:pPr>
        <w:pStyle w:val="texto"/>
        <w:tabs>
          <w:tab w:val="clear" w:pos="2835"/>
          <w:tab w:val="clear" w:pos="3969"/>
          <w:tab w:val="clear" w:pos="5103"/>
          <w:tab w:val="clear" w:pos="6237"/>
          <w:tab w:val="clear" w:pos="7371"/>
        </w:tabs>
      </w:pPr>
      <w:r>
        <w:t>La Fundación Miguel Induráin se constituye en 1998</w:t>
      </w:r>
      <w:r w:rsidR="000564FA">
        <w:t>, entre otros fundadores,</w:t>
      </w:r>
      <w:r>
        <w:t xml:space="preserve"> por el Gobierno de Navarra al amparo de lo dispuesto en la Ley 44 del Fuero Nuevo y con la finalidad de fomentar el desarrollo del deporte de alto rend</w:t>
      </w:r>
      <w:r>
        <w:t>i</w:t>
      </w:r>
      <w:r>
        <w:t>miento en la Comunidad Foral de Navarra.</w:t>
      </w:r>
    </w:p>
    <w:p w:rsidR="0054052C" w:rsidRDefault="00DB06C2" w:rsidP="00FF4AA3">
      <w:pPr>
        <w:pStyle w:val="texto"/>
        <w:tabs>
          <w:tab w:val="clear" w:pos="2835"/>
          <w:tab w:val="clear" w:pos="3969"/>
          <w:tab w:val="clear" w:pos="5103"/>
          <w:tab w:val="clear" w:pos="6237"/>
          <w:tab w:val="clear" w:pos="7371"/>
        </w:tabs>
      </w:pPr>
      <w:r>
        <w:t xml:space="preserve">Tal como se define en sus estatutos, la </w:t>
      </w:r>
      <w:r w:rsidR="00744C14">
        <w:t xml:space="preserve">citada </w:t>
      </w:r>
      <w:r>
        <w:t>Fundación tiene carácter priv</w:t>
      </w:r>
      <w:r>
        <w:t>a</w:t>
      </w:r>
      <w:r>
        <w:t>do e inter</w:t>
      </w:r>
      <w:r w:rsidR="0054052C">
        <w:t>és soci</w:t>
      </w:r>
      <w:r>
        <w:t>a</w:t>
      </w:r>
      <w:r w:rsidR="0054052C">
        <w:t>l</w:t>
      </w:r>
      <w:r>
        <w:t>, dotada de personalidad jurídica p</w:t>
      </w:r>
      <w:r w:rsidR="0054052C">
        <w:t>ro</w:t>
      </w:r>
      <w:r>
        <w:t>pia e independiente.</w:t>
      </w:r>
      <w:r w:rsidR="00705450">
        <w:t xml:space="preserve"> </w:t>
      </w:r>
      <w:r w:rsidR="000564FA">
        <w:t>L</w:t>
      </w:r>
      <w:r w:rsidR="0054052C">
        <w:t>a adopción de la figura de fundación privada se justifica, partiendo de la carencia de fondos que para tal finalidad presenta el INDyJ, en dos aspectos básicos: por un lado, en la</w:t>
      </w:r>
      <w:r w:rsidR="0054052C" w:rsidRPr="0054052C">
        <w:t xml:space="preserve"> búsqueda de nuevas fuentes de financiación</w:t>
      </w:r>
      <w:r w:rsidR="000F5ACB">
        <w:t xml:space="preserve"> –entre ellos, los i</w:t>
      </w:r>
      <w:r w:rsidR="000F5ACB">
        <w:t>n</w:t>
      </w:r>
      <w:r w:rsidR="000F5ACB">
        <w:t>centivos fiscales de patrocinio</w:t>
      </w:r>
      <w:r w:rsidR="00A826F4">
        <w:t>–</w:t>
      </w:r>
      <w:r w:rsidR="0054052C" w:rsidRPr="0054052C">
        <w:t xml:space="preserve"> y, por otro, en una autonomía económica y una mayor agilidad en la gestión. </w:t>
      </w:r>
    </w:p>
    <w:p w:rsidR="00F113FD" w:rsidRDefault="00385FDA" w:rsidP="00FF4AA3">
      <w:pPr>
        <w:pStyle w:val="texto"/>
        <w:tabs>
          <w:tab w:val="clear" w:pos="2835"/>
          <w:tab w:val="clear" w:pos="3969"/>
          <w:tab w:val="clear" w:pos="5103"/>
          <w:tab w:val="clear" w:pos="6237"/>
          <w:tab w:val="clear" w:pos="7371"/>
        </w:tabs>
      </w:pPr>
      <w:r>
        <w:lastRenderedPageBreak/>
        <w:t>En esos mismos estatutos, se contempla la presencia mayoritaria de repr</w:t>
      </w:r>
      <w:r>
        <w:t>e</w:t>
      </w:r>
      <w:r>
        <w:t>sentantes del Gobierno de Navarra</w:t>
      </w:r>
      <w:r w:rsidR="00F82276">
        <w:t xml:space="preserve">, </w:t>
      </w:r>
      <w:r w:rsidR="000564FA">
        <w:t>a través</w:t>
      </w:r>
      <w:r w:rsidR="00F82276">
        <w:t xml:space="preserve"> del INDyJ</w:t>
      </w:r>
      <w:r w:rsidR="00323ED2">
        <w:t>,</w:t>
      </w:r>
      <w:r>
        <w:t xml:space="preserve"> en sus órganos de d</w:t>
      </w:r>
      <w:r>
        <w:t>i</w:t>
      </w:r>
      <w:r>
        <w:t>rección y gestión.</w:t>
      </w:r>
      <w:r w:rsidR="00F82276">
        <w:t xml:space="preserve"> </w:t>
      </w:r>
    </w:p>
    <w:p w:rsidR="00FF4AA3" w:rsidRDefault="00744C14" w:rsidP="008F56F2">
      <w:pPr>
        <w:pStyle w:val="texto"/>
        <w:tabs>
          <w:tab w:val="clear" w:pos="2835"/>
          <w:tab w:val="clear" w:pos="3969"/>
          <w:tab w:val="clear" w:pos="5103"/>
          <w:tab w:val="clear" w:pos="6237"/>
          <w:tab w:val="clear" w:pos="7371"/>
        </w:tabs>
      </w:pPr>
      <w:r>
        <w:t>Del trabajo realizado por esta Cámara, surge la pregunta de si la Fundación Induráin debe considerase como de naturaleza pública o privada.</w:t>
      </w:r>
    </w:p>
    <w:p w:rsidR="00744C14" w:rsidRPr="00A826F4" w:rsidRDefault="00744C14" w:rsidP="00FF4AA3">
      <w:pPr>
        <w:pStyle w:val="texto"/>
        <w:tabs>
          <w:tab w:val="clear" w:pos="2835"/>
          <w:tab w:val="clear" w:pos="3969"/>
          <w:tab w:val="clear" w:pos="5103"/>
          <w:tab w:val="clear" w:pos="6237"/>
          <w:tab w:val="clear" w:pos="7371"/>
        </w:tabs>
        <w:rPr>
          <w:i/>
          <w:sz w:val="22"/>
          <w:szCs w:val="22"/>
        </w:rPr>
      </w:pPr>
      <w:r>
        <w:t>Según el art. 125 de la L</w:t>
      </w:r>
      <w:r w:rsidRPr="006B0836">
        <w:t xml:space="preserve">ey </w:t>
      </w:r>
      <w:r>
        <w:t>F</w:t>
      </w:r>
      <w:r w:rsidRPr="006B0836">
        <w:t xml:space="preserve">oral 15/2004, de 3 de diciembre, de la </w:t>
      </w:r>
      <w:r>
        <w:t>A</w:t>
      </w:r>
      <w:r w:rsidRPr="006B0836">
        <w:t>dmini</w:t>
      </w:r>
      <w:r w:rsidRPr="006B0836">
        <w:t>s</w:t>
      </w:r>
      <w:r w:rsidRPr="006B0836">
        <w:t xml:space="preserve">tración de la </w:t>
      </w:r>
      <w:r>
        <w:t>Comunidad F</w:t>
      </w:r>
      <w:r w:rsidRPr="006B0836">
        <w:t xml:space="preserve">oral de </w:t>
      </w:r>
      <w:r>
        <w:t>N</w:t>
      </w:r>
      <w:r w:rsidRPr="006B0836">
        <w:t>avarr</w:t>
      </w:r>
      <w:r>
        <w:t xml:space="preserve">a (LFACFN), </w:t>
      </w:r>
      <w:r w:rsidRPr="00744C14">
        <w:t>s</w:t>
      </w:r>
      <w:r w:rsidRPr="001F7894">
        <w:rPr>
          <w:szCs w:val="26"/>
        </w:rPr>
        <w:t xml:space="preserve">on </w:t>
      </w:r>
      <w:r w:rsidRPr="001F7894">
        <w:rPr>
          <w:b/>
          <w:szCs w:val="26"/>
        </w:rPr>
        <w:t>fundaciones públ</w:t>
      </w:r>
      <w:r w:rsidRPr="001F7894">
        <w:rPr>
          <w:b/>
          <w:szCs w:val="26"/>
        </w:rPr>
        <w:t>i</w:t>
      </w:r>
      <w:r w:rsidRPr="001F7894">
        <w:rPr>
          <w:b/>
          <w:szCs w:val="26"/>
        </w:rPr>
        <w:t>cas</w:t>
      </w:r>
      <w:r w:rsidR="00FF4AA3">
        <w:rPr>
          <w:b/>
          <w:szCs w:val="26"/>
        </w:rPr>
        <w:t>:</w:t>
      </w:r>
      <w:r w:rsidRPr="001F7894">
        <w:rPr>
          <w:szCs w:val="26"/>
        </w:rPr>
        <w:t xml:space="preserve"> </w:t>
      </w:r>
      <w:r w:rsidR="00FF4AA3">
        <w:rPr>
          <w:szCs w:val="26"/>
        </w:rPr>
        <w:t>“…</w:t>
      </w:r>
      <w:r w:rsidRPr="00A826F4">
        <w:rPr>
          <w:i/>
          <w:sz w:val="22"/>
          <w:szCs w:val="22"/>
        </w:rPr>
        <w:t xml:space="preserve">las </w:t>
      </w:r>
      <w:r w:rsidRPr="00A826F4">
        <w:rPr>
          <w:b/>
          <w:i/>
          <w:sz w:val="22"/>
          <w:szCs w:val="22"/>
        </w:rPr>
        <w:t>creadas</w:t>
      </w:r>
      <w:r w:rsidRPr="00A826F4">
        <w:rPr>
          <w:i/>
          <w:sz w:val="22"/>
          <w:szCs w:val="22"/>
        </w:rPr>
        <w:t xml:space="preserve"> por la Administración de la Comunidad Foral de Navarra y sus org</w:t>
      </w:r>
      <w:r w:rsidRPr="00A826F4">
        <w:rPr>
          <w:i/>
          <w:sz w:val="22"/>
          <w:szCs w:val="22"/>
        </w:rPr>
        <w:t>a</w:t>
      </w:r>
      <w:r w:rsidRPr="00A826F4">
        <w:rPr>
          <w:i/>
          <w:sz w:val="22"/>
          <w:szCs w:val="22"/>
        </w:rPr>
        <w:t>nismos públicos, de acuerdo con la Compilación del Derecho Civil Foral, para la realiz</w:t>
      </w:r>
      <w:r w:rsidRPr="00A826F4">
        <w:rPr>
          <w:i/>
          <w:sz w:val="22"/>
          <w:szCs w:val="22"/>
        </w:rPr>
        <w:t>a</w:t>
      </w:r>
      <w:r w:rsidRPr="00A826F4">
        <w:rPr>
          <w:i/>
          <w:sz w:val="22"/>
          <w:szCs w:val="22"/>
        </w:rPr>
        <w:t>ción de fines de su competencia</w:t>
      </w:r>
      <w:r w:rsidR="00FF4AA3">
        <w:rPr>
          <w:i/>
          <w:sz w:val="22"/>
          <w:szCs w:val="22"/>
        </w:rPr>
        <w:t>”</w:t>
      </w:r>
      <w:r w:rsidRPr="00A826F4">
        <w:rPr>
          <w:i/>
          <w:sz w:val="22"/>
          <w:szCs w:val="22"/>
        </w:rPr>
        <w:t>.</w:t>
      </w:r>
    </w:p>
    <w:p w:rsidR="00FF4AA3" w:rsidRDefault="00D821BA" w:rsidP="00FF4AA3">
      <w:pPr>
        <w:pStyle w:val="texto"/>
        <w:tabs>
          <w:tab w:val="clear" w:pos="2835"/>
          <w:tab w:val="clear" w:pos="3969"/>
          <w:tab w:val="clear" w:pos="5103"/>
          <w:tab w:val="clear" w:pos="6237"/>
          <w:tab w:val="clear" w:pos="7371"/>
        </w:tabs>
      </w:pPr>
      <w:r>
        <w:t>Por su parte, l</w:t>
      </w:r>
      <w:r w:rsidR="00744C14">
        <w:t xml:space="preserve">a Ley Foral 13/2007, de la Hacienda Pública de Navarra LFHPN, </w:t>
      </w:r>
      <w:r w:rsidR="007B3828">
        <w:t>artículo 2</w:t>
      </w:r>
      <w:r w:rsidR="00744C14">
        <w:t xml:space="preserve"> </w:t>
      </w:r>
      <w:r w:rsidR="00744C14" w:rsidRPr="000A4A7A">
        <w:t>g)</w:t>
      </w:r>
      <w:r w:rsidR="00744C14">
        <w:t xml:space="preserve"> señala también que, a</w:t>
      </w:r>
      <w:r w:rsidR="00744C14" w:rsidRPr="000A4A7A">
        <w:t xml:space="preserve"> los efectos de esta Ley Foral </w:t>
      </w:r>
      <w:r w:rsidR="00744C14" w:rsidRPr="00744C14">
        <w:t>fo</w:t>
      </w:r>
      <w:r w:rsidR="00744C14" w:rsidRPr="00744C14">
        <w:t>r</w:t>
      </w:r>
      <w:r w:rsidR="00744C14" w:rsidRPr="00744C14">
        <w:t>man parte del sector público fora</w:t>
      </w:r>
      <w:r w:rsidR="00744C14" w:rsidRPr="000A4A7A">
        <w:t>l:</w:t>
      </w:r>
    </w:p>
    <w:p w:rsidR="00744C14" w:rsidRPr="00A826F4" w:rsidRDefault="00FF4AA3" w:rsidP="00FF4AA3">
      <w:pPr>
        <w:pStyle w:val="texto"/>
        <w:tabs>
          <w:tab w:val="clear" w:pos="2835"/>
          <w:tab w:val="clear" w:pos="3969"/>
          <w:tab w:val="clear" w:pos="5103"/>
          <w:tab w:val="clear" w:pos="6237"/>
          <w:tab w:val="clear" w:pos="7371"/>
        </w:tabs>
        <w:rPr>
          <w:spacing w:val="2"/>
          <w:sz w:val="22"/>
          <w:szCs w:val="22"/>
        </w:rPr>
      </w:pPr>
      <w:r>
        <w:rPr>
          <w:i/>
          <w:spacing w:val="2"/>
          <w:sz w:val="22"/>
          <w:szCs w:val="22"/>
        </w:rPr>
        <w:t xml:space="preserve">“.. </w:t>
      </w:r>
      <w:r w:rsidR="00744C14" w:rsidRPr="00A826F4">
        <w:rPr>
          <w:i/>
          <w:spacing w:val="2"/>
          <w:sz w:val="22"/>
          <w:szCs w:val="22"/>
        </w:rPr>
        <w:t>Las fundaciones públicas de la Administración de la Comunidad Foral de Navarra y de sus organismos públicos. A estos efectos, adquirirán dicho carácter, además de las definidas en el artículo 125 de la Ley Foral 15/2004, de 3 de diciembre, de la Administración de la Comun</w:t>
      </w:r>
      <w:r w:rsidR="00744C14" w:rsidRPr="00A826F4">
        <w:rPr>
          <w:i/>
          <w:spacing w:val="2"/>
          <w:sz w:val="22"/>
          <w:szCs w:val="22"/>
        </w:rPr>
        <w:t>i</w:t>
      </w:r>
      <w:r w:rsidR="00744C14" w:rsidRPr="00A826F4">
        <w:rPr>
          <w:i/>
          <w:spacing w:val="2"/>
          <w:sz w:val="22"/>
          <w:szCs w:val="22"/>
        </w:rPr>
        <w:t xml:space="preserve">dad Foral de Navarra, </w:t>
      </w:r>
      <w:r w:rsidR="00744C14" w:rsidRPr="00A826F4">
        <w:rPr>
          <w:b/>
          <w:i/>
          <w:spacing w:val="2"/>
          <w:sz w:val="22"/>
          <w:szCs w:val="22"/>
        </w:rPr>
        <w:t>aquellas otras que teniendo carácter privado</w:t>
      </w:r>
      <w:r w:rsidR="00744C14" w:rsidRPr="00A826F4">
        <w:rPr>
          <w:i/>
          <w:spacing w:val="2"/>
          <w:sz w:val="22"/>
          <w:szCs w:val="22"/>
        </w:rPr>
        <w:t xml:space="preserve"> </w:t>
      </w:r>
      <w:r w:rsidR="00744C14" w:rsidRPr="00A826F4">
        <w:rPr>
          <w:b/>
          <w:i/>
          <w:spacing w:val="2"/>
          <w:sz w:val="22"/>
          <w:szCs w:val="22"/>
        </w:rPr>
        <w:t>en el momento de su cre</w:t>
      </w:r>
      <w:r w:rsidR="00744C14" w:rsidRPr="00A826F4">
        <w:rPr>
          <w:b/>
          <w:i/>
          <w:spacing w:val="2"/>
          <w:sz w:val="22"/>
          <w:szCs w:val="22"/>
        </w:rPr>
        <w:t>a</w:t>
      </w:r>
      <w:r w:rsidR="00744C14" w:rsidRPr="00A826F4">
        <w:rPr>
          <w:b/>
          <w:i/>
          <w:spacing w:val="2"/>
          <w:sz w:val="22"/>
          <w:szCs w:val="22"/>
        </w:rPr>
        <w:t>ción</w:t>
      </w:r>
      <w:r w:rsidR="00744C14" w:rsidRPr="00A826F4">
        <w:rPr>
          <w:i/>
          <w:spacing w:val="2"/>
          <w:sz w:val="22"/>
          <w:szCs w:val="22"/>
        </w:rPr>
        <w:t>, por no concurrir en ellas los requisitos exigidos en el precepto antes citado, sobrevenid</w:t>
      </w:r>
      <w:r w:rsidR="00744C14" w:rsidRPr="00A826F4">
        <w:rPr>
          <w:i/>
          <w:spacing w:val="2"/>
          <w:sz w:val="22"/>
          <w:szCs w:val="22"/>
        </w:rPr>
        <w:t>a</w:t>
      </w:r>
      <w:r w:rsidR="00744C14" w:rsidRPr="00A826F4">
        <w:rPr>
          <w:i/>
          <w:spacing w:val="2"/>
          <w:sz w:val="22"/>
          <w:szCs w:val="22"/>
        </w:rPr>
        <w:t>mente los reúnan, juntamente con la exigencia de que la representación de la Administración en sus órganos de gobierno sea mayoritaria</w:t>
      </w:r>
      <w:r w:rsidR="00744C14" w:rsidRPr="00A826F4">
        <w:rPr>
          <w:spacing w:val="2"/>
          <w:sz w:val="22"/>
          <w:szCs w:val="22"/>
        </w:rPr>
        <w:t>”.</w:t>
      </w:r>
    </w:p>
    <w:p w:rsidR="00744C14" w:rsidRDefault="00744C14" w:rsidP="00FF4AA3">
      <w:pPr>
        <w:pStyle w:val="texto"/>
        <w:tabs>
          <w:tab w:val="clear" w:pos="2835"/>
          <w:tab w:val="clear" w:pos="3969"/>
          <w:tab w:val="clear" w:pos="5103"/>
          <w:tab w:val="clear" w:pos="6237"/>
          <w:tab w:val="clear" w:pos="7371"/>
        </w:tabs>
      </w:pPr>
      <w:r>
        <w:t>Por tanto, p</w:t>
      </w:r>
      <w:r w:rsidRPr="005C2FF5">
        <w:t>ara el reconocimiento de la condición de fundación del sector</w:t>
      </w:r>
      <w:r>
        <w:t xml:space="preserve"> </w:t>
      </w:r>
      <w:r w:rsidRPr="005C2FF5">
        <w:t xml:space="preserve">público, </w:t>
      </w:r>
      <w:r>
        <w:t>se ha venido exigiendo q</w:t>
      </w:r>
      <w:r w:rsidRPr="005C2FF5">
        <w:t>ue el poder públi</w:t>
      </w:r>
      <w:r w:rsidR="00D821BA">
        <w:t xml:space="preserve">co ostente el control político </w:t>
      </w:r>
      <w:r>
        <w:t xml:space="preserve">y </w:t>
      </w:r>
      <w:r w:rsidRPr="005C2FF5">
        <w:t>además, también el control financiero sobre la fundación.</w:t>
      </w:r>
      <w:r>
        <w:t xml:space="preserve"> </w:t>
      </w:r>
      <w:r w:rsidRPr="005C2FF5">
        <w:t>Exigencia que</w:t>
      </w:r>
      <w:r>
        <w:t>,</w:t>
      </w:r>
      <w:r w:rsidRPr="005C2FF5">
        <w:t xml:space="preserve"> por redundante, es a todas luces excesiva, toda vez</w:t>
      </w:r>
      <w:r>
        <w:t xml:space="preserve"> </w:t>
      </w:r>
      <w:r w:rsidRPr="005C2FF5">
        <w:t>que la influencia dominante de la Administración Pública sobre la</w:t>
      </w:r>
      <w:r>
        <w:t xml:space="preserve"> </w:t>
      </w:r>
      <w:r w:rsidRPr="005C2FF5">
        <w:t>fundación queda acreditada con la existe</w:t>
      </w:r>
      <w:r w:rsidRPr="005C2FF5">
        <w:t>n</w:t>
      </w:r>
      <w:r w:rsidRPr="005C2FF5">
        <w:t>cia de una,</w:t>
      </w:r>
      <w:r>
        <w:t xml:space="preserve"> </w:t>
      </w:r>
      <w:r w:rsidRPr="005C2FF5">
        <w:t>cualquiera, de ambas formas de control, lo que debe ser</w:t>
      </w:r>
      <w:r>
        <w:t xml:space="preserve"> </w:t>
      </w:r>
      <w:r w:rsidRPr="005C2FF5">
        <w:t>suficiente para constatar la integración de la fundación en el</w:t>
      </w:r>
      <w:r>
        <w:t xml:space="preserve"> </w:t>
      </w:r>
      <w:r w:rsidRPr="005C2FF5">
        <w:t>sector público</w:t>
      </w:r>
      <w:r>
        <w:t xml:space="preserve">. </w:t>
      </w:r>
    </w:p>
    <w:p w:rsidR="00D821BA" w:rsidRPr="00A826F4" w:rsidRDefault="00744C14" w:rsidP="00FF4AA3">
      <w:pPr>
        <w:pStyle w:val="texto"/>
        <w:tabs>
          <w:tab w:val="clear" w:pos="2835"/>
          <w:tab w:val="clear" w:pos="3969"/>
          <w:tab w:val="clear" w:pos="5103"/>
          <w:tab w:val="clear" w:pos="6237"/>
          <w:tab w:val="clear" w:pos="7371"/>
        </w:tabs>
        <w:rPr>
          <w:spacing w:val="2"/>
        </w:rPr>
      </w:pPr>
      <w:r w:rsidRPr="00A826F4">
        <w:rPr>
          <w:spacing w:val="2"/>
        </w:rPr>
        <w:t>En esta lín</w:t>
      </w:r>
      <w:r w:rsidR="007B3828" w:rsidRPr="00A826F4">
        <w:rPr>
          <w:spacing w:val="2"/>
        </w:rPr>
        <w:t xml:space="preserve">ea, el artículo 129 de la </w:t>
      </w:r>
      <w:r w:rsidRPr="00A826F4">
        <w:rPr>
          <w:spacing w:val="2"/>
        </w:rPr>
        <w:t>Ley 40/2015</w:t>
      </w:r>
      <w:r w:rsidR="00D821BA" w:rsidRPr="00A826F4">
        <w:rPr>
          <w:spacing w:val="2"/>
        </w:rPr>
        <w:t>, de 1 de octubre,</w:t>
      </w:r>
      <w:r w:rsidRPr="00A826F4">
        <w:rPr>
          <w:spacing w:val="2"/>
        </w:rPr>
        <w:t xml:space="preserve"> de Régimen</w:t>
      </w:r>
      <w:r w:rsidR="00D821BA" w:rsidRPr="00A826F4">
        <w:rPr>
          <w:spacing w:val="2"/>
        </w:rPr>
        <w:t xml:space="preserve"> Jurídico</w:t>
      </w:r>
      <w:r w:rsidRPr="00A826F4">
        <w:rPr>
          <w:spacing w:val="2"/>
        </w:rPr>
        <w:t xml:space="preserve"> del Sec</w:t>
      </w:r>
      <w:r w:rsidR="007B3828" w:rsidRPr="00A826F4">
        <w:rPr>
          <w:spacing w:val="2"/>
        </w:rPr>
        <w:t xml:space="preserve">tor Público, </w:t>
      </w:r>
      <w:r w:rsidRPr="00A826F4">
        <w:rPr>
          <w:spacing w:val="2"/>
        </w:rPr>
        <w:t>establece, no una defini</w:t>
      </w:r>
      <w:r w:rsidR="00D821BA" w:rsidRPr="00A826F4">
        <w:rPr>
          <w:spacing w:val="2"/>
        </w:rPr>
        <w:t xml:space="preserve">ción de </w:t>
      </w:r>
      <w:r w:rsidRPr="00A826F4">
        <w:rPr>
          <w:spacing w:val="2"/>
        </w:rPr>
        <w:t>fundaci</w:t>
      </w:r>
      <w:r w:rsidR="00D821BA" w:rsidRPr="00A826F4">
        <w:rPr>
          <w:spacing w:val="2"/>
        </w:rPr>
        <w:t>ón pública</w:t>
      </w:r>
      <w:r w:rsidR="00E11DEC" w:rsidRPr="00A826F4">
        <w:rPr>
          <w:spacing w:val="2"/>
        </w:rPr>
        <w:t>,</w:t>
      </w:r>
      <w:r w:rsidRPr="00A826F4">
        <w:rPr>
          <w:spacing w:val="2"/>
        </w:rPr>
        <w:t xml:space="preserve"> sino su régimen de adscripción, ordenando que sean los estatutos de cada fund</w:t>
      </w:r>
      <w:r w:rsidRPr="00A826F4">
        <w:rPr>
          <w:spacing w:val="2"/>
        </w:rPr>
        <w:t>a</w:t>
      </w:r>
      <w:r w:rsidRPr="00A826F4">
        <w:rPr>
          <w:spacing w:val="2"/>
        </w:rPr>
        <w:t>ción quienes determinen la Administración Pública a la que estará adscrita. Lo más importante es que establece los siguientes criterios, ordenados por prioridad en su aplicación y referidos a la situación en el primer día del ejercicio presupue</w:t>
      </w:r>
      <w:r w:rsidRPr="00A826F4">
        <w:rPr>
          <w:spacing w:val="2"/>
        </w:rPr>
        <w:t>s</w:t>
      </w:r>
      <w:r w:rsidRPr="00A826F4">
        <w:rPr>
          <w:spacing w:val="2"/>
        </w:rPr>
        <w:t xml:space="preserve">tario, según los cuales una fundación del sector público quedará adscrita, en cada ejercicio presupuestario y por todo ese periodo, a </w:t>
      </w:r>
      <w:r w:rsidR="00D821BA" w:rsidRPr="00A826F4">
        <w:rPr>
          <w:spacing w:val="2"/>
        </w:rPr>
        <w:t xml:space="preserve">la Administración Pública que: </w:t>
      </w:r>
    </w:p>
    <w:p w:rsidR="00A826F4" w:rsidRPr="00A826F4" w:rsidRDefault="00FF4AA3" w:rsidP="00FF4AA3">
      <w:pPr>
        <w:pStyle w:val="texto"/>
        <w:tabs>
          <w:tab w:val="clear" w:pos="2835"/>
          <w:tab w:val="clear" w:pos="3969"/>
          <w:tab w:val="clear" w:pos="5103"/>
          <w:tab w:val="clear" w:pos="6237"/>
          <w:tab w:val="clear" w:pos="7371"/>
        </w:tabs>
        <w:spacing w:after="120"/>
        <w:rPr>
          <w:i/>
          <w:sz w:val="22"/>
          <w:szCs w:val="22"/>
        </w:rPr>
      </w:pPr>
      <w:r>
        <w:rPr>
          <w:i/>
          <w:sz w:val="22"/>
          <w:szCs w:val="22"/>
        </w:rPr>
        <w:t>“</w:t>
      </w:r>
      <w:r w:rsidR="00744C14" w:rsidRPr="00A826F4">
        <w:rPr>
          <w:i/>
          <w:sz w:val="22"/>
          <w:szCs w:val="22"/>
        </w:rPr>
        <w:t xml:space="preserve">a) Disponga de mayoría de patronos. </w:t>
      </w:r>
    </w:p>
    <w:p w:rsidR="00D821BA" w:rsidRPr="00A826F4" w:rsidRDefault="00744C14" w:rsidP="00FF4AA3">
      <w:pPr>
        <w:pStyle w:val="texto"/>
        <w:tabs>
          <w:tab w:val="clear" w:pos="2835"/>
          <w:tab w:val="clear" w:pos="3969"/>
          <w:tab w:val="clear" w:pos="5103"/>
          <w:tab w:val="clear" w:pos="6237"/>
          <w:tab w:val="clear" w:pos="7371"/>
        </w:tabs>
        <w:spacing w:after="120"/>
        <w:rPr>
          <w:i/>
          <w:sz w:val="22"/>
          <w:szCs w:val="22"/>
        </w:rPr>
      </w:pPr>
      <w:r w:rsidRPr="00A826F4">
        <w:rPr>
          <w:i/>
          <w:sz w:val="22"/>
          <w:szCs w:val="22"/>
        </w:rPr>
        <w:t>b) Tenga facultades para nombrar o destituir a la mayoría de los miembros de los órg</w:t>
      </w:r>
      <w:r w:rsidRPr="00A826F4">
        <w:rPr>
          <w:i/>
          <w:sz w:val="22"/>
          <w:szCs w:val="22"/>
        </w:rPr>
        <w:t>a</w:t>
      </w:r>
      <w:r w:rsidRPr="00A826F4">
        <w:rPr>
          <w:i/>
          <w:sz w:val="22"/>
          <w:szCs w:val="22"/>
        </w:rPr>
        <w:t xml:space="preserve">nos ejecutivos. </w:t>
      </w:r>
    </w:p>
    <w:p w:rsidR="00D821BA" w:rsidRPr="00A826F4" w:rsidRDefault="00744C14" w:rsidP="00FF4AA3">
      <w:pPr>
        <w:pStyle w:val="texto"/>
        <w:tabs>
          <w:tab w:val="clear" w:pos="2835"/>
          <w:tab w:val="clear" w:pos="3969"/>
          <w:tab w:val="clear" w:pos="5103"/>
          <w:tab w:val="clear" w:pos="6237"/>
          <w:tab w:val="clear" w:pos="7371"/>
        </w:tabs>
        <w:rPr>
          <w:i/>
          <w:sz w:val="22"/>
          <w:szCs w:val="22"/>
        </w:rPr>
      </w:pPr>
      <w:r w:rsidRPr="00A826F4">
        <w:rPr>
          <w:i/>
          <w:sz w:val="22"/>
          <w:szCs w:val="22"/>
        </w:rPr>
        <w:t xml:space="preserve">c) Tenga facultades para nombrar o destituir a la mayoría de los miembros del personal directivo. </w:t>
      </w:r>
    </w:p>
    <w:p w:rsidR="00744C14" w:rsidRPr="00A826F4" w:rsidRDefault="00744C14" w:rsidP="00FF4AA3">
      <w:pPr>
        <w:pStyle w:val="texto"/>
        <w:tabs>
          <w:tab w:val="clear" w:pos="2835"/>
          <w:tab w:val="clear" w:pos="3969"/>
          <w:tab w:val="clear" w:pos="5103"/>
          <w:tab w:val="clear" w:pos="6237"/>
          <w:tab w:val="clear" w:pos="7371"/>
        </w:tabs>
        <w:rPr>
          <w:i/>
          <w:sz w:val="22"/>
          <w:szCs w:val="22"/>
        </w:rPr>
      </w:pPr>
      <w:r w:rsidRPr="00A826F4">
        <w:rPr>
          <w:i/>
          <w:sz w:val="22"/>
          <w:szCs w:val="22"/>
        </w:rPr>
        <w:t>d) Tenga facultades para nombrar o destituir a la mayoría de los miembros del patronato.</w:t>
      </w:r>
    </w:p>
    <w:p w:rsidR="00D821BA" w:rsidRPr="00A826F4" w:rsidRDefault="00744C14" w:rsidP="00FF4AA3">
      <w:pPr>
        <w:pStyle w:val="texto"/>
        <w:tabs>
          <w:tab w:val="clear" w:pos="2835"/>
          <w:tab w:val="clear" w:pos="3969"/>
          <w:tab w:val="clear" w:pos="5103"/>
          <w:tab w:val="clear" w:pos="6237"/>
          <w:tab w:val="clear" w:pos="7371"/>
        </w:tabs>
        <w:rPr>
          <w:i/>
          <w:sz w:val="22"/>
          <w:szCs w:val="22"/>
        </w:rPr>
      </w:pPr>
      <w:r w:rsidRPr="00A826F4">
        <w:rPr>
          <w:i/>
          <w:sz w:val="22"/>
          <w:szCs w:val="22"/>
        </w:rPr>
        <w:lastRenderedPageBreak/>
        <w:t>e) Financie en más de un cincuenta por ciento, en su defecto, en mayor medida la activ</w:t>
      </w:r>
      <w:r w:rsidRPr="00A826F4">
        <w:rPr>
          <w:i/>
          <w:sz w:val="22"/>
          <w:szCs w:val="22"/>
        </w:rPr>
        <w:t>i</w:t>
      </w:r>
      <w:r w:rsidRPr="00A826F4">
        <w:rPr>
          <w:i/>
          <w:sz w:val="22"/>
          <w:szCs w:val="22"/>
        </w:rPr>
        <w:t>dad desarrollada por la fundación, teniendo en cuenta tanto la aportación del fondo patr</w:t>
      </w:r>
      <w:r w:rsidRPr="00A826F4">
        <w:rPr>
          <w:i/>
          <w:sz w:val="22"/>
          <w:szCs w:val="22"/>
        </w:rPr>
        <w:t>i</w:t>
      </w:r>
      <w:r w:rsidRPr="00A826F4">
        <w:rPr>
          <w:i/>
          <w:sz w:val="22"/>
          <w:szCs w:val="22"/>
        </w:rPr>
        <w:t xml:space="preserve">monial como la financiación concedida cada año. </w:t>
      </w:r>
    </w:p>
    <w:p w:rsidR="00744C14" w:rsidRPr="00A826F4" w:rsidRDefault="00744C14" w:rsidP="00FF4AA3">
      <w:pPr>
        <w:pStyle w:val="texto"/>
        <w:tabs>
          <w:tab w:val="clear" w:pos="2835"/>
          <w:tab w:val="clear" w:pos="3969"/>
          <w:tab w:val="clear" w:pos="5103"/>
          <w:tab w:val="clear" w:pos="6237"/>
          <w:tab w:val="clear" w:pos="7371"/>
        </w:tabs>
        <w:rPr>
          <w:sz w:val="22"/>
          <w:szCs w:val="22"/>
        </w:rPr>
      </w:pPr>
      <w:r w:rsidRPr="00A826F4">
        <w:rPr>
          <w:i/>
          <w:sz w:val="22"/>
          <w:szCs w:val="22"/>
        </w:rPr>
        <w:t>f) Ostente el mayor porcentaje de participación en el fondo patrimonia</w:t>
      </w:r>
      <w:r w:rsidR="00FF4AA3">
        <w:rPr>
          <w:i/>
          <w:sz w:val="22"/>
          <w:szCs w:val="22"/>
        </w:rPr>
        <w:t>l”</w:t>
      </w:r>
      <w:r w:rsidRPr="00A826F4">
        <w:rPr>
          <w:i/>
          <w:sz w:val="22"/>
          <w:szCs w:val="22"/>
        </w:rPr>
        <w:t>.</w:t>
      </w:r>
    </w:p>
    <w:p w:rsidR="00AB3C2A" w:rsidRDefault="00D821BA" w:rsidP="00FF4AA3">
      <w:pPr>
        <w:pStyle w:val="texto"/>
        <w:tabs>
          <w:tab w:val="clear" w:pos="2835"/>
          <w:tab w:val="clear" w:pos="3969"/>
          <w:tab w:val="clear" w:pos="5103"/>
          <w:tab w:val="clear" w:pos="6237"/>
          <w:tab w:val="clear" w:pos="7371"/>
        </w:tabs>
      </w:pPr>
      <w:r>
        <w:t>Es import</w:t>
      </w:r>
      <w:r w:rsidR="00A21343">
        <w:t>ante</w:t>
      </w:r>
      <w:r>
        <w:t xml:space="preserve"> destacar que este precepto </w:t>
      </w:r>
      <w:r w:rsidR="007B3828">
        <w:t>tiene el carácter de básico</w:t>
      </w:r>
      <w:r w:rsidR="00A21343">
        <w:t>,</w:t>
      </w:r>
      <w:r>
        <w:t xml:space="preserve"> de acuerdo con la Disposición Final 14ª de la citada Ley, y que entrará en vigor el próximo mes de octubre</w:t>
      </w:r>
      <w:r w:rsidR="000564FA">
        <w:t xml:space="preserve"> de 2016</w:t>
      </w:r>
      <w:r>
        <w:t xml:space="preserve"> según establece la Disposición Final 18ª.</w:t>
      </w:r>
    </w:p>
    <w:p w:rsidR="00D821BA" w:rsidRDefault="00A21343" w:rsidP="00FF4AA3">
      <w:pPr>
        <w:pStyle w:val="texto"/>
        <w:tabs>
          <w:tab w:val="clear" w:pos="2835"/>
          <w:tab w:val="clear" w:pos="3969"/>
          <w:tab w:val="clear" w:pos="5103"/>
          <w:tab w:val="clear" w:pos="6237"/>
          <w:tab w:val="clear" w:pos="7371"/>
        </w:tabs>
      </w:pPr>
      <w:r>
        <w:t>Según</w:t>
      </w:r>
      <w:r w:rsidR="00AB3C2A">
        <w:t xml:space="preserve"> el precepto anterior, la Fundación Induráin cumpliría los cuatro pr</w:t>
      </w:r>
      <w:r w:rsidR="00AB3C2A">
        <w:t>i</w:t>
      </w:r>
      <w:r w:rsidR="00AB3C2A">
        <w:t>meros requisitos, por lo que deberá adscribirse</w:t>
      </w:r>
      <w:r w:rsidR="00F82276">
        <w:t xml:space="preserve"> necesariamente</w:t>
      </w:r>
      <w:r w:rsidR="00AB3C2A">
        <w:t xml:space="preserve"> al Gobierno de Navarra.</w:t>
      </w:r>
      <w:r w:rsidR="00D821BA">
        <w:t xml:space="preserve"> </w:t>
      </w:r>
    </w:p>
    <w:p w:rsidR="00F82276" w:rsidRDefault="00BA0D02" w:rsidP="00FF4AA3">
      <w:pPr>
        <w:pStyle w:val="texto"/>
        <w:tabs>
          <w:tab w:val="clear" w:pos="2835"/>
          <w:tab w:val="clear" w:pos="3969"/>
          <w:tab w:val="clear" w:pos="5103"/>
          <w:tab w:val="clear" w:pos="6237"/>
          <w:tab w:val="clear" w:pos="7371"/>
        </w:tabs>
      </w:pPr>
      <w:r>
        <w:t>Además</w:t>
      </w:r>
      <w:r w:rsidR="006D31DC">
        <w:t>,</w:t>
      </w:r>
      <w:r>
        <w:t xml:space="preserve"> ha de tenerse en cuenta la diversa normativa sectorial foral que i</w:t>
      </w:r>
      <w:r>
        <w:t>n</w:t>
      </w:r>
      <w:r>
        <w:t xml:space="preserve">cluye a las </w:t>
      </w:r>
      <w:r w:rsidR="00104B72">
        <w:t>fundaci</w:t>
      </w:r>
      <w:r w:rsidR="00935271">
        <w:t>ones</w:t>
      </w:r>
      <w:r w:rsidR="00104B72">
        <w:t xml:space="preserve"> –independientemente de su naturaleza</w:t>
      </w:r>
      <w:r w:rsidR="00935271">
        <w:t xml:space="preserve"> y siempre que se cumplan ciertos requisitos, entre los que se incluyen, el control sobre su ge</w:t>
      </w:r>
      <w:r w:rsidR="00935271">
        <w:t>s</w:t>
      </w:r>
      <w:r w:rsidR="00935271">
        <w:t>tión</w:t>
      </w:r>
      <w:r w:rsidR="00A826F4">
        <w:t>–</w:t>
      </w:r>
      <w:r w:rsidR="00935271">
        <w:t xml:space="preserve"> </w:t>
      </w:r>
      <w:r>
        <w:t xml:space="preserve">en su </w:t>
      </w:r>
      <w:r w:rsidR="00E44824">
        <w:t xml:space="preserve">ámbito de </w:t>
      </w:r>
      <w:r>
        <w:t>aplicación según la materia: contratación administrativa, personal, subvenciones y transparencia.</w:t>
      </w:r>
    </w:p>
    <w:p w:rsidR="00935271" w:rsidRDefault="00935271" w:rsidP="00FF4AA3">
      <w:pPr>
        <w:pStyle w:val="texto"/>
        <w:tabs>
          <w:tab w:val="clear" w:pos="2835"/>
          <w:tab w:val="clear" w:pos="3969"/>
          <w:tab w:val="clear" w:pos="5103"/>
          <w:tab w:val="clear" w:pos="6237"/>
          <w:tab w:val="clear" w:pos="7371"/>
        </w:tabs>
      </w:pPr>
      <w:r>
        <w:t>Desde un punto de vista contable, la normativa contable vigente incluye de</w:t>
      </w:r>
      <w:r>
        <w:t>n</w:t>
      </w:r>
      <w:r>
        <w:t>tro del perímetro de consolidación</w:t>
      </w:r>
      <w:r w:rsidRPr="00935271">
        <w:t xml:space="preserve"> </w:t>
      </w:r>
      <w:r>
        <w:t>a las entidades con control o influencia si</w:t>
      </w:r>
      <w:r>
        <w:t>g</w:t>
      </w:r>
      <w:r w:rsidR="00F22AAB">
        <w:t>nificativa</w:t>
      </w:r>
      <w:r>
        <w:t>,</w:t>
      </w:r>
      <w:r w:rsidR="00F22AAB">
        <w:t xml:space="preserve"> fijándose </w:t>
      </w:r>
      <w:r>
        <w:t xml:space="preserve">no sólo </w:t>
      </w:r>
      <w:r w:rsidR="00E44824">
        <w:t>en la</w:t>
      </w:r>
      <w:r>
        <w:t xml:space="preserve"> participación mayoritaria en un accionariado o un patronato, sino </w:t>
      </w:r>
      <w:r w:rsidR="00E44824">
        <w:t>también en</w:t>
      </w:r>
      <w:r>
        <w:t xml:space="preserve"> la influencia decisiva en la gestión de la ent</w:t>
      </w:r>
      <w:r>
        <w:t>i</w:t>
      </w:r>
      <w:r>
        <w:t>dad o en la financiación de sus actividades destinadas a cubrir un servicio vi</w:t>
      </w:r>
      <w:r>
        <w:t>n</w:t>
      </w:r>
      <w:r>
        <w:t>culado a los objetivos de una Administración Pública.</w:t>
      </w:r>
    </w:p>
    <w:p w:rsidR="00F22AAB" w:rsidRDefault="00935271" w:rsidP="00FF4AA3">
      <w:pPr>
        <w:pStyle w:val="texto"/>
        <w:tabs>
          <w:tab w:val="clear" w:pos="2835"/>
          <w:tab w:val="clear" w:pos="3969"/>
          <w:tab w:val="clear" w:pos="5103"/>
          <w:tab w:val="clear" w:pos="6237"/>
          <w:tab w:val="clear" w:pos="7371"/>
        </w:tabs>
      </w:pPr>
      <w:r>
        <w:t xml:space="preserve">Por su parte, a la hora de definir el sector “Administración Pública” a efectos de la Ley Orgánica de Estabilidad Presupuestaria y Sostenibilidad Financiera,  </w:t>
      </w:r>
      <w:r w:rsidR="000E51E9">
        <w:t>la vigente normativa que contiene el</w:t>
      </w:r>
      <w:r>
        <w:t xml:space="preserve"> SEC´2010</w:t>
      </w:r>
      <w:r w:rsidR="000E51E9">
        <w:t xml:space="preserve"> ha reforzado el criterio de co</w:t>
      </w:r>
      <w:r w:rsidR="000E51E9">
        <w:t>n</w:t>
      </w:r>
      <w:r w:rsidR="000E51E9">
        <w:t>trol público que debe tenerse en cuentas para determinar si una entidad est</w:t>
      </w:r>
      <w:r w:rsidR="00F22AAB">
        <w:t>á o</w:t>
      </w:r>
      <w:r w:rsidR="000E51E9">
        <w:t xml:space="preserve"> no controlada por las adm</w:t>
      </w:r>
      <w:r w:rsidR="00F22AAB">
        <w:t>i</w:t>
      </w:r>
      <w:r w:rsidR="000E51E9">
        <w:t>nistraciones públicas</w:t>
      </w:r>
      <w:r w:rsidR="00F22AAB">
        <w:t>. Así, entre otras consideraci</w:t>
      </w:r>
      <w:r w:rsidR="00F22AAB">
        <w:t>o</w:t>
      </w:r>
      <w:r w:rsidR="00F22AAB">
        <w:t xml:space="preserve">nes, se destaca el control público sobre el nombramiento o revocación de los principales órganos de gestión o sobre la determinación de la política general de la entidad analizada. </w:t>
      </w:r>
    </w:p>
    <w:p w:rsidR="00F352DE" w:rsidRDefault="00F352DE" w:rsidP="00FF4AA3">
      <w:pPr>
        <w:pStyle w:val="texto"/>
        <w:tabs>
          <w:tab w:val="clear" w:pos="2835"/>
          <w:tab w:val="clear" w:pos="3969"/>
          <w:tab w:val="clear" w:pos="5103"/>
          <w:tab w:val="clear" w:pos="6237"/>
          <w:tab w:val="clear" w:pos="7371"/>
        </w:tabs>
      </w:pPr>
      <w:r>
        <w:t>En definitiva, y a modo de resumen final, señalamos:</w:t>
      </w:r>
    </w:p>
    <w:p w:rsidR="00F352DE" w:rsidRDefault="00F352DE"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pPr>
      <w:r>
        <w:t>R</w:t>
      </w:r>
      <w:r w:rsidR="00FC1694">
        <w:t xml:space="preserve">esulta </w:t>
      </w:r>
      <w:r w:rsidRPr="00802A5D">
        <w:t xml:space="preserve">dudoso desde </w:t>
      </w:r>
      <w:r w:rsidR="00FC1694">
        <w:t>un</w:t>
      </w:r>
      <w:r w:rsidRPr="00802A5D">
        <w:t xml:space="preserve"> punto de vista jurídico que </w:t>
      </w:r>
      <w:r w:rsidR="0076408C">
        <w:t>la Fundación Miguel Induráin</w:t>
      </w:r>
      <w:r w:rsidRPr="00802A5D">
        <w:t xml:space="preserve"> pueda mantener su carácter de </w:t>
      </w:r>
      <w:r w:rsidR="0076408C">
        <w:t>entidad privada</w:t>
      </w:r>
      <w:r w:rsidRPr="00802A5D">
        <w:t>, ya que, fue creada</w:t>
      </w:r>
      <w:r>
        <w:t>, e</w:t>
      </w:r>
      <w:r>
        <w:t>n</w:t>
      </w:r>
      <w:r>
        <w:t>tre otros, por el Gobierno de Navarra</w:t>
      </w:r>
      <w:r w:rsidRPr="00802A5D">
        <w:t>, la financiación de sus actividades depe</w:t>
      </w:r>
      <w:r w:rsidRPr="00802A5D">
        <w:t>n</w:t>
      </w:r>
      <w:r w:rsidRPr="00802A5D">
        <w:t>de</w:t>
      </w:r>
      <w:r>
        <w:t xml:space="preserve"> en gran medida de</w:t>
      </w:r>
      <w:r w:rsidRPr="00802A5D">
        <w:t xml:space="preserve"> las subvenciones públicas y el control efectivo de su</w:t>
      </w:r>
      <w:r>
        <w:t>s ó</w:t>
      </w:r>
      <w:r>
        <w:t>r</w:t>
      </w:r>
      <w:r>
        <w:t>ganos de gestión y dirección</w:t>
      </w:r>
      <w:r w:rsidRPr="00802A5D">
        <w:t xml:space="preserve"> corresponde a representantes del </w:t>
      </w:r>
      <w:r>
        <w:t>propio Gobierno</w:t>
      </w:r>
      <w:r w:rsidRPr="00802A5D">
        <w:t>.</w:t>
      </w:r>
      <w:r>
        <w:t xml:space="preserve"> </w:t>
      </w:r>
    </w:p>
    <w:p w:rsidR="009B24DC" w:rsidRDefault="009B24DC"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pPr>
      <w:r>
        <w:t>La justificación que se utilizó en su día para su configuración como ent</w:t>
      </w:r>
      <w:r>
        <w:t>i</w:t>
      </w:r>
      <w:r>
        <w:t>dad p</w:t>
      </w:r>
      <w:r w:rsidR="008E4A59">
        <w:t>rivada –</w:t>
      </w:r>
      <w:r>
        <w:t>agilidad en la gestión</w:t>
      </w:r>
      <w:r w:rsidR="00A826F4">
        <w:t>–</w:t>
      </w:r>
      <w:r>
        <w:t xml:space="preserve"> está actualmente muy matizada y limitada</w:t>
      </w:r>
      <w:r w:rsidR="008E4A59">
        <w:t xml:space="preserve"> </w:t>
      </w:r>
      <w:r>
        <w:t>por las exigencias legales en distint</w:t>
      </w:r>
      <w:r w:rsidR="00E11DEC">
        <w:t>o</w:t>
      </w:r>
      <w:r>
        <w:t xml:space="preserve">s </w:t>
      </w:r>
      <w:r w:rsidR="00E11DEC">
        <w:t>ámbitos</w:t>
      </w:r>
      <w:r>
        <w:t xml:space="preserve"> que afectan a su actividad.</w:t>
      </w:r>
    </w:p>
    <w:p w:rsidR="00FF4AA3" w:rsidRDefault="00F352DE" w:rsidP="008F56F2">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pPr>
      <w:r>
        <w:lastRenderedPageBreak/>
        <w:t xml:space="preserve">La actual composición de sus órganos de gestión y dirección, en los que de forma mayoritaria copan sus puestos los representantes del INDyJ, </w:t>
      </w:r>
      <w:r w:rsidR="00784D20">
        <w:t xml:space="preserve">puede </w:t>
      </w:r>
      <w:r>
        <w:t>co</w:t>
      </w:r>
      <w:r>
        <w:t>n</w:t>
      </w:r>
      <w:r>
        <w:t>diciona</w:t>
      </w:r>
      <w:r w:rsidR="00784D20">
        <w:t>r</w:t>
      </w:r>
      <w:r>
        <w:t xml:space="preserve"> el control efectivo a ejercer por este organismo sobre las subvenciones otorgadas a dicha Fundación. </w:t>
      </w:r>
    </w:p>
    <w:p w:rsidR="00582E34" w:rsidRPr="00070B56" w:rsidRDefault="00582E34" w:rsidP="00FF4AA3">
      <w:pPr>
        <w:pStyle w:val="texto"/>
        <w:tabs>
          <w:tab w:val="clear" w:pos="2835"/>
          <w:tab w:val="clear" w:pos="3969"/>
          <w:tab w:val="clear" w:pos="5103"/>
          <w:tab w:val="clear" w:pos="6237"/>
          <w:tab w:val="clear" w:pos="7371"/>
        </w:tabs>
      </w:pPr>
      <w:r w:rsidRPr="00070B56">
        <w:t>Por tanto, en opinión de esta Cámara de Comptos, el Gobierno de Navarra deber</w:t>
      </w:r>
      <w:r w:rsidR="0076408C" w:rsidRPr="00070B56">
        <w:t>ía r</w:t>
      </w:r>
      <w:r w:rsidRPr="00070B56">
        <w:rPr>
          <w:szCs w:val="26"/>
        </w:rPr>
        <w:t>eplantearse el carácter de entidad privada de la Fundación Miguel I</w:t>
      </w:r>
      <w:r w:rsidRPr="00070B56">
        <w:rPr>
          <w:szCs w:val="26"/>
        </w:rPr>
        <w:t>n</w:t>
      </w:r>
      <w:r w:rsidRPr="00070B56">
        <w:rPr>
          <w:szCs w:val="26"/>
        </w:rPr>
        <w:t>duráin</w:t>
      </w:r>
      <w:r w:rsidR="00070B56" w:rsidRPr="00070B56">
        <w:rPr>
          <w:szCs w:val="26"/>
        </w:rPr>
        <w:t>. P</w:t>
      </w:r>
      <w:r w:rsidR="00070B56">
        <w:rPr>
          <w:szCs w:val="26"/>
        </w:rPr>
        <w:t>ara ello, re</w:t>
      </w:r>
      <w:r w:rsidR="00070B56" w:rsidRPr="00070B56">
        <w:rPr>
          <w:szCs w:val="26"/>
        </w:rPr>
        <w:t>comend</w:t>
      </w:r>
      <w:r w:rsidR="008E4A59">
        <w:rPr>
          <w:szCs w:val="26"/>
        </w:rPr>
        <w:t>a</w:t>
      </w:r>
      <w:r w:rsidR="00070B56" w:rsidRPr="00070B56">
        <w:rPr>
          <w:szCs w:val="26"/>
        </w:rPr>
        <w:t>mos</w:t>
      </w:r>
      <w:r w:rsidR="0076408C" w:rsidRPr="00070B56">
        <w:rPr>
          <w:szCs w:val="26"/>
        </w:rPr>
        <w:t>:</w:t>
      </w:r>
    </w:p>
    <w:p w:rsidR="000122CE" w:rsidRDefault="00582E34"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rPr>
          <w:i/>
          <w:szCs w:val="26"/>
        </w:rPr>
      </w:pPr>
      <w:r w:rsidRPr="000122CE">
        <w:rPr>
          <w:i/>
          <w:szCs w:val="26"/>
        </w:rPr>
        <w:t>Configurar</w:t>
      </w:r>
      <w:r w:rsidR="000122CE" w:rsidRPr="000122CE">
        <w:rPr>
          <w:i/>
          <w:szCs w:val="26"/>
        </w:rPr>
        <w:t xml:space="preserve"> </w:t>
      </w:r>
      <w:r w:rsidRPr="000122CE">
        <w:rPr>
          <w:i/>
          <w:szCs w:val="26"/>
        </w:rPr>
        <w:t xml:space="preserve">tal Fundación como </w:t>
      </w:r>
      <w:r w:rsidR="006922D0">
        <w:rPr>
          <w:i/>
          <w:szCs w:val="26"/>
        </w:rPr>
        <w:t xml:space="preserve">una entidad </w:t>
      </w:r>
      <w:r w:rsidRPr="000122CE">
        <w:rPr>
          <w:i/>
          <w:szCs w:val="26"/>
        </w:rPr>
        <w:t xml:space="preserve">de naturaleza pública </w:t>
      </w:r>
      <w:r w:rsidR="000122CE">
        <w:rPr>
          <w:i/>
          <w:szCs w:val="26"/>
        </w:rPr>
        <w:t>adscr</w:t>
      </w:r>
      <w:r w:rsidR="000122CE">
        <w:rPr>
          <w:i/>
          <w:szCs w:val="26"/>
        </w:rPr>
        <w:t>i</w:t>
      </w:r>
      <w:r w:rsidR="000122CE">
        <w:rPr>
          <w:i/>
          <w:szCs w:val="26"/>
        </w:rPr>
        <w:t>ta a la</w:t>
      </w:r>
      <w:r w:rsidRPr="000122CE">
        <w:rPr>
          <w:i/>
          <w:szCs w:val="26"/>
        </w:rPr>
        <w:t xml:space="preserve"> Adm</w:t>
      </w:r>
      <w:r w:rsidR="000122CE" w:rsidRPr="000122CE">
        <w:rPr>
          <w:i/>
          <w:szCs w:val="26"/>
        </w:rPr>
        <w:t>i</w:t>
      </w:r>
      <w:r w:rsidRPr="000122CE">
        <w:rPr>
          <w:i/>
          <w:szCs w:val="26"/>
        </w:rPr>
        <w:t>nistración de la Comunidad Foral, la cual</w:t>
      </w:r>
      <w:r w:rsidR="000122CE">
        <w:rPr>
          <w:i/>
          <w:szCs w:val="26"/>
        </w:rPr>
        <w:t xml:space="preserve"> se regiría</w:t>
      </w:r>
      <w:r w:rsidR="000122CE" w:rsidRPr="000122CE">
        <w:rPr>
          <w:i/>
          <w:szCs w:val="26"/>
        </w:rPr>
        <w:t xml:space="preserve"> por el ord</w:t>
      </w:r>
      <w:r w:rsidR="000122CE" w:rsidRPr="000122CE">
        <w:rPr>
          <w:i/>
          <w:szCs w:val="26"/>
        </w:rPr>
        <w:t>e</w:t>
      </w:r>
      <w:r w:rsidR="000122CE" w:rsidRPr="000122CE">
        <w:rPr>
          <w:i/>
          <w:szCs w:val="26"/>
        </w:rPr>
        <w:t>namiento jurídico privado, sin perjuicio de las especialidades establecidas en la normativa administrativa aplicable en materia de contratación</w:t>
      </w:r>
      <w:r w:rsidR="00313E9A">
        <w:rPr>
          <w:i/>
          <w:szCs w:val="26"/>
        </w:rPr>
        <w:t xml:space="preserve">, </w:t>
      </w:r>
      <w:r w:rsidR="000122CE" w:rsidRPr="000122CE">
        <w:rPr>
          <w:i/>
          <w:szCs w:val="26"/>
        </w:rPr>
        <w:t>presupue</w:t>
      </w:r>
      <w:r w:rsidR="000122CE" w:rsidRPr="000122CE">
        <w:rPr>
          <w:i/>
          <w:szCs w:val="26"/>
        </w:rPr>
        <w:t>s</w:t>
      </w:r>
      <w:r w:rsidR="000122CE" w:rsidRPr="000122CE">
        <w:rPr>
          <w:i/>
          <w:szCs w:val="26"/>
        </w:rPr>
        <w:t xml:space="preserve">taria, contable y de control financiero. </w:t>
      </w:r>
      <w:r w:rsidR="00E44824">
        <w:rPr>
          <w:i/>
          <w:szCs w:val="26"/>
        </w:rPr>
        <w:t>Lógicamente este cambio implicará una revisión</w:t>
      </w:r>
      <w:r w:rsidR="007B753C">
        <w:rPr>
          <w:i/>
          <w:szCs w:val="26"/>
        </w:rPr>
        <w:t xml:space="preserve"> y adaptación</w:t>
      </w:r>
      <w:r w:rsidR="00E44824">
        <w:rPr>
          <w:i/>
          <w:szCs w:val="26"/>
        </w:rPr>
        <w:t xml:space="preserve"> de sus estatutos.</w:t>
      </w:r>
    </w:p>
    <w:p w:rsidR="007C5BFE" w:rsidRDefault="004F662D" w:rsidP="00FF4AA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rPr>
          <w:i/>
          <w:szCs w:val="26"/>
        </w:rPr>
      </w:pPr>
      <w:r>
        <w:rPr>
          <w:i/>
          <w:szCs w:val="26"/>
        </w:rPr>
        <w:t xml:space="preserve">En este supuesto de fundación pública, podría estudiarse la </w:t>
      </w:r>
      <w:r w:rsidR="007C5BFE">
        <w:rPr>
          <w:i/>
          <w:szCs w:val="26"/>
        </w:rPr>
        <w:t>opción de que el Gobierno financie</w:t>
      </w:r>
      <w:r w:rsidR="00A73CD2">
        <w:rPr>
          <w:i/>
          <w:szCs w:val="26"/>
        </w:rPr>
        <w:t>, en su caso,</w:t>
      </w:r>
      <w:r w:rsidR="007C5BFE">
        <w:rPr>
          <w:i/>
          <w:szCs w:val="26"/>
        </w:rPr>
        <w:t xml:space="preserve"> el déficit anual de la misma, utilizándose p</w:t>
      </w:r>
      <w:r w:rsidR="007C5BFE">
        <w:rPr>
          <w:i/>
          <w:szCs w:val="26"/>
        </w:rPr>
        <w:t>a</w:t>
      </w:r>
      <w:r w:rsidR="007C5BFE">
        <w:rPr>
          <w:i/>
          <w:szCs w:val="26"/>
        </w:rPr>
        <w:t xml:space="preserve">ra ello la fórmula de las entregas a cuenta y una liquidación final. </w:t>
      </w:r>
    </w:p>
    <w:p w:rsidR="00FF4AA3" w:rsidRPr="00E72E13" w:rsidRDefault="00FF4AA3" w:rsidP="00FF4AA3">
      <w:pPr>
        <w:pStyle w:val="texto"/>
        <w:tabs>
          <w:tab w:val="clear" w:pos="2835"/>
          <w:tab w:val="center" w:pos="360"/>
        </w:tabs>
        <w:spacing w:before="360"/>
        <w:ind w:firstLine="357"/>
        <w:rPr>
          <w:lang w:val="es-ES"/>
        </w:rPr>
      </w:pPr>
      <w:r>
        <w:rPr>
          <w:lang w:val="es-ES"/>
        </w:rPr>
        <w:t>Informe que se emite a propuesta del auditor Ignacio Cabeza Del Salvador, responsable de la realización de este trabajo, una vez cumplimentados los tr</w:t>
      </w:r>
      <w:r>
        <w:rPr>
          <w:lang w:val="es-ES"/>
        </w:rPr>
        <w:t>á</w:t>
      </w:r>
      <w:r>
        <w:rPr>
          <w:lang w:val="es-ES"/>
        </w:rPr>
        <w:t>mites previstos por la normativa vigente.</w:t>
      </w:r>
    </w:p>
    <w:p w:rsidR="00FF4AA3" w:rsidRPr="000C7FAB" w:rsidRDefault="00FF4AA3" w:rsidP="00FF4AA3">
      <w:pPr>
        <w:pStyle w:val="texto"/>
        <w:tabs>
          <w:tab w:val="clear" w:pos="2835"/>
          <w:tab w:val="center" w:pos="540"/>
        </w:tabs>
        <w:ind w:firstLine="0"/>
        <w:jc w:val="center"/>
      </w:pPr>
      <w:r w:rsidRPr="0090501B">
        <w:t>Pamplona,</w:t>
      </w:r>
      <w:r w:rsidRPr="007B62C8">
        <w:t xml:space="preserve"> </w:t>
      </w:r>
      <w:r w:rsidR="000C7FAB">
        <w:t>2</w:t>
      </w:r>
      <w:r w:rsidR="0060206F" w:rsidRPr="007B62C8">
        <w:t xml:space="preserve"> </w:t>
      </w:r>
      <w:r w:rsidRPr="007B62C8">
        <w:t xml:space="preserve">de </w:t>
      </w:r>
      <w:r w:rsidR="0060206F" w:rsidRPr="007B62C8">
        <w:t>agosto</w:t>
      </w:r>
      <w:r w:rsidRPr="007B62C8">
        <w:t xml:space="preserve"> de 2016</w:t>
      </w:r>
    </w:p>
    <w:p w:rsidR="0060206F" w:rsidRDefault="00FF4AA3" w:rsidP="005A5377">
      <w:pPr>
        <w:pStyle w:val="texto"/>
        <w:tabs>
          <w:tab w:val="clear" w:pos="2835"/>
          <w:tab w:val="clear" w:pos="3969"/>
          <w:tab w:val="clear" w:pos="5103"/>
        </w:tabs>
        <w:ind w:firstLine="300"/>
        <w:jc w:val="center"/>
      </w:pPr>
      <w:r>
        <w:t>La</w:t>
      </w:r>
      <w:r w:rsidRPr="0090501B">
        <w:t xml:space="preserve"> president</w:t>
      </w:r>
      <w:r>
        <w:t>a</w:t>
      </w:r>
      <w:r w:rsidRPr="0090501B">
        <w:t>,</w:t>
      </w:r>
      <w:r w:rsidR="00EE0BFA">
        <w:t xml:space="preserve"> </w:t>
      </w:r>
    </w:p>
    <w:p w:rsidR="00FF4AA3" w:rsidRPr="0090501B" w:rsidRDefault="00FF4AA3" w:rsidP="005A5377">
      <w:pPr>
        <w:pStyle w:val="texto"/>
        <w:tabs>
          <w:tab w:val="clear" w:pos="2835"/>
          <w:tab w:val="clear" w:pos="3969"/>
          <w:tab w:val="clear" w:pos="5103"/>
        </w:tabs>
        <w:ind w:firstLine="300"/>
        <w:jc w:val="center"/>
      </w:pPr>
      <w:r>
        <w:t>Asunción Olaechea Estanga</w:t>
      </w:r>
    </w:p>
    <w:p w:rsidR="00BE2AD4" w:rsidRPr="00BE2AD4" w:rsidRDefault="00BE2AD4" w:rsidP="00FF4AA3">
      <w:pPr>
        <w:pStyle w:val="texto"/>
        <w:tabs>
          <w:tab w:val="clear" w:pos="2835"/>
          <w:tab w:val="clear" w:pos="3969"/>
          <w:tab w:val="clear" w:pos="5103"/>
          <w:tab w:val="clear" w:pos="6237"/>
          <w:tab w:val="clear" w:pos="7371"/>
        </w:tabs>
        <w:spacing w:before="240"/>
        <w:ind w:left="142" w:firstLine="0"/>
        <w:rPr>
          <w:szCs w:val="26"/>
        </w:rPr>
      </w:pPr>
    </w:p>
    <w:sectPr w:rsidR="00BE2AD4" w:rsidRPr="00BE2AD4" w:rsidSect="00DB06C2">
      <w:footerReference w:type="default" r:id="rId14"/>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94A" w:rsidRDefault="0004194A">
      <w:r>
        <w:separator/>
      </w:r>
    </w:p>
    <w:p w:rsidR="0004194A" w:rsidRDefault="0004194A"/>
    <w:p w:rsidR="0004194A" w:rsidRDefault="0004194A"/>
    <w:p w:rsidR="0004194A" w:rsidRDefault="0004194A"/>
  </w:endnote>
  <w:endnote w:type="continuationSeparator" w:id="0">
    <w:p w:rsidR="0004194A" w:rsidRDefault="0004194A">
      <w:r>
        <w:continuationSeparator/>
      </w:r>
    </w:p>
    <w:p w:rsidR="0004194A" w:rsidRDefault="0004194A"/>
    <w:p w:rsidR="0004194A" w:rsidRDefault="0004194A"/>
    <w:p w:rsidR="0004194A" w:rsidRDefault="00041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ajan">
    <w:altName w:val="Courier New"/>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74B" w:rsidRDefault="002D674B"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D674B" w:rsidRDefault="002D674B"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74B" w:rsidRPr="00F03814" w:rsidRDefault="002D674B"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5C747C3C" wp14:editId="7BCEFEAF">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2D674B" w:rsidRPr="00F74E38" w:rsidRDefault="002D674B"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74B" w:rsidRDefault="002D674B"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74B" w:rsidRDefault="002D674B" w:rsidP="0072408E">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r>
      <w:rPr>
        <w:rFonts w:ascii="GillSans" w:hAnsi="GillSans"/>
        <w:noProof/>
        <w:lang w:val="es-ES" w:eastAsia="es-ES"/>
      </w:rPr>
      <w:drawing>
        <wp:anchor distT="0" distB="0" distL="114300" distR="114300" simplePos="0" relativeHeight="251659264" behindDoc="0" locked="0" layoutInCell="1" allowOverlap="1" wp14:anchorId="013036C4" wp14:editId="31B1A43E">
          <wp:simplePos x="0" y="0"/>
          <wp:positionH relativeFrom="column">
            <wp:posOffset>1905</wp:posOffset>
          </wp:positionH>
          <wp:positionV relativeFrom="paragraph">
            <wp:posOffset>-236220</wp:posOffset>
          </wp:positionV>
          <wp:extent cx="219075" cy="371475"/>
          <wp:effectExtent l="0" t="0" r="9525" b="9525"/>
          <wp:wrapSquare wrapText="bothSides"/>
          <wp:docPr id="40" name="Imagen 4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2E7F95">
      <w:rPr>
        <w:rStyle w:val="Nmerodepgina"/>
        <w:noProof/>
        <w:szCs w:val="24"/>
      </w:rPr>
      <w:t>25</w:t>
    </w:r>
    <w:r w:rsidRPr="001D4F09">
      <w:rPr>
        <w:rStyle w:val="Nmerodepgina"/>
        <w:szCs w:val="24"/>
      </w:rPr>
      <w:fldChar w:fldCharType="end"/>
    </w:r>
    <w:r w:rsidRPr="001D4F09">
      <w:rPr>
        <w:rStyle w:val="Nmerodepgina"/>
        <w:szCs w:val="24"/>
      </w:rPr>
      <w:t xml:space="preserve"> </w:t>
    </w:r>
    <w:r>
      <w:rPr>
        <w:rStyle w:val="Nmerodepgina"/>
        <w:szCs w:val="24"/>
      </w:rPr>
      <w:t>-</w:t>
    </w:r>
  </w:p>
  <w:p w:rsidR="002D674B" w:rsidRPr="00584A8A" w:rsidRDefault="002D674B" w:rsidP="00873B7F">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Arial (W1)" w:hAnsi="Arial (W1)"/>
        <w:b/>
        <w:color w:val="A6A6A6" w:themeColor="background1" w:themeShade="A6"/>
        <w:sz w:val="36"/>
        <w:szCs w:val="24"/>
      </w:rPr>
    </w:pPr>
  </w:p>
  <w:p w:rsidR="002D674B" w:rsidRDefault="002D67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94A" w:rsidRDefault="0004194A" w:rsidP="001F2A05">
      <w:pPr>
        <w:ind w:firstLine="0"/>
      </w:pPr>
      <w:r>
        <w:separator/>
      </w:r>
    </w:p>
  </w:footnote>
  <w:footnote w:type="continuationSeparator" w:id="0">
    <w:p w:rsidR="0004194A" w:rsidRDefault="0004194A" w:rsidP="00A5319B">
      <w:pPr>
        <w:ind w:firstLine="0"/>
      </w:pPr>
      <w:r>
        <w:continuationSeparator/>
      </w:r>
    </w:p>
  </w:footnote>
  <w:footnote w:id="1">
    <w:p w:rsidR="002D674B" w:rsidRDefault="002D674B" w:rsidP="004A33D1">
      <w:pPr>
        <w:pStyle w:val="Textonotapie"/>
        <w:ind w:firstLine="0"/>
      </w:pPr>
      <w:r>
        <w:rPr>
          <w:rStyle w:val="Refdenotaalpie"/>
        </w:rPr>
        <w:footnoteRef/>
      </w:r>
      <w:r>
        <w:t xml:space="preserve"> Esta empresa, a su vez, tiene un contrato de patrocinio con la Fundación a la que ha aportado, como media anual</w:t>
      </w:r>
      <w:r w:rsidR="00BB1D91">
        <w:t xml:space="preserve"> en el periodo</w:t>
      </w:r>
      <w:r>
        <w:t xml:space="preserve">, unos </w:t>
      </w:r>
      <w:r w:rsidR="00E309DF">
        <w:t>9.000</w:t>
      </w:r>
      <w:r>
        <w:t xml:space="preserve"> euros</w:t>
      </w:r>
      <w:r w:rsidR="00786335">
        <w:t>.</w:t>
      </w:r>
      <w:r>
        <w:t xml:space="preserve"> </w:t>
      </w:r>
    </w:p>
  </w:footnote>
  <w:footnote w:id="2">
    <w:p w:rsidR="002D674B" w:rsidRDefault="002D674B" w:rsidP="003606BE">
      <w:pPr>
        <w:pStyle w:val="Textonotapie"/>
        <w:spacing w:after="240"/>
        <w:ind w:firstLine="0"/>
      </w:pPr>
      <w:r>
        <w:rPr>
          <w:rStyle w:val="Refdenotaalpie"/>
        </w:rPr>
        <w:footnoteRef/>
      </w:r>
      <w:r>
        <w:t xml:space="preserve"> Artículo de carácter básico y que entrará en vigor en octubre de 2016</w:t>
      </w:r>
    </w:p>
  </w:footnote>
  <w:footnote w:id="3">
    <w:p w:rsidR="002D674B" w:rsidRDefault="002D674B" w:rsidP="003606BE">
      <w:pPr>
        <w:pStyle w:val="Textonotapie"/>
        <w:spacing w:after="240"/>
        <w:ind w:firstLine="0"/>
      </w:pPr>
      <w:r>
        <w:rPr>
          <w:rStyle w:val="Refdenotaalpie"/>
        </w:rPr>
        <w:footnoteRef/>
      </w:r>
      <w:r>
        <w:t xml:space="preserve"> A partir de las bases de 2013</w:t>
      </w:r>
    </w:p>
  </w:footnote>
  <w:footnote w:id="4">
    <w:p w:rsidR="002D674B" w:rsidRDefault="002D674B" w:rsidP="00197A61">
      <w:pPr>
        <w:pStyle w:val="Textonotapie"/>
        <w:spacing w:after="60"/>
        <w:ind w:firstLine="0"/>
      </w:pPr>
      <w:r>
        <w:rPr>
          <w:rStyle w:val="Refdenotaalpie"/>
        </w:rPr>
        <w:footnoteRef/>
      </w:r>
      <w:r>
        <w:t xml:space="preserve"> En concreto, Ley Foral 5/2014, de 14 de abril de modificación de la Ley Foral de Subvenciones.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74B" w:rsidRPr="0059650E" w:rsidRDefault="002D674B" w:rsidP="001F7894">
    <w:pPr>
      <w:pStyle w:val="Encabezado"/>
      <w:pBdr>
        <w:bottom w:val="single" w:sz="4" w:space="0" w:color="auto"/>
      </w:pBdr>
      <w:spacing w:after="40"/>
      <w:ind w:right="-142" w:firstLine="0"/>
      <w:jc w:val="left"/>
      <w:rPr>
        <w:lang w:val="es-ES"/>
      </w:rPr>
    </w:pPr>
    <w:r>
      <w:rPr>
        <w:b/>
        <w:noProof/>
        <w:lang w:val="es-ES" w:eastAsia="es-ES"/>
      </w:rPr>
      <w:drawing>
        <wp:inline distT="0" distB="0" distL="0" distR="0" wp14:anchorId="4AC305AE" wp14:editId="36BDBF2D">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w:t>
    </w:r>
    <w:r w:rsidR="0060206F">
      <w:rPr>
        <w:lang w:val="es-ES"/>
      </w:rPr>
      <w:t>de fiscalización</w:t>
    </w:r>
    <w:r>
      <w:rPr>
        <w:lang w:val="es-ES"/>
      </w:rPr>
      <w:t xml:space="preserve"> sobre subvenciones concedidas a la fundación m. induráin  (2005-2015)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74B" w:rsidRDefault="002D674B" w:rsidP="006A2D41">
    <w:pPr>
      <w:pStyle w:val="Encabezado"/>
      <w:ind w:firstLine="0"/>
      <w:jc w:val="left"/>
    </w:pPr>
    <w:r>
      <w:rPr>
        <w:noProof/>
        <w:lang w:val="es-ES" w:eastAsia="es-ES"/>
      </w:rPr>
      <w:drawing>
        <wp:inline distT="0" distB="0" distL="0" distR="0" wp14:anchorId="4F0D6733" wp14:editId="503CF175">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10C"/>
    <w:multiLevelType w:val="hybridMultilevel"/>
    <w:tmpl w:val="C726AF2A"/>
    <w:lvl w:ilvl="0" w:tplc="429CC54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169450B6"/>
    <w:multiLevelType w:val="hybridMultilevel"/>
    <w:tmpl w:val="EB781784"/>
    <w:lvl w:ilvl="0" w:tplc="2708C76A">
      <w:numFmt w:val="bullet"/>
      <w:lvlText w:val="-"/>
      <w:lvlJc w:val="left"/>
      <w:pPr>
        <w:ind w:left="779" w:hanging="495"/>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nsid w:val="2A466949"/>
    <w:multiLevelType w:val="hybridMultilevel"/>
    <w:tmpl w:val="94365DAA"/>
    <w:lvl w:ilvl="0" w:tplc="C57804FA">
      <w:start w:val="1"/>
      <w:numFmt w:val="decimal"/>
      <w:lvlText w:val="(%1)"/>
      <w:lvlJc w:val="left"/>
      <w:pPr>
        <w:ind w:left="510" w:hanging="360"/>
      </w:pPr>
      <w:rPr>
        <w:rFonts w:hint="default"/>
        <w:vertAlign w:val="superscript"/>
      </w:rPr>
    </w:lvl>
    <w:lvl w:ilvl="1" w:tplc="0C0A0019" w:tentative="1">
      <w:start w:val="1"/>
      <w:numFmt w:val="lowerLetter"/>
      <w:lvlText w:val="%2."/>
      <w:lvlJc w:val="left"/>
      <w:pPr>
        <w:ind w:left="1230" w:hanging="360"/>
      </w:pPr>
    </w:lvl>
    <w:lvl w:ilvl="2" w:tplc="0C0A001B" w:tentative="1">
      <w:start w:val="1"/>
      <w:numFmt w:val="lowerRoman"/>
      <w:lvlText w:val="%3."/>
      <w:lvlJc w:val="right"/>
      <w:pPr>
        <w:ind w:left="1950" w:hanging="180"/>
      </w:pPr>
    </w:lvl>
    <w:lvl w:ilvl="3" w:tplc="0C0A000F" w:tentative="1">
      <w:start w:val="1"/>
      <w:numFmt w:val="decimal"/>
      <w:lvlText w:val="%4."/>
      <w:lvlJc w:val="left"/>
      <w:pPr>
        <w:ind w:left="2670" w:hanging="360"/>
      </w:pPr>
    </w:lvl>
    <w:lvl w:ilvl="4" w:tplc="0C0A0019" w:tentative="1">
      <w:start w:val="1"/>
      <w:numFmt w:val="lowerLetter"/>
      <w:lvlText w:val="%5."/>
      <w:lvlJc w:val="left"/>
      <w:pPr>
        <w:ind w:left="3390" w:hanging="360"/>
      </w:pPr>
    </w:lvl>
    <w:lvl w:ilvl="5" w:tplc="0C0A001B" w:tentative="1">
      <w:start w:val="1"/>
      <w:numFmt w:val="lowerRoman"/>
      <w:lvlText w:val="%6."/>
      <w:lvlJc w:val="right"/>
      <w:pPr>
        <w:ind w:left="4110" w:hanging="180"/>
      </w:pPr>
    </w:lvl>
    <w:lvl w:ilvl="6" w:tplc="0C0A000F" w:tentative="1">
      <w:start w:val="1"/>
      <w:numFmt w:val="decimal"/>
      <w:lvlText w:val="%7."/>
      <w:lvlJc w:val="left"/>
      <w:pPr>
        <w:ind w:left="4830" w:hanging="360"/>
      </w:pPr>
    </w:lvl>
    <w:lvl w:ilvl="7" w:tplc="0C0A0019" w:tentative="1">
      <w:start w:val="1"/>
      <w:numFmt w:val="lowerLetter"/>
      <w:lvlText w:val="%8."/>
      <w:lvlJc w:val="left"/>
      <w:pPr>
        <w:ind w:left="5550" w:hanging="360"/>
      </w:pPr>
    </w:lvl>
    <w:lvl w:ilvl="8" w:tplc="0C0A001B" w:tentative="1">
      <w:start w:val="1"/>
      <w:numFmt w:val="lowerRoman"/>
      <w:lvlText w:val="%9."/>
      <w:lvlJc w:val="right"/>
      <w:pPr>
        <w:ind w:left="6270" w:hanging="180"/>
      </w:pPr>
    </w:lvl>
  </w:abstractNum>
  <w:abstractNum w:abstractNumId="4">
    <w:nsid w:val="2CC70134"/>
    <w:multiLevelType w:val="hybridMultilevel"/>
    <w:tmpl w:val="78D89BCC"/>
    <w:lvl w:ilvl="0" w:tplc="23AE2700">
      <w:start w:val="4"/>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3D5E705B"/>
    <w:multiLevelType w:val="hybridMultilevel"/>
    <w:tmpl w:val="2E6442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4F97107C"/>
    <w:multiLevelType w:val="hybridMultilevel"/>
    <w:tmpl w:val="52341174"/>
    <w:lvl w:ilvl="0" w:tplc="7E32CA40">
      <w:start w:val="46"/>
      <w:numFmt w:val="bullet"/>
      <w:lvlText w:val=""/>
      <w:lvlJc w:val="left"/>
      <w:pPr>
        <w:ind w:left="1004" w:hanging="360"/>
      </w:pPr>
      <w:rPr>
        <w:rFonts w:ascii="Wingdings" w:hAnsi="Wingdings" w:hint="default"/>
        <w:sz w:val="18"/>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51237E13"/>
    <w:multiLevelType w:val="hybridMultilevel"/>
    <w:tmpl w:val="9D14A09E"/>
    <w:lvl w:ilvl="0" w:tplc="F50A19D2">
      <w:start w:val="46"/>
      <w:numFmt w:val="bullet"/>
      <w:lvlText w:val=""/>
      <w:lvlJc w:val="left"/>
      <w:pPr>
        <w:ind w:left="1010" w:hanging="360"/>
      </w:pPr>
      <w:rPr>
        <w:rFonts w:ascii="Wingdings" w:hAnsi="Wingdings" w:hint="default"/>
      </w:rPr>
    </w:lvl>
    <w:lvl w:ilvl="1" w:tplc="0C0A0003">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8">
    <w:nsid w:val="57E5269B"/>
    <w:multiLevelType w:val="hybridMultilevel"/>
    <w:tmpl w:val="80DC1A76"/>
    <w:lvl w:ilvl="0" w:tplc="0246A240">
      <w:start w:val="2"/>
      <w:numFmt w:val="bullet"/>
      <w:lvlText w:val="-"/>
      <w:lvlJc w:val="left"/>
      <w:pPr>
        <w:ind w:left="502" w:hanging="360"/>
      </w:pPr>
      <w:rPr>
        <w:rFonts w:ascii="Times New Roman" w:eastAsia="Times New Roman"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9">
    <w:nsid w:val="62983E56"/>
    <w:multiLevelType w:val="hybridMultilevel"/>
    <w:tmpl w:val="01FA4EF6"/>
    <w:lvl w:ilvl="0" w:tplc="A390464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644B5128"/>
    <w:multiLevelType w:val="singleLevel"/>
    <w:tmpl w:val="F50A19D2"/>
    <w:lvl w:ilvl="0">
      <w:start w:val="46"/>
      <w:numFmt w:val="bullet"/>
      <w:lvlText w:val=""/>
      <w:lvlJc w:val="left"/>
      <w:pPr>
        <w:tabs>
          <w:tab w:val="num" w:pos="502"/>
        </w:tabs>
        <w:ind w:left="-28" w:firstLine="170"/>
      </w:pPr>
      <w:rPr>
        <w:rFonts w:ascii="Wingdings" w:hAnsi="Wingdings" w:hint="default"/>
      </w:rPr>
    </w:lvl>
  </w:abstractNum>
  <w:num w:numId="1">
    <w:abstractNumId w:val="10"/>
  </w:num>
  <w:num w:numId="2">
    <w:abstractNumId w:val="1"/>
  </w:num>
  <w:num w:numId="3">
    <w:abstractNumId w:val="7"/>
  </w:num>
  <w:num w:numId="4">
    <w:abstractNumId w:val="8"/>
  </w:num>
  <w:num w:numId="5">
    <w:abstractNumId w:val="4"/>
  </w:num>
  <w:num w:numId="6">
    <w:abstractNumId w:val="9"/>
  </w:num>
  <w:num w:numId="7">
    <w:abstractNumId w:val="3"/>
  </w:num>
  <w:num w:numId="8">
    <w:abstractNumId w:val="5"/>
  </w:num>
  <w:num w:numId="9">
    <w:abstractNumId w:val="6"/>
  </w:num>
  <w:num w:numId="10">
    <w:abstractNumId w:val="2"/>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CC"/>
    <w:rsid w:val="00000155"/>
    <w:rsid w:val="00000624"/>
    <w:rsid w:val="00000781"/>
    <w:rsid w:val="000019D8"/>
    <w:rsid w:val="00002640"/>
    <w:rsid w:val="00004162"/>
    <w:rsid w:val="00004531"/>
    <w:rsid w:val="00004E87"/>
    <w:rsid w:val="00005604"/>
    <w:rsid w:val="00005A48"/>
    <w:rsid w:val="00005E98"/>
    <w:rsid w:val="00006736"/>
    <w:rsid w:val="00006A97"/>
    <w:rsid w:val="00006F99"/>
    <w:rsid w:val="00011172"/>
    <w:rsid w:val="0001123B"/>
    <w:rsid w:val="00011662"/>
    <w:rsid w:val="0001223E"/>
    <w:rsid w:val="000122CE"/>
    <w:rsid w:val="00012A7F"/>
    <w:rsid w:val="00012D78"/>
    <w:rsid w:val="00012EC4"/>
    <w:rsid w:val="000132E9"/>
    <w:rsid w:val="00013553"/>
    <w:rsid w:val="00014941"/>
    <w:rsid w:val="00015835"/>
    <w:rsid w:val="00016A0F"/>
    <w:rsid w:val="0001781F"/>
    <w:rsid w:val="00017A3A"/>
    <w:rsid w:val="00017A48"/>
    <w:rsid w:val="00020941"/>
    <w:rsid w:val="00020CD1"/>
    <w:rsid w:val="000212A5"/>
    <w:rsid w:val="0002146A"/>
    <w:rsid w:val="00023062"/>
    <w:rsid w:val="00024922"/>
    <w:rsid w:val="00025E9B"/>
    <w:rsid w:val="00026242"/>
    <w:rsid w:val="000262C3"/>
    <w:rsid w:val="00026720"/>
    <w:rsid w:val="00027034"/>
    <w:rsid w:val="000301DB"/>
    <w:rsid w:val="00030EB6"/>
    <w:rsid w:val="00031839"/>
    <w:rsid w:val="00032B64"/>
    <w:rsid w:val="00032D0F"/>
    <w:rsid w:val="0003340A"/>
    <w:rsid w:val="00033A91"/>
    <w:rsid w:val="00033BB1"/>
    <w:rsid w:val="00034301"/>
    <w:rsid w:val="000349F5"/>
    <w:rsid w:val="00036C0F"/>
    <w:rsid w:val="00036E42"/>
    <w:rsid w:val="00036F10"/>
    <w:rsid w:val="00037F6A"/>
    <w:rsid w:val="000401DA"/>
    <w:rsid w:val="00040911"/>
    <w:rsid w:val="0004194A"/>
    <w:rsid w:val="00041F12"/>
    <w:rsid w:val="0004256B"/>
    <w:rsid w:val="000425DB"/>
    <w:rsid w:val="00042714"/>
    <w:rsid w:val="0004305C"/>
    <w:rsid w:val="0004373B"/>
    <w:rsid w:val="00043A0C"/>
    <w:rsid w:val="000448FA"/>
    <w:rsid w:val="00044F0F"/>
    <w:rsid w:val="00044F35"/>
    <w:rsid w:val="000464A4"/>
    <w:rsid w:val="000468C3"/>
    <w:rsid w:val="00047167"/>
    <w:rsid w:val="00047297"/>
    <w:rsid w:val="000478F4"/>
    <w:rsid w:val="000504A6"/>
    <w:rsid w:val="00050D8C"/>
    <w:rsid w:val="000528F8"/>
    <w:rsid w:val="000531FF"/>
    <w:rsid w:val="00053575"/>
    <w:rsid w:val="00053783"/>
    <w:rsid w:val="00053A42"/>
    <w:rsid w:val="00053AA1"/>
    <w:rsid w:val="00054E9A"/>
    <w:rsid w:val="0005517D"/>
    <w:rsid w:val="00055968"/>
    <w:rsid w:val="0005601A"/>
    <w:rsid w:val="000561FF"/>
    <w:rsid w:val="00056408"/>
    <w:rsid w:val="000564FA"/>
    <w:rsid w:val="00057461"/>
    <w:rsid w:val="00057914"/>
    <w:rsid w:val="0006133D"/>
    <w:rsid w:val="00061AA9"/>
    <w:rsid w:val="00062575"/>
    <w:rsid w:val="00063585"/>
    <w:rsid w:val="00064240"/>
    <w:rsid w:val="00064667"/>
    <w:rsid w:val="000649A0"/>
    <w:rsid w:val="00066838"/>
    <w:rsid w:val="000676C4"/>
    <w:rsid w:val="000677CD"/>
    <w:rsid w:val="00067C61"/>
    <w:rsid w:val="000702E1"/>
    <w:rsid w:val="00070B56"/>
    <w:rsid w:val="00071558"/>
    <w:rsid w:val="0007168C"/>
    <w:rsid w:val="00071CD0"/>
    <w:rsid w:val="00071F6B"/>
    <w:rsid w:val="000728EB"/>
    <w:rsid w:val="0007293A"/>
    <w:rsid w:val="00072967"/>
    <w:rsid w:val="00072B53"/>
    <w:rsid w:val="00074A4C"/>
    <w:rsid w:val="00074C75"/>
    <w:rsid w:val="00074ECC"/>
    <w:rsid w:val="00075692"/>
    <w:rsid w:val="00075AEC"/>
    <w:rsid w:val="0007622A"/>
    <w:rsid w:val="00076450"/>
    <w:rsid w:val="0007678F"/>
    <w:rsid w:val="00076947"/>
    <w:rsid w:val="00077848"/>
    <w:rsid w:val="000811B8"/>
    <w:rsid w:val="0008248E"/>
    <w:rsid w:val="000828E5"/>
    <w:rsid w:val="00082A28"/>
    <w:rsid w:val="000831B6"/>
    <w:rsid w:val="00083928"/>
    <w:rsid w:val="00083ADC"/>
    <w:rsid w:val="00084177"/>
    <w:rsid w:val="0008442F"/>
    <w:rsid w:val="00084C4D"/>
    <w:rsid w:val="00085988"/>
    <w:rsid w:val="000862A3"/>
    <w:rsid w:val="00087B8D"/>
    <w:rsid w:val="0009040B"/>
    <w:rsid w:val="00090E15"/>
    <w:rsid w:val="00092434"/>
    <w:rsid w:val="00092ADE"/>
    <w:rsid w:val="00092DF2"/>
    <w:rsid w:val="00093D67"/>
    <w:rsid w:val="00093E60"/>
    <w:rsid w:val="000940D7"/>
    <w:rsid w:val="0009411D"/>
    <w:rsid w:val="00094A47"/>
    <w:rsid w:val="00095932"/>
    <w:rsid w:val="00095941"/>
    <w:rsid w:val="00095BE9"/>
    <w:rsid w:val="00096FFA"/>
    <w:rsid w:val="00097387"/>
    <w:rsid w:val="000A01FA"/>
    <w:rsid w:val="000A08FC"/>
    <w:rsid w:val="000A09EF"/>
    <w:rsid w:val="000A0AC8"/>
    <w:rsid w:val="000A0FCD"/>
    <w:rsid w:val="000A12A7"/>
    <w:rsid w:val="000A1792"/>
    <w:rsid w:val="000A18B7"/>
    <w:rsid w:val="000A2061"/>
    <w:rsid w:val="000A225D"/>
    <w:rsid w:val="000A27A2"/>
    <w:rsid w:val="000A2C1E"/>
    <w:rsid w:val="000A34D8"/>
    <w:rsid w:val="000A35C1"/>
    <w:rsid w:val="000A4219"/>
    <w:rsid w:val="000A42F6"/>
    <w:rsid w:val="000A4697"/>
    <w:rsid w:val="000A46F3"/>
    <w:rsid w:val="000A4A9C"/>
    <w:rsid w:val="000A4FCC"/>
    <w:rsid w:val="000A5222"/>
    <w:rsid w:val="000A525A"/>
    <w:rsid w:val="000A5AD2"/>
    <w:rsid w:val="000A5B88"/>
    <w:rsid w:val="000A6C4D"/>
    <w:rsid w:val="000B0434"/>
    <w:rsid w:val="000B0B1E"/>
    <w:rsid w:val="000B0D4C"/>
    <w:rsid w:val="000B1558"/>
    <w:rsid w:val="000B1576"/>
    <w:rsid w:val="000B18ED"/>
    <w:rsid w:val="000B23DF"/>
    <w:rsid w:val="000B2728"/>
    <w:rsid w:val="000B2764"/>
    <w:rsid w:val="000B3943"/>
    <w:rsid w:val="000B4477"/>
    <w:rsid w:val="000B4CF6"/>
    <w:rsid w:val="000B5023"/>
    <w:rsid w:val="000B5065"/>
    <w:rsid w:val="000B59B9"/>
    <w:rsid w:val="000B6896"/>
    <w:rsid w:val="000B6F64"/>
    <w:rsid w:val="000B7D3A"/>
    <w:rsid w:val="000C0704"/>
    <w:rsid w:val="000C17DD"/>
    <w:rsid w:val="000C19FC"/>
    <w:rsid w:val="000C2411"/>
    <w:rsid w:val="000C2B07"/>
    <w:rsid w:val="000C30E9"/>
    <w:rsid w:val="000C3451"/>
    <w:rsid w:val="000C3495"/>
    <w:rsid w:val="000C398A"/>
    <w:rsid w:val="000C39CC"/>
    <w:rsid w:val="000C429F"/>
    <w:rsid w:val="000C45C9"/>
    <w:rsid w:val="000C4AB2"/>
    <w:rsid w:val="000C55C3"/>
    <w:rsid w:val="000C6073"/>
    <w:rsid w:val="000C6499"/>
    <w:rsid w:val="000C64D6"/>
    <w:rsid w:val="000C6935"/>
    <w:rsid w:val="000C7225"/>
    <w:rsid w:val="000C7566"/>
    <w:rsid w:val="000C7C8D"/>
    <w:rsid w:val="000C7FAB"/>
    <w:rsid w:val="000D07B1"/>
    <w:rsid w:val="000D0A95"/>
    <w:rsid w:val="000D0D34"/>
    <w:rsid w:val="000D0E71"/>
    <w:rsid w:val="000D188E"/>
    <w:rsid w:val="000D1F16"/>
    <w:rsid w:val="000D2601"/>
    <w:rsid w:val="000D29E9"/>
    <w:rsid w:val="000D2A9F"/>
    <w:rsid w:val="000D3BAB"/>
    <w:rsid w:val="000D48B4"/>
    <w:rsid w:val="000D4D73"/>
    <w:rsid w:val="000D5178"/>
    <w:rsid w:val="000D5335"/>
    <w:rsid w:val="000D67B3"/>
    <w:rsid w:val="000D67E8"/>
    <w:rsid w:val="000D70E5"/>
    <w:rsid w:val="000D7E2F"/>
    <w:rsid w:val="000E0F69"/>
    <w:rsid w:val="000E2297"/>
    <w:rsid w:val="000E283B"/>
    <w:rsid w:val="000E287F"/>
    <w:rsid w:val="000E2E81"/>
    <w:rsid w:val="000E472F"/>
    <w:rsid w:val="000E4927"/>
    <w:rsid w:val="000E495B"/>
    <w:rsid w:val="000E4E1D"/>
    <w:rsid w:val="000E4F75"/>
    <w:rsid w:val="000E51E9"/>
    <w:rsid w:val="000E5894"/>
    <w:rsid w:val="000E600D"/>
    <w:rsid w:val="000E6102"/>
    <w:rsid w:val="000E64FF"/>
    <w:rsid w:val="000E6E44"/>
    <w:rsid w:val="000E7B86"/>
    <w:rsid w:val="000E7EE8"/>
    <w:rsid w:val="000F000D"/>
    <w:rsid w:val="000F0DD0"/>
    <w:rsid w:val="000F0E7E"/>
    <w:rsid w:val="000F1931"/>
    <w:rsid w:val="000F2B66"/>
    <w:rsid w:val="000F3371"/>
    <w:rsid w:val="000F3452"/>
    <w:rsid w:val="000F3478"/>
    <w:rsid w:val="000F3D83"/>
    <w:rsid w:val="000F465E"/>
    <w:rsid w:val="000F5424"/>
    <w:rsid w:val="000F5ACB"/>
    <w:rsid w:val="000F5C5C"/>
    <w:rsid w:val="000F5EFF"/>
    <w:rsid w:val="000F6BF1"/>
    <w:rsid w:val="000F73EA"/>
    <w:rsid w:val="0010013F"/>
    <w:rsid w:val="00100A4A"/>
    <w:rsid w:val="00100E07"/>
    <w:rsid w:val="00100F12"/>
    <w:rsid w:val="00101E1C"/>
    <w:rsid w:val="00102392"/>
    <w:rsid w:val="00103489"/>
    <w:rsid w:val="00103589"/>
    <w:rsid w:val="0010370B"/>
    <w:rsid w:val="00104363"/>
    <w:rsid w:val="001045C9"/>
    <w:rsid w:val="00104B72"/>
    <w:rsid w:val="001058CE"/>
    <w:rsid w:val="00105D2E"/>
    <w:rsid w:val="00105DA1"/>
    <w:rsid w:val="00106186"/>
    <w:rsid w:val="00106B98"/>
    <w:rsid w:val="00107585"/>
    <w:rsid w:val="001075C1"/>
    <w:rsid w:val="00107863"/>
    <w:rsid w:val="00107B90"/>
    <w:rsid w:val="00107CC1"/>
    <w:rsid w:val="00107CC7"/>
    <w:rsid w:val="00110483"/>
    <w:rsid w:val="00110545"/>
    <w:rsid w:val="001111E9"/>
    <w:rsid w:val="00111A92"/>
    <w:rsid w:val="00112AAA"/>
    <w:rsid w:val="001131A9"/>
    <w:rsid w:val="00113466"/>
    <w:rsid w:val="001145C3"/>
    <w:rsid w:val="00114978"/>
    <w:rsid w:val="001158AB"/>
    <w:rsid w:val="00116150"/>
    <w:rsid w:val="001161D2"/>
    <w:rsid w:val="00116DA7"/>
    <w:rsid w:val="00117573"/>
    <w:rsid w:val="001176AA"/>
    <w:rsid w:val="00117E2F"/>
    <w:rsid w:val="00120A8B"/>
    <w:rsid w:val="00120C91"/>
    <w:rsid w:val="00120CBD"/>
    <w:rsid w:val="00120D31"/>
    <w:rsid w:val="001212CD"/>
    <w:rsid w:val="00121E13"/>
    <w:rsid w:val="00123574"/>
    <w:rsid w:val="00124B38"/>
    <w:rsid w:val="00124E7F"/>
    <w:rsid w:val="00125013"/>
    <w:rsid w:val="00125497"/>
    <w:rsid w:val="00126284"/>
    <w:rsid w:val="001267D2"/>
    <w:rsid w:val="00126818"/>
    <w:rsid w:val="00126E34"/>
    <w:rsid w:val="001300AC"/>
    <w:rsid w:val="0013026C"/>
    <w:rsid w:val="001304F7"/>
    <w:rsid w:val="001310C0"/>
    <w:rsid w:val="00131899"/>
    <w:rsid w:val="00131DF1"/>
    <w:rsid w:val="00132574"/>
    <w:rsid w:val="00132C38"/>
    <w:rsid w:val="00132DC3"/>
    <w:rsid w:val="00133984"/>
    <w:rsid w:val="00133A1E"/>
    <w:rsid w:val="00135051"/>
    <w:rsid w:val="00135C51"/>
    <w:rsid w:val="001365C4"/>
    <w:rsid w:val="00136C3B"/>
    <w:rsid w:val="001370C3"/>
    <w:rsid w:val="0013728E"/>
    <w:rsid w:val="00137870"/>
    <w:rsid w:val="00140739"/>
    <w:rsid w:val="00141052"/>
    <w:rsid w:val="0014147D"/>
    <w:rsid w:val="00141A82"/>
    <w:rsid w:val="00141C69"/>
    <w:rsid w:val="00141D29"/>
    <w:rsid w:val="00142581"/>
    <w:rsid w:val="001428A3"/>
    <w:rsid w:val="0014471F"/>
    <w:rsid w:val="0014506A"/>
    <w:rsid w:val="00145A9D"/>
    <w:rsid w:val="00146151"/>
    <w:rsid w:val="00146342"/>
    <w:rsid w:val="00146343"/>
    <w:rsid w:val="00146881"/>
    <w:rsid w:val="0014707F"/>
    <w:rsid w:val="0014728F"/>
    <w:rsid w:val="00150B10"/>
    <w:rsid w:val="00151243"/>
    <w:rsid w:val="00151C54"/>
    <w:rsid w:val="001521A2"/>
    <w:rsid w:val="00152358"/>
    <w:rsid w:val="00153382"/>
    <w:rsid w:val="00153678"/>
    <w:rsid w:val="00153708"/>
    <w:rsid w:val="00154489"/>
    <w:rsid w:val="00154A81"/>
    <w:rsid w:val="0015558D"/>
    <w:rsid w:val="001556A3"/>
    <w:rsid w:val="00155BFF"/>
    <w:rsid w:val="00157A5B"/>
    <w:rsid w:val="001600BF"/>
    <w:rsid w:val="00160AEA"/>
    <w:rsid w:val="00160F66"/>
    <w:rsid w:val="00161B4F"/>
    <w:rsid w:val="001622C0"/>
    <w:rsid w:val="001633AF"/>
    <w:rsid w:val="001648C8"/>
    <w:rsid w:val="00164B0F"/>
    <w:rsid w:val="00165FD7"/>
    <w:rsid w:val="001668AB"/>
    <w:rsid w:val="00166A6C"/>
    <w:rsid w:val="00167A64"/>
    <w:rsid w:val="001708D2"/>
    <w:rsid w:val="00170A61"/>
    <w:rsid w:val="00171448"/>
    <w:rsid w:val="00171A4E"/>
    <w:rsid w:val="001729F2"/>
    <w:rsid w:val="00173EDD"/>
    <w:rsid w:val="0017402B"/>
    <w:rsid w:val="0017459B"/>
    <w:rsid w:val="00174606"/>
    <w:rsid w:val="00174933"/>
    <w:rsid w:val="00175B28"/>
    <w:rsid w:val="00175E9A"/>
    <w:rsid w:val="0017645F"/>
    <w:rsid w:val="00176DE5"/>
    <w:rsid w:val="00177EC9"/>
    <w:rsid w:val="0018077E"/>
    <w:rsid w:val="00180D21"/>
    <w:rsid w:val="00180ED2"/>
    <w:rsid w:val="00180FFB"/>
    <w:rsid w:val="00181AB5"/>
    <w:rsid w:val="00181D37"/>
    <w:rsid w:val="00181DA3"/>
    <w:rsid w:val="00182DB2"/>
    <w:rsid w:val="00183412"/>
    <w:rsid w:val="001835B7"/>
    <w:rsid w:val="001838DC"/>
    <w:rsid w:val="001841D5"/>
    <w:rsid w:val="0018426B"/>
    <w:rsid w:val="0018440D"/>
    <w:rsid w:val="00184F43"/>
    <w:rsid w:val="00185192"/>
    <w:rsid w:val="00185432"/>
    <w:rsid w:val="00185A37"/>
    <w:rsid w:val="00186777"/>
    <w:rsid w:val="001868A4"/>
    <w:rsid w:val="00187E05"/>
    <w:rsid w:val="00190007"/>
    <w:rsid w:val="00191B74"/>
    <w:rsid w:val="001923A8"/>
    <w:rsid w:val="0019331F"/>
    <w:rsid w:val="001933A0"/>
    <w:rsid w:val="00193748"/>
    <w:rsid w:val="001937E5"/>
    <w:rsid w:val="00194309"/>
    <w:rsid w:val="00195084"/>
    <w:rsid w:val="001964B5"/>
    <w:rsid w:val="0019660E"/>
    <w:rsid w:val="00196F5E"/>
    <w:rsid w:val="00197172"/>
    <w:rsid w:val="00197A61"/>
    <w:rsid w:val="00197CF6"/>
    <w:rsid w:val="001A0E67"/>
    <w:rsid w:val="001A197F"/>
    <w:rsid w:val="001A37B3"/>
    <w:rsid w:val="001A426D"/>
    <w:rsid w:val="001A428F"/>
    <w:rsid w:val="001A45C2"/>
    <w:rsid w:val="001A4B1E"/>
    <w:rsid w:val="001A517A"/>
    <w:rsid w:val="001A52F1"/>
    <w:rsid w:val="001A5FF0"/>
    <w:rsid w:val="001A6D61"/>
    <w:rsid w:val="001A756A"/>
    <w:rsid w:val="001B0451"/>
    <w:rsid w:val="001B0597"/>
    <w:rsid w:val="001B06A2"/>
    <w:rsid w:val="001B0A10"/>
    <w:rsid w:val="001B0DFE"/>
    <w:rsid w:val="001B13ED"/>
    <w:rsid w:val="001B2055"/>
    <w:rsid w:val="001B3685"/>
    <w:rsid w:val="001B39E2"/>
    <w:rsid w:val="001B39F8"/>
    <w:rsid w:val="001B4C48"/>
    <w:rsid w:val="001B5078"/>
    <w:rsid w:val="001B5B58"/>
    <w:rsid w:val="001C16A2"/>
    <w:rsid w:val="001C1B78"/>
    <w:rsid w:val="001C2A60"/>
    <w:rsid w:val="001C2B26"/>
    <w:rsid w:val="001C2C55"/>
    <w:rsid w:val="001C2DF7"/>
    <w:rsid w:val="001C3129"/>
    <w:rsid w:val="001C3A32"/>
    <w:rsid w:val="001C3C5A"/>
    <w:rsid w:val="001C4173"/>
    <w:rsid w:val="001C628B"/>
    <w:rsid w:val="001C6484"/>
    <w:rsid w:val="001C79DC"/>
    <w:rsid w:val="001D02F9"/>
    <w:rsid w:val="001D068E"/>
    <w:rsid w:val="001D0B9B"/>
    <w:rsid w:val="001D11FE"/>
    <w:rsid w:val="001D3D28"/>
    <w:rsid w:val="001D4BF2"/>
    <w:rsid w:val="001D4F09"/>
    <w:rsid w:val="001D5C1B"/>
    <w:rsid w:val="001D6968"/>
    <w:rsid w:val="001E06D8"/>
    <w:rsid w:val="001E0E24"/>
    <w:rsid w:val="001E0F99"/>
    <w:rsid w:val="001E108E"/>
    <w:rsid w:val="001E115A"/>
    <w:rsid w:val="001E1411"/>
    <w:rsid w:val="001E17CB"/>
    <w:rsid w:val="001E1D08"/>
    <w:rsid w:val="001E2A02"/>
    <w:rsid w:val="001E3D82"/>
    <w:rsid w:val="001E4B93"/>
    <w:rsid w:val="001E4E1B"/>
    <w:rsid w:val="001E5D69"/>
    <w:rsid w:val="001E6108"/>
    <w:rsid w:val="001E6F0C"/>
    <w:rsid w:val="001E7189"/>
    <w:rsid w:val="001E77FC"/>
    <w:rsid w:val="001E7AE7"/>
    <w:rsid w:val="001E7E3B"/>
    <w:rsid w:val="001F022D"/>
    <w:rsid w:val="001F02EF"/>
    <w:rsid w:val="001F0C73"/>
    <w:rsid w:val="001F0D85"/>
    <w:rsid w:val="001F118D"/>
    <w:rsid w:val="001F1482"/>
    <w:rsid w:val="001F1B25"/>
    <w:rsid w:val="001F20D7"/>
    <w:rsid w:val="001F2418"/>
    <w:rsid w:val="001F2A05"/>
    <w:rsid w:val="001F3165"/>
    <w:rsid w:val="001F323F"/>
    <w:rsid w:val="001F3851"/>
    <w:rsid w:val="001F3B76"/>
    <w:rsid w:val="001F4548"/>
    <w:rsid w:val="001F4865"/>
    <w:rsid w:val="001F55DC"/>
    <w:rsid w:val="001F5A62"/>
    <w:rsid w:val="001F5A9A"/>
    <w:rsid w:val="001F6503"/>
    <w:rsid w:val="001F6A19"/>
    <w:rsid w:val="001F6AA3"/>
    <w:rsid w:val="001F7056"/>
    <w:rsid w:val="001F709B"/>
    <w:rsid w:val="001F7744"/>
    <w:rsid w:val="001F7894"/>
    <w:rsid w:val="001F7D17"/>
    <w:rsid w:val="002001CE"/>
    <w:rsid w:val="00201178"/>
    <w:rsid w:val="002014EB"/>
    <w:rsid w:val="00201729"/>
    <w:rsid w:val="0020222C"/>
    <w:rsid w:val="00202A0B"/>
    <w:rsid w:val="00202B1A"/>
    <w:rsid w:val="002030F4"/>
    <w:rsid w:val="0020383A"/>
    <w:rsid w:val="002041EE"/>
    <w:rsid w:val="00204979"/>
    <w:rsid w:val="0020716D"/>
    <w:rsid w:val="00207D58"/>
    <w:rsid w:val="00211452"/>
    <w:rsid w:val="002118CC"/>
    <w:rsid w:val="00211905"/>
    <w:rsid w:val="00211C61"/>
    <w:rsid w:val="00211D69"/>
    <w:rsid w:val="002129DF"/>
    <w:rsid w:val="00212B59"/>
    <w:rsid w:val="00212E0E"/>
    <w:rsid w:val="00213C27"/>
    <w:rsid w:val="00213FE7"/>
    <w:rsid w:val="00214F6C"/>
    <w:rsid w:val="002154BD"/>
    <w:rsid w:val="00215553"/>
    <w:rsid w:val="0021587E"/>
    <w:rsid w:val="00216C70"/>
    <w:rsid w:val="0021726F"/>
    <w:rsid w:val="002176E2"/>
    <w:rsid w:val="002179DB"/>
    <w:rsid w:val="00217C03"/>
    <w:rsid w:val="00220F9D"/>
    <w:rsid w:val="00221630"/>
    <w:rsid w:val="002217E1"/>
    <w:rsid w:val="00221CCA"/>
    <w:rsid w:val="00222AE6"/>
    <w:rsid w:val="00223922"/>
    <w:rsid w:val="002245ED"/>
    <w:rsid w:val="00224A7E"/>
    <w:rsid w:val="00225058"/>
    <w:rsid w:val="00225B2C"/>
    <w:rsid w:val="00225D28"/>
    <w:rsid w:val="002263B7"/>
    <w:rsid w:val="00226C3E"/>
    <w:rsid w:val="002270BD"/>
    <w:rsid w:val="002273FB"/>
    <w:rsid w:val="00227A1D"/>
    <w:rsid w:val="00227E48"/>
    <w:rsid w:val="00230577"/>
    <w:rsid w:val="002305E0"/>
    <w:rsid w:val="00230A7F"/>
    <w:rsid w:val="00231437"/>
    <w:rsid w:val="00231698"/>
    <w:rsid w:val="0023209D"/>
    <w:rsid w:val="00232A1E"/>
    <w:rsid w:val="002333F8"/>
    <w:rsid w:val="00233D79"/>
    <w:rsid w:val="0023439D"/>
    <w:rsid w:val="00235152"/>
    <w:rsid w:val="002355BC"/>
    <w:rsid w:val="00236ADF"/>
    <w:rsid w:val="00237031"/>
    <w:rsid w:val="0023744B"/>
    <w:rsid w:val="0023751E"/>
    <w:rsid w:val="00237657"/>
    <w:rsid w:val="0024059F"/>
    <w:rsid w:val="0024068F"/>
    <w:rsid w:val="002406E1"/>
    <w:rsid w:val="00242177"/>
    <w:rsid w:val="00242257"/>
    <w:rsid w:val="00242981"/>
    <w:rsid w:val="00242985"/>
    <w:rsid w:val="00242BA7"/>
    <w:rsid w:val="002437B5"/>
    <w:rsid w:val="002437BD"/>
    <w:rsid w:val="002448C1"/>
    <w:rsid w:val="00244EF1"/>
    <w:rsid w:val="002453C8"/>
    <w:rsid w:val="00246173"/>
    <w:rsid w:val="002461EC"/>
    <w:rsid w:val="0024658E"/>
    <w:rsid w:val="00246F21"/>
    <w:rsid w:val="002473F8"/>
    <w:rsid w:val="002502E8"/>
    <w:rsid w:val="00250E5B"/>
    <w:rsid w:val="00251C95"/>
    <w:rsid w:val="00252B24"/>
    <w:rsid w:val="0025369E"/>
    <w:rsid w:val="0025381A"/>
    <w:rsid w:val="00253E78"/>
    <w:rsid w:val="00254123"/>
    <w:rsid w:val="00254522"/>
    <w:rsid w:val="00254ACE"/>
    <w:rsid w:val="00254E1C"/>
    <w:rsid w:val="00255305"/>
    <w:rsid w:val="002559AA"/>
    <w:rsid w:val="002561A0"/>
    <w:rsid w:val="0025620F"/>
    <w:rsid w:val="002563C9"/>
    <w:rsid w:val="00256690"/>
    <w:rsid w:val="00257743"/>
    <w:rsid w:val="00257D3F"/>
    <w:rsid w:val="00260A5D"/>
    <w:rsid w:val="00260B2B"/>
    <w:rsid w:val="00260E80"/>
    <w:rsid w:val="0026108F"/>
    <w:rsid w:val="002610BB"/>
    <w:rsid w:val="0026160E"/>
    <w:rsid w:val="00262C3C"/>
    <w:rsid w:val="00264C88"/>
    <w:rsid w:val="00264DF2"/>
    <w:rsid w:val="0026532C"/>
    <w:rsid w:val="0026539B"/>
    <w:rsid w:val="0026575D"/>
    <w:rsid w:val="00265E74"/>
    <w:rsid w:val="002667F5"/>
    <w:rsid w:val="0026682B"/>
    <w:rsid w:val="00267229"/>
    <w:rsid w:val="002675D9"/>
    <w:rsid w:val="0026786B"/>
    <w:rsid w:val="002705B0"/>
    <w:rsid w:val="002717A6"/>
    <w:rsid w:val="00271B05"/>
    <w:rsid w:val="00272015"/>
    <w:rsid w:val="00272540"/>
    <w:rsid w:val="00272DD8"/>
    <w:rsid w:val="00273B97"/>
    <w:rsid w:val="00273C10"/>
    <w:rsid w:val="002741D4"/>
    <w:rsid w:val="00274B4C"/>
    <w:rsid w:val="0027559A"/>
    <w:rsid w:val="00276264"/>
    <w:rsid w:val="00277A3C"/>
    <w:rsid w:val="00280EF7"/>
    <w:rsid w:val="00281726"/>
    <w:rsid w:val="00281ABD"/>
    <w:rsid w:val="00281DCA"/>
    <w:rsid w:val="00283B5C"/>
    <w:rsid w:val="0028444E"/>
    <w:rsid w:val="002846A5"/>
    <w:rsid w:val="00284993"/>
    <w:rsid w:val="00284A2C"/>
    <w:rsid w:val="00284C02"/>
    <w:rsid w:val="00284DA7"/>
    <w:rsid w:val="00284F9A"/>
    <w:rsid w:val="00285041"/>
    <w:rsid w:val="0028543E"/>
    <w:rsid w:val="00285678"/>
    <w:rsid w:val="002857BD"/>
    <w:rsid w:val="0028594B"/>
    <w:rsid w:val="00285AE4"/>
    <w:rsid w:val="002861F3"/>
    <w:rsid w:val="0028725F"/>
    <w:rsid w:val="00287D7E"/>
    <w:rsid w:val="00287EF9"/>
    <w:rsid w:val="0029006F"/>
    <w:rsid w:val="00290593"/>
    <w:rsid w:val="002905AA"/>
    <w:rsid w:val="00290902"/>
    <w:rsid w:val="00290B83"/>
    <w:rsid w:val="002924F3"/>
    <w:rsid w:val="00292D96"/>
    <w:rsid w:val="0029475E"/>
    <w:rsid w:val="00294E82"/>
    <w:rsid w:val="002960D0"/>
    <w:rsid w:val="0029660C"/>
    <w:rsid w:val="00296E2B"/>
    <w:rsid w:val="00297637"/>
    <w:rsid w:val="00297B04"/>
    <w:rsid w:val="002A002A"/>
    <w:rsid w:val="002A056C"/>
    <w:rsid w:val="002A1A5B"/>
    <w:rsid w:val="002A20CF"/>
    <w:rsid w:val="002A24A1"/>
    <w:rsid w:val="002A2863"/>
    <w:rsid w:val="002A2EFA"/>
    <w:rsid w:val="002A3BB1"/>
    <w:rsid w:val="002A413B"/>
    <w:rsid w:val="002A462C"/>
    <w:rsid w:val="002A537D"/>
    <w:rsid w:val="002A5A43"/>
    <w:rsid w:val="002A66A5"/>
    <w:rsid w:val="002A6EBB"/>
    <w:rsid w:val="002A7D99"/>
    <w:rsid w:val="002B12E4"/>
    <w:rsid w:val="002B13ED"/>
    <w:rsid w:val="002B1B8E"/>
    <w:rsid w:val="002B1C08"/>
    <w:rsid w:val="002B1F9B"/>
    <w:rsid w:val="002B21E9"/>
    <w:rsid w:val="002B254E"/>
    <w:rsid w:val="002B2891"/>
    <w:rsid w:val="002B2A49"/>
    <w:rsid w:val="002B2B87"/>
    <w:rsid w:val="002B2F18"/>
    <w:rsid w:val="002B34FC"/>
    <w:rsid w:val="002B3FEF"/>
    <w:rsid w:val="002B4E0F"/>
    <w:rsid w:val="002B501E"/>
    <w:rsid w:val="002B5190"/>
    <w:rsid w:val="002B5754"/>
    <w:rsid w:val="002B5840"/>
    <w:rsid w:val="002B5F68"/>
    <w:rsid w:val="002B72D7"/>
    <w:rsid w:val="002B74A8"/>
    <w:rsid w:val="002C0414"/>
    <w:rsid w:val="002C0E9C"/>
    <w:rsid w:val="002C0F14"/>
    <w:rsid w:val="002C1485"/>
    <w:rsid w:val="002C1BE4"/>
    <w:rsid w:val="002C1EB8"/>
    <w:rsid w:val="002C48AE"/>
    <w:rsid w:val="002C4A57"/>
    <w:rsid w:val="002C4ED9"/>
    <w:rsid w:val="002C581F"/>
    <w:rsid w:val="002C60B7"/>
    <w:rsid w:val="002C6370"/>
    <w:rsid w:val="002C69DD"/>
    <w:rsid w:val="002C6D2A"/>
    <w:rsid w:val="002C7026"/>
    <w:rsid w:val="002C71CD"/>
    <w:rsid w:val="002C7494"/>
    <w:rsid w:val="002C7E08"/>
    <w:rsid w:val="002D089F"/>
    <w:rsid w:val="002D161C"/>
    <w:rsid w:val="002D1B2A"/>
    <w:rsid w:val="002D210E"/>
    <w:rsid w:val="002D387D"/>
    <w:rsid w:val="002D388B"/>
    <w:rsid w:val="002D3B2F"/>
    <w:rsid w:val="002D3E0C"/>
    <w:rsid w:val="002D4169"/>
    <w:rsid w:val="002D4269"/>
    <w:rsid w:val="002D443A"/>
    <w:rsid w:val="002D4BA7"/>
    <w:rsid w:val="002D5057"/>
    <w:rsid w:val="002D5635"/>
    <w:rsid w:val="002D65E8"/>
    <w:rsid w:val="002D674B"/>
    <w:rsid w:val="002D6D12"/>
    <w:rsid w:val="002D7D32"/>
    <w:rsid w:val="002E02E5"/>
    <w:rsid w:val="002E0478"/>
    <w:rsid w:val="002E0791"/>
    <w:rsid w:val="002E0EA0"/>
    <w:rsid w:val="002E155D"/>
    <w:rsid w:val="002E1A8A"/>
    <w:rsid w:val="002E1AF0"/>
    <w:rsid w:val="002E1B92"/>
    <w:rsid w:val="002E3038"/>
    <w:rsid w:val="002E399F"/>
    <w:rsid w:val="002E3FA8"/>
    <w:rsid w:val="002E4C02"/>
    <w:rsid w:val="002E5089"/>
    <w:rsid w:val="002E510A"/>
    <w:rsid w:val="002E5286"/>
    <w:rsid w:val="002E62E9"/>
    <w:rsid w:val="002E6E76"/>
    <w:rsid w:val="002E75BE"/>
    <w:rsid w:val="002E7B81"/>
    <w:rsid w:val="002E7F95"/>
    <w:rsid w:val="002F0875"/>
    <w:rsid w:val="002F08A5"/>
    <w:rsid w:val="002F09FB"/>
    <w:rsid w:val="002F0D85"/>
    <w:rsid w:val="002F0DD8"/>
    <w:rsid w:val="002F0FE3"/>
    <w:rsid w:val="002F122E"/>
    <w:rsid w:val="002F1240"/>
    <w:rsid w:val="002F1AF0"/>
    <w:rsid w:val="002F1E01"/>
    <w:rsid w:val="002F2530"/>
    <w:rsid w:val="002F272A"/>
    <w:rsid w:val="002F3225"/>
    <w:rsid w:val="002F5038"/>
    <w:rsid w:val="002F53B4"/>
    <w:rsid w:val="002F6F8D"/>
    <w:rsid w:val="002F74D8"/>
    <w:rsid w:val="002F76D6"/>
    <w:rsid w:val="002F7A38"/>
    <w:rsid w:val="00300A33"/>
    <w:rsid w:val="003010A2"/>
    <w:rsid w:val="003010A5"/>
    <w:rsid w:val="00301E9A"/>
    <w:rsid w:val="003026C5"/>
    <w:rsid w:val="00303506"/>
    <w:rsid w:val="00304017"/>
    <w:rsid w:val="00304861"/>
    <w:rsid w:val="00306EF0"/>
    <w:rsid w:val="00307057"/>
    <w:rsid w:val="003071BA"/>
    <w:rsid w:val="0031045A"/>
    <w:rsid w:val="00312819"/>
    <w:rsid w:val="00312E9C"/>
    <w:rsid w:val="00312F69"/>
    <w:rsid w:val="00313875"/>
    <w:rsid w:val="0031394C"/>
    <w:rsid w:val="00313E9A"/>
    <w:rsid w:val="00313F4D"/>
    <w:rsid w:val="00314378"/>
    <w:rsid w:val="0031486F"/>
    <w:rsid w:val="00314A0E"/>
    <w:rsid w:val="00314A3E"/>
    <w:rsid w:val="0031546E"/>
    <w:rsid w:val="003161F2"/>
    <w:rsid w:val="00316389"/>
    <w:rsid w:val="00316EA7"/>
    <w:rsid w:val="0031743A"/>
    <w:rsid w:val="003203BF"/>
    <w:rsid w:val="00321369"/>
    <w:rsid w:val="00321FBE"/>
    <w:rsid w:val="003222BE"/>
    <w:rsid w:val="00322E81"/>
    <w:rsid w:val="003235F5"/>
    <w:rsid w:val="003236D7"/>
    <w:rsid w:val="00323899"/>
    <w:rsid w:val="00323ED2"/>
    <w:rsid w:val="0032415E"/>
    <w:rsid w:val="00324C16"/>
    <w:rsid w:val="00326099"/>
    <w:rsid w:val="0032742E"/>
    <w:rsid w:val="00327C96"/>
    <w:rsid w:val="00330787"/>
    <w:rsid w:val="00330E56"/>
    <w:rsid w:val="003312D9"/>
    <w:rsid w:val="00331819"/>
    <w:rsid w:val="00331E90"/>
    <w:rsid w:val="003324F4"/>
    <w:rsid w:val="00333046"/>
    <w:rsid w:val="0033419F"/>
    <w:rsid w:val="003341E2"/>
    <w:rsid w:val="003353C5"/>
    <w:rsid w:val="00335763"/>
    <w:rsid w:val="00335D3F"/>
    <w:rsid w:val="00336641"/>
    <w:rsid w:val="003370A3"/>
    <w:rsid w:val="00337493"/>
    <w:rsid w:val="003403B8"/>
    <w:rsid w:val="00340D11"/>
    <w:rsid w:val="00341F45"/>
    <w:rsid w:val="0034226A"/>
    <w:rsid w:val="003422E5"/>
    <w:rsid w:val="0034285F"/>
    <w:rsid w:val="00342B31"/>
    <w:rsid w:val="00344091"/>
    <w:rsid w:val="003441EF"/>
    <w:rsid w:val="00344444"/>
    <w:rsid w:val="003445A2"/>
    <w:rsid w:val="0034495F"/>
    <w:rsid w:val="00345219"/>
    <w:rsid w:val="00345298"/>
    <w:rsid w:val="00345559"/>
    <w:rsid w:val="00345A9E"/>
    <w:rsid w:val="00346135"/>
    <w:rsid w:val="003464A4"/>
    <w:rsid w:val="00346525"/>
    <w:rsid w:val="00346745"/>
    <w:rsid w:val="003478D0"/>
    <w:rsid w:val="0034795E"/>
    <w:rsid w:val="00347B38"/>
    <w:rsid w:val="0035007A"/>
    <w:rsid w:val="003503C0"/>
    <w:rsid w:val="00351684"/>
    <w:rsid w:val="003519C0"/>
    <w:rsid w:val="00351CB5"/>
    <w:rsid w:val="00351E8F"/>
    <w:rsid w:val="003526B2"/>
    <w:rsid w:val="00352E70"/>
    <w:rsid w:val="00352EF4"/>
    <w:rsid w:val="00353655"/>
    <w:rsid w:val="00353C00"/>
    <w:rsid w:val="00353C01"/>
    <w:rsid w:val="00354458"/>
    <w:rsid w:val="00354B28"/>
    <w:rsid w:val="00355001"/>
    <w:rsid w:val="0035512A"/>
    <w:rsid w:val="00356D0D"/>
    <w:rsid w:val="00357326"/>
    <w:rsid w:val="00357735"/>
    <w:rsid w:val="003606BE"/>
    <w:rsid w:val="00360750"/>
    <w:rsid w:val="00360CBA"/>
    <w:rsid w:val="00360F45"/>
    <w:rsid w:val="00361751"/>
    <w:rsid w:val="003618AF"/>
    <w:rsid w:val="00361937"/>
    <w:rsid w:val="00361B11"/>
    <w:rsid w:val="00361D0B"/>
    <w:rsid w:val="00361D89"/>
    <w:rsid w:val="00361F78"/>
    <w:rsid w:val="00361F9E"/>
    <w:rsid w:val="0036275A"/>
    <w:rsid w:val="003627C0"/>
    <w:rsid w:val="0036287C"/>
    <w:rsid w:val="00363653"/>
    <w:rsid w:val="00363874"/>
    <w:rsid w:val="00363ECA"/>
    <w:rsid w:val="003647B0"/>
    <w:rsid w:val="0036509D"/>
    <w:rsid w:val="00365C57"/>
    <w:rsid w:val="003665CC"/>
    <w:rsid w:val="003672FF"/>
    <w:rsid w:val="00371383"/>
    <w:rsid w:val="0037165E"/>
    <w:rsid w:val="00372241"/>
    <w:rsid w:val="0037228C"/>
    <w:rsid w:val="003737A7"/>
    <w:rsid w:val="003738FD"/>
    <w:rsid w:val="00373BB0"/>
    <w:rsid w:val="00373CB5"/>
    <w:rsid w:val="00374287"/>
    <w:rsid w:val="003748EE"/>
    <w:rsid w:val="00375153"/>
    <w:rsid w:val="00375BD4"/>
    <w:rsid w:val="00375DC0"/>
    <w:rsid w:val="00376451"/>
    <w:rsid w:val="00376CDC"/>
    <w:rsid w:val="00377128"/>
    <w:rsid w:val="00377551"/>
    <w:rsid w:val="003775E8"/>
    <w:rsid w:val="00377C66"/>
    <w:rsid w:val="0038075B"/>
    <w:rsid w:val="00380F70"/>
    <w:rsid w:val="003810BE"/>
    <w:rsid w:val="0038122A"/>
    <w:rsid w:val="003812CC"/>
    <w:rsid w:val="003816D5"/>
    <w:rsid w:val="003837C8"/>
    <w:rsid w:val="00383A2E"/>
    <w:rsid w:val="00384FC0"/>
    <w:rsid w:val="00385FDA"/>
    <w:rsid w:val="00386F6C"/>
    <w:rsid w:val="00387621"/>
    <w:rsid w:val="00387675"/>
    <w:rsid w:val="00387709"/>
    <w:rsid w:val="00387794"/>
    <w:rsid w:val="003878E7"/>
    <w:rsid w:val="00387904"/>
    <w:rsid w:val="00390147"/>
    <w:rsid w:val="003905B5"/>
    <w:rsid w:val="0039090A"/>
    <w:rsid w:val="00390B06"/>
    <w:rsid w:val="003912CC"/>
    <w:rsid w:val="00391DA7"/>
    <w:rsid w:val="003937DB"/>
    <w:rsid w:val="00393A2A"/>
    <w:rsid w:val="003940F4"/>
    <w:rsid w:val="003947DC"/>
    <w:rsid w:val="00394B06"/>
    <w:rsid w:val="0039610F"/>
    <w:rsid w:val="00396989"/>
    <w:rsid w:val="00396B9F"/>
    <w:rsid w:val="00397162"/>
    <w:rsid w:val="003A060B"/>
    <w:rsid w:val="003A1A84"/>
    <w:rsid w:val="003A2A8F"/>
    <w:rsid w:val="003A2B8D"/>
    <w:rsid w:val="003A303A"/>
    <w:rsid w:val="003A335E"/>
    <w:rsid w:val="003A3DD2"/>
    <w:rsid w:val="003A44DE"/>
    <w:rsid w:val="003A4DD8"/>
    <w:rsid w:val="003A515E"/>
    <w:rsid w:val="003A5FFE"/>
    <w:rsid w:val="003A63F5"/>
    <w:rsid w:val="003A6B3C"/>
    <w:rsid w:val="003A761F"/>
    <w:rsid w:val="003B0779"/>
    <w:rsid w:val="003B0791"/>
    <w:rsid w:val="003B10E2"/>
    <w:rsid w:val="003B1120"/>
    <w:rsid w:val="003B1514"/>
    <w:rsid w:val="003B1A82"/>
    <w:rsid w:val="003B253D"/>
    <w:rsid w:val="003B2BC6"/>
    <w:rsid w:val="003B3573"/>
    <w:rsid w:val="003B3699"/>
    <w:rsid w:val="003B3E45"/>
    <w:rsid w:val="003B40C4"/>
    <w:rsid w:val="003B4183"/>
    <w:rsid w:val="003B4C93"/>
    <w:rsid w:val="003B57BB"/>
    <w:rsid w:val="003B5813"/>
    <w:rsid w:val="003B6564"/>
    <w:rsid w:val="003B6851"/>
    <w:rsid w:val="003B7B30"/>
    <w:rsid w:val="003B7B65"/>
    <w:rsid w:val="003B7CE7"/>
    <w:rsid w:val="003C03EA"/>
    <w:rsid w:val="003C196B"/>
    <w:rsid w:val="003C1986"/>
    <w:rsid w:val="003C2B44"/>
    <w:rsid w:val="003C3B73"/>
    <w:rsid w:val="003C3FAC"/>
    <w:rsid w:val="003C42AA"/>
    <w:rsid w:val="003C4B46"/>
    <w:rsid w:val="003C4D81"/>
    <w:rsid w:val="003C4E9C"/>
    <w:rsid w:val="003C52B8"/>
    <w:rsid w:val="003C55B2"/>
    <w:rsid w:val="003C58A4"/>
    <w:rsid w:val="003C5E11"/>
    <w:rsid w:val="003C5F92"/>
    <w:rsid w:val="003C614A"/>
    <w:rsid w:val="003C6207"/>
    <w:rsid w:val="003C6E1D"/>
    <w:rsid w:val="003C7784"/>
    <w:rsid w:val="003C7B82"/>
    <w:rsid w:val="003C7D5C"/>
    <w:rsid w:val="003D058C"/>
    <w:rsid w:val="003D1771"/>
    <w:rsid w:val="003D1F78"/>
    <w:rsid w:val="003D2A3C"/>
    <w:rsid w:val="003D343A"/>
    <w:rsid w:val="003D439D"/>
    <w:rsid w:val="003D45B2"/>
    <w:rsid w:val="003D4A18"/>
    <w:rsid w:val="003D5DBD"/>
    <w:rsid w:val="003D6C1C"/>
    <w:rsid w:val="003D6E22"/>
    <w:rsid w:val="003D76B1"/>
    <w:rsid w:val="003D7ECD"/>
    <w:rsid w:val="003E0672"/>
    <w:rsid w:val="003E08C6"/>
    <w:rsid w:val="003E0D8C"/>
    <w:rsid w:val="003E1212"/>
    <w:rsid w:val="003E1594"/>
    <w:rsid w:val="003E17A6"/>
    <w:rsid w:val="003E1DDA"/>
    <w:rsid w:val="003E1ECB"/>
    <w:rsid w:val="003E2164"/>
    <w:rsid w:val="003E2A35"/>
    <w:rsid w:val="003E2C45"/>
    <w:rsid w:val="003E417E"/>
    <w:rsid w:val="003E4639"/>
    <w:rsid w:val="003E4AA5"/>
    <w:rsid w:val="003E4B12"/>
    <w:rsid w:val="003E4C43"/>
    <w:rsid w:val="003E4F46"/>
    <w:rsid w:val="003E53DC"/>
    <w:rsid w:val="003E54C5"/>
    <w:rsid w:val="003E5562"/>
    <w:rsid w:val="003E624D"/>
    <w:rsid w:val="003E6566"/>
    <w:rsid w:val="003E7748"/>
    <w:rsid w:val="003E7AF8"/>
    <w:rsid w:val="003E7B6F"/>
    <w:rsid w:val="003E7E48"/>
    <w:rsid w:val="003F068C"/>
    <w:rsid w:val="003F07AC"/>
    <w:rsid w:val="003F172F"/>
    <w:rsid w:val="003F1CCD"/>
    <w:rsid w:val="003F1CEC"/>
    <w:rsid w:val="003F2C11"/>
    <w:rsid w:val="003F3963"/>
    <w:rsid w:val="003F4080"/>
    <w:rsid w:val="003F43BF"/>
    <w:rsid w:val="003F4EC2"/>
    <w:rsid w:val="003F6B64"/>
    <w:rsid w:val="003F6BE4"/>
    <w:rsid w:val="003F6BF5"/>
    <w:rsid w:val="003F70B9"/>
    <w:rsid w:val="003F765F"/>
    <w:rsid w:val="00400030"/>
    <w:rsid w:val="00400738"/>
    <w:rsid w:val="00400773"/>
    <w:rsid w:val="00400C4F"/>
    <w:rsid w:val="00400D20"/>
    <w:rsid w:val="00400E0B"/>
    <w:rsid w:val="004016D5"/>
    <w:rsid w:val="004017F3"/>
    <w:rsid w:val="00401DAF"/>
    <w:rsid w:val="00403365"/>
    <w:rsid w:val="00403CF8"/>
    <w:rsid w:val="00403E3F"/>
    <w:rsid w:val="004040E3"/>
    <w:rsid w:val="00406777"/>
    <w:rsid w:val="00407459"/>
    <w:rsid w:val="00407746"/>
    <w:rsid w:val="00410523"/>
    <w:rsid w:val="004109E2"/>
    <w:rsid w:val="004120D4"/>
    <w:rsid w:val="004123EA"/>
    <w:rsid w:val="004124E1"/>
    <w:rsid w:val="00412720"/>
    <w:rsid w:val="004133E4"/>
    <w:rsid w:val="00414782"/>
    <w:rsid w:val="00414907"/>
    <w:rsid w:val="00414D01"/>
    <w:rsid w:val="00414E8C"/>
    <w:rsid w:val="00416D98"/>
    <w:rsid w:val="00416D9B"/>
    <w:rsid w:val="00416FC7"/>
    <w:rsid w:val="004170FE"/>
    <w:rsid w:val="00420576"/>
    <w:rsid w:val="0042072F"/>
    <w:rsid w:val="004209E6"/>
    <w:rsid w:val="00420A0A"/>
    <w:rsid w:val="00420E41"/>
    <w:rsid w:val="00420FC5"/>
    <w:rsid w:val="004212B3"/>
    <w:rsid w:val="004214D6"/>
    <w:rsid w:val="00422598"/>
    <w:rsid w:val="004225FA"/>
    <w:rsid w:val="00422C70"/>
    <w:rsid w:val="0042324B"/>
    <w:rsid w:val="004234E8"/>
    <w:rsid w:val="0042359C"/>
    <w:rsid w:val="00423D92"/>
    <w:rsid w:val="00425025"/>
    <w:rsid w:val="00425100"/>
    <w:rsid w:val="004251AD"/>
    <w:rsid w:val="00425A1F"/>
    <w:rsid w:val="00426805"/>
    <w:rsid w:val="00426A5C"/>
    <w:rsid w:val="0042739B"/>
    <w:rsid w:val="004275DE"/>
    <w:rsid w:val="00427FED"/>
    <w:rsid w:val="00430150"/>
    <w:rsid w:val="004302F9"/>
    <w:rsid w:val="00430669"/>
    <w:rsid w:val="00430E84"/>
    <w:rsid w:val="00431190"/>
    <w:rsid w:val="004315AD"/>
    <w:rsid w:val="0043229B"/>
    <w:rsid w:val="00432531"/>
    <w:rsid w:val="004325F2"/>
    <w:rsid w:val="00432E52"/>
    <w:rsid w:val="00432EAF"/>
    <w:rsid w:val="00432F23"/>
    <w:rsid w:val="004342B2"/>
    <w:rsid w:val="00434691"/>
    <w:rsid w:val="004348E3"/>
    <w:rsid w:val="00435091"/>
    <w:rsid w:val="0043523B"/>
    <w:rsid w:val="00435287"/>
    <w:rsid w:val="00435DD9"/>
    <w:rsid w:val="00436EDB"/>
    <w:rsid w:val="00436F5D"/>
    <w:rsid w:val="00437777"/>
    <w:rsid w:val="00437A81"/>
    <w:rsid w:val="004400D7"/>
    <w:rsid w:val="00440761"/>
    <w:rsid w:val="00440A22"/>
    <w:rsid w:val="00440B08"/>
    <w:rsid w:val="00441093"/>
    <w:rsid w:val="00441518"/>
    <w:rsid w:val="00443FC2"/>
    <w:rsid w:val="00444E1C"/>
    <w:rsid w:val="004455FA"/>
    <w:rsid w:val="00445A54"/>
    <w:rsid w:val="004468AA"/>
    <w:rsid w:val="00447AA4"/>
    <w:rsid w:val="00447EA0"/>
    <w:rsid w:val="0045114E"/>
    <w:rsid w:val="0045212B"/>
    <w:rsid w:val="004523DA"/>
    <w:rsid w:val="00452B44"/>
    <w:rsid w:val="00452BA8"/>
    <w:rsid w:val="004530DA"/>
    <w:rsid w:val="0045406E"/>
    <w:rsid w:val="004546EB"/>
    <w:rsid w:val="00454874"/>
    <w:rsid w:val="0045550E"/>
    <w:rsid w:val="00455B1C"/>
    <w:rsid w:val="00455C56"/>
    <w:rsid w:val="00456456"/>
    <w:rsid w:val="00456D57"/>
    <w:rsid w:val="00457A55"/>
    <w:rsid w:val="00457B86"/>
    <w:rsid w:val="00460DCA"/>
    <w:rsid w:val="0046190B"/>
    <w:rsid w:val="00461A5F"/>
    <w:rsid w:val="00461E28"/>
    <w:rsid w:val="00462367"/>
    <w:rsid w:val="0046490C"/>
    <w:rsid w:val="0046566E"/>
    <w:rsid w:val="00466E5A"/>
    <w:rsid w:val="00470287"/>
    <w:rsid w:val="00470288"/>
    <w:rsid w:val="004704BF"/>
    <w:rsid w:val="00470733"/>
    <w:rsid w:val="0047193C"/>
    <w:rsid w:val="00471EB5"/>
    <w:rsid w:val="00473880"/>
    <w:rsid w:val="00473AF9"/>
    <w:rsid w:val="0047420E"/>
    <w:rsid w:val="004744DF"/>
    <w:rsid w:val="0047493B"/>
    <w:rsid w:val="00474F71"/>
    <w:rsid w:val="004757B4"/>
    <w:rsid w:val="004772AA"/>
    <w:rsid w:val="00477C53"/>
    <w:rsid w:val="00480EC4"/>
    <w:rsid w:val="0048127A"/>
    <w:rsid w:val="004818E3"/>
    <w:rsid w:val="00481E0C"/>
    <w:rsid w:val="00482CFA"/>
    <w:rsid w:val="00482F93"/>
    <w:rsid w:val="00483575"/>
    <w:rsid w:val="00484F29"/>
    <w:rsid w:val="00485380"/>
    <w:rsid w:val="0048595A"/>
    <w:rsid w:val="00485FD9"/>
    <w:rsid w:val="004878EA"/>
    <w:rsid w:val="00490322"/>
    <w:rsid w:val="0049033C"/>
    <w:rsid w:val="004907BE"/>
    <w:rsid w:val="00492461"/>
    <w:rsid w:val="004928C1"/>
    <w:rsid w:val="00493762"/>
    <w:rsid w:val="00493D87"/>
    <w:rsid w:val="00493E6A"/>
    <w:rsid w:val="0049418F"/>
    <w:rsid w:val="004950CC"/>
    <w:rsid w:val="004950D4"/>
    <w:rsid w:val="004962C4"/>
    <w:rsid w:val="00496F1B"/>
    <w:rsid w:val="004971A9"/>
    <w:rsid w:val="0049799C"/>
    <w:rsid w:val="004A0506"/>
    <w:rsid w:val="004A0E8B"/>
    <w:rsid w:val="004A13EB"/>
    <w:rsid w:val="004A14F0"/>
    <w:rsid w:val="004A22BB"/>
    <w:rsid w:val="004A2342"/>
    <w:rsid w:val="004A251B"/>
    <w:rsid w:val="004A2F62"/>
    <w:rsid w:val="004A33D1"/>
    <w:rsid w:val="004A39B8"/>
    <w:rsid w:val="004A3B4E"/>
    <w:rsid w:val="004A3FC6"/>
    <w:rsid w:val="004A4AE5"/>
    <w:rsid w:val="004A549E"/>
    <w:rsid w:val="004A5D7F"/>
    <w:rsid w:val="004A694F"/>
    <w:rsid w:val="004A69DD"/>
    <w:rsid w:val="004A6FE5"/>
    <w:rsid w:val="004A7647"/>
    <w:rsid w:val="004B05AD"/>
    <w:rsid w:val="004B0900"/>
    <w:rsid w:val="004B0C79"/>
    <w:rsid w:val="004B1BD3"/>
    <w:rsid w:val="004B1DB8"/>
    <w:rsid w:val="004B24B7"/>
    <w:rsid w:val="004B2EB6"/>
    <w:rsid w:val="004B2F01"/>
    <w:rsid w:val="004B3039"/>
    <w:rsid w:val="004B316D"/>
    <w:rsid w:val="004B333E"/>
    <w:rsid w:val="004B33C3"/>
    <w:rsid w:val="004B33E1"/>
    <w:rsid w:val="004B355C"/>
    <w:rsid w:val="004B37CB"/>
    <w:rsid w:val="004B3CC9"/>
    <w:rsid w:val="004B4182"/>
    <w:rsid w:val="004B4538"/>
    <w:rsid w:val="004B482C"/>
    <w:rsid w:val="004B48F0"/>
    <w:rsid w:val="004B5E75"/>
    <w:rsid w:val="004B6670"/>
    <w:rsid w:val="004B6FB6"/>
    <w:rsid w:val="004C012F"/>
    <w:rsid w:val="004C0AC9"/>
    <w:rsid w:val="004C0BF7"/>
    <w:rsid w:val="004C11CA"/>
    <w:rsid w:val="004C17F0"/>
    <w:rsid w:val="004C1FE2"/>
    <w:rsid w:val="004C3851"/>
    <w:rsid w:val="004C3AFF"/>
    <w:rsid w:val="004C4182"/>
    <w:rsid w:val="004C54B2"/>
    <w:rsid w:val="004C571D"/>
    <w:rsid w:val="004C72A5"/>
    <w:rsid w:val="004C7675"/>
    <w:rsid w:val="004D004E"/>
    <w:rsid w:val="004D12B6"/>
    <w:rsid w:val="004D1831"/>
    <w:rsid w:val="004D1A7F"/>
    <w:rsid w:val="004D2C51"/>
    <w:rsid w:val="004D34FC"/>
    <w:rsid w:val="004D35A2"/>
    <w:rsid w:val="004D39C3"/>
    <w:rsid w:val="004D473F"/>
    <w:rsid w:val="004D4921"/>
    <w:rsid w:val="004D4A02"/>
    <w:rsid w:val="004D5E20"/>
    <w:rsid w:val="004D5FD1"/>
    <w:rsid w:val="004D6035"/>
    <w:rsid w:val="004D6689"/>
    <w:rsid w:val="004D674C"/>
    <w:rsid w:val="004D6768"/>
    <w:rsid w:val="004D6933"/>
    <w:rsid w:val="004D6972"/>
    <w:rsid w:val="004D6BA0"/>
    <w:rsid w:val="004E04E7"/>
    <w:rsid w:val="004E25D3"/>
    <w:rsid w:val="004E3B0B"/>
    <w:rsid w:val="004E52C3"/>
    <w:rsid w:val="004E5565"/>
    <w:rsid w:val="004E5BD5"/>
    <w:rsid w:val="004E75F6"/>
    <w:rsid w:val="004F0008"/>
    <w:rsid w:val="004F0032"/>
    <w:rsid w:val="004F0B9A"/>
    <w:rsid w:val="004F26FB"/>
    <w:rsid w:val="004F29BF"/>
    <w:rsid w:val="004F2E22"/>
    <w:rsid w:val="004F5247"/>
    <w:rsid w:val="004F5B85"/>
    <w:rsid w:val="004F662D"/>
    <w:rsid w:val="004F665B"/>
    <w:rsid w:val="004F75EF"/>
    <w:rsid w:val="004F7C93"/>
    <w:rsid w:val="00500C25"/>
    <w:rsid w:val="00500D3E"/>
    <w:rsid w:val="0050182C"/>
    <w:rsid w:val="00501F38"/>
    <w:rsid w:val="00502091"/>
    <w:rsid w:val="00503934"/>
    <w:rsid w:val="00503D82"/>
    <w:rsid w:val="00503F5E"/>
    <w:rsid w:val="005040C2"/>
    <w:rsid w:val="0050462F"/>
    <w:rsid w:val="00504987"/>
    <w:rsid w:val="00505415"/>
    <w:rsid w:val="00505460"/>
    <w:rsid w:val="00506105"/>
    <w:rsid w:val="005064DB"/>
    <w:rsid w:val="00506931"/>
    <w:rsid w:val="00506CFF"/>
    <w:rsid w:val="00507232"/>
    <w:rsid w:val="00507563"/>
    <w:rsid w:val="005104A6"/>
    <w:rsid w:val="00510DCC"/>
    <w:rsid w:val="0051114F"/>
    <w:rsid w:val="00511D5B"/>
    <w:rsid w:val="00511D94"/>
    <w:rsid w:val="00512856"/>
    <w:rsid w:val="00513162"/>
    <w:rsid w:val="005147A2"/>
    <w:rsid w:val="00515A06"/>
    <w:rsid w:val="005171A1"/>
    <w:rsid w:val="0051736D"/>
    <w:rsid w:val="00520B3D"/>
    <w:rsid w:val="00520D4E"/>
    <w:rsid w:val="005212FE"/>
    <w:rsid w:val="00521555"/>
    <w:rsid w:val="00521853"/>
    <w:rsid w:val="00521960"/>
    <w:rsid w:val="00522C4A"/>
    <w:rsid w:val="00523691"/>
    <w:rsid w:val="00523F1D"/>
    <w:rsid w:val="00524425"/>
    <w:rsid w:val="00524C82"/>
    <w:rsid w:val="00525809"/>
    <w:rsid w:val="00526B08"/>
    <w:rsid w:val="00526DF3"/>
    <w:rsid w:val="00526E8A"/>
    <w:rsid w:val="0052716B"/>
    <w:rsid w:val="00527BDA"/>
    <w:rsid w:val="00531715"/>
    <w:rsid w:val="00532C9E"/>
    <w:rsid w:val="00534072"/>
    <w:rsid w:val="005343CA"/>
    <w:rsid w:val="0053502C"/>
    <w:rsid w:val="00535130"/>
    <w:rsid w:val="005354A6"/>
    <w:rsid w:val="00536006"/>
    <w:rsid w:val="0053606A"/>
    <w:rsid w:val="00536094"/>
    <w:rsid w:val="00537302"/>
    <w:rsid w:val="0053738C"/>
    <w:rsid w:val="0054052C"/>
    <w:rsid w:val="00541928"/>
    <w:rsid w:val="00542B93"/>
    <w:rsid w:val="00542D3C"/>
    <w:rsid w:val="00543952"/>
    <w:rsid w:val="005441BD"/>
    <w:rsid w:val="005445A7"/>
    <w:rsid w:val="005450BE"/>
    <w:rsid w:val="00545D3E"/>
    <w:rsid w:val="005466D8"/>
    <w:rsid w:val="0054780C"/>
    <w:rsid w:val="00547848"/>
    <w:rsid w:val="00550386"/>
    <w:rsid w:val="005505A6"/>
    <w:rsid w:val="005508CB"/>
    <w:rsid w:val="00550BC7"/>
    <w:rsid w:val="00551473"/>
    <w:rsid w:val="0055159B"/>
    <w:rsid w:val="00551F13"/>
    <w:rsid w:val="00551FFD"/>
    <w:rsid w:val="0055261D"/>
    <w:rsid w:val="00552C42"/>
    <w:rsid w:val="00553F16"/>
    <w:rsid w:val="0055473D"/>
    <w:rsid w:val="005549A3"/>
    <w:rsid w:val="00554DB2"/>
    <w:rsid w:val="00554DEF"/>
    <w:rsid w:val="00555509"/>
    <w:rsid w:val="00555940"/>
    <w:rsid w:val="00557083"/>
    <w:rsid w:val="00557A74"/>
    <w:rsid w:val="00560605"/>
    <w:rsid w:val="00560876"/>
    <w:rsid w:val="00560953"/>
    <w:rsid w:val="00560F74"/>
    <w:rsid w:val="00561066"/>
    <w:rsid w:val="00561476"/>
    <w:rsid w:val="00561C5B"/>
    <w:rsid w:val="005628EB"/>
    <w:rsid w:val="00563D61"/>
    <w:rsid w:val="00564F2D"/>
    <w:rsid w:val="005650B9"/>
    <w:rsid w:val="005653E1"/>
    <w:rsid w:val="0056594C"/>
    <w:rsid w:val="005661FF"/>
    <w:rsid w:val="005664A2"/>
    <w:rsid w:val="00566CDA"/>
    <w:rsid w:val="0056727E"/>
    <w:rsid w:val="00567468"/>
    <w:rsid w:val="00567BA6"/>
    <w:rsid w:val="00570033"/>
    <w:rsid w:val="00570147"/>
    <w:rsid w:val="00570247"/>
    <w:rsid w:val="00570477"/>
    <w:rsid w:val="005706FB"/>
    <w:rsid w:val="005709EF"/>
    <w:rsid w:val="005716D8"/>
    <w:rsid w:val="00571E23"/>
    <w:rsid w:val="00572942"/>
    <w:rsid w:val="00572BC0"/>
    <w:rsid w:val="0057307E"/>
    <w:rsid w:val="005737D4"/>
    <w:rsid w:val="005737FF"/>
    <w:rsid w:val="00573A4C"/>
    <w:rsid w:val="005749CE"/>
    <w:rsid w:val="00574A3D"/>
    <w:rsid w:val="00574A77"/>
    <w:rsid w:val="00574B79"/>
    <w:rsid w:val="00574D12"/>
    <w:rsid w:val="00576345"/>
    <w:rsid w:val="005763F6"/>
    <w:rsid w:val="00576545"/>
    <w:rsid w:val="005766B7"/>
    <w:rsid w:val="005768A2"/>
    <w:rsid w:val="005800B4"/>
    <w:rsid w:val="0058070B"/>
    <w:rsid w:val="00581068"/>
    <w:rsid w:val="005818D3"/>
    <w:rsid w:val="00581E91"/>
    <w:rsid w:val="00581F55"/>
    <w:rsid w:val="005820DA"/>
    <w:rsid w:val="0058296F"/>
    <w:rsid w:val="00582A72"/>
    <w:rsid w:val="00582A73"/>
    <w:rsid w:val="00582B04"/>
    <w:rsid w:val="00582E34"/>
    <w:rsid w:val="00583104"/>
    <w:rsid w:val="00583D35"/>
    <w:rsid w:val="00584013"/>
    <w:rsid w:val="005846EA"/>
    <w:rsid w:val="00584A8A"/>
    <w:rsid w:val="00584E9D"/>
    <w:rsid w:val="00584E9F"/>
    <w:rsid w:val="005860E6"/>
    <w:rsid w:val="00586197"/>
    <w:rsid w:val="00586A16"/>
    <w:rsid w:val="00586CD1"/>
    <w:rsid w:val="0058715A"/>
    <w:rsid w:val="00587AC6"/>
    <w:rsid w:val="005908A8"/>
    <w:rsid w:val="0059113E"/>
    <w:rsid w:val="00592F6F"/>
    <w:rsid w:val="00593ABE"/>
    <w:rsid w:val="005942EE"/>
    <w:rsid w:val="00594D2B"/>
    <w:rsid w:val="00595E80"/>
    <w:rsid w:val="0059650E"/>
    <w:rsid w:val="00596953"/>
    <w:rsid w:val="00596ABB"/>
    <w:rsid w:val="0059719E"/>
    <w:rsid w:val="005978EC"/>
    <w:rsid w:val="00597A0B"/>
    <w:rsid w:val="00597B9A"/>
    <w:rsid w:val="00597F7B"/>
    <w:rsid w:val="005A01ED"/>
    <w:rsid w:val="005A1D37"/>
    <w:rsid w:val="005A247A"/>
    <w:rsid w:val="005A4C85"/>
    <w:rsid w:val="005A5377"/>
    <w:rsid w:val="005A581C"/>
    <w:rsid w:val="005A5D7D"/>
    <w:rsid w:val="005A5FBA"/>
    <w:rsid w:val="005A6030"/>
    <w:rsid w:val="005A66C3"/>
    <w:rsid w:val="005A6970"/>
    <w:rsid w:val="005B008A"/>
    <w:rsid w:val="005B04B8"/>
    <w:rsid w:val="005B29CF"/>
    <w:rsid w:val="005B340D"/>
    <w:rsid w:val="005B4014"/>
    <w:rsid w:val="005B4182"/>
    <w:rsid w:val="005B4218"/>
    <w:rsid w:val="005B4F60"/>
    <w:rsid w:val="005B53B1"/>
    <w:rsid w:val="005B57AD"/>
    <w:rsid w:val="005B69EE"/>
    <w:rsid w:val="005B6D8A"/>
    <w:rsid w:val="005B7012"/>
    <w:rsid w:val="005B722E"/>
    <w:rsid w:val="005B7996"/>
    <w:rsid w:val="005C02FE"/>
    <w:rsid w:val="005C03BB"/>
    <w:rsid w:val="005C04D1"/>
    <w:rsid w:val="005C0D9E"/>
    <w:rsid w:val="005C1397"/>
    <w:rsid w:val="005C13DE"/>
    <w:rsid w:val="005C1A34"/>
    <w:rsid w:val="005C2285"/>
    <w:rsid w:val="005C2392"/>
    <w:rsid w:val="005C2A20"/>
    <w:rsid w:val="005C3046"/>
    <w:rsid w:val="005C31ED"/>
    <w:rsid w:val="005C42E7"/>
    <w:rsid w:val="005C463D"/>
    <w:rsid w:val="005C50AC"/>
    <w:rsid w:val="005C5279"/>
    <w:rsid w:val="005C540E"/>
    <w:rsid w:val="005C54EE"/>
    <w:rsid w:val="005C5534"/>
    <w:rsid w:val="005C5D66"/>
    <w:rsid w:val="005C6406"/>
    <w:rsid w:val="005D0E6A"/>
    <w:rsid w:val="005D2737"/>
    <w:rsid w:val="005D2DFA"/>
    <w:rsid w:val="005D36F2"/>
    <w:rsid w:val="005D3D24"/>
    <w:rsid w:val="005D42C4"/>
    <w:rsid w:val="005D4B8A"/>
    <w:rsid w:val="005D5893"/>
    <w:rsid w:val="005D5CA8"/>
    <w:rsid w:val="005D5F03"/>
    <w:rsid w:val="005D69D1"/>
    <w:rsid w:val="005D6CDF"/>
    <w:rsid w:val="005D75A2"/>
    <w:rsid w:val="005E1ECC"/>
    <w:rsid w:val="005E210D"/>
    <w:rsid w:val="005E24A2"/>
    <w:rsid w:val="005E268B"/>
    <w:rsid w:val="005E32C5"/>
    <w:rsid w:val="005E3415"/>
    <w:rsid w:val="005E359F"/>
    <w:rsid w:val="005E3B85"/>
    <w:rsid w:val="005E3F65"/>
    <w:rsid w:val="005E4833"/>
    <w:rsid w:val="005E4A46"/>
    <w:rsid w:val="005E50E5"/>
    <w:rsid w:val="005E5696"/>
    <w:rsid w:val="005E5FA1"/>
    <w:rsid w:val="005F0BEA"/>
    <w:rsid w:val="005F1029"/>
    <w:rsid w:val="005F2425"/>
    <w:rsid w:val="005F38E3"/>
    <w:rsid w:val="005F3AF4"/>
    <w:rsid w:val="005F4093"/>
    <w:rsid w:val="005F4340"/>
    <w:rsid w:val="005F588A"/>
    <w:rsid w:val="005F5EC7"/>
    <w:rsid w:val="005F689F"/>
    <w:rsid w:val="005F6F47"/>
    <w:rsid w:val="005F7207"/>
    <w:rsid w:val="005F77CD"/>
    <w:rsid w:val="005F7AAB"/>
    <w:rsid w:val="005F7FCF"/>
    <w:rsid w:val="00600704"/>
    <w:rsid w:val="00601E67"/>
    <w:rsid w:val="0060206F"/>
    <w:rsid w:val="006021E4"/>
    <w:rsid w:val="00603B46"/>
    <w:rsid w:val="00603E7D"/>
    <w:rsid w:val="00604551"/>
    <w:rsid w:val="006048DA"/>
    <w:rsid w:val="00604AA1"/>
    <w:rsid w:val="00604BDA"/>
    <w:rsid w:val="00604E0E"/>
    <w:rsid w:val="006066DF"/>
    <w:rsid w:val="00607691"/>
    <w:rsid w:val="0060775E"/>
    <w:rsid w:val="00607A36"/>
    <w:rsid w:val="0061062C"/>
    <w:rsid w:val="00610FAB"/>
    <w:rsid w:val="00611120"/>
    <w:rsid w:val="006117ED"/>
    <w:rsid w:val="006119B4"/>
    <w:rsid w:val="00611F45"/>
    <w:rsid w:val="00612305"/>
    <w:rsid w:val="00612A48"/>
    <w:rsid w:val="00613183"/>
    <w:rsid w:val="006133F0"/>
    <w:rsid w:val="00613D2A"/>
    <w:rsid w:val="006145B6"/>
    <w:rsid w:val="00614808"/>
    <w:rsid w:val="00614847"/>
    <w:rsid w:val="00616006"/>
    <w:rsid w:val="00616107"/>
    <w:rsid w:val="00616543"/>
    <w:rsid w:val="00616888"/>
    <w:rsid w:val="006176BE"/>
    <w:rsid w:val="006212CB"/>
    <w:rsid w:val="00621AFC"/>
    <w:rsid w:val="00621F90"/>
    <w:rsid w:val="00622579"/>
    <w:rsid w:val="00622906"/>
    <w:rsid w:val="00622A58"/>
    <w:rsid w:val="006231B5"/>
    <w:rsid w:val="0062358E"/>
    <w:rsid w:val="00624EF3"/>
    <w:rsid w:val="00624FCE"/>
    <w:rsid w:val="00625C9E"/>
    <w:rsid w:val="00625FB8"/>
    <w:rsid w:val="00626387"/>
    <w:rsid w:val="00626A1C"/>
    <w:rsid w:val="00627202"/>
    <w:rsid w:val="006276DF"/>
    <w:rsid w:val="006279F9"/>
    <w:rsid w:val="006315FC"/>
    <w:rsid w:val="00631651"/>
    <w:rsid w:val="00631A7D"/>
    <w:rsid w:val="00631AD1"/>
    <w:rsid w:val="00631AFF"/>
    <w:rsid w:val="00631DEF"/>
    <w:rsid w:val="00632833"/>
    <w:rsid w:val="00632B3A"/>
    <w:rsid w:val="006330E5"/>
    <w:rsid w:val="0063336B"/>
    <w:rsid w:val="00633401"/>
    <w:rsid w:val="00633D2F"/>
    <w:rsid w:val="0063539D"/>
    <w:rsid w:val="00635AD2"/>
    <w:rsid w:val="00635E7C"/>
    <w:rsid w:val="00635ED5"/>
    <w:rsid w:val="00635F9D"/>
    <w:rsid w:val="00636734"/>
    <w:rsid w:val="006369EE"/>
    <w:rsid w:val="00636DAD"/>
    <w:rsid w:val="006376E1"/>
    <w:rsid w:val="00637EA9"/>
    <w:rsid w:val="00637ED1"/>
    <w:rsid w:val="00640D8F"/>
    <w:rsid w:val="006425A2"/>
    <w:rsid w:val="00642F84"/>
    <w:rsid w:val="00643411"/>
    <w:rsid w:val="00643E90"/>
    <w:rsid w:val="00644EC5"/>
    <w:rsid w:val="0064504E"/>
    <w:rsid w:val="006455AC"/>
    <w:rsid w:val="00645B37"/>
    <w:rsid w:val="0064700E"/>
    <w:rsid w:val="00647F59"/>
    <w:rsid w:val="00650677"/>
    <w:rsid w:val="00650F41"/>
    <w:rsid w:val="00651554"/>
    <w:rsid w:val="00651800"/>
    <w:rsid w:val="006535AB"/>
    <w:rsid w:val="006537D2"/>
    <w:rsid w:val="00653916"/>
    <w:rsid w:val="00653AB2"/>
    <w:rsid w:val="00654B00"/>
    <w:rsid w:val="00654B62"/>
    <w:rsid w:val="00655785"/>
    <w:rsid w:val="006560A7"/>
    <w:rsid w:val="006560B9"/>
    <w:rsid w:val="00656DA6"/>
    <w:rsid w:val="0065704C"/>
    <w:rsid w:val="006574D4"/>
    <w:rsid w:val="00657513"/>
    <w:rsid w:val="00657BDD"/>
    <w:rsid w:val="0066012B"/>
    <w:rsid w:val="0066038E"/>
    <w:rsid w:val="006609E6"/>
    <w:rsid w:val="00660E51"/>
    <w:rsid w:val="00660F67"/>
    <w:rsid w:val="00661001"/>
    <w:rsid w:val="00663B71"/>
    <w:rsid w:val="00663D56"/>
    <w:rsid w:val="00665244"/>
    <w:rsid w:val="00665449"/>
    <w:rsid w:val="00665B8E"/>
    <w:rsid w:val="00665D56"/>
    <w:rsid w:val="00666D69"/>
    <w:rsid w:val="0066759E"/>
    <w:rsid w:val="00667D3D"/>
    <w:rsid w:val="00667D7D"/>
    <w:rsid w:val="0067223F"/>
    <w:rsid w:val="00672D15"/>
    <w:rsid w:val="00672DDC"/>
    <w:rsid w:val="00673600"/>
    <w:rsid w:val="006736A9"/>
    <w:rsid w:val="00673BC7"/>
    <w:rsid w:val="00673C1C"/>
    <w:rsid w:val="006743EE"/>
    <w:rsid w:val="00674975"/>
    <w:rsid w:val="00674E46"/>
    <w:rsid w:val="00675D39"/>
    <w:rsid w:val="006766C5"/>
    <w:rsid w:val="00676743"/>
    <w:rsid w:val="00677F3C"/>
    <w:rsid w:val="00680576"/>
    <w:rsid w:val="006813C0"/>
    <w:rsid w:val="00681727"/>
    <w:rsid w:val="00682C98"/>
    <w:rsid w:val="00683A12"/>
    <w:rsid w:val="0068560B"/>
    <w:rsid w:val="0068562B"/>
    <w:rsid w:val="006856C3"/>
    <w:rsid w:val="006856E7"/>
    <w:rsid w:val="00687236"/>
    <w:rsid w:val="0068740F"/>
    <w:rsid w:val="00691574"/>
    <w:rsid w:val="00691E12"/>
    <w:rsid w:val="006922D0"/>
    <w:rsid w:val="00693129"/>
    <w:rsid w:val="00694003"/>
    <w:rsid w:val="0069464C"/>
    <w:rsid w:val="00694FCD"/>
    <w:rsid w:val="006968C0"/>
    <w:rsid w:val="006979F4"/>
    <w:rsid w:val="00697F96"/>
    <w:rsid w:val="006A0DA0"/>
    <w:rsid w:val="006A0DC5"/>
    <w:rsid w:val="006A0DED"/>
    <w:rsid w:val="006A1277"/>
    <w:rsid w:val="006A2227"/>
    <w:rsid w:val="006A230A"/>
    <w:rsid w:val="006A2602"/>
    <w:rsid w:val="006A2D41"/>
    <w:rsid w:val="006A2D52"/>
    <w:rsid w:val="006A314F"/>
    <w:rsid w:val="006A3D16"/>
    <w:rsid w:val="006A514D"/>
    <w:rsid w:val="006A6424"/>
    <w:rsid w:val="006A67D3"/>
    <w:rsid w:val="006A67E1"/>
    <w:rsid w:val="006A6FB3"/>
    <w:rsid w:val="006A77A2"/>
    <w:rsid w:val="006B0FDB"/>
    <w:rsid w:val="006B1754"/>
    <w:rsid w:val="006B2C09"/>
    <w:rsid w:val="006B394C"/>
    <w:rsid w:val="006B51AD"/>
    <w:rsid w:val="006B5211"/>
    <w:rsid w:val="006B5BE9"/>
    <w:rsid w:val="006B6685"/>
    <w:rsid w:val="006B69E5"/>
    <w:rsid w:val="006B6EF9"/>
    <w:rsid w:val="006B779A"/>
    <w:rsid w:val="006C09ED"/>
    <w:rsid w:val="006C0C65"/>
    <w:rsid w:val="006C1091"/>
    <w:rsid w:val="006C1403"/>
    <w:rsid w:val="006C155B"/>
    <w:rsid w:val="006C1AC7"/>
    <w:rsid w:val="006C1D2B"/>
    <w:rsid w:val="006C2700"/>
    <w:rsid w:val="006C2717"/>
    <w:rsid w:val="006C2DBB"/>
    <w:rsid w:val="006C3212"/>
    <w:rsid w:val="006C36FB"/>
    <w:rsid w:val="006C42CB"/>
    <w:rsid w:val="006C4FBF"/>
    <w:rsid w:val="006C51EF"/>
    <w:rsid w:val="006C5846"/>
    <w:rsid w:val="006C63E3"/>
    <w:rsid w:val="006C679F"/>
    <w:rsid w:val="006C67B0"/>
    <w:rsid w:val="006C6892"/>
    <w:rsid w:val="006C7D62"/>
    <w:rsid w:val="006D02DA"/>
    <w:rsid w:val="006D06C1"/>
    <w:rsid w:val="006D0A5D"/>
    <w:rsid w:val="006D0B23"/>
    <w:rsid w:val="006D2482"/>
    <w:rsid w:val="006D286D"/>
    <w:rsid w:val="006D289E"/>
    <w:rsid w:val="006D2D26"/>
    <w:rsid w:val="006D2ED6"/>
    <w:rsid w:val="006D31DC"/>
    <w:rsid w:val="006D3355"/>
    <w:rsid w:val="006D3EF4"/>
    <w:rsid w:val="006D4840"/>
    <w:rsid w:val="006D48F3"/>
    <w:rsid w:val="006D4BF2"/>
    <w:rsid w:val="006D4CA2"/>
    <w:rsid w:val="006D5685"/>
    <w:rsid w:val="006D63F8"/>
    <w:rsid w:val="006D698C"/>
    <w:rsid w:val="006E0D08"/>
    <w:rsid w:val="006E14A3"/>
    <w:rsid w:val="006E14C2"/>
    <w:rsid w:val="006E1987"/>
    <w:rsid w:val="006E1EB1"/>
    <w:rsid w:val="006E23B2"/>
    <w:rsid w:val="006E2D2A"/>
    <w:rsid w:val="006E2D99"/>
    <w:rsid w:val="006E3BCF"/>
    <w:rsid w:val="006E41BF"/>
    <w:rsid w:val="006E5207"/>
    <w:rsid w:val="006E687D"/>
    <w:rsid w:val="006E6B72"/>
    <w:rsid w:val="006F1331"/>
    <w:rsid w:val="006F19F3"/>
    <w:rsid w:val="006F19FB"/>
    <w:rsid w:val="006F2637"/>
    <w:rsid w:val="006F29E5"/>
    <w:rsid w:val="006F2B1B"/>
    <w:rsid w:val="006F41A3"/>
    <w:rsid w:val="006F54B2"/>
    <w:rsid w:val="006F5C70"/>
    <w:rsid w:val="006F5FB8"/>
    <w:rsid w:val="006F6378"/>
    <w:rsid w:val="006F6909"/>
    <w:rsid w:val="006F6A20"/>
    <w:rsid w:val="006F6AF1"/>
    <w:rsid w:val="006F727D"/>
    <w:rsid w:val="006F771C"/>
    <w:rsid w:val="00700875"/>
    <w:rsid w:val="00700908"/>
    <w:rsid w:val="00701AA3"/>
    <w:rsid w:val="00702A8B"/>
    <w:rsid w:val="007035D0"/>
    <w:rsid w:val="00703D5B"/>
    <w:rsid w:val="00703DB8"/>
    <w:rsid w:val="007042AC"/>
    <w:rsid w:val="007046E0"/>
    <w:rsid w:val="007047B2"/>
    <w:rsid w:val="00704DE7"/>
    <w:rsid w:val="00705450"/>
    <w:rsid w:val="0070564E"/>
    <w:rsid w:val="007057FE"/>
    <w:rsid w:val="00706394"/>
    <w:rsid w:val="00706868"/>
    <w:rsid w:val="00706E93"/>
    <w:rsid w:val="007072A6"/>
    <w:rsid w:val="00707319"/>
    <w:rsid w:val="00707418"/>
    <w:rsid w:val="007078B8"/>
    <w:rsid w:val="00711969"/>
    <w:rsid w:val="00711A41"/>
    <w:rsid w:val="007122A4"/>
    <w:rsid w:val="00712B4B"/>
    <w:rsid w:val="00712C40"/>
    <w:rsid w:val="00713978"/>
    <w:rsid w:val="007146DF"/>
    <w:rsid w:val="0071501B"/>
    <w:rsid w:val="00715E32"/>
    <w:rsid w:val="007162D1"/>
    <w:rsid w:val="00716463"/>
    <w:rsid w:val="00716A3E"/>
    <w:rsid w:val="0071706E"/>
    <w:rsid w:val="00720326"/>
    <w:rsid w:val="00721203"/>
    <w:rsid w:val="00723618"/>
    <w:rsid w:val="00723776"/>
    <w:rsid w:val="0072408E"/>
    <w:rsid w:val="007243BB"/>
    <w:rsid w:val="00724DCF"/>
    <w:rsid w:val="00725502"/>
    <w:rsid w:val="0072651C"/>
    <w:rsid w:val="00726E50"/>
    <w:rsid w:val="00727292"/>
    <w:rsid w:val="00727C25"/>
    <w:rsid w:val="007307D7"/>
    <w:rsid w:val="00731832"/>
    <w:rsid w:val="00731B55"/>
    <w:rsid w:val="00732302"/>
    <w:rsid w:val="00733566"/>
    <w:rsid w:val="0073407C"/>
    <w:rsid w:val="00734203"/>
    <w:rsid w:val="00734A35"/>
    <w:rsid w:val="00734D6E"/>
    <w:rsid w:val="00734D84"/>
    <w:rsid w:val="00735293"/>
    <w:rsid w:val="00735E1C"/>
    <w:rsid w:val="00736DBD"/>
    <w:rsid w:val="00736DE4"/>
    <w:rsid w:val="007375CA"/>
    <w:rsid w:val="00740950"/>
    <w:rsid w:val="007409C2"/>
    <w:rsid w:val="00740C3D"/>
    <w:rsid w:val="00740CCF"/>
    <w:rsid w:val="00741378"/>
    <w:rsid w:val="00742B23"/>
    <w:rsid w:val="00742F6A"/>
    <w:rsid w:val="007435A0"/>
    <w:rsid w:val="007446E8"/>
    <w:rsid w:val="00744C14"/>
    <w:rsid w:val="007451AD"/>
    <w:rsid w:val="00746C83"/>
    <w:rsid w:val="00747271"/>
    <w:rsid w:val="00747CCD"/>
    <w:rsid w:val="00750514"/>
    <w:rsid w:val="00751553"/>
    <w:rsid w:val="0075165E"/>
    <w:rsid w:val="00751E22"/>
    <w:rsid w:val="007545A5"/>
    <w:rsid w:val="00754E10"/>
    <w:rsid w:val="00755FDC"/>
    <w:rsid w:val="00756092"/>
    <w:rsid w:val="00756C17"/>
    <w:rsid w:val="0075724A"/>
    <w:rsid w:val="00757A64"/>
    <w:rsid w:val="00760503"/>
    <w:rsid w:val="0076183C"/>
    <w:rsid w:val="00761AAC"/>
    <w:rsid w:val="00761C9B"/>
    <w:rsid w:val="00762030"/>
    <w:rsid w:val="007626A3"/>
    <w:rsid w:val="00762702"/>
    <w:rsid w:val="00762A29"/>
    <w:rsid w:val="00762D4C"/>
    <w:rsid w:val="00762FCD"/>
    <w:rsid w:val="0076327D"/>
    <w:rsid w:val="007636DE"/>
    <w:rsid w:val="0076408C"/>
    <w:rsid w:val="00764122"/>
    <w:rsid w:val="007644B4"/>
    <w:rsid w:val="0076467F"/>
    <w:rsid w:val="00764B5C"/>
    <w:rsid w:val="00764C0B"/>
    <w:rsid w:val="00765214"/>
    <w:rsid w:val="00765586"/>
    <w:rsid w:val="007657D4"/>
    <w:rsid w:val="0076590F"/>
    <w:rsid w:val="007661FF"/>
    <w:rsid w:val="00766527"/>
    <w:rsid w:val="00766864"/>
    <w:rsid w:val="0076743C"/>
    <w:rsid w:val="00767745"/>
    <w:rsid w:val="007702F4"/>
    <w:rsid w:val="00770436"/>
    <w:rsid w:val="007707FC"/>
    <w:rsid w:val="00770BE3"/>
    <w:rsid w:val="00770E54"/>
    <w:rsid w:val="0077136F"/>
    <w:rsid w:val="0077176E"/>
    <w:rsid w:val="0077177A"/>
    <w:rsid w:val="00771C4E"/>
    <w:rsid w:val="00771C84"/>
    <w:rsid w:val="00771CCE"/>
    <w:rsid w:val="007728A8"/>
    <w:rsid w:val="00772923"/>
    <w:rsid w:val="00772957"/>
    <w:rsid w:val="00772F23"/>
    <w:rsid w:val="007733D2"/>
    <w:rsid w:val="00773A37"/>
    <w:rsid w:val="0077455C"/>
    <w:rsid w:val="007746DD"/>
    <w:rsid w:val="00775013"/>
    <w:rsid w:val="00775365"/>
    <w:rsid w:val="00776129"/>
    <w:rsid w:val="0077661F"/>
    <w:rsid w:val="00776AF5"/>
    <w:rsid w:val="00777CEB"/>
    <w:rsid w:val="0078206C"/>
    <w:rsid w:val="007837BD"/>
    <w:rsid w:val="0078433C"/>
    <w:rsid w:val="0078441D"/>
    <w:rsid w:val="007845AA"/>
    <w:rsid w:val="007848DE"/>
    <w:rsid w:val="0078490C"/>
    <w:rsid w:val="0078497C"/>
    <w:rsid w:val="00784D20"/>
    <w:rsid w:val="00784D21"/>
    <w:rsid w:val="00784ECF"/>
    <w:rsid w:val="00785A76"/>
    <w:rsid w:val="00786204"/>
    <w:rsid w:val="00786335"/>
    <w:rsid w:val="00786B4D"/>
    <w:rsid w:val="00786B5E"/>
    <w:rsid w:val="00786D29"/>
    <w:rsid w:val="00786F05"/>
    <w:rsid w:val="00787334"/>
    <w:rsid w:val="007876E1"/>
    <w:rsid w:val="00787852"/>
    <w:rsid w:val="0079029F"/>
    <w:rsid w:val="007904D7"/>
    <w:rsid w:val="00790AA2"/>
    <w:rsid w:val="0079105B"/>
    <w:rsid w:val="007915BC"/>
    <w:rsid w:val="00793324"/>
    <w:rsid w:val="00793455"/>
    <w:rsid w:val="007940C9"/>
    <w:rsid w:val="0079475D"/>
    <w:rsid w:val="00794AA5"/>
    <w:rsid w:val="00794F43"/>
    <w:rsid w:val="007954F0"/>
    <w:rsid w:val="00795E63"/>
    <w:rsid w:val="007967AF"/>
    <w:rsid w:val="007967FA"/>
    <w:rsid w:val="00797054"/>
    <w:rsid w:val="0079712F"/>
    <w:rsid w:val="00797E7A"/>
    <w:rsid w:val="007A0206"/>
    <w:rsid w:val="007A091A"/>
    <w:rsid w:val="007A0EA6"/>
    <w:rsid w:val="007A10AB"/>
    <w:rsid w:val="007A14BC"/>
    <w:rsid w:val="007A1C6C"/>
    <w:rsid w:val="007A2D9E"/>
    <w:rsid w:val="007A3174"/>
    <w:rsid w:val="007A41AC"/>
    <w:rsid w:val="007A4B0D"/>
    <w:rsid w:val="007A4D76"/>
    <w:rsid w:val="007A4DF9"/>
    <w:rsid w:val="007A5B84"/>
    <w:rsid w:val="007A6594"/>
    <w:rsid w:val="007A6BFF"/>
    <w:rsid w:val="007A7095"/>
    <w:rsid w:val="007A738D"/>
    <w:rsid w:val="007B0381"/>
    <w:rsid w:val="007B0ACE"/>
    <w:rsid w:val="007B0F3D"/>
    <w:rsid w:val="007B148D"/>
    <w:rsid w:val="007B1751"/>
    <w:rsid w:val="007B18C8"/>
    <w:rsid w:val="007B1A33"/>
    <w:rsid w:val="007B1D4F"/>
    <w:rsid w:val="007B2552"/>
    <w:rsid w:val="007B28DE"/>
    <w:rsid w:val="007B3712"/>
    <w:rsid w:val="007B3828"/>
    <w:rsid w:val="007B3AEC"/>
    <w:rsid w:val="007B3E17"/>
    <w:rsid w:val="007B4231"/>
    <w:rsid w:val="007B43D6"/>
    <w:rsid w:val="007B4E09"/>
    <w:rsid w:val="007B58AF"/>
    <w:rsid w:val="007B62C8"/>
    <w:rsid w:val="007B6846"/>
    <w:rsid w:val="007B6ADE"/>
    <w:rsid w:val="007B71C2"/>
    <w:rsid w:val="007B753C"/>
    <w:rsid w:val="007B7A5F"/>
    <w:rsid w:val="007C007D"/>
    <w:rsid w:val="007C21D6"/>
    <w:rsid w:val="007C241C"/>
    <w:rsid w:val="007C273E"/>
    <w:rsid w:val="007C29C7"/>
    <w:rsid w:val="007C2BD2"/>
    <w:rsid w:val="007C2EEB"/>
    <w:rsid w:val="007C3016"/>
    <w:rsid w:val="007C35A3"/>
    <w:rsid w:val="007C36BE"/>
    <w:rsid w:val="007C373D"/>
    <w:rsid w:val="007C4E4F"/>
    <w:rsid w:val="007C5BFE"/>
    <w:rsid w:val="007C5EFA"/>
    <w:rsid w:val="007C62E1"/>
    <w:rsid w:val="007D0145"/>
    <w:rsid w:val="007D03A2"/>
    <w:rsid w:val="007D242A"/>
    <w:rsid w:val="007D38C8"/>
    <w:rsid w:val="007D3BDB"/>
    <w:rsid w:val="007D4770"/>
    <w:rsid w:val="007D4B49"/>
    <w:rsid w:val="007D4B51"/>
    <w:rsid w:val="007D4B5F"/>
    <w:rsid w:val="007D4F4B"/>
    <w:rsid w:val="007D53ED"/>
    <w:rsid w:val="007D6001"/>
    <w:rsid w:val="007D6561"/>
    <w:rsid w:val="007D66D6"/>
    <w:rsid w:val="007D66DA"/>
    <w:rsid w:val="007D68BD"/>
    <w:rsid w:val="007D7049"/>
    <w:rsid w:val="007D7CE8"/>
    <w:rsid w:val="007D7F94"/>
    <w:rsid w:val="007E05CE"/>
    <w:rsid w:val="007E0D98"/>
    <w:rsid w:val="007E0E48"/>
    <w:rsid w:val="007E12CB"/>
    <w:rsid w:val="007E1476"/>
    <w:rsid w:val="007E1B76"/>
    <w:rsid w:val="007E1CCA"/>
    <w:rsid w:val="007E219A"/>
    <w:rsid w:val="007E280D"/>
    <w:rsid w:val="007E2B4A"/>
    <w:rsid w:val="007E31B6"/>
    <w:rsid w:val="007E37BF"/>
    <w:rsid w:val="007E3941"/>
    <w:rsid w:val="007E3E8A"/>
    <w:rsid w:val="007E49FD"/>
    <w:rsid w:val="007E50FC"/>
    <w:rsid w:val="007E52B1"/>
    <w:rsid w:val="007E5437"/>
    <w:rsid w:val="007E551F"/>
    <w:rsid w:val="007E57C8"/>
    <w:rsid w:val="007E5897"/>
    <w:rsid w:val="007E6400"/>
    <w:rsid w:val="007E6593"/>
    <w:rsid w:val="007E6C89"/>
    <w:rsid w:val="007E753B"/>
    <w:rsid w:val="007F0A9A"/>
    <w:rsid w:val="007F0F43"/>
    <w:rsid w:val="007F1101"/>
    <w:rsid w:val="007F21BE"/>
    <w:rsid w:val="007F2555"/>
    <w:rsid w:val="007F2568"/>
    <w:rsid w:val="007F2CB1"/>
    <w:rsid w:val="007F2DB2"/>
    <w:rsid w:val="007F2F9B"/>
    <w:rsid w:val="007F3D67"/>
    <w:rsid w:val="007F45AF"/>
    <w:rsid w:val="007F4A8D"/>
    <w:rsid w:val="007F533D"/>
    <w:rsid w:val="007F559A"/>
    <w:rsid w:val="007F65F8"/>
    <w:rsid w:val="007F6EDB"/>
    <w:rsid w:val="007F70AC"/>
    <w:rsid w:val="007F78C7"/>
    <w:rsid w:val="007F7B3D"/>
    <w:rsid w:val="007F7B5E"/>
    <w:rsid w:val="007F7DBF"/>
    <w:rsid w:val="00800416"/>
    <w:rsid w:val="00800953"/>
    <w:rsid w:val="0080153A"/>
    <w:rsid w:val="00801CE3"/>
    <w:rsid w:val="00802143"/>
    <w:rsid w:val="0080218D"/>
    <w:rsid w:val="00802C20"/>
    <w:rsid w:val="00802DCC"/>
    <w:rsid w:val="008036EC"/>
    <w:rsid w:val="00803A23"/>
    <w:rsid w:val="00803D20"/>
    <w:rsid w:val="00804844"/>
    <w:rsid w:val="0080517F"/>
    <w:rsid w:val="0080604B"/>
    <w:rsid w:val="00806AAC"/>
    <w:rsid w:val="00806DAC"/>
    <w:rsid w:val="00807C00"/>
    <w:rsid w:val="00807F96"/>
    <w:rsid w:val="00810032"/>
    <w:rsid w:val="00810C5E"/>
    <w:rsid w:val="00810C84"/>
    <w:rsid w:val="008112A0"/>
    <w:rsid w:val="008113C7"/>
    <w:rsid w:val="008129B0"/>
    <w:rsid w:val="00814563"/>
    <w:rsid w:val="00814977"/>
    <w:rsid w:val="00814E39"/>
    <w:rsid w:val="0081533C"/>
    <w:rsid w:val="0081696D"/>
    <w:rsid w:val="00816A94"/>
    <w:rsid w:val="00816E01"/>
    <w:rsid w:val="008173D0"/>
    <w:rsid w:val="00817E6E"/>
    <w:rsid w:val="00820241"/>
    <w:rsid w:val="008204CD"/>
    <w:rsid w:val="008209F4"/>
    <w:rsid w:val="00820B26"/>
    <w:rsid w:val="00820E3F"/>
    <w:rsid w:val="0082100A"/>
    <w:rsid w:val="0082143B"/>
    <w:rsid w:val="0082159A"/>
    <w:rsid w:val="00821957"/>
    <w:rsid w:val="0082269E"/>
    <w:rsid w:val="00822F28"/>
    <w:rsid w:val="00823235"/>
    <w:rsid w:val="00823AD4"/>
    <w:rsid w:val="008249F1"/>
    <w:rsid w:val="00824AF2"/>
    <w:rsid w:val="00825902"/>
    <w:rsid w:val="00825B8D"/>
    <w:rsid w:val="00826158"/>
    <w:rsid w:val="00826686"/>
    <w:rsid w:val="00827C60"/>
    <w:rsid w:val="00827DB2"/>
    <w:rsid w:val="00827DED"/>
    <w:rsid w:val="00827F74"/>
    <w:rsid w:val="00830B6D"/>
    <w:rsid w:val="00830CE0"/>
    <w:rsid w:val="00832530"/>
    <w:rsid w:val="0083277B"/>
    <w:rsid w:val="0083369F"/>
    <w:rsid w:val="00834046"/>
    <w:rsid w:val="008340B3"/>
    <w:rsid w:val="00834405"/>
    <w:rsid w:val="00834C3C"/>
    <w:rsid w:val="00835563"/>
    <w:rsid w:val="00835A9D"/>
    <w:rsid w:val="00835DA5"/>
    <w:rsid w:val="00836511"/>
    <w:rsid w:val="00836827"/>
    <w:rsid w:val="00836B02"/>
    <w:rsid w:val="00836B41"/>
    <w:rsid w:val="00836EC6"/>
    <w:rsid w:val="008372C9"/>
    <w:rsid w:val="0083741E"/>
    <w:rsid w:val="00837985"/>
    <w:rsid w:val="00837D3B"/>
    <w:rsid w:val="00840140"/>
    <w:rsid w:val="00840BAF"/>
    <w:rsid w:val="00840E3D"/>
    <w:rsid w:val="0084142E"/>
    <w:rsid w:val="00841D8C"/>
    <w:rsid w:val="00841EB7"/>
    <w:rsid w:val="00842220"/>
    <w:rsid w:val="008422BB"/>
    <w:rsid w:val="00843E4C"/>
    <w:rsid w:val="00844111"/>
    <w:rsid w:val="008448DC"/>
    <w:rsid w:val="00844F74"/>
    <w:rsid w:val="00845725"/>
    <w:rsid w:val="00846112"/>
    <w:rsid w:val="00846382"/>
    <w:rsid w:val="008463F0"/>
    <w:rsid w:val="008506EC"/>
    <w:rsid w:val="00850F57"/>
    <w:rsid w:val="00850FE8"/>
    <w:rsid w:val="00851033"/>
    <w:rsid w:val="00851265"/>
    <w:rsid w:val="0085190E"/>
    <w:rsid w:val="00852823"/>
    <w:rsid w:val="00853262"/>
    <w:rsid w:val="00853394"/>
    <w:rsid w:val="0085368E"/>
    <w:rsid w:val="008536C2"/>
    <w:rsid w:val="00853A6A"/>
    <w:rsid w:val="00854893"/>
    <w:rsid w:val="00854ACC"/>
    <w:rsid w:val="00854AFB"/>
    <w:rsid w:val="00854FBB"/>
    <w:rsid w:val="00855378"/>
    <w:rsid w:val="00855D3F"/>
    <w:rsid w:val="00856D98"/>
    <w:rsid w:val="00857358"/>
    <w:rsid w:val="008600C7"/>
    <w:rsid w:val="008611D8"/>
    <w:rsid w:val="008617D0"/>
    <w:rsid w:val="008619AD"/>
    <w:rsid w:val="00861A38"/>
    <w:rsid w:val="00861A60"/>
    <w:rsid w:val="00861F2A"/>
    <w:rsid w:val="00862228"/>
    <w:rsid w:val="00862357"/>
    <w:rsid w:val="008623CD"/>
    <w:rsid w:val="008628AC"/>
    <w:rsid w:val="00862D02"/>
    <w:rsid w:val="008637B9"/>
    <w:rsid w:val="00864194"/>
    <w:rsid w:val="00864212"/>
    <w:rsid w:val="0086427B"/>
    <w:rsid w:val="00864416"/>
    <w:rsid w:val="00864802"/>
    <w:rsid w:val="00864B5D"/>
    <w:rsid w:val="00864B9C"/>
    <w:rsid w:val="0086592D"/>
    <w:rsid w:val="00866278"/>
    <w:rsid w:val="008662D6"/>
    <w:rsid w:val="00866924"/>
    <w:rsid w:val="00866B39"/>
    <w:rsid w:val="00866BDB"/>
    <w:rsid w:val="00867368"/>
    <w:rsid w:val="0086762E"/>
    <w:rsid w:val="008700BE"/>
    <w:rsid w:val="008702A6"/>
    <w:rsid w:val="00870399"/>
    <w:rsid w:val="008705BD"/>
    <w:rsid w:val="00870FA1"/>
    <w:rsid w:val="008711EC"/>
    <w:rsid w:val="008718FE"/>
    <w:rsid w:val="00872946"/>
    <w:rsid w:val="00873B7F"/>
    <w:rsid w:val="00874349"/>
    <w:rsid w:val="00874601"/>
    <w:rsid w:val="00874A3E"/>
    <w:rsid w:val="00875108"/>
    <w:rsid w:val="00875333"/>
    <w:rsid w:val="00876421"/>
    <w:rsid w:val="00876DC6"/>
    <w:rsid w:val="008771CE"/>
    <w:rsid w:val="00877F3E"/>
    <w:rsid w:val="0088040D"/>
    <w:rsid w:val="00880904"/>
    <w:rsid w:val="00880FB6"/>
    <w:rsid w:val="008811F1"/>
    <w:rsid w:val="00881876"/>
    <w:rsid w:val="00881DA8"/>
    <w:rsid w:val="00881E01"/>
    <w:rsid w:val="008824BE"/>
    <w:rsid w:val="008828F8"/>
    <w:rsid w:val="0088296F"/>
    <w:rsid w:val="00882BEB"/>
    <w:rsid w:val="00883270"/>
    <w:rsid w:val="008834B4"/>
    <w:rsid w:val="008835EE"/>
    <w:rsid w:val="008837C5"/>
    <w:rsid w:val="00883928"/>
    <w:rsid w:val="00883DDE"/>
    <w:rsid w:val="00883F46"/>
    <w:rsid w:val="00885890"/>
    <w:rsid w:val="00885D0A"/>
    <w:rsid w:val="00886CB6"/>
    <w:rsid w:val="008900BC"/>
    <w:rsid w:val="0089015A"/>
    <w:rsid w:val="008903A0"/>
    <w:rsid w:val="00890C5D"/>
    <w:rsid w:val="00891470"/>
    <w:rsid w:val="008914B9"/>
    <w:rsid w:val="00891D73"/>
    <w:rsid w:val="00892054"/>
    <w:rsid w:val="0089211A"/>
    <w:rsid w:val="00892395"/>
    <w:rsid w:val="00892A44"/>
    <w:rsid w:val="008931DD"/>
    <w:rsid w:val="0089352B"/>
    <w:rsid w:val="0089372A"/>
    <w:rsid w:val="008944C4"/>
    <w:rsid w:val="00894DED"/>
    <w:rsid w:val="008955AC"/>
    <w:rsid w:val="00895BB3"/>
    <w:rsid w:val="00896FE4"/>
    <w:rsid w:val="00897AEC"/>
    <w:rsid w:val="00897F0A"/>
    <w:rsid w:val="00897FD0"/>
    <w:rsid w:val="008A0BB0"/>
    <w:rsid w:val="008A1031"/>
    <w:rsid w:val="008A1396"/>
    <w:rsid w:val="008A13ED"/>
    <w:rsid w:val="008A1409"/>
    <w:rsid w:val="008A1B1A"/>
    <w:rsid w:val="008A1CBA"/>
    <w:rsid w:val="008A21F9"/>
    <w:rsid w:val="008A2535"/>
    <w:rsid w:val="008A2561"/>
    <w:rsid w:val="008A25A1"/>
    <w:rsid w:val="008A2DE8"/>
    <w:rsid w:val="008A312D"/>
    <w:rsid w:val="008A3E09"/>
    <w:rsid w:val="008A3E57"/>
    <w:rsid w:val="008A4647"/>
    <w:rsid w:val="008A61C1"/>
    <w:rsid w:val="008A6963"/>
    <w:rsid w:val="008A6AE7"/>
    <w:rsid w:val="008A734A"/>
    <w:rsid w:val="008A745C"/>
    <w:rsid w:val="008A77A7"/>
    <w:rsid w:val="008B1A4D"/>
    <w:rsid w:val="008B2B4F"/>
    <w:rsid w:val="008B344A"/>
    <w:rsid w:val="008B3EE8"/>
    <w:rsid w:val="008B3F34"/>
    <w:rsid w:val="008B4059"/>
    <w:rsid w:val="008B44B2"/>
    <w:rsid w:val="008B4CFD"/>
    <w:rsid w:val="008B6504"/>
    <w:rsid w:val="008B672C"/>
    <w:rsid w:val="008B6B9E"/>
    <w:rsid w:val="008B6D00"/>
    <w:rsid w:val="008C01E0"/>
    <w:rsid w:val="008C0794"/>
    <w:rsid w:val="008C10D0"/>
    <w:rsid w:val="008C1648"/>
    <w:rsid w:val="008C1925"/>
    <w:rsid w:val="008C1E80"/>
    <w:rsid w:val="008C1FC9"/>
    <w:rsid w:val="008C2704"/>
    <w:rsid w:val="008C2E26"/>
    <w:rsid w:val="008C2E8D"/>
    <w:rsid w:val="008C434D"/>
    <w:rsid w:val="008C52BE"/>
    <w:rsid w:val="008C56B9"/>
    <w:rsid w:val="008C5C35"/>
    <w:rsid w:val="008C5D16"/>
    <w:rsid w:val="008C65F4"/>
    <w:rsid w:val="008C68EA"/>
    <w:rsid w:val="008C6B0E"/>
    <w:rsid w:val="008C789D"/>
    <w:rsid w:val="008D05E0"/>
    <w:rsid w:val="008D07DC"/>
    <w:rsid w:val="008D1662"/>
    <w:rsid w:val="008D1DB7"/>
    <w:rsid w:val="008D1EB9"/>
    <w:rsid w:val="008D2600"/>
    <w:rsid w:val="008D2764"/>
    <w:rsid w:val="008D3B9A"/>
    <w:rsid w:val="008D3B9B"/>
    <w:rsid w:val="008D3CB7"/>
    <w:rsid w:val="008D514F"/>
    <w:rsid w:val="008D6209"/>
    <w:rsid w:val="008D624B"/>
    <w:rsid w:val="008D687E"/>
    <w:rsid w:val="008D6BE2"/>
    <w:rsid w:val="008D70BC"/>
    <w:rsid w:val="008D721C"/>
    <w:rsid w:val="008D77F5"/>
    <w:rsid w:val="008D7E55"/>
    <w:rsid w:val="008E0394"/>
    <w:rsid w:val="008E061C"/>
    <w:rsid w:val="008E0AC0"/>
    <w:rsid w:val="008E0F71"/>
    <w:rsid w:val="008E18DF"/>
    <w:rsid w:val="008E2004"/>
    <w:rsid w:val="008E221A"/>
    <w:rsid w:val="008E24D2"/>
    <w:rsid w:val="008E2773"/>
    <w:rsid w:val="008E28D8"/>
    <w:rsid w:val="008E3634"/>
    <w:rsid w:val="008E36B7"/>
    <w:rsid w:val="008E3FFE"/>
    <w:rsid w:val="008E459E"/>
    <w:rsid w:val="008E4809"/>
    <w:rsid w:val="008E4A59"/>
    <w:rsid w:val="008E4D40"/>
    <w:rsid w:val="008E4E9A"/>
    <w:rsid w:val="008E5218"/>
    <w:rsid w:val="008E5287"/>
    <w:rsid w:val="008E5817"/>
    <w:rsid w:val="008E5AC9"/>
    <w:rsid w:val="008E5F8A"/>
    <w:rsid w:val="008E60BE"/>
    <w:rsid w:val="008E6301"/>
    <w:rsid w:val="008E63C9"/>
    <w:rsid w:val="008E647E"/>
    <w:rsid w:val="008E667A"/>
    <w:rsid w:val="008E692A"/>
    <w:rsid w:val="008E6AA6"/>
    <w:rsid w:val="008E6B74"/>
    <w:rsid w:val="008E6C3E"/>
    <w:rsid w:val="008E70F4"/>
    <w:rsid w:val="008F0FAF"/>
    <w:rsid w:val="008F147F"/>
    <w:rsid w:val="008F1E1A"/>
    <w:rsid w:val="008F23C8"/>
    <w:rsid w:val="008F2606"/>
    <w:rsid w:val="008F365E"/>
    <w:rsid w:val="008F3B5E"/>
    <w:rsid w:val="008F46CD"/>
    <w:rsid w:val="008F56F2"/>
    <w:rsid w:val="008F6480"/>
    <w:rsid w:val="008F6B9D"/>
    <w:rsid w:val="008F7740"/>
    <w:rsid w:val="0090046D"/>
    <w:rsid w:val="00900BAC"/>
    <w:rsid w:val="00900CA2"/>
    <w:rsid w:val="0090143A"/>
    <w:rsid w:val="00901824"/>
    <w:rsid w:val="00901AB2"/>
    <w:rsid w:val="00903653"/>
    <w:rsid w:val="00903C87"/>
    <w:rsid w:val="00903CD7"/>
    <w:rsid w:val="0090420A"/>
    <w:rsid w:val="009047F5"/>
    <w:rsid w:val="00904A4D"/>
    <w:rsid w:val="00904CED"/>
    <w:rsid w:val="0090508C"/>
    <w:rsid w:val="00905A49"/>
    <w:rsid w:val="00907217"/>
    <w:rsid w:val="0090776D"/>
    <w:rsid w:val="009100B5"/>
    <w:rsid w:val="00910A52"/>
    <w:rsid w:val="00911479"/>
    <w:rsid w:val="009117FB"/>
    <w:rsid w:val="00911E06"/>
    <w:rsid w:val="0091217A"/>
    <w:rsid w:val="009129C6"/>
    <w:rsid w:val="00913B0B"/>
    <w:rsid w:val="0091484D"/>
    <w:rsid w:val="00914D67"/>
    <w:rsid w:val="00914D9E"/>
    <w:rsid w:val="00914F44"/>
    <w:rsid w:val="00915F9C"/>
    <w:rsid w:val="0091601D"/>
    <w:rsid w:val="009166EA"/>
    <w:rsid w:val="00917073"/>
    <w:rsid w:val="0091722B"/>
    <w:rsid w:val="00917478"/>
    <w:rsid w:val="0092038D"/>
    <w:rsid w:val="009205C3"/>
    <w:rsid w:val="00921C41"/>
    <w:rsid w:val="00921E96"/>
    <w:rsid w:val="00923C81"/>
    <w:rsid w:val="00923E44"/>
    <w:rsid w:val="0092435C"/>
    <w:rsid w:val="00924412"/>
    <w:rsid w:val="009249C6"/>
    <w:rsid w:val="009251B5"/>
    <w:rsid w:val="0092575D"/>
    <w:rsid w:val="0092583A"/>
    <w:rsid w:val="00925E71"/>
    <w:rsid w:val="00925F9A"/>
    <w:rsid w:val="00927C70"/>
    <w:rsid w:val="00930745"/>
    <w:rsid w:val="0093100A"/>
    <w:rsid w:val="009310B9"/>
    <w:rsid w:val="009311DC"/>
    <w:rsid w:val="00931840"/>
    <w:rsid w:val="00931991"/>
    <w:rsid w:val="00932F9F"/>
    <w:rsid w:val="0093329F"/>
    <w:rsid w:val="009337C1"/>
    <w:rsid w:val="00934505"/>
    <w:rsid w:val="0093461F"/>
    <w:rsid w:val="0093482A"/>
    <w:rsid w:val="00935271"/>
    <w:rsid w:val="00936FEF"/>
    <w:rsid w:val="00937043"/>
    <w:rsid w:val="0093767A"/>
    <w:rsid w:val="00940C40"/>
    <w:rsid w:val="0094391C"/>
    <w:rsid w:val="00943B65"/>
    <w:rsid w:val="00943E42"/>
    <w:rsid w:val="009440D2"/>
    <w:rsid w:val="009445D3"/>
    <w:rsid w:val="00945154"/>
    <w:rsid w:val="0094542A"/>
    <w:rsid w:val="00945729"/>
    <w:rsid w:val="00945A8F"/>
    <w:rsid w:val="00946083"/>
    <w:rsid w:val="009461FF"/>
    <w:rsid w:val="00947C70"/>
    <w:rsid w:val="00947E9D"/>
    <w:rsid w:val="0095142E"/>
    <w:rsid w:val="00951926"/>
    <w:rsid w:val="00951CD7"/>
    <w:rsid w:val="00952206"/>
    <w:rsid w:val="00952550"/>
    <w:rsid w:val="009531D8"/>
    <w:rsid w:val="00953500"/>
    <w:rsid w:val="009535CC"/>
    <w:rsid w:val="00953C45"/>
    <w:rsid w:val="00954243"/>
    <w:rsid w:val="0095459A"/>
    <w:rsid w:val="00955166"/>
    <w:rsid w:val="0095599E"/>
    <w:rsid w:val="00955A8A"/>
    <w:rsid w:val="009568BA"/>
    <w:rsid w:val="00956F98"/>
    <w:rsid w:val="00956F9F"/>
    <w:rsid w:val="00957E24"/>
    <w:rsid w:val="00961E49"/>
    <w:rsid w:val="0096290F"/>
    <w:rsid w:val="00962B92"/>
    <w:rsid w:val="00963132"/>
    <w:rsid w:val="0096400D"/>
    <w:rsid w:val="00964021"/>
    <w:rsid w:val="00964078"/>
    <w:rsid w:val="00964487"/>
    <w:rsid w:val="009645BC"/>
    <w:rsid w:val="009653AC"/>
    <w:rsid w:val="00965F5F"/>
    <w:rsid w:val="009663C8"/>
    <w:rsid w:val="00966600"/>
    <w:rsid w:val="00966A48"/>
    <w:rsid w:val="009671B2"/>
    <w:rsid w:val="009671D9"/>
    <w:rsid w:val="00967276"/>
    <w:rsid w:val="00967A5F"/>
    <w:rsid w:val="00967CD7"/>
    <w:rsid w:val="00967D1D"/>
    <w:rsid w:val="00970359"/>
    <w:rsid w:val="00970543"/>
    <w:rsid w:val="009706AA"/>
    <w:rsid w:val="009707CE"/>
    <w:rsid w:val="009710BE"/>
    <w:rsid w:val="00971352"/>
    <w:rsid w:val="0097148C"/>
    <w:rsid w:val="00971831"/>
    <w:rsid w:val="00971852"/>
    <w:rsid w:val="00971EBB"/>
    <w:rsid w:val="0097292D"/>
    <w:rsid w:val="00972A8B"/>
    <w:rsid w:val="0097312B"/>
    <w:rsid w:val="00974DD3"/>
    <w:rsid w:val="00975E5B"/>
    <w:rsid w:val="00975F51"/>
    <w:rsid w:val="0097627B"/>
    <w:rsid w:val="0097655A"/>
    <w:rsid w:val="00976CD6"/>
    <w:rsid w:val="00976D48"/>
    <w:rsid w:val="00976F22"/>
    <w:rsid w:val="009779B1"/>
    <w:rsid w:val="009779F8"/>
    <w:rsid w:val="00977C8F"/>
    <w:rsid w:val="00977F94"/>
    <w:rsid w:val="00980A1F"/>
    <w:rsid w:val="00980D22"/>
    <w:rsid w:val="00981131"/>
    <w:rsid w:val="00983326"/>
    <w:rsid w:val="009836F9"/>
    <w:rsid w:val="009863E9"/>
    <w:rsid w:val="0098757B"/>
    <w:rsid w:val="00987D41"/>
    <w:rsid w:val="0099050D"/>
    <w:rsid w:val="009918FE"/>
    <w:rsid w:val="00991A04"/>
    <w:rsid w:val="00991EEC"/>
    <w:rsid w:val="00991F31"/>
    <w:rsid w:val="00992E20"/>
    <w:rsid w:val="009936FC"/>
    <w:rsid w:val="00993925"/>
    <w:rsid w:val="00993977"/>
    <w:rsid w:val="00993A00"/>
    <w:rsid w:val="00993B2D"/>
    <w:rsid w:val="00995787"/>
    <w:rsid w:val="009969B5"/>
    <w:rsid w:val="009A05D1"/>
    <w:rsid w:val="009A0628"/>
    <w:rsid w:val="009A09A7"/>
    <w:rsid w:val="009A1FD3"/>
    <w:rsid w:val="009A28AC"/>
    <w:rsid w:val="009A2B14"/>
    <w:rsid w:val="009A3A5B"/>
    <w:rsid w:val="009A3F2A"/>
    <w:rsid w:val="009A467D"/>
    <w:rsid w:val="009A48E0"/>
    <w:rsid w:val="009A56D0"/>
    <w:rsid w:val="009A6577"/>
    <w:rsid w:val="009A6F60"/>
    <w:rsid w:val="009A72D4"/>
    <w:rsid w:val="009A73D8"/>
    <w:rsid w:val="009B1707"/>
    <w:rsid w:val="009B1BFA"/>
    <w:rsid w:val="009B1C62"/>
    <w:rsid w:val="009B24DC"/>
    <w:rsid w:val="009B2AAC"/>
    <w:rsid w:val="009B3298"/>
    <w:rsid w:val="009B3521"/>
    <w:rsid w:val="009B35C8"/>
    <w:rsid w:val="009B37CF"/>
    <w:rsid w:val="009B3D5F"/>
    <w:rsid w:val="009B4B94"/>
    <w:rsid w:val="009B4BEC"/>
    <w:rsid w:val="009B541C"/>
    <w:rsid w:val="009B554C"/>
    <w:rsid w:val="009B6291"/>
    <w:rsid w:val="009B6B8B"/>
    <w:rsid w:val="009B6DEF"/>
    <w:rsid w:val="009B7404"/>
    <w:rsid w:val="009B786F"/>
    <w:rsid w:val="009C076C"/>
    <w:rsid w:val="009C14F7"/>
    <w:rsid w:val="009C1DC3"/>
    <w:rsid w:val="009C3B19"/>
    <w:rsid w:val="009C413A"/>
    <w:rsid w:val="009C4460"/>
    <w:rsid w:val="009C4706"/>
    <w:rsid w:val="009C5345"/>
    <w:rsid w:val="009C5613"/>
    <w:rsid w:val="009D0462"/>
    <w:rsid w:val="009D05C1"/>
    <w:rsid w:val="009D0FD1"/>
    <w:rsid w:val="009D36F1"/>
    <w:rsid w:val="009D3D6B"/>
    <w:rsid w:val="009D4F56"/>
    <w:rsid w:val="009D5239"/>
    <w:rsid w:val="009D5528"/>
    <w:rsid w:val="009D575F"/>
    <w:rsid w:val="009D59BB"/>
    <w:rsid w:val="009D641E"/>
    <w:rsid w:val="009D7192"/>
    <w:rsid w:val="009D7223"/>
    <w:rsid w:val="009D7EE8"/>
    <w:rsid w:val="009D7F6F"/>
    <w:rsid w:val="009E0E38"/>
    <w:rsid w:val="009E1A35"/>
    <w:rsid w:val="009E1DB4"/>
    <w:rsid w:val="009E2B94"/>
    <w:rsid w:val="009E2D23"/>
    <w:rsid w:val="009E33D4"/>
    <w:rsid w:val="009E3EDF"/>
    <w:rsid w:val="009E4D1C"/>
    <w:rsid w:val="009E4D49"/>
    <w:rsid w:val="009E58AB"/>
    <w:rsid w:val="009E688D"/>
    <w:rsid w:val="009E6B67"/>
    <w:rsid w:val="009E6ECF"/>
    <w:rsid w:val="009E6EEF"/>
    <w:rsid w:val="009E6FD1"/>
    <w:rsid w:val="009E7199"/>
    <w:rsid w:val="009E7969"/>
    <w:rsid w:val="009E7C3A"/>
    <w:rsid w:val="009F01BE"/>
    <w:rsid w:val="009F09AA"/>
    <w:rsid w:val="009F1BAE"/>
    <w:rsid w:val="009F1C49"/>
    <w:rsid w:val="009F2C16"/>
    <w:rsid w:val="009F2C1B"/>
    <w:rsid w:val="009F2DF6"/>
    <w:rsid w:val="009F2F78"/>
    <w:rsid w:val="009F3029"/>
    <w:rsid w:val="009F335C"/>
    <w:rsid w:val="009F336B"/>
    <w:rsid w:val="009F5039"/>
    <w:rsid w:val="009F615D"/>
    <w:rsid w:val="009F795A"/>
    <w:rsid w:val="009F7987"/>
    <w:rsid w:val="00A002B5"/>
    <w:rsid w:val="00A01482"/>
    <w:rsid w:val="00A0260C"/>
    <w:rsid w:val="00A041B5"/>
    <w:rsid w:val="00A042E4"/>
    <w:rsid w:val="00A04E5D"/>
    <w:rsid w:val="00A04F8C"/>
    <w:rsid w:val="00A05158"/>
    <w:rsid w:val="00A05A20"/>
    <w:rsid w:val="00A05E3D"/>
    <w:rsid w:val="00A0637F"/>
    <w:rsid w:val="00A067E8"/>
    <w:rsid w:val="00A103F3"/>
    <w:rsid w:val="00A103F7"/>
    <w:rsid w:val="00A10873"/>
    <w:rsid w:val="00A11A30"/>
    <w:rsid w:val="00A11D81"/>
    <w:rsid w:val="00A123ED"/>
    <w:rsid w:val="00A12DFB"/>
    <w:rsid w:val="00A1386C"/>
    <w:rsid w:val="00A13BF5"/>
    <w:rsid w:val="00A1428B"/>
    <w:rsid w:val="00A1474E"/>
    <w:rsid w:val="00A14837"/>
    <w:rsid w:val="00A14857"/>
    <w:rsid w:val="00A148C1"/>
    <w:rsid w:val="00A14F8A"/>
    <w:rsid w:val="00A15ADD"/>
    <w:rsid w:val="00A1646C"/>
    <w:rsid w:val="00A1671F"/>
    <w:rsid w:val="00A16AD4"/>
    <w:rsid w:val="00A16BA6"/>
    <w:rsid w:val="00A16F61"/>
    <w:rsid w:val="00A175DA"/>
    <w:rsid w:val="00A17E9D"/>
    <w:rsid w:val="00A20BA8"/>
    <w:rsid w:val="00A2119C"/>
    <w:rsid w:val="00A21343"/>
    <w:rsid w:val="00A216F5"/>
    <w:rsid w:val="00A21EF7"/>
    <w:rsid w:val="00A21F58"/>
    <w:rsid w:val="00A225E3"/>
    <w:rsid w:val="00A229F8"/>
    <w:rsid w:val="00A23A26"/>
    <w:rsid w:val="00A23A7A"/>
    <w:rsid w:val="00A24A8F"/>
    <w:rsid w:val="00A24C40"/>
    <w:rsid w:val="00A25708"/>
    <w:rsid w:val="00A25BF0"/>
    <w:rsid w:val="00A25C83"/>
    <w:rsid w:val="00A262AA"/>
    <w:rsid w:val="00A26BFA"/>
    <w:rsid w:val="00A26EEA"/>
    <w:rsid w:val="00A2796B"/>
    <w:rsid w:val="00A300D6"/>
    <w:rsid w:val="00A3026E"/>
    <w:rsid w:val="00A314CE"/>
    <w:rsid w:val="00A31554"/>
    <w:rsid w:val="00A3183D"/>
    <w:rsid w:val="00A31F0B"/>
    <w:rsid w:val="00A32042"/>
    <w:rsid w:val="00A321B4"/>
    <w:rsid w:val="00A331A6"/>
    <w:rsid w:val="00A336AE"/>
    <w:rsid w:val="00A33D3A"/>
    <w:rsid w:val="00A33E01"/>
    <w:rsid w:val="00A34136"/>
    <w:rsid w:val="00A368E8"/>
    <w:rsid w:val="00A371C0"/>
    <w:rsid w:val="00A3756D"/>
    <w:rsid w:val="00A376A3"/>
    <w:rsid w:val="00A403A5"/>
    <w:rsid w:val="00A40884"/>
    <w:rsid w:val="00A40AFA"/>
    <w:rsid w:val="00A40E3B"/>
    <w:rsid w:val="00A424B3"/>
    <w:rsid w:val="00A429FB"/>
    <w:rsid w:val="00A42BEA"/>
    <w:rsid w:val="00A43093"/>
    <w:rsid w:val="00A43786"/>
    <w:rsid w:val="00A43F29"/>
    <w:rsid w:val="00A43F34"/>
    <w:rsid w:val="00A452DC"/>
    <w:rsid w:val="00A4576A"/>
    <w:rsid w:val="00A45AD0"/>
    <w:rsid w:val="00A45EE9"/>
    <w:rsid w:val="00A4667A"/>
    <w:rsid w:val="00A46711"/>
    <w:rsid w:val="00A47A81"/>
    <w:rsid w:val="00A5010D"/>
    <w:rsid w:val="00A5013C"/>
    <w:rsid w:val="00A5090E"/>
    <w:rsid w:val="00A50F16"/>
    <w:rsid w:val="00A522C1"/>
    <w:rsid w:val="00A5283F"/>
    <w:rsid w:val="00A5319B"/>
    <w:rsid w:val="00A53774"/>
    <w:rsid w:val="00A53C14"/>
    <w:rsid w:val="00A541C2"/>
    <w:rsid w:val="00A54817"/>
    <w:rsid w:val="00A5526E"/>
    <w:rsid w:val="00A564C4"/>
    <w:rsid w:val="00A57689"/>
    <w:rsid w:val="00A61058"/>
    <w:rsid w:val="00A61362"/>
    <w:rsid w:val="00A61410"/>
    <w:rsid w:val="00A6198A"/>
    <w:rsid w:val="00A62AA8"/>
    <w:rsid w:val="00A63CF7"/>
    <w:rsid w:val="00A63E26"/>
    <w:rsid w:val="00A63F72"/>
    <w:rsid w:val="00A646BF"/>
    <w:rsid w:val="00A64A75"/>
    <w:rsid w:val="00A65108"/>
    <w:rsid w:val="00A65760"/>
    <w:rsid w:val="00A65D86"/>
    <w:rsid w:val="00A66140"/>
    <w:rsid w:val="00A665E6"/>
    <w:rsid w:val="00A668D0"/>
    <w:rsid w:val="00A66B1B"/>
    <w:rsid w:val="00A67FAF"/>
    <w:rsid w:val="00A705AD"/>
    <w:rsid w:val="00A7067F"/>
    <w:rsid w:val="00A707A7"/>
    <w:rsid w:val="00A70D31"/>
    <w:rsid w:val="00A71790"/>
    <w:rsid w:val="00A718FD"/>
    <w:rsid w:val="00A719D9"/>
    <w:rsid w:val="00A72341"/>
    <w:rsid w:val="00A72486"/>
    <w:rsid w:val="00A728D3"/>
    <w:rsid w:val="00A73A83"/>
    <w:rsid w:val="00A73BFB"/>
    <w:rsid w:val="00A73CD2"/>
    <w:rsid w:val="00A75447"/>
    <w:rsid w:val="00A77102"/>
    <w:rsid w:val="00A7712B"/>
    <w:rsid w:val="00A776ED"/>
    <w:rsid w:val="00A778AA"/>
    <w:rsid w:val="00A779C0"/>
    <w:rsid w:val="00A77EA2"/>
    <w:rsid w:val="00A80E50"/>
    <w:rsid w:val="00A81279"/>
    <w:rsid w:val="00A82123"/>
    <w:rsid w:val="00A826F4"/>
    <w:rsid w:val="00A82800"/>
    <w:rsid w:val="00A83663"/>
    <w:rsid w:val="00A83B0F"/>
    <w:rsid w:val="00A84216"/>
    <w:rsid w:val="00A844E8"/>
    <w:rsid w:val="00A859EC"/>
    <w:rsid w:val="00A87B61"/>
    <w:rsid w:val="00A90BFA"/>
    <w:rsid w:val="00A90C89"/>
    <w:rsid w:val="00A91433"/>
    <w:rsid w:val="00A9260A"/>
    <w:rsid w:val="00A92BF3"/>
    <w:rsid w:val="00A93830"/>
    <w:rsid w:val="00A9385F"/>
    <w:rsid w:val="00A93C3E"/>
    <w:rsid w:val="00A943C8"/>
    <w:rsid w:val="00A94AB3"/>
    <w:rsid w:val="00A94FFA"/>
    <w:rsid w:val="00A950A4"/>
    <w:rsid w:val="00A9520D"/>
    <w:rsid w:val="00A95B32"/>
    <w:rsid w:val="00A95D26"/>
    <w:rsid w:val="00A96012"/>
    <w:rsid w:val="00A96479"/>
    <w:rsid w:val="00A96588"/>
    <w:rsid w:val="00A96F9E"/>
    <w:rsid w:val="00A97026"/>
    <w:rsid w:val="00A9747D"/>
    <w:rsid w:val="00AA00A6"/>
    <w:rsid w:val="00AA0DD0"/>
    <w:rsid w:val="00AA0FD3"/>
    <w:rsid w:val="00AA1AB1"/>
    <w:rsid w:val="00AA24EF"/>
    <w:rsid w:val="00AA2B6B"/>
    <w:rsid w:val="00AA2D3D"/>
    <w:rsid w:val="00AA3DCD"/>
    <w:rsid w:val="00AA4966"/>
    <w:rsid w:val="00AA4D18"/>
    <w:rsid w:val="00AA5053"/>
    <w:rsid w:val="00AA5333"/>
    <w:rsid w:val="00AA5897"/>
    <w:rsid w:val="00AA5A75"/>
    <w:rsid w:val="00AA5B5A"/>
    <w:rsid w:val="00AA6B49"/>
    <w:rsid w:val="00AA6BA8"/>
    <w:rsid w:val="00AA757B"/>
    <w:rsid w:val="00AA7B5F"/>
    <w:rsid w:val="00AA7F5A"/>
    <w:rsid w:val="00AB0111"/>
    <w:rsid w:val="00AB09D6"/>
    <w:rsid w:val="00AB0B6B"/>
    <w:rsid w:val="00AB0F69"/>
    <w:rsid w:val="00AB2340"/>
    <w:rsid w:val="00AB280E"/>
    <w:rsid w:val="00AB31A3"/>
    <w:rsid w:val="00AB3C2A"/>
    <w:rsid w:val="00AB3CFC"/>
    <w:rsid w:val="00AB3EE2"/>
    <w:rsid w:val="00AB4F95"/>
    <w:rsid w:val="00AB5D36"/>
    <w:rsid w:val="00AB5E23"/>
    <w:rsid w:val="00AB5F1C"/>
    <w:rsid w:val="00AB5FE4"/>
    <w:rsid w:val="00AB659D"/>
    <w:rsid w:val="00AB6BA2"/>
    <w:rsid w:val="00AB6DBE"/>
    <w:rsid w:val="00AB738A"/>
    <w:rsid w:val="00AC026E"/>
    <w:rsid w:val="00AC0AFF"/>
    <w:rsid w:val="00AC140E"/>
    <w:rsid w:val="00AC1567"/>
    <w:rsid w:val="00AC19AD"/>
    <w:rsid w:val="00AC229F"/>
    <w:rsid w:val="00AC252A"/>
    <w:rsid w:val="00AC32AB"/>
    <w:rsid w:val="00AC3FC0"/>
    <w:rsid w:val="00AC43CC"/>
    <w:rsid w:val="00AC4B85"/>
    <w:rsid w:val="00AC53A9"/>
    <w:rsid w:val="00AC5417"/>
    <w:rsid w:val="00AC6D51"/>
    <w:rsid w:val="00AC7A58"/>
    <w:rsid w:val="00AC7E86"/>
    <w:rsid w:val="00AD0FB6"/>
    <w:rsid w:val="00AD2569"/>
    <w:rsid w:val="00AD3627"/>
    <w:rsid w:val="00AD3774"/>
    <w:rsid w:val="00AD4C32"/>
    <w:rsid w:val="00AD4E7C"/>
    <w:rsid w:val="00AD592D"/>
    <w:rsid w:val="00AD5D0A"/>
    <w:rsid w:val="00AD6624"/>
    <w:rsid w:val="00AD718F"/>
    <w:rsid w:val="00AD7671"/>
    <w:rsid w:val="00AD795C"/>
    <w:rsid w:val="00AD7D1E"/>
    <w:rsid w:val="00AE14A2"/>
    <w:rsid w:val="00AE1F28"/>
    <w:rsid w:val="00AE1F75"/>
    <w:rsid w:val="00AE232C"/>
    <w:rsid w:val="00AE23C9"/>
    <w:rsid w:val="00AE2632"/>
    <w:rsid w:val="00AE2A21"/>
    <w:rsid w:val="00AE365B"/>
    <w:rsid w:val="00AE4119"/>
    <w:rsid w:val="00AE53E8"/>
    <w:rsid w:val="00AE5CF6"/>
    <w:rsid w:val="00AE5E09"/>
    <w:rsid w:val="00AE6FE4"/>
    <w:rsid w:val="00AE7941"/>
    <w:rsid w:val="00AF13A6"/>
    <w:rsid w:val="00AF13F9"/>
    <w:rsid w:val="00AF1D2D"/>
    <w:rsid w:val="00AF1D5C"/>
    <w:rsid w:val="00AF2059"/>
    <w:rsid w:val="00AF2186"/>
    <w:rsid w:val="00AF2B1C"/>
    <w:rsid w:val="00AF342D"/>
    <w:rsid w:val="00AF3D84"/>
    <w:rsid w:val="00AF4161"/>
    <w:rsid w:val="00AF439A"/>
    <w:rsid w:val="00AF45BD"/>
    <w:rsid w:val="00AF464F"/>
    <w:rsid w:val="00AF5044"/>
    <w:rsid w:val="00AF580B"/>
    <w:rsid w:val="00AF67F9"/>
    <w:rsid w:val="00AF6EB0"/>
    <w:rsid w:val="00AF6F6A"/>
    <w:rsid w:val="00AF70B9"/>
    <w:rsid w:val="00AF7ACC"/>
    <w:rsid w:val="00B007C8"/>
    <w:rsid w:val="00B00A4D"/>
    <w:rsid w:val="00B00AAF"/>
    <w:rsid w:val="00B01442"/>
    <w:rsid w:val="00B02B4D"/>
    <w:rsid w:val="00B02E2D"/>
    <w:rsid w:val="00B03533"/>
    <w:rsid w:val="00B047B2"/>
    <w:rsid w:val="00B04C3B"/>
    <w:rsid w:val="00B057A6"/>
    <w:rsid w:val="00B0610A"/>
    <w:rsid w:val="00B06A6B"/>
    <w:rsid w:val="00B1036E"/>
    <w:rsid w:val="00B108BF"/>
    <w:rsid w:val="00B10A8F"/>
    <w:rsid w:val="00B10B6D"/>
    <w:rsid w:val="00B11042"/>
    <w:rsid w:val="00B11834"/>
    <w:rsid w:val="00B1224D"/>
    <w:rsid w:val="00B126AC"/>
    <w:rsid w:val="00B136E9"/>
    <w:rsid w:val="00B14410"/>
    <w:rsid w:val="00B14778"/>
    <w:rsid w:val="00B14C1B"/>
    <w:rsid w:val="00B15E61"/>
    <w:rsid w:val="00B1628B"/>
    <w:rsid w:val="00B16478"/>
    <w:rsid w:val="00B169E9"/>
    <w:rsid w:val="00B16A66"/>
    <w:rsid w:val="00B16ACC"/>
    <w:rsid w:val="00B205C2"/>
    <w:rsid w:val="00B2150D"/>
    <w:rsid w:val="00B22EF8"/>
    <w:rsid w:val="00B24245"/>
    <w:rsid w:val="00B2484B"/>
    <w:rsid w:val="00B24954"/>
    <w:rsid w:val="00B24B83"/>
    <w:rsid w:val="00B24F15"/>
    <w:rsid w:val="00B24F35"/>
    <w:rsid w:val="00B25C01"/>
    <w:rsid w:val="00B26207"/>
    <w:rsid w:val="00B270E4"/>
    <w:rsid w:val="00B27AF4"/>
    <w:rsid w:val="00B27CED"/>
    <w:rsid w:val="00B27D46"/>
    <w:rsid w:val="00B27F20"/>
    <w:rsid w:val="00B3024D"/>
    <w:rsid w:val="00B30CAE"/>
    <w:rsid w:val="00B31BA6"/>
    <w:rsid w:val="00B321F6"/>
    <w:rsid w:val="00B32219"/>
    <w:rsid w:val="00B32C88"/>
    <w:rsid w:val="00B32EE1"/>
    <w:rsid w:val="00B33080"/>
    <w:rsid w:val="00B34747"/>
    <w:rsid w:val="00B347DB"/>
    <w:rsid w:val="00B35996"/>
    <w:rsid w:val="00B35D07"/>
    <w:rsid w:val="00B36369"/>
    <w:rsid w:val="00B36F77"/>
    <w:rsid w:val="00B3714B"/>
    <w:rsid w:val="00B3740A"/>
    <w:rsid w:val="00B37D93"/>
    <w:rsid w:val="00B37FAD"/>
    <w:rsid w:val="00B409AE"/>
    <w:rsid w:val="00B42246"/>
    <w:rsid w:val="00B42AB7"/>
    <w:rsid w:val="00B42CBA"/>
    <w:rsid w:val="00B42E49"/>
    <w:rsid w:val="00B438D2"/>
    <w:rsid w:val="00B444D7"/>
    <w:rsid w:val="00B44D0B"/>
    <w:rsid w:val="00B45BB6"/>
    <w:rsid w:val="00B471A5"/>
    <w:rsid w:val="00B50903"/>
    <w:rsid w:val="00B5099F"/>
    <w:rsid w:val="00B50A30"/>
    <w:rsid w:val="00B50C75"/>
    <w:rsid w:val="00B51241"/>
    <w:rsid w:val="00B51AF0"/>
    <w:rsid w:val="00B51C71"/>
    <w:rsid w:val="00B522C8"/>
    <w:rsid w:val="00B52998"/>
    <w:rsid w:val="00B529A5"/>
    <w:rsid w:val="00B53343"/>
    <w:rsid w:val="00B53666"/>
    <w:rsid w:val="00B55B0E"/>
    <w:rsid w:val="00B574B6"/>
    <w:rsid w:val="00B60104"/>
    <w:rsid w:val="00B61D9F"/>
    <w:rsid w:val="00B62F8C"/>
    <w:rsid w:val="00B62FFE"/>
    <w:rsid w:val="00B642AB"/>
    <w:rsid w:val="00B65013"/>
    <w:rsid w:val="00B650FE"/>
    <w:rsid w:val="00B6525C"/>
    <w:rsid w:val="00B65643"/>
    <w:rsid w:val="00B671D3"/>
    <w:rsid w:val="00B7012C"/>
    <w:rsid w:val="00B708B9"/>
    <w:rsid w:val="00B709A6"/>
    <w:rsid w:val="00B7123A"/>
    <w:rsid w:val="00B71346"/>
    <w:rsid w:val="00B71B78"/>
    <w:rsid w:val="00B71EDD"/>
    <w:rsid w:val="00B71EFD"/>
    <w:rsid w:val="00B72540"/>
    <w:rsid w:val="00B72AC4"/>
    <w:rsid w:val="00B72B94"/>
    <w:rsid w:val="00B7435C"/>
    <w:rsid w:val="00B74477"/>
    <w:rsid w:val="00B748C1"/>
    <w:rsid w:val="00B75493"/>
    <w:rsid w:val="00B75EA2"/>
    <w:rsid w:val="00B76F38"/>
    <w:rsid w:val="00B8085D"/>
    <w:rsid w:val="00B80B24"/>
    <w:rsid w:val="00B80DF8"/>
    <w:rsid w:val="00B816DB"/>
    <w:rsid w:val="00B81EFF"/>
    <w:rsid w:val="00B825BF"/>
    <w:rsid w:val="00B82623"/>
    <w:rsid w:val="00B83198"/>
    <w:rsid w:val="00B831BA"/>
    <w:rsid w:val="00B836BB"/>
    <w:rsid w:val="00B83BDB"/>
    <w:rsid w:val="00B83C2D"/>
    <w:rsid w:val="00B83F8C"/>
    <w:rsid w:val="00B84122"/>
    <w:rsid w:val="00B85E73"/>
    <w:rsid w:val="00B862B0"/>
    <w:rsid w:val="00B86379"/>
    <w:rsid w:val="00B864FB"/>
    <w:rsid w:val="00B86939"/>
    <w:rsid w:val="00B87198"/>
    <w:rsid w:val="00B87784"/>
    <w:rsid w:val="00B90EBD"/>
    <w:rsid w:val="00B9220C"/>
    <w:rsid w:val="00B92F80"/>
    <w:rsid w:val="00B932C1"/>
    <w:rsid w:val="00B93314"/>
    <w:rsid w:val="00B935B5"/>
    <w:rsid w:val="00B93D79"/>
    <w:rsid w:val="00B93EF6"/>
    <w:rsid w:val="00B96105"/>
    <w:rsid w:val="00B96187"/>
    <w:rsid w:val="00B975D6"/>
    <w:rsid w:val="00B97B23"/>
    <w:rsid w:val="00B97F71"/>
    <w:rsid w:val="00BA075D"/>
    <w:rsid w:val="00BA09C2"/>
    <w:rsid w:val="00BA0D02"/>
    <w:rsid w:val="00BA10BA"/>
    <w:rsid w:val="00BA1908"/>
    <w:rsid w:val="00BA2946"/>
    <w:rsid w:val="00BA2B7C"/>
    <w:rsid w:val="00BA3DFA"/>
    <w:rsid w:val="00BA44B0"/>
    <w:rsid w:val="00BA4775"/>
    <w:rsid w:val="00BA5600"/>
    <w:rsid w:val="00BA5CFF"/>
    <w:rsid w:val="00BA6968"/>
    <w:rsid w:val="00BA6DB6"/>
    <w:rsid w:val="00BA7867"/>
    <w:rsid w:val="00BA7D36"/>
    <w:rsid w:val="00BB07B4"/>
    <w:rsid w:val="00BB127D"/>
    <w:rsid w:val="00BB142A"/>
    <w:rsid w:val="00BB1D91"/>
    <w:rsid w:val="00BB2334"/>
    <w:rsid w:val="00BB29A4"/>
    <w:rsid w:val="00BB2A78"/>
    <w:rsid w:val="00BB2E12"/>
    <w:rsid w:val="00BB2E23"/>
    <w:rsid w:val="00BB30CF"/>
    <w:rsid w:val="00BB34B9"/>
    <w:rsid w:val="00BB35C2"/>
    <w:rsid w:val="00BB3989"/>
    <w:rsid w:val="00BB42AB"/>
    <w:rsid w:val="00BB476E"/>
    <w:rsid w:val="00BB4841"/>
    <w:rsid w:val="00BB553B"/>
    <w:rsid w:val="00BB5606"/>
    <w:rsid w:val="00BB5607"/>
    <w:rsid w:val="00BB57AC"/>
    <w:rsid w:val="00BB5CDF"/>
    <w:rsid w:val="00BB5D9C"/>
    <w:rsid w:val="00BB6AFA"/>
    <w:rsid w:val="00BB7180"/>
    <w:rsid w:val="00BB71AB"/>
    <w:rsid w:val="00BB7FD6"/>
    <w:rsid w:val="00BC0913"/>
    <w:rsid w:val="00BC0B83"/>
    <w:rsid w:val="00BC0C0C"/>
    <w:rsid w:val="00BC12B7"/>
    <w:rsid w:val="00BC20EB"/>
    <w:rsid w:val="00BC28D7"/>
    <w:rsid w:val="00BC376C"/>
    <w:rsid w:val="00BC3849"/>
    <w:rsid w:val="00BC4EA5"/>
    <w:rsid w:val="00BC55C3"/>
    <w:rsid w:val="00BC5711"/>
    <w:rsid w:val="00BC5EBC"/>
    <w:rsid w:val="00BC6321"/>
    <w:rsid w:val="00BC7817"/>
    <w:rsid w:val="00BD0D79"/>
    <w:rsid w:val="00BD13EA"/>
    <w:rsid w:val="00BD2676"/>
    <w:rsid w:val="00BD371B"/>
    <w:rsid w:val="00BD3819"/>
    <w:rsid w:val="00BD3D6B"/>
    <w:rsid w:val="00BD3D93"/>
    <w:rsid w:val="00BD45EB"/>
    <w:rsid w:val="00BD486F"/>
    <w:rsid w:val="00BD4E9F"/>
    <w:rsid w:val="00BD5272"/>
    <w:rsid w:val="00BD5766"/>
    <w:rsid w:val="00BD62C5"/>
    <w:rsid w:val="00BD642D"/>
    <w:rsid w:val="00BD6988"/>
    <w:rsid w:val="00BD725D"/>
    <w:rsid w:val="00BD7474"/>
    <w:rsid w:val="00BE0190"/>
    <w:rsid w:val="00BE08DC"/>
    <w:rsid w:val="00BE0C60"/>
    <w:rsid w:val="00BE1484"/>
    <w:rsid w:val="00BE19F0"/>
    <w:rsid w:val="00BE1A77"/>
    <w:rsid w:val="00BE2911"/>
    <w:rsid w:val="00BE2AD4"/>
    <w:rsid w:val="00BE2C0B"/>
    <w:rsid w:val="00BE2DD1"/>
    <w:rsid w:val="00BE388C"/>
    <w:rsid w:val="00BE39E2"/>
    <w:rsid w:val="00BE4742"/>
    <w:rsid w:val="00BE66DA"/>
    <w:rsid w:val="00BE6772"/>
    <w:rsid w:val="00BE6F61"/>
    <w:rsid w:val="00BE7383"/>
    <w:rsid w:val="00BE754D"/>
    <w:rsid w:val="00BE7574"/>
    <w:rsid w:val="00BE76A9"/>
    <w:rsid w:val="00BE78D6"/>
    <w:rsid w:val="00BF0945"/>
    <w:rsid w:val="00BF124B"/>
    <w:rsid w:val="00BF1DB9"/>
    <w:rsid w:val="00BF2273"/>
    <w:rsid w:val="00BF3207"/>
    <w:rsid w:val="00BF3845"/>
    <w:rsid w:val="00BF555B"/>
    <w:rsid w:val="00BF5ABB"/>
    <w:rsid w:val="00BF6D10"/>
    <w:rsid w:val="00BF6E79"/>
    <w:rsid w:val="00BF742C"/>
    <w:rsid w:val="00BF751B"/>
    <w:rsid w:val="00BF7592"/>
    <w:rsid w:val="00BF7F46"/>
    <w:rsid w:val="00C00113"/>
    <w:rsid w:val="00C002BB"/>
    <w:rsid w:val="00C002FE"/>
    <w:rsid w:val="00C0174D"/>
    <w:rsid w:val="00C019E1"/>
    <w:rsid w:val="00C0222F"/>
    <w:rsid w:val="00C022C3"/>
    <w:rsid w:val="00C02592"/>
    <w:rsid w:val="00C02F5E"/>
    <w:rsid w:val="00C03C4F"/>
    <w:rsid w:val="00C03F6C"/>
    <w:rsid w:val="00C05472"/>
    <w:rsid w:val="00C06275"/>
    <w:rsid w:val="00C0737F"/>
    <w:rsid w:val="00C074E6"/>
    <w:rsid w:val="00C07564"/>
    <w:rsid w:val="00C1027E"/>
    <w:rsid w:val="00C105B5"/>
    <w:rsid w:val="00C1091D"/>
    <w:rsid w:val="00C10BDA"/>
    <w:rsid w:val="00C12108"/>
    <w:rsid w:val="00C121D9"/>
    <w:rsid w:val="00C12AFC"/>
    <w:rsid w:val="00C12E14"/>
    <w:rsid w:val="00C12E70"/>
    <w:rsid w:val="00C13453"/>
    <w:rsid w:val="00C13BAF"/>
    <w:rsid w:val="00C13CBB"/>
    <w:rsid w:val="00C13F24"/>
    <w:rsid w:val="00C1468F"/>
    <w:rsid w:val="00C154C0"/>
    <w:rsid w:val="00C159DF"/>
    <w:rsid w:val="00C15BDB"/>
    <w:rsid w:val="00C15C0D"/>
    <w:rsid w:val="00C161F0"/>
    <w:rsid w:val="00C16225"/>
    <w:rsid w:val="00C173CD"/>
    <w:rsid w:val="00C200E9"/>
    <w:rsid w:val="00C202D4"/>
    <w:rsid w:val="00C20F03"/>
    <w:rsid w:val="00C21DB7"/>
    <w:rsid w:val="00C220F9"/>
    <w:rsid w:val="00C2223B"/>
    <w:rsid w:val="00C22597"/>
    <w:rsid w:val="00C22B74"/>
    <w:rsid w:val="00C237E7"/>
    <w:rsid w:val="00C23A05"/>
    <w:rsid w:val="00C2428E"/>
    <w:rsid w:val="00C246CE"/>
    <w:rsid w:val="00C2541C"/>
    <w:rsid w:val="00C25D63"/>
    <w:rsid w:val="00C261B6"/>
    <w:rsid w:val="00C26862"/>
    <w:rsid w:val="00C271EB"/>
    <w:rsid w:val="00C2787E"/>
    <w:rsid w:val="00C27BF9"/>
    <w:rsid w:val="00C30458"/>
    <w:rsid w:val="00C309D0"/>
    <w:rsid w:val="00C31DA6"/>
    <w:rsid w:val="00C325E6"/>
    <w:rsid w:val="00C3285F"/>
    <w:rsid w:val="00C32AE9"/>
    <w:rsid w:val="00C3306F"/>
    <w:rsid w:val="00C33260"/>
    <w:rsid w:val="00C33612"/>
    <w:rsid w:val="00C3546B"/>
    <w:rsid w:val="00C37964"/>
    <w:rsid w:val="00C40385"/>
    <w:rsid w:val="00C40D0B"/>
    <w:rsid w:val="00C410A7"/>
    <w:rsid w:val="00C414B6"/>
    <w:rsid w:val="00C41750"/>
    <w:rsid w:val="00C41E96"/>
    <w:rsid w:val="00C43DB0"/>
    <w:rsid w:val="00C43EAF"/>
    <w:rsid w:val="00C44416"/>
    <w:rsid w:val="00C44543"/>
    <w:rsid w:val="00C446C5"/>
    <w:rsid w:val="00C4598F"/>
    <w:rsid w:val="00C459C4"/>
    <w:rsid w:val="00C46549"/>
    <w:rsid w:val="00C46A92"/>
    <w:rsid w:val="00C50360"/>
    <w:rsid w:val="00C51070"/>
    <w:rsid w:val="00C52403"/>
    <w:rsid w:val="00C528B2"/>
    <w:rsid w:val="00C52A1A"/>
    <w:rsid w:val="00C533D9"/>
    <w:rsid w:val="00C54E12"/>
    <w:rsid w:val="00C552ED"/>
    <w:rsid w:val="00C553F6"/>
    <w:rsid w:val="00C55468"/>
    <w:rsid w:val="00C55A6D"/>
    <w:rsid w:val="00C573B2"/>
    <w:rsid w:val="00C60394"/>
    <w:rsid w:val="00C60532"/>
    <w:rsid w:val="00C60C53"/>
    <w:rsid w:val="00C60E5E"/>
    <w:rsid w:val="00C613C5"/>
    <w:rsid w:val="00C618F4"/>
    <w:rsid w:val="00C622C3"/>
    <w:rsid w:val="00C624FB"/>
    <w:rsid w:val="00C62A99"/>
    <w:rsid w:val="00C6370F"/>
    <w:rsid w:val="00C63BD5"/>
    <w:rsid w:val="00C6586C"/>
    <w:rsid w:val="00C65986"/>
    <w:rsid w:val="00C66EAB"/>
    <w:rsid w:val="00C6776F"/>
    <w:rsid w:val="00C67AF3"/>
    <w:rsid w:val="00C70101"/>
    <w:rsid w:val="00C7042C"/>
    <w:rsid w:val="00C7053A"/>
    <w:rsid w:val="00C707D6"/>
    <w:rsid w:val="00C708ED"/>
    <w:rsid w:val="00C70BFF"/>
    <w:rsid w:val="00C70C21"/>
    <w:rsid w:val="00C74906"/>
    <w:rsid w:val="00C74B06"/>
    <w:rsid w:val="00C75B20"/>
    <w:rsid w:val="00C75B9A"/>
    <w:rsid w:val="00C7771E"/>
    <w:rsid w:val="00C81042"/>
    <w:rsid w:val="00C814C9"/>
    <w:rsid w:val="00C81B40"/>
    <w:rsid w:val="00C81D95"/>
    <w:rsid w:val="00C81EA9"/>
    <w:rsid w:val="00C81FEA"/>
    <w:rsid w:val="00C82637"/>
    <w:rsid w:val="00C82E05"/>
    <w:rsid w:val="00C83969"/>
    <w:rsid w:val="00C84E20"/>
    <w:rsid w:val="00C85234"/>
    <w:rsid w:val="00C85F9C"/>
    <w:rsid w:val="00C86154"/>
    <w:rsid w:val="00C866E5"/>
    <w:rsid w:val="00C86C7D"/>
    <w:rsid w:val="00C86C95"/>
    <w:rsid w:val="00C8791D"/>
    <w:rsid w:val="00C90C09"/>
    <w:rsid w:val="00C910EF"/>
    <w:rsid w:val="00C9253E"/>
    <w:rsid w:val="00C937D2"/>
    <w:rsid w:val="00C93915"/>
    <w:rsid w:val="00C949BF"/>
    <w:rsid w:val="00C9624F"/>
    <w:rsid w:val="00C96628"/>
    <w:rsid w:val="00C9665D"/>
    <w:rsid w:val="00C96BD5"/>
    <w:rsid w:val="00C97209"/>
    <w:rsid w:val="00CA05EB"/>
    <w:rsid w:val="00CA0C88"/>
    <w:rsid w:val="00CA2338"/>
    <w:rsid w:val="00CA3515"/>
    <w:rsid w:val="00CA3535"/>
    <w:rsid w:val="00CA3755"/>
    <w:rsid w:val="00CA3770"/>
    <w:rsid w:val="00CA3A05"/>
    <w:rsid w:val="00CA3CBF"/>
    <w:rsid w:val="00CA4C2F"/>
    <w:rsid w:val="00CA56DA"/>
    <w:rsid w:val="00CA5894"/>
    <w:rsid w:val="00CA62BE"/>
    <w:rsid w:val="00CA746B"/>
    <w:rsid w:val="00CA75D4"/>
    <w:rsid w:val="00CA76D9"/>
    <w:rsid w:val="00CA7D61"/>
    <w:rsid w:val="00CB04E2"/>
    <w:rsid w:val="00CB05A0"/>
    <w:rsid w:val="00CB11BF"/>
    <w:rsid w:val="00CB14E9"/>
    <w:rsid w:val="00CB1B6A"/>
    <w:rsid w:val="00CB1D83"/>
    <w:rsid w:val="00CB2947"/>
    <w:rsid w:val="00CB29C2"/>
    <w:rsid w:val="00CB4D02"/>
    <w:rsid w:val="00CB573A"/>
    <w:rsid w:val="00CB60D4"/>
    <w:rsid w:val="00CB63DA"/>
    <w:rsid w:val="00CB6D90"/>
    <w:rsid w:val="00CB70CD"/>
    <w:rsid w:val="00CB71CB"/>
    <w:rsid w:val="00CB72C3"/>
    <w:rsid w:val="00CB78B7"/>
    <w:rsid w:val="00CC05C8"/>
    <w:rsid w:val="00CC0D27"/>
    <w:rsid w:val="00CC11BE"/>
    <w:rsid w:val="00CC125C"/>
    <w:rsid w:val="00CC45E4"/>
    <w:rsid w:val="00CC46E0"/>
    <w:rsid w:val="00CC4DC2"/>
    <w:rsid w:val="00CC53C3"/>
    <w:rsid w:val="00CC574E"/>
    <w:rsid w:val="00CC60B7"/>
    <w:rsid w:val="00CC6345"/>
    <w:rsid w:val="00CC67EF"/>
    <w:rsid w:val="00CC6940"/>
    <w:rsid w:val="00CC722A"/>
    <w:rsid w:val="00CC726E"/>
    <w:rsid w:val="00CC77F2"/>
    <w:rsid w:val="00CC78A9"/>
    <w:rsid w:val="00CC7A56"/>
    <w:rsid w:val="00CC7D06"/>
    <w:rsid w:val="00CD019F"/>
    <w:rsid w:val="00CD0829"/>
    <w:rsid w:val="00CD11A5"/>
    <w:rsid w:val="00CD27C5"/>
    <w:rsid w:val="00CD293A"/>
    <w:rsid w:val="00CD3188"/>
    <w:rsid w:val="00CD3834"/>
    <w:rsid w:val="00CD39F7"/>
    <w:rsid w:val="00CD48E6"/>
    <w:rsid w:val="00CD4F1C"/>
    <w:rsid w:val="00CD4F79"/>
    <w:rsid w:val="00CD525A"/>
    <w:rsid w:val="00CD59B3"/>
    <w:rsid w:val="00CD5AE5"/>
    <w:rsid w:val="00CD6577"/>
    <w:rsid w:val="00CD663A"/>
    <w:rsid w:val="00CD78D2"/>
    <w:rsid w:val="00CD7C03"/>
    <w:rsid w:val="00CE0766"/>
    <w:rsid w:val="00CE0CD3"/>
    <w:rsid w:val="00CE14C6"/>
    <w:rsid w:val="00CE18F3"/>
    <w:rsid w:val="00CE1AF5"/>
    <w:rsid w:val="00CE1F1E"/>
    <w:rsid w:val="00CE28BE"/>
    <w:rsid w:val="00CE313E"/>
    <w:rsid w:val="00CE350B"/>
    <w:rsid w:val="00CE4169"/>
    <w:rsid w:val="00CE427F"/>
    <w:rsid w:val="00CE4379"/>
    <w:rsid w:val="00CE5256"/>
    <w:rsid w:val="00CE57A2"/>
    <w:rsid w:val="00CE5D21"/>
    <w:rsid w:val="00CE5D72"/>
    <w:rsid w:val="00CE5DC3"/>
    <w:rsid w:val="00CE6334"/>
    <w:rsid w:val="00CE6B40"/>
    <w:rsid w:val="00CE6EBD"/>
    <w:rsid w:val="00CE72AE"/>
    <w:rsid w:val="00CE7894"/>
    <w:rsid w:val="00CF001D"/>
    <w:rsid w:val="00CF06A1"/>
    <w:rsid w:val="00CF1467"/>
    <w:rsid w:val="00CF24F7"/>
    <w:rsid w:val="00CF2645"/>
    <w:rsid w:val="00CF3412"/>
    <w:rsid w:val="00CF34EE"/>
    <w:rsid w:val="00CF3532"/>
    <w:rsid w:val="00CF47E6"/>
    <w:rsid w:val="00CF48D6"/>
    <w:rsid w:val="00CF57C9"/>
    <w:rsid w:val="00CF57D6"/>
    <w:rsid w:val="00CF5C3F"/>
    <w:rsid w:val="00CF6C1B"/>
    <w:rsid w:val="00CF75AB"/>
    <w:rsid w:val="00D019D5"/>
    <w:rsid w:val="00D02224"/>
    <w:rsid w:val="00D02FEC"/>
    <w:rsid w:val="00D03D62"/>
    <w:rsid w:val="00D040FE"/>
    <w:rsid w:val="00D0412E"/>
    <w:rsid w:val="00D047DE"/>
    <w:rsid w:val="00D04962"/>
    <w:rsid w:val="00D04ED4"/>
    <w:rsid w:val="00D05B28"/>
    <w:rsid w:val="00D05FA0"/>
    <w:rsid w:val="00D06377"/>
    <w:rsid w:val="00D068CB"/>
    <w:rsid w:val="00D0728A"/>
    <w:rsid w:val="00D07E57"/>
    <w:rsid w:val="00D1029C"/>
    <w:rsid w:val="00D10C79"/>
    <w:rsid w:val="00D1115E"/>
    <w:rsid w:val="00D114A0"/>
    <w:rsid w:val="00D118D5"/>
    <w:rsid w:val="00D12CE0"/>
    <w:rsid w:val="00D12DF6"/>
    <w:rsid w:val="00D13999"/>
    <w:rsid w:val="00D139F5"/>
    <w:rsid w:val="00D13A70"/>
    <w:rsid w:val="00D1443E"/>
    <w:rsid w:val="00D14E89"/>
    <w:rsid w:val="00D159BF"/>
    <w:rsid w:val="00D162E2"/>
    <w:rsid w:val="00D1668F"/>
    <w:rsid w:val="00D167D0"/>
    <w:rsid w:val="00D168BF"/>
    <w:rsid w:val="00D168EF"/>
    <w:rsid w:val="00D168FD"/>
    <w:rsid w:val="00D16F64"/>
    <w:rsid w:val="00D17052"/>
    <w:rsid w:val="00D174BE"/>
    <w:rsid w:val="00D17679"/>
    <w:rsid w:val="00D20268"/>
    <w:rsid w:val="00D207F2"/>
    <w:rsid w:val="00D212EB"/>
    <w:rsid w:val="00D22F05"/>
    <w:rsid w:val="00D230A7"/>
    <w:rsid w:val="00D233DE"/>
    <w:rsid w:val="00D23D4C"/>
    <w:rsid w:val="00D23F8E"/>
    <w:rsid w:val="00D2472C"/>
    <w:rsid w:val="00D25590"/>
    <w:rsid w:val="00D2685A"/>
    <w:rsid w:val="00D279BA"/>
    <w:rsid w:val="00D27EEC"/>
    <w:rsid w:val="00D30D7A"/>
    <w:rsid w:val="00D310EC"/>
    <w:rsid w:val="00D31835"/>
    <w:rsid w:val="00D31ACE"/>
    <w:rsid w:val="00D31E91"/>
    <w:rsid w:val="00D320D0"/>
    <w:rsid w:val="00D3217D"/>
    <w:rsid w:val="00D325E1"/>
    <w:rsid w:val="00D32BD3"/>
    <w:rsid w:val="00D33BB0"/>
    <w:rsid w:val="00D34303"/>
    <w:rsid w:val="00D34413"/>
    <w:rsid w:val="00D3779A"/>
    <w:rsid w:val="00D37997"/>
    <w:rsid w:val="00D40026"/>
    <w:rsid w:val="00D402C4"/>
    <w:rsid w:val="00D404B5"/>
    <w:rsid w:val="00D422C4"/>
    <w:rsid w:val="00D42C56"/>
    <w:rsid w:val="00D43402"/>
    <w:rsid w:val="00D43F74"/>
    <w:rsid w:val="00D43FDC"/>
    <w:rsid w:val="00D447CB"/>
    <w:rsid w:val="00D449BA"/>
    <w:rsid w:val="00D4545C"/>
    <w:rsid w:val="00D4636F"/>
    <w:rsid w:val="00D475F4"/>
    <w:rsid w:val="00D479A0"/>
    <w:rsid w:val="00D47D16"/>
    <w:rsid w:val="00D502F0"/>
    <w:rsid w:val="00D5039B"/>
    <w:rsid w:val="00D505F4"/>
    <w:rsid w:val="00D50FF7"/>
    <w:rsid w:val="00D511C9"/>
    <w:rsid w:val="00D518B9"/>
    <w:rsid w:val="00D51CE1"/>
    <w:rsid w:val="00D546B7"/>
    <w:rsid w:val="00D5470D"/>
    <w:rsid w:val="00D55250"/>
    <w:rsid w:val="00D55369"/>
    <w:rsid w:val="00D55D76"/>
    <w:rsid w:val="00D562F2"/>
    <w:rsid w:val="00D56F5A"/>
    <w:rsid w:val="00D56FE3"/>
    <w:rsid w:val="00D57120"/>
    <w:rsid w:val="00D571FD"/>
    <w:rsid w:val="00D576A0"/>
    <w:rsid w:val="00D57D9E"/>
    <w:rsid w:val="00D60A2A"/>
    <w:rsid w:val="00D60CAA"/>
    <w:rsid w:val="00D61858"/>
    <w:rsid w:val="00D61B59"/>
    <w:rsid w:val="00D61B8D"/>
    <w:rsid w:val="00D61B93"/>
    <w:rsid w:val="00D62D31"/>
    <w:rsid w:val="00D64721"/>
    <w:rsid w:val="00D65D87"/>
    <w:rsid w:val="00D66A15"/>
    <w:rsid w:val="00D67B9E"/>
    <w:rsid w:val="00D67E4A"/>
    <w:rsid w:val="00D702A6"/>
    <w:rsid w:val="00D71D0B"/>
    <w:rsid w:val="00D732AA"/>
    <w:rsid w:val="00D73C01"/>
    <w:rsid w:val="00D74181"/>
    <w:rsid w:val="00D74357"/>
    <w:rsid w:val="00D74AE3"/>
    <w:rsid w:val="00D759AC"/>
    <w:rsid w:val="00D75A2B"/>
    <w:rsid w:val="00D763FD"/>
    <w:rsid w:val="00D7670F"/>
    <w:rsid w:val="00D76DB6"/>
    <w:rsid w:val="00D76F89"/>
    <w:rsid w:val="00D80C31"/>
    <w:rsid w:val="00D80DD2"/>
    <w:rsid w:val="00D81A7A"/>
    <w:rsid w:val="00D821BA"/>
    <w:rsid w:val="00D83672"/>
    <w:rsid w:val="00D8383C"/>
    <w:rsid w:val="00D84461"/>
    <w:rsid w:val="00D84738"/>
    <w:rsid w:val="00D84E00"/>
    <w:rsid w:val="00D862FF"/>
    <w:rsid w:val="00D8670D"/>
    <w:rsid w:val="00D86888"/>
    <w:rsid w:val="00D86FEE"/>
    <w:rsid w:val="00D87B36"/>
    <w:rsid w:val="00D9045F"/>
    <w:rsid w:val="00D90AD1"/>
    <w:rsid w:val="00D912C0"/>
    <w:rsid w:val="00D91365"/>
    <w:rsid w:val="00D91E92"/>
    <w:rsid w:val="00D91FD9"/>
    <w:rsid w:val="00D92622"/>
    <w:rsid w:val="00D92896"/>
    <w:rsid w:val="00D93792"/>
    <w:rsid w:val="00D941F7"/>
    <w:rsid w:val="00D942B8"/>
    <w:rsid w:val="00D9512D"/>
    <w:rsid w:val="00D9583E"/>
    <w:rsid w:val="00D96076"/>
    <w:rsid w:val="00D96D3D"/>
    <w:rsid w:val="00D9702F"/>
    <w:rsid w:val="00D9769A"/>
    <w:rsid w:val="00DA047F"/>
    <w:rsid w:val="00DA069D"/>
    <w:rsid w:val="00DA07A5"/>
    <w:rsid w:val="00DA0E88"/>
    <w:rsid w:val="00DA13CF"/>
    <w:rsid w:val="00DA1565"/>
    <w:rsid w:val="00DA1E08"/>
    <w:rsid w:val="00DA20AB"/>
    <w:rsid w:val="00DA2210"/>
    <w:rsid w:val="00DA23E0"/>
    <w:rsid w:val="00DA2510"/>
    <w:rsid w:val="00DA2D5D"/>
    <w:rsid w:val="00DA45B8"/>
    <w:rsid w:val="00DA4DDF"/>
    <w:rsid w:val="00DA6081"/>
    <w:rsid w:val="00DB04D2"/>
    <w:rsid w:val="00DB06C2"/>
    <w:rsid w:val="00DB0804"/>
    <w:rsid w:val="00DB0891"/>
    <w:rsid w:val="00DB18D6"/>
    <w:rsid w:val="00DB1B11"/>
    <w:rsid w:val="00DB1C2E"/>
    <w:rsid w:val="00DB2041"/>
    <w:rsid w:val="00DB23D6"/>
    <w:rsid w:val="00DB2FC4"/>
    <w:rsid w:val="00DB3A88"/>
    <w:rsid w:val="00DB3BD4"/>
    <w:rsid w:val="00DB4020"/>
    <w:rsid w:val="00DB48E2"/>
    <w:rsid w:val="00DB5026"/>
    <w:rsid w:val="00DB52BF"/>
    <w:rsid w:val="00DB5BED"/>
    <w:rsid w:val="00DB6F39"/>
    <w:rsid w:val="00DB77B0"/>
    <w:rsid w:val="00DB7F5A"/>
    <w:rsid w:val="00DC1C0B"/>
    <w:rsid w:val="00DC1D98"/>
    <w:rsid w:val="00DC2AAC"/>
    <w:rsid w:val="00DC2C35"/>
    <w:rsid w:val="00DC366B"/>
    <w:rsid w:val="00DC382A"/>
    <w:rsid w:val="00DC4955"/>
    <w:rsid w:val="00DC4FF3"/>
    <w:rsid w:val="00DC54F0"/>
    <w:rsid w:val="00DC64D5"/>
    <w:rsid w:val="00DD0512"/>
    <w:rsid w:val="00DD2C87"/>
    <w:rsid w:val="00DD2F2E"/>
    <w:rsid w:val="00DD2F99"/>
    <w:rsid w:val="00DD37F2"/>
    <w:rsid w:val="00DD54E7"/>
    <w:rsid w:val="00DD5947"/>
    <w:rsid w:val="00DD6CE5"/>
    <w:rsid w:val="00DD7824"/>
    <w:rsid w:val="00DD786F"/>
    <w:rsid w:val="00DE0018"/>
    <w:rsid w:val="00DE09ED"/>
    <w:rsid w:val="00DE0ABB"/>
    <w:rsid w:val="00DE0DF8"/>
    <w:rsid w:val="00DE1012"/>
    <w:rsid w:val="00DE1828"/>
    <w:rsid w:val="00DE1923"/>
    <w:rsid w:val="00DE1AFD"/>
    <w:rsid w:val="00DE1D08"/>
    <w:rsid w:val="00DE235E"/>
    <w:rsid w:val="00DE29A2"/>
    <w:rsid w:val="00DE2B33"/>
    <w:rsid w:val="00DE2C80"/>
    <w:rsid w:val="00DE360C"/>
    <w:rsid w:val="00DE4131"/>
    <w:rsid w:val="00DE433C"/>
    <w:rsid w:val="00DE434C"/>
    <w:rsid w:val="00DE4532"/>
    <w:rsid w:val="00DE506E"/>
    <w:rsid w:val="00DE55FC"/>
    <w:rsid w:val="00DE5AA1"/>
    <w:rsid w:val="00DE5CC7"/>
    <w:rsid w:val="00DE638B"/>
    <w:rsid w:val="00DE65C9"/>
    <w:rsid w:val="00DE6919"/>
    <w:rsid w:val="00DE72EE"/>
    <w:rsid w:val="00DE7481"/>
    <w:rsid w:val="00DE75BE"/>
    <w:rsid w:val="00DF050C"/>
    <w:rsid w:val="00DF07D2"/>
    <w:rsid w:val="00DF0AA0"/>
    <w:rsid w:val="00DF26B7"/>
    <w:rsid w:val="00DF2BC4"/>
    <w:rsid w:val="00DF2C7F"/>
    <w:rsid w:val="00DF37E5"/>
    <w:rsid w:val="00DF3895"/>
    <w:rsid w:val="00DF51AE"/>
    <w:rsid w:val="00DF6C06"/>
    <w:rsid w:val="00DF7555"/>
    <w:rsid w:val="00DF7603"/>
    <w:rsid w:val="00DF77A5"/>
    <w:rsid w:val="00E004B8"/>
    <w:rsid w:val="00E01AF7"/>
    <w:rsid w:val="00E034FE"/>
    <w:rsid w:val="00E03709"/>
    <w:rsid w:val="00E0397B"/>
    <w:rsid w:val="00E03C4D"/>
    <w:rsid w:val="00E041E5"/>
    <w:rsid w:val="00E04287"/>
    <w:rsid w:val="00E04812"/>
    <w:rsid w:val="00E04888"/>
    <w:rsid w:val="00E0525D"/>
    <w:rsid w:val="00E05F1B"/>
    <w:rsid w:val="00E0639F"/>
    <w:rsid w:val="00E06D0B"/>
    <w:rsid w:val="00E07530"/>
    <w:rsid w:val="00E0763B"/>
    <w:rsid w:val="00E0796A"/>
    <w:rsid w:val="00E10302"/>
    <w:rsid w:val="00E10F33"/>
    <w:rsid w:val="00E118E6"/>
    <w:rsid w:val="00E11DEC"/>
    <w:rsid w:val="00E129AB"/>
    <w:rsid w:val="00E12E6D"/>
    <w:rsid w:val="00E133A7"/>
    <w:rsid w:val="00E13A49"/>
    <w:rsid w:val="00E15096"/>
    <w:rsid w:val="00E1651D"/>
    <w:rsid w:val="00E16C0E"/>
    <w:rsid w:val="00E17EC5"/>
    <w:rsid w:val="00E2009D"/>
    <w:rsid w:val="00E20155"/>
    <w:rsid w:val="00E208B6"/>
    <w:rsid w:val="00E209FB"/>
    <w:rsid w:val="00E2124E"/>
    <w:rsid w:val="00E21F2D"/>
    <w:rsid w:val="00E23147"/>
    <w:rsid w:val="00E23FD8"/>
    <w:rsid w:val="00E241BE"/>
    <w:rsid w:val="00E262E0"/>
    <w:rsid w:val="00E26545"/>
    <w:rsid w:val="00E26A41"/>
    <w:rsid w:val="00E26BFD"/>
    <w:rsid w:val="00E26C55"/>
    <w:rsid w:val="00E26E5C"/>
    <w:rsid w:val="00E27E90"/>
    <w:rsid w:val="00E301F2"/>
    <w:rsid w:val="00E309DF"/>
    <w:rsid w:val="00E32077"/>
    <w:rsid w:val="00E326BF"/>
    <w:rsid w:val="00E328A7"/>
    <w:rsid w:val="00E32A4F"/>
    <w:rsid w:val="00E32CF3"/>
    <w:rsid w:val="00E32E5A"/>
    <w:rsid w:val="00E3307F"/>
    <w:rsid w:val="00E332B4"/>
    <w:rsid w:val="00E33601"/>
    <w:rsid w:val="00E336EA"/>
    <w:rsid w:val="00E33C83"/>
    <w:rsid w:val="00E33D02"/>
    <w:rsid w:val="00E34970"/>
    <w:rsid w:val="00E34F2C"/>
    <w:rsid w:val="00E34FAD"/>
    <w:rsid w:val="00E35D2F"/>
    <w:rsid w:val="00E35D79"/>
    <w:rsid w:val="00E36496"/>
    <w:rsid w:val="00E3724A"/>
    <w:rsid w:val="00E40316"/>
    <w:rsid w:val="00E42D19"/>
    <w:rsid w:val="00E434AD"/>
    <w:rsid w:val="00E43707"/>
    <w:rsid w:val="00E43D07"/>
    <w:rsid w:val="00E44202"/>
    <w:rsid w:val="00E44235"/>
    <w:rsid w:val="00E443C2"/>
    <w:rsid w:val="00E44824"/>
    <w:rsid w:val="00E44E46"/>
    <w:rsid w:val="00E45DB9"/>
    <w:rsid w:val="00E45FB3"/>
    <w:rsid w:val="00E4641E"/>
    <w:rsid w:val="00E469DA"/>
    <w:rsid w:val="00E47747"/>
    <w:rsid w:val="00E47D19"/>
    <w:rsid w:val="00E501FE"/>
    <w:rsid w:val="00E50BC7"/>
    <w:rsid w:val="00E50F86"/>
    <w:rsid w:val="00E516D3"/>
    <w:rsid w:val="00E519AE"/>
    <w:rsid w:val="00E51CCC"/>
    <w:rsid w:val="00E527AD"/>
    <w:rsid w:val="00E52D27"/>
    <w:rsid w:val="00E53100"/>
    <w:rsid w:val="00E5365F"/>
    <w:rsid w:val="00E53B63"/>
    <w:rsid w:val="00E53B84"/>
    <w:rsid w:val="00E55C5B"/>
    <w:rsid w:val="00E55D80"/>
    <w:rsid w:val="00E560DE"/>
    <w:rsid w:val="00E56149"/>
    <w:rsid w:val="00E561B7"/>
    <w:rsid w:val="00E5629D"/>
    <w:rsid w:val="00E57AF7"/>
    <w:rsid w:val="00E57B2F"/>
    <w:rsid w:val="00E57F60"/>
    <w:rsid w:val="00E6085A"/>
    <w:rsid w:val="00E6135A"/>
    <w:rsid w:val="00E6166A"/>
    <w:rsid w:val="00E61A8C"/>
    <w:rsid w:val="00E6241B"/>
    <w:rsid w:val="00E63554"/>
    <w:rsid w:val="00E6419A"/>
    <w:rsid w:val="00E641BA"/>
    <w:rsid w:val="00E645DC"/>
    <w:rsid w:val="00E64628"/>
    <w:rsid w:val="00E64FCC"/>
    <w:rsid w:val="00E64FD7"/>
    <w:rsid w:val="00E6637C"/>
    <w:rsid w:val="00E67173"/>
    <w:rsid w:val="00E67492"/>
    <w:rsid w:val="00E67B57"/>
    <w:rsid w:val="00E703B6"/>
    <w:rsid w:val="00E70AA1"/>
    <w:rsid w:val="00E7190F"/>
    <w:rsid w:val="00E71F15"/>
    <w:rsid w:val="00E72200"/>
    <w:rsid w:val="00E7247F"/>
    <w:rsid w:val="00E72B1B"/>
    <w:rsid w:val="00E72BD5"/>
    <w:rsid w:val="00E72C0C"/>
    <w:rsid w:val="00E72DD5"/>
    <w:rsid w:val="00E72ECD"/>
    <w:rsid w:val="00E731DC"/>
    <w:rsid w:val="00E73207"/>
    <w:rsid w:val="00E735F8"/>
    <w:rsid w:val="00E74D26"/>
    <w:rsid w:val="00E74D77"/>
    <w:rsid w:val="00E75198"/>
    <w:rsid w:val="00E75C9B"/>
    <w:rsid w:val="00E75D47"/>
    <w:rsid w:val="00E75E4D"/>
    <w:rsid w:val="00E763BF"/>
    <w:rsid w:val="00E766F5"/>
    <w:rsid w:val="00E76932"/>
    <w:rsid w:val="00E77A28"/>
    <w:rsid w:val="00E808A3"/>
    <w:rsid w:val="00E80EDF"/>
    <w:rsid w:val="00E80FC3"/>
    <w:rsid w:val="00E8145D"/>
    <w:rsid w:val="00E814B4"/>
    <w:rsid w:val="00E82690"/>
    <w:rsid w:val="00E82948"/>
    <w:rsid w:val="00E82B28"/>
    <w:rsid w:val="00E82F9C"/>
    <w:rsid w:val="00E83928"/>
    <w:rsid w:val="00E848FB"/>
    <w:rsid w:val="00E85AC3"/>
    <w:rsid w:val="00E87333"/>
    <w:rsid w:val="00E9013A"/>
    <w:rsid w:val="00E90218"/>
    <w:rsid w:val="00E913BB"/>
    <w:rsid w:val="00E92708"/>
    <w:rsid w:val="00E931A9"/>
    <w:rsid w:val="00E948E3"/>
    <w:rsid w:val="00E94C21"/>
    <w:rsid w:val="00E94FAD"/>
    <w:rsid w:val="00E95A35"/>
    <w:rsid w:val="00E95A94"/>
    <w:rsid w:val="00E95F2E"/>
    <w:rsid w:val="00E96213"/>
    <w:rsid w:val="00E96A23"/>
    <w:rsid w:val="00E97177"/>
    <w:rsid w:val="00EA0235"/>
    <w:rsid w:val="00EA06A5"/>
    <w:rsid w:val="00EA08E7"/>
    <w:rsid w:val="00EA109C"/>
    <w:rsid w:val="00EA1508"/>
    <w:rsid w:val="00EA1541"/>
    <w:rsid w:val="00EA1A5D"/>
    <w:rsid w:val="00EA29F4"/>
    <w:rsid w:val="00EA2B78"/>
    <w:rsid w:val="00EA2C8D"/>
    <w:rsid w:val="00EA32E4"/>
    <w:rsid w:val="00EA3C0D"/>
    <w:rsid w:val="00EA3D0C"/>
    <w:rsid w:val="00EA4060"/>
    <w:rsid w:val="00EA4618"/>
    <w:rsid w:val="00EA4E37"/>
    <w:rsid w:val="00EA59DF"/>
    <w:rsid w:val="00EA6859"/>
    <w:rsid w:val="00EA6C3B"/>
    <w:rsid w:val="00EA7B73"/>
    <w:rsid w:val="00EA7E36"/>
    <w:rsid w:val="00EB0335"/>
    <w:rsid w:val="00EB0898"/>
    <w:rsid w:val="00EB0AC1"/>
    <w:rsid w:val="00EB0EBD"/>
    <w:rsid w:val="00EB119E"/>
    <w:rsid w:val="00EB14C2"/>
    <w:rsid w:val="00EB1957"/>
    <w:rsid w:val="00EB19B7"/>
    <w:rsid w:val="00EB22CA"/>
    <w:rsid w:val="00EB24A7"/>
    <w:rsid w:val="00EB2591"/>
    <w:rsid w:val="00EB36F5"/>
    <w:rsid w:val="00EB4EA0"/>
    <w:rsid w:val="00EB5BEB"/>
    <w:rsid w:val="00EB5CEF"/>
    <w:rsid w:val="00EB6239"/>
    <w:rsid w:val="00EB627B"/>
    <w:rsid w:val="00EB6906"/>
    <w:rsid w:val="00EB6D94"/>
    <w:rsid w:val="00EB7206"/>
    <w:rsid w:val="00EB7815"/>
    <w:rsid w:val="00EB7C4B"/>
    <w:rsid w:val="00EB7DDF"/>
    <w:rsid w:val="00EB7F8B"/>
    <w:rsid w:val="00EC05E6"/>
    <w:rsid w:val="00EC0724"/>
    <w:rsid w:val="00EC0DC0"/>
    <w:rsid w:val="00EC206D"/>
    <w:rsid w:val="00EC2098"/>
    <w:rsid w:val="00EC4183"/>
    <w:rsid w:val="00EC4EA2"/>
    <w:rsid w:val="00EC575F"/>
    <w:rsid w:val="00EC5950"/>
    <w:rsid w:val="00EC61A4"/>
    <w:rsid w:val="00EC6468"/>
    <w:rsid w:val="00EC6708"/>
    <w:rsid w:val="00EC79F1"/>
    <w:rsid w:val="00EC7A32"/>
    <w:rsid w:val="00ED02B3"/>
    <w:rsid w:val="00ED0361"/>
    <w:rsid w:val="00ED0D7F"/>
    <w:rsid w:val="00ED1A98"/>
    <w:rsid w:val="00ED1CB6"/>
    <w:rsid w:val="00ED207C"/>
    <w:rsid w:val="00ED21BF"/>
    <w:rsid w:val="00ED2461"/>
    <w:rsid w:val="00ED24CB"/>
    <w:rsid w:val="00ED2914"/>
    <w:rsid w:val="00ED2D30"/>
    <w:rsid w:val="00ED2F16"/>
    <w:rsid w:val="00ED325A"/>
    <w:rsid w:val="00ED38A4"/>
    <w:rsid w:val="00ED3D76"/>
    <w:rsid w:val="00ED3F41"/>
    <w:rsid w:val="00ED3FC1"/>
    <w:rsid w:val="00ED4089"/>
    <w:rsid w:val="00ED5615"/>
    <w:rsid w:val="00ED5B0C"/>
    <w:rsid w:val="00ED692E"/>
    <w:rsid w:val="00ED69AF"/>
    <w:rsid w:val="00ED6B3B"/>
    <w:rsid w:val="00ED6C5A"/>
    <w:rsid w:val="00ED7D7F"/>
    <w:rsid w:val="00EE023D"/>
    <w:rsid w:val="00EE0B35"/>
    <w:rsid w:val="00EE0BFA"/>
    <w:rsid w:val="00EE116C"/>
    <w:rsid w:val="00EE13CF"/>
    <w:rsid w:val="00EE1847"/>
    <w:rsid w:val="00EE240E"/>
    <w:rsid w:val="00EE2560"/>
    <w:rsid w:val="00EE3092"/>
    <w:rsid w:val="00EE3421"/>
    <w:rsid w:val="00EE3546"/>
    <w:rsid w:val="00EE5654"/>
    <w:rsid w:val="00EE58D2"/>
    <w:rsid w:val="00EE66C0"/>
    <w:rsid w:val="00EE688E"/>
    <w:rsid w:val="00EE6A6D"/>
    <w:rsid w:val="00EE6AA2"/>
    <w:rsid w:val="00EF034B"/>
    <w:rsid w:val="00EF03E2"/>
    <w:rsid w:val="00EF0B24"/>
    <w:rsid w:val="00EF0B67"/>
    <w:rsid w:val="00EF141D"/>
    <w:rsid w:val="00EF19A5"/>
    <w:rsid w:val="00EF1ADE"/>
    <w:rsid w:val="00EF1B85"/>
    <w:rsid w:val="00EF270E"/>
    <w:rsid w:val="00EF359F"/>
    <w:rsid w:val="00EF37D0"/>
    <w:rsid w:val="00EF3A19"/>
    <w:rsid w:val="00EF43CE"/>
    <w:rsid w:val="00EF4C92"/>
    <w:rsid w:val="00EF4E55"/>
    <w:rsid w:val="00EF58DD"/>
    <w:rsid w:val="00EF5931"/>
    <w:rsid w:val="00EF7069"/>
    <w:rsid w:val="00EF77AF"/>
    <w:rsid w:val="00EF7F8B"/>
    <w:rsid w:val="00F0002B"/>
    <w:rsid w:val="00F01146"/>
    <w:rsid w:val="00F0153C"/>
    <w:rsid w:val="00F01C81"/>
    <w:rsid w:val="00F02115"/>
    <w:rsid w:val="00F02CBA"/>
    <w:rsid w:val="00F0300F"/>
    <w:rsid w:val="00F03814"/>
    <w:rsid w:val="00F03C69"/>
    <w:rsid w:val="00F03D11"/>
    <w:rsid w:val="00F05E71"/>
    <w:rsid w:val="00F063A5"/>
    <w:rsid w:val="00F07A09"/>
    <w:rsid w:val="00F113FD"/>
    <w:rsid w:val="00F116E7"/>
    <w:rsid w:val="00F11EC1"/>
    <w:rsid w:val="00F12DD6"/>
    <w:rsid w:val="00F12E4F"/>
    <w:rsid w:val="00F1390C"/>
    <w:rsid w:val="00F13E69"/>
    <w:rsid w:val="00F14D98"/>
    <w:rsid w:val="00F14F2E"/>
    <w:rsid w:val="00F159C1"/>
    <w:rsid w:val="00F16899"/>
    <w:rsid w:val="00F16A12"/>
    <w:rsid w:val="00F17464"/>
    <w:rsid w:val="00F17A9E"/>
    <w:rsid w:val="00F17FC9"/>
    <w:rsid w:val="00F20C5E"/>
    <w:rsid w:val="00F21341"/>
    <w:rsid w:val="00F22A54"/>
    <w:rsid w:val="00F22A7B"/>
    <w:rsid w:val="00F22AAB"/>
    <w:rsid w:val="00F23A49"/>
    <w:rsid w:val="00F257EF"/>
    <w:rsid w:val="00F25868"/>
    <w:rsid w:val="00F26B34"/>
    <w:rsid w:val="00F27A40"/>
    <w:rsid w:val="00F27F61"/>
    <w:rsid w:val="00F30575"/>
    <w:rsid w:val="00F30C5B"/>
    <w:rsid w:val="00F31CC2"/>
    <w:rsid w:val="00F31FB7"/>
    <w:rsid w:val="00F32318"/>
    <w:rsid w:val="00F342DE"/>
    <w:rsid w:val="00F352DE"/>
    <w:rsid w:val="00F356BE"/>
    <w:rsid w:val="00F365C6"/>
    <w:rsid w:val="00F36A1D"/>
    <w:rsid w:val="00F36ACD"/>
    <w:rsid w:val="00F36C80"/>
    <w:rsid w:val="00F37291"/>
    <w:rsid w:val="00F37567"/>
    <w:rsid w:val="00F378FE"/>
    <w:rsid w:val="00F37EBC"/>
    <w:rsid w:val="00F40245"/>
    <w:rsid w:val="00F4036D"/>
    <w:rsid w:val="00F405AE"/>
    <w:rsid w:val="00F40888"/>
    <w:rsid w:val="00F40B0F"/>
    <w:rsid w:val="00F40EA3"/>
    <w:rsid w:val="00F41122"/>
    <w:rsid w:val="00F41969"/>
    <w:rsid w:val="00F425EA"/>
    <w:rsid w:val="00F42B7B"/>
    <w:rsid w:val="00F43FE0"/>
    <w:rsid w:val="00F44079"/>
    <w:rsid w:val="00F44278"/>
    <w:rsid w:val="00F44A8C"/>
    <w:rsid w:val="00F44D06"/>
    <w:rsid w:val="00F44EF7"/>
    <w:rsid w:val="00F456A7"/>
    <w:rsid w:val="00F47013"/>
    <w:rsid w:val="00F4773E"/>
    <w:rsid w:val="00F517E1"/>
    <w:rsid w:val="00F51B65"/>
    <w:rsid w:val="00F51DE6"/>
    <w:rsid w:val="00F51E25"/>
    <w:rsid w:val="00F52AAB"/>
    <w:rsid w:val="00F52DC6"/>
    <w:rsid w:val="00F52EB6"/>
    <w:rsid w:val="00F52F49"/>
    <w:rsid w:val="00F53B46"/>
    <w:rsid w:val="00F53E4D"/>
    <w:rsid w:val="00F55260"/>
    <w:rsid w:val="00F55592"/>
    <w:rsid w:val="00F5619F"/>
    <w:rsid w:val="00F56356"/>
    <w:rsid w:val="00F56481"/>
    <w:rsid w:val="00F56C10"/>
    <w:rsid w:val="00F60021"/>
    <w:rsid w:val="00F60CCA"/>
    <w:rsid w:val="00F60E62"/>
    <w:rsid w:val="00F61686"/>
    <w:rsid w:val="00F6251D"/>
    <w:rsid w:val="00F6316B"/>
    <w:rsid w:val="00F633F3"/>
    <w:rsid w:val="00F63403"/>
    <w:rsid w:val="00F63FED"/>
    <w:rsid w:val="00F64381"/>
    <w:rsid w:val="00F646FB"/>
    <w:rsid w:val="00F64A9F"/>
    <w:rsid w:val="00F65376"/>
    <w:rsid w:val="00F657A1"/>
    <w:rsid w:val="00F657D2"/>
    <w:rsid w:val="00F65AE0"/>
    <w:rsid w:val="00F66971"/>
    <w:rsid w:val="00F70018"/>
    <w:rsid w:val="00F7085C"/>
    <w:rsid w:val="00F721E0"/>
    <w:rsid w:val="00F74554"/>
    <w:rsid w:val="00F74A3D"/>
    <w:rsid w:val="00F74E38"/>
    <w:rsid w:val="00F7520F"/>
    <w:rsid w:val="00F761B8"/>
    <w:rsid w:val="00F7623E"/>
    <w:rsid w:val="00F764F1"/>
    <w:rsid w:val="00F76590"/>
    <w:rsid w:val="00F76D6F"/>
    <w:rsid w:val="00F76DCF"/>
    <w:rsid w:val="00F778B0"/>
    <w:rsid w:val="00F7792E"/>
    <w:rsid w:val="00F80A95"/>
    <w:rsid w:val="00F80B33"/>
    <w:rsid w:val="00F80EBD"/>
    <w:rsid w:val="00F8112C"/>
    <w:rsid w:val="00F8186E"/>
    <w:rsid w:val="00F81B4D"/>
    <w:rsid w:val="00F81BB2"/>
    <w:rsid w:val="00F81EDE"/>
    <w:rsid w:val="00F82276"/>
    <w:rsid w:val="00F82E38"/>
    <w:rsid w:val="00F8307E"/>
    <w:rsid w:val="00F83293"/>
    <w:rsid w:val="00F833F6"/>
    <w:rsid w:val="00F8352C"/>
    <w:rsid w:val="00F83BC2"/>
    <w:rsid w:val="00F842C4"/>
    <w:rsid w:val="00F848A4"/>
    <w:rsid w:val="00F84B03"/>
    <w:rsid w:val="00F84DBD"/>
    <w:rsid w:val="00F85144"/>
    <w:rsid w:val="00F8544A"/>
    <w:rsid w:val="00F857DB"/>
    <w:rsid w:val="00F85FB8"/>
    <w:rsid w:val="00F8619C"/>
    <w:rsid w:val="00F86DF6"/>
    <w:rsid w:val="00F87551"/>
    <w:rsid w:val="00F904E2"/>
    <w:rsid w:val="00F907B7"/>
    <w:rsid w:val="00F90B8D"/>
    <w:rsid w:val="00F90D80"/>
    <w:rsid w:val="00F916B9"/>
    <w:rsid w:val="00F919A7"/>
    <w:rsid w:val="00F91B02"/>
    <w:rsid w:val="00F923AF"/>
    <w:rsid w:val="00F92EC1"/>
    <w:rsid w:val="00F934B6"/>
    <w:rsid w:val="00F93691"/>
    <w:rsid w:val="00F946F5"/>
    <w:rsid w:val="00F94BCB"/>
    <w:rsid w:val="00F94C47"/>
    <w:rsid w:val="00F9595A"/>
    <w:rsid w:val="00F9659B"/>
    <w:rsid w:val="00F96AA9"/>
    <w:rsid w:val="00F97425"/>
    <w:rsid w:val="00F97F68"/>
    <w:rsid w:val="00FA0148"/>
    <w:rsid w:val="00FA0421"/>
    <w:rsid w:val="00FA0912"/>
    <w:rsid w:val="00FA0C66"/>
    <w:rsid w:val="00FA1956"/>
    <w:rsid w:val="00FA1CDA"/>
    <w:rsid w:val="00FA1DCF"/>
    <w:rsid w:val="00FA1DD9"/>
    <w:rsid w:val="00FA1E63"/>
    <w:rsid w:val="00FA2310"/>
    <w:rsid w:val="00FA2BD2"/>
    <w:rsid w:val="00FA2EB8"/>
    <w:rsid w:val="00FA3389"/>
    <w:rsid w:val="00FA3476"/>
    <w:rsid w:val="00FA361A"/>
    <w:rsid w:val="00FA3DEB"/>
    <w:rsid w:val="00FA4423"/>
    <w:rsid w:val="00FA44E5"/>
    <w:rsid w:val="00FA4CA1"/>
    <w:rsid w:val="00FA5C31"/>
    <w:rsid w:val="00FA65E2"/>
    <w:rsid w:val="00FA669E"/>
    <w:rsid w:val="00FA6798"/>
    <w:rsid w:val="00FA6919"/>
    <w:rsid w:val="00FA69E6"/>
    <w:rsid w:val="00FA6CE5"/>
    <w:rsid w:val="00FA75C6"/>
    <w:rsid w:val="00FA7886"/>
    <w:rsid w:val="00FA7E49"/>
    <w:rsid w:val="00FB0C10"/>
    <w:rsid w:val="00FB1C88"/>
    <w:rsid w:val="00FB3C36"/>
    <w:rsid w:val="00FB423D"/>
    <w:rsid w:val="00FB4280"/>
    <w:rsid w:val="00FB4B60"/>
    <w:rsid w:val="00FB57F8"/>
    <w:rsid w:val="00FB580D"/>
    <w:rsid w:val="00FB5B7F"/>
    <w:rsid w:val="00FB6DA7"/>
    <w:rsid w:val="00FB7CCE"/>
    <w:rsid w:val="00FC0104"/>
    <w:rsid w:val="00FC01C8"/>
    <w:rsid w:val="00FC0519"/>
    <w:rsid w:val="00FC0A92"/>
    <w:rsid w:val="00FC0D8F"/>
    <w:rsid w:val="00FC0F61"/>
    <w:rsid w:val="00FC145B"/>
    <w:rsid w:val="00FC1577"/>
    <w:rsid w:val="00FC1694"/>
    <w:rsid w:val="00FC198F"/>
    <w:rsid w:val="00FC2CA4"/>
    <w:rsid w:val="00FC3501"/>
    <w:rsid w:val="00FC36A1"/>
    <w:rsid w:val="00FC3790"/>
    <w:rsid w:val="00FC39FD"/>
    <w:rsid w:val="00FC3D67"/>
    <w:rsid w:val="00FC423D"/>
    <w:rsid w:val="00FC5027"/>
    <w:rsid w:val="00FC50C7"/>
    <w:rsid w:val="00FC511D"/>
    <w:rsid w:val="00FC6034"/>
    <w:rsid w:val="00FC68BC"/>
    <w:rsid w:val="00FC7366"/>
    <w:rsid w:val="00FD07EF"/>
    <w:rsid w:val="00FD097A"/>
    <w:rsid w:val="00FD0E3D"/>
    <w:rsid w:val="00FD11D4"/>
    <w:rsid w:val="00FD217B"/>
    <w:rsid w:val="00FD225D"/>
    <w:rsid w:val="00FD2384"/>
    <w:rsid w:val="00FD29D4"/>
    <w:rsid w:val="00FD4C24"/>
    <w:rsid w:val="00FD4C88"/>
    <w:rsid w:val="00FD4F32"/>
    <w:rsid w:val="00FD59ED"/>
    <w:rsid w:val="00FD66C6"/>
    <w:rsid w:val="00FD7C9B"/>
    <w:rsid w:val="00FD7D34"/>
    <w:rsid w:val="00FE035B"/>
    <w:rsid w:val="00FE125C"/>
    <w:rsid w:val="00FE1F3B"/>
    <w:rsid w:val="00FE2BEA"/>
    <w:rsid w:val="00FE3549"/>
    <w:rsid w:val="00FE452E"/>
    <w:rsid w:val="00FE4827"/>
    <w:rsid w:val="00FE4963"/>
    <w:rsid w:val="00FE58C7"/>
    <w:rsid w:val="00FE7B6C"/>
    <w:rsid w:val="00FF03C0"/>
    <w:rsid w:val="00FF2D9A"/>
    <w:rsid w:val="00FF3663"/>
    <w:rsid w:val="00FF4275"/>
    <w:rsid w:val="00FF4A4C"/>
    <w:rsid w:val="00FF4AA3"/>
    <w:rsid w:val="00FF4C15"/>
    <w:rsid w:val="00FF4F2F"/>
    <w:rsid w:val="00FF5BFB"/>
    <w:rsid w:val="00FF5E54"/>
    <w:rsid w:val="00FF6396"/>
    <w:rsid w:val="00FF69EA"/>
    <w:rsid w:val="00FF70F1"/>
    <w:rsid w:val="00FF754D"/>
    <w:rsid w:val="00FF761C"/>
    <w:rsid w:val="00FF7E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6535A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s-ES_tradnl" w:eastAsia="en-US" w:bidi="ar-SA"/>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rsid w:val="00882BEB"/>
    <w:rPr>
      <w:rFonts w:ascii="Arial" w:hAnsi="Arial"/>
      <w:bCs/>
      <w:iCs/>
      <w:color w:val="000000"/>
      <w:spacing w:val="10"/>
      <w:kern w:val="28"/>
      <w:sz w:val="25"/>
      <w:szCs w:val="26"/>
      <w:lang w:val="es-ES_tradnl" w:eastAsia="en-US" w:bidi="ar-SA"/>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197A61"/>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s-ES_tradnl" w:eastAsia="en-US" w:bidi="ar-SA"/>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s-ES_tradnl" w:eastAsia="en-US" w:bidi="ar-SA"/>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s-ES_tradnl" w:eastAsia="en-US"/>
    </w:rPr>
  </w:style>
  <w:style w:type="character" w:customStyle="1" w:styleId="atitulo1Car">
    <w:name w:val="atitulo1 Car"/>
    <w:link w:val="atitulo1"/>
    <w:uiPriority w:val="99"/>
    <w:rsid w:val="0066012B"/>
    <w:rPr>
      <w:rFonts w:ascii="Arial" w:hAnsi="Arial"/>
      <w:b/>
      <w:color w:val="000000"/>
      <w:kern w:val="28"/>
      <w:sz w:val="25"/>
      <w:szCs w:val="26"/>
      <w:lang w:val="es-ES_tradnl" w:eastAsia="en-U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794AA5"/>
    <w:rPr>
      <w:rFonts w:ascii="Arial" w:hAnsi="Arial"/>
      <w:sz w:val="24"/>
      <w:lang w:val="es-ES_tradnl"/>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lang w:val="es-ES" w:eastAsia="es-ES"/>
    </w:rPr>
  </w:style>
  <w:style w:type="paragraph" w:customStyle="1" w:styleId="xl2">
    <w:name w:val="xl2"/>
    <w:basedOn w:val="Normal"/>
    <w:rsid w:val="00E2009D"/>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FC2CA4"/>
    <w:rPr>
      <w:rFonts w:ascii="Tahoma" w:hAnsi="Tahoma" w:cs="Tahoma"/>
      <w:sz w:val="16"/>
      <w:szCs w:val="16"/>
      <w:lang w:val="es-ES_tradnl" w:eastAsia="en-US"/>
    </w:rPr>
  </w:style>
  <w:style w:type="character" w:customStyle="1" w:styleId="Ttulo4Car">
    <w:name w:val="Título 4 Car"/>
    <w:basedOn w:val="Fuentedeprrafopredeter"/>
    <w:link w:val="Ttulo4"/>
    <w:uiPriority w:val="99"/>
    <w:rsid w:val="006535AB"/>
    <w:rPr>
      <w:b/>
      <w:bCs/>
      <w:sz w:val="28"/>
      <w:szCs w:val="28"/>
      <w:lang w:val="es-ES_tradnl" w:eastAsia="en-U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6535AB"/>
    <w:rPr>
      <w:rFonts w:ascii="Arial" w:hAnsi="Arial" w:cs="Arial"/>
      <w:b/>
      <w:bCs/>
      <w:szCs w:val="26"/>
      <w:lang w:val="es-ES_tradnl" w:eastAsia="en-US"/>
    </w:rPr>
  </w:style>
  <w:style w:type="character" w:customStyle="1" w:styleId="Ttulo5Car">
    <w:name w:val="Título 5 Car"/>
    <w:basedOn w:val="Fuentedeprrafopredeter"/>
    <w:link w:val="Ttulo5"/>
    <w:uiPriority w:val="99"/>
    <w:rsid w:val="006535AB"/>
    <w:rPr>
      <w:b/>
      <w:sz w:val="28"/>
      <w:lang w:eastAsia="en-U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s-ES_tradnl" w:eastAsia="en-US"/>
    </w:rPr>
  </w:style>
  <w:style w:type="character" w:styleId="Textoennegrita">
    <w:name w:val="Strong"/>
    <w:basedOn w:val="Fuentedeprrafopredeter"/>
    <w:uiPriority w:val="99"/>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s-ES_tradnl" w:eastAsia="en-U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rsid w:val="00074ECC"/>
    <w:rPr>
      <w:bCs/>
      <w:caps/>
      <w:sz w:val="14"/>
      <w:szCs w:val="12"/>
      <w:lang w:val="es-ES_tradnl" w:eastAsia="en-US"/>
    </w:rPr>
  </w:style>
  <w:style w:type="paragraph" w:customStyle="1" w:styleId="xl3">
    <w:name w:val="xl3"/>
    <w:basedOn w:val="Normal"/>
    <w:rsid w:val="00281726"/>
    <w:pPr>
      <w:spacing w:before="100" w:beforeAutospacing="1" w:after="100" w:afterAutospacing="1"/>
      <w:ind w:firstLine="0"/>
      <w:jc w:val="left"/>
    </w:pPr>
    <w:rPr>
      <w:sz w:val="24"/>
      <w:szCs w:val="24"/>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6535A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s-ES_tradnl" w:eastAsia="en-US" w:bidi="ar-SA"/>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rsid w:val="00882BEB"/>
    <w:rPr>
      <w:rFonts w:ascii="Arial" w:hAnsi="Arial"/>
      <w:bCs/>
      <w:iCs/>
      <w:color w:val="000000"/>
      <w:spacing w:val="10"/>
      <w:kern w:val="28"/>
      <w:sz w:val="25"/>
      <w:szCs w:val="26"/>
      <w:lang w:val="es-ES_tradnl" w:eastAsia="en-US" w:bidi="ar-SA"/>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197A61"/>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s-ES_tradnl" w:eastAsia="en-US" w:bidi="ar-SA"/>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s-ES_tradnl" w:eastAsia="en-US" w:bidi="ar-SA"/>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s-ES_tradnl" w:eastAsia="en-US"/>
    </w:rPr>
  </w:style>
  <w:style w:type="character" w:customStyle="1" w:styleId="atitulo1Car">
    <w:name w:val="atitulo1 Car"/>
    <w:link w:val="atitulo1"/>
    <w:uiPriority w:val="99"/>
    <w:rsid w:val="0066012B"/>
    <w:rPr>
      <w:rFonts w:ascii="Arial" w:hAnsi="Arial"/>
      <w:b/>
      <w:color w:val="000000"/>
      <w:kern w:val="28"/>
      <w:sz w:val="25"/>
      <w:szCs w:val="26"/>
      <w:lang w:val="es-ES_tradnl" w:eastAsia="en-U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794AA5"/>
    <w:rPr>
      <w:rFonts w:ascii="Arial" w:hAnsi="Arial"/>
      <w:sz w:val="24"/>
      <w:lang w:val="es-ES_tradnl"/>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lang w:val="es-ES" w:eastAsia="es-ES"/>
    </w:rPr>
  </w:style>
  <w:style w:type="paragraph" w:customStyle="1" w:styleId="xl2">
    <w:name w:val="xl2"/>
    <w:basedOn w:val="Normal"/>
    <w:rsid w:val="00E2009D"/>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FC2CA4"/>
    <w:rPr>
      <w:rFonts w:ascii="Tahoma" w:hAnsi="Tahoma" w:cs="Tahoma"/>
      <w:sz w:val="16"/>
      <w:szCs w:val="16"/>
      <w:lang w:val="es-ES_tradnl" w:eastAsia="en-US"/>
    </w:rPr>
  </w:style>
  <w:style w:type="character" w:customStyle="1" w:styleId="Ttulo4Car">
    <w:name w:val="Título 4 Car"/>
    <w:basedOn w:val="Fuentedeprrafopredeter"/>
    <w:link w:val="Ttulo4"/>
    <w:uiPriority w:val="99"/>
    <w:rsid w:val="006535AB"/>
    <w:rPr>
      <w:b/>
      <w:bCs/>
      <w:sz w:val="28"/>
      <w:szCs w:val="28"/>
      <w:lang w:val="es-ES_tradnl" w:eastAsia="en-U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6535AB"/>
    <w:rPr>
      <w:rFonts w:ascii="Arial" w:hAnsi="Arial" w:cs="Arial"/>
      <w:b/>
      <w:bCs/>
      <w:szCs w:val="26"/>
      <w:lang w:val="es-ES_tradnl" w:eastAsia="en-US"/>
    </w:rPr>
  </w:style>
  <w:style w:type="character" w:customStyle="1" w:styleId="Ttulo5Car">
    <w:name w:val="Título 5 Car"/>
    <w:basedOn w:val="Fuentedeprrafopredeter"/>
    <w:link w:val="Ttulo5"/>
    <w:uiPriority w:val="99"/>
    <w:rsid w:val="006535AB"/>
    <w:rPr>
      <w:b/>
      <w:sz w:val="28"/>
      <w:lang w:eastAsia="en-U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s-ES_tradnl" w:eastAsia="en-US"/>
    </w:rPr>
  </w:style>
  <w:style w:type="character" w:styleId="Textoennegrita">
    <w:name w:val="Strong"/>
    <w:basedOn w:val="Fuentedeprrafopredeter"/>
    <w:uiPriority w:val="99"/>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s-ES_tradnl" w:eastAsia="en-U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rsid w:val="00074ECC"/>
    <w:rPr>
      <w:bCs/>
      <w:caps/>
      <w:sz w:val="14"/>
      <w:szCs w:val="12"/>
      <w:lang w:val="es-ES_tradnl" w:eastAsia="en-US"/>
    </w:rPr>
  </w:style>
  <w:style w:type="paragraph" w:customStyle="1" w:styleId="xl3">
    <w:name w:val="xl3"/>
    <w:basedOn w:val="Normal"/>
    <w:rsid w:val="00281726"/>
    <w:pPr>
      <w:spacing w:before="100" w:beforeAutospacing="1" w:after="100" w:afterAutospacing="1"/>
      <w:ind w:firstLine="0"/>
      <w:jc w:val="left"/>
    </w:pPr>
    <w:rPr>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647">
      <w:bodyDiv w:val="1"/>
      <w:marLeft w:val="0"/>
      <w:marRight w:val="0"/>
      <w:marTop w:val="0"/>
      <w:marBottom w:val="0"/>
      <w:divBdr>
        <w:top w:val="none" w:sz="0" w:space="0" w:color="auto"/>
        <w:left w:val="none" w:sz="0" w:space="0" w:color="auto"/>
        <w:bottom w:val="none" w:sz="0" w:space="0" w:color="auto"/>
        <w:right w:val="none" w:sz="0" w:space="0" w:color="auto"/>
      </w:divBdr>
    </w:div>
    <w:div w:id="47460152">
      <w:bodyDiv w:val="1"/>
      <w:marLeft w:val="0"/>
      <w:marRight w:val="0"/>
      <w:marTop w:val="0"/>
      <w:marBottom w:val="0"/>
      <w:divBdr>
        <w:top w:val="none" w:sz="0" w:space="0" w:color="auto"/>
        <w:left w:val="none" w:sz="0" w:space="0" w:color="auto"/>
        <w:bottom w:val="none" w:sz="0" w:space="0" w:color="auto"/>
        <w:right w:val="none" w:sz="0" w:space="0" w:color="auto"/>
      </w:divBdr>
    </w:div>
    <w:div w:id="50621157">
      <w:bodyDiv w:val="1"/>
      <w:marLeft w:val="0"/>
      <w:marRight w:val="0"/>
      <w:marTop w:val="0"/>
      <w:marBottom w:val="0"/>
      <w:divBdr>
        <w:top w:val="none" w:sz="0" w:space="0" w:color="auto"/>
        <w:left w:val="none" w:sz="0" w:space="0" w:color="auto"/>
        <w:bottom w:val="none" w:sz="0" w:space="0" w:color="auto"/>
        <w:right w:val="none" w:sz="0" w:space="0" w:color="auto"/>
      </w:divBdr>
    </w:div>
    <w:div w:id="56435535">
      <w:bodyDiv w:val="1"/>
      <w:marLeft w:val="0"/>
      <w:marRight w:val="0"/>
      <w:marTop w:val="0"/>
      <w:marBottom w:val="0"/>
      <w:divBdr>
        <w:top w:val="none" w:sz="0" w:space="0" w:color="auto"/>
        <w:left w:val="none" w:sz="0" w:space="0" w:color="auto"/>
        <w:bottom w:val="none" w:sz="0" w:space="0" w:color="auto"/>
        <w:right w:val="none" w:sz="0" w:space="0" w:color="auto"/>
      </w:divBdr>
    </w:div>
    <w:div w:id="78065607">
      <w:bodyDiv w:val="1"/>
      <w:marLeft w:val="0"/>
      <w:marRight w:val="0"/>
      <w:marTop w:val="0"/>
      <w:marBottom w:val="0"/>
      <w:divBdr>
        <w:top w:val="none" w:sz="0" w:space="0" w:color="auto"/>
        <w:left w:val="none" w:sz="0" w:space="0" w:color="auto"/>
        <w:bottom w:val="none" w:sz="0" w:space="0" w:color="auto"/>
        <w:right w:val="none" w:sz="0" w:space="0" w:color="auto"/>
      </w:divBdr>
    </w:div>
    <w:div w:id="81921736">
      <w:bodyDiv w:val="1"/>
      <w:marLeft w:val="0"/>
      <w:marRight w:val="0"/>
      <w:marTop w:val="0"/>
      <w:marBottom w:val="0"/>
      <w:divBdr>
        <w:top w:val="none" w:sz="0" w:space="0" w:color="auto"/>
        <w:left w:val="none" w:sz="0" w:space="0" w:color="auto"/>
        <w:bottom w:val="none" w:sz="0" w:space="0" w:color="auto"/>
        <w:right w:val="none" w:sz="0" w:space="0" w:color="auto"/>
      </w:divBdr>
    </w:div>
    <w:div w:id="108664643">
      <w:bodyDiv w:val="1"/>
      <w:marLeft w:val="0"/>
      <w:marRight w:val="0"/>
      <w:marTop w:val="0"/>
      <w:marBottom w:val="0"/>
      <w:divBdr>
        <w:top w:val="none" w:sz="0" w:space="0" w:color="auto"/>
        <w:left w:val="none" w:sz="0" w:space="0" w:color="auto"/>
        <w:bottom w:val="none" w:sz="0" w:space="0" w:color="auto"/>
        <w:right w:val="none" w:sz="0" w:space="0" w:color="auto"/>
      </w:divBdr>
      <w:divsChild>
        <w:div w:id="1847210755">
          <w:marLeft w:val="0"/>
          <w:marRight w:val="0"/>
          <w:marTop w:val="0"/>
          <w:marBottom w:val="240"/>
          <w:divBdr>
            <w:top w:val="none" w:sz="0" w:space="0" w:color="auto"/>
            <w:left w:val="none" w:sz="0" w:space="0" w:color="auto"/>
            <w:bottom w:val="none" w:sz="0" w:space="0" w:color="auto"/>
            <w:right w:val="none" w:sz="0" w:space="0" w:color="auto"/>
          </w:divBdr>
        </w:div>
      </w:divsChild>
    </w:div>
    <w:div w:id="109905202">
      <w:bodyDiv w:val="1"/>
      <w:marLeft w:val="0"/>
      <w:marRight w:val="0"/>
      <w:marTop w:val="0"/>
      <w:marBottom w:val="0"/>
      <w:divBdr>
        <w:top w:val="none" w:sz="0" w:space="0" w:color="auto"/>
        <w:left w:val="none" w:sz="0" w:space="0" w:color="auto"/>
        <w:bottom w:val="none" w:sz="0" w:space="0" w:color="auto"/>
        <w:right w:val="none" w:sz="0" w:space="0" w:color="auto"/>
      </w:divBdr>
    </w:div>
    <w:div w:id="116485916">
      <w:bodyDiv w:val="1"/>
      <w:marLeft w:val="0"/>
      <w:marRight w:val="0"/>
      <w:marTop w:val="0"/>
      <w:marBottom w:val="0"/>
      <w:divBdr>
        <w:top w:val="none" w:sz="0" w:space="0" w:color="auto"/>
        <w:left w:val="none" w:sz="0" w:space="0" w:color="auto"/>
        <w:bottom w:val="none" w:sz="0" w:space="0" w:color="auto"/>
        <w:right w:val="none" w:sz="0" w:space="0" w:color="auto"/>
      </w:divBdr>
    </w:div>
    <w:div w:id="146242524">
      <w:bodyDiv w:val="1"/>
      <w:marLeft w:val="0"/>
      <w:marRight w:val="0"/>
      <w:marTop w:val="0"/>
      <w:marBottom w:val="0"/>
      <w:divBdr>
        <w:top w:val="none" w:sz="0" w:space="0" w:color="auto"/>
        <w:left w:val="none" w:sz="0" w:space="0" w:color="auto"/>
        <w:bottom w:val="none" w:sz="0" w:space="0" w:color="auto"/>
        <w:right w:val="none" w:sz="0" w:space="0" w:color="auto"/>
      </w:divBdr>
    </w:div>
    <w:div w:id="149946855">
      <w:bodyDiv w:val="1"/>
      <w:marLeft w:val="0"/>
      <w:marRight w:val="0"/>
      <w:marTop w:val="0"/>
      <w:marBottom w:val="0"/>
      <w:divBdr>
        <w:top w:val="none" w:sz="0" w:space="0" w:color="auto"/>
        <w:left w:val="none" w:sz="0" w:space="0" w:color="auto"/>
        <w:bottom w:val="none" w:sz="0" w:space="0" w:color="auto"/>
        <w:right w:val="none" w:sz="0" w:space="0" w:color="auto"/>
      </w:divBdr>
    </w:div>
    <w:div w:id="169026708">
      <w:bodyDiv w:val="1"/>
      <w:marLeft w:val="0"/>
      <w:marRight w:val="0"/>
      <w:marTop w:val="0"/>
      <w:marBottom w:val="0"/>
      <w:divBdr>
        <w:top w:val="none" w:sz="0" w:space="0" w:color="auto"/>
        <w:left w:val="none" w:sz="0" w:space="0" w:color="auto"/>
        <w:bottom w:val="none" w:sz="0" w:space="0" w:color="auto"/>
        <w:right w:val="none" w:sz="0" w:space="0" w:color="auto"/>
      </w:divBdr>
    </w:div>
    <w:div w:id="175778368">
      <w:bodyDiv w:val="1"/>
      <w:marLeft w:val="0"/>
      <w:marRight w:val="0"/>
      <w:marTop w:val="0"/>
      <w:marBottom w:val="0"/>
      <w:divBdr>
        <w:top w:val="none" w:sz="0" w:space="0" w:color="auto"/>
        <w:left w:val="none" w:sz="0" w:space="0" w:color="auto"/>
        <w:bottom w:val="none" w:sz="0" w:space="0" w:color="auto"/>
        <w:right w:val="none" w:sz="0" w:space="0" w:color="auto"/>
      </w:divBdr>
    </w:div>
    <w:div w:id="180320233">
      <w:bodyDiv w:val="1"/>
      <w:marLeft w:val="0"/>
      <w:marRight w:val="0"/>
      <w:marTop w:val="0"/>
      <w:marBottom w:val="0"/>
      <w:divBdr>
        <w:top w:val="none" w:sz="0" w:space="0" w:color="auto"/>
        <w:left w:val="none" w:sz="0" w:space="0" w:color="auto"/>
        <w:bottom w:val="none" w:sz="0" w:space="0" w:color="auto"/>
        <w:right w:val="none" w:sz="0" w:space="0" w:color="auto"/>
      </w:divBdr>
    </w:div>
    <w:div w:id="190606820">
      <w:bodyDiv w:val="1"/>
      <w:marLeft w:val="0"/>
      <w:marRight w:val="0"/>
      <w:marTop w:val="0"/>
      <w:marBottom w:val="0"/>
      <w:divBdr>
        <w:top w:val="none" w:sz="0" w:space="0" w:color="auto"/>
        <w:left w:val="none" w:sz="0" w:space="0" w:color="auto"/>
        <w:bottom w:val="none" w:sz="0" w:space="0" w:color="auto"/>
        <w:right w:val="none" w:sz="0" w:space="0" w:color="auto"/>
      </w:divBdr>
    </w:div>
    <w:div w:id="192813352">
      <w:bodyDiv w:val="1"/>
      <w:marLeft w:val="0"/>
      <w:marRight w:val="0"/>
      <w:marTop w:val="0"/>
      <w:marBottom w:val="0"/>
      <w:divBdr>
        <w:top w:val="none" w:sz="0" w:space="0" w:color="auto"/>
        <w:left w:val="none" w:sz="0" w:space="0" w:color="auto"/>
        <w:bottom w:val="none" w:sz="0" w:space="0" w:color="auto"/>
        <w:right w:val="none" w:sz="0" w:space="0" w:color="auto"/>
      </w:divBdr>
    </w:div>
    <w:div w:id="208224849">
      <w:bodyDiv w:val="1"/>
      <w:marLeft w:val="0"/>
      <w:marRight w:val="0"/>
      <w:marTop w:val="0"/>
      <w:marBottom w:val="0"/>
      <w:divBdr>
        <w:top w:val="none" w:sz="0" w:space="0" w:color="auto"/>
        <w:left w:val="none" w:sz="0" w:space="0" w:color="auto"/>
        <w:bottom w:val="none" w:sz="0" w:space="0" w:color="auto"/>
        <w:right w:val="none" w:sz="0" w:space="0" w:color="auto"/>
      </w:divBdr>
    </w:div>
    <w:div w:id="223108067">
      <w:bodyDiv w:val="1"/>
      <w:marLeft w:val="0"/>
      <w:marRight w:val="0"/>
      <w:marTop w:val="0"/>
      <w:marBottom w:val="0"/>
      <w:divBdr>
        <w:top w:val="none" w:sz="0" w:space="0" w:color="auto"/>
        <w:left w:val="none" w:sz="0" w:space="0" w:color="auto"/>
        <w:bottom w:val="none" w:sz="0" w:space="0" w:color="auto"/>
        <w:right w:val="none" w:sz="0" w:space="0" w:color="auto"/>
      </w:divBdr>
    </w:div>
    <w:div w:id="254870220">
      <w:bodyDiv w:val="1"/>
      <w:marLeft w:val="0"/>
      <w:marRight w:val="0"/>
      <w:marTop w:val="0"/>
      <w:marBottom w:val="0"/>
      <w:divBdr>
        <w:top w:val="none" w:sz="0" w:space="0" w:color="auto"/>
        <w:left w:val="none" w:sz="0" w:space="0" w:color="auto"/>
        <w:bottom w:val="none" w:sz="0" w:space="0" w:color="auto"/>
        <w:right w:val="none" w:sz="0" w:space="0" w:color="auto"/>
      </w:divBdr>
    </w:div>
    <w:div w:id="265818071">
      <w:bodyDiv w:val="1"/>
      <w:marLeft w:val="0"/>
      <w:marRight w:val="0"/>
      <w:marTop w:val="0"/>
      <w:marBottom w:val="0"/>
      <w:divBdr>
        <w:top w:val="none" w:sz="0" w:space="0" w:color="auto"/>
        <w:left w:val="none" w:sz="0" w:space="0" w:color="auto"/>
        <w:bottom w:val="none" w:sz="0" w:space="0" w:color="auto"/>
        <w:right w:val="none" w:sz="0" w:space="0" w:color="auto"/>
      </w:divBdr>
    </w:div>
    <w:div w:id="266624709">
      <w:bodyDiv w:val="1"/>
      <w:marLeft w:val="0"/>
      <w:marRight w:val="0"/>
      <w:marTop w:val="0"/>
      <w:marBottom w:val="0"/>
      <w:divBdr>
        <w:top w:val="none" w:sz="0" w:space="0" w:color="auto"/>
        <w:left w:val="none" w:sz="0" w:space="0" w:color="auto"/>
        <w:bottom w:val="none" w:sz="0" w:space="0" w:color="auto"/>
        <w:right w:val="none" w:sz="0" w:space="0" w:color="auto"/>
      </w:divBdr>
    </w:div>
    <w:div w:id="297079566">
      <w:bodyDiv w:val="1"/>
      <w:marLeft w:val="0"/>
      <w:marRight w:val="0"/>
      <w:marTop w:val="0"/>
      <w:marBottom w:val="0"/>
      <w:divBdr>
        <w:top w:val="none" w:sz="0" w:space="0" w:color="auto"/>
        <w:left w:val="none" w:sz="0" w:space="0" w:color="auto"/>
        <w:bottom w:val="none" w:sz="0" w:space="0" w:color="auto"/>
        <w:right w:val="none" w:sz="0" w:space="0" w:color="auto"/>
      </w:divBdr>
    </w:div>
    <w:div w:id="303199653">
      <w:bodyDiv w:val="1"/>
      <w:marLeft w:val="0"/>
      <w:marRight w:val="0"/>
      <w:marTop w:val="0"/>
      <w:marBottom w:val="0"/>
      <w:divBdr>
        <w:top w:val="none" w:sz="0" w:space="0" w:color="auto"/>
        <w:left w:val="none" w:sz="0" w:space="0" w:color="auto"/>
        <w:bottom w:val="none" w:sz="0" w:space="0" w:color="auto"/>
        <w:right w:val="none" w:sz="0" w:space="0" w:color="auto"/>
      </w:divBdr>
    </w:div>
    <w:div w:id="305862455">
      <w:bodyDiv w:val="1"/>
      <w:marLeft w:val="0"/>
      <w:marRight w:val="0"/>
      <w:marTop w:val="0"/>
      <w:marBottom w:val="0"/>
      <w:divBdr>
        <w:top w:val="none" w:sz="0" w:space="0" w:color="auto"/>
        <w:left w:val="none" w:sz="0" w:space="0" w:color="auto"/>
        <w:bottom w:val="none" w:sz="0" w:space="0" w:color="auto"/>
        <w:right w:val="none" w:sz="0" w:space="0" w:color="auto"/>
      </w:divBdr>
    </w:div>
    <w:div w:id="318850806">
      <w:bodyDiv w:val="1"/>
      <w:marLeft w:val="0"/>
      <w:marRight w:val="0"/>
      <w:marTop w:val="0"/>
      <w:marBottom w:val="0"/>
      <w:divBdr>
        <w:top w:val="none" w:sz="0" w:space="0" w:color="auto"/>
        <w:left w:val="none" w:sz="0" w:space="0" w:color="auto"/>
        <w:bottom w:val="none" w:sz="0" w:space="0" w:color="auto"/>
        <w:right w:val="none" w:sz="0" w:space="0" w:color="auto"/>
      </w:divBdr>
    </w:div>
    <w:div w:id="322658357">
      <w:bodyDiv w:val="1"/>
      <w:marLeft w:val="0"/>
      <w:marRight w:val="0"/>
      <w:marTop w:val="0"/>
      <w:marBottom w:val="0"/>
      <w:divBdr>
        <w:top w:val="none" w:sz="0" w:space="0" w:color="auto"/>
        <w:left w:val="none" w:sz="0" w:space="0" w:color="auto"/>
        <w:bottom w:val="none" w:sz="0" w:space="0" w:color="auto"/>
        <w:right w:val="none" w:sz="0" w:space="0" w:color="auto"/>
      </w:divBdr>
    </w:div>
    <w:div w:id="324552876">
      <w:bodyDiv w:val="1"/>
      <w:marLeft w:val="0"/>
      <w:marRight w:val="0"/>
      <w:marTop w:val="0"/>
      <w:marBottom w:val="0"/>
      <w:divBdr>
        <w:top w:val="none" w:sz="0" w:space="0" w:color="auto"/>
        <w:left w:val="none" w:sz="0" w:space="0" w:color="auto"/>
        <w:bottom w:val="none" w:sz="0" w:space="0" w:color="auto"/>
        <w:right w:val="none" w:sz="0" w:space="0" w:color="auto"/>
      </w:divBdr>
    </w:div>
    <w:div w:id="331299447">
      <w:bodyDiv w:val="1"/>
      <w:marLeft w:val="0"/>
      <w:marRight w:val="0"/>
      <w:marTop w:val="0"/>
      <w:marBottom w:val="0"/>
      <w:divBdr>
        <w:top w:val="none" w:sz="0" w:space="0" w:color="auto"/>
        <w:left w:val="none" w:sz="0" w:space="0" w:color="auto"/>
        <w:bottom w:val="none" w:sz="0" w:space="0" w:color="auto"/>
        <w:right w:val="none" w:sz="0" w:space="0" w:color="auto"/>
      </w:divBdr>
    </w:div>
    <w:div w:id="337344758">
      <w:bodyDiv w:val="1"/>
      <w:marLeft w:val="0"/>
      <w:marRight w:val="0"/>
      <w:marTop w:val="0"/>
      <w:marBottom w:val="0"/>
      <w:divBdr>
        <w:top w:val="none" w:sz="0" w:space="0" w:color="auto"/>
        <w:left w:val="none" w:sz="0" w:space="0" w:color="auto"/>
        <w:bottom w:val="none" w:sz="0" w:space="0" w:color="auto"/>
        <w:right w:val="none" w:sz="0" w:space="0" w:color="auto"/>
      </w:divBdr>
    </w:div>
    <w:div w:id="339890930">
      <w:bodyDiv w:val="1"/>
      <w:marLeft w:val="0"/>
      <w:marRight w:val="0"/>
      <w:marTop w:val="0"/>
      <w:marBottom w:val="0"/>
      <w:divBdr>
        <w:top w:val="none" w:sz="0" w:space="0" w:color="auto"/>
        <w:left w:val="none" w:sz="0" w:space="0" w:color="auto"/>
        <w:bottom w:val="none" w:sz="0" w:space="0" w:color="auto"/>
        <w:right w:val="none" w:sz="0" w:space="0" w:color="auto"/>
      </w:divBdr>
    </w:div>
    <w:div w:id="367683364">
      <w:bodyDiv w:val="1"/>
      <w:marLeft w:val="0"/>
      <w:marRight w:val="0"/>
      <w:marTop w:val="0"/>
      <w:marBottom w:val="0"/>
      <w:divBdr>
        <w:top w:val="none" w:sz="0" w:space="0" w:color="auto"/>
        <w:left w:val="none" w:sz="0" w:space="0" w:color="auto"/>
        <w:bottom w:val="none" w:sz="0" w:space="0" w:color="auto"/>
        <w:right w:val="none" w:sz="0" w:space="0" w:color="auto"/>
      </w:divBdr>
    </w:div>
    <w:div w:id="371686433">
      <w:bodyDiv w:val="1"/>
      <w:marLeft w:val="0"/>
      <w:marRight w:val="0"/>
      <w:marTop w:val="0"/>
      <w:marBottom w:val="0"/>
      <w:divBdr>
        <w:top w:val="none" w:sz="0" w:space="0" w:color="auto"/>
        <w:left w:val="none" w:sz="0" w:space="0" w:color="auto"/>
        <w:bottom w:val="none" w:sz="0" w:space="0" w:color="auto"/>
        <w:right w:val="none" w:sz="0" w:space="0" w:color="auto"/>
      </w:divBdr>
    </w:div>
    <w:div w:id="379716502">
      <w:bodyDiv w:val="1"/>
      <w:marLeft w:val="0"/>
      <w:marRight w:val="0"/>
      <w:marTop w:val="0"/>
      <w:marBottom w:val="0"/>
      <w:divBdr>
        <w:top w:val="none" w:sz="0" w:space="0" w:color="auto"/>
        <w:left w:val="none" w:sz="0" w:space="0" w:color="auto"/>
        <w:bottom w:val="none" w:sz="0" w:space="0" w:color="auto"/>
        <w:right w:val="none" w:sz="0" w:space="0" w:color="auto"/>
      </w:divBdr>
    </w:div>
    <w:div w:id="381364720">
      <w:bodyDiv w:val="1"/>
      <w:marLeft w:val="0"/>
      <w:marRight w:val="0"/>
      <w:marTop w:val="0"/>
      <w:marBottom w:val="0"/>
      <w:divBdr>
        <w:top w:val="none" w:sz="0" w:space="0" w:color="auto"/>
        <w:left w:val="none" w:sz="0" w:space="0" w:color="auto"/>
        <w:bottom w:val="none" w:sz="0" w:space="0" w:color="auto"/>
        <w:right w:val="none" w:sz="0" w:space="0" w:color="auto"/>
      </w:divBdr>
    </w:div>
    <w:div w:id="398598552">
      <w:bodyDiv w:val="1"/>
      <w:marLeft w:val="0"/>
      <w:marRight w:val="0"/>
      <w:marTop w:val="0"/>
      <w:marBottom w:val="0"/>
      <w:divBdr>
        <w:top w:val="none" w:sz="0" w:space="0" w:color="auto"/>
        <w:left w:val="none" w:sz="0" w:space="0" w:color="auto"/>
        <w:bottom w:val="none" w:sz="0" w:space="0" w:color="auto"/>
        <w:right w:val="none" w:sz="0" w:space="0" w:color="auto"/>
      </w:divBdr>
    </w:div>
    <w:div w:id="400713784">
      <w:bodyDiv w:val="1"/>
      <w:marLeft w:val="0"/>
      <w:marRight w:val="0"/>
      <w:marTop w:val="0"/>
      <w:marBottom w:val="0"/>
      <w:divBdr>
        <w:top w:val="none" w:sz="0" w:space="0" w:color="auto"/>
        <w:left w:val="none" w:sz="0" w:space="0" w:color="auto"/>
        <w:bottom w:val="none" w:sz="0" w:space="0" w:color="auto"/>
        <w:right w:val="none" w:sz="0" w:space="0" w:color="auto"/>
      </w:divBdr>
    </w:div>
    <w:div w:id="401223216">
      <w:bodyDiv w:val="1"/>
      <w:marLeft w:val="0"/>
      <w:marRight w:val="0"/>
      <w:marTop w:val="0"/>
      <w:marBottom w:val="0"/>
      <w:divBdr>
        <w:top w:val="none" w:sz="0" w:space="0" w:color="auto"/>
        <w:left w:val="none" w:sz="0" w:space="0" w:color="auto"/>
        <w:bottom w:val="none" w:sz="0" w:space="0" w:color="auto"/>
        <w:right w:val="none" w:sz="0" w:space="0" w:color="auto"/>
      </w:divBdr>
    </w:div>
    <w:div w:id="415782385">
      <w:bodyDiv w:val="1"/>
      <w:marLeft w:val="0"/>
      <w:marRight w:val="0"/>
      <w:marTop w:val="0"/>
      <w:marBottom w:val="0"/>
      <w:divBdr>
        <w:top w:val="none" w:sz="0" w:space="0" w:color="auto"/>
        <w:left w:val="none" w:sz="0" w:space="0" w:color="auto"/>
        <w:bottom w:val="none" w:sz="0" w:space="0" w:color="auto"/>
        <w:right w:val="none" w:sz="0" w:space="0" w:color="auto"/>
      </w:divBdr>
    </w:div>
    <w:div w:id="424807843">
      <w:bodyDiv w:val="1"/>
      <w:marLeft w:val="0"/>
      <w:marRight w:val="0"/>
      <w:marTop w:val="0"/>
      <w:marBottom w:val="0"/>
      <w:divBdr>
        <w:top w:val="none" w:sz="0" w:space="0" w:color="auto"/>
        <w:left w:val="none" w:sz="0" w:space="0" w:color="auto"/>
        <w:bottom w:val="none" w:sz="0" w:space="0" w:color="auto"/>
        <w:right w:val="none" w:sz="0" w:space="0" w:color="auto"/>
      </w:divBdr>
    </w:div>
    <w:div w:id="448815961">
      <w:bodyDiv w:val="1"/>
      <w:marLeft w:val="0"/>
      <w:marRight w:val="0"/>
      <w:marTop w:val="0"/>
      <w:marBottom w:val="0"/>
      <w:divBdr>
        <w:top w:val="none" w:sz="0" w:space="0" w:color="auto"/>
        <w:left w:val="none" w:sz="0" w:space="0" w:color="auto"/>
        <w:bottom w:val="none" w:sz="0" w:space="0" w:color="auto"/>
        <w:right w:val="none" w:sz="0" w:space="0" w:color="auto"/>
      </w:divBdr>
    </w:div>
    <w:div w:id="469052685">
      <w:bodyDiv w:val="1"/>
      <w:marLeft w:val="0"/>
      <w:marRight w:val="0"/>
      <w:marTop w:val="0"/>
      <w:marBottom w:val="0"/>
      <w:divBdr>
        <w:top w:val="none" w:sz="0" w:space="0" w:color="auto"/>
        <w:left w:val="none" w:sz="0" w:space="0" w:color="auto"/>
        <w:bottom w:val="none" w:sz="0" w:space="0" w:color="auto"/>
        <w:right w:val="none" w:sz="0" w:space="0" w:color="auto"/>
      </w:divBdr>
    </w:div>
    <w:div w:id="469901144">
      <w:bodyDiv w:val="1"/>
      <w:marLeft w:val="0"/>
      <w:marRight w:val="0"/>
      <w:marTop w:val="0"/>
      <w:marBottom w:val="0"/>
      <w:divBdr>
        <w:top w:val="none" w:sz="0" w:space="0" w:color="auto"/>
        <w:left w:val="none" w:sz="0" w:space="0" w:color="auto"/>
        <w:bottom w:val="none" w:sz="0" w:space="0" w:color="auto"/>
        <w:right w:val="none" w:sz="0" w:space="0" w:color="auto"/>
      </w:divBdr>
    </w:div>
    <w:div w:id="475028092">
      <w:bodyDiv w:val="1"/>
      <w:marLeft w:val="0"/>
      <w:marRight w:val="0"/>
      <w:marTop w:val="0"/>
      <w:marBottom w:val="0"/>
      <w:divBdr>
        <w:top w:val="none" w:sz="0" w:space="0" w:color="auto"/>
        <w:left w:val="none" w:sz="0" w:space="0" w:color="auto"/>
        <w:bottom w:val="none" w:sz="0" w:space="0" w:color="auto"/>
        <w:right w:val="none" w:sz="0" w:space="0" w:color="auto"/>
      </w:divBdr>
    </w:div>
    <w:div w:id="494566633">
      <w:bodyDiv w:val="1"/>
      <w:marLeft w:val="0"/>
      <w:marRight w:val="0"/>
      <w:marTop w:val="0"/>
      <w:marBottom w:val="0"/>
      <w:divBdr>
        <w:top w:val="none" w:sz="0" w:space="0" w:color="auto"/>
        <w:left w:val="none" w:sz="0" w:space="0" w:color="auto"/>
        <w:bottom w:val="none" w:sz="0" w:space="0" w:color="auto"/>
        <w:right w:val="none" w:sz="0" w:space="0" w:color="auto"/>
      </w:divBdr>
    </w:div>
    <w:div w:id="523982022">
      <w:bodyDiv w:val="1"/>
      <w:marLeft w:val="0"/>
      <w:marRight w:val="0"/>
      <w:marTop w:val="0"/>
      <w:marBottom w:val="0"/>
      <w:divBdr>
        <w:top w:val="none" w:sz="0" w:space="0" w:color="auto"/>
        <w:left w:val="none" w:sz="0" w:space="0" w:color="auto"/>
        <w:bottom w:val="none" w:sz="0" w:space="0" w:color="auto"/>
        <w:right w:val="none" w:sz="0" w:space="0" w:color="auto"/>
      </w:divBdr>
    </w:div>
    <w:div w:id="540287566">
      <w:bodyDiv w:val="1"/>
      <w:marLeft w:val="0"/>
      <w:marRight w:val="0"/>
      <w:marTop w:val="0"/>
      <w:marBottom w:val="0"/>
      <w:divBdr>
        <w:top w:val="none" w:sz="0" w:space="0" w:color="auto"/>
        <w:left w:val="none" w:sz="0" w:space="0" w:color="auto"/>
        <w:bottom w:val="none" w:sz="0" w:space="0" w:color="auto"/>
        <w:right w:val="none" w:sz="0" w:space="0" w:color="auto"/>
      </w:divBdr>
    </w:div>
    <w:div w:id="565191777">
      <w:bodyDiv w:val="1"/>
      <w:marLeft w:val="0"/>
      <w:marRight w:val="0"/>
      <w:marTop w:val="0"/>
      <w:marBottom w:val="0"/>
      <w:divBdr>
        <w:top w:val="none" w:sz="0" w:space="0" w:color="auto"/>
        <w:left w:val="none" w:sz="0" w:space="0" w:color="auto"/>
        <w:bottom w:val="none" w:sz="0" w:space="0" w:color="auto"/>
        <w:right w:val="none" w:sz="0" w:space="0" w:color="auto"/>
      </w:divBdr>
    </w:div>
    <w:div w:id="582885015">
      <w:bodyDiv w:val="1"/>
      <w:marLeft w:val="0"/>
      <w:marRight w:val="0"/>
      <w:marTop w:val="0"/>
      <w:marBottom w:val="0"/>
      <w:divBdr>
        <w:top w:val="none" w:sz="0" w:space="0" w:color="auto"/>
        <w:left w:val="none" w:sz="0" w:space="0" w:color="auto"/>
        <w:bottom w:val="none" w:sz="0" w:space="0" w:color="auto"/>
        <w:right w:val="none" w:sz="0" w:space="0" w:color="auto"/>
      </w:divBdr>
    </w:div>
    <w:div w:id="597567787">
      <w:bodyDiv w:val="1"/>
      <w:marLeft w:val="0"/>
      <w:marRight w:val="0"/>
      <w:marTop w:val="0"/>
      <w:marBottom w:val="0"/>
      <w:divBdr>
        <w:top w:val="none" w:sz="0" w:space="0" w:color="auto"/>
        <w:left w:val="none" w:sz="0" w:space="0" w:color="auto"/>
        <w:bottom w:val="none" w:sz="0" w:space="0" w:color="auto"/>
        <w:right w:val="none" w:sz="0" w:space="0" w:color="auto"/>
      </w:divBdr>
    </w:div>
    <w:div w:id="598370329">
      <w:bodyDiv w:val="1"/>
      <w:marLeft w:val="0"/>
      <w:marRight w:val="0"/>
      <w:marTop w:val="0"/>
      <w:marBottom w:val="0"/>
      <w:divBdr>
        <w:top w:val="none" w:sz="0" w:space="0" w:color="auto"/>
        <w:left w:val="none" w:sz="0" w:space="0" w:color="auto"/>
        <w:bottom w:val="none" w:sz="0" w:space="0" w:color="auto"/>
        <w:right w:val="none" w:sz="0" w:space="0" w:color="auto"/>
      </w:divBdr>
    </w:div>
    <w:div w:id="600070073">
      <w:bodyDiv w:val="1"/>
      <w:marLeft w:val="0"/>
      <w:marRight w:val="0"/>
      <w:marTop w:val="0"/>
      <w:marBottom w:val="0"/>
      <w:divBdr>
        <w:top w:val="none" w:sz="0" w:space="0" w:color="auto"/>
        <w:left w:val="none" w:sz="0" w:space="0" w:color="auto"/>
        <w:bottom w:val="none" w:sz="0" w:space="0" w:color="auto"/>
        <w:right w:val="none" w:sz="0" w:space="0" w:color="auto"/>
      </w:divBdr>
    </w:div>
    <w:div w:id="605815932">
      <w:bodyDiv w:val="1"/>
      <w:marLeft w:val="0"/>
      <w:marRight w:val="0"/>
      <w:marTop w:val="0"/>
      <w:marBottom w:val="0"/>
      <w:divBdr>
        <w:top w:val="none" w:sz="0" w:space="0" w:color="auto"/>
        <w:left w:val="none" w:sz="0" w:space="0" w:color="auto"/>
        <w:bottom w:val="none" w:sz="0" w:space="0" w:color="auto"/>
        <w:right w:val="none" w:sz="0" w:space="0" w:color="auto"/>
      </w:divBdr>
    </w:div>
    <w:div w:id="607934664">
      <w:bodyDiv w:val="1"/>
      <w:marLeft w:val="0"/>
      <w:marRight w:val="0"/>
      <w:marTop w:val="0"/>
      <w:marBottom w:val="0"/>
      <w:divBdr>
        <w:top w:val="none" w:sz="0" w:space="0" w:color="auto"/>
        <w:left w:val="none" w:sz="0" w:space="0" w:color="auto"/>
        <w:bottom w:val="none" w:sz="0" w:space="0" w:color="auto"/>
        <w:right w:val="none" w:sz="0" w:space="0" w:color="auto"/>
      </w:divBdr>
    </w:div>
    <w:div w:id="627318138">
      <w:bodyDiv w:val="1"/>
      <w:marLeft w:val="0"/>
      <w:marRight w:val="0"/>
      <w:marTop w:val="0"/>
      <w:marBottom w:val="0"/>
      <w:divBdr>
        <w:top w:val="none" w:sz="0" w:space="0" w:color="auto"/>
        <w:left w:val="none" w:sz="0" w:space="0" w:color="auto"/>
        <w:bottom w:val="none" w:sz="0" w:space="0" w:color="auto"/>
        <w:right w:val="none" w:sz="0" w:space="0" w:color="auto"/>
      </w:divBdr>
    </w:div>
    <w:div w:id="645204361">
      <w:bodyDiv w:val="1"/>
      <w:marLeft w:val="0"/>
      <w:marRight w:val="0"/>
      <w:marTop w:val="0"/>
      <w:marBottom w:val="0"/>
      <w:divBdr>
        <w:top w:val="none" w:sz="0" w:space="0" w:color="auto"/>
        <w:left w:val="none" w:sz="0" w:space="0" w:color="auto"/>
        <w:bottom w:val="none" w:sz="0" w:space="0" w:color="auto"/>
        <w:right w:val="none" w:sz="0" w:space="0" w:color="auto"/>
      </w:divBdr>
    </w:div>
    <w:div w:id="660890494">
      <w:bodyDiv w:val="1"/>
      <w:marLeft w:val="0"/>
      <w:marRight w:val="0"/>
      <w:marTop w:val="0"/>
      <w:marBottom w:val="0"/>
      <w:divBdr>
        <w:top w:val="none" w:sz="0" w:space="0" w:color="auto"/>
        <w:left w:val="none" w:sz="0" w:space="0" w:color="auto"/>
        <w:bottom w:val="none" w:sz="0" w:space="0" w:color="auto"/>
        <w:right w:val="none" w:sz="0" w:space="0" w:color="auto"/>
      </w:divBdr>
    </w:div>
    <w:div w:id="666444994">
      <w:bodyDiv w:val="1"/>
      <w:marLeft w:val="0"/>
      <w:marRight w:val="0"/>
      <w:marTop w:val="0"/>
      <w:marBottom w:val="0"/>
      <w:divBdr>
        <w:top w:val="none" w:sz="0" w:space="0" w:color="auto"/>
        <w:left w:val="none" w:sz="0" w:space="0" w:color="auto"/>
        <w:bottom w:val="none" w:sz="0" w:space="0" w:color="auto"/>
        <w:right w:val="none" w:sz="0" w:space="0" w:color="auto"/>
      </w:divBdr>
    </w:div>
    <w:div w:id="668673822">
      <w:bodyDiv w:val="1"/>
      <w:marLeft w:val="0"/>
      <w:marRight w:val="0"/>
      <w:marTop w:val="0"/>
      <w:marBottom w:val="0"/>
      <w:divBdr>
        <w:top w:val="none" w:sz="0" w:space="0" w:color="auto"/>
        <w:left w:val="none" w:sz="0" w:space="0" w:color="auto"/>
        <w:bottom w:val="none" w:sz="0" w:space="0" w:color="auto"/>
        <w:right w:val="none" w:sz="0" w:space="0" w:color="auto"/>
      </w:divBdr>
    </w:div>
    <w:div w:id="697203049">
      <w:bodyDiv w:val="1"/>
      <w:marLeft w:val="0"/>
      <w:marRight w:val="0"/>
      <w:marTop w:val="0"/>
      <w:marBottom w:val="0"/>
      <w:divBdr>
        <w:top w:val="none" w:sz="0" w:space="0" w:color="auto"/>
        <w:left w:val="none" w:sz="0" w:space="0" w:color="auto"/>
        <w:bottom w:val="none" w:sz="0" w:space="0" w:color="auto"/>
        <w:right w:val="none" w:sz="0" w:space="0" w:color="auto"/>
      </w:divBdr>
    </w:div>
    <w:div w:id="700713730">
      <w:bodyDiv w:val="1"/>
      <w:marLeft w:val="0"/>
      <w:marRight w:val="0"/>
      <w:marTop w:val="0"/>
      <w:marBottom w:val="0"/>
      <w:divBdr>
        <w:top w:val="none" w:sz="0" w:space="0" w:color="auto"/>
        <w:left w:val="none" w:sz="0" w:space="0" w:color="auto"/>
        <w:bottom w:val="none" w:sz="0" w:space="0" w:color="auto"/>
        <w:right w:val="none" w:sz="0" w:space="0" w:color="auto"/>
      </w:divBdr>
    </w:div>
    <w:div w:id="706177027">
      <w:bodyDiv w:val="1"/>
      <w:marLeft w:val="0"/>
      <w:marRight w:val="0"/>
      <w:marTop w:val="0"/>
      <w:marBottom w:val="0"/>
      <w:divBdr>
        <w:top w:val="none" w:sz="0" w:space="0" w:color="auto"/>
        <w:left w:val="none" w:sz="0" w:space="0" w:color="auto"/>
        <w:bottom w:val="none" w:sz="0" w:space="0" w:color="auto"/>
        <w:right w:val="none" w:sz="0" w:space="0" w:color="auto"/>
      </w:divBdr>
    </w:div>
    <w:div w:id="710572213">
      <w:bodyDiv w:val="1"/>
      <w:marLeft w:val="0"/>
      <w:marRight w:val="0"/>
      <w:marTop w:val="0"/>
      <w:marBottom w:val="0"/>
      <w:divBdr>
        <w:top w:val="none" w:sz="0" w:space="0" w:color="auto"/>
        <w:left w:val="none" w:sz="0" w:space="0" w:color="auto"/>
        <w:bottom w:val="none" w:sz="0" w:space="0" w:color="auto"/>
        <w:right w:val="none" w:sz="0" w:space="0" w:color="auto"/>
      </w:divBdr>
    </w:div>
    <w:div w:id="711807926">
      <w:bodyDiv w:val="1"/>
      <w:marLeft w:val="0"/>
      <w:marRight w:val="0"/>
      <w:marTop w:val="0"/>
      <w:marBottom w:val="0"/>
      <w:divBdr>
        <w:top w:val="none" w:sz="0" w:space="0" w:color="auto"/>
        <w:left w:val="none" w:sz="0" w:space="0" w:color="auto"/>
        <w:bottom w:val="none" w:sz="0" w:space="0" w:color="auto"/>
        <w:right w:val="none" w:sz="0" w:space="0" w:color="auto"/>
      </w:divBdr>
    </w:div>
    <w:div w:id="730078408">
      <w:bodyDiv w:val="1"/>
      <w:marLeft w:val="0"/>
      <w:marRight w:val="0"/>
      <w:marTop w:val="0"/>
      <w:marBottom w:val="0"/>
      <w:divBdr>
        <w:top w:val="none" w:sz="0" w:space="0" w:color="auto"/>
        <w:left w:val="none" w:sz="0" w:space="0" w:color="auto"/>
        <w:bottom w:val="none" w:sz="0" w:space="0" w:color="auto"/>
        <w:right w:val="none" w:sz="0" w:space="0" w:color="auto"/>
      </w:divBdr>
    </w:div>
    <w:div w:id="769354939">
      <w:bodyDiv w:val="1"/>
      <w:marLeft w:val="0"/>
      <w:marRight w:val="0"/>
      <w:marTop w:val="0"/>
      <w:marBottom w:val="0"/>
      <w:divBdr>
        <w:top w:val="none" w:sz="0" w:space="0" w:color="auto"/>
        <w:left w:val="none" w:sz="0" w:space="0" w:color="auto"/>
        <w:bottom w:val="none" w:sz="0" w:space="0" w:color="auto"/>
        <w:right w:val="none" w:sz="0" w:space="0" w:color="auto"/>
      </w:divBdr>
    </w:div>
    <w:div w:id="776216884">
      <w:bodyDiv w:val="1"/>
      <w:marLeft w:val="0"/>
      <w:marRight w:val="0"/>
      <w:marTop w:val="0"/>
      <w:marBottom w:val="0"/>
      <w:divBdr>
        <w:top w:val="none" w:sz="0" w:space="0" w:color="auto"/>
        <w:left w:val="none" w:sz="0" w:space="0" w:color="auto"/>
        <w:bottom w:val="none" w:sz="0" w:space="0" w:color="auto"/>
        <w:right w:val="none" w:sz="0" w:space="0" w:color="auto"/>
      </w:divBdr>
      <w:divsChild>
        <w:div w:id="1207597990">
          <w:marLeft w:val="0"/>
          <w:marRight w:val="0"/>
          <w:marTop w:val="0"/>
          <w:marBottom w:val="240"/>
          <w:divBdr>
            <w:top w:val="none" w:sz="0" w:space="0" w:color="auto"/>
            <w:left w:val="none" w:sz="0" w:space="0" w:color="auto"/>
            <w:bottom w:val="none" w:sz="0" w:space="0" w:color="auto"/>
            <w:right w:val="none" w:sz="0" w:space="0" w:color="auto"/>
          </w:divBdr>
        </w:div>
      </w:divsChild>
    </w:div>
    <w:div w:id="778261623">
      <w:bodyDiv w:val="1"/>
      <w:marLeft w:val="0"/>
      <w:marRight w:val="0"/>
      <w:marTop w:val="0"/>
      <w:marBottom w:val="0"/>
      <w:divBdr>
        <w:top w:val="none" w:sz="0" w:space="0" w:color="auto"/>
        <w:left w:val="none" w:sz="0" w:space="0" w:color="auto"/>
        <w:bottom w:val="none" w:sz="0" w:space="0" w:color="auto"/>
        <w:right w:val="none" w:sz="0" w:space="0" w:color="auto"/>
      </w:divBdr>
    </w:div>
    <w:div w:id="779448693">
      <w:bodyDiv w:val="1"/>
      <w:marLeft w:val="0"/>
      <w:marRight w:val="0"/>
      <w:marTop w:val="0"/>
      <w:marBottom w:val="0"/>
      <w:divBdr>
        <w:top w:val="none" w:sz="0" w:space="0" w:color="auto"/>
        <w:left w:val="none" w:sz="0" w:space="0" w:color="auto"/>
        <w:bottom w:val="none" w:sz="0" w:space="0" w:color="auto"/>
        <w:right w:val="none" w:sz="0" w:space="0" w:color="auto"/>
      </w:divBdr>
    </w:div>
    <w:div w:id="819081954">
      <w:bodyDiv w:val="1"/>
      <w:marLeft w:val="0"/>
      <w:marRight w:val="0"/>
      <w:marTop w:val="0"/>
      <w:marBottom w:val="0"/>
      <w:divBdr>
        <w:top w:val="none" w:sz="0" w:space="0" w:color="auto"/>
        <w:left w:val="none" w:sz="0" w:space="0" w:color="auto"/>
        <w:bottom w:val="none" w:sz="0" w:space="0" w:color="auto"/>
        <w:right w:val="none" w:sz="0" w:space="0" w:color="auto"/>
      </w:divBdr>
    </w:div>
    <w:div w:id="819150325">
      <w:bodyDiv w:val="1"/>
      <w:marLeft w:val="0"/>
      <w:marRight w:val="0"/>
      <w:marTop w:val="0"/>
      <w:marBottom w:val="0"/>
      <w:divBdr>
        <w:top w:val="none" w:sz="0" w:space="0" w:color="auto"/>
        <w:left w:val="none" w:sz="0" w:space="0" w:color="auto"/>
        <w:bottom w:val="none" w:sz="0" w:space="0" w:color="auto"/>
        <w:right w:val="none" w:sz="0" w:space="0" w:color="auto"/>
      </w:divBdr>
    </w:div>
    <w:div w:id="822699378">
      <w:bodyDiv w:val="1"/>
      <w:marLeft w:val="0"/>
      <w:marRight w:val="0"/>
      <w:marTop w:val="0"/>
      <w:marBottom w:val="0"/>
      <w:divBdr>
        <w:top w:val="none" w:sz="0" w:space="0" w:color="auto"/>
        <w:left w:val="none" w:sz="0" w:space="0" w:color="auto"/>
        <w:bottom w:val="none" w:sz="0" w:space="0" w:color="auto"/>
        <w:right w:val="none" w:sz="0" w:space="0" w:color="auto"/>
      </w:divBdr>
    </w:div>
    <w:div w:id="824277637">
      <w:bodyDiv w:val="1"/>
      <w:marLeft w:val="0"/>
      <w:marRight w:val="0"/>
      <w:marTop w:val="0"/>
      <w:marBottom w:val="0"/>
      <w:divBdr>
        <w:top w:val="none" w:sz="0" w:space="0" w:color="auto"/>
        <w:left w:val="none" w:sz="0" w:space="0" w:color="auto"/>
        <w:bottom w:val="none" w:sz="0" w:space="0" w:color="auto"/>
        <w:right w:val="none" w:sz="0" w:space="0" w:color="auto"/>
      </w:divBdr>
    </w:div>
    <w:div w:id="837892157">
      <w:bodyDiv w:val="1"/>
      <w:marLeft w:val="0"/>
      <w:marRight w:val="0"/>
      <w:marTop w:val="0"/>
      <w:marBottom w:val="0"/>
      <w:divBdr>
        <w:top w:val="none" w:sz="0" w:space="0" w:color="auto"/>
        <w:left w:val="none" w:sz="0" w:space="0" w:color="auto"/>
        <w:bottom w:val="none" w:sz="0" w:space="0" w:color="auto"/>
        <w:right w:val="none" w:sz="0" w:space="0" w:color="auto"/>
      </w:divBdr>
    </w:div>
    <w:div w:id="842164018">
      <w:bodyDiv w:val="1"/>
      <w:marLeft w:val="0"/>
      <w:marRight w:val="0"/>
      <w:marTop w:val="0"/>
      <w:marBottom w:val="0"/>
      <w:divBdr>
        <w:top w:val="none" w:sz="0" w:space="0" w:color="auto"/>
        <w:left w:val="none" w:sz="0" w:space="0" w:color="auto"/>
        <w:bottom w:val="none" w:sz="0" w:space="0" w:color="auto"/>
        <w:right w:val="none" w:sz="0" w:space="0" w:color="auto"/>
      </w:divBdr>
    </w:div>
    <w:div w:id="844903736">
      <w:bodyDiv w:val="1"/>
      <w:marLeft w:val="0"/>
      <w:marRight w:val="0"/>
      <w:marTop w:val="0"/>
      <w:marBottom w:val="0"/>
      <w:divBdr>
        <w:top w:val="none" w:sz="0" w:space="0" w:color="auto"/>
        <w:left w:val="none" w:sz="0" w:space="0" w:color="auto"/>
        <w:bottom w:val="none" w:sz="0" w:space="0" w:color="auto"/>
        <w:right w:val="none" w:sz="0" w:space="0" w:color="auto"/>
      </w:divBdr>
    </w:div>
    <w:div w:id="867912031">
      <w:bodyDiv w:val="1"/>
      <w:marLeft w:val="0"/>
      <w:marRight w:val="0"/>
      <w:marTop w:val="0"/>
      <w:marBottom w:val="0"/>
      <w:divBdr>
        <w:top w:val="none" w:sz="0" w:space="0" w:color="auto"/>
        <w:left w:val="none" w:sz="0" w:space="0" w:color="auto"/>
        <w:bottom w:val="none" w:sz="0" w:space="0" w:color="auto"/>
        <w:right w:val="none" w:sz="0" w:space="0" w:color="auto"/>
      </w:divBdr>
    </w:div>
    <w:div w:id="871187692">
      <w:bodyDiv w:val="1"/>
      <w:marLeft w:val="0"/>
      <w:marRight w:val="0"/>
      <w:marTop w:val="0"/>
      <w:marBottom w:val="0"/>
      <w:divBdr>
        <w:top w:val="none" w:sz="0" w:space="0" w:color="auto"/>
        <w:left w:val="none" w:sz="0" w:space="0" w:color="auto"/>
        <w:bottom w:val="none" w:sz="0" w:space="0" w:color="auto"/>
        <w:right w:val="none" w:sz="0" w:space="0" w:color="auto"/>
      </w:divBdr>
    </w:div>
    <w:div w:id="871919799">
      <w:bodyDiv w:val="1"/>
      <w:marLeft w:val="0"/>
      <w:marRight w:val="0"/>
      <w:marTop w:val="0"/>
      <w:marBottom w:val="0"/>
      <w:divBdr>
        <w:top w:val="none" w:sz="0" w:space="0" w:color="auto"/>
        <w:left w:val="none" w:sz="0" w:space="0" w:color="auto"/>
        <w:bottom w:val="none" w:sz="0" w:space="0" w:color="auto"/>
        <w:right w:val="none" w:sz="0" w:space="0" w:color="auto"/>
      </w:divBdr>
    </w:div>
    <w:div w:id="931935400">
      <w:bodyDiv w:val="1"/>
      <w:marLeft w:val="0"/>
      <w:marRight w:val="0"/>
      <w:marTop w:val="0"/>
      <w:marBottom w:val="0"/>
      <w:divBdr>
        <w:top w:val="none" w:sz="0" w:space="0" w:color="auto"/>
        <w:left w:val="none" w:sz="0" w:space="0" w:color="auto"/>
        <w:bottom w:val="none" w:sz="0" w:space="0" w:color="auto"/>
        <w:right w:val="none" w:sz="0" w:space="0" w:color="auto"/>
      </w:divBdr>
    </w:div>
    <w:div w:id="935333697">
      <w:bodyDiv w:val="1"/>
      <w:marLeft w:val="0"/>
      <w:marRight w:val="0"/>
      <w:marTop w:val="0"/>
      <w:marBottom w:val="0"/>
      <w:divBdr>
        <w:top w:val="none" w:sz="0" w:space="0" w:color="auto"/>
        <w:left w:val="none" w:sz="0" w:space="0" w:color="auto"/>
        <w:bottom w:val="none" w:sz="0" w:space="0" w:color="auto"/>
        <w:right w:val="none" w:sz="0" w:space="0" w:color="auto"/>
      </w:divBdr>
    </w:div>
    <w:div w:id="935483280">
      <w:bodyDiv w:val="1"/>
      <w:marLeft w:val="0"/>
      <w:marRight w:val="0"/>
      <w:marTop w:val="0"/>
      <w:marBottom w:val="0"/>
      <w:divBdr>
        <w:top w:val="none" w:sz="0" w:space="0" w:color="auto"/>
        <w:left w:val="none" w:sz="0" w:space="0" w:color="auto"/>
        <w:bottom w:val="none" w:sz="0" w:space="0" w:color="auto"/>
        <w:right w:val="none" w:sz="0" w:space="0" w:color="auto"/>
      </w:divBdr>
    </w:div>
    <w:div w:id="947661295">
      <w:bodyDiv w:val="1"/>
      <w:marLeft w:val="0"/>
      <w:marRight w:val="0"/>
      <w:marTop w:val="0"/>
      <w:marBottom w:val="0"/>
      <w:divBdr>
        <w:top w:val="none" w:sz="0" w:space="0" w:color="auto"/>
        <w:left w:val="none" w:sz="0" w:space="0" w:color="auto"/>
        <w:bottom w:val="none" w:sz="0" w:space="0" w:color="auto"/>
        <w:right w:val="none" w:sz="0" w:space="0" w:color="auto"/>
      </w:divBdr>
    </w:div>
    <w:div w:id="957027786">
      <w:bodyDiv w:val="1"/>
      <w:marLeft w:val="0"/>
      <w:marRight w:val="0"/>
      <w:marTop w:val="0"/>
      <w:marBottom w:val="0"/>
      <w:divBdr>
        <w:top w:val="none" w:sz="0" w:space="0" w:color="auto"/>
        <w:left w:val="none" w:sz="0" w:space="0" w:color="auto"/>
        <w:bottom w:val="none" w:sz="0" w:space="0" w:color="auto"/>
        <w:right w:val="none" w:sz="0" w:space="0" w:color="auto"/>
      </w:divBdr>
    </w:div>
    <w:div w:id="957679790">
      <w:bodyDiv w:val="1"/>
      <w:marLeft w:val="0"/>
      <w:marRight w:val="0"/>
      <w:marTop w:val="0"/>
      <w:marBottom w:val="0"/>
      <w:divBdr>
        <w:top w:val="none" w:sz="0" w:space="0" w:color="auto"/>
        <w:left w:val="none" w:sz="0" w:space="0" w:color="auto"/>
        <w:bottom w:val="none" w:sz="0" w:space="0" w:color="auto"/>
        <w:right w:val="none" w:sz="0" w:space="0" w:color="auto"/>
      </w:divBdr>
    </w:div>
    <w:div w:id="961611564">
      <w:bodyDiv w:val="1"/>
      <w:marLeft w:val="0"/>
      <w:marRight w:val="0"/>
      <w:marTop w:val="0"/>
      <w:marBottom w:val="0"/>
      <w:divBdr>
        <w:top w:val="none" w:sz="0" w:space="0" w:color="auto"/>
        <w:left w:val="none" w:sz="0" w:space="0" w:color="auto"/>
        <w:bottom w:val="none" w:sz="0" w:space="0" w:color="auto"/>
        <w:right w:val="none" w:sz="0" w:space="0" w:color="auto"/>
      </w:divBdr>
    </w:div>
    <w:div w:id="973024944">
      <w:bodyDiv w:val="1"/>
      <w:marLeft w:val="0"/>
      <w:marRight w:val="0"/>
      <w:marTop w:val="0"/>
      <w:marBottom w:val="0"/>
      <w:divBdr>
        <w:top w:val="none" w:sz="0" w:space="0" w:color="auto"/>
        <w:left w:val="none" w:sz="0" w:space="0" w:color="auto"/>
        <w:bottom w:val="none" w:sz="0" w:space="0" w:color="auto"/>
        <w:right w:val="none" w:sz="0" w:space="0" w:color="auto"/>
      </w:divBdr>
    </w:div>
    <w:div w:id="976377555">
      <w:bodyDiv w:val="1"/>
      <w:marLeft w:val="0"/>
      <w:marRight w:val="0"/>
      <w:marTop w:val="0"/>
      <w:marBottom w:val="0"/>
      <w:divBdr>
        <w:top w:val="none" w:sz="0" w:space="0" w:color="auto"/>
        <w:left w:val="none" w:sz="0" w:space="0" w:color="auto"/>
        <w:bottom w:val="none" w:sz="0" w:space="0" w:color="auto"/>
        <w:right w:val="none" w:sz="0" w:space="0" w:color="auto"/>
      </w:divBdr>
    </w:div>
    <w:div w:id="999386987">
      <w:bodyDiv w:val="1"/>
      <w:marLeft w:val="0"/>
      <w:marRight w:val="0"/>
      <w:marTop w:val="0"/>
      <w:marBottom w:val="0"/>
      <w:divBdr>
        <w:top w:val="none" w:sz="0" w:space="0" w:color="auto"/>
        <w:left w:val="none" w:sz="0" w:space="0" w:color="auto"/>
        <w:bottom w:val="none" w:sz="0" w:space="0" w:color="auto"/>
        <w:right w:val="none" w:sz="0" w:space="0" w:color="auto"/>
      </w:divBdr>
    </w:div>
    <w:div w:id="1002581968">
      <w:bodyDiv w:val="1"/>
      <w:marLeft w:val="0"/>
      <w:marRight w:val="0"/>
      <w:marTop w:val="0"/>
      <w:marBottom w:val="0"/>
      <w:divBdr>
        <w:top w:val="none" w:sz="0" w:space="0" w:color="auto"/>
        <w:left w:val="none" w:sz="0" w:space="0" w:color="auto"/>
        <w:bottom w:val="none" w:sz="0" w:space="0" w:color="auto"/>
        <w:right w:val="none" w:sz="0" w:space="0" w:color="auto"/>
      </w:divBdr>
    </w:div>
    <w:div w:id="1018585876">
      <w:bodyDiv w:val="1"/>
      <w:marLeft w:val="0"/>
      <w:marRight w:val="0"/>
      <w:marTop w:val="0"/>
      <w:marBottom w:val="0"/>
      <w:divBdr>
        <w:top w:val="none" w:sz="0" w:space="0" w:color="auto"/>
        <w:left w:val="none" w:sz="0" w:space="0" w:color="auto"/>
        <w:bottom w:val="none" w:sz="0" w:space="0" w:color="auto"/>
        <w:right w:val="none" w:sz="0" w:space="0" w:color="auto"/>
      </w:divBdr>
    </w:div>
    <w:div w:id="1027558301">
      <w:bodyDiv w:val="1"/>
      <w:marLeft w:val="0"/>
      <w:marRight w:val="0"/>
      <w:marTop w:val="0"/>
      <w:marBottom w:val="0"/>
      <w:divBdr>
        <w:top w:val="none" w:sz="0" w:space="0" w:color="auto"/>
        <w:left w:val="none" w:sz="0" w:space="0" w:color="auto"/>
        <w:bottom w:val="none" w:sz="0" w:space="0" w:color="auto"/>
        <w:right w:val="none" w:sz="0" w:space="0" w:color="auto"/>
      </w:divBdr>
    </w:div>
    <w:div w:id="1038240594">
      <w:bodyDiv w:val="1"/>
      <w:marLeft w:val="0"/>
      <w:marRight w:val="0"/>
      <w:marTop w:val="0"/>
      <w:marBottom w:val="0"/>
      <w:divBdr>
        <w:top w:val="none" w:sz="0" w:space="0" w:color="auto"/>
        <w:left w:val="none" w:sz="0" w:space="0" w:color="auto"/>
        <w:bottom w:val="none" w:sz="0" w:space="0" w:color="auto"/>
        <w:right w:val="none" w:sz="0" w:space="0" w:color="auto"/>
      </w:divBdr>
    </w:div>
    <w:div w:id="1043485954">
      <w:bodyDiv w:val="1"/>
      <w:marLeft w:val="0"/>
      <w:marRight w:val="0"/>
      <w:marTop w:val="0"/>
      <w:marBottom w:val="0"/>
      <w:divBdr>
        <w:top w:val="none" w:sz="0" w:space="0" w:color="auto"/>
        <w:left w:val="none" w:sz="0" w:space="0" w:color="auto"/>
        <w:bottom w:val="none" w:sz="0" w:space="0" w:color="auto"/>
        <w:right w:val="none" w:sz="0" w:space="0" w:color="auto"/>
      </w:divBdr>
    </w:div>
    <w:div w:id="1049719170">
      <w:bodyDiv w:val="1"/>
      <w:marLeft w:val="0"/>
      <w:marRight w:val="0"/>
      <w:marTop w:val="0"/>
      <w:marBottom w:val="0"/>
      <w:divBdr>
        <w:top w:val="none" w:sz="0" w:space="0" w:color="auto"/>
        <w:left w:val="none" w:sz="0" w:space="0" w:color="auto"/>
        <w:bottom w:val="none" w:sz="0" w:space="0" w:color="auto"/>
        <w:right w:val="none" w:sz="0" w:space="0" w:color="auto"/>
      </w:divBdr>
    </w:div>
    <w:div w:id="1068305425">
      <w:bodyDiv w:val="1"/>
      <w:marLeft w:val="0"/>
      <w:marRight w:val="0"/>
      <w:marTop w:val="0"/>
      <w:marBottom w:val="0"/>
      <w:divBdr>
        <w:top w:val="none" w:sz="0" w:space="0" w:color="auto"/>
        <w:left w:val="none" w:sz="0" w:space="0" w:color="auto"/>
        <w:bottom w:val="none" w:sz="0" w:space="0" w:color="auto"/>
        <w:right w:val="none" w:sz="0" w:space="0" w:color="auto"/>
      </w:divBdr>
    </w:div>
    <w:div w:id="1069503099">
      <w:bodyDiv w:val="1"/>
      <w:marLeft w:val="0"/>
      <w:marRight w:val="0"/>
      <w:marTop w:val="0"/>
      <w:marBottom w:val="0"/>
      <w:divBdr>
        <w:top w:val="none" w:sz="0" w:space="0" w:color="auto"/>
        <w:left w:val="none" w:sz="0" w:space="0" w:color="auto"/>
        <w:bottom w:val="none" w:sz="0" w:space="0" w:color="auto"/>
        <w:right w:val="none" w:sz="0" w:space="0" w:color="auto"/>
      </w:divBdr>
    </w:div>
    <w:div w:id="1083183929">
      <w:bodyDiv w:val="1"/>
      <w:marLeft w:val="0"/>
      <w:marRight w:val="0"/>
      <w:marTop w:val="0"/>
      <w:marBottom w:val="0"/>
      <w:divBdr>
        <w:top w:val="none" w:sz="0" w:space="0" w:color="auto"/>
        <w:left w:val="none" w:sz="0" w:space="0" w:color="auto"/>
        <w:bottom w:val="none" w:sz="0" w:space="0" w:color="auto"/>
        <w:right w:val="none" w:sz="0" w:space="0" w:color="auto"/>
      </w:divBdr>
    </w:div>
    <w:div w:id="1098409011">
      <w:bodyDiv w:val="1"/>
      <w:marLeft w:val="0"/>
      <w:marRight w:val="0"/>
      <w:marTop w:val="0"/>
      <w:marBottom w:val="0"/>
      <w:divBdr>
        <w:top w:val="none" w:sz="0" w:space="0" w:color="auto"/>
        <w:left w:val="none" w:sz="0" w:space="0" w:color="auto"/>
        <w:bottom w:val="none" w:sz="0" w:space="0" w:color="auto"/>
        <w:right w:val="none" w:sz="0" w:space="0" w:color="auto"/>
      </w:divBdr>
    </w:div>
    <w:div w:id="1108544657">
      <w:bodyDiv w:val="1"/>
      <w:marLeft w:val="0"/>
      <w:marRight w:val="0"/>
      <w:marTop w:val="0"/>
      <w:marBottom w:val="0"/>
      <w:divBdr>
        <w:top w:val="none" w:sz="0" w:space="0" w:color="auto"/>
        <w:left w:val="none" w:sz="0" w:space="0" w:color="auto"/>
        <w:bottom w:val="none" w:sz="0" w:space="0" w:color="auto"/>
        <w:right w:val="none" w:sz="0" w:space="0" w:color="auto"/>
      </w:divBdr>
    </w:div>
    <w:div w:id="1115171817">
      <w:bodyDiv w:val="1"/>
      <w:marLeft w:val="0"/>
      <w:marRight w:val="0"/>
      <w:marTop w:val="0"/>
      <w:marBottom w:val="0"/>
      <w:divBdr>
        <w:top w:val="none" w:sz="0" w:space="0" w:color="auto"/>
        <w:left w:val="none" w:sz="0" w:space="0" w:color="auto"/>
        <w:bottom w:val="none" w:sz="0" w:space="0" w:color="auto"/>
        <w:right w:val="none" w:sz="0" w:space="0" w:color="auto"/>
      </w:divBdr>
    </w:div>
    <w:div w:id="1139108057">
      <w:bodyDiv w:val="1"/>
      <w:marLeft w:val="0"/>
      <w:marRight w:val="0"/>
      <w:marTop w:val="0"/>
      <w:marBottom w:val="0"/>
      <w:divBdr>
        <w:top w:val="none" w:sz="0" w:space="0" w:color="auto"/>
        <w:left w:val="none" w:sz="0" w:space="0" w:color="auto"/>
        <w:bottom w:val="none" w:sz="0" w:space="0" w:color="auto"/>
        <w:right w:val="none" w:sz="0" w:space="0" w:color="auto"/>
      </w:divBdr>
    </w:div>
    <w:div w:id="1141995950">
      <w:bodyDiv w:val="1"/>
      <w:marLeft w:val="0"/>
      <w:marRight w:val="0"/>
      <w:marTop w:val="0"/>
      <w:marBottom w:val="0"/>
      <w:divBdr>
        <w:top w:val="none" w:sz="0" w:space="0" w:color="auto"/>
        <w:left w:val="none" w:sz="0" w:space="0" w:color="auto"/>
        <w:bottom w:val="none" w:sz="0" w:space="0" w:color="auto"/>
        <w:right w:val="none" w:sz="0" w:space="0" w:color="auto"/>
      </w:divBdr>
    </w:div>
    <w:div w:id="1146623496">
      <w:bodyDiv w:val="1"/>
      <w:marLeft w:val="0"/>
      <w:marRight w:val="0"/>
      <w:marTop w:val="0"/>
      <w:marBottom w:val="0"/>
      <w:divBdr>
        <w:top w:val="none" w:sz="0" w:space="0" w:color="auto"/>
        <w:left w:val="none" w:sz="0" w:space="0" w:color="auto"/>
        <w:bottom w:val="none" w:sz="0" w:space="0" w:color="auto"/>
        <w:right w:val="none" w:sz="0" w:space="0" w:color="auto"/>
      </w:divBdr>
    </w:div>
    <w:div w:id="1146775137">
      <w:bodyDiv w:val="1"/>
      <w:marLeft w:val="0"/>
      <w:marRight w:val="0"/>
      <w:marTop w:val="0"/>
      <w:marBottom w:val="0"/>
      <w:divBdr>
        <w:top w:val="none" w:sz="0" w:space="0" w:color="auto"/>
        <w:left w:val="none" w:sz="0" w:space="0" w:color="auto"/>
        <w:bottom w:val="none" w:sz="0" w:space="0" w:color="auto"/>
        <w:right w:val="none" w:sz="0" w:space="0" w:color="auto"/>
      </w:divBdr>
    </w:div>
    <w:div w:id="1159425400">
      <w:bodyDiv w:val="1"/>
      <w:marLeft w:val="0"/>
      <w:marRight w:val="0"/>
      <w:marTop w:val="0"/>
      <w:marBottom w:val="0"/>
      <w:divBdr>
        <w:top w:val="none" w:sz="0" w:space="0" w:color="auto"/>
        <w:left w:val="none" w:sz="0" w:space="0" w:color="auto"/>
        <w:bottom w:val="none" w:sz="0" w:space="0" w:color="auto"/>
        <w:right w:val="none" w:sz="0" w:space="0" w:color="auto"/>
      </w:divBdr>
    </w:div>
    <w:div w:id="1163665689">
      <w:bodyDiv w:val="1"/>
      <w:marLeft w:val="0"/>
      <w:marRight w:val="0"/>
      <w:marTop w:val="0"/>
      <w:marBottom w:val="0"/>
      <w:divBdr>
        <w:top w:val="none" w:sz="0" w:space="0" w:color="auto"/>
        <w:left w:val="none" w:sz="0" w:space="0" w:color="auto"/>
        <w:bottom w:val="none" w:sz="0" w:space="0" w:color="auto"/>
        <w:right w:val="none" w:sz="0" w:space="0" w:color="auto"/>
      </w:divBdr>
    </w:div>
    <w:div w:id="1164665787">
      <w:bodyDiv w:val="1"/>
      <w:marLeft w:val="0"/>
      <w:marRight w:val="0"/>
      <w:marTop w:val="0"/>
      <w:marBottom w:val="0"/>
      <w:divBdr>
        <w:top w:val="none" w:sz="0" w:space="0" w:color="auto"/>
        <w:left w:val="none" w:sz="0" w:space="0" w:color="auto"/>
        <w:bottom w:val="none" w:sz="0" w:space="0" w:color="auto"/>
        <w:right w:val="none" w:sz="0" w:space="0" w:color="auto"/>
      </w:divBdr>
    </w:div>
    <w:div w:id="1187400620">
      <w:bodyDiv w:val="1"/>
      <w:marLeft w:val="0"/>
      <w:marRight w:val="0"/>
      <w:marTop w:val="0"/>
      <w:marBottom w:val="0"/>
      <w:divBdr>
        <w:top w:val="none" w:sz="0" w:space="0" w:color="auto"/>
        <w:left w:val="none" w:sz="0" w:space="0" w:color="auto"/>
        <w:bottom w:val="none" w:sz="0" w:space="0" w:color="auto"/>
        <w:right w:val="none" w:sz="0" w:space="0" w:color="auto"/>
      </w:divBdr>
    </w:div>
    <w:div w:id="1192645707">
      <w:bodyDiv w:val="1"/>
      <w:marLeft w:val="0"/>
      <w:marRight w:val="0"/>
      <w:marTop w:val="0"/>
      <w:marBottom w:val="0"/>
      <w:divBdr>
        <w:top w:val="none" w:sz="0" w:space="0" w:color="auto"/>
        <w:left w:val="none" w:sz="0" w:space="0" w:color="auto"/>
        <w:bottom w:val="none" w:sz="0" w:space="0" w:color="auto"/>
        <w:right w:val="none" w:sz="0" w:space="0" w:color="auto"/>
      </w:divBdr>
    </w:div>
    <w:div w:id="1208176149">
      <w:bodyDiv w:val="1"/>
      <w:marLeft w:val="0"/>
      <w:marRight w:val="0"/>
      <w:marTop w:val="0"/>
      <w:marBottom w:val="0"/>
      <w:divBdr>
        <w:top w:val="none" w:sz="0" w:space="0" w:color="auto"/>
        <w:left w:val="none" w:sz="0" w:space="0" w:color="auto"/>
        <w:bottom w:val="none" w:sz="0" w:space="0" w:color="auto"/>
        <w:right w:val="none" w:sz="0" w:space="0" w:color="auto"/>
      </w:divBdr>
    </w:div>
    <w:div w:id="1226376476">
      <w:bodyDiv w:val="1"/>
      <w:marLeft w:val="0"/>
      <w:marRight w:val="0"/>
      <w:marTop w:val="0"/>
      <w:marBottom w:val="0"/>
      <w:divBdr>
        <w:top w:val="none" w:sz="0" w:space="0" w:color="auto"/>
        <w:left w:val="none" w:sz="0" w:space="0" w:color="auto"/>
        <w:bottom w:val="none" w:sz="0" w:space="0" w:color="auto"/>
        <w:right w:val="none" w:sz="0" w:space="0" w:color="auto"/>
      </w:divBdr>
    </w:div>
    <w:div w:id="1242252347">
      <w:bodyDiv w:val="1"/>
      <w:marLeft w:val="0"/>
      <w:marRight w:val="0"/>
      <w:marTop w:val="0"/>
      <w:marBottom w:val="0"/>
      <w:divBdr>
        <w:top w:val="none" w:sz="0" w:space="0" w:color="auto"/>
        <w:left w:val="none" w:sz="0" w:space="0" w:color="auto"/>
        <w:bottom w:val="none" w:sz="0" w:space="0" w:color="auto"/>
        <w:right w:val="none" w:sz="0" w:space="0" w:color="auto"/>
      </w:divBdr>
    </w:div>
    <w:div w:id="1260531115">
      <w:bodyDiv w:val="1"/>
      <w:marLeft w:val="0"/>
      <w:marRight w:val="0"/>
      <w:marTop w:val="0"/>
      <w:marBottom w:val="0"/>
      <w:divBdr>
        <w:top w:val="none" w:sz="0" w:space="0" w:color="auto"/>
        <w:left w:val="none" w:sz="0" w:space="0" w:color="auto"/>
        <w:bottom w:val="none" w:sz="0" w:space="0" w:color="auto"/>
        <w:right w:val="none" w:sz="0" w:space="0" w:color="auto"/>
      </w:divBdr>
    </w:div>
    <w:div w:id="1296137893">
      <w:bodyDiv w:val="1"/>
      <w:marLeft w:val="0"/>
      <w:marRight w:val="0"/>
      <w:marTop w:val="0"/>
      <w:marBottom w:val="0"/>
      <w:divBdr>
        <w:top w:val="none" w:sz="0" w:space="0" w:color="auto"/>
        <w:left w:val="none" w:sz="0" w:space="0" w:color="auto"/>
        <w:bottom w:val="none" w:sz="0" w:space="0" w:color="auto"/>
        <w:right w:val="none" w:sz="0" w:space="0" w:color="auto"/>
      </w:divBdr>
      <w:divsChild>
        <w:div w:id="1835074392">
          <w:marLeft w:val="0"/>
          <w:marRight w:val="0"/>
          <w:marTop w:val="0"/>
          <w:marBottom w:val="0"/>
          <w:divBdr>
            <w:top w:val="none" w:sz="0" w:space="0" w:color="auto"/>
            <w:left w:val="none" w:sz="0" w:space="0" w:color="auto"/>
            <w:bottom w:val="none" w:sz="0" w:space="0" w:color="auto"/>
            <w:right w:val="none" w:sz="0" w:space="0" w:color="auto"/>
          </w:divBdr>
          <w:divsChild>
            <w:div w:id="115298536">
              <w:marLeft w:val="0"/>
              <w:marRight w:val="0"/>
              <w:marTop w:val="0"/>
              <w:marBottom w:val="0"/>
              <w:divBdr>
                <w:top w:val="none" w:sz="0" w:space="0" w:color="auto"/>
                <w:left w:val="none" w:sz="0" w:space="0" w:color="auto"/>
                <w:bottom w:val="none" w:sz="0" w:space="0" w:color="auto"/>
                <w:right w:val="none" w:sz="0" w:space="0" w:color="auto"/>
              </w:divBdr>
              <w:divsChild>
                <w:div w:id="6925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71516">
      <w:bodyDiv w:val="1"/>
      <w:marLeft w:val="0"/>
      <w:marRight w:val="0"/>
      <w:marTop w:val="0"/>
      <w:marBottom w:val="0"/>
      <w:divBdr>
        <w:top w:val="none" w:sz="0" w:space="0" w:color="auto"/>
        <w:left w:val="none" w:sz="0" w:space="0" w:color="auto"/>
        <w:bottom w:val="none" w:sz="0" w:space="0" w:color="auto"/>
        <w:right w:val="none" w:sz="0" w:space="0" w:color="auto"/>
      </w:divBdr>
    </w:div>
    <w:div w:id="1301114147">
      <w:bodyDiv w:val="1"/>
      <w:marLeft w:val="0"/>
      <w:marRight w:val="0"/>
      <w:marTop w:val="0"/>
      <w:marBottom w:val="0"/>
      <w:divBdr>
        <w:top w:val="none" w:sz="0" w:space="0" w:color="auto"/>
        <w:left w:val="none" w:sz="0" w:space="0" w:color="auto"/>
        <w:bottom w:val="none" w:sz="0" w:space="0" w:color="auto"/>
        <w:right w:val="none" w:sz="0" w:space="0" w:color="auto"/>
      </w:divBdr>
    </w:div>
    <w:div w:id="1339623471">
      <w:bodyDiv w:val="1"/>
      <w:marLeft w:val="0"/>
      <w:marRight w:val="0"/>
      <w:marTop w:val="0"/>
      <w:marBottom w:val="0"/>
      <w:divBdr>
        <w:top w:val="none" w:sz="0" w:space="0" w:color="auto"/>
        <w:left w:val="none" w:sz="0" w:space="0" w:color="auto"/>
        <w:bottom w:val="none" w:sz="0" w:space="0" w:color="auto"/>
        <w:right w:val="none" w:sz="0" w:space="0" w:color="auto"/>
      </w:divBdr>
    </w:div>
    <w:div w:id="1361129855">
      <w:bodyDiv w:val="1"/>
      <w:marLeft w:val="0"/>
      <w:marRight w:val="0"/>
      <w:marTop w:val="0"/>
      <w:marBottom w:val="0"/>
      <w:divBdr>
        <w:top w:val="none" w:sz="0" w:space="0" w:color="auto"/>
        <w:left w:val="none" w:sz="0" w:space="0" w:color="auto"/>
        <w:bottom w:val="none" w:sz="0" w:space="0" w:color="auto"/>
        <w:right w:val="none" w:sz="0" w:space="0" w:color="auto"/>
      </w:divBdr>
    </w:div>
    <w:div w:id="1370227181">
      <w:bodyDiv w:val="1"/>
      <w:marLeft w:val="0"/>
      <w:marRight w:val="0"/>
      <w:marTop w:val="0"/>
      <w:marBottom w:val="0"/>
      <w:divBdr>
        <w:top w:val="none" w:sz="0" w:space="0" w:color="auto"/>
        <w:left w:val="none" w:sz="0" w:space="0" w:color="auto"/>
        <w:bottom w:val="none" w:sz="0" w:space="0" w:color="auto"/>
        <w:right w:val="none" w:sz="0" w:space="0" w:color="auto"/>
      </w:divBdr>
    </w:div>
    <w:div w:id="1401709780">
      <w:bodyDiv w:val="1"/>
      <w:marLeft w:val="0"/>
      <w:marRight w:val="0"/>
      <w:marTop w:val="0"/>
      <w:marBottom w:val="0"/>
      <w:divBdr>
        <w:top w:val="none" w:sz="0" w:space="0" w:color="auto"/>
        <w:left w:val="none" w:sz="0" w:space="0" w:color="auto"/>
        <w:bottom w:val="none" w:sz="0" w:space="0" w:color="auto"/>
        <w:right w:val="none" w:sz="0" w:space="0" w:color="auto"/>
      </w:divBdr>
    </w:div>
    <w:div w:id="1408069465">
      <w:bodyDiv w:val="1"/>
      <w:marLeft w:val="0"/>
      <w:marRight w:val="0"/>
      <w:marTop w:val="0"/>
      <w:marBottom w:val="0"/>
      <w:divBdr>
        <w:top w:val="none" w:sz="0" w:space="0" w:color="auto"/>
        <w:left w:val="none" w:sz="0" w:space="0" w:color="auto"/>
        <w:bottom w:val="none" w:sz="0" w:space="0" w:color="auto"/>
        <w:right w:val="none" w:sz="0" w:space="0" w:color="auto"/>
      </w:divBdr>
    </w:div>
    <w:div w:id="1418362525">
      <w:bodyDiv w:val="1"/>
      <w:marLeft w:val="0"/>
      <w:marRight w:val="0"/>
      <w:marTop w:val="0"/>
      <w:marBottom w:val="0"/>
      <w:divBdr>
        <w:top w:val="none" w:sz="0" w:space="0" w:color="auto"/>
        <w:left w:val="none" w:sz="0" w:space="0" w:color="auto"/>
        <w:bottom w:val="none" w:sz="0" w:space="0" w:color="auto"/>
        <w:right w:val="none" w:sz="0" w:space="0" w:color="auto"/>
      </w:divBdr>
    </w:div>
    <w:div w:id="1423985203">
      <w:bodyDiv w:val="1"/>
      <w:marLeft w:val="0"/>
      <w:marRight w:val="0"/>
      <w:marTop w:val="0"/>
      <w:marBottom w:val="0"/>
      <w:divBdr>
        <w:top w:val="none" w:sz="0" w:space="0" w:color="auto"/>
        <w:left w:val="none" w:sz="0" w:space="0" w:color="auto"/>
        <w:bottom w:val="none" w:sz="0" w:space="0" w:color="auto"/>
        <w:right w:val="none" w:sz="0" w:space="0" w:color="auto"/>
      </w:divBdr>
    </w:div>
    <w:div w:id="1431438118">
      <w:bodyDiv w:val="1"/>
      <w:marLeft w:val="0"/>
      <w:marRight w:val="0"/>
      <w:marTop w:val="0"/>
      <w:marBottom w:val="0"/>
      <w:divBdr>
        <w:top w:val="none" w:sz="0" w:space="0" w:color="auto"/>
        <w:left w:val="none" w:sz="0" w:space="0" w:color="auto"/>
        <w:bottom w:val="none" w:sz="0" w:space="0" w:color="auto"/>
        <w:right w:val="none" w:sz="0" w:space="0" w:color="auto"/>
      </w:divBdr>
    </w:div>
    <w:div w:id="1432120312">
      <w:bodyDiv w:val="1"/>
      <w:marLeft w:val="0"/>
      <w:marRight w:val="0"/>
      <w:marTop w:val="0"/>
      <w:marBottom w:val="0"/>
      <w:divBdr>
        <w:top w:val="none" w:sz="0" w:space="0" w:color="auto"/>
        <w:left w:val="none" w:sz="0" w:space="0" w:color="auto"/>
        <w:bottom w:val="none" w:sz="0" w:space="0" w:color="auto"/>
        <w:right w:val="none" w:sz="0" w:space="0" w:color="auto"/>
      </w:divBdr>
    </w:div>
    <w:div w:id="1453013121">
      <w:bodyDiv w:val="1"/>
      <w:marLeft w:val="0"/>
      <w:marRight w:val="0"/>
      <w:marTop w:val="0"/>
      <w:marBottom w:val="0"/>
      <w:divBdr>
        <w:top w:val="none" w:sz="0" w:space="0" w:color="auto"/>
        <w:left w:val="none" w:sz="0" w:space="0" w:color="auto"/>
        <w:bottom w:val="none" w:sz="0" w:space="0" w:color="auto"/>
        <w:right w:val="none" w:sz="0" w:space="0" w:color="auto"/>
      </w:divBdr>
    </w:div>
    <w:div w:id="1500343810">
      <w:bodyDiv w:val="1"/>
      <w:marLeft w:val="0"/>
      <w:marRight w:val="0"/>
      <w:marTop w:val="0"/>
      <w:marBottom w:val="0"/>
      <w:divBdr>
        <w:top w:val="none" w:sz="0" w:space="0" w:color="auto"/>
        <w:left w:val="none" w:sz="0" w:space="0" w:color="auto"/>
        <w:bottom w:val="none" w:sz="0" w:space="0" w:color="auto"/>
        <w:right w:val="none" w:sz="0" w:space="0" w:color="auto"/>
      </w:divBdr>
    </w:div>
    <w:div w:id="1530803697">
      <w:bodyDiv w:val="1"/>
      <w:marLeft w:val="0"/>
      <w:marRight w:val="0"/>
      <w:marTop w:val="0"/>
      <w:marBottom w:val="0"/>
      <w:divBdr>
        <w:top w:val="none" w:sz="0" w:space="0" w:color="auto"/>
        <w:left w:val="none" w:sz="0" w:space="0" w:color="auto"/>
        <w:bottom w:val="none" w:sz="0" w:space="0" w:color="auto"/>
        <w:right w:val="none" w:sz="0" w:space="0" w:color="auto"/>
      </w:divBdr>
    </w:div>
    <w:div w:id="1540320323">
      <w:bodyDiv w:val="1"/>
      <w:marLeft w:val="0"/>
      <w:marRight w:val="0"/>
      <w:marTop w:val="0"/>
      <w:marBottom w:val="0"/>
      <w:divBdr>
        <w:top w:val="none" w:sz="0" w:space="0" w:color="auto"/>
        <w:left w:val="none" w:sz="0" w:space="0" w:color="auto"/>
        <w:bottom w:val="none" w:sz="0" w:space="0" w:color="auto"/>
        <w:right w:val="none" w:sz="0" w:space="0" w:color="auto"/>
      </w:divBdr>
    </w:div>
    <w:div w:id="1557428965">
      <w:bodyDiv w:val="1"/>
      <w:marLeft w:val="0"/>
      <w:marRight w:val="0"/>
      <w:marTop w:val="0"/>
      <w:marBottom w:val="0"/>
      <w:divBdr>
        <w:top w:val="none" w:sz="0" w:space="0" w:color="auto"/>
        <w:left w:val="none" w:sz="0" w:space="0" w:color="auto"/>
        <w:bottom w:val="none" w:sz="0" w:space="0" w:color="auto"/>
        <w:right w:val="none" w:sz="0" w:space="0" w:color="auto"/>
      </w:divBdr>
    </w:div>
    <w:div w:id="1559246521">
      <w:bodyDiv w:val="1"/>
      <w:marLeft w:val="0"/>
      <w:marRight w:val="0"/>
      <w:marTop w:val="0"/>
      <w:marBottom w:val="0"/>
      <w:divBdr>
        <w:top w:val="none" w:sz="0" w:space="0" w:color="auto"/>
        <w:left w:val="none" w:sz="0" w:space="0" w:color="auto"/>
        <w:bottom w:val="none" w:sz="0" w:space="0" w:color="auto"/>
        <w:right w:val="none" w:sz="0" w:space="0" w:color="auto"/>
      </w:divBdr>
    </w:div>
    <w:div w:id="1572083994">
      <w:bodyDiv w:val="1"/>
      <w:marLeft w:val="0"/>
      <w:marRight w:val="0"/>
      <w:marTop w:val="0"/>
      <w:marBottom w:val="0"/>
      <w:divBdr>
        <w:top w:val="none" w:sz="0" w:space="0" w:color="auto"/>
        <w:left w:val="none" w:sz="0" w:space="0" w:color="auto"/>
        <w:bottom w:val="none" w:sz="0" w:space="0" w:color="auto"/>
        <w:right w:val="none" w:sz="0" w:space="0" w:color="auto"/>
      </w:divBdr>
    </w:div>
    <w:div w:id="1586458948">
      <w:bodyDiv w:val="1"/>
      <w:marLeft w:val="0"/>
      <w:marRight w:val="0"/>
      <w:marTop w:val="0"/>
      <w:marBottom w:val="0"/>
      <w:divBdr>
        <w:top w:val="none" w:sz="0" w:space="0" w:color="auto"/>
        <w:left w:val="none" w:sz="0" w:space="0" w:color="auto"/>
        <w:bottom w:val="none" w:sz="0" w:space="0" w:color="auto"/>
        <w:right w:val="none" w:sz="0" w:space="0" w:color="auto"/>
      </w:divBdr>
    </w:div>
    <w:div w:id="1586648644">
      <w:bodyDiv w:val="1"/>
      <w:marLeft w:val="0"/>
      <w:marRight w:val="0"/>
      <w:marTop w:val="0"/>
      <w:marBottom w:val="0"/>
      <w:divBdr>
        <w:top w:val="none" w:sz="0" w:space="0" w:color="auto"/>
        <w:left w:val="none" w:sz="0" w:space="0" w:color="auto"/>
        <w:bottom w:val="none" w:sz="0" w:space="0" w:color="auto"/>
        <w:right w:val="none" w:sz="0" w:space="0" w:color="auto"/>
      </w:divBdr>
    </w:div>
    <w:div w:id="1593734736">
      <w:bodyDiv w:val="1"/>
      <w:marLeft w:val="0"/>
      <w:marRight w:val="0"/>
      <w:marTop w:val="0"/>
      <w:marBottom w:val="0"/>
      <w:divBdr>
        <w:top w:val="none" w:sz="0" w:space="0" w:color="auto"/>
        <w:left w:val="none" w:sz="0" w:space="0" w:color="auto"/>
        <w:bottom w:val="none" w:sz="0" w:space="0" w:color="auto"/>
        <w:right w:val="none" w:sz="0" w:space="0" w:color="auto"/>
      </w:divBdr>
    </w:div>
    <w:div w:id="1594050815">
      <w:bodyDiv w:val="1"/>
      <w:marLeft w:val="0"/>
      <w:marRight w:val="0"/>
      <w:marTop w:val="0"/>
      <w:marBottom w:val="0"/>
      <w:divBdr>
        <w:top w:val="none" w:sz="0" w:space="0" w:color="auto"/>
        <w:left w:val="none" w:sz="0" w:space="0" w:color="auto"/>
        <w:bottom w:val="none" w:sz="0" w:space="0" w:color="auto"/>
        <w:right w:val="none" w:sz="0" w:space="0" w:color="auto"/>
      </w:divBdr>
    </w:div>
    <w:div w:id="1599829032">
      <w:bodyDiv w:val="1"/>
      <w:marLeft w:val="0"/>
      <w:marRight w:val="0"/>
      <w:marTop w:val="0"/>
      <w:marBottom w:val="0"/>
      <w:divBdr>
        <w:top w:val="none" w:sz="0" w:space="0" w:color="auto"/>
        <w:left w:val="none" w:sz="0" w:space="0" w:color="auto"/>
        <w:bottom w:val="none" w:sz="0" w:space="0" w:color="auto"/>
        <w:right w:val="none" w:sz="0" w:space="0" w:color="auto"/>
      </w:divBdr>
    </w:div>
    <w:div w:id="1609585999">
      <w:bodyDiv w:val="1"/>
      <w:marLeft w:val="0"/>
      <w:marRight w:val="0"/>
      <w:marTop w:val="0"/>
      <w:marBottom w:val="0"/>
      <w:divBdr>
        <w:top w:val="none" w:sz="0" w:space="0" w:color="auto"/>
        <w:left w:val="none" w:sz="0" w:space="0" w:color="auto"/>
        <w:bottom w:val="none" w:sz="0" w:space="0" w:color="auto"/>
        <w:right w:val="none" w:sz="0" w:space="0" w:color="auto"/>
      </w:divBdr>
    </w:div>
    <w:div w:id="1611663652">
      <w:bodyDiv w:val="1"/>
      <w:marLeft w:val="0"/>
      <w:marRight w:val="0"/>
      <w:marTop w:val="0"/>
      <w:marBottom w:val="0"/>
      <w:divBdr>
        <w:top w:val="none" w:sz="0" w:space="0" w:color="auto"/>
        <w:left w:val="none" w:sz="0" w:space="0" w:color="auto"/>
        <w:bottom w:val="none" w:sz="0" w:space="0" w:color="auto"/>
        <w:right w:val="none" w:sz="0" w:space="0" w:color="auto"/>
      </w:divBdr>
    </w:div>
    <w:div w:id="1656910041">
      <w:bodyDiv w:val="1"/>
      <w:marLeft w:val="0"/>
      <w:marRight w:val="0"/>
      <w:marTop w:val="0"/>
      <w:marBottom w:val="0"/>
      <w:divBdr>
        <w:top w:val="none" w:sz="0" w:space="0" w:color="auto"/>
        <w:left w:val="none" w:sz="0" w:space="0" w:color="auto"/>
        <w:bottom w:val="none" w:sz="0" w:space="0" w:color="auto"/>
        <w:right w:val="none" w:sz="0" w:space="0" w:color="auto"/>
      </w:divBdr>
    </w:div>
    <w:div w:id="1657300635">
      <w:bodyDiv w:val="1"/>
      <w:marLeft w:val="0"/>
      <w:marRight w:val="0"/>
      <w:marTop w:val="0"/>
      <w:marBottom w:val="0"/>
      <w:divBdr>
        <w:top w:val="none" w:sz="0" w:space="0" w:color="auto"/>
        <w:left w:val="none" w:sz="0" w:space="0" w:color="auto"/>
        <w:bottom w:val="none" w:sz="0" w:space="0" w:color="auto"/>
        <w:right w:val="none" w:sz="0" w:space="0" w:color="auto"/>
      </w:divBdr>
    </w:div>
    <w:div w:id="1695809592">
      <w:bodyDiv w:val="1"/>
      <w:marLeft w:val="0"/>
      <w:marRight w:val="0"/>
      <w:marTop w:val="0"/>
      <w:marBottom w:val="0"/>
      <w:divBdr>
        <w:top w:val="none" w:sz="0" w:space="0" w:color="auto"/>
        <w:left w:val="none" w:sz="0" w:space="0" w:color="auto"/>
        <w:bottom w:val="none" w:sz="0" w:space="0" w:color="auto"/>
        <w:right w:val="none" w:sz="0" w:space="0" w:color="auto"/>
      </w:divBdr>
    </w:div>
    <w:div w:id="1699429644">
      <w:bodyDiv w:val="1"/>
      <w:marLeft w:val="0"/>
      <w:marRight w:val="0"/>
      <w:marTop w:val="0"/>
      <w:marBottom w:val="0"/>
      <w:divBdr>
        <w:top w:val="none" w:sz="0" w:space="0" w:color="auto"/>
        <w:left w:val="none" w:sz="0" w:space="0" w:color="auto"/>
        <w:bottom w:val="none" w:sz="0" w:space="0" w:color="auto"/>
        <w:right w:val="none" w:sz="0" w:space="0" w:color="auto"/>
      </w:divBdr>
    </w:div>
    <w:div w:id="1707173959">
      <w:bodyDiv w:val="1"/>
      <w:marLeft w:val="0"/>
      <w:marRight w:val="0"/>
      <w:marTop w:val="0"/>
      <w:marBottom w:val="0"/>
      <w:divBdr>
        <w:top w:val="none" w:sz="0" w:space="0" w:color="auto"/>
        <w:left w:val="none" w:sz="0" w:space="0" w:color="auto"/>
        <w:bottom w:val="none" w:sz="0" w:space="0" w:color="auto"/>
        <w:right w:val="none" w:sz="0" w:space="0" w:color="auto"/>
      </w:divBdr>
    </w:div>
    <w:div w:id="1708335229">
      <w:bodyDiv w:val="1"/>
      <w:marLeft w:val="0"/>
      <w:marRight w:val="0"/>
      <w:marTop w:val="0"/>
      <w:marBottom w:val="0"/>
      <w:divBdr>
        <w:top w:val="none" w:sz="0" w:space="0" w:color="auto"/>
        <w:left w:val="none" w:sz="0" w:space="0" w:color="auto"/>
        <w:bottom w:val="none" w:sz="0" w:space="0" w:color="auto"/>
        <w:right w:val="none" w:sz="0" w:space="0" w:color="auto"/>
      </w:divBdr>
    </w:div>
    <w:div w:id="1727952817">
      <w:bodyDiv w:val="1"/>
      <w:marLeft w:val="0"/>
      <w:marRight w:val="0"/>
      <w:marTop w:val="0"/>
      <w:marBottom w:val="0"/>
      <w:divBdr>
        <w:top w:val="none" w:sz="0" w:space="0" w:color="auto"/>
        <w:left w:val="none" w:sz="0" w:space="0" w:color="auto"/>
        <w:bottom w:val="none" w:sz="0" w:space="0" w:color="auto"/>
        <w:right w:val="none" w:sz="0" w:space="0" w:color="auto"/>
      </w:divBdr>
    </w:div>
    <w:div w:id="1737320880">
      <w:bodyDiv w:val="1"/>
      <w:marLeft w:val="0"/>
      <w:marRight w:val="0"/>
      <w:marTop w:val="0"/>
      <w:marBottom w:val="0"/>
      <w:divBdr>
        <w:top w:val="none" w:sz="0" w:space="0" w:color="auto"/>
        <w:left w:val="none" w:sz="0" w:space="0" w:color="auto"/>
        <w:bottom w:val="none" w:sz="0" w:space="0" w:color="auto"/>
        <w:right w:val="none" w:sz="0" w:space="0" w:color="auto"/>
      </w:divBdr>
    </w:div>
    <w:div w:id="1738238718">
      <w:bodyDiv w:val="1"/>
      <w:marLeft w:val="0"/>
      <w:marRight w:val="0"/>
      <w:marTop w:val="0"/>
      <w:marBottom w:val="0"/>
      <w:divBdr>
        <w:top w:val="none" w:sz="0" w:space="0" w:color="auto"/>
        <w:left w:val="none" w:sz="0" w:space="0" w:color="auto"/>
        <w:bottom w:val="none" w:sz="0" w:space="0" w:color="auto"/>
        <w:right w:val="none" w:sz="0" w:space="0" w:color="auto"/>
      </w:divBdr>
    </w:div>
    <w:div w:id="1746493336">
      <w:bodyDiv w:val="1"/>
      <w:marLeft w:val="0"/>
      <w:marRight w:val="0"/>
      <w:marTop w:val="0"/>
      <w:marBottom w:val="0"/>
      <w:divBdr>
        <w:top w:val="none" w:sz="0" w:space="0" w:color="auto"/>
        <w:left w:val="none" w:sz="0" w:space="0" w:color="auto"/>
        <w:bottom w:val="none" w:sz="0" w:space="0" w:color="auto"/>
        <w:right w:val="none" w:sz="0" w:space="0" w:color="auto"/>
      </w:divBdr>
    </w:div>
    <w:div w:id="1769886999">
      <w:bodyDiv w:val="1"/>
      <w:marLeft w:val="0"/>
      <w:marRight w:val="0"/>
      <w:marTop w:val="0"/>
      <w:marBottom w:val="0"/>
      <w:divBdr>
        <w:top w:val="none" w:sz="0" w:space="0" w:color="auto"/>
        <w:left w:val="none" w:sz="0" w:space="0" w:color="auto"/>
        <w:bottom w:val="none" w:sz="0" w:space="0" w:color="auto"/>
        <w:right w:val="none" w:sz="0" w:space="0" w:color="auto"/>
      </w:divBdr>
    </w:div>
    <w:div w:id="1777017183">
      <w:bodyDiv w:val="1"/>
      <w:marLeft w:val="0"/>
      <w:marRight w:val="0"/>
      <w:marTop w:val="0"/>
      <w:marBottom w:val="0"/>
      <w:divBdr>
        <w:top w:val="none" w:sz="0" w:space="0" w:color="auto"/>
        <w:left w:val="none" w:sz="0" w:space="0" w:color="auto"/>
        <w:bottom w:val="none" w:sz="0" w:space="0" w:color="auto"/>
        <w:right w:val="none" w:sz="0" w:space="0" w:color="auto"/>
      </w:divBdr>
    </w:div>
    <w:div w:id="1783647679">
      <w:bodyDiv w:val="1"/>
      <w:marLeft w:val="0"/>
      <w:marRight w:val="0"/>
      <w:marTop w:val="0"/>
      <w:marBottom w:val="0"/>
      <w:divBdr>
        <w:top w:val="none" w:sz="0" w:space="0" w:color="auto"/>
        <w:left w:val="none" w:sz="0" w:space="0" w:color="auto"/>
        <w:bottom w:val="none" w:sz="0" w:space="0" w:color="auto"/>
        <w:right w:val="none" w:sz="0" w:space="0" w:color="auto"/>
      </w:divBdr>
    </w:div>
    <w:div w:id="1824659471">
      <w:bodyDiv w:val="1"/>
      <w:marLeft w:val="0"/>
      <w:marRight w:val="0"/>
      <w:marTop w:val="0"/>
      <w:marBottom w:val="0"/>
      <w:divBdr>
        <w:top w:val="none" w:sz="0" w:space="0" w:color="auto"/>
        <w:left w:val="none" w:sz="0" w:space="0" w:color="auto"/>
        <w:bottom w:val="none" w:sz="0" w:space="0" w:color="auto"/>
        <w:right w:val="none" w:sz="0" w:space="0" w:color="auto"/>
      </w:divBdr>
    </w:div>
    <w:div w:id="1829246563">
      <w:bodyDiv w:val="1"/>
      <w:marLeft w:val="0"/>
      <w:marRight w:val="0"/>
      <w:marTop w:val="0"/>
      <w:marBottom w:val="0"/>
      <w:divBdr>
        <w:top w:val="none" w:sz="0" w:space="0" w:color="auto"/>
        <w:left w:val="none" w:sz="0" w:space="0" w:color="auto"/>
        <w:bottom w:val="none" w:sz="0" w:space="0" w:color="auto"/>
        <w:right w:val="none" w:sz="0" w:space="0" w:color="auto"/>
      </w:divBdr>
    </w:div>
    <w:div w:id="1859004929">
      <w:bodyDiv w:val="1"/>
      <w:marLeft w:val="0"/>
      <w:marRight w:val="0"/>
      <w:marTop w:val="0"/>
      <w:marBottom w:val="0"/>
      <w:divBdr>
        <w:top w:val="none" w:sz="0" w:space="0" w:color="auto"/>
        <w:left w:val="none" w:sz="0" w:space="0" w:color="auto"/>
        <w:bottom w:val="none" w:sz="0" w:space="0" w:color="auto"/>
        <w:right w:val="none" w:sz="0" w:space="0" w:color="auto"/>
      </w:divBdr>
    </w:div>
    <w:div w:id="1867282249">
      <w:bodyDiv w:val="1"/>
      <w:marLeft w:val="0"/>
      <w:marRight w:val="0"/>
      <w:marTop w:val="0"/>
      <w:marBottom w:val="0"/>
      <w:divBdr>
        <w:top w:val="none" w:sz="0" w:space="0" w:color="auto"/>
        <w:left w:val="none" w:sz="0" w:space="0" w:color="auto"/>
        <w:bottom w:val="none" w:sz="0" w:space="0" w:color="auto"/>
        <w:right w:val="none" w:sz="0" w:space="0" w:color="auto"/>
      </w:divBdr>
    </w:div>
    <w:div w:id="1888566352">
      <w:bodyDiv w:val="1"/>
      <w:marLeft w:val="0"/>
      <w:marRight w:val="0"/>
      <w:marTop w:val="0"/>
      <w:marBottom w:val="0"/>
      <w:divBdr>
        <w:top w:val="none" w:sz="0" w:space="0" w:color="auto"/>
        <w:left w:val="none" w:sz="0" w:space="0" w:color="auto"/>
        <w:bottom w:val="none" w:sz="0" w:space="0" w:color="auto"/>
        <w:right w:val="none" w:sz="0" w:space="0" w:color="auto"/>
      </w:divBdr>
    </w:div>
    <w:div w:id="1891069279">
      <w:bodyDiv w:val="1"/>
      <w:marLeft w:val="0"/>
      <w:marRight w:val="0"/>
      <w:marTop w:val="0"/>
      <w:marBottom w:val="0"/>
      <w:divBdr>
        <w:top w:val="none" w:sz="0" w:space="0" w:color="auto"/>
        <w:left w:val="none" w:sz="0" w:space="0" w:color="auto"/>
        <w:bottom w:val="none" w:sz="0" w:space="0" w:color="auto"/>
        <w:right w:val="none" w:sz="0" w:space="0" w:color="auto"/>
      </w:divBdr>
    </w:div>
    <w:div w:id="1902136069">
      <w:bodyDiv w:val="1"/>
      <w:marLeft w:val="0"/>
      <w:marRight w:val="0"/>
      <w:marTop w:val="0"/>
      <w:marBottom w:val="0"/>
      <w:divBdr>
        <w:top w:val="none" w:sz="0" w:space="0" w:color="auto"/>
        <w:left w:val="none" w:sz="0" w:space="0" w:color="auto"/>
        <w:bottom w:val="none" w:sz="0" w:space="0" w:color="auto"/>
        <w:right w:val="none" w:sz="0" w:space="0" w:color="auto"/>
      </w:divBdr>
    </w:div>
    <w:div w:id="1902597845">
      <w:bodyDiv w:val="1"/>
      <w:marLeft w:val="0"/>
      <w:marRight w:val="0"/>
      <w:marTop w:val="0"/>
      <w:marBottom w:val="0"/>
      <w:divBdr>
        <w:top w:val="none" w:sz="0" w:space="0" w:color="auto"/>
        <w:left w:val="none" w:sz="0" w:space="0" w:color="auto"/>
        <w:bottom w:val="none" w:sz="0" w:space="0" w:color="auto"/>
        <w:right w:val="none" w:sz="0" w:space="0" w:color="auto"/>
      </w:divBdr>
    </w:div>
    <w:div w:id="1921527296">
      <w:bodyDiv w:val="1"/>
      <w:marLeft w:val="0"/>
      <w:marRight w:val="0"/>
      <w:marTop w:val="0"/>
      <w:marBottom w:val="0"/>
      <w:divBdr>
        <w:top w:val="none" w:sz="0" w:space="0" w:color="auto"/>
        <w:left w:val="none" w:sz="0" w:space="0" w:color="auto"/>
        <w:bottom w:val="none" w:sz="0" w:space="0" w:color="auto"/>
        <w:right w:val="none" w:sz="0" w:space="0" w:color="auto"/>
      </w:divBdr>
    </w:div>
    <w:div w:id="1945646653">
      <w:bodyDiv w:val="1"/>
      <w:marLeft w:val="0"/>
      <w:marRight w:val="0"/>
      <w:marTop w:val="0"/>
      <w:marBottom w:val="0"/>
      <w:divBdr>
        <w:top w:val="none" w:sz="0" w:space="0" w:color="auto"/>
        <w:left w:val="none" w:sz="0" w:space="0" w:color="auto"/>
        <w:bottom w:val="none" w:sz="0" w:space="0" w:color="auto"/>
        <w:right w:val="none" w:sz="0" w:space="0" w:color="auto"/>
      </w:divBdr>
    </w:div>
    <w:div w:id="1949002225">
      <w:bodyDiv w:val="1"/>
      <w:marLeft w:val="0"/>
      <w:marRight w:val="0"/>
      <w:marTop w:val="0"/>
      <w:marBottom w:val="0"/>
      <w:divBdr>
        <w:top w:val="none" w:sz="0" w:space="0" w:color="auto"/>
        <w:left w:val="none" w:sz="0" w:space="0" w:color="auto"/>
        <w:bottom w:val="none" w:sz="0" w:space="0" w:color="auto"/>
        <w:right w:val="none" w:sz="0" w:space="0" w:color="auto"/>
      </w:divBdr>
    </w:div>
    <w:div w:id="2030792319">
      <w:bodyDiv w:val="1"/>
      <w:marLeft w:val="0"/>
      <w:marRight w:val="0"/>
      <w:marTop w:val="0"/>
      <w:marBottom w:val="0"/>
      <w:divBdr>
        <w:top w:val="none" w:sz="0" w:space="0" w:color="auto"/>
        <w:left w:val="none" w:sz="0" w:space="0" w:color="auto"/>
        <w:bottom w:val="none" w:sz="0" w:space="0" w:color="auto"/>
        <w:right w:val="none" w:sz="0" w:space="0" w:color="auto"/>
      </w:divBdr>
    </w:div>
    <w:div w:id="2032367995">
      <w:bodyDiv w:val="1"/>
      <w:marLeft w:val="0"/>
      <w:marRight w:val="0"/>
      <w:marTop w:val="0"/>
      <w:marBottom w:val="0"/>
      <w:divBdr>
        <w:top w:val="none" w:sz="0" w:space="0" w:color="auto"/>
        <w:left w:val="none" w:sz="0" w:space="0" w:color="auto"/>
        <w:bottom w:val="none" w:sz="0" w:space="0" w:color="auto"/>
        <w:right w:val="none" w:sz="0" w:space="0" w:color="auto"/>
      </w:divBdr>
    </w:div>
    <w:div w:id="2038849671">
      <w:bodyDiv w:val="1"/>
      <w:marLeft w:val="0"/>
      <w:marRight w:val="0"/>
      <w:marTop w:val="0"/>
      <w:marBottom w:val="0"/>
      <w:divBdr>
        <w:top w:val="none" w:sz="0" w:space="0" w:color="auto"/>
        <w:left w:val="none" w:sz="0" w:space="0" w:color="auto"/>
        <w:bottom w:val="none" w:sz="0" w:space="0" w:color="auto"/>
        <w:right w:val="none" w:sz="0" w:space="0" w:color="auto"/>
      </w:divBdr>
    </w:div>
    <w:div w:id="2045059869">
      <w:bodyDiv w:val="1"/>
      <w:marLeft w:val="0"/>
      <w:marRight w:val="0"/>
      <w:marTop w:val="0"/>
      <w:marBottom w:val="0"/>
      <w:divBdr>
        <w:top w:val="none" w:sz="0" w:space="0" w:color="auto"/>
        <w:left w:val="none" w:sz="0" w:space="0" w:color="auto"/>
        <w:bottom w:val="none" w:sz="0" w:space="0" w:color="auto"/>
        <w:right w:val="none" w:sz="0" w:space="0" w:color="auto"/>
      </w:divBdr>
    </w:div>
    <w:div w:id="2063551575">
      <w:bodyDiv w:val="1"/>
      <w:marLeft w:val="0"/>
      <w:marRight w:val="0"/>
      <w:marTop w:val="0"/>
      <w:marBottom w:val="0"/>
      <w:divBdr>
        <w:top w:val="none" w:sz="0" w:space="0" w:color="auto"/>
        <w:left w:val="none" w:sz="0" w:space="0" w:color="auto"/>
        <w:bottom w:val="none" w:sz="0" w:space="0" w:color="auto"/>
        <w:right w:val="none" w:sz="0" w:space="0" w:color="auto"/>
      </w:divBdr>
    </w:div>
    <w:div w:id="2067102070">
      <w:bodyDiv w:val="1"/>
      <w:marLeft w:val="0"/>
      <w:marRight w:val="0"/>
      <w:marTop w:val="0"/>
      <w:marBottom w:val="0"/>
      <w:divBdr>
        <w:top w:val="none" w:sz="0" w:space="0" w:color="auto"/>
        <w:left w:val="none" w:sz="0" w:space="0" w:color="auto"/>
        <w:bottom w:val="none" w:sz="0" w:space="0" w:color="auto"/>
        <w:right w:val="none" w:sz="0" w:space="0" w:color="auto"/>
      </w:divBdr>
    </w:div>
    <w:div w:id="2092852875">
      <w:bodyDiv w:val="1"/>
      <w:marLeft w:val="0"/>
      <w:marRight w:val="0"/>
      <w:marTop w:val="0"/>
      <w:marBottom w:val="0"/>
      <w:divBdr>
        <w:top w:val="none" w:sz="0" w:space="0" w:color="auto"/>
        <w:left w:val="none" w:sz="0" w:space="0" w:color="auto"/>
        <w:bottom w:val="none" w:sz="0" w:space="0" w:color="auto"/>
        <w:right w:val="none" w:sz="0" w:space="0" w:color="auto"/>
      </w:divBdr>
    </w:div>
    <w:div w:id="2094475282">
      <w:bodyDiv w:val="1"/>
      <w:marLeft w:val="0"/>
      <w:marRight w:val="0"/>
      <w:marTop w:val="0"/>
      <w:marBottom w:val="0"/>
      <w:divBdr>
        <w:top w:val="none" w:sz="0" w:space="0" w:color="auto"/>
        <w:left w:val="none" w:sz="0" w:space="0" w:color="auto"/>
        <w:bottom w:val="none" w:sz="0" w:space="0" w:color="auto"/>
        <w:right w:val="none" w:sz="0" w:space="0" w:color="auto"/>
      </w:divBdr>
      <w:divsChild>
        <w:div w:id="166678597">
          <w:marLeft w:val="0"/>
          <w:marRight w:val="0"/>
          <w:marTop w:val="0"/>
          <w:marBottom w:val="240"/>
          <w:divBdr>
            <w:top w:val="none" w:sz="0" w:space="0" w:color="auto"/>
            <w:left w:val="none" w:sz="0" w:space="0" w:color="auto"/>
            <w:bottom w:val="none" w:sz="0" w:space="0" w:color="auto"/>
            <w:right w:val="none" w:sz="0" w:space="0" w:color="auto"/>
          </w:divBdr>
          <w:divsChild>
            <w:div w:id="964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FD8A4-6E6C-49D1-A03C-46A86FE2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7731</Words>
  <Characters>42522</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50153</CharactersWithSpaces>
  <SharedDoc>false</SharedDoc>
  <HLinks>
    <vt:vector size="132" baseType="variant">
      <vt:variant>
        <vt:i4>1769526</vt:i4>
      </vt:variant>
      <vt:variant>
        <vt:i4>128</vt:i4>
      </vt:variant>
      <vt:variant>
        <vt:i4>0</vt:i4>
      </vt:variant>
      <vt:variant>
        <vt:i4>5</vt:i4>
      </vt:variant>
      <vt:variant>
        <vt:lpwstr/>
      </vt:variant>
      <vt:variant>
        <vt:lpwstr>_Toc395686859</vt:lpwstr>
      </vt:variant>
      <vt:variant>
        <vt:i4>1769526</vt:i4>
      </vt:variant>
      <vt:variant>
        <vt:i4>122</vt:i4>
      </vt:variant>
      <vt:variant>
        <vt:i4>0</vt:i4>
      </vt:variant>
      <vt:variant>
        <vt:i4>5</vt:i4>
      </vt:variant>
      <vt:variant>
        <vt:lpwstr/>
      </vt:variant>
      <vt:variant>
        <vt:lpwstr>_Toc395686858</vt:lpwstr>
      </vt:variant>
      <vt:variant>
        <vt:i4>1769526</vt:i4>
      </vt:variant>
      <vt:variant>
        <vt:i4>116</vt:i4>
      </vt:variant>
      <vt:variant>
        <vt:i4>0</vt:i4>
      </vt:variant>
      <vt:variant>
        <vt:i4>5</vt:i4>
      </vt:variant>
      <vt:variant>
        <vt:lpwstr/>
      </vt:variant>
      <vt:variant>
        <vt:lpwstr>_Toc395686857</vt:lpwstr>
      </vt:variant>
      <vt:variant>
        <vt:i4>1769526</vt:i4>
      </vt:variant>
      <vt:variant>
        <vt:i4>110</vt:i4>
      </vt:variant>
      <vt:variant>
        <vt:i4>0</vt:i4>
      </vt:variant>
      <vt:variant>
        <vt:i4>5</vt:i4>
      </vt:variant>
      <vt:variant>
        <vt:lpwstr/>
      </vt:variant>
      <vt:variant>
        <vt:lpwstr>_Toc395686856</vt:lpwstr>
      </vt:variant>
      <vt:variant>
        <vt:i4>1769526</vt:i4>
      </vt:variant>
      <vt:variant>
        <vt:i4>104</vt:i4>
      </vt:variant>
      <vt:variant>
        <vt:i4>0</vt:i4>
      </vt:variant>
      <vt:variant>
        <vt:i4>5</vt:i4>
      </vt:variant>
      <vt:variant>
        <vt:lpwstr/>
      </vt:variant>
      <vt:variant>
        <vt:lpwstr>_Toc395686855</vt:lpwstr>
      </vt:variant>
      <vt:variant>
        <vt:i4>1769526</vt:i4>
      </vt:variant>
      <vt:variant>
        <vt:i4>98</vt:i4>
      </vt:variant>
      <vt:variant>
        <vt:i4>0</vt:i4>
      </vt:variant>
      <vt:variant>
        <vt:i4>5</vt:i4>
      </vt:variant>
      <vt:variant>
        <vt:lpwstr/>
      </vt:variant>
      <vt:variant>
        <vt:lpwstr>_Toc395686854</vt:lpwstr>
      </vt:variant>
      <vt:variant>
        <vt:i4>1769526</vt:i4>
      </vt:variant>
      <vt:variant>
        <vt:i4>92</vt:i4>
      </vt:variant>
      <vt:variant>
        <vt:i4>0</vt:i4>
      </vt:variant>
      <vt:variant>
        <vt:i4>5</vt:i4>
      </vt:variant>
      <vt:variant>
        <vt:lpwstr/>
      </vt:variant>
      <vt:variant>
        <vt:lpwstr>_Toc395686853</vt:lpwstr>
      </vt:variant>
      <vt:variant>
        <vt:i4>1769526</vt:i4>
      </vt:variant>
      <vt:variant>
        <vt:i4>86</vt:i4>
      </vt:variant>
      <vt:variant>
        <vt:i4>0</vt:i4>
      </vt:variant>
      <vt:variant>
        <vt:i4>5</vt:i4>
      </vt:variant>
      <vt:variant>
        <vt:lpwstr/>
      </vt:variant>
      <vt:variant>
        <vt:lpwstr>_Toc395686852</vt:lpwstr>
      </vt:variant>
      <vt:variant>
        <vt:i4>1769526</vt:i4>
      </vt:variant>
      <vt:variant>
        <vt:i4>80</vt:i4>
      </vt:variant>
      <vt:variant>
        <vt:i4>0</vt:i4>
      </vt:variant>
      <vt:variant>
        <vt:i4>5</vt:i4>
      </vt:variant>
      <vt:variant>
        <vt:lpwstr/>
      </vt:variant>
      <vt:variant>
        <vt:lpwstr>_Toc395686851</vt:lpwstr>
      </vt:variant>
      <vt:variant>
        <vt:i4>1769526</vt:i4>
      </vt:variant>
      <vt:variant>
        <vt:i4>74</vt:i4>
      </vt:variant>
      <vt:variant>
        <vt:i4>0</vt:i4>
      </vt:variant>
      <vt:variant>
        <vt:i4>5</vt:i4>
      </vt:variant>
      <vt:variant>
        <vt:lpwstr/>
      </vt:variant>
      <vt:variant>
        <vt:lpwstr>_Toc395686850</vt:lpwstr>
      </vt:variant>
      <vt:variant>
        <vt:i4>1703990</vt:i4>
      </vt:variant>
      <vt:variant>
        <vt:i4>68</vt:i4>
      </vt:variant>
      <vt:variant>
        <vt:i4>0</vt:i4>
      </vt:variant>
      <vt:variant>
        <vt:i4>5</vt:i4>
      </vt:variant>
      <vt:variant>
        <vt:lpwstr/>
      </vt:variant>
      <vt:variant>
        <vt:lpwstr>_Toc395686849</vt:lpwstr>
      </vt:variant>
      <vt:variant>
        <vt:i4>1703990</vt:i4>
      </vt:variant>
      <vt:variant>
        <vt:i4>62</vt:i4>
      </vt:variant>
      <vt:variant>
        <vt:i4>0</vt:i4>
      </vt:variant>
      <vt:variant>
        <vt:i4>5</vt:i4>
      </vt:variant>
      <vt:variant>
        <vt:lpwstr/>
      </vt:variant>
      <vt:variant>
        <vt:lpwstr>_Toc395686848</vt:lpwstr>
      </vt:variant>
      <vt:variant>
        <vt:i4>1703990</vt:i4>
      </vt:variant>
      <vt:variant>
        <vt:i4>56</vt:i4>
      </vt:variant>
      <vt:variant>
        <vt:i4>0</vt:i4>
      </vt:variant>
      <vt:variant>
        <vt:i4>5</vt:i4>
      </vt:variant>
      <vt:variant>
        <vt:lpwstr/>
      </vt:variant>
      <vt:variant>
        <vt:lpwstr>_Toc395686847</vt:lpwstr>
      </vt:variant>
      <vt:variant>
        <vt:i4>1703990</vt:i4>
      </vt:variant>
      <vt:variant>
        <vt:i4>50</vt:i4>
      </vt:variant>
      <vt:variant>
        <vt:i4>0</vt:i4>
      </vt:variant>
      <vt:variant>
        <vt:i4>5</vt:i4>
      </vt:variant>
      <vt:variant>
        <vt:lpwstr/>
      </vt:variant>
      <vt:variant>
        <vt:lpwstr>_Toc395686846</vt:lpwstr>
      </vt:variant>
      <vt:variant>
        <vt:i4>1703990</vt:i4>
      </vt:variant>
      <vt:variant>
        <vt:i4>44</vt:i4>
      </vt:variant>
      <vt:variant>
        <vt:i4>0</vt:i4>
      </vt:variant>
      <vt:variant>
        <vt:i4>5</vt:i4>
      </vt:variant>
      <vt:variant>
        <vt:lpwstr/>
      </vt:variant>
      <vt:variant>
        <vt:lpwstr>_Toc395686845</vt:lpwstr>
      </vt:variant>
      <vt:variant>
        <vt:i4>1703990</vt:i4>
      </vt:variant>
      <vt:variant>
        <vt:i4>38</vt:i4>
      </vt:variant>
      <vt:variant>
        <vt:i4>0</vt:i4>
      </vt:variant>
      <vt:variant>
        <vt:i4>5</vt:i4>
      </vt:variant>
      <vt:variant>
        <vt:lpwstr/>
      </vt:variant>
      <vt:variant>
        <vt:lpwstr>_Toc395686844</vt:lpwstr>
      </vt:variant>
      <vt:variant>
        <vt:i4>1703990</vt:i4>
      </vt:variant>
      <vt:variant>
        <vt:i4>32</vt:i4>
      </vt:variant>
      <vt:variant>
        <vt:i4>0</vt:i4>
      </vt:variant>
      <vt:variant>
        <vt:i4>5</vt:i4>
      </vt:variant>
      <vt:variant>
        <vt:lpwstr/>
      </vt:variant>
      <vt:variant>
        <vt:lpwstr>_Toc395686843</vt:lpwstr>
      </vt:variant>
      <vt:variant>
        <vt:i4>1703990</vt:i4>
      </vt:variant>
      <vt:variant>
        <vt:i4>26</vt:i4>
      </vt:variant>
      <vt:variant>
        <vt:i4>0</vt:i4>
      </vt:variant>
      <vt:variant>
        <vt:i4>5</vt:i4>
      </vt:variant>
      <vt:variant>
        <vt:lpwstr/>
      </vt:variant>
      <vt:variant>
        <vt:lpwstr>_Toc395686842</vt:lpwstr>
      </vt:variant>
      <vt:variant>
        <vt:i4>1703990</vt:i4>
      </vt:variant>
      <vt:variant>
        <vt:i4>20</vt:i4>
      </vt:variant>
      <vt:variant>
        <vt:i4>0</vt:i4>
      </vt:variant>
      <vt:variant>
        <vt:i4>5</vt:i4>
      </vt:variant>
      <vt:variant>
        <vt:lpwstr/>
      </vt:variant>
      <vt:variant>
        <vt:lpwstr>_Toc395686841</vt:lpwstr>
      </vt:variant>
      <vt:variant>
        <vt:i4>1703990</vt:i4>
      </vt:variant>
      <vt:variant>
        <vt:i4>14</vt:i4>
      </vt:variant>
      <vt:variant>
        <vt:i4>0</vt:i4>
      </vt:variant>
      <vt:variant>
        <vt:i4>5</vt:i4>
      </vt:variant>
      <vt:variant>
        <vt:lpwstr/>
      </vt:variant>
      <vt:variant>
        <vt:lpwstr>_Toc395686840</vt:lpwstr>
      </vt:variant>
      <vt:variant>
        <vt:i4>1900598</vt:i4>
      </vt:variant>
      <vt:variant>
        <vt:i4>8</vt:i4>
      </vt:variant>
      <vt:variant>
        <vt:i4>0</vt:i4>
      </vt:variant>
      <vt:variant>
        <vt:i4>5</vt:i4>
      </vt:variant>
      <vt:variant>
        <vt:lpwstr/>
      </vt:variant>
      <vt:variant>
        <vt:lpwstr>_Toc395686839</vt:lpwstr>
      </vt:variant>
      <vt:variant>
        <vt:i4>1900598</vt:i4>
      </vt:variant>
      <vt:variant>
        <vt:i4>2</vt:i4>
      </vt:variant>
      <vt:variant>
        <vt:i4>0</vt:i4>
      </vt:variant>
      <vt:variant>
        <vt:i4>5</vt:i4>
      </vt:variant>
      <vt:variant>
        <vt:lpwstr/>
      </vt:variant>
      <vt:variant>
        <vt:lpwstr>_Toc395686838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D801319</dc:creator>
  <cp:lastModifiedBy>De Santiago, Iñaki</cp:lastModifiedBy>
  <cp:revision>2</cp:revision>
  <cp:lastPrinted>2016-08-01T08:32:00Z</cp:lastPrinted>
  <dcterms:created xsi:type="dcterms:W3CDTF">2016-09-06T10:50:00Z</dcterms:created>
  <dcterms:modified xsi:type="dcterms:W3CDTF">2016-09-06T10:50:00Z</dcterms:modified>
</cp:coreProperties>
</file>