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A32" w:rsidRPr="00873B7F" w:rsidRDefault="00CB70CD" w:rsidP="00207D58">
      <w:pPr>
        <w:pStyle w:val="EstiloPortada"/>
        <w:ind w:left="3840" w:right="-58"/>
        <w:rPr>
          <w:b w:val="0"/>
          <w:color w:val="BFBFBF" w:themeColor="background1" w:themeShade="BF"/>
        </w:rPr>
      </w:pPr>
      <w:r w:rsidRPr="00873B7F">
        <w:rPr>
          <w:b w:val="0"/>
          <w:noProof/>
          <w:color w:val="A6A6A6" w:themeColor="background1" w:themeShade="A6"/>
          <w:lang w:val="es-ES" w:eastAsia="es-ES"/>
        </w:rPr>
        <mc:AlternateContent>
          <mc:Choice Requires="wps">
            <w:drawing>
              <wp:anchor distT="0" distB="0" distL="114300" distR="114300" simplePos="0" relativeHeight="251657728" behindDoc="0" locked="0" layoutInCell="1" allowOverlap="1" wp14:anchorId="115362F7" wp14:editId="47085600">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7E1C86" w:rsidRPr="002C7026" w:rsidRDefault="007E1C86" w:rsidP="002C7026">
                            <w:pPr>
                              <w:spacing w:after="0"/>
                              <w:ind w:firstLine="0"/>
                              <w:jc w:val="center"/>
                              <w:rPr>
                                <w:rFonts w:ascii="Trajan" w:hAnsi="Trajan"/>
                                <w:sz w:val="18"/>
                                <w:szCs w:val="18"/>
                                <w:lang w:val="es-ES"/>
                              </w:rPr>
                            </w:pPr>
                            <w:r w:rsidRPr="002C7026">
                              <w:rPr>
                                <w:rFonts w:ascii="Trajan" w:hAnsi="Trajan"/>
                                <w:sz w:val="18"/>
                                <w:szCs w:val="18"/>
                                <w:lang w:val="es-ES"/>
                              </w:rPr>
                              <w:t>Cámara de</w:t>
                            </w:r>
                          </w:p>
                          <w:p w:rsidR="007E1C86" w:rsidRPr="002C7026" w:rsidRDefault="007E1C86"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7E1C86" w:rsidRPr="002C7026" w:rsidRDefault="007E1C86"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7E1C86" w:rsidRPr="002C7026" w:rsidRDefault="007E1C86" w:rsidP="002C7026">
                            <w:pPr>
                              <w:spacing w:after="0"/>
                              <w:ind w:firstLine="0"/>
                              <w:jc w:val="center"/>
                              <w:rPr>
                                <w:rFonts w:ascii="Trajan" w:hAnsi="Trajan"/>
                                <w:color w:val="808080"/>
                                <w:sz w:val="18"/>
                                <w:szCs w:val="18"/>
                                <w:lang w:val="es-ES"/>
                              </w:rPr>
                            </w:pPr>
                            <w:r w:rsidRPr="002C7026">
                              <w:rPr>
                                <w:rFonts w:ascii="Trajan" w:hAnsi="Trajan"/>
                                <w:color w:val="808080"/>
                                <w:sz w:val="18"/>
                                <w:szCs w:val="18"/>
                                <w:lang w:val="es-ES"/>
                              </w:rPr>
                              <w:t>Nafarroako</w:t>
                            </w:r>
                          </w:p>
                          <w:p w:rsidR="007E1C86" w:rsidRPr="002C7026" w:rsidRDefault="007E1C86" w:rsidP="002C7026">
                            <w:pPr>
                              <w:spacing w:after="0"/>
                              <w:ind w:firstLine="0"/>
                              <w:jc w:val="center"/>
                              <w:rPr>
                                <w:rFonts w:ascii="Trajan" w:hAnsi="Trajan"/>
                                <w:color w:val="808080"/>
                                <w:sz w:val="18"/>
                                <w:szCs w:val="18"/>
                                <w:lang w:val="es-ES"/>
                              </w:rPr>
                            </w:pPr>
                            <w:r>
                              <w:rPr>
                                <w:rFonts w:ascii="Trajan" w:hAnsi="Trajan"/>
                                <w:color w:val="808080"/>
                                <w:sz w:val="18"/>
                                <w:szCs w:val="18"/>
                                <w:lang w:val="es-ES"/>
                              </w:rPr>
                              <w:t>kontuen</w:t>
                            </w:r>
                          </w:p>
                          <w:p w:rsidR="007E1C86" w:rsidRPr="002C7026" w:rsidRDefault="007E1C86" w:rsidP="002C7026">
                            <w:pPr>
                              <w:spacing w:after="0"/>
                              <w:ind w:firstLine="0"/>
                              <w:jc w:val="center"/>
                              <w:rPr>
                                <w:rFonts w:ascii="Trajan" w:hAnsi="Trajan"/>
                                <w:color w:val="808080"/>
                                <w:sz w:val="18"/>
                                <w:szCs w:val="18"/>
                                <w:lang w:val="es-ES"/>
                              </w:rPr>
                            </w:pPr>
                            <w:r w:rsidRPr="002C7026">
                              <w:rPr>
                                <w:rFonts w:ascii="Trajan" w:hAnsi="Trajan"/>
                                <w:color w:val="808080"/>
                                <w:sz w:val="18"/>
                                <w:szCs w:val="18"/>
                                <w:lang w:val="es-ES"/>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11458F" w:rsidRPr="002C7026" w:rsidRDefault="0011458F" w:rsidP="002C7026">
                      <w:pPr>
                        <w:spacing w:after="0"/>
                        <w:ind w:firstLine="0"/>
                        <w:jc w:val="center"/>
                        <w:rPr>
                          <w:rFonts w:ascii="Trajan" w:hAnsi="Trajan"/>
                          <w:sz w:val="18"/>
                          <w:szCs w:val="18"/>
                          <w:lang w:val="es-ES"/>
                        </w:rPr>
                      </w:pPr>
                      <w:r w:rsidRPr="002C7026">
                        <w:rPr>
                          <w:rFonts w:ascii="Trajan" w:hAnsi="Trajan"/>
                          <w:sz w:val="18"/>
                          <w:szCs w:val="18"/>
                          <w:lang w:val="es-ES"/>
                        </w:rPr>
                        <w:t>Cámara de</w:t>
                      </w:r>
                    </w:p>
                    <w:p w:rsidR="0011458F" w:rsidRPr="002C7026" w:rsidRDefault="0011458F"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11458F" w:rsidRPr="002C7026" w:rsidRDefault="0011458F"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11458F" w:rsidRPr="002C7026" w:rsidRDefault="0011458F" w:rsidP="002C7026">
                      <w:pPr>
                        <w:spacing w:after="0"/>
                        <w:ind w:firstLine="0"/>
                        <w:jc w:val="center"/>
                        <w:rPr>
                          <w:rFonts w:ascii="Trajan" w:hAnsi="Trajan"/>
                          <w:color w:val="808080"/>
                          <w:sz w:val="18"/>
                          <w:szCs w:val="18"/>
                          <w:lang w:val="es-ES"/>
                        </w:rPr>
                      </w:pPr>
                      <w:r w:rsidRPr="002C7026">
                        <w:rPr>
                          <w:rFonts w:ascii="Trajan" w:hAnsi="Trajan"/>
                          <w:color w:val="808080"/>
                          <w:sz w:val="18"/>
                          <w:szCs w:val="18"/>
                          <w:lang w:val="es-ES"/>
                        </w:rPr>
                        <w:t>Nafarroako</w:t>
                      </w:r>
                    </w:p>
                    <w:p w:rsidR="0011458F" w:rsidRPr="002C7026" w:rsidRDefault="0011458F" w:rsidP="002C7026">
                      <w:pPr>
                        <w:spacing w:after="0"/>
                        <w:ind w:firstLine="0"/>
                        <w:jc w:val="center"/>
                        <w:rPr>
                          <w:rFonts w:ascii="Trajan" w:hAnsi="Trajan"/>
                          <w:color w:val="808080"/>
                          <w:sz w:val="18"/>
                          <w:szCs w:val="18"/>
                          <w:lang w:val="es-ES"/>
                        </w:rPr>
                      </w:pPr>
                      <w:r>
                        <w:rPr>
                          <w:rFonts w:ascii="Trajan" w:hAnsi="Trajan"/>
                          <w:color w:val="808080"/>
                          <w:sz w:val="18"/>
                          <w:szCs w:val="18"/>
                          <w:lang w:val="es-ES"/>
                        </w:rPr>
                        <w:t>kontuen</w:t>
                      </w:r>
                    </w:p>
                    <w:p w:rsidR="0011458F" w:rsidRPr="002C7026" w:rsidRDefault="0011458F" w:rsidP="002C7026">
                      <w:pPr>
                        <w:spacing w:after="0"/>
                        <w:ind w:firstLine="0"/>
                        <w:jc w:val="center"/>
                        <w:rPr>
                          <w:rFonts w:ascii="Trajan" w:hAnsi="Trajan"/>
                          <w:color w:val="808080"/>
                          <w:sz w:val="18"/>
                          <w:szCs w:val="18"/>
                          <w:lang w:val="es-ES"/>
                        </w:rPr>
                      </w:pPr>
                      <w:r w:rsidRPr="002C7026">
                        <w:rPr>
                          <w:rFonts w:ascii="Trajan" w:hAnsi="Trajan"/>
                          <w:color w:val="808080"/>
                          <w:sz w:val="18"/>
                          <w:szCs w:val="18"/>
                          <w:lang w:val="es-ES"/>
                        </w:rPr>
                        <w:t>ganbera</w:t>
                      </w:r>
                    </w:p>
                  </w:txbxContent>
                </v:textbox>
              </v:shape>
            </w:pict>
          </mc:Fallback>
        </mc:AlternateContent>
      </w:r>
    </w:p>
    <w:p w:rsidR="001C3A32" w:rsidRPr="003C4D81" w:rsidRDefault="001C3A32" w:rsidP="003639A8">
      <w:pPr>
        <w:pStyle w:val="texto"/>
        <w:rPr>
          <w:rFonts w:ascii="Arial" w:hAnsi="Arial" w:cs="Arial"/>
          <w:b/>
          <w:sz w:val="36"/>
          <w:szCs w:val="36"/>
        </w:rPr>
      </w:pPr>
    </w:p>
    <w:p w:rsidR="004B15C9" w:rsidRDefault="004B15C9" w:rsidP="003639A8">
      <w:pPr>
        <w:pStyle w:val="EstiloPortada"/>
        <w:spacing w:before="0"/>
        <w:ind w:left="3544" w:right="0"/>
        <w:jc w:val="right"/>
        <w:rPr>
          <w:sz w:val="48"/>
          <w:szCs w:val="48"/>
        </w:rPr>
      </w:pPr>
      <w:r>
        <w:rPr>
          <w:sz w:val="48"/>
          <w:szCs w:val="48"/>
        </w:rPr>
        <w:t>Cuentas generales de</w:t>
      </w:r>
      <w:r w:rsidR="008A12E8">
        <w:rPr>
          <w:sz w:val="48"/>
          <w:szCs w:val="48"/>
        </w:rPr>
        <w:t xml:space="preserve"> </w:t>
      </w:r>
    </w:p>
    <w:p w:rsidR="00D7670F" w:rsidRPr="00BB29A4" w:rsidRDefault="008A12E8" w:rsidP="003639A8">
      <w:pPr>
        <w:pStyle w:val="EstiloPortada"/>
        <w:spacing w:before="0"/>
        <w:ind w:left="3544" w:right="0"/>
        <w:jc w:val="right"/>
        <w:rPr>
          <w:sz w:val="48"/>
          <w:szCs w:val="48"/>
        </w:rPr>
      </w:pPr>
      <w:r>
        <w:rPr>
          <w:sz w:val="48"/>
          <w:szCs w:val="48"/>
        </w:rPr>
        <w:t>Navarra</w:t>
      </w:r>
      <w:r w:rsidR="003B312F">
        <w:rPr>
          <w:sz w:val="48"/>
          <w:szCs w:val="48"/>
        </w:rPr>
        <w:t>,</w:t>
      </w:r>
      <w:r w:rsidR="00BB29A4">
        <w:rPr>
          <w:sz w:val="48"/>
          <w:szCs w:val="48"/>
        </w:rPr>
        <w:t xml:space="preserve"> </w:t>
      </w:r>
      <w:r w:rsidR="003B312F">
        <w:rPr>
          <w:sz w:val="48"/>
          <w:szCs w:val="48"/>
        </w:rPr>
        <w:t>201</w:t>
      </w:r>
      <w:r w:rsidR="004B15C9">
        <w:rPr>
          <w:sz w:val="48"/>
          <w:szCs w:val="48"/>
        </w:rPr>
        <w:t>5</w:t>
      </w:r>
    </w:p>
    <w:p w:rsidR="001C3A32" w:rsidRDefault="001C3A32" w:rsidP="00BB29A4">
      <w:pPr>
        <w:pStyle w:val="texto"/>
        <w:ind w:left="1843" w:right="-142"/>
      </w:pPr>
    </w:p>
    <w:p w:rsidR="00FE4963" w:rsidRDefault="00FE4963" w:rsidP="00891D73">
      <w:pPr>
        <w:pStyle w:val="texto"/>
      </w:pPr>
    </w:p>
    <w:p w:rsidR="00FE4963" w:rsidRPr="00204979" w:rsidRDefault="00FE4963"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Default="001C3A32" w:rsidP="00891D73">
      <w:pPr>
        <w:pStyle w:val="texto"/>
      </w:pPr>
    </w:p>
    <w:p w:rsidR="00BB29A4" w:rsidRDefault="00BB29A4" w:rsidP="00891D73">
      <w:pPr>
        <w:pStyle w:val="texto"/>
      </w:pPr>
    </w:p>
    <w:p w:rsidR="00BB29A4" w:rsidRDefault="00BB29A4" w:rsidP="00891D73">
      <w:pPr>
        <w:pStyle w:val="texto"/>
      </w:pPr>
    </w:p>
    <w:p w:rsidR="00BB29A4" w:rsidRDefault="00BB29A4" w:rsidP="00891D73">
      <w:pPr>
        <w:pStyle w:val="texto"/>
      </w:pPr>
    </w:p>
    <w:p w:rsidR="00BB29A4" w:rsidRDefault="00BB29A4" w:rsidP="00891D73">
      <w:pPr>
        <w:pStyle w:val="texto"/>
      </w:pPr>
    </w:p>
    <w:p w:rsidR="00BB29A4" w:rsidRPr="00204979" w:rsidRDefault="00BB29A4" w:rsidP="00891D73">
      <w:pPr>
        <w:pStyle w:val="texto"/>
      </w:pPr>
    </w:p>
    <w:p w:rsidR="00873B7F" w:rsidRDefault="00873B7F" w:rsidP="00764B5C">
      <w:pPr>
        <w:pStyle w:val="texto"/>
        <w:ind w:firstLine="0"/>
      </w:pPr>
    </w:p>
    <w:p w:rsidR="00873B7F" w:rsidRPr="00204979" w:rsidRDefault="00873B7F" w:rsidP="00891D73">
      <w:pPr>
        <w:pStyle w:val="texto"/>
      </w:pPr>
    </w:p>
    <w:p w:rsidR="00716463" w:rsidRPr="00B52998" w:rsidRDefault="007E1C86" w:rsidP="009936FC">
      <w:pPr>
        <w:pStyle w:val="Fechaportada"/>
      </w:pPr>
      <w:r>
        <w:t>Noviembre</w:t>
      </w:r>
      <w:r w:rsidR="004B15C9" w:rsidRPr="00144A36">
        <w:t>,</w:t>
      </w:r>
      <w:r w:rsidR="00407EAE" w:rsidRPr="00144A36">
        <w:t xml:space="preserve"> </w:t>
      </w:r>
      <w:r w:rsidR="008656F3">
        <w:t>2016</w:t>
      </w:r>
    </w:p>
    <w:p w:rsidR="008E3FFE" w:rsidRPr="00B52998" w:rsidRDefault="008E3FFE" w:rsidP="00891D73">
      <w:pPr>
        <w:pStyle w:val="ndice"/>
        <w:rPr>
          <w:rFonts w:ascii="Times New Roman" w:hAnsi="Times New Roman"/>
          <w:color w:val="auto"/>
        </w:rPr>
        <w:sectPr w:rsidR="008E3FFE" w:rsidRPr="00B52998" w:rsidSect="00482F67">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rsidRPr="00891D73">
        <w:lastRenderedPageBreak/>
        <w:t>Índice</w:t>
      </w:r>
    </w:p>
    <w:p w:rsidR="0014728F" w:rsidRPr="004950CC" w:rsidRDefault="004950CC" w:rsidP="001841D5">
      <w:pPr>
        <w:pStyle w:val="texto"/>
        <w:ind w:right="-211"/>
        <w:jc w:val="right"/>
        <w:rPr>
          <w:smallCaps/>
          <w:sz w:val="20"/>
          <w:szCs w:val="20"/>
        </w:rPr>
      </w:pPr>
      <w:r>
        <w:tab/>
      </w:r>
      <w:r>
        <w:tab/>
      </w:r>
      <w:r>
        <w:tab/>
      </w:r>
      <w:r>
        <w:tab/>
      </w:r>
      <w:r>
        <w:tab/>
      </w:r>
      <w:r>
        <w:rPr>
          <w:smallCaps/>
          <w:sz w:val="20"/>
          <w:szCs w:val="20"/>
        </w:rPr>
        <w:t>página</w:t>
      </w:r>
    </w:p>
    <w:p w:rsidR="00327B80" w:rsidRDefault="00F81F03">
      <w:pPr>
        <w:pStyle w:val="TDC1"/>
        <w:rPr>
          <w:noProof/>
        </w:rPr>
      </w:pPr>
      <w:r>
        <w:t xml:space="preserve"> </w:t>
      </w:r>
      <w:r w:rsidR="00882BEB">
        <w:fldChar w:fldCharType="begin"/>
      </w:r>
      <w:r w:rsidR="00882BEB">
        <w:instrText xml:space="preserve"> TOC \o "1-3" \h \z \t "atitulo1;1;atitulo2;2" </w:instrText>
      </w:r>
      <w:r w:rsidR="00882BEB">
        <w:fldChar w:fldCharType="separate"/>
      </w:r>
    </w:p>
    <w:p w:rsidR="00327B80" w:rsidRDefault="003D1FFE">
      <w:pPr>
        <w:pStyle w:val="TDC1"/>
        <w:rPr>
          <w:rFonts w:asciiTheme="minorHAnsi" w:eastAsiaTheme="minorEastAsia" w:hAnsiTheme="minorHAnsi" w:cstheme="minorBidi"/>
          <w:smallCaps w:val="0"/>
          <w:noProof/>
          <w:szCs w:val="22"/>
          <w:lang w:val="es-ES" w:eastAsia="es-ES"/>
        </w:rPr>
      </w:pPr>
      <w:hyperlink w:anchor="_Toc463350236" w:history="1">
        <w:r w:rsidR="00327B80" w:rsidRPr="004677AD">
          <w:rPr>
            <w:rStyle w:val="Hipervnculo"/>
            <w:noProof/>
          </w:rPr>
          <w:t>I. Introducción</w:t>
        </w:r>
        <w:r w:rsidR="00327B80">
          <w:rPr>
            <w:noProof/>
            <w:webHidden/>
          </w:rPr>
          <w:tab/>
        </w:r>
        <w:r w:rsidR="00327B80">
          <w:rPr>
            <w:noProof/>
            <w:webHidden/>
          </w:rPr>
          <w:fldChar w:fldCharType="begin"/>
        </w:r>
        <w:r w:rsidR="00327B80">
          <w:rPr>
            <w:noProof/>
            <w:webHidden/>
          </w:rPr>
          <w:instrText xml:space="preserve"> PAGEREF _Toc463350236 \h </w:instrText>
        </w:r>
        <w:r w:rsidR="00327B80">
          <w:rPr>
            <w:noProof/>
            <w:webHidden/>
          </w:rPr>
        </w:r>
        <w:r w:rsidR="00327B80">
          <w:rPr>
            <w:noProof/>
            <w:webHidden/>
          </w:rPr>
          <w:fldChar w:fldCharType="separate"/>
        </w:r>
        <w:r w:rsidR="00D301F9">
          <w:rPr>
            <w:noProof/>
            <w:webHidden/>
          </w:rPr>
          <w:t>3</w:t>
        </w:r>
        <w:r w:rsidR="00327B80">
          <w:rPr>
            <w:noProof/>
            <w:webHidden/>
          </w:rPr>
          <w:fldChar w:fldCharType="end"/>
        </w:r>
      </w:hyperlink>
    </w:p>
    <w:p w:rsidR="00327B80" w:rsidRDefault="003D1FFE">
      <w:pPr>
        <w:pStyle w:val="TDC1"/>
        <w:rPr>
          <w:rFonts w:asciiTheme="minorHAnsi" w:eastAsiaTheme="minorEastAsia" w:hAnsiTheme="minorHAnsi" w:cstheme="minorBidi"/>
          <w:smallCaps w:val="0"/>
          <w:noProof/>
          <w:szCs w:val="22"/>
          <w:lang w:val="es-ES" w:eastAsia="es-ES"/>
        </w:rPr>
      </w:pPr>
      <w:hyperlink w:anchor="_Toc463350237" w:history="1">
        <w:r w:rsidR="00327B80" w:rsidRPr="004677AD">
          <w:rPr>
            <w:rStyle w:val="Hipervnculo"/>
            <w:noProof/>
          </w:rPr>
          <w:t>II. Opinión</w:t>
        </w:r>
        <w:r w:rsidR="00327B80">
          <w:rPr>
            <w:noProof/>
            <w:webHidden/>
          </w:rPr>
          <w:tab/>
        </w:r>
        <w:r w:rsidR="00327B80">
          <w:rPr>
            <w:noProof/>
            <w:webHidden/>
          </w:rPr>
          <w:fldChar w:fldCharType="begin"/>
        </w:r>
        <w:r w:rsidR="00327B80">
          <w:rPr>
            <w:noProof/>
            <w:webHidden/>
          </w:rPr>
          <w:instrText xml:space="preserve"> PAGEREF _Toc463350237 \h </w:instrText>
        </w:r>
        <w:r w:rsidR="00327B80">
          <w:rPr>
            <w:noProof/>
            <w:webHidden/>
          </w:rPr>
        </w:r>
        <w:r w:rsidR="00327B80">
          <w:rPr>
            <w:noProof/>
            <w:webHidden/>
          </w:rPr>
          <w:fldChar w:fldCharType="separate"/>
        </w:r>
        <w:r w:rsidR="00D301F9">
          <w:rPr>
            <w:noProof/>
            <w:webHidden/>
          </w:rPr>
          <w:t>3</w:t>
        </w:r>
        <w:r w:rsidR="00327B80">
          <w:rPr>
            <w:noProof/>
            <w:webHidden/>
          </w:rPr>
          <w:fldChar w:fldCharType="end"/>
        </w:r>
      </w:hyperlink>
    </w:p>
    <w:p w:rsidR="00327B80" w:rsidRDefault="003D1FFE">
      <w:pPr>
        <w:pStyle w:val="TDC2"/>
        <w:rPr>
          <w:rFonts w:asciiTheme="minorHAnsi" w:eastAsiaTheme="minorEastAsia" w:hAnsiTheme="minorHAnsi" w:cstheme="minorBidi"/>
          <w:noProof/>
          <w:szCs w:val="22"/>
          <w:lang w:val="es-ES" w:eastAsia="es-ES"/>
        </w:rPr>
      </w:pPr>
      <w:hyperlink w:anchor="_Toc463350238" w:history="1">
        <w:r w:rsidR="00327B80" w:rsidRPr="004677AD">
          <w:rPr>
            <w:rStyle w:val="Hipervnculo"/>
            <w:noProof/>
          </w:rPr>
          <w:t>II.1. Opinión de auditoría financiera sobre las cuentas generales de 2015</w:t>
        </w:r>
        <w:r w:rsidR="00327B80">
          <w:rPr>
            <w:noProof/>
            <w:webHidden/>
          </w:rPr>
          <w:tab/>
        </w:r>
        <w:r w:rsidR="00327B80">
          <w:rPr>
            <w:noProof/>
            <w:webHidden/>
          </w:rPr>
          <w:fldChar w:fldCharType="begin"/>
        </w:r>
        <w:r w:rsidR="00327B80">
          <w:rPr>
            <w:noProof/>
            <w:webHidden/>
          </w:rPr>
          <w:instrText xml:space="preserve"> PAGEREF _Toc463350238 \h </w:instrText>
        </w:r>
        <w:r w:rsidR="00327B80">
          <w:rPr>
            <w:noProof/>
            <w:webHidden/>
          </w:rPr>
        </w:r>
        <w:r w:rsidR="00327B80">
          <w:rPr>
            <w:noProof/>
            <w:webHidden/>
          </w:rPr>
          <w:fldChar w:fldCharType="separate"/>
        </w:r>
        <w:r w:rsidR="00D301F9">
          <w:rPr>
            <w:noProof/>
            <w:webHidden/>
          </w:rPr>
          <w:t>3</w:t>
        </w:r>
        <w:r w:rsidR="00327B80">
          <w:rPr>
            <w:noProof/>
            <w:webHidden/>
          </w:rPr>
          <w:fldChar w:fldCharType="end"/>
        </w:r>
      </w:hyperlink>
    </w:p>
    <w:p w:rsidR="00327B80" w:rsidRDefault="003D1FFE">
      <w:pPr>
        <w:pStyle w:val="TDC2"/>
        <w:rPr>
          <w:rFonts w:asciiTheme="minorHAnsi" w:eastAsiaTheme="minorEastAsia" w:hAnsiTheme="minorHAnsi" w:cstheme="minorBidi"/>
          <w:noProof/>
          <w:szCs w:val="22"/>
          <w:lang w:val="es-ES" w:eastAsia="es-ES"/>
        </w:rPr>
      </w:pPr>
      <w:hyperlink w:anchor="_Toc463350239" w:history="1">
        <w:r w:rsidR="00327B80" w:rsidRPr="004677AD">
          <w:rPr>
            <w:rStyle w:val="Hipervnculo"/>
            <w:noProof/>
          </w:rPr>
          <w:t>II.2. Opinión de fiscalización de cumplimiento de legalidad</w:t>
        </w:r>
        <w:r w:rsidR="00327B80">
          <w:rPr>
            <w:noProof/>
            <w:webHidden/>
          </w:rPr>
          <w:tab/>
        </w:r>
        <w:r w:rsidR="00327B80">
          <w:rPr>
            <w:noProof/>
            <w:webHidden/>
          </w:rPr>
          <w:fldChar w:fldCharType="begin"/>
        </w:r>
        <w:r w:rsidR="00327B80">
          <w:rPr>
            <w:noProof/>
            <w:webHidden/>
          </w:rPr>
          <w:instrText xml:space="preserve"> PAGEREF _Toc463350239 \h </w:instrText>
        </w:r>
        <w:r w:rsidR="00327B80">
          <w:rPr>
            <w:noProof/>
            <w:webHidden/>
          </w:rPr>
        </w:r>
        <w:r w:rsidR="00327B80">
          <w:rPr>
            <w:noProof/>
            <w:webHidden/>
          </w:rPr>
          <w:fldChar w:fldCharType="separate"/>
        </w:r>
        <w:r w:rsidR="00D301F9">
          <w:rPr>
            <w:noProof/>
            <w:webHidden/>
          </w:rPr>
          <w:t>3</w:t>
        </w:r>
        <w:r w:rsidR="00327B80">
          <w:rPr>
            <w:noProof/>
            <w:webHidden/>
          </w:rPr>
          <w:fldChar w:fldCharType="end"/>
        </w:r>
      </w:hyperlink>
    </w:p>
    <w:p w:rsidR="00327B80" w:rsidRDefault="003D1FFE">
      <w:pPr>
        <w:pStyle w:val="TDC1"/>
        <w:rPr>
          <w:rFonts w:asciiTheme="minorHAnsi" w:eastAsiaTheme="minorEastAsia" w:hAnsiTheme="minorHAnsi" w:cstheme="minorBidi"/>
          <w:smallCaps w:val="0"/>
          <w:noProof/>
          <w:szCs w:val="22"/>
          <w:lang w:val="es-ES" w:eastAsia="es-ES"/>
        </w:rPr>
      </w:pPr>
      <w:hyperlink w:anchor="_Toc463350240" w:history="1">
        <w:r w:rsidR="00327B80" w:rsidRPr="004677AD">
          <w:rPr>
            <w:rStyle w:val="Hipervnculo"/>
            <w:noProof/>
          </w:rPr>
          <w:t>III. Resumen de la cuenta general de la Administración de la Comunidad Foral y sus organismos autónomos, ejercicio 2015</w:t>
        </w:r>
        <w:r w:rsidR="00327B80">
          <w:rPr>
            <w:noProof/>
            <w:webHidden/>
          </w:rPr>
          <w:tab/>
        </w:r>
        <w:r w:rsidR="00327B80">
          <w:rPr>
            <w:noProof/>
            <w:webHidden/>
          </w:rPr>
          <w:fldChar w:fldCharType="begin"/>
        </w:r>
        <w:r w:rsidR="00327B80">
          <w:rPr>
            <w:noProof/>
            <w:webHidden/>
          </w:rPr>
          <w:instrText xml:space="preserve"> PAGEREF _Toc463350240 \h </w:instrText>
        </w:r>
        <w:r w:rsidR="00327B80">
          <w:rPr>
            <w:noProof/>
            <w:webHidden/>
          </w:rPr>
        </w:r>
        <w:r w:rsidR="00327B80">
          <w:rPr>
            <w:noProof/>
            <w:webHidden/>
          </w:rPr>
          <w:fldChar w:fldCharType="separate"/>
        </w:r>
        <w:r w:rsidR="00D301F9">
          <w:rPr>
            <w:noProof/>
            <w:webHidden/>
          </w:rPr>
          <w:t>3</w:t>
        </w:r>
        <w:r w:rsidR="00327B80">
          <w:rPr>
            <w:noProof/>
            <w:webHidden/>
          </w:rPr>
          <w:fldChar w:fldCharType="end"/>
        </w:r>
      </w:hyperlink>
    </w:p>
    <w:p w:rsidR="00327B80" w:rsidRDefault="003D1FFE">
      <w:pPr>
        <w:pStyle w:val="TDC2"/>
        <w:rPr>
          <w:rFonts w:asciiTheme="minorHAnsi" w:eastAsiaTheme="minorEastAsia" w:hAnsiTheme="minorHAnsi" w:cstheme="minorBidi"/>
          <w:noProof/>
          <w:szCs w:val="22"/>
          <w:lang w:val="es-ES" w:eastAsia="es-ES"/>
        </w:rPr>
      </w:pPr>
      <w:hyperlink w:anchor="_Toc463350241" w:history="1">
        <w:r w:rsidR="00327B80" w:rsidRPr="004677AD">
          <w:rPr>
            <w:rStyle w:val="Hipervnculo"/>
            <w:noProof/>
          </w:rPr>
          <w:t>III.1. Liquidación del presupuesto 2015</w:t>
        </w:r>
        <w:r w:rsidR="00327B80">
          <w:rPr>
            <w:noProof/>
            <w:webHidden/>
          </w:rPr>
          <w:tab/>
        </w:r>
        <w:r w:rsidR="00327B80">
          <w:rPr>
            <w:noProof/>
            <w:webHidden/>
          </w:rPr>
          <w:fldChar w:fldCharType="begin"/>
        </w:r>
        <w:r w:rsidR="00327B80">
          <w:rPr>
            <w:noProof/>
            <w:webHidden/>
          </w:rPr>
          <w:instrText xml:space="preserve"> PAGEREF _Toc463350241 \h </w:instrText>
        </w:r>
        <w:r w:rsidR="00327B80">
          <w:rPr>
            <w:noProof/>
            <w:webHidden/>
          </w:rPr>
        </w:r>
        <w:r w:rsidR="00327B80">
          <w:rPr>
            <w:noProof/>
            <w:webHidden/>
          </w:rPr>
          <w:fldChar w:fldCharType="separate"/>
        </w:r>
        <w:r w:rsidR="00D301F9">
          <w:rPr>
            <w:noProof/>
            <w:webHidden/>
          </w:rPr>
          <w:t>3</w:t>
        </w:r>
        <w:r w:rsidR="00327B80">
          <w:rPr>
            <w:noProof/>
            <w:webHidden/>
          </w:rPr>
          <w:fldChar w:fldCharType="end"/>
        </w:r>
      </w:hyperlink>
    </w:p>
    <w:p w:rsidR="00327B80" w:rsidRDefault="003D1FFE">
      <w:pPr>
        <w:pStyle w:val="TDC2"/>
        <w:rPr>
          <w:rFonts w:asciiTheme="minorHAnsi" w:eastAsiaTheme="minorEastAsia" w:hAnsiTheme="minorHAnsi" w:cstheme="minorBidi"/>
          <w:noProof/>
          <w:szCs w:val="22"/>
          <w:lang w:val="es-ES" w:eastAsia="es-ES"/>
        </w:rPr>
      </w:pPr>
      <w:hyperlink w:anchor="_Toc463350242" w:history="1">
        <w:r w:rsidR="00327B80" w:rsidRPr="004677AD">
          <w:rPr>
            <w:rStyle w:val="Hipervnculo"/>
            <w:noProof/>
          </w:rPr>
          <w:t>III.2. Resultado presupuestario 2015</w:t>
        </w:r>
        <w:r w:rsidR="00327B80">
          <w:rPr>
            <w:noProof/>
            <w:webHidden/>
          </w:rPr>
          <w:tab/>
        </w:r>
        <w:r w:rsidR="00327B80">
          <w:rPr>
            <w:noProof/>
            <w:webHidden/>
          </w:rPr>
          <w:fldChar w:fldCharType="begin"/>
        </w:r>
        <w:r w:rsidR="00327B80">
          <w:rPr>
            <w:noProof/>
            <w:webHidden/>
          </w:rPr>
          <w:instrText xml:space="preserve"> PAGEREF _Toc463350242 \h </w:instrText>
        </w:r>
        <w:r w:rsidR="00327B80">
          <w:rPr>
            <w:noProof/>
            <w:webHidden/>
          </w:rPr>
        </w:r>
        <w:r w:rsidR="00327B80">
          <w:rPr>
            <w:noProof/>
            <w:webHidden/>
          </w:rPr>
          <w:fldChar w:fldCharType="separate"/>
        </w:r>
        <w:r w:rsidR="00D301F9">
          <w:rPr>
            <w:noProof/>
            <w:webHidden/>
          </w:rPr>
          <w:t>3</w:t>
        </w:r>
        <w:r w:rsidR="00327B80">
          <w:rPr>
            <w:noProof/>
            <w:webHidden/>
          </w:rPr>
          <w:fldChar w:fldCharType="end"/>
        </w:r>
      </w:hyperlink>
    </w:p>
    <w:p w:rsidR="00327B80" w:rsidRDefault="003D1FFE">
      <w:pPr>
        <w:pStyle w:val="TDC2"/>
        <w:rPr>
          <w:rFonts w:asciiTheme="minorHAnsi" w:eastAsiaTheme="minorEastAsia" w:hAnsiTheme="minorHAnsi" w:cstheme="minorBidi"/>
          <w:noProof/>
          <w:szCs w:val="22"/>
          <w:lang w:val="es-ES" w:eastAsia="es-ES"/>
        </w:rPr>
      </w:pPr>
      <w:hyperlink w:anchor="_Toc463350243" w:history="1">
        <w:r w:rsidR="00327B80" w:rsidRPr="004677AD">
          <w:rPr>
            <w:rStyle w:val="Hipervnculo"/>
            <w:noProof/>
          </w:rPr>
          <w:t>III.3. Remanente de Tesorería a 31 de diciembre de 2015</w:t>
        </w:r>
        <w:r w:rsidR="00327B80">
          <w:rPr>
            <w:noProof/>
            <w:webHidden/>
          </w:rPr>
          <w:tab/>
        </w:r>
        <w:r w:rsidR="00327B80">
          <w:rPr>
            <w:noProof/>
            <w:webHidden/>
          </w:rPr>
          <w:fldChar w:fldCharType="begin"/>
        </w:r>
        <w:r w:rsidR="00327B80">
          <w:rPr>
            <w:noProof/>
            <w:webHidden/>
          </w:rPr>
          <w:instrText xml:space="preserve"> PAGEREF _Toc463350243 \h </w:instrText>
        </w:r>
        <w:r w:rsidR="00327B80">
          <w:rPr>
            <w:noProof/>
            <w:webHidden/>
          </w:rPr>
        </w:r>
        <w:r w:rsidR="00327B80">
          <w:rPr>
            <w:noProof/>
            <w:webHidden/>
          </w:rPr>
          <w:fldChar w:fldCharType="separate"/>
        </w:r>
        <w:r w:rsidR="00D301F9">
          <w:rPr>
            <w:noProof/>
            <w:webHidden/>
          </w:rPr>
          <w:t>3</w:t>
        </w:r>
        <w:r w:rsidR="00327B80">
          <w:rPr>
            <w:noProof/>
            <w:webHidden/>
          </w:rPr>
          <w:fldChar w:fldCharType="end"/>
        </w:r>
      </w:hyperlink>
    </w:p>
    <w:p w:rsidR="00327B80" w:rsidRDefault="003D1FFE">
      <w:pPr>
        <w:pStyle w:val="TDC2"/>
        <w:rPr>
          <w:rFonts w:asciiTheme="minorHAnsi" w:eastAsiaTheme="minorEastAsia" w:hAnsiTheme="minorHAnsi" w:cstheme="minorBidi"/>
          <w:noProof/>
          <w:szCs w:val="22"/>
          <w:lang w:val="es-ES" w:eastAsia="es-ES"/>
        </w:rPr>
      </w:pPr>
      <w:hyperlink w:anchor="_Toc463350244" w:history="1">
        <w:r w:rsidR="00327B80" w:rsidRPr="004677AD">
          <w:rPr>
            <w:rStyle w:val="Hipervnculo"/>
            <w:noProof/>
          </w:rPr>
          <w:t>III.4. Balance de situación a 31 de diciembre de 2015</w:t>
        </w:r>
        <w:r w:rsidR="00327B80">
          <w:rPr>
            <w:noProof/>
            <w:webHidden/>
          </w:rPr>
          <w:tab/>
        </w:r>
        <w:r w:rsidR="00327B80">
          <w:rPr>
            <w:noProof/>
            <w:webHidden/>
          </w:rPr>
          <w:fldChar w:fldCharType="begin"/>
        </w:r>
        <w:r w:rsidR="00327B80">
          <w:rPr>
            <w:noProof/>
            <w:webHidden/>
          </w:rPr>
          <w:instrText xml:space="preserve"> PAGEREF _Toc463350244 \h </w:instrText>
        </w:r>
        <w:r w:rsidR="00327B80">
          <w:rPr>
            <w:noProof/>
            <w:webHidden/>
          </w:rPr>
        </w:r>
        <w:r w:rsidR="00327B80">
          <w:rPr>
            <w:noProof/>
            <w:webHidden/>
          </w:rPr>
          <w:fldChar w:fldCharType="separate"/>
        </w:r>
        <w:r w:rsidR="00D301F9">
          <w:rPr>
            <w:noProof/>
            <w:webHidden/>
          </w:rPr>
          <w:t>3</w:t>
        </w:r>
        <w:r w:rsidR="00327B80">
          <w:rPr>
            <w:noProof/>
            <w:webHidden/>
          </w:rPr>
          <w:fldChar w:fldCharType="end"/>
        </w:r>
      </w:hyperlink>
    </w:p>
    <w:p w:rsidR="00327B80" w:rsidRDefault="003D1FFE">
      <w:pPr>
        <w:pStyle w:val="TDC2"/>
        <w:rPr>
          <w:rFonts w:asciiTheme="minorHAnsi" w:eastAsiaTheme="minorEastAsia" w:hAnsiTheme="minorHAnsi" w:cstheme="minorBidi"/>
          <w:noProof/>
          <w:szCs w:val="22"/>
          <w:lang w:val="es-ES" w:eastAsia="es-ES"/>
        </w:rPr>
      </w:pPr>
      <w:hyperlink w:anchor="_Toc463350245" w:history="1">
        <w:r w:rsidR="00327B80" w:rsidRPr="004677AD">
          <w:rPr>
            <w:rStyle w:val="Hipervnculo"/>
            <w:noProof/>
          </w:rPr>
          <w:t>III.5. Cuenta de Resultados 2015</w:t>
        </w:r>
        <w:r w:rsidR="00327B80">
          <w:rPr>
            <w:noProof/>
            <w:webHidden/>
          </w:rPr>
          <w:tab/>
        </w:r>
        <w:r w:rsidR="00327B80">
          <w:rPr>
            <w:noProof/>
            <w:webHidden/>
          </w:rPr>
          <w:fldChar w:fldCharType="begin"/>
        </w:r>
        <w:r w:rsidR="00327B80">
          <w:rPr>
            <w:noProof/>
            <w:webHidden/>
          </w:rPr>
          <w:instrText xml:space="preserve"> PAGEREF _Toc463350245 \h </w:instrText>
        </w:r>
        <w:r w:rsidR="00327B80">
          <w:rPr>
            <w:noProof/>
            <w:webHidden/>
          </w:rPr>
        </w:r>
        <w:r w:rsidR="00327B80">
          <w:rPr>
            <w:noProof/>
            <w:webHidden/>
          </w:rPr>
          <w:fldChar w:fldCharType="separate"/>
        </w:r>
        <w:r w:rsidR="00D301F9">
          <w:rPr>
            <w:noProof/>
            <w:webHidden/>
          </w:rPr>
          <w:t>3</w:t>
        </w:r>
        <w:r w:rsidR="00327B80">
          <w:rPr>
            <w:noProof/>
            <w:webHidden/>
          </w:rPr>
          <w:fldChar w:fldCharType="end"/>
        </w:r>
      </w:hyperlink>
    </w:p>
    <w:p w:rsidR="00327B80" w:rsidRDefault="003D1FFE">
      <w:pPr>
        <w:pStyle w:val="TDC1"/>
        <w:rPr>
          <w:rFonts w:asciiTheme="minorHAnsi" w:eastAsiaTheme="minorEastAsia" w:hAnsiTheme="minorHAnsi" w:cstheme="minorBidi"/>
          <w:smallCaps w:val="0"/>
          <w:noProof/>
          <w:szCs w:val="22"/>
          <w:lang w:val="es-ES" w:eastAsia="es-ES"/>
        </w:rPr>
      </w:pPr>
      <w:hyperlink w:anchor="_Toc463350246" w:history="1">
        <w:r w:rsidR="00327B80" w:rsidRPr="004677AD">
          <w:rPr>
            <w:rStyle w:val="Hipervnculo"/>
            <w:noProof/>
          </w:rPr>
          <w:t>IV. Observaciones que no afectan a la opinión y recomendaciones</w:t>
        </w:r>
        <w:r w:rsidR="00327B80">
          <w:rPr>
            <w:noProof/>
            <w:webHidden/>
          </w:rPr>
          <w:tab/>
        </w:r>
        <w:r w:rsidR="00327B80">
          <w:rPr>
            <w:noProof/>
            <w:webHidden/>
          </w:rPr>
          <w:fldChar w:fldCharType="begin"/>
        </w:r>
        <w:r w:rsidR="00327B80">
          <w:rPr>
            <w:noProof/>
            <w:webHidden/>
          </w:rPr>
          <w:instrText xml:space="preserve"> PAGEREF _Toc463350246 \h </w:instrText>
        </w:r>
        <w:r w:rsidR="00327B80">
          <w:rPr>
            <w:noProof/>
            <w:webHidden/>
          </w:rPr>
        </w:r>
        <w:r w:rsidR="00327B80">
          <w:rPr>
            <w:noProof/>
            <w:webHidden/>
          </w:rPr>
          <w:fldChar w:fldCharType="separate"/>
        </w:r>
        <w:r w:rsidR="00D301F9">
          <w:rPr>
            <w:noProof/>
            <w:webHidden/>
          </w:rPr>
          <w:t>3</w:t>
        </w:r>
        <w:r w:rsidR="00327B80">
          <w:rPr>
            <w:noProof/>
            <w:webHidden/>
          </w:rPr>
          <w:fldChar w:fldCharType="end"/>
        </w:r>
      </w:hyperlink>
    </w:p>
    <w:p w:rsidR="00327B80" w:rsidRDefault="003D1FFE">
      <w:pPr>
        <w:pStyle w:val="TDC2"/>
        <w:rPr>
          <w:rFonts w:asciiTheme="minorHAnsi" w:eastAsiaTheme="minorEastAsia" w:hAnsiTheme="minorHAnsi" w:cstheme="minorBidi"/>
          <w:noProof/>
          <w:szCs w:val="22"/>
          <w:lang w:val="es-ES" w:eastAsia="es-ES"/>
        </w:rPr>
      </w:pPr>
      <w:hyperlink w:anchor="_Toc463350247" w:history="1">
        <w:r w:rsidR="00327B80" w:rsidRPr="004677AD">
          <w:rPr>
            <w:rStyle w:val="Hipervnculo"/>
            <w:noProof/>
          </w:rPr>
          <w:t>IV.1. Delimitación del Sector Público Foral en 2015</w:t>
        </w:r>
        <w:r w:rsidR="00327B80">
          <w:rPr>
            <w:noProof/>
            <w:webHidden/>
          </w:rPr>
          <w:tab/>
        </w:r>
        <w:r w:rsidR="00327B80">
          <w:rPr>
            <w:noProof/>
            <w:webHidden/>
          </w:rPr>
          <w:fldChar w:fldCharType="begin"/>
        </w:r>
        <w:r w:rsidR="00327B80">
          <w:rPr>
            <w:noProof/>
            <w:webHidden/>
          </w:rPr>
          <w:instrText xml:space="preserve"> PAGEREF _Toc463350247 \h </w:instrText>
        </w:r>
        <w:r w:rsidR="00327B80">
          <w:rPr>
            <w:noProof/>
            <w:webHidden/>
          </w:rPr>
        </w:r>
        <w:r w:rsidR="00327B80">
          <w:rPr>
            <w:noProof/>
            <w:webHidden/>
          </w:rPr>
          <w:fldChar w:fldCharType="separate"/>
        </w:r>
        <w:r w:rsidR="00D301F9">
          <w:rPr>
            <w:noProof/>
            <w:webHidden/>
          </w:rPr>
          <w:t>3</w:t>
        </w:r>
        <w:r w:rsidR="00327B80">
          <w:rPr>
            <w:noProof/>
            <w:webHidden/>
          </w:rPr>
          <w:fldChar w:fldCharType="end"/>
        </w:r>
      </w:hyperlink>
    </w:p>
    <w:p w:rsidR="00327B80" w:rsidRDefault="003D1FFE">
      <w:pPr>
        <w:pStyle w:val="TDC2"/>
        <w:rPr>
          <w:rFonts w:asciiTheme="minorHAnsi" w:eastAsiaTheme="minorEastAsia" w:hAnsiTheme="minorHAnsi" w:cstheme="minorBidi"/>
          <w:noProof/>
          <w:szCs w:val="22"/>
          <w:lang w:val="es-ES" w:eastAsia="es-ES"/>
        </w:rPr>
      </w:pPr>
      <w:hyperlink w:anchor="_Toc463350248" w:history="1">
        <w:r w:rsidR="00327B80" w:rsidRPr="004677AD">
          <w:rPr>
            <w:rStyle w:val="Hipervnculo"/>
            <w:noProof/>
          </w:rPr>
          <w:t>IV.2. Presupuestos generales de Navarra ejercicio de 2015</w:t>
        </w:r>
        <w:r w:rsidR="00327B80">
          <w:rPr>
            <w:noProof/>
            <w:webHidden/>
          </w:rPr>
          <w:tab/>
        </w:r>
        <w:r w:rsidR="00327B80">
          <w:rPr>
            <w:noProof/>
            <w:webHidden/>
          </w:rPr>
          <w:fldChar w:fldCharType="begin"/>
        </w:r>
        <w:r w:rsidR="00327B80">
          <w:rPr>
            <w:noProof/>
            <w:webHidden/>
          </w:rPr>
          <w:instrText xml:space="preserve"> PAGEREF _Toc463350248 \h </w:instrText>
        </w:r>
        <w:r w:rsidR="00327B80">
          <w:rPr>
            <w:noProof/>
            <w:webHidden/>
          </w:rPr>
        </w:r>
        <w:r w:rsidR="00327B80">
          <w:rPr>
            <w:noProof/>
            <w:webHidden/>
          </w:rPr>
          <w:fldChar w:fldCharType="separate"/>
        </w:r>
        <w:r w:rsidR="00D301F9">
          <w:rPr>
            <w:noProof/>
            <w:webHidden/>
          </w:rPr>
          <w:t>3</w:t>
        </w:r>
        <w:r w:rsidR="00327B80">
          <w:rPr>
            <w:noProof/>
            <w:webHidden/>
          </w:rPr>
          <w:fldChar w:fldCharType="end"/>
        </w:r>
      </w:hyperlink>
    </w:p>
    <w:p w:rsidR="00327B80" w:rsidRDefault="003D1FFE">
      <w:pPr>
        <w:pStyle w:val="TDC2"/>
        <w:rPr>
          <w:rFonts w:asciiTheme="minorHAnsi" w:eastAsiaTheme="minorEastAsia" w:hAnsiTheme="minorHAnsi" w:cstheme="minorBidi"/>
          <w:noProof/>
          <w:szCs w:val="22"/>
          <w:lang w:val="es-ES" w:eastAsia="es-ES"/>
        </w:rPr>
      </w:pPr>
      <w:hyperlink w:anchor="_Toc463350249" w:history="1">
        <w:r w:rsidR="00327B80" w:rsidRPr="004677AD">
          <w:rPr>
            <w:rStyle w:val="Hipervnculo"/>
            <w:noProof/>
          </w:rPr>
          <w:t>IV.3. Situación económico-financiera del Gobierno de Navarra y sus organismos autónomos a 31 de diciembre de 2015.</w:t>
        </w:r>
        <w:r w:rsidR="00327B80">
          <w:rPr>
            <w:noProof/>
            <w:webHidden/>
          </w:rPr>
          <w:tab/>
        </w:r>
        <w:r w:rsidR="00327B80">
          <w:rPr>
            <w:noProof/>
            <w:webHidden/>
          </w:rPr>
          <w:fldChar w:fldCharType="begin"/>
        </w:r>
        <w:r w:rsidR="00327B80">
          <w:rPr>
            <w:noProof/>
            <w:webHidden/>
          </w:rPr>
          <w:instrText xml:space="preserve"> PAGEREF _Toc463350249 \h </w:instrText>
        </w:r>
        <w:r w:rsidR="00327B80">
          <w:rPr>
            <w:noProof/>
            <w:webHidden/>
          </w:rPr>
        </w:r>
        <w:r w:rsidR="00327B80">
          <w:rPr>
            <w:noProof/>
            <w:webHidden/>
          </w:rPr>
          <w:fldChar w:fldCharType="separate"/>
        </w:r>
        <w:r w:rsidR="00D301F9">
          <w:rPr>
            <w:noProof/>
            <w:webHidden/>
          </w:rPr>
          <w:t>3</w:t>
        </w:r>
        <w:r w:rsidR="00327B80">
          <w:rPr>
            <w:noProof/>
            <w:webHidden/>
          </w:rPr>
          <w:fldChar w:fldCharType="end"/>
        </w:r>
      </w:hyperlink>
    </w:p>
    <w:p w:rsidR="00327B80" w:rsidRDefault="003D1FFE">
      <w:pPr>
        <w:pStyle w:val="TDC2"/>
        <w:rPr>
          <w:rFonts w:asciiTheme="minorHAnsi" w:eastAsiaTheme="minorEastAsia" w:hAnsiTheme="minorHAnsi" w:cstheme="minorBidi"/>
          <w:noProof/>
          <w:szCs w:val="22"/>
          <w:lang w:val="es-ES" w:eastAsia="es-ES"/>
        </w:rPr>
      </w:pPr>
      <w:hyperlink w:anchor="_Toc463350250" w:history="1">
        <w:r w:rsidR="00327B80" w:rsidRPr="004677AD">
          <w:rPr>
            <w:rStyle w:val="Hipervnculo"/>
            <w:noProof/>
          </w:rPr>
          <w:t>IV.4. Principios de estabilidad presupuestaria y sostenibilidad financiera.</w:t>
        </w:r>
        <w:r w:rsidR="00327B80">
          <w:rPr>
            <w:noProof/>
            <w:webHidden/>
          </w:rPr>
          <w:tab/>
        </w:r>
        <w:r w:rsidR="00327B80">
          <w:rPr>
            <w:noProof/>
            <w:webHidden/>
          </w:rPr>
          <w:fldChar w:fldCharType="begin"/>
        </w:r>
        <w:r w:rsidR="00327B80">
          <w:rPr>
            <w:noProof/>
            <w:webHidden/>
          </w:rPr>
          <w:instrText xml:space="preserve"> PAGEREF _Toc463350250 \h </w:instrText>
        </w:r>
        <w:r w:rsidR="00327B80">
          <w:rPr>
            <w:noProof/>
            <w:webHidden/>
          </w:rPr>
        </w:r>
        <w:r w:rsidR="00327B80">
          <w:rPr>
            <w:noProof/>
            <w:webHidden/>
          </w:rPr>
          <w:fldChar w:fldCharType="separate"/>
        </w:r>
        <w:r w:rsidR="00D301F9">
          <w:rPr>
            <w:noProof/>
            <w:webHidden/>
          </w:rPr>
          <w:t>3</w:t>
        </w:r>
        <w:r w:rsidR="00327B80">
          <w:rPr>
            <w:noProof/>
            <w:webHidden/>
          </w:rPr>
          <w:fldChar w:fldCharType="end"/>
        </w:r>
      </w:hyperlink>
    </w:p>
    <w:p w:rsidR="00327B80" w:rsidRDefault="003D1FFE">
      <w:pPr>
        <w:pStyle w:val="TDC2"/>
        <w:rPr>
          <w:rFonts w:asciiTheme="minorHAnsi" w:eastAsiaTheme="minorEastAsia" w:hAnsiTheme="minorHAnsi" w:cstheme="minorBidi"/>
          <w:noProof/>
          <w:szCs w:val="22"/>
          <w:lang w:val="es-ES" w:eastAsia="es-ES"/>
        </w:rPr>
      </w:pPr>
      <w:hyperlink w:anchor="_Toc463350251" w:history="1">
        <w:r w:rsidR="00327B80" w:rsidRPr="004677AD">
          <w:rPr>
            <w:rStyle w:val="Hipervnculo"/>
            <w:noProof/>
          </w:rPr>
          <w:t>IV.5. Cumplimiento de recomendaciones emitidas en informes anteriores de esta Cámara de Comptos</w:t>
        </w:r>
        <w:r w:rsidR="00327B80">
          <w:rPr>
            <w:noProof/>
            <w:webHidden/>
          </w:rPr>
          <w:tab/>
        </w:r>
        <w:r w:rsidR="00327B80">
          <w:rPr>
            <w:noProof/>
            <w:webHidden/>
          </w:rPr>
          <w:fldChar w:fldCharType="begin"/>
        </w:r>
        <w:r w:rsidR="00327B80">
          <w:rPr>
            <w:noProof/>
            <w:webHidden/>
          </w:rPr>
          <w:instrText xml:space="preserve"> PAGEREF _Toc463350251 \h </w:instrText>
        </w:r>
        <w:r w:rsidR="00327B80">
          <w:rPr>
            <w:noProof/>
            <w:webHidden/>
          </w:rPr>
        </w:r>
        <w:r w:rsidR="00327B80">
          <w:rPr>
            <w:noProof/>
            <w:webHidden/>
          </w:rPr>
          <w:fldChar w:fldCharType="separate"/>
        </w:r>
        <w:r w:rsidR="00D301F9">
          <w:rPr>
            <w:noProof/>
            <w:webHidden/>
          </w:rPr>
          <w:t>3</w:t>
        </w:r>
        <w:r w:rsidR="00327B80">
          <w:rPr>
            <w:noProof/>
            <w:webHidden/>
          </w:rPr>
          <w:fldChar w:fldCharType="end"/>
        </w:r>
      </w:hyperlink>
    </w:p>
    <w:p w:rsidR="00327B80" w:rsidRDefault="003D1FFE">
      <w:pPr>
        <w:pStyle w:val="TDC2"/>
        <w:rPr>
          <w:rFonts w:asciiTheme="minorHAnsi" w:eastAsiaTheme="minorEastAsia" w:hAnsiTheme="minorHAnsi" w:cstheme="minorBidi"/>
          <w:noProof/>
          <w:szCs w:val="22"/>
          <w:lang w:val="es-ES" w:eastAsia="es-ES"/>
        </w:rPr>
      </w:pPr>
      <w:hyperlink w:anchor="_Toc463350252" w:history="1">
        <w:r w:rsidR="00327B80" w:rsidRPr="004677AD">
          <w:rPr>
            <w:rStyle w:val="Hipervnculo"/>
            <w:noProof/>
          </w:rPr>
          <w:t>IV.6. Endeudamiento Gobierno de Navarra y avales constituidos a 31 de diciembre de 2015</w:t>
        </w:r>
        <w:r w:rsidR="00327B80">
          <w:rPr>
            <w:noProof/>
            <w:webHidden/>
          </w:rPr>
          <w:tab/>
        </w:r>
        <w:r w:rsidR="00327B80">
          <w:rPr>
            <w:noProof/>
            <w:webHidden/>
          </w:rPr>
          <w:fldChar w:fldCharType="begin"/>
        </w:r>
        <w:r w:rsidR="00327B80">
          <w:rPr>
            <w:noProof/>
            <w:webHidden/>
          </w:rPr>
          <w:instrText xml:space="preserve"> PAGEREF _Toc463350252 \h </w:instrText>
        </w:r>
        <w:r w:rsidR="00327B80">
          <w:rPr>
            <w:noProof/>
            <w:webHidden/>
          </w:rPr>
        </w:r>
        <w:r w:rsidR="00327B80">
          <w:rPr>
            <w:noProof/>
            <w:webHidden/>
          </w:rPr>
          <w:fldChar w:fldCharType="separate"/>
        </w:r>
        <w:r w:rsidR="00D301F9">
          <w:rPr>
            <w:noProof/>
            <w:webHidden/>
          </w:rPr>
          <w:t>3</w:t>
        </w:r>
        <w:r w:rsidR="00327B80">
          <w:rPr>
            <w:noProof/>
            <w:webHidden/>
          </w:rPr>
          <w:fldChar w:fldCharType="end"/>
        </w:r>
      </w:hyperlink>
    </w:p>
    <w:p w:rsidR="00327B80" w:rsidRDefault="003D1FFE">
      <w:pPr>
        <w:pStyle w:val="TDC2"/>
        <w:rPr>
          <w:rFonts w:asciiTheme="minorHAnsi" w:eastAsiaTheme="minorEastAsia" w:hAnsiTheme="minorHAnsi" w:cstheme="minorBidi"/>
          <w:noProof/>
          <w:szCs w:val="22"/>
          <w:lang w:val="es-ES" w:eastAsia="es-ES"/>
        </w:rPr>
      </w:pPr>
      <w:hyperlink w:anchor="_Toc463350253" w:history="1">
        <w:r w:rsidR="00327B80" w:rsidRPr="004677AD">
          <w:rPr>
            <w:rStyle w:val="Hipervnculo"/>
            <w:noProof/>
          </w:rPr>
          <w:t>IV.7. Convenio Económico con el Estado</w:t>
        </w:r>
        <w:r w:rsidR="00327B80">
          <w:rPr>
            <w:noProof/>
            <w:webHidden/>
          </w:rPr>
          <w:tab/>
        </w:r>
        <w:r w:rsidR="00327B80">
          <w:rPr>
            <w:noProof/>
            <w:webHidden/>
          </w:rPr>
          <w:fldChar w:fldCharType="begin"/>
        </w:r>
        <w:r w:rsidR="00327B80">
          <w:rPr>
            <w:noProof/>
            <w:webHidden/>
          </w:rPr>
          <w:instrText xml:space="preserve"> PAGEREF _Toc463350253 \h </w:instrText>
        </w:r>
        <w:r w:rsidR="00327B80">
          <w:rPr>
            <w:noProof/>
            <w:webHidden/>
          </w:rPr>
        </w:r>
        <w:r w:rsidR="00327B80">
          <w:rPr>
            <w:noProof/>
            <w:webHidden/>
          </w:rPr>
          <w:fldChar w:fldCharType="separate"/>
        </w:r>
        <w:r w:rsidR="00D301F9">
          <w:rPr>
            <w:noProof/>
            <w:webHidden/>
          </w:rPr>
          <w:t>3</w:t>
        </w:r>
        <w:r w:rsidR="00327B80">
          <w:rPr>
            <w:noProof/>
            <w:webHidden/>
          </w:rPr>
          <w:fldChar w:fldCharType="end"/>
        </w:r>
      </w:hyperlink>
    </w:p>
    <w:p w:rsidR="00327B80" w:rsidRDefault="003D1FFE">
      <w:pPr>
        <w:pStyle w:val="TDC2"/>
        <w:rPr>
          <w:rFonts w:asciiTheme="minorHAnsi" w:eastAsiaTheme="minorEastAsia" w:hAnsiTheme="minorHAnsi" w:cstheme="minorBidi"/>
          <w:noProof/>
          <w:szCs w:val="22"/>
          <w:lang w:val="es-ES" w:eastAsia="es-ES"/>
        </w:rPr>
      </w:pPr>
      <w:hyperlink w:anchor="_Toc463350254" w:history="1">
        <w:r w:rsidR="00327B80" w:rsidRPr="004677AD">
          <w:rPr>
            <w:rStyle w:val="Hipervnculo"/>
            <w:noProof/>
          </w:rPr>
          <w:t>IV.8. Gastos de personal</w:t>
        </w:r>
        <w:r w:rsidR="00327B80">
          <w:rPr>
            <w:noProof/>
            <w:webHidden/>
          </w:rPr>
          <w:tab/>
        </w:r>
        <w:r w:rsidR="00327B80">
          <w:rPr>
            <w:noProof/>
            <w:webHidden/>
          </w:rPr>
          <w:fldChar w:fldCharType="begin"/>
        </w:r>
        <w:r w:rsidR="00327B80">
          <w:rPr>
            <w:noProof/>
            <w:webHidden/>
          </w:rPr>
          <w:instrText xml:space="preserve"> PAGEREF _Toc463350254 \h </w:instrText>
        </w:r>
        <w:r w:rsidR="00327B80">
          <w:rPr>
            <w:noProof/>
            <w:webHidden/>
          </w:rPr>
        </w:r>
        <w:r w:rsidR="00327B80">
          <w:rPr>
            <w:noProof/>
            <w:webHidden/>
          </w:rPr>
          <w:fldChar w:fldCharType="separate"/>
        </w:r>
        <w:r w:rsidR="00D301F9">
          <w:rPr>
            <w:noProof/>
            <w:webHidden/>
          </w:rPr>
          <w:t>3</w:t>
        </w:r>
        <w:r w:rsidR="00327B80">
          <w:rPr>
            <w:noProof/>
            <w:webHidden/>
          </w:rPr>
          <w:fldChar w:fldCharType="end"/>
        </w:r>
      </w:hyperlink>
    </w:p>
    <w:p w:rsidR="00327B80" w:rsidRDefault="003D1FFE">
      <w:pPr>
        <w:pStyle w:val="TDC2"/>
        <w:rPr>
          <w:rFonts w:asciiTheme="minorHAnsi" w:eastAsiaTheme="minorEastAsia" w:hAnsiTheme="minorHAnsi" w:cstheme="minorBidi"/>
          <w:noProof/>
          <w:szCs w:val="22"/>
          <w:lang w:val="es-ES" w:eastAsia="es-ES"/>
        </w:rPr>
      </w:pPr>
      <w:hyperlink w:anchor="_Toc463350255" w:history="1">
        <w:r w:rsidR="00327B80" w:rsidRPr="004677AD">
          <w:rPr>
            <w:rStyle w:val="Hipervnculo"/>
            <w:noProof/>
          </w:rPr>
          <w:t>IV.9. Ingresos por impuestos</w:t>
        </w:r>
        <w:r w:rsidR="00327B80">
          <w:rPr>
            <w:noProof/>
            <w:webHidden/>
          </w:rPr>
          <w:tab/>
        </w:r>
        <w:r w:rsidR="00327B80">
          <w:rPr>
            <w:noProof/>
            <w:webHidden/>
          </w:rPr>
          <w:fldChar w:fldCharType="begin"/>
        </w:r>
        <w:r w:rsidR="00327B80">
          <w:rPr>
            <w:noProof/>
            <w:webHidden/>
          </w:rPr>
          <w:instrText xml:space="preserve"> PAGEREF _Toc463350255 \h </w:instrText>
        </w:r>
        <w:r w:rsidR="00327B80">
          <w:rPr>
            <w:noProof/>
            <w:webHidden/>
          </w:rPr>
        </w:r>
        <w:r w:rsidR="00327B80">
          <w:rPr>
            <w:noProof/>
            <w:webHidden/>
          </w:rPr>
          <w:fldChar w:fldCharType="separate"/>
        </w:r>
        <w:r w:rsidR="00D301F9">
          <w:rPr>
            <w:noProof/>
            <w:webHidden/>
          </w:rPr>
          <w:t>3</w:t>
        </w:r>
        <w:r w:rsidR="00327B80">
          <w:rPr>
            <w:noProof/>
            <w:webHidden/>
          </w:rPr>
          <w:fldChar w:fldCharType="end"/>
        </w:r>
      </w:hyperlink>
    </w:p>
    <w:p w:rsidR="00327B80" w:rsidRDefault="003D1FFE">
      <w:pPr>
        <w:pStyle w:val="TDC2"/>
        <w:rPr>
          <w:rFonts w:asciiTheme="minorHAnsi" w:eastAsiaTheme="minorEastAsia" w:hAnsiTheme="minorHAnsi" w:cstheme="minorBidi"/>
          <w:noProof/>
          <w:szCs w:val="22"/>
          <w:lang w:val="es-ES" w:eastAsia="es-ES"/>
        </w:rPr>
      </w:pPr>
      <w:hyperlink w:anchor="_Toc463350256" w:history="1">
        <w:r w:rsidR="00327B80" w:rsidRPr="004677AD">
          <w:rPr>
            <w:rStyle w:val="Hipervnculo"/>
            <w:noProof/>
          </w:rPr>
          <w:t>IV.10. Deudores</w:t>
        </w:r>
        <w:r w:rsidR="00327B80">
          <w:rPr>
            <w:noProof/>
            <w:webHidden/>
          </w:rPr>
          <w:tab/>
        </w:r>
        <w:r w:rsidR="00327B80">
          <w:rPr>
            <w:noProof/>
            <w:webHidden/>
          </w:rPr>
          <w:fldChar w:fldCharType="begin"/>
        </w:r>
        <w:r w:rsidR="00327B80">
          <w:rPr>
            <w:noProof/>
            <w:webHidden/>
          </w:rPr>
          <w:instrText xml:space="preserve"> PAGEREF _Toc463350256 \h </w:instrText>
        </w:r>
        <w:r w:rsidR="00327B80">
          <w:rPr>
            <w:noProof/>
            <w:webHidden/>
          </w:rPr>
        </w:r>
        <w:r w:rsidR="00327B80">
          <w:rPr>
            <w:noProof/>
            <w:webHidden/>
          </w:rPr>
          <w:fldChar w:fldCharType="separate"/>
        </w:r>
        <w:r w:rsidR="00D301F9">
          <w:rPr>
            <w:noProof/>
            <w:webHidden/>
          </w:rPr>
          <w:t>3</w:t>
        </w:r>
        <w:r w:rsidR="00327B80">
          <w:rPr>
            <w:noProof/>
            <w:webHidden/>
          </w:rPr>
          <w:fldChar w:fldCharType="end"/>
        </w:r>
      </w:hyperlink>
    </w:p>
    <w:p w:rsidR="00327B80" w:rsidRDefault="003D1FFE">
      <w:pPr>
        <w:pStyle w:val="TDC2"/>
        <w:rPr>
          <w:rFonts w:asciiTheme="minorHAnsi" w:eastAsiaTheme="minorEastAsia" w:hAnsiTheme="minorHAnsi" w:cstheme="minorBidi"/>
          <w:noProof/>
          <w:szCs w:val="22"/>
          <w:lang w:val="es-ES" w:eastAsia="es-ES"/>
        </w:rPr>
      </w:pPr>
      <w:hyperlink w:anchor="_Toc463350257" w:history="1">
        <w:r w:rsidR="00327B80" w:rsidRPr="004677AD">
          <w:rPr>
            <w:rStyle w:val="Hipervnculo"/>
            <w:noProof/>
          </w:rPr>
          <w:t>IV.11. Otras áreas de gestión</w:t>
        </w:r>
        <w:r w:rsidR="00327B80">
          <w:rPr>
            <w:noProof/>
            <w:webHidden/>
          </w:rPr>
          <w:tab/>
        </w:r>
        <w:r w:rsidR="00327B80">
          <w:rPr>
            <w:noProof/>
            <w:webHidden/>
          </w:rPr>
          <w:fldChar w:fldCharType="begin"/>
        </w:r>
        <w:r w:rsidR="00327B80">
          <w:rPr>
            <w:noProof/>
            <w:webHidden/>
          </w:rPr>
          <w:instrText xml:space="preserve"> PAGEREF _Toc463350257 \h </w:instrText>
        </w:r>
        <w:r w:rsidR="00327B80">
          <w:rPr>
            <w:noProof/>
            <w:webHidden/>
          </w:rPr>
        </w:r>
        <w:r w:rsidR="00327B80">
          <w:rPr>
            <w:noProof/>
            <w:webHidden/>
          </w:rPr>
          <w:fldChar w:fldCharType="separate"/>
        </w:r>
        <w:r w:rsidR="00D301F9">
          <w:rPr>
            <w:noProof/>
            <w:webHidden/>
          </w:rPr>
          <w:t>3</w:t>
        </w:r>
        <w:r w:rsidR="00327B80">
          <w:rPr>
            <w:noProof/>
            <w:webHidden/>
          </w:rPr>
          <w:fldChar w:fldCharType="end"/>
        </w:r>
      </w:hyperlink>
    </w:p>
    <w:p w:rsidR="00327B80" w:rsidRDefault="003D1FFE">
      <w:pPr>
        <w:pStyle w:val="TDC2"/>
        <w:rPr>
          <w:rFonts w:asciiTheme="minorHAnsi" w:eastAsiaTheme="minorEastAsia" w:hAnsiTheme="minorHAnsi" w:cstheme="minorBidi"/>
          <w:noProof/>
          <w:szCs w:val="22"/>
          <w:lang w:val="es-ES" w:eastAsia="es-ES"/>
        </w:rPr>
      </w:pPr>
      <w:hyperlink w:anchor="_Toc463350258" w:history="1">
        <w:r w:rsidR="00327B80" w:rsidRPr="004677AD">
          <w:rPr>
            <w:rStyle w:val="Hipervnculo"/>
            <w:noProof/>
          </w:rPr>
          <w:t>IV.12. Sociedades públicas y grupo empresarial CPEN</w:t>
        </w:r>
        <w:r w:rsidR="00327B80">
          <w:rPr>
            <w:noProof/>
            <w:webHidden/>
          </w:rPr>
          <w:tab/>
        </w:r>
        <w:r w:rsidR="00327B80">
          <w:rPr>
            <w:noProof/>
            <w:webHidden/>
          </w:rPr>
          <w:fldChar w:fldCharType="begin"/>
        </w:r>
        <w:r w:rsidR="00327B80">
          <w:rPr>
            <w:noProof/>
            <w:webHidden/>
          </w:rPr>
          <w:instrText xml:space="preserve"> PAGEREF _Toc463350258 \h </w:instrText>
        </w:r>
        <w:r w:rsidR="00327B80">
          <w:rPr>
            <w:noProof/>
            <w:webHidden/>
          </w:rPr>
        </w:r>
        <w:r w:rsidR="00327B80">
          <w:rPr>
            <w:noProof/>
            <w:webHidden/>
          </w:rPr>
          <w:fldChar w:fldCharType="separate"/>
        </w:r>
        <w:r w:rsidR="00D301F9">
          <w:rPr>
            <w:noProof/>
            <w:webHidden/>
          </w:rPr>
          <w:t>3</w:t>
        </w:r>
        <w:r w:rsidR="00327B80">
          <w:rPr>
            <w:noProof/>
            <w:webHidden/>
          </w:rPr>
          <w:fldChar w:fldCharType="end"/>
        </w:r>
      </w:hyperlink>
    </w:p>
    <w:p w:rsidR="00327B80" w:rsidRDefault="003D1FFE">
      <w:pPr>
        <w:pStyle w:val="TDC2"/>
        <w:rPr>
          <w:rFonts w:asciiTheme="minorHAnsi" w:eastAsiaTheme="minorEastAsia" w:hAnsiTheme="minorHAnsi" w:cstheme="minorBidi"/>
          <w:noProof/>
          <w:szCs w:val="22"/>
          <w:lang w:val="es-ES" w:eastAsia="es-ES"/>
        </w:rPr>
      </w:pPr>
      <w:hyperlink w:anchor="_Toc463350259" w:history="1">
        <w:r w:rsidR="00327B80" w:rsidRPr="004677AD">
          <w:rPr>
            <w:rStyle w:val="Hipervnculo"/>
            <w:noProof/>
          </w:rPr>
          <w:t>IV.13. Fundaciones públicas</w:t>
        </w:r>
        <w:r w:rsidR="00327B80">
          <w:rPr>
            <w:noProof/>
            <w:webHidden/>
          </w:rPr>
          <w:tab/>
        </w:r>
        <w:r w:rsidR="00327B80">
          <w:rPr>
            <w:noProof/>
            <w:webHidden/>
          </w:rPr>
          <w:fldChar w:fldCharType="begin"/>
        </w:r>
        <w:r w:rsidR="00327B80">
          <w:rPr>
            <w:noProof/>
            <w:webHidden/>
          </w:rPr>
          <w:instrText xml:space="preserve"> PAGEREF _Toc463350259 \h </w:instrText>
        </w:r>
        <w:r w:rsidR="00327B80">
          <w:rPr>
            <w:noProof/>
            <w:webHidden/>
          </w:rPr>
        </w:r>
        <w:r w:rsidR="00327B80">
          <w:rPr>
            <w:noProof/>
            <w:webHidden/>
          </w:rPr>
          <w:fldChar w:fldCharType="separate"/>
        </w:r>
        <w:r w:rsidR="00D301F9">
          <w:rPr>
            <w:noProof/>
            <w:webHidden/>
          </w:rPr>
          <w:t>3</w:t>
        </w:r>
        <w:r w:rsidR="00327B80">
          <w:rPr>
            <w:noProof/>
            <w:webHidden/>
          </w:rPr>
          <w:fldChar w:fldCharType="end"/>
        </w:r>
      </w:hyperlink>
    </w:p>
    <w:p w:rsidR="00327B80" w:rsidRDefault="003D1FFE">
      <w:pPr>
        <w:pStyle w:val="TDC1"/>
        <w:rPr>
          <w:rFonts w:asciiTheme="minorHAnsi" w:eastAsiaTheme="minorEastAsia" w:hAnsiTheme="minorHAnsi" w:cstheme="minorBidi"/>
          <w:smallCaps w:val="0"/>
          <w:noProof/>
          <w:szCs w:val="22"/>
          <w:lang w:val="es-ES" w:eastAsia="es-ES"/>
        </w:rPr>
      </w:pPr>
      <w:hyperlink w:anchor="_Toc463350260" w:history="1">
        <w:r w:rsidR="00327B80" w:rsidRPr="004677AD">
          <w:rPr>
            <w:rStyle w:val="Hipervnculo"/>
            <w:noProof/>
          </w:rPr>
          <w:t>Resumen de la Memoria de la Cuenta General de 2015</w:t>
        </w:r>
        <w:r w:rsidR="00327B80">
          <w:rPr>
            <w:noProof/>
            <w:webHidden/>
          </w:rPr>
          <w:tab/>
        </w:r>
        <w:r w:rsidR="00327B80">
          <w:rPr>
            <w:noProof/>
            <w:webHidden/>
          </w:rPr>
          <w:fldChar w:fldCharType="begin"/>
        </w:r>
        <w:r w:rsidR="00327B80">
          <w:rPr>
            <w:noProof/>
            <w:webHidden/>
          </w:rPr>
          <w:instrText xml:space="preserve"> PAGEREF _Toc463350260 \h </w:instrText>
        </w:r>
        <w:r w:rsidR="00327B80">
          <w:rPr>
            <w:noProof/>
            <w:webHidden/>
          </w:rPr>
        </w:r>
        <w:r w:rsidR="00327B80">
          <w:rPr>
            <w:noProof/>
            <w:webHidden/>
          </w:rPr>
          <w:fldChar w:fldCharType="separate"/>
        </w:r>
        <w:r w:rsidR="00D301F9">
          <w:rPr>
            <w:noProof/>
            <w:webHidden/>
          </w:rPr>
          <w:t>3</w:t>
        </w:r>
        <w:r w:rsidR="00327B80">
          <w:rPr>
            <w:noProof/>
            <w:webHidden/>
          </w:rPr>
          <w:fldChar w:fldCharType="end"/>
        </w:r>
      </w:hyperlink>
    </w:p>
    <w:p w:rsidR="00891D73" w:rsidRDefault="00882BEB" w:rsidP="00146342">
      <w:pPr>
        <w:pStyle w:val="texto"/>
      </w:pPr>
      <w:r>
        <w:fldChar w:fldCharType="end"/>
      </w:r>
    </w:p>
    <w:p w:rsidR="00891D73" w:rsidRDefault="00891D73" w:rsidP="00146342">
      <w:pPr>
        <w:pStyle w:val="texto"/>
      </w:pPr>
    </w:p>
    <w:p w:rsidR="008E3FFE" w:rsidRDefault="008E3FFE" w:rsidP="00587AC6">
      <w:pPr>
        <w:pStyle w:val="texto"/>
        <w:ind w:firstLine="0"/>
        <w:sectPr w:rsidR="008E3FFE" w:rsidSect="00482F67">
          <w:type w:val="oddPage"/>
          <w:pgSz w:w="11907" w:h="16840" w:code="9"/>
          <w:pgMar w:top="2109" w:right="1559" w:bottom="1644" w:left="1559" w:header="369" w:footer="402" w:gutter="0"/>
          <w:pgNumType w:start="3"/>
          <w:cols w:space="720"/>
          <w:docGrid w:linePitch="360"/>
        </w:sectPr>
      </w:pPr>
    </w:p>
    <w:p w:rsidR="00432E52" w:rsidRDefault="00882BEB" w:rsidP="008900BC">
      <w:pPr>
        <w:pStyle w:val="atitulo1"/>
      </w:pPr>
      <w:bookmarkStart w:id="1" w:name="_Toc303592528"/>
      <w:bookmarkStart w:id="2" w:name="_Toc309383711"/>
      <w:bookmarkStart w:id="3" w:name="_Toc339016600"/>
      <w:bookmarkStart w:id="4" w:name="_Toc463350236"/>
      <w:r w:rsidRPr="00FB570E">
        <w:lastRenderedPageBreak/>
        <w:t>I. Introducción</w:t>
      </w:r>
      <w:bookmarkEnd w:id="1"/>
      <w:bookmarkEnd w:id="2"/>
      <w:bookmarkEnd w:id="3"/>
      <w:bookmarkEnd w:id="4"/>
      <w:r w:rsidR="00F60E62">
        <w:t xml:space="preserve"> </w:t>
      </w:r>
    </w:p>
    <w:p w:rsidR="0076219E" w:rsidRDefault="00432E52" w:rsidP="008900BC">
      <w:pPr>
        <w:pStyle w:val="texto"/>
        <w:rPr>
          <w:szCs w:val="26"/>
        </w:rPr>
      </w:pPr>
      <w:r>
        <w:rPr>
          <w:szCs w:val="26"/>
        </w:rPr>
        <w:t>La Cámara de Comptos</w:t>
      </w:r>
      <w:r w:rsidR="0076219E">
        <w:rPr>
          <w:szCs w:val="26"/>
        </w:rPr>
        <w:t xml:space="preserve">, </w:t>
      </w:r>
      <w:r w:rsidR="00412338" w:rsidRPr="000E2288">
        <w:rPr>
          <w:lang w:val="es-ES"/>
        </w:rPr>
        <w:t>en cumplimiento de su Ley Foral reguladora 19/1984, de 20 de diciembre,</w:t>
      </w:r>
      <w:r w:rsidR="00412338">
        <w:rPr>
          <w:lang w:val="es-ES"/>
        </w:rPr>
        <w:t xml:space="preserve"> y de</w:t>
      </w:r>
      <w:r w:rsidR="0076219E">
        <w:rPr>
          <w:szCs w:val="26"/>
        </w:rPr>
        <w:t xml:space="preserve"> acuerdo </w:t>
      </w:r>
      <w:r w:rsidR="00412338">
        <w:rPr>
          <w:szCs w:val="26"/>
        </w:rPr>
        <w:t>con</w:t>
      </w:r>
      <w:r w:rsidR="0076219E">
        <w:rPr>
          <w:szCs w:val="26"/>
        </w:rPr>
        <w:t xml:space="preserve"> su</w:t>
      </w:r>
      <w:r>
        <w:rPr>
          <w:szCs w:val="26"/>
        </w:rPr>
        <w:t xml:space="preserve"> </w:t>
      </w:r>
      <w:r w:rsidR="00F7520F">
        <w:rPr>
          <w:szCs w:val="26"/>
        </w:rPr>
        <w:t>p</w:t>
      </w:r>
      <w:r>
        <w:rPr>
          <w:szCs w:val="26"/>
        </w:rPr>
        <w:t xml:space="preserve">rograma de </w:t>
      </w:r>
      <w:r w:rsidR="00F7520F">
        <w:rPr>
          <w:szCs w:val="26"/>
        </w:rPr>
        <w:t>a</w:t>
      </w:r>
      <w:r>
        <w:rPr>
          <w:szCs w:val="26"/>
        </w:rPr>
        <w:t xml:space="preserve">ctuación </w:t>
      </w:r>
      <w:r w:rsidR="0036661A">
        <w:rPr>
          <w:szCs w:val="26"/>
        </w:rPr>
        <w:t xml:space="preserve">para </w:t>
      </w:r>
      <w:r>
        <w:rPr>
          <w:szCs w:val="26"/>
        </w:rPr>
        <w:t>201</w:t>
      </w:r>
      <w:r w:rsidR="004B15C9">
        <w:rPr>
          <w:szCs w:val="26"/>
        </w:rPr>
        <w:t>6</w:t>
      </w:r>
      <w:r w:rsidR="0076219E">
        <w:rPr>
          <w:szCs w:val="26"/>
        </w:rPr>
        <w:t xml:space="preserve">, ha fiscalizado las cuentas </w:t>
      </w:r>
      <w:r w:rsidR="00412338">
        <w:rPr>
          <w:szCs w:val="26"/>
        </w:rPr>
        <w:t>generales de Navarra</w:t>
      </w:r>
      <w:r w:rsidR="0076219E">
        <w:rPr>
          <w:szCs w:val="26"/>
        </w:rPr>
        <w:t xml:space="preserve"> correspondientes al eje</w:t>
      </w:r>
      <w:r w:rsidR="0076219E">
        <w:rPr>
          <w:szCs w:val="26"/>
        </w:rPr>
        <w:t>r</w:t>
      </w:r>
      <w:r w:rsidR="0076219E">
        <w:rPr>
          <w:szCs w:val="26"/>
        </w:rPr>
        <w:t>cicio de 201</w:t>
      </w:r>
      <w:r w:rsidR="00412338">
        <w:rPr>
          <w:szCs w:val="26"/>
        </w:rPr>
        <w:t>5</w:t>
      </w:r>
      <w:r w:rsidR="0076219E">
        <w:rPr>
          <w:szCs w:val="26"/>
        </w:rPr>
        <w:t xml:space="preserve">, que están </w:t>
      </w:r>
      <w:r w:rsidR="00FB5214">
        <w:rPr>
          <w:szCs w:val="26"/>
        </w:rPr>
        <w:t>formadas</w:t>
      </w:r>
      <w:r w:rsidR="0076219E">
        <w:rPr>
          <w:szCs w:val="26"/>
        </w:rPr>
        <w:t>, fundamentalmente, por el estado de liquid</w:t>
      </w:r>
      <w:r w:rsidR="0076219E">
        <w:rPr>
          <w:szCs w:val="26"/>
        </w:rPr>
        <w:t>a</w:t>
      </w:r>
      <w:r w:rsidR="0076219E">
        <w:rPr>
          <w:szCs w:val="26"/>
        </w:rPr>
        <w:t>ción del presupuesto, el balance, la cuenta de resultados económico-patrimonial y la memoria correspondientes al ejercicio terminado en esa fecha.</w:t>
      </w:r>
      <w:r w:rsidR="00CF7E8B">
        <w:rPr>
          <w:szCs w:val="26"/>
        </w:rPr>
        <w:t xml:space="preserve"> Estas cue</w:t>
      </w:r>
      <w:r w:rsidR="00CF7E8B">
        <w:rPr>
          <w:szCs w:val="26"/>
        </w:rPr>
        <w:t>n</w:t>
      </w:r>
      <w:r w:rsidR="00CF7E8B">
        <w:rPr>
          <w:szCs w:val="26"/>
        </w:rPr>
        <w:t xml:space="preserve">tas anuales han sido formuladas </w:t>
      </w:r>
      <w:r w:rsidR="00412338">
        <w:rPr>
          <w:szCs w:val="26"/>
        </w:rPr>
        <w:t xml:space="preserve">básicamente </w:t>
      </w:r>
      <w:r w:rsidR="00CF7E8B">
        <w:rPr>
          <w:szCs w:val="26"/>
        </w:rPr>
        <w:t>según el Plan General de Contab</w:t>
      </w:r>
      <w:r w:rsidR="00CF7E8B">
        <w:rPr>
          <w:szCs w:val="26"/>
        </w:rPr>
        <w:t>i</w:t>
      </w:r>
      <w:r w:rsidR="00CF7E8B">
        <w:rPr>
          <w:szCs w:val="26"/>
        </w:rPr>
        <w:t>lidad Pública de 1994.</w:t>
      </w:r>
    </w:p>
    <w:p w:rsidR="00A7754F" w:rsidRDefault="0076219E" w:rsidP="003D5A2E">
      <w:pPr>
        <w:pStyle w:val="texto"/>
        <w:tabs>
          <w:tab w:val="clear" w:pos="2835"/>
          <w:tab w:val="clear" w:pos="3969"/>
          <w:tab w:val="clear" w:pos="5103"/>
          <w:tab w:val="clear" w:pos="6237"/>
          <w:tab w:val="clear" w:pos="7371"/>
        </w:tabs>
        <w:rPr>
          <w:szCs w:val="26"/>
        </w:rPr>
      </w:pPr>
      <w:r w:rsidRPr="0076219E">
        <w:rPr>
          <w:szCs w:val="26"/>
        </w:rPr>
        <w:t>Conjuntamente con la auditoría financiera de las cuentas anuales, hemos planificado y ejecutado una fiscalización de cumplimiento de la legalidad para emitir una opinión sobre si las actividades, operaciones presupuestarias y f</w:t>
      </w:r>
      <w:r w:rsidRPr="0076219E">
        <w:rPr>
          <w:szCs w:val="26"/>
        </w:rPr>
        <w:t>i</w:t>
      </w:r>
      <w:r w:rsidRPr="0076219E">
        <w:rPr>
          <w:szCs w:val="26"/>
        </w:rPr>
        <w:t xml:space="preserve">nancieras realizadas </w:t>
      </w:r>
      <w:r>
        <w:rPr>
          <w:szCs w:val="26"/>
        </w:rPr>
        <w:t xml:space="preserve">por </w:t>
      </w:r>
      <w:r w:rsidR="00412338">
        <w:rPr>
          <w:szCs w:val="26"/>
        </w:rPr>
        <w:t>el Gobierno de Navarra y sus organismos autónomos</w:t>
      </w:r>
      <w:r w:rsidR="00A54778">
        <w:rPr>
          <w:szCs w:val="26"/>
        </w:rPr>
        <w:t xml:space="preserve"> (en adelante, OOAA)</w:t>
      </w:r>
      <w:r w:rsidR="00412338">
        <w:rPr>
          <w:szCs w:val="26"/>
        </w:rPr>
        <w:t xml:space="preserve"> </w:t>
      </w:r>
      <w:r w:rsidRPr="0076219E">
        <w:rPr>
          <w:szCs w:val="26"/>
        </w:rPr>
        <w:t xml:space="preserve">durante el ejercicio y la información reflejada en las cuentas </w:t>
      </w:r>
      <w:r w:rsidR="0057182B">
        <w:rPr>
          <w:szCs w:val="26"/>
        </w:rPr>
        <w:t>generales</w:t>
      </w:r>
      <w:r w:rsidRPr="0076219E">
        <w:rPr>
          <w:szCs w:val="26"/>
        </w:rPr>
        <w:t xml:space="preserve"> del ejercicio 201</w:t>
      </w:r>
      <w:r w:rsidR="00412338">
        <w:rPr>
          <w:szCs w:val="26"/>
        </w:rPr>
        <w:t>5</w:t>
      </w:r>
      <w:r w:rsidRPr="0076219E">
        <w:rPr>
          <w:szCs w:val="26"/>
        </w:rPr>
        <w:t xml:space="preserve"> resultan conformes en todos los aspectos significativos con las normas aplicables a la gestión de los fondos públicos. </w:t>
      </w:r>
    </w:p>
    <w:p w:rsidR="00412338" w:rsidRPr="00FB0A5A" w:rsidRDefault="0076219E" w:rsidP="00506FD1">
      <w:pPr>
        <w:pStyle w:val="texto"/>
        <w:tabs>
          <w:tab w:val="clear" w:pos="2835"/>
          <w:tab w:val="clear" w:pos="3969"/>
          <w:tab w:val="clear" w:pos="5103"/>
          <w:tab w:val="clear" w:pos="6237"/>
          <w:tab w:val="clear" w:pos="7371"/>
        </w:tabs>
        <w:rPr>
          <w:szCs w:val="26"/>
        </w:rPr>
      </w:pPr>
      <w:r w:rsidRPr="0076219E">
        <w:rPr>
          <w:szCs w:val="26"/>
        </w:rPr>
        <w:t xml:space="preserve">El marco normativo que resulta aplicable </w:t>
      </w:r>
      <w:r w:rsidR="00412338">
        <w:rPr>
          <w:szCs w:val="26"/>
        </w:rPr>
        <w:t xml:space="preserve">al Gobierno de Navarra </w:t>
      </w:r>
      <w:r w:rsidR="00FB0A5A">
        <w:rPr>
          <w:szCs w:val="26"/>
        </w:rPr>
        <w:t>en 201</w:t>
      </w:r>
      <w:r w:rsidR="00412338">
        <w:rPr>
          <w:szCs w:val="26"/>
        </w:rPr>
        <w:t>5</w:t>
      </w:r>
      <w:r w:rsidR="00FB0A5A">
        <w:rPr>
          <w:szCs w:val="26"/>
        </w:rPr>
        <w:t xml:space="preserve"> está constituido fundamentalmente por:</w:t>
      </w:r>
    </w:p>
    <w:p w:rsidR="00412338" w:rsidRPr="00412338" w:rsidRDefault="00412338" w:rsidP="0041233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412338">
        <w:rPr>
          <w:szCs w:val="26"/>
        </w:rPr>
        <w:t>Ley Foral 19/2011, de 28 de diciembre, de Presupuestos Generales de N</w:t>
      </w:r>
      <w:r w:rsidRPr="00412338">
        <w:rPr>
          <w:szCs w:val="26"/>
        </w:rPr>
        <w:t>a</w:t>
      </w:r>
      <w:r w:rsidRPr="00412338">
        <w:rPr>
          <w:szCs w:val="26"/>
        </w:rPr>
        <w:t>varra para el año 2012.</w:t>
      </w:r>
    </w:p>
    <w:p w:rsidR="000C6F3D" w:rsidRPr="00412338" w:rsidRDefault="000C6F3D" w:rsidP="000C6F3D">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412338">
        <w:rPr>
          <w:szCs w:val="26"/>
        </w:rPr>
        <w:t>Acuerdo del Gobierno de Navarra de 29 de diciembre de 2014, por el que se dictan las normas de ejecución que regirán la prórroga de los Presupuestos Generales de Navarra de 2012 para el ejercicio de 2015.</w:t>
      </w:r>
    </w:p>
    <w:p w:rsidR="00412338" w:rsidRPr="00412338" w:rsidRDefault="00412338" w:rsidP="0041233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412338">
        <w:rPr>
          <w:szCs w:val="26"/>
        </w:rPr>
        <w:t>Ley Foral 13/2007, de 4 de abril, de la Hacienda Pública de Navarra.</w:t>
      </w:r>
    </w:p>
    <w:p w:rsidR="00352E7A" w:rsidRDefault="00352E7A" w:rsidP="0041233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352E7A">
        <w:rPr>
          <w:szCs w:val="26"/>
        </w:rPr>
        <w:t>Ley Foral 13/2000,</w:t>
      </w:r>
      <w:r>
        <w:rPr>
          <w:szCs w:val="26"/>
        </w:rPr>
        <w:t xml:space="preserve"> de 14 de diciembre,</w:t>
      </w:r>
      <w:r w:rsidRPr="00352E7A">
        <w:rPr>
          <w:szCs w:val="26"/>
        </w:rPr>
        <w:t xml:space="preserve"> General Tributaria</w:t>
      </w:r>
      <w:r>
        <w:rPr>
          <w:szCs w:val="26"/>
        </w:rPr>
        <w:t xml:space="preserve"> de Navarra. </w:t>
      </w:r>
    </w:p>
    <w:p w:rsidR="00422892" w:rsidRDefault="00422892" w:rsidP="0041233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Ley 28/1990, por la que se aprueba el Convenio Económico entre el Estado y la Comunidad Foral de Navarra.</w:t>
      </w:r>
    </w:p>
    <w:p w:rsidR="00412338" w:rsidRPr="00412338" w:rsidRDefault="00412338" w:rsidP="0041233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412338">
        <w:rPr>
          <w:szCs w:val="26"/>
        </w:rPr>
        <w:t>Ley Orgánica 2/2012, de 27 de abril, de Estabilidad Presupuestaria y de Sostenibilidad Financiera.</w:t>
      </w:r>
    </w:p>
    <w:p w:rsidR="00412338" w:rsidRDefault="00412338" w:rsidP="00EF14DC">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412338">
        <w:rPr>
          <w:szCs w:val="26"/>
        </w:rPr>
        <w:t>Orden Foral 64/2015, de 11 de noviembre, del Consejero de Hacienda y Política Financiera, por la que se aprueban las normas reguladoras del cierre y liquidación de los presupuestos generales de Navarra y de las cuentas de bala</w:t>
      </w:r>
      <w:r w:rsidRPr="00412338">
        <w:rPr>
          <w:szCs w:val="26"/>
        </w:rPr>
        <w:t>n</w:t>
      </w:r>
      <w:r w:rsidRPr="00412338">
        <w:rPr>
          <w:szCs w:val="26"/>
        </w:rPr>
        <w:t>ce del ejercicio 2015 y la apertura del ejercicio 2016.</w:t>
      </w:r>
    </w:p>
    <w:p w:rsidR="000C6F3D" w:rsidRPr="00EF14DC" w:rsidRDefault="000C6F3D" w:rsidP="00EF14DC">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Normativa sectorial vigente</w:t>
      </w:r>
      <w:r w:rsidR="00451AA0">
        <w:rPr>
          <w:szCs w:val="26"/>
        </w:rPr>
        <w:t>.</w:t>
      </w:r>
    </w:p>
    <w:p w:rsidR="00F12934" w:rsidRDefault="00506FD1" w:rsidP="00506FD1">
      <w:pPr>
        <w:pStyle w:val="texto"/>
        <w:tabs>
          <w:tab w:val="clear" w:pos="2835"/>
          <w:tab w:val="clear" w:pos="3969"/>
          <w:tab w:val="clear" w:pos="5103"/>
          <w:tab w:val="clear" w:pos="6237"/>
          <w:tab w:val="clear" w:pos="7371"/>
        </w:tabs>
        <w:rPr>
          <w:szCs w:val="26"/>
        </w:rPr>
      </w:pPr>
      <w:r>
        <w:rPr>
          <w:szCs w:val="26"/>
        </w:rPr>
        <w:t xml:space="preserve">Conviene precisar, con carácter previo, que </w:t>
      </w:r>
      <w:r w:rsidR="009D56A2">
        <w:rPr>
          <w:szCs w:val="26"/>
        </w:rPr>
        <w:t>los</w:t>
      </w:r>
      <w:r w:rsidR="0070027D">
        <w:rPr>
          <w:szCs w:val="26"/>
        </w:rPr>
        <w:t xml:space="preserve"> presupuesto</w:t>
      </w:r>
      <w:r w:rsidR="009D56A2">
        <w:rPr>
          <w:szCs w:val="26"/>
        </w:rPr>
        <w:t>s generales</w:t>
      </w:r>
      <w:r w:rsidR="0070027D">
        <w:rPr>
          <w:szCs w:val="26"/>
        </w:rPr>
        <w:t xml:space="preserve"> </w:t>
      </w:r>
      <w:r w:rsidR="00EB0CF4" w:rsidRPr="00130F3E">
        <w:rPr>
          <w:szCs w:val="26"/>
        </w:rPr>
        <w:t>de</w:t>
      </w:r>
      <w:r>
        <w:rPr>
          <w:szCs w:val="26"/>
        </w:rPr>
        <w:t>l Gobierno de Navarra para 2015 son una prórroga de</w:t>
      </w:r>
      <w:r w:rsidR="009D56A2">
        <w:rPr>
          <w:szCs w:val="26"/>
        </w:rPr>
        <w:t xml:space="preserve"> </w:t>
      </w:r>
      <w:r>
        <w:rPr>
          <w:szCs w:val="26"/>
        </w:rPr>
        <w:t>l</w:t>
      </w:r>
      <w:r w:rsidR="009D56A2">
        <w:rPr>
          <w:szCs w:val="26"/>
        </w:rPr>
        <w:t>os</w:t>
      </w:r>
      <w:r>
        <w:rPr>
          <w:szCs w:val="26"/>
        </w:rPr>
        <w:t xml:space="preserve"> presupuesto</w:t>
      </w:r>
      <w:r w:rsidR="009D56A2">
        <w:rPr>
          <w:szCs w:val="26"/>
        </w:rPr>
        <w:t>s</w:t>
      </w:r>
      <w:r>
        <w:rPr>
          <w:szCs w:val="26"/>
        </w:rPr>
        <w:t xml:space="preserve"> de 2012.</w:t>
      </w:r>
    </w:p>
    <w:p w:rsidR="00EB0CF4" w:rsidRDefault="00F12934" w:rsidP="00506FD1">
      <w:pPr>
        <w:pStyle w:val="texto"/>
        <w:tabs>
          <w:tab w:val="clear" w:pos="2835"/>
          <w:tab w:val="clear" w:pos="3969"/>
          <w:tab w:val="clear" w:pos="5103"/>
          <w:tab w:val="clear" w:pos="6237"/>
          <w:tab w:val="clear" w:pos="7371"/>
        </w:tabs>
        <w:rPr>
          <w:szCs w:val="26"/>
        </w:rPr>
      </w:pPr>
      <w:r>
        <w:rPr>
          <w:szCs w:val="26"/>
        </w:rPr>
        <w:lastRenderedPageBreak/>
        <w:t xml:space="preserve">Al cierre del ejercicio de 2015, la información </w:t>
      </w:r>
      <w:r w:rsidR="00445135">
        <w:rPr>
          <w:szCs w:val="26"/>
        </w:rPr>
        <w:t xml:space="preserve">económico-presupuestaria </w:t>
      </w:r>
      <w:r>
        <w:rPr>
          <w:szCs w:val="26"/>
        </w:rPr>
        <w:t xml:space="preserve">más relevante del </w:t>
      </w:r>
      <w:r w:rsidR="007B6EB3">
        <w:rPr>
          <w:szCs w:val="26"/>
        </w:rPr>
        <w:t>Sector Público Foral</w:t>
      </w:r>
      <w:r>
        <w:rPr>
          <w:szCs w:val="26"/>
        </w:rPr>
        <w:t xml:space="preserve"> de Navarra la resumimos en:</w:t>
      </w:r>
      <w:r w:rsidR="00EB0CF4" w:rsidRPr="00130F3E">
        <w:rPr>
          <w:szCs w:val="26"/>
        </w:rPr>
        <w:t xml:space="preserve"> </w:t>
      </w:r>
    </w:p>
    <w:p w:rsidR="00F12934" w:rsidRDefault="00F12934" w:rsidP="00F1293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El Gobierno</w:t>
      </w:r>
      <w:r w:rsidR="00A54778">
        <w:rPr>
          <w:szCs w:val="26"/>
        </w:rPr>
        <w:t xml:space="preserve"> y sus OOAA</w:t>
      </w:r>
      <w:r>
        <w:rPr>
          <w:szCs w:val="26"/>
        </w:rPr>
        <w:t xml:space="preserve"> ha</w:t>
      </w:r>
      <w:r w:rsidR="00124261">
        <w:rPr>
          <w:szCs w:val="26"/>
        </w:rPr>
        <w:t>n</w:t>
      </w:r>
      <w:r>
        <w:rPr>
          <w:szCs w:val="26"/>
        </w:rPr>
        <w:t xml:space="preserve"> realizado un gasto presupuestario de 3.913,96 millones y ha</w:t>
      </w:r>
      <w:r w:rsidR="00124261">
        <w:rPr>
          <w:szCs w:val="26"/>
        </w:rPr>
        <w:t>n</w:t>
      </w:r>
      <w:r>
        <w:rPr>
          <w:szCs w:val="26"/>
        </w:rPr>
        <w:t xml:space="preserve"> reconocido unos ingresos presupuestarios de 3.876,56 millones.</w:t>
      </w:r>
    </w:p>
    <w:p w:rsidR="00E97DC3" w:rsidRPr="00710EAA" w:rsidRDefault="00E97DC3" w:rsidP="00E97DC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710EAA">
        <w:rPr>
          <w:szCs w:val="26"/>
        </w:rPr>
        <w:t>Las instituciones parlamentarias han obtenido unos ingresos</w:t>
      </w:r>
      <w:r>
        <w:rPr>
          <w:szCs w:val="26"/>
        </w:rPr>
        <w:t xml:space="preserve"> presupuest</w:t>
      </w:r>
      <w:r>
        <w:rPr>
          <w:szCs w:val="26"/>
        </w:rPr>
        <w:t>a</w:t>
      </w:r>
      <w:r>
        <w:rPr>
          <w:szCs w:val="26"/>
        </w:rPr>
        <w:t>rios</w:t>
      </w:r>
      <w:r w:rsidRPr="00710EAA">
        <w:rPr>
          <w:szCs w:val="26"/>
        </w:rPr>
        <w:t xml:space="preserve"> de 16,</w:t>
      </w:r>
      <w:r w:rsidR="001E2871">
        <w:rPr>
          <w:szCs w:val="26"/>
        </w:rPr>
        <w:t>02</w:t>
      </w:r>
      <w:r w:rsidRPr="00710EAA">
        <w:rPr>
          <w:szCs w:val="26"/>
        </w:rPr>
        <w:t xml:space="preserve"> millones, han ejecutado gastos por importe de 13,99 millones y han reintegrado a la Hacienda Foral un total de 2,23 millones.</w:t>
      </w:r>
    </w:p>
    <w:p w:rsidR="00F12934" w:rsidRDefault="00F12934" w:rsidP="00F1293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 xml:space="preserve">El resultado económico </w:t>
      </w:r>
      <w:r w:rsidR="00954BCD">
        <w:rPr>
          <w:szCs w:val="26"/>
        </w:rPr>
        <w:t xml:space="preserve">agregado </w:t>
      </w:r>
      <w:r w:rsidR="003C402B">
        <w:rPr>
          <w:szCs w:val="26"/>
        </w:rPr>
        <w:t xml:space="preserve">de las </w:t>
      </w:r>
      <w:r>
        <w:rPr>
          <w:szCs w:val="26"/>
        </w:rPr>
        <w:t>empresas públicas ha ascendido</w:t>
      </w:r>
      <w:r w:rsidR="00954BCD">
        <w:rPr>
          <w:szCs w:val="26"/>
        </w:rPr>
        <w:t xml:space="preserve"> </w:t>
      </w:r>
      <w:r>
        <w:rPr>
          <w:szCs w:val="26"/>
        </w:rPr>
        <w:t xml:space="preserve">a </w:t>
      </w:r>
      <w:r w:rsidR="00EE7276">
        <w:rPr>
          <w:szCs w:val="26"/>
        </w:rPr>
        <w:t>unas pérdidas</w:t>
      </w:r>
      <w:r w:rsidR="00B5662D">
        <w:rPr>
          <w:szCs w:val="26"/>
        </w:rPr>
        <w:t xml:space="preserve"> </w:t>
      </w:r>
      <w:r w:rsidR="00EE7276">
        <w:rPr>
          <w:szCs w:val="26"/>
        </w:rPr>
        <w:t>de 59,9 millones.</w:t>
      </w:r>
    </w:p>
    <w:p w:rsidR="00710EAA" w:rsidRDefault="00F12934" w:rsidP="00F1293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710EAA">
        <w:rPr>
          <w:szCs w:val="26"/>
        </w:rPr>
        <w:t xml:space="preserve">El </w:t>
      </w:r>
      <w:r w:rsidR="00710EAA" w:rsidRPr="00710EAA">
        <w:rPr>
          <w:szCs w:val="26"/>
        </w:rPr>
        <w:t xml:space="preserve">excedente </w:t>
      </w:r>
      <w:r w:rsidR="00511CA0">
        <w:rPr>
          <w:szCs w:val="26"/>
        </w:rPr>
        <w:t xml:space="preserve">negativo del ejercicio </w:t>
      </w:r>
      <w:r w:rsidRPr="00710EAA">
        <w:rPr>
          <w:szCs w:val="26"/>
        </w:rPr>
        <w:t>de las fundaciones públicas ha sido</w:t>
      </w:r>
      <w:r w:rsidR="000619FD" w:rsidRPr="00710EAA">
        <w:rPr>
          <w:szCs w:val="26"/>
        </w:rPr>
        <w:t xml:space="preserve"> de </w:t>
      </w:r>
      <w:r w:rsidR="00661EBB">
        <w:rPr>
          <w:szCs w:val="26"/>
        </w:rPr>
        <w:t>1,02</w:t>
      </w:r>
      <w:r w:rsidR="000619FD" w:rsidRPr="00710EAA">
        <w:rPr>
          <w:szCs w:val="26"/>
        </w:rPr>
        <w:t xml:space="preserve"> millones. </w:t>
      </w:r>
    </w:p>
    <w:p w:rsidR="007D115A" w:rsidRDefault="007B0ACE" w:rsidP="00E523CE">
      <w:pPr>
        <w:pStyle w:val="texto"/>
        <w:tabs>
          <w:tab w:val="clear" w:pos="2835"/>
          <w:tab w:val="clear" w:pos="3969"/>
          <w:tab w:val="clear" w:pos="5103"/>
          <w:tab w:val="clear" w:pos="6237"/>
          <w:tab w:val="clear" w:pos="7371"/>
        </w:tabs>
        <w:rPr>
          <w:szCs w:val="26"/>
        </w:rPr>
      </w:pPr>
      <w:r w:rsidRPr="008D1EB9">
        <w:rPr>
          <w:szCs w:val="26"/>
        </w:rPr>
        <w:t xml:space="preserve">El informe se estructura en </w:t>
      </w:r>
      <w:r w:rsidR="007F569D">
        <w:rPr>
          <w:szCs w:val="26"/>
        </w:rPr>
        <w:t>cuatro</w:t>
      </w:r>
      <w:r w:rsidRPr="008D1EB9">
        <w:rPr>
          <w:szCs w:val="26"/>
        </w:rPr>
        <w:t xml:space="preserve"> epígrafes, incluyendo esta introducción</w:t>
      </w:r>
      <w:r w:rsidR="008D1EB9">
        <w:rPr>
          <w:szCs w:val="26"/>
        </w:rPr>
        <w:t>.</w:t>
      </w:r>
      <w:r w:rsidR="0038122A">
        <w:rPr>
          <w:szCs w:val="26"/>
        </w:rPr>
        <w:t xml:space="preserve"> El </w:t>
      </w:r>
      <w:r w:rsidR="00703010">
        <w:rPr>
          <w:szCs w:val="26"/>
        </w:rPr>
        <w:t>segundo</w:t>
      </w:r>
      <w:r w:rsidR="0038122A">
        <w:rPr>
          <w:szCs w:val="26"/>
        </w:rPr>
        <w:t xml:space="preserve"> indica nuestra opinión</w:t>
      </w:r>
      <w:r w:rsidR="00F02541">
        <w:rPr>
          <w:szCs w:val="26"/>
        </w:rPr>
        <w:t xml:space="preserve"> financiera y de cumplimiento de legalidad</w:t>
      </w:r>
      <w:r w:rsidR="0038122A">
        <w:rPr>
          <w:szCs w:val="26"/>
        </w:rPr>
        <w:t xml:space="preserve"> sobre </w:t>
      </w:r>
      <w:r w:rsidR="000A29D0">
        <w:rPr>
          <w:szCs w:val="26"/>
        </w:rPr>
        <w:t>las cuentas</w:t>
      </w:r>
      <w:r w:rsidR="007D115A">
        <w:rPr>
          <w:szCs w:val="26"/>
        </w:rPr>
        <w:t xml:space="preserve"> generales de Navarra</w:t>
      </w:r>
      <w:r w:rsidR="000A29D0">
        <w:rPr>
          <w:szCs w:val="26"/>
        </w:rPr>
        <w:t xml:space="preserve"> </w:t>
      </w:r>
      <w:r w:rsidR="007833DF">
        <w:rPr>
          <w:szCs w:val="26"/>
        </w:rPr>
        <w:t xml:space="preserve">correspondientes al ejercicio </w:t>
      </w:r>
      <w:r w:rsidR="000A29D0">
        <w:rPr>
          <w:szCs w:val="26"/>
        </w:rPr>
        <w:t>de 201</w:t>
      </w:r>
      <w:r w:rsidR="007D115A">
        <w:rPr>
          <w:szCs w:val="26"/>
        </w:rPr>
        <w:t>5</w:t>
      </w:r>
      <w:r w:rsidR="000702E9">
        <w:rPr>
          <w:szCs w:val="26"/>
        </w:rPr>
        <w:t>; un r</w:t>
      </w:r>
      <w:r w:rsidR="000702E9">
        <w:rPr>
          <w:szCs w:val="26"/>
        </w:rPr>
        <w:t>e</w:t>
      </w:r>
      <w:r w:rsidR="000702E9">
        <w:rPr>
          <w:szCs w:val="26"/>
        </w:rPr>
        <w:t xml:space="preserve">sumen de </w:t>
      </w:r>
      <w:r w:rsidR="0066463C">
        <w:rPr>
          <w:szCs w:val="26"/>
        </w:rPr>
        <w:t>los principales estados contables</w:t>
      </w:r>
      <w:r w:rsidR="000702E9">
        <w:rPr>
          <w:szCs w:val="26"/>
        </w:rPr>
        <w:t xml:space="preserve">, se refleja en el epígrafe </w:t>
      </w:r>
      <w:r w:rsidR="00703010">
        <w:rPr>
          <w:szCs w:val="26"/>
        </w:rPr>
        <w:t>tercero</w:t>
      </w:r>
      <w:r w:rsidR="000A29D0">
        <w:rPr>
          <w:szCs w:val="26"/>
        </w:rPr>
        <w:t>.</w:t>
      </w:r>
      <w:r w:rsidR="0038122A">
        <w:rPr>
          <w:szCs w:val="26"/>
        </w:rPr>
        <w:t xml:space="preserve"> </w:t>
      </w:r>
      <w:r w:rsidR="0038122A" w:rsidRPr="00E523CE">
        <w:rPr>
          <w:szCs w:val="26"/>
        </w:rPr>
        <w:t>F</w:t>
      </w:r>
      <w:r w:rsidR="0038122A" w:rsidRPr="00E523CE">
        <w:rPr>
          <w:szCs w:val="26"/>
        </w:rPr>
        <w:t>i</w:t>
      </w:r>
      <w:r w:rsidR="0038122A" w:rsidRPr="00E523CE">
        <w:rPr>
          <w:szCs w:val="26"/>
        </w:rPr>
        <w:t xml:space="preserve">nalmente, en el </w:t>
      </w:r>
      <w:r w:rsidR="00703010" w:rsidRPr="00E523CE">
        <w:rPr>
          <w:szCs w:val="26"/>
        </w:rPr>
        <w:t>cuarto</w:t>
      </w:r>
      <w:r w:rsidR="000702E9" w:rsidRPr="00E523CE">
        <w:rPr>
          <w:szCs w:val="26"/>
        </w:rPr>
        <w:t>,</w:t>
      </w:r>
      <w:r w:rsidR="008D1EB9" w:rsidRPr="00E523CE">
        <w:rPr>
          <w:szCs w:val="26"/>
        </w:rPr>
        <w:t xml:space="preserve"> </w:t>
      </w:r>
      <w:r w:rsidR="000702E9" w:rsidRPr="00E523CE">
        <w:rPr>
          <w:szCs w:val="26"/>
        </w:rPr>
        <w:t>señalamos</w:t>
      </w:r>
      <w:r w:rsidRPr="00E523CE">
        <w:rPr>
          <w:szCs w:val="26"/>
        </w:rPr>
        <w:t xml:space="preserve"> </w:t>
      </w:r>
      <w:r w:rsidR="00385A94" w:rsidRPr="00E523CE">
        <w:rPr>
          <w:szCs w:val="26"/>
        </w:rPr>
        <w:t>un conjunto de</w:t>
      </w:r>
      <w:r w:rsidRPr="00E523CE">
        <w:rPr>
          <w:szCs w:val="26"/>
        </w:rPr>
        <w:t xml:space="preserve"> conclusiones</w:t>
      </w:r>
      <w:r w:rsidR="002B12E4" w:rsidRPr="00E523CE">
        <w:rPr>
          <w:szCs w:val="26"/>
        </w:rPr>
        <w:t xml:space="preserve"> u observaciones</w:t>
      </w:r>
      <w:r w:rsidRPr="00E523CE">
        <w:rPr>
          <w:szCs w:val="26"/>
        </w:rPr>
        <w:t xml:space="preserve"> obtenidas</w:t>
      </w:r>
      <w:r w:rsidR="007B6EB3">
        <w:rPr>
          <w:szCs w:val="26"/>
        </w:rPr>
        <w:t>,</w:t>
      </w:r>
      <w:r w:rsidR="00703010" w:rsidRPr="00E523CE">
        <w:rPr>
          <w:szCs w:val="26"/>
        </w:rPr>
        <w:t xml:space="preserve"> </w:t>
      </w:r>
      <w:r w:rsidR="00F8475F" w:rsidRPr="00DE6DB6">
        <w:rPr>
          <w:szCs w:val="26"/>
        </w:rPr>
        <w:t>que no afectan a la opinión</w:t>
      </w:r>
      <w:r w:rsidR="002F39F7" w:rsidRPr="00DE6DB6">
        <w:rPr>
          <w:szCs w:val="26"/>
        </w:rPr>
        <w:t xml:space="preserve"> emitida</w:t>
      </w:r>
      <w:r w:rsidR="007B6EB3">
        <w:rPr>
          <w:szCs w:val="26"/>
        </w:rPr>
        <w:t>,</w:t>
      </w:r>
      <w:r w:rsidR="00F8475F" w:rsidRPr="00DE6DB6">
        <w:rPr>
          <w:szCs w:val="26"/>
        </w:rPr>
        <w:t xml:space="preserve"> </w:t>
      </w:r>
      <w:r w:rsidR="00E523CE" w:rsidRPr="00E523CE">
        <w:rPr>
          <w:szCs w:val="26"/>
        </w:rPr>
        <w:t xml:space="preserve">sobre la </w:t>
      </w:r>
      <w:r w:rsidR="007D115A">
        <w:rPr>
          <w:szCs w:val="26"/>
        </w:rPr>
        <w:t xml:space="preserve">composición del Sector Público Foral, su </w:t>
      </w:r>
      <w:r w:rsidR="00E523CE" w:rsidRPr="00E523CE">
        <w:rPr>
          <w:szCs w:val="26"/>
        </w:rPr>
        <w:t>situación presupuestaria y financie</w:t>
      </w:r>
      <w:r w:rsidR="007D115A">
        <w:rPr>
          <w:szCs w:val="26"/>
        </w:rPr>
        <w:t>ra</w:t>
      </w:r>
      <w:r w:rsidR="007B6EB3">
        <w:rPr>
          <w:szCs w:val="26"/>
        </w:rPr>
        <w:t xml:space="preserve"> a 31 de diciembre de 2015</w:t>
      </w:r>
      <w:r w:rsidR="00E523CE" w:rsidRPr="00E523CE">
        <w:rPr>
          <w:szCs w:val="26"/>
        </w:rPr>
        <w:t xml:space="preserve">, </w:t>
      </w:r>
      <w:r w:rsidR="007F569D">
        <w:rPr>
          <w:szCs w:val="26"/>
        </w:rPr>
        <w:t xml:space="preserve">el </w:t>
      </w:r>
      <w:r w:rsidR="007D115A">
        <w:rPr>
          <w:szCs w:val="26"/>
        </w:rPr>
        <w:t>cumplimiento de los</w:t>
      </w:r>
      <w:r w:rsidR="007D115A" w:rsidRPr="00E523CE">
        <w:rPr>
          <w:szCs w:val="26"/>
        </w:rPr>
        <w:t xml:space="preserve"> </w:t>
      </w:r>
      <w:r w:rsidR="007D115A">
        <w:rPr>
          <w:szCs w:val="26"/>
        </w:rPr>
        <w:t>principios de estabilidad presupuestaria y sost</w:t>
      </w:r>
      <w:r w:rsidR="007D115A">
        <w:rPr>
          <w:szCs w:val="26"/>
        </w:rPr>
        <w:t>e</w:t>
      </w:r>
      <w:r w:rsidR="007D115A">
        <w:rPr>
          <w:szCs w:val="26"/>
        </w:rPr>
        <w:t xml:space="preserve">nibilidad financiera, </w:t>
      </w:r>
      <w:r w:rsidR="007F569D">
        <w:rPr>
          <w:szCs w:val="26"/>
        </w:rPr>
        <w:t xml:space="preserve">el </w:t>
      </w:r>
      <w:r w:rsidR="00CF4D85" w:rsidRPr="00E523CE">
        <w:rPr>
          <w:szCs w:val="26"/>
        </w:rPr>
        <w:t xml:space="preserve">seguimiento de </w:t>
      </w:r>
      <w:r w:rsidR="00F8475F">
        <w:rPr>
          <w:szCs w:val="26"/>
        </w:rPr>
        <w:t xml:space="preserve">las </w:t>
      </w:r>
      <w:r w:rsidR="00CF4D85" w:rsidRPr="00E523CE">
        <w:rPr>
          <w:szCs w:val="26"/>
        </w:rPr>
        <w:t xml:space="preserve">recomendaciones </w:t>
      </w:r>
      <w:r w:rsidR="00CF4D85">
        <w:rPr>
          <w:szCs w:val="26"/>
        </w:rPr>
        <w:t>principales</w:t>
      </w:r>
      <w:r w:rsidR="00CF4D85" w:rsidRPr="00E523CE">
        <w:rPr>
          <w:szCs w:val="26"/>
        </w:rPr>
        <w:t xml:space="preserve"> de i</w:t>
      </w:r>
      <w:r w:rsidR="00CF4D85" w:rsidRPr="00E523CE">
        <w:rPr>
          <w:szCs w:val="26"/>
        </w:rPr>
        <w:t>n</w:t>
      </w:r>
      <w:r w:rsidR="00CF4D85" w:rsidRPr="00E523CE">
        <w:rPr>
          <w:szCs w:val="26"/>
        </w:rPr>
        <w:t>formes anteriores de esta Cámara</w:t>
      </w:r>
      <w:r w:rsidR="00B209A1">
        <w:rPr>
          <w:szCs w:val="26"/>
        </w:rPr>
        <w:t>,</w:t>
      </w:r>
      <w:r w:rsidR="00F8611E">
        <w:rPr>
          <w:szCs w:val="26"/>
        </w:rPr>
        <w:t xml:space="preserve"> </w:t>
      </w:r>
      <w:r w:rsidR="007B6EB3">
        <w:rPr>
          <w:szCs w:val="26"/>
        </w:rPr>
        <w:t xml:space="preserve">el </w:t>
      </w:r>
      <w:r w:rsidR="00F8611E">
        <w:rPr>
          <w:szCs w:val="26"/>
        </w:rPr>
        <w:t>Convenio Económico</w:t>
      </w:r>
      <w:r w:rsidR="00DE6DB6">
        <w:rPr>
          <w:szCs w:val="26"/>
        </w:rPr>
        <w:t xml:space="preserve"> con el Estado</w:t>
      </w:r>
      <w:r w:rsidR="00F8611E">
        <w:rPr>
          <w:szCs w:val="26"/>
        </w:rPr>
        <w:t>,</w:t>
      </w:r>
      <w:r w:rsidR="00B209A1">
        <w:rPr>
          <w:szCs w:val="26"/>
        </w:rPr>
        <w:t xml:space="preserve"> </w:t>
      </w:r>
      <w:r w:rsidR="007F569D">
        <w:rPr>
          <w:szCs w:val="26"/>
        </w:rPr>
        <w:t>otras</w:t>
      </w:r>
      <w:r w:rsidR="00E523CE" w:rsidRPr="00E523CE">
        <w:rPr>
          <w:szCs w:val="26"/>
        </w:rPr>
        <w:t xml:space="preserve"> áreas de gestión relevantes</w:t>
      </w:r>
      <w:r w:rsidR="00B209A1">
        <w:rPr>
          <w:szCs w:val="26"/>
        </w:rPr>
        <w:t xml:space="preserve"> y sector público empresarial y fundacional</w:t>
      </w:r>
      <w:r w:rsidR="007D115A">
        <w:rPr>
          <w:szCs w:val="26"/>
        </w:rPr>
        <w:t>.</w:t>
      </w:r>
    </w:p>
    <w:p w:rsidR="00EA1988" w:rsidRDefault="00756C17" w:rsidP="00EA1988">
      <w:pPr>
        <w:pStyle w:val="texto"/>
        <w:rPr>
          <w:szCs w:val="26"/>
        </w:rPr>
      </w:pPr>
      <w:r w:rsidRPr="008D1EB9">
        <w:rPr>
          <w:szCs w:val="26"/>
        </w:rPr>
        <w:t>E</w:t>
      </w:r>
      <w:r w:rsidR="002A20CF" w:rsidRPr="008D1EB9">
        <w:rPr>
          <w:szCs w:val="26"/>
        </w:rPr>
        <w:t xml:space="preserve">l informe </w:t>
      </w:r>
      <w:r w:rsidR="00050D8C" w:rsidRPr="008D1EB9">
        <w:rPr>
          <w:szCs w:val="26"/>
        </w:rPr>
        <w:t>se</w:t>
      </w:r>
      <w:r w:rsidR="00F61686" w:rsidRPr="008D1EB9">
        <w:rPr>
          <w:szCs w:val="26"/>
        </w:rPr>
        <w:t xml:space="preserve"> acompaña de</w:t>
      </w:r>
      <w:r w:rsidR="00425CF6">
        <w:rPr>
          <w:szCs w:val="26"/>
        </w:rPr>
        <w:t xml:space="preserve"> un resumen de</w:t>
      </w:r>
      <w:r w:rsidR="00F61686" w:rsidRPr="008D1EB9">
        <w:rPr>
          <w:szCs w:val="26"/>
        </w:rPr>
        <w:t xml:space="preserve"> </w:t>
      </w:r>
      <w:r w:rsidR="0076219E">
        <w:rPr>
          <w:szCs w:val="26"/>
        </w:rPr>
        <w:t>la memoria</w:t>
      </w:r>
      <w:r w:rsidR="000A29D0">
        <w:rPr>
          <w:szCs w:val="26"/>
        </w:rPr>
        <w:t xml:space="preserve"> </w:t>
      </w:r>
      <w:r w:rsidR="00CA58EF">
        <w:rPr>
          <w:szCs w:val="26"/>
        </w:rPr>
        <w:t>sobre las cuentas g</w:t>
      </w:r>
      <w:r w:rsidR="00CA58EF">
        <w:rPr>
          <w:szCs w:val="26"/>
        </w:rPr>
        <w:t>e</w:t>
      </w:r>
      <w:r w:rsidR="00CA58EF">
        <w:rPr>
          <w:szCs w:val="26"/>
        </w:rPr>
        <w:t xml:space="preserve">nerales </w:t>
      </w:r>
      <w:r w:rsidR="000A29D0">
        <w:rPr>
          <w:szCs w:val="26"/>
        </w:rPr>
        <w:t xml:space="preserve">de </w:t>
      </w:r>
      <w:r w:rsidR="00CA58EF">
        <w:rPr>
          <w:szCs w:val="26"/>
        </w:rPr>
        <w:t>Navarra</w:t>
      </w:r>
      <w:r w:rsidR="000A29D0">
        <w:rPr>
          <w:szCs w:val="26"/>
        </w:rPr>
        <w:t xml:space="preserve"> correspondiente al ejercicio de 201</w:t>
      </w:r>
      <w:r w:rsidR="00CA58EF">
        <w:rPr>
          <w:szCs w:val="26"/>
        </w:rPr>
        <w:t>5 elaborada por el Depa</w:t>
      </w:r>
      <w:r w:rsidR="00CA58EF">
        <w:rPr>
          <w:szCs w:val="26"/>
        </w:rPr>
        <w:t>r</w:t>
      </w:r>
      <w:r w:rsidR="00CA58EF">
        <w:rPr>
          <w:szCs w:val="26"/>
        </w:rPr>
        <w:t>tamento de Hacienda y Política Financiera del Gobierno de Navarra</w:t>
      </w:r>
      <w:r w:rsidR="00385A94">
        <w:rPr>
          <w:szCs w:val="26"/>
        </w:rPr>
        <w:t xml:space="preserve">. </w:t>
      </w:r>
      <w:r w:rsidR="00CA58EF">
        <w:rPr>
          <w:szCs w:val="26"/>
        </w:rPr>
        <w:t>El texto completo de la misma puede verse en</w:t>
      </w:r>
      <w:r w:rsidR="00E34128">
        <w:rPr>
          <w:szCs w:val="26"/>
        </w:rPr>
        <w:t>:</w:t>
      </w:r>
      <w:r w:rsidR="00CA58EF">
        <w:rPr>
          <w:szCs w:val="26"/>
        </w:rPr>
        <w:t xml:space="preserve"> </w:t>
      </w:r>
    </w:p>
    <w:p w:rsidR="00F8475F" w:rsidRDefault="003D1FFE" w:rsidP="00EA1988">
      <w:pPr>
        <w:pStyle w:val="texto"/>
        <w:rPr>
          <w:szCs w:val="26"/>
        </w:rPr>
      </w:pPr>
      <w:hyperlink r:id="rId14" w:history="1">
        <w:r w:rsidR="00CA58EF" w:rsidRPr="006B3D20">
          <w:rPr>
            <w:rStyle w:val="Hipervnculo"/>
            <w:i/>
            <w:sz w:val="24"/>
          </w:rPr>
          <w:t>http://www.navarra.es/Presupuestos/Cuentas Generales de Navarra/Cuentas G</w:t>
        </w:r>
        <w:r w:rsidR="00CA58EF" w:rsidRPr="006B3D20">
          <w:rPr>
            <w:rStyle w:val="Hipervnculo"/>
            <w:i/>
            <w:sz w:val="24"/>
          </w:rPr>
          <w:t>e</w:t>
        </w:r>
        <w:r w:rsidR="00CA58EF" w:rsidRPr="006B3D20">
          <w:rPr>
            <w:rStyle w:val="Hipervnculo"/>
            <w:i/>
            <w:sz w:val="24"/>
          </w:rPr>
          <w:t>nerales de Navarra del año 2015</w:t>
        </w:r>
      </w:hyperlink>
    </w:p>
    <w:p w:rsidR="00EA1988" w:rsidRDefault="00385A94" w:rsidP="00124261">
      <w:pPr>
        <w:pStyle w:val="texto"/>
        <w:rPr>
          <w:szCs w:val="26"/>
        </w:rPr>
      </w:pPr>
      <w:r>
        <w:rPr>
          <w:szCs w:val="26"/>
        </w:rPr>
        <w:t>En nuestra actuación se</w:t>
      </w:r>
      <w:r w:rsidRPr="003006DF">
        <w:rPr>
          <w:szCs w:val="26"/>
        </w:rPr>
        <w:t xml:space="preserve"> ha</w:t>
      </w:r>
      <w:r w:rsidR="005157DB">
        <w:rPr>
          <w:szCs w:val="26"/>
        </w:rPr>
        <w:t>n</w:t>
      </w:r>
      <w:r w:rsidRPr="003006DF">
        <w:rPr>
          <w:szCs w:val="26"/>
        </w:rPr>
        <w:t xml:space="preserve"> </w:t>
      </w:r>
      <w:r w:rsidR="00E203B0">
        <w:rPr>
          <w:szCs w:val="26"/>
        </w:rPr>
        <w:t>considerado</w:t>
      </w:r>
      <w:r w:rsidR="0070027D">
        <w:rPr>
          <w:szCs w:val="26"/>
        </w:rPr>
        <w:t xml:space="preserve"> </w:t>
      </w:r>
      <w:r w:rsidRPr="003006DF">
        <w:rPr>
          <w:szCs w:val="26"/>
        </w:rPr>
        <w:t xml:space="preserve">los informes realizados por </w:t>
      </w:r>
      <w:r>
        <w:rPr>
          <w:szCs w:val="26"/>
        </w:rPr>
        <w:t>el serv</w:t>
      </w:r>
      <w:r>
        <w:rPr>
          <w:szCs w:val="26"/>
        </w:rPr>
        <w:t>i</w:t>
      </w:r>
      <w:r>
        <w:rPr>
          <w:szCs w:val="26"/>
        </w:rPr>
        <w:t>cio de Intervención</w:t>
      </w:r>
      <w:r w:rsidR="00877658">
        <w:rPr>
          <w:szCs w:val="26"/>
        </w:rPr>
        <w:t xml:space="preserve"> General del Gobierno de Navarra. </w:t>
      </w:r>
    </w:p>
    <w:p w:rsidR="00877658" w:rsidRDefault="0066463C" w:rsidP="00E523CE">
      <w:pPr>
        <w:pStyle w:val="texto"/>
        <w:rPr>
          <w:szCs w:val="26"/>
        </w:rPr>
      </w:pPr>
      <w:r>
        <w:rPr>
          <w:szCs w:val="26"/>
        </w:rPr>
        <w:t>Además, p</w:t>
      </w:r>
      <w:r w:rsidR="00877658">
        <w:rPr>
          <w:szCs w:val="26"/>
        </w:rPr>
        <w:t>ara el resto de sectores que conforman el Sector Público Foral se ha tenido en cuenta que:</w:t>
      </w:r>
    </w:p>
    <w:p w:rsidR="00877658" w:rsidRPr="00E47ADD" w:rsidRDefault="00877658" w:rsidP="00877658">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rFonts w:ascii="Times New (W1)" w:hAnsi="Times New (W1)"/>
          <w:spacing w:val="-4"/>
        </w:rPr>
      </w:pPr>
      <w:r w:rsidRPr="00E47ADD">
        <w:rPr>
          <w:rFonts w:ascii="Times New (W1)" w:hAnsi="Times New (W1)"/>
          <w:spacing w:val="-4"/>
        </w:rPr>
        <w:t xml:space="preserve">Las </w:t>
      </w:r>
      <w:r w:rsidRPr="00E47ADD">
        <w:rPr>
          <w:rFonts w:ascii="Times New (W1)" w:hAnsi="Times New (W1)"/>
          <w:spacing w:val="-4"/>
          <w:lang w:val="es-ES"/>
        </w:rPr>
        <w:t>cuentas generales</w:t>
      </w:r>
      <w:r w:rsidRPr="00E47ADD">
        <w:rPr>
          <w:rFonts w:ascii="Times New (W1)" w:hAnsi="Times New (W1)"/>
          <w:spacing w:val="-4"/>
        </w:rPr>
        <w:t xml:space="preserve"> de 201</w:t>
      </w:r>
      <w:r>
        <w:rPr>
          <w:rFonts w:ascii="Times New (W1)" w:hAnsi="Times New (W1)"/>
          <w:spacing w:val="-4"/>
        </w:rPr>
        <w:t>5</w:t>
      </w:r>
      <w:r w:rsidRPr="00E47ADD">
        <w:rPr>
          <w:rFonts w:ascii="Times New (W1)" w:hAnsi="Times New (W1)"/>
          <w:spacing w:val="-4"/>
        </w:rPr>
        <w:t xml:space="preserve"> del Parlamento de Navarra, del Defensor del Pu</w:t>
      </w:r>
      <w:r w:rsidRPr="00E47ADD">
        <w:rPr>
          <w:rFonts w:ascii="Times New (W1)" w:hAnsi="Times New (W1)"/>
          <w:spacing w:val="-4"/>
        </w:rPr>
        <w:t>e</w:t>
      </w:r>
      <w:r w:rsidRPr="00E47ADD">
        <w:rPr>
          <w:rFonts w:ascii="Times New (W1)" w:hAnsi="Times New (W1)"/>
          <w:spacing w:val="-4"/>
        </w:rPr>
        <w:t>blo y del Consejo de Navarra han sido objeto de revisión por esta Cámara de Comptos.</w:t>
      </w:r>
    </w:p>
    <w:p w:rsidR="00877658" w:rsidRPr="00997B25" w:rsidRDefault="00877658" w:rsidP="00877658">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rsidRPr="00997B25">
        <w:t>Las cuentas</w:t>
      </w:r>
      <w:r>
        <w:t xml:space="preserve"> generales</w:t>
      </w:r>
      <w:r w:rsidRPr="00997B25">
        <w:t xml:space="preserve"> de 201</w:t>
      </w:r>
      <w:r>
        <w:t>5</w:t>
      </w:r>
      <w:r w:rsidRPr="00997B25">
        <w:t xml:space="preserve"> de la propia Cámara de Comptos han sido </w:t>
      </w:r>
      <w:r>
        <w:t>revisadas</w:t>
      </w:r>
      <w:r w:rsidRPr="00997B25">
        <w:t xml:space="preserve"> por una </w:t>
      </w:r>
      <w:r>
        <w:t>firma de auditoría</w:t>
      </w:r>
      <w:r w:rsidRPr="00997B25">
        <w:t>.</w:t>
      </w:r>
    </w:p>
    <w:p w:rsidR="00877658" w:rsidRPr="00997B25" w:rsidRDefault="00877658" w:rsidP="00877658">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rsidRPr="00997B25">
        <w:lastRenderedPageBreak/>
        <w:t xml:space="preserve">Las </w:t>
      </w:r>
      <w:r w:rsidRPr="006054F1">
        <w:rPr>
          <w:lang w:val="es-ES"/>
        </w:rPr>
        <w:t>cuentas</w:t>
      </w:r>
      <w:r w:rsidRPr="00997B25">
        <w:t xml:space="preserve"> anuales de las sociedades y fundaciones públicas son objeto de auditoría</w:t>
      </w:r>
      <w:r w:rsidR="00C11253">
        <w:t xml:space="preserve"> de cuentas</w:t>
      </w:r>
      <w:r w:rsidRPr="00997B25">
        <w:t xml:space="preserve"> realizada por </w:t>
      </w:r>
      <w:r>
        <w:t>firmas de auditoría</w:t>
      </w:r>
      <w:r w:rsidRPr="00997B25">
        <w:t>.</w:t>
      </w:r>
    </w:p>
    <w:p w:rsidR="00877658" w:rsidRPr="00997B25" w:rsidRDefault="00877658" w:rsidP="00877658">
      <w:pPr>
        <w:pStyle w:val="texto"/>
      </w:pPr>
      <w:r w:rsidRPr="00997B25">
        <w:t xml:space="preserve">Del conjunto de </w:t>
      </w:r>
      <w:r>
        <w:t>los anteriores</w:t>
      </w:r>
      <w:r w:rsidRPr="00997B25">
        <w:t xml:space="preserve"> </w:t>
      </w:r>
      <w:r>
        <w:t>informes</w:t>
      </w:r>
      <w:r w:rsidRPr="00997B25">
        <w:t xml:space="preserve"> se</w:t>
      </w:r>
      <w:r>
        <w:t xml:space="preserve"> ha extraído </w:t>
      </w:r>
      <w:r w:rsidRPr="00997B25">
        <w:t>su opinión</w:t>
      </w:r>
      <w:r>
        <w:t xml:space="preserve"> profesional</w:t>
      </w:r>
      <w:r w:rsidRPr="00997B25">
        <w:t xml:space="preserve"> y las principales conclusiones de los mismos.</w:t>
      </w:r>
    </w:p>
    <w:p w:rsidR="00551347" w:rsidRDefault="00877658" w:rsidP="00877658">
      <w:pPr>
        <w:pStyle w:val="texto"/>
        <w:tabs>
          <w:tab w:val="clear" w:pos="2835"/>
          <w:tab w:val="clear" w:pos="3969"/>
          <w:tab w:val="clear" w:pos="5103"/>
          <w:tab w:val="clear" w:pos="6237"/>
          <w:tab w:val="clear" w:pos="7371"/>
        </w:tabs>
      </w:pPr>
      <w:r w:rsidRPr="00997B25">
        <w:t>Igualmente se</w:t>
      </w:r>
      <w:r>
        <w:t xml:space="preserve"> han considerado los siguientes informes elaborados por esta Cámara de Comptos:</w:t>
      </w:r>
    </w:p>
    <w:p w:rsidR="00B04059" w:rsidRPr="00B77633" w:rsidRDefault="00B04059" w:rsidP="00877658">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Actuaciones de la Hacienda Foral en relación con el C. A. Osasuna y apl</w:t>
      </w:r>
      <w:r>
        <w:t>i</w:t>
      </w:r>
      <w:r>
        <w:t>cación Ley Foral 26/2014, de reestructuración d</w:t>
      </w:r>
      <w:r w:rsidR="00B77633">
        <w:t>e su deuda tributaria.</w:t>
      </w:r>
      <w:r>
        <w:t xml:space="preserve"> </w:t>
      </w:r>
    </w:p>
    <w:p w:rsidR="00877658" w:rsidRPr="00877658" w:rsidRDefault="00877658" w:rsidP="00877658">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rFonts w:ascii="Times New (W1)" w:hAnsi="Times New (W1)"/>
          <w:spacing w:val="-4"/>
        </w:rPr>
      </w:pPr>
      <w:r>
        <w:t>Incidencia de la Ley Orgánica 2/2012, de Estabilidad Presupuestaria y So</w:t>
      </w:r>
      <w:r>
        <w:t>s</w:t>
      </w:r>
      <w:r>
        <w:t>tenibilidad Financiera, en el personal de las Administraciones Públicas,</w:t>
      </w:r>
      <w:r w:rsidR="00F82A04">
        <w:t xml:space="preserve"> ejerc</w:t>
      </w:r>
      <w:r w:rsidR="00F82A04">
        <w:t>i</w:t>
      </w:r>
      <w:r w:rsidR="00F82A04">
        <w:t>cios</w:t>
      </w:r>
      <w:r>
        <w:t xml:space="preserve"> 2012</w:t>
      </w:r>
      <w:r w:rsidR="00F82A04">
        <w:t xml:space="preserve"> a </w:t>
      </w:r>
      <w:r>
        <w:t>2015.</w:t>
      </w:r>
    </w:p>
    <w:p w:rsidR="0057182B" w:rsidRPr="00C11253" w:rsidRDefault="0057182B" w:rsidP="0057182B">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rFonts w:ascii="Times New (W1)" w:hAnsi="Times New (W1)"/>
          <w:spacing w:val="-4"/>
        </w:rPr>
      </w:pPr>
      <w:r w:rsidRPr="00C11253">
        <w:rPr>
          <w:rFonts w:ascii="Times New (W1)" w:hAnsi="Times New (W1)"/>
          <w:spacing w:val="-4"/>
        </w:rPr>
        <w:t>Unificación de los laboratorios del Servicio Navarro de Salud-Osasunbidea.</w:t>
      </w:r>
    </w:p>
    <w:p w:rsidR="0057182B" w:rsidRPr="002F61E9" w:rsidRDefault="0057182B" w:rsidP="0057182B">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rFonts w:ascii="Times New (W1)" w:hAnsi="Times New (W1)"/>
          <w:spacing w:val="-4"/>
        </w:rPr>
      </w:pPr>
      <w:r w:rsidRPr="002F61E9">
        <w:rPr>
          <w:rFonts w:ascii="Times New (W1)" w:hAnsi="Times New (W1)"/>
          <w:spacing w:val="-4"/>
        </w:rPr>
        <w:t xml:space="preserve">Contratación y gestión de </w:t>
      </w:r>
      <w:r w:rsidR="002F61E9" w:rsidRPr="002F61E9">
        <w:rPr>
          <w:rFonts w:ascii="Times New (W1)" w:hAnsi="Times New (W1)"/>
          <w:spacing w:val="-4"/>
        </w:rPr>
        <w:t>la informática en la</w:t>
      </w:r>
      <w:r w:rsidRPr="002F61E9">
        <w:rPr>
          <w:rFonts w:ascii="Times New (W1)" w:hAnsi="Times New (W1)"/>
          <w:spacing w:val="-4"/>
        </w:rPr>
        <w:t xml:space="preserve"> </w:t>
      </w:r>
      <w:r w:rsidR="002F61E9" w:rsidRPr="002F61E9">
        <w:t>Administración Foral</w:t>
      </w:r>
      <w:r w:rsidRPr="002F61E9">
        <w:rPr>
          <w:rFonts w:ascii="Times New (W1)" w:hAnsi="Times New (W1)"/>
          <w:spacing w:val="-4"/>
        </w:rPr>
        <w:t xml:space="preserve">, </w:t>
      </w:r>
      <w:r w:rsidR="00F82A04" w:rsidRPr="002F61E9">
        <w:rPr>
          <w:rFonts w:ascii="Times New (W1)" w:hAnsi="Times New (W1)"/>
          <w:spacing w:val="-4"/>
        </w:rPr>
        <w:t xml:space="preserve">ejercicios </w:t>
      </w:r>
      <w:r w:rsidRPr="002F61E9">
        <w:rPr>
          <w:rFonts w:ascii="Times New (W1)" w:hAnsi="Times New (W1)"/>
          <w:spacing w:val="-4"/>
        </w:rPr>
        <w:t>2011</w:t>
      </w:r>
      <w:r w:rsidR="00F82A04" w:rsidRPr="002F61E9">
        <w:rPr>
          <w:rFonts w:ascii="Times New (W1)" w:hAnsi="Times New (W1)"/>
          <w:spacing w:val="-4"/>
        </w:rPr>
        <w:t xml:space="preserve"> a </w:t>
      </w:r>
      <w:r w:rsidRPr="002F61E9">
        <w:rPr>
          <w:rFonts w:ascii="Times New (W1)" w:hAnsi="Times New (W1)"/>
          <w:spacing w:val="-4"/>
        </w:rPr>
        <w:t>2015.</w:t>
      </w:r>
    </w:p>
    <w:p w:rsidR="003E1429" w:rsidRPr="00877658" w:rsidRDefault="003E1429" w:rsidP="003E1429">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rFonts w:ascii="Times New (W1)" w:hAnsi="Times New (W1)"/>
          <w:spacing w:val="-4"/>
        </w:rPr>
      </w:pPr>
      <w:r>
        <w:rPr>
          <w:rFonts w:ascii="Times New (W1)" w:hAnsi="Times New (W1)"/>
          <w:spacing w:val="-4"/>
        </w:rPr>
        <w:t xml:space="preserve">Subvenciones concedidas a la Fundación Miguel </w:t>
      </w:r>
      <w:r w:rsidRPr="00877658">
        <w:rPr>
          <w:rFonts w:ascii="Times New (W1)" w:hAnsi="Times New (W1)"/>
          <w:spacing w:val="-4"/>
        </w:rPr>
        <w:t>Induráin,</w:t>
      </w:r>
      <w:r>
        <w:rPr>
          <w:rFonts w:ascii="Times New (W1)" w:hAnsi="Times New (W1)"/>
          <w:spacing w:val="-4"/>
        </w:rPr>
        <w:t xml:space="preserve"> ejercicios</w:t>
      </w:r>
      <w:r w:rsidRPr="00877658">
        <w:rPr>
          <w:rFonts w:ascii="Times New (W1)" w:hAnsi="Times New (W1)"/>
          <w:spacing w:val="-4"/>
        </w:rPr>
        <w:t xml:space="preserve"> 2005</w:t>
      </w:r>
      <w:r>
        <w:rPr>
          <w:rFonts w:ascii="Times New (W1)" w:hAnsi="Times New (W1)"/>
          <w:spacing w:val="-4"/>
        </w:rPr>
        <w:t xml:space="preserve"> a </w:t>
      </w:r>
      <w:r w:rsidRPr="00877658">
        <w:rPr>
          <w:rFonts w:ascii="Times New (W1)" w:hAnsi="Times New (W1)"/>
          <w:spacing w:val="-4"/>
        </w:rPr>
        <w:t>2015</w:t>
      </w:r>
      <w:r>
        <w:rPr>
          <w:rFonts w:ascii="Times New (W1)" w:hAnsi="Times New (W1)"/>
          <w:spacing w:val="-4"/>
        </w:rPr>
        <w:t>.</w:t>
      </w:r>
      <w:r w:rsidRPr="00877658">
        <w:rPr>
          <w:rFonts w:ascii="Times New (W1)" w:hAnsi="Times New (W1)"/>
          <w:spacing w:val="-4"/>
        </w:rPr>
        <w:t xml:space="preserve"> </w:t>
      </w:r>
    </w:p>
    <w:p w:rsidR="002F61E9" w:rsidRPr="004E28D0" w:rsidRDefault="004E28D0" w:rsidP="003E1429">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rFonts w:ascii="Times New (W1)" w:hAnsi="Times New (W1)"/>
          <w:spacing w:val="-4"/>
        </w:rPr>
      </w:pPr>
      <w:r w:rsidRPr="004E28D0">
        <w:rPr>
          <w:rFonts w:ascii="Times New (W1)" w:hAnsi="Times New (W1)"/>
          <w:spacing w:val="-4"/>
        </w:rPr>
        <w:t>Fundac</w:t>
      </w:r>
      <w:r>
        <w:rPr>
          <w:rFonts w:ascii="Times New (W1)" w:hAnsi="Times New (W1)"/>
          <w:spacing w:val="-4"/>
        </w:rPr>
        <w:t>ión Miguel Servet-Navarrabiomed, ejercicios 2009 a 2015.</w:t>
      </w:r>
    </w:p>
    <w:p w:rsidR="00C95A0E" w:rsidRDefault="006F1331" w:rsidP="00C95A0E">
      <w:pPr>
        <w:pStyle w:val="texto"/>
        <w:tabs>
          <w:tab w:val="clear" w:pos="2835"/>
          <w:tab w:val="clear" w:pos="3969"/>
          <w:tab w:val="clear" w:pos="5103"/>
          <w:tab w:val="clear" w:pos="6237"/>
          <w:tab w:val="clear" w:pos="7371"/>
        </w:tabs>
        <w:rPr>
          <w:szCs w:val="26"/>
        </w:rPr>
      </w:pPr>
      <w:r w:rsidRPr="008D1EB9">
        <w:rPr>
          <w:szCs w:val="26"/>
        </w:rPr>
        <w:t>El</w:t>
      </w:r>
      <w:r w:rsidR="00026242" w:rsidRPr="008D1EB9">
        <w:rPr>
          <w:szCs w:val="26"/>
        </w:rPr>
        <w:t xml:space="preserve"> trabajo de campo </w:t>
      </w:r>
      <w:r w:rsidR="00C9287B">
        <w:rPr>
          <w:szCs w:val="26"/>
        </w:rPr>
        <w:t>lo</w:t>
      </w:r>
      <w:r w:rsidR="00026242" w:rsidRPr="008D1EB9">
        <w:rPr>
          <w:szCs w:val="26"/>
        </w:rPr>
        <w:t xml:space="preserve"> ejecut</w:t>
      </w:r>
      <w:r w:rsidR="008900BC" w:rsidRPr="008D1EB9">
        <w:rPr>
          <w:szCs w:val="26"/>
        </w:rPr>
        <w:t xml:space="preserve">ó </w:t>
      </w:r>
      <w:r w:rsidR="00107B90">
        <w:rPr>
          <w:szCs w:val="26"/>
        </w:rPr>
        <w:t xml:space="preserve">entre </w:t>
      </w:r>
      <w:r w:rsidR="009D56A2">
        <w:rPr>
          <w:szCs w:val="26"/>
        </w:rPr>
        <w:t>mayo y</w:t>
      </w:r>
      <w:r w:rsidR="000A29D0">
        <w:rPr>
          <w:szCs w:val="26"/>
        </w:rPr>
        <w:t xml:space="preserve"> </w:t>
      </w:r>
      <w:r w:rsidR="009D56A2">
        <w:rPr>
          <w:szCs w:val="26"/>
        </w:rPr>
        <w:t>septiembre</w:t>
      </w:r>
      <w:r w:rsidRPr="008D1EB9">
        <w:rPr>
          <w:szCs w:val="26"/>
        </w:rPr>
        <w:t xml:space="preserve"> de 2015 un equipo integrado por </w:t>
      </w:r>
      <w:r w:rsidR="00124261">
        <w:rPr>
          <w:szCs w:val="26"/>
        </w:rPr>
        <w:t>cinco</w:t>
      </w:r>
      <w:r w:rsidR="000A29D0">
        <w:rPr>
          <w:szCs w:val="26"/>
        </w:rPr>
        <w:t xml:space="preserve"> técnic</w:t>
      </w:r>
      <w:r w:rsidR="009009C6">
        <w:rPr>
          <w:szCs w:val="26"/>
        </w:rPr>
        <w:t>as</w:t>
      </w:r>
      <w:r w:rsidR="00124261">
        <w:rPr>
          <w:szCs w:val="26"/>
        </w:rPr>
        <w:t xml:space="preserve"> y técnic</w:t>
      </w:r>
      <w:r w:rsidR="009009C6">
        <w:rPr>
          <w:szCs w:val="26"/>
        </w:rPr>
        <w:t>o</w:t>
      </w:r>
      <w:r w:rsidR="00124261">
        <w:rPr>
          <w:szCs w:val="26"/>
        </w:rPr>
        <w:t>s</w:t>
      </w:r>
      <w:r w:rsidR="000A29D0">
        <w:rPr>
          <w:szCs w:val="26"/>
        </w:rPr>
        <w:t xml:space="preserve"> de auditoría</w:t>
      </w:r>
      <w:r w:rsidRPr="008D1EB9">
        <w:rPr>
          <w:szCs w:val="26"/>
        </w:rPr>
        <w:t xml:space="preserve"> y un auditor, con la colab</w:t>
      </w:r>
      <w:r w:rsidRPr="008D1EB9">
        <w:rPr>
          <w:szCs w:val="26"/>
        </w:rPr>
        <w:t>o</w:t>
      </w:r>
      <w:r w:rsidRPr="008D1EB9">
        <w:rPr>
          <w:szCs w:val="26"/>
        </w:rPr>
        <w:t xml:space="preserve">ración de los servicios jurídicos, informáticos y administrativos de la Cámara. </w:t>
      </w:r>
    </w:p>
    <w:p w:rsidR="00C95A0E" w:rsidRPr="00FB7335" w:rsidRDefault="00C95A0E" w:rsidP="00C95A0E">
      <w:pPr>
        <w:pStyle w:val="texto"/>
        <w:tabs>
          <w:tab w:val="clear" w:pos="2835"/>
          <w:tab w:val="clear" w:pos="3969"/>
          <w:tab w:val="clear" w:pos="5103"/>
          <w:tab w:val="clear" w:pos="6237"/>
          <w:tab w:val="clear" w:pos="7371"/>
        </w:tabs>
        <w:rPr>
          <w:szCs w:val="26"/>
        </w:rPr>
      </w:pPr>
      <w:r w:rsidRPr="00FB7335">
        <w:rPr>
          <w:szCs w:val="26"/>
        </w:rPr>
        <w:t>Los resultados de esta actuación se pusieron de manifiesto al</w:t>
      </w:r>
      <w:r w:rsidR="00CA58EF" w:rsidRPr="00FB7335">
        <w:rPr>
          <w:szCs w:val="26"/>
        </w:rPr>
        <w:t xml:space="preserve"> actual</w:t>
      </w:r>
      <w:r w:rsidRPr="00FB7335">
        <w:rPr>
          <w:szCs w:val="26"/>
        </w:rPr>
        <w:t xml:space="preserve"> </w:t>
      </w:r>
      <w:r w:rsidR="00CA58EF" w:rsidRPr="00FB7335">
        <w:rPr>
          <w:szCs w:val="26"/>
        </w:rPr>
        <w:t>Consej</w:t>
      </w:r>
      <w:r w:rsidR="00CA58EF" w:rsidRPr="00FB7335">
        <w:rPr>
          <w:szCs w:val="26"/>
        </w:rPr>
        <w:t>e</w:t>
      </w:r>
      <w:r w:rsidR="00CA58EF" w:rsidRPr="00FB7335">
        <w:rPr>
          <w:szCs w:val="26"/>
        </w:rPr>
        <w:t xml:space="preserve">ro de Hacienda y Política Financiera </w:t>
      </w:r>
      <w:r w:rsidRPr="00FB7335">
        <w:rPr>
          <w:szCs w:val="26"/>
        </w:rPr>
        <w:t>de</w:t>
      </w:r>
      <w:r w:rsidR="00CA58EF" w:rsidRPr="00FB7335">
        <w:rPr>
          <w:szCs w:val="26"/>
        </w:rPr>
        <w:t>l Gobierno</w:t>
      </w:r>
      <w:r w:rsidRPr="00FB7335">
        <w:rPr>
          <w:szCs w:val="26"/>
        </w:rPr>
        <w:t xml:space="preserve"> y </w:t>
      </w:r>
      <w:r w:rsidR="00CA58EF" w:rsidRPr="00FB7335">
        <w:rPr>
          <w:szCs w:val="26"/>
        </w:rPr>
        <w:t xml:space="preserve">a la </w:t>
      </w:r>
      <w:r w:rsidR="001E2871" w:rsidRPr="00FB7335">
        <w:rPr>
          <w:szCs w:val="26"/>
        </w:rPr>
        <w:t>persona que lo ejerció</w:t>
      </w:r>
      <w:r w:rsidR="00CA58EF" w:rsidRPr="00FB7335">
        <w:rPr>
          <w:szCs w:val="26"/>
        </w:rPr>
        <w:t xml:space="preserve"> </w:t>
      </w:r>
      <w:r w:rsidR="005157DB" w:rsidRPr="00FB7335">
        <w:rPr>
          <w:szCs w:val="26"/>
        </w:rPr>
        <w:t xml:space="preserve"> durante el</w:t>
      </w:r>
      <w:r w:rsidRPr="00FB7335">
        <w:rPr>
          <w:szCs w:val="26"/>
        </w:rPr>
        <w:t xml:space="preserve"> </w:t>
      </w:r>
      <w:r w:rsidR="00CA58EF" w:rsidRPr="00FB7335">
        <w:rPr>
          <w:szCs w:val="26"/>
        </w:rPr>
        <w:t>primer semestre de 2015,</w:t>
      </w:r>
      <w:r w:rsidR="005B0711" w:rsidRPr="00FB7335">
        <w:rPr>
          <w:szCs w:val="26"/>
        </w:rPr>
        <w:t xml:space="preserve"> </w:t>
      </w:r>
      <w:r w:rsidRPr="00FB7335">
        <w:rPr>
          <w:szCs w:val="26"/>
        </w:rPr>
        <w:t>para que formulasen, en su caso, las aleg</w:t>
      </w:r>
      <w:r w:rsidRPr="00FB7335">
        <w:rPr>
          <w:szCs w:val="26"/>
        </w:rPr>
        <w:t>a</w:t>
      </w:r>
      <w:r w:rsidRPr="00FB7335">
        <w:rPr>
          <w:szCs w:val="26"/>
        </w:rPr>
        <w:t xml:space="preserve">ciones que estimasen oportunas, de conformidad con lo previsto en el </w:t>
      </w:r>
      <w:r w:rsidR="00D1012B" w:rsidRPr="00FB7335">
        <w:rPr>
          <w:szCs w:val="26"/>
        </w:rPr>
        <w:t>art. 1</w:t>
      </w:r>
      <w:r w:rsidR="0035588B" w:rsidRPr="00FB7335">
        <w:rPr>
          <w:szCs w:val="26"/>
        </w:rPr>
        <w:t>1.2</w:t>
      </w:r>
      <w:r w:rsidRPr="00FB7335">
        <w:rPr>
          <w:szCs w:val="26"/>
        </w:rPr>
        <w:t xml:space="preserve"> de la Ley Foral 19/1984, reguladora de la Cámara de Comptos de Navarra.</w:t>
      </w:r>
      <w:r w:rsidR="00B35D2B" w:rsidRPr="00FB7335">
        <w:rPr>
          <w:szCs w:val="26"/>
        </w:rPr>
        <w:t xml:space="preserve"> </w:t>
      </w:r>
      <w:r w:rsidR="007E1C86">
        <w:rPr>
          <w:szCs w:val="26"/>
        </w:rPr>
        <w:t>Transcurrido el plazo fijado, no se han recibido alegaciones.</w:t>
      </w:r>
    </w:p>
    <w:p w:rsidR="006F1331" w:rsidRDefault="006F1331" w:rsidP="006F1331">
      <w:pPr>
        <w:pStyle w:val="texto"/>
        <w:tabs>
          <w:tab w:val="clear" w:pos="2835"/>
          <w:tab w:val="clear" w:pos="3969"/>
          <w:tab w:val="clear" w:pos="5103"/>
          <w:tab w:val="clear" w:pos="6237"/>
          <w:tab w:val="clear" w:pos="7371"/>
        </w:tabs>
        <w:rPr>
          <w:szCs w:val="26"/>
        </w:rPr>
      </w:pPr>
      <w:r w:rsidRPr="00A522C1">
        <w:rPr>
          <w:szCs w:val="26"/>
        </w:rPr>
        <w:t xml:space="preserve">Agradecemos al </w:t>
      </w:r>
      <w:r w:rsidR="008900BC">
        <w:rPr>
          <w:szCs w:val="26"/>
        </w:rPr>
        <w:t xml:space="preserve">personal de </w:t>
      </w:r>
      <w:r w:rsidR="000A29D0">
        <w:rPr>
          <w:szCs w:val="26"/>
        </w:rPr>
        <w:t>la</w:t>
      </w:r>
      <w:r w:rsidR="00CA58EF">
        <w:rPr>
          <w:szCs w:val="26"/>
        </w:rPr>
        <w:t xml:space="preserve"> Administración de la Comunidad Foral, de sus organismos autónomos, sociedades públicas y fundaciones públicas </w:t>
      </w:r>
      <w:r w:rsidRPr="00A522C1">
        <w:rPr>
          <w:szCs w:val="26"/>
        </w:rPr>
        <w:t>la col</w:t>
      </w:r>
      <w:r w:rsidRPr="00A522C1">
        <w:rPr>
          <w:szCs w:val="26"/>
        </w:rPr>
        <w:t>a</w:t>
      </w:r>
      <w:r w:rsidRPr="00A522C1">
        <w:rPr>
          <w:szCs w:val="26"/>
        </w:rPr>
        <w:t>boración prestada en la realización del presente trabajo.</w:t>
      </w:r>
    </w:p>
    <w:p w:rsidR="001D5B7A" w:rsidRDefault="001D5B7A">
      <w:pPr>
        <w:spacing w:after="0"/>
        <w:ind w:firstLine="0"/>
        <w:jc w:val="left"/>
        <w:rPr>
          <w:rFonts w:ascii="Arial" w:hAnsi="Arial"/>
          <w:b/>
          <w:color w:val="000000"/>
          <w:kern w:val="28"/>
          <w:sz w:val="25"/>
          <w:szCs w:val="26"/>
        </w:rPr>
      </w:pPr>
      <w:bookmarkStart w:id="5" w:name="_Toc423419507"/>
      <w:bookmarkStart w:id="6" w:name="_Toc188167194"/>
      <w:bookmarkStart w:id="7" w:name="_Toc303592531"/>
      <w:bookmarkStart w:id="8" w:name="_Toc309383714"/>
      <w:bookmarkStart w:id="9" w:name="_Toc339016603"/>
      <w:r>
        <w:br w:type="page"/>
      </w:r>
    </w:p>
    <w:p w:rsidR="0038122A" w:rsidRPr="00331AF7" w:rsidRDefault="0038122A" w:rsidP="00331AF7">
      <w:pPr>
        <w:pStyle w:val="atitulo1"/>
      </w:pPr>
      <w:bookmarkStart w:id="10" w:name="_Toc463350237"/>
      <w:r w:rsidRPr="00DF51AE">
        <w:lastRenderedPageBreak/>
        <w:t>I</w:t>
      </w:r>
      <w:r>
        <w:t>I</w:t>
      </w:r>
      <w:r w:rsidRPr="00DF51AE">
        <w:t xml:space="preserve">. </w:t>
      </w:r>
      <w:r>
        <w:t>Opinión</w:t>
      </w:r>
      <w:bookmarkEnd w:id="5"/>
      <w:bookmarkEnd w:id="10"/>
    </w:p>
    <w:p w:rsidR="000702E9" w:rsidRDefault="000702E9" w:rsidP="00EA1988">
      <w:pPr>
        <w:pStyle w:val="texto"/>
        <w:spacing w:after="240"/>
      </w:pPr>
      <w:r>
        <w:t xml:space="preserve">Hemos fiscalizado las cuentas </w:t>
      </w:r>
      <w:r w:rsidR="00E203B0">
        <w:t>generales de Navarra</w:t>
      </w:r>
      <w:r>
        <w:t xml:space="preserve"> correspondientes al eje</w:t>
      </w:r>
      <w:r>
        <w:t>r</w:t>
      </w:r>
      <w:r>
        <w:t>cicio de 201</w:t>
      </w:r>
      <w:r w:rsidR="00E203B0">
        <w:t>5</w:t>
      </w:r>
      <w:r>
        <w:t>, cuyos estados contables se recogen de forma resumida en el ep</w:t>
      </w:r>
      <w:r>
        <w:t>í</w:t>
      </w:r>
      <w:r>
        <w:t>grafe I</w:t>
      </w:r>
      <w:r w:rsidR="00AB2C3E">
        <w:t>II</w:t>
      </w:r>
      <w:r>
        <w:t xml:space="preserve"> de este informe</w:t>
      </w:r>
      <w:r w:rsidR="00467B02">
        <w:t xml:space="preserve"> y de forma completa en la memoria </w:t>
      </w:r>
      <w:r w:rsidR="00E203B0">
        <w:t>del Gobierno de Navarra</w:t>
      </w:r>
      <w:r w:rsidR="00467B02">
        <w:t xml:space="preserve"> que se adjunta en </w:t>
      </w:r>
      <w:r w:rsidR="00DD6D5A">
        <w:t>el mismo</w:t>
      </w:r>
      <w:r>
        <w:t>.</w:t>
      </w:r>
    </w:p>
    <w:p w:rsidR="0038122A" w:rsidRPr="004F32B1" w:rsidRDefault="0038122A" w:rsidP="0038122A">
      <w:pPr>
        <w:pStyle w:val="atitulo3"/>
      </w:pPr>
      <w:r w:rsidRPr="004F32B1">
        <w:t>Responsabilidad de</w:t>
      </w:r>
      <w:r w:rsidR="00E203B0">
        <w:t>l Gobierno de Navarra</w:t>
      </w:r>
      <w:r>
        <w:t xml:space="preserve"> </w:t>
      </w:r>
    </w:p>
    <w:p w:rsidR="00E203B0" w:rsidRPr="00EA1988" w:rsidRDefault="00E203B0" w:rsidP="00297706">
      <w:pPr>
        <w:pStyle w:val="texto"/>
        <w:rPr>
          <w:spacing w:val="4"/>
        </w:rPr>
      </w:pPr>
      <w:r>
        <w:t xml:space="preserve">El Departamento de </w:t>
      </w:r>
      <w:r w:rsidRPr="0026612D">
        <w:t>Hacienda</w:t>
      </w:r>
      <w:r>
        <w:t xml:space="preserve"> y Política Financiera del Gobierno de Navarra</w:t>
      </w:r>
      <w:r w:rsidRPr="0026612D">
        <w:t xml:space="preserve"> es el responsable de formular</w:t>
      </w:r>
      <w:r w:rsidR="007B6EB3">
        <w:t xml:space="preserve"> y presentar</w:t>
      </w:r>
      <w:r w:rsidRPr="0026612D">
        <w:t xml:space="preserve"> las cuentas generales, de forma que expresen la imagen fiel de la liquidación presupuestaria, del patrimonio, de los resultados y de la situación financiera del Gobierno de Navarra de conformidad con e</w:t>
      </w:r>
      <w:r w:rsidRPr="00EA1988">
        <w:rPr>
          <w:spacing w:val="4"/>
        </w:rPr>
        <w:t>l marco normativo de información financiera pública aplicable, y del co</w:t>
      </w:r>
      <w:r w:rsidRPr="00EA1988">
        <w:rPr>
          <w:spacing w:val="4"/>
        </w:rPr>
        <w:t>n</w:t>
      </w:r>
      <w:r w:rsidRPr="00EA1988">
        <w:rPr>
          <w:spacing w:val="4"/>
        </w:rPr>
        <w:t>trol in</w:t>
      </w:r>
      <w:r w:rsidR="00297706" w:rsidRPr="00EA1988">
        <w:rPr>
          <w:spacing w:val="4"/>
        </w:rPr>
        <w:t xml:space="preserve">terno </w:t>
      </w:r>
      <w:r w:rsidRPr="00EA1988">
        <w:rPr>
          <w:spacing w:val="4"/>
        </w:rPr>
        <w:t xml:space="preserve">que consideren necesario para permitir la preparación y presentación de </w:t>
      </w:r>
      <w:r w:rsidR="00297706" w:rsidRPr="00EA1988">
        <w:rPr>
          <w:spacing w:val="4"/>
        </w:rPr>
        <w:t xml:space="preserve">las </w:t>
      </w:r>
      <w:r w:rsidRPr="00EA1988">
        <w:rPr>
          <w:spacing w:val="4"/>
        </w:rPr>
        <w:t xml:space="preserve">cuentas </w:t>
      </w:r>
      <w:r w:rsidR="00297706" w:rsidRPr="00EA1988">
        <w:rPr>
          <w:spacing w:val="4"/>
        </w:rPr>
        <w:t>generales</w:t>
      </w:r>
      <w:r w:rsidRPr="00EA1988">
        <w:rPr>
          <w:spacing w:val="4"/>
        </w:rPr>
        <w:t xml:space="preserve"> libres de incorrección material, debida a fraude o error.</w:t>
      </w:r>
    </w:p>
    <w:p w:rsidR="00CA0088" w:rsidRDefault="00CA0088" w:rsidP="00CA0088">
      <w:pPr>
        <w:pStyle w:val="texto"/>
        <w:tabs>
          <w:tab w:val="clear" w:pos="2835"/>
          <w:tab w:val="clear" w:pos="3969"/>
          <w:tab w:val="clear" w:pos="5103"/>
          <w:tab w:val="clear" w:pos="6237"/>
          <w:tab w:val="clear" w:pos="7371"/>
        </w:tabs>
        <w:rPr>
          <w:szCs w:val="26"/>
        </w:rPr>
      </w:pPr>
      <w:r w:rsidRPr="000E2288">
        <w:rPr>
          <w:lang w:val="es-ES"/>
        </w:rPr>
        <w:t xml:space="preserve">El Proyecto de Ley Foral de </w:t>
      </w:r>
      <w:r>
        <w:rPr>
          <w:lang w:val="es-ES"/>
        </w:rPr>
        <w:t>c</w:t>
      </w:r>
      <w:r w:rsidRPr="000E2288">
        <w:rPr>
          <w:lang w:val="es-ES"/>
        </w:rPr>
        <w:t xml:space="preserve">uentas </w:t>
      </w:r>
      <w:r>
        <w:rPr>
          <w:lang w:val="es-ES"/>
        </w:rPr>
        <w:t>g</w:t>
      </w:r>
      <w:r w:rsidRPr="000E2288">
        <w:rPr>
          <w:lang w:val="es-ES"/>
        </w:rPr>
        <w:t>enerales de Navarra de 201</w:t>
      </w:r>
      <w:r>
        <w:rPr>
          <w:lang w:val="es-ES"/>
        </w:rPr>
        <w:t>5</w:t>
      </w:r>
      <w:r w:rsidRPr="000E2288">
        <w:rPr>
          <w:lang w:val="es-ES"/>
        </w:rPr>
        <w:t xml:space="preserve"> fue apr</w:t>
      </w:r>
      <w:r w:rsidRPr="000E2288">
        <w:rPr>
          <w:lang w:val="es-ES"/>
        </w:rPr>
        <w:t>o</w:t>
      </w:r>
      <w:r w:rsidRPr="000E2288">
        <w:rPr>
          <w:lang w:val="es-ES"/>
        </w:rPr>
        <w:t xml:space="preserve">bado por el Gobierno de Navarra en sesión celebrada </w:t>
      </w:r>
      <w:r>
        <w:rPr>
          <w:lang w:val="es-ES"/>
        </w:rPr>
        <w:t xml:space="preserve">el </w:t>
      </w:r>
      <w:r w:rsidRPr="00B548B1">
        <w:rPr>
          <w:lang w:val="es-ES"/>
        </w:rPr>
        <w:t>29</w:t>
      </w:r>
      <w:r w:rsidRPr="009D56A2">
        <w:rPr>
          <w:color w:val="FF0000"/>
          <w:lang w:val="es-ES"/>
        </w:rPr>
        <w:t xml:space="preserve"> </w:t>
      </w:r>
      <w:r w:rsidRPr="000E2288">
        <w:rPr>
          <w:lang w:val="es-ES"/>
        </w:rPr>
        <w:t>de junio de 201</w:t>
      </w:r>
      <w:r>
        <w:rPr>
          <w:lang w:val="es-ES"/>
        </w:rPr>
        <w:t>6</w:t>
      </w:r>
      <w:r w:rsidRPr="000E2288">
        <w:rPr>
          <w:lang w:val="es-ES"/>
        </w:rPr>
        <w:t xml:space="preserve"> y remitido al Parlamento de Navarra</w:t>
      </w:r>
      <w:r w:rsidR="002E2E5F">
        <w:rPr>
          <w:lang w:val="es-ES"/>
        </w:rPr>
        <w:t>, el cual mediante acuerdo de la Mesa del 5 de septiembre,</w:t>
      </w:r>
      <w:r w:rsidR="00177FFA">
        <w:rPr>
          <w:lang w:val="es-ES"/>
        </w:rPr>
        <w:t xml:space="preserve"> lo</w:t>
      </w:r>
      <w:r>
        <w:rPr>
          <w:lang w:val="es-ES"/>
        </w:rPr>
        <w:t xml:space="preserve"> </w:t>
      </w:r>
      <w:r w:rsidR="002E2E5F">
        <w:rPr>
          <w:lang w:val="es-ES"/>
        </w:rPr>
        <w:t>traslad</w:t>
      </w:r>
      <w:r w:rsidR="00511CA0">
        <w:rPr>
          <w:lang w:val="es-ES"/>
        </w:rPr>
        <w:t>ó</w:t>
      </w:r>
      <w:r w:rsidR="00177FFA">
        <w:rPr>
          <w:lang w:val="es-ES"/>
        </w:rPr>
        <w:t xml:space="preserve"> </w:t>
      </w:r>
      <w:r w:rsidR="002E2E5F">
        <w:rPr>
          <w:lang w:val="es-ES"/>
        </w:rPr>
        <w:t>a la</w:t>
      </w:r>
      <w:r>
        <w:rPr>
          <w:lang w:val="es-ES"/>
        </w:rPr>
        <w:t xml:space="preserve"> Cámara de Comptos</w:t>
      </w:r>
      <w:r w:rsidR="002E2E5F">
        <w:rPr>
          <w:lang w:val="es-ES"/>
        </w:rPr>
        <w:t>.</w:t>
      </w:r>
      <w:r>
        <w:rPr>
          <w:szCs w:val="26"/>
        </w:rPr>
        <w:t xml:space="preserve"> </w:t>
      </w:r>
    </w:p>
    <w:p w:rsidR="00E203B0" w:rsidRDefault="00E203B0" w:rsidP="00EA1988">
      <w:pPr>
        <w:pStyle w:val="texto"/>
        <w:spacing w:after="240"/>
      </w:pPr>
      <w:r>
        <w:t>Además de la responsabilidad de formular y presentar las cuentas anuales, debe garantizar que las actividades, operaciones presupuestarias y financieras y la información reflejadas en las cuentas generales</w:t>
      </w:r>
      <w:r w:rsidR="00297706">
        <w:t xml:space="preserve"> resultan conformes con las </w:t>
      </w:r>
      <w:r>
        <w:t>normas aplicables y de establecer los sistemas de control interno que consid</w:t>
      </w:r>
      <w:r>
        <w:t>e</w:t>
      </w:r>
      <w:r>
        <w:t>ren necesario para esa finalidad.</w:t>
      </w:r>
    </w:p>
    <w:p w:rsidR="000702E9" w:rsidRPr="00F71FD2" w:rsidRDefault="000702E9" w:rsidP="000702E9">
      <w:pPr>
        <w:pStyle w:val="atitulo3"/>
      </w:pPr>
      <w:r w:rsidRPr="00F71FD2">
        <w:t>Responsabilidad de la Cámara de Comptos de Navarra</w:t>
      </w:r>
    </w:p>
    <w:p w:rsidR="00A2212D" w:rsidRDefault="000702E9" w:rsidP="000702E9">
      <w:pPr>
        <w:pStyle w:val="texto"/>
      </w:pPr>
      <w:r w:rsidRPr="004F32B1">
        <w:t>Nuestra responsabilidad es expresar una opinión sobre</w:t>
      </w:r>
      <w:r>
        <w:t xml:space="preserve"> </w:t>
      </w:r>
      <w:r w:rsidRPr="004F32B1">
        <w:t xml:space="preserve">las cuentas </w:t>
      </w:r>
      <w:r w:rsidR="00297706">
        <w:t>generales de 2015</w:t>
      </w:r>
      <w:r>
        <w:t xml:space="preserve"> y </w:t>
      </w:r>
      <w:r w:rsidR="00A2212D">
        <w:t xml:space="preserve">sobre </w:t>
      </w:r>
      <w:r>
        <w:t>la legalidad de las operaciones efectuadas</w:t>
      </w:r>
      <w:r w:rsidRPr="004F32B1">
        <w:t xml:space="preserve"> basada en nuestra </w:t>
      </w:r>
      <w:r>
        <w:t>fiscalización</w:t>
      </w:r>
      <w:r w:rsidRPr="004F32B1">
        <w:t xml:space="preserve">. </w:t>
      </w:r>
    </w:p>
    <w:p w:rsidR="000702E9" w:rsidRPr="0015212F" w:rsidRDefault="000702E9" w:rsidP="000702E9">
      <w:pPr>
        <w:pStyle w:val="texto"/>
      </w:pPr>
      <w:r>
        <w:t>Para ello, h</w:t>
      </w:r>
      <w:r w:rsidRPr="004F32B1">
        <w:t xml:space="preserve">emos llevado a cabo </w:t>
      </w:r>
      <w:r>
        <w:t>la misma</w:t>
      </w:r>
      <w:r w:rsidRPr="004F32B1">
        <w:t xml:space="preserve"> de conformidad con los </w:t>
      </w:r>
      <w:r>
        <w:t>p</w:t>
      </w:r>
      <w:r w:rsidR="00A2212D">
        <w:t>rincipios fundamentales</w:t>
      </w:r>
      <w:r w:rsidRPr="004F32B1">
        <w:t xml:space="preserve"> de fiscalización de las Instituciones</w:t>
      </w:r>
      <w:r>
        <w:t xml:space="preserve"> Públicas de Control E</w:t>
      </w:r>
      <w:r>
        <w:t>x</w:t>
      </w:r>
      <w:r>
        <w:t xml:space="preserve">terno. Dichos principios </w:t>
      </w:r>
      <w:r w:rsidRPr="004F32B1">
        <w:t>exige</w:t>
      </w:r>
      <w:r>
        <w:t>n</w:t>
      </w:r>
      <w:r w:rsidRPr="004F32B1">
        <w:t xml:space="preserve"> que cumplamos los requerimientos de ética, así como que planifiquemos y ejecutemos la </w:t>
      </w:r>
      <w:r>
        <w:t>fiscalización</w:t>
      </w:r>
      <w:r w:rsidRPr="004F32B1">
        <w:t xml:space="preserve"> con el fin de obtener una seguridad razonable de que las cuentas </w:t>
      </w:r>
      <w:r w:rsidR="00A2212D">
        <w:t>anuales</w:t>
      </w:r>
      <w:r w:rsidRPr="004F32B1">
        <w:t xml:space="preserve"> están libres de incorrecciones materiales</w:t>
      </w:r>
      <w:r>
        <w:t xml:space="preserve"> y que </w:t>
      </w:r>
      <w:r w:rsidRPr="0015212F">
        <w:t>las actividades, operaciones financieras y la información refl</w:t>
      </w:r>
      <w:r w:rsidRPr="0015212F">
        <w:t>e</w:t>
      </w:r>
      <w:r w:rsidRPr="0015212F">
        <w:t>jadas en los estados financieros resultan, en todos los aspectos significativos, conformes con la</w:t>
      </w:r>
      <w:r>
        <w:t xml:space="preserve"> normativa vigente</w:t>
      </w:r>
      <w:r w:rsidRPr="0015212F">
        <w:t xml:space="preserve">. </w:t>
      </w:r>
    </w:p>
    <w:p w:rsidR="00A2212D" w:rsidRPr="00A2212D" w:rsidRDefault="00A2212D" w:rsidP="00A2212D">
      <w:pPr>
        <w:pStyle w:val="texto"/>
      </w:pPr>
      <w:r w:rsidRPr="00A2212D">
        <w:t>Una fiscalización requiere la aplicación de procedimientos para obtener ev</w:t>
      </w:r>
      <w:r w:rsidRPr="00A2212D">
        <w:t>i</w:t>
      </w:r>
      <w:r w:rsidRPr="00A2212D">
        <w:t xml:space="preserve">dencia de auditoría sobre los importes y la información revelada en las cuentas anuales y sobre el cumplimiento de los aspectos relevantes establecidos en la normativa durante el ejercicio fiscalizado. Los procedimientos seleccionados </w:t>
      </w:r>
      <w:r w:rsidRPr="00A2212D">
        <w:lastRenderedPageBreak/>
        <w:t>dependen del juicio del auditor, incluida la valoración de los riesgos tanto de incorrección material en las cuentas anuales, debida a fraude o error, como de incumplimientos significativos de la legalidad. Al efectuar dichas valoraciones del riesgo, el auditor tiene en cuenta el control interno relevante para la form</w:t>
      </w:r>
      <w:r w:rsidRPr="00A2212D">
        <w:t>u</w:t>
      </w:r>
      <w:r w:rsidRPr="00A2212D">
        <w:t>lación por parte de la entidad de las cuentas anuales y para garantizar el cu</w:t>
      </w:r>
      <w:r w:rsidRPr="00A2212D">
        <w:t>m</w:t>
      </w:r>
      <w:r w:rsidRPr="00A2212D">
        <w:t>plimiento de la legalidad, con el fin de diseñar los procedimientos de auditoría que sean adecuados en función de las circunstancias, y no con la finalidad de expresar una opinión sobre la eficacia del control interno de la entidad. Una auditoría también incluye la evaluación de la adecuación de las políticas cont</w:t>
      </w:r>
      <w:r w:rsidRPr="00A2212D">
        <w:t>a</w:t>
      </w:r>
      <w:r w:rsidRPr="00A2212D">
        <w:t>bles aplicadas y de la razonabilidad de las estimaciones contables realizadas por la dirección, así como la evaluación de la presentación de las cuentas anu</w:t>
      </w:r>
      <w:r w:rsidRPr="00A2212D">
        <w:t>a</w:t>
      </w:r>
      <w:r w:rsidRPr="00A2212D">
        <w:t>les tomadas en su conjunto.</w:t>
      </w:r>
    </w:p>
    <w:p w:rsidR="00A2212D" w:rsidRPr="00A2212D" w:rsidRDefault="00A2212D" w:rsidP="00A2212D">
      <w:pPr>
        <w:pStyle w:val="texto"/>
      </w:pPr>
      <w:r w:rsidRPr="00A2212D">
        <w:t xml:space="preserve">Consideramos que la evidencia de auditoría que hemos obtenido proporciona una base suficiente y adecuada para </w:t>
      </w:r>
      <w:r w:rsidR="002D48DB">
        <w:t xml:space="preserve">fundamentar </w:t>
      </w:r>
      <w:r w:rsidRPr="00A2212D">
        <w:t>nuestra opinión</w:t>
      </w:r>
      <w:r w:rsidR="00297706">
        <w:t xml:space="preserve"> </w:t>
      </w:r>
      <w:r w:rsidR="008E7D7B">
        <w:t>modificada</w:t>
      </w:r>
      <w:r w:rsidR="00E34128">
        <w:t xml:space="preserve"> </w:t>
      </w:r>
      <w:r w:rsidRPr="00A2212D">
        <w:t>de auditoría financiera</w:t>
      </w:r>
      <w:r w:rsidR="002D48DB">
        <w:t xml:space="preserve"> </w:t>
      </w:r>
      <w:r w:rsidRPr="00A2212D">
        <w:t xml:space="preserve">y de </w:t>
      </w:r>
      <w:r w:rsidR="00B86CD0">
        <w:t xml:space="preserve">fiscalización del </w:t>
      </w:r>
      <w:r w:rsidRPr="00A2212D">
        <w:t>cumplimiento</w:t>
      </w:r>
      <w:r>
        <w:t xml:space="preserve"> de legalidad</w:t>
      </w:r>
      <w:r w:rsidRPr="00A2212D">
        <w:t>.</w:t>
      </w:r>
    </w:p>
    <w:p w:rsidR="00A2212D" w:rsidRDefault="00703010" w:rsidP="00A2212D">
      <w:pPr>
        <w:pStyle w:val="atitulo2"/>
        <w:spacing w:before="240"/>
      </w:pPr>
      <w:bookmarkStart w:id="11" w:name="_Toc463350238"/>
      <w:bookmarkStart w:id="12" w:name="_Toc305415950"/>
      <w:bookmarkStart w:id="13" w:name="_Toc305480468"/>
      <w:bookmarkStart w:id="14" w:name="_Toc402180175"/>
      <w:bookmarkStart w:id="15" w:name="_Toc188167196"/>
      <w:bookmarkStart w:id="16" w:name="_Toc303592533"/>
      <w:bookmarkStart w:id="17" w:name="_Toc309383716"/>
      <w:bookmarkStart w:id="18" w:name="_Toc339016605"/>
      <w:r>
        <w:t>II</w:t>
      </w:r>
      <w:r w:rsidR="00A2212D">
        <w:t xml:space="preserve">.1. </w:t>
      </w:r>
      <w:r w:rsidR="00A2212D" w:rsidRPr="003639A8">
        <w:t xml:space="preserve">Opinión </w:t>
      </w:r>
      <w:r w:rsidR="002747C7" w:rsidRPr="003639A8">
        <w:t xml:space="preserve">de auditoría </w:t>
      </w:r>
      <w:r w:rsidR="00A2212D" w:rsidRPr="003639A8">
        <w:t xml:space="preserve">financiera sobre las cuentas </w:t>
      </w:r>
      <w:r w:rsidR="006602FF" w:rsidRPr="003639A8">
        <w:t>generales de 2015</w:t>
      </w:r>
      <w:bookmarkEnd w:id="11"/>
    </w:p>
    <w:p w:rsidR="00297706" w:rsidRDefault="00297706" w:rsidP="00FE7AD8">
      <w:pPr>
        <w:pStyle w:val="atitulo3"/>
      </w:pPr>
      <w:r>
        <w:t>Fundamento de la opinión</w:t>
      </w:r>
      <w:r w:rsidR="006602FF">
        <w:t xml:space="preserve"> financiera</w:t>
      </w:r>
      <w:r>
        <w:t xml:space="preserve"> con salvedades</w:t>
      </w:r>
    </w:p>
    <w:p w:rsidR="00FE7AD8" w:rsidRDefault="00FE7AD8" w:rsidP="00FE7AD8">
      <w:pPr>
        <w:pStyle w:val="texto"/>
      </w:pPr>
      <w:r>
        <w:t xml:space="preserve">a) </w:t>
      </w:r>
      <w:r w:rsidR="00761761" w:rsidRPr="00FE7AD8">
        <w:t>En el balance de situación</w:t>
      </w:r>
      <w:r w:rsidR="007B6EB3" w:rsidRPr="00FE7AD8">
        <w:t xml:space="preserve"> no ha sido posible obtener evidencia de la r</w:t>
      </w:r>
      <w:r w:rsidR="007B6EB3" w:rsidRPr="00FE7AD8">
        <w:t>a</w:t>
      </w:r>
      <w:r w:rsidR="007B6EB3" w:rsidRPr="00FE7AD8">
        <w:t>zonabilidad del saldo contable de “Inmovilizaciones Materiales” que, a 31 de diciembre de 2015, asciende a 2.182,80 millones, dado que el mismo no está respaldado por un inventar</w:t>
      </w:r>
      <w:r w:rsidR="00E97DC3" w:rsidRPr="00FE7AD8">
        <w:t xml:space="preserve">io general de bienes </w:t>
      </w:r>
      <w:r w:rsidR="007B6EB3" w:rsidRPr="00FE7AD8">
        <w:t>adecuadamente valorado</w:t>
      </w:r>
      <w:r w:rsidR="00445135" w:rsidRPr="00FE7AD8">
        <w:t xml:space="preserve"> de acuerdo con los principios y criterios contables aplicables</w:t>
      </w:r>
      <w:r w:rsidR="007B6EB3" w:rsidRPr="00FE7AD8">
        <w:t>.</w:t>
      </w:r>
    </w:p>
    <w:p w:rsidR="00343CE7" w:rsidRPr="00FE7AD8" w:rsidRDefault="000A0AD6" w:rsidP="00EA1988">
      <w:pPr>
        <w:pStyle w:val="texto"/>
        <w:spacing w:after="240"/>
      </w:pPr>
      <w:r>
        <w:t xml:space="preserve"> </w:t>
      </w:r>
      <w:r w:rsidR="00FE7AD8">
        <w:t xml:space="preserve">b) </w:t>
      </w:r>
      <w:r w:rsidR="007B6EB3" w:rsidRPr="00FE7AD8">
        <w:t>No se registran en el balance ni la memoria contiene información sobre las obligaciones actuariales generadas por el montepío del personal funcionario activo y pasivo de la Administración</w:t>
      </w:r>
      <w:r w:rsidR="00346A61" w:rsidRPr="00FE7AD8">
        <w:t xml:space="preserve"> de la Comunidad Foral</w:t>
      </w:r>
      <w:r w:rsidR="007B6EB3" w:rsidRPr="00FE7AD8">
        <w:t xml:space="preserve">. De acuerdo con los estudios y estimaciones realizadas, el coste derivado de las prestaciones de dicho </w:t>
      </w:r>
      <w:r w:rsidR="00FE7AD8">
        <w:t>m</w:t>
      </w:r>
      <w:r w:rsidR="007B6EB3" w:rsidRPr="00FE7AD8">
        <w:t xml:space="preserve">ontepío </w:t>
      </w:r>
      <w:r w:rsidR="00B86274" w:rsidRPr="00FE7AD8">
        <w:t>para el periodo de 2016 a</w:t>
      </w:r>
      <w:r w:rsidR="007B6EB3" w:rsidRPr="00FE7AD8">
        <w:t xml:space="preserve"> 2087 </w:t>
      </w:r>
      <w:r w:rsidR="00D4790D" w:rsidRPr="00FE7AD8">
        <w:t>se estima en torno a</w:t>
      </w:r>
      <w:r w:rsidR="007B6EB3" w:rsidRPr="00FE7AD8">
        <w:t xml:space="preserve"> 2.</w:t>
      </w:r>
      <w:r w:rsidR="00D4790D" w:rsidRPr="00FE7AD8">
        <w:t>150</w:t>
      </w:r>
      <w:r w:rsidR="007B6EB3" w:rsidRPr="00FE7AD8">
        <w:t xml:space="preserve"> m</w:t>
      </w:r>
      <w:r w:rsidR="007B6EB3" w:rsidRPr="00FE7AD8">
        <w:t>i</w:t>
      </w:r>
      <w:r w:rsidR="007B6EB3" w:rsidRPr="00FE7AD8">
        <w:t>llones de euros constantes.</w:t>
      </w:r>
    </w:p>
    <w:p w:rsidR="00513B14" w:rsidRPr="003861C7" w:rsidRDefault="003861C7" w:rsidP="00FE7AD8">
      <w:pPr>
        <w:pStyle w:val="atitulo3"/>
      </w:pPr>
      <w:r w:rsidRPr="00036341">
        <w:t xml:space="preserve">Opinión </w:t>
      </w:r>
      <w:r w:rsidR="008E7D7B">
        <w:t xml:space="preserve">de auditoría </w:t>
      </w:r>
      <w:r>
        <w:t>financiera</w:t>
      </w:r>
    </w:p>
    <w:p w:rsidR="00A46FE8" w:rsidRDefault="00A2212D" w:rsidP="006602FF">
      <w:pPr>
        <w:pStyle w:val="texto"/>
        <w:spacing w:after="0"/>
      </w:pPr>
      <w:r w:rsidRPr="006151BD">
        <w:t>En nuestra opinión</w:t>
      </w:r>
      <w:r w:rsidR="008E7D7B" w:rsidRPr="00915718">
        <w:rPr>
          <w:i/>
        </w:rPr>
        <w:t>,</w:t>
      </w:r>
      <w:r w:rsidR="006602FF" w:rsidRPr="006602FF">
        <w:t xml:space="preserve"> excepto por los </w:t>
      </w:r>
      <w:r w:rsidR="00FE7AD8">
        <w:t>posibles efectos de la limitación al a</w:t>
      </w:r>
      <w:r w:rsidR="00FE7AD8">
        <w:t>l</w:t>
      </w:r>
      <w:r w:rsidR="00FE7AD8">
        <w:t xml:space="preserve">cance descrita en el párrafo a) y excepto por los </w:t>
      </w:r>
      <w:r w:rsidR="006602FF" w:rsidRPr="006602FF">
        <w:t>efec</w:t>
      </w:r>
      <w:r w:rsidR="00FE7AD8">
        <w:t>tos de</w:t>
      </w:r>
      <w:r w:rsidR="006602FF" w:rsidRPr="006602FF">
        <w:t xml:space="preserve">l hecho descrito en el párrafo </w:t>
      </w:r>
      <w:r w:rsidR="00FE7AD8">
        <w:t xml:space="preserve">b) </w:t>
      </w:r>
      <w:r w:rsidR="006602FF" w:rsidRPr="006602FF">
        <w:t>de</w:t>
      </w:r>
      <w:r w:rsidR="00FE7AD8">
        <w:t>l apartado de</w:t>
      </w:r>
      <w:r w:rsidR="006602FF" w:rsidRPr="006602FF">
        <w:t xml:space="preserve"> “Fundamento de la opinión</w:t>
      </w:r>
      <w:r w:rsidR="006602FF">
        <w:t xml:space="preserve"> financiera</w:t>
      </w:r>
      <w:r w:rsidR="00F343A7">
        <w:t xml:space="preserve"> con salved</w:t>
      </w:r>
      <w:r w:rsidR="00F343A7">
        <w:t>a</w:t>
      </w:r>
      <w:r w:rsidR="00F343A7">
        <w:t>des”</w:t>
      </w:r>
      <w:r w:rsidR="006602FF">
        <w:t>,</w:t>
      </w:r>
      <w:r w:rsidR="008E7D7B">
        <w:rPr>
          <w:i/>
          <w:color w:val="FF0000"/>
        </w:rPr>
        <w:t xml:space="preserve"> </w:t>
      </w:r>
      <w:r w:rsidR="006602FF" w:rsidRPr="006602FF">
        <w:t>las cuentas generales adjuntas expresan, en todos los aspectos significat</w:t>
      </w:r>
      <w:r w:rsidR="006602FF" w:rsidRPr="006602FF">
        <w:t>i</w:t>
      </w:r>
      <w:r w:rsidR="006602FF" w:rsidRPr="006602FF">
        <w:t>vos, la imagen fiel del patrimonio, de la liquidación de sus presupuestos de ga</w:t>
      </w:r>
      <w:r w:rsidR="006602FF" w:rsidRPr="006602FF">
        <w:t>s</w:t>
      </w:r>
      <w:r w:rsidR="006602FF" w:rsidRPr="006602FF">
        <w:t>tos e ingresos y de la situación financiera de la Administración de la Comun</w:t>
      </w:r>
      <w:r w:rsidR="006602FF" w:rsidRPr="006602FF">
        <w:t>i</w:t>
      </w:r>
      <w:r w:rsidR="006602FF" w:rsidRPr="006602FF">
        <w:t>dad Foral y sus organismos autónomos a 31 de diciembre de 201</w:t>
      </w:r>
      <w:r w:rsidR="006602FF">
        <w:t>5</w:t>
      </w:r>
      <w:r w:rsidR="006602FF" w:rsidRPr="006602FF">
        <w:t xml:space="preserve">, así como de sus resultados económicos y presupuestarios correspondientes al ejercicio anual </w:t>
      </w:r>
      <w:r w:rsidR="006602FF" w:rsidRPr="006602FF">
        <w:lastRenderedPageBreak/>
        <w:t>terminado en dicha fecha, de conformidad con el marco normativo de inform</w:t>
      </w:r>
      <w:r w:rsidR="006602FF" w:rsidRPr="006602FF">
        <w:t>a</w:t>
      </w:r>
      <w:r w:rsidR="006602FF" w:rsidRPr="006602FF">
        <w:t>ción financiera pública aplicable y, en particular, con los principios y criterios contables contenidos en el mismo.</w:t>
      </w:r>
    </w:p>
    <w:p w:rsidR="00245167" w:rsidRDefault="00245167" w:rsidP="006602FF">
      <w:pPr>
        <w:pStyle w:val="texto"/>
        <w:spacing w:after="0"/>
      </w:pPr>
    </w:p>
    <w:p w:rsidR="00245167" w:rsidRDefault="00245167" w:rsidP="00FE7AD8">
      <w:pPr>
        <w:pStyle w:val="atitulo3"/>
      </w:pPr>
      <w:r w:rsidRPr="00245167">
        <w:t>Párrafo de énfasis</w:t>
      </w:r>
    </w:p>
    <w:p w:rsidR="00530734" w:rsidRPr="005A444D" w:rsidRDefault="00245167" w:rsidP="005A444D">
      <w:pPr>
        <w:pStyle w:val="texto"/>
        <w:rPr>
          <w:szCs w:val="26"/>
        </w:rPr>
      </w:pPr>
      <w:r w:rsidRPr="005A444D">
        <w:rPr>
          <w:szCs w:val="26"/>
        </w:rPr>
        <w:t>Llamamos la atención sobre los siguientes aspectos que figuran o se de</w:t>
      </w:r>
      <w:r w:rsidRPr="005A444D">
        <w:rPr>
          <w:szCs w:val="26"/>
        </w:rPr>
        <w:t>s</w:t>
      </w:r>
      <w:r w:rsidRPr="005A444D">
        <w:rPr>
          <w:szCs w:val="26"/>
        </w:rPr>
        <w:t>prenden de la información contenida en la cuenta general y que esta Cámara de Comptos considera de interés destacar</w:t>
      </w:r>
      <w:r w:rsidR="006C55C8">
        <w:rPr>
          <w:szCs w:val="26"/>
        </w:rPr>
        <w:t>,</w:t>
      </w:r>
      <w:r w:rsidR="00343CE7" w:rsidRPr="005A444D">
        <w:rPr>
          <w:szCs w:val="26"/>
        </w:rPr>
        <w:t xml:space="preserve"> a efectos de un mejor entendimiento de nuestro trabajo de auditoría</w:t>
      </w:r>
      <w:r w:rsidRPr="005A444D">
        <w:rPr>
          <w:szCs w:val="26"/>
        </w:rPr>
        <w:t>:</w:t>
      </w:r>
    </w:p>
    <w:p w:rsidR="00F8611E" w:rsidRDefault="002433A2" w:rsidP="005A444D">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szCs w:val="26"/>
        </w:rPr>
      </w:pPr>
      <w:r w:rsidRPr="005A444D">
        <w:rPr>
          <w:szCs w:val="26"/>
        </w:rPr>
        <w:t xml:space="preserve">El presupuesto de 2015 es el resultado de la prórroga del presupuesto de 2012. En la actual situación económica, la prórroga de un presupuesto durante tres ejercicios consecutivos </w:t>
      </w:r>
      <w:r w:rsidR="000A0AD6">
        <w:rPr>
          <w:szCs w:val="26"/>
        </w:rPr>
        <w:t>dificulta</w:t>
      </w:r>
      <w:r w:rsidRPr="005A444D">
        <w:rPr>
          <w:szCs w:val="26"/>
        </w:rPr>
        <w:t xml:space="preserve"> una adecuada planificación económico-financiera de la actividad del Gobierno de </w:t>
      </w:r>
      <w:r w:rsidR="00D015CB" w:rsidRPr="005A444D">
        <w:rPr>
          <w:szCs w:val="26"/>
        </w:rPr>
        <w:t>N</w:t>
      </w:r>
      <w:r w:rsidRPr="005A444D">
        <w:rPr>
          <w:szCs w:val="26"/>
        </w:rPr>
        <w:t>avarra.</w:t>
      </w:r>
    </w:p>
    <w:p w:rsidR="004D52CC" w:rsidRPr="005A444D" w:rsidRDefault="004874DB" w:rsidP="005A444D">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szCs w:val="26"/>
        </w:rPr>
      </w:pPr>
      <w:r>
        <w:rPr>
          <w:szCs w:val="26"/>
        </w:rPr>
        <w:t xml:space="preserve">El </w:t>
      </w:r>
      <w:r w:rsidR="0061665A">
        <w:rPr>
          <w:szCs w:val="26"/>
        </w:rPr>
        <w:t>resultado</w:t>
      </w:r>
      <w:r>
        <w:rPr>
          <w:szCs w:val="26"/>
        </w:rPr>
        <w:t xml:space="preserve"> presupuestario no financiero ha sido negativo en 163,22 m</w:t>
      </w:r>
      <w:r>
        <w:rPr>
          <w:szCs w:val="26"/>
        </w:rPr>
        <w:t>i</w:t>
      </w:r>
      <w:r>
        <w:rPr>
          <w:szCs w:val="26"/>
        </w:rPr>
        <w:t xml:space="preserve">llones, incrementando su saldo negativo en un 57 por ciento sobre el ejercicio anterior.  </w:t>
      </w:r>
      <w:r w:rsidR="004D52CC">
        <w:rPr>
          <w:szCs w:val="26"/>
        </w:rPr>
        <w:t xml:space="preserve"> </w:t>
      </w:r>
    </w:p>
    <w:p w:rsidR="00245167" w:rsidRDefault="00D015CB" w:rsidP="00245167">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 xml:space="preserve">Se observa, en 2015, un incremento relevante del importe negativo del </w:t>
      </w:r>
      <w:r w:rsidR="003C402B">
        <w:t>R</w:t>
      </w:r>
      <w:r>
        <w:t>eman</w:t>
      </w:r>
      <w:r w:rsidR="003C402B">
        <w:t>en</w:t>
      </w:r>
      <w:r>
        <w:t xml:space="preserve">te de </w:t>
      </w:r>
      <w:r w:rsidR="003C402B">
        <w:t>T</w:t>
      </w:r>
      <w:r>
        <w:t>esorería para gastos generales, al pasar de 184</w:t>
      </w:r>
      <w:r w:rsidR="005A444D">
        <w:t>,1</w:t>
      </w:r>
      <w:r>
        <w:t xml:space="preserve"> a 238</w:t>
      </w:r>
      <w:r w:rsidR="005A444D">
        <w:t>,1</w:t>
      </w:r>
      <w:r>
        <w:t xml:space="preserve"> mill</w:t>
      </w:r>
      <w:r>
        <w:t>o</w:t>
      </w:r>
      <w:r>
        <w:t>nes, es decir, 54 millones de aumento del valor negativo de esta magnitud</w:t>
      </w:r>
      <w:r w:rsidR="0042584A">
        <w:t>;</w:t>
      </w:r>
      <w:r>
        <w:t xml:space="preserve"> </w:t>
      </w:r>
      <w:r w:rsidR="0042584A">
        <w:t>e</w:t>
      </w:r>
      <w:r>
        <w:t xml:space="preserve">sta situación </w:t>
      </w:r>
      <w:r w:rsidR="00530734">
        <w:t>puede generar</w:t>
      </w:r>
      <w:r w:rsidR="00530734" w:rsidRPr="00530734">
        <w:t xml:space="preserve"> </w:t>
      </w:r>
      <w:r>
        <w:t xml:space="preserve">tensiones de </w:t>
      </w:r>
      <w:r w:rsidR="005A444D">
        <w:t>liquidez</w:t>
      </w:r>
      <w:r>
        <w:t xml:space="preserve"> y de solvencia</w:t>
      </w:r>
      <w:r w:rsidR="00A93D82">
        <w:t xml:space="preserve"> a corto plazo</w:t>
      </w:r>
      <w:r>
        <w:t xml:space="preserve"> </w:t>
      </w:r>
      <w:r w:rsidR="006C55C8">
        <w:t>en la Hacienda Foral</w:t>
      </w:r>
      <w:r w:rsidR="0042584A">
        <w:t xml:space="preserve"> y se manifiesta</w:t>
      </w:r>
      <w:r w:rsidR="0066463C">
        <w:t>,</w:t>
      </w:r>
      <w:r w:rsidR="0042584A">
        <w:t xml:space="preserve"> entre otros aspectos, en que los fondos líquidos de tesorería se han reducido en 104 millones</w:t>
      </w:r>
      <w:r>
        <w:t xml:space="preserve">.  </w:t>
      </w:r>
    </w:p>
    <w:p w:rsidR="00245167" w:rsidRDefault="005A444D" w:rsidP="00245167">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En el</w:t>
      </w:r>
      <w:r w:rsidR="00D015CB">
        <w:t xml:space="preserve"> análisis </w:t>
      </w:r>
      <w:r w:rsidR="00530734">
        <w:t xml:space="preserve">de los Fondos Propios del </w:t>
      </w:r>
      <w:r>
        <w:t>b</w:t>
      </w:r>
      <w:r w:rsidR="00530734">
        <w:t>alance, se advierte un desequil</w:t>
      </w:r>
      <w:r w:rsidR="00530734">
        <w:t>i</w:t>
      </w:r>
      <w:r w:rsidR="00530734">
        <w:t xml:space="preserve">brio </w:t>
      </w:r>
      <w:r w:rsidR="00BF360D">
        <w:t>notable</w:t>
      </w:r>
      <w:r w:rsidR="00530734">
        <w:t xml:space="preserve"> de esta masa patrimonia</w:t>
      </w:r>
      <w:r w:rsidR="008D2DBA">
        <w:t xml:space="preserve">l ya que ha aumentado </w:t>
      </w:r>
      <w:r w:rsidR="00530734">
        <w:t xml:space="preserve">su valor negativo en prácticamente </w:t>
      </w:r>
      <w:r w:rsidR="00530734" w:rsidRPr="00A8511A">
        <w:t>150 millones</w:t>
      </w:r>
      <w:r w:rsidR="00530734">
        <w:t>, alcanzando</w:t>
      </w:r>
      <w:r w:rsidR="008D2DBA">
        <w:t>, en 2015,</w:t>
      </w:r>
      <w:r w:rsidR="00530734">
        <w:t xml:space="preserve"> una cuantía </w:t>
      </w:r>
      <w:r w:rsidR="00511CA0">
        <w:t xml:space="preserve">negativa </w:t>
      </w:r>
      <w:r w:rsidR="00530734">
        <w:t xml:space="preserve">de </w:t>
      </w:r>
      <w:r w:rsidR="00530734" w:rsidRPr="00A8511A">
        <w:t>247,</w:t>
      </w:r>
      <w:r w:rsidR="00A8511A" w:rsidRPr="00A8511A">
        <w:t>82</w:t>
      </w:r>
      <w:r w:rsidR="00530734" w:rsidRPr="00A8511A">
        <w:t xml:space="preserve"> </w:t>
      </w:r>
      <w:r w:rsidR="00530734">
        <w:t>millones. Este desequilibrio está originado en los resultados negativos del ejercicio y los de ejercicios anteriores que no son compensados con la cue</w:t>
      </w:r>
      <w:r w:rsidR="00530734">
        <w:t>n</w:t>
      </w:r>
      <w:r w:rsidR="00530734">
        <w:t>ta de patrimonio.</w:t>
      </w:r>
    </w:p>
    <w:p w:rsidR="00BB1149" w:rsidRPr="00F36E32" w:rsidRDefault="00530734" w:rsidP="00BB1149">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rsidRPr="00F36E32">
        <w:t>La deuda financiera</w:t>
      </w:r>
      <w:r w:rsidR="007C07B1" w:rsidRPr="00F36E32">
        <w:t xml:space="preserve"> del Gobierno de Navarra</w:t>
      </w:r>
      <w:r w:rsidRPr="00F36E32">
        <w:t xml:space="preserve"> a 31 de diciembre de 2015 asciende a </w:t>
      </w:r>
      <w:r w:rsidR="00FE2390" w:rsidRPr="00F36E32">
        <w:t>2.</w:t>
      </w:r>
      <w:r w:rsidR="00BB1149" w:rsidRPr="00F36E32">
        <w:t>898,8</w:t>
      </w:r>
      <w:r w:rsidRPr="00F36E32">
        <w:t xml:space="preserve"> millones</w:t>
      </w:r>
      <w:r w:rsidR="00FE2390" w:rsidRPr="00F36E32">
        <w:t>, clasificada en 2.5</w:t>
      </w:r>
      <w:r w:rsidR="00BB1149" w:rsidRPr="00F36E32">
        <w:t>49</w:t>
      </w:r>
      <w:r w:rsidR="00FE2390" w:rsidRPr="00F36E32">
        <w:t xml:space="preserve"> millones a largo plazo y 349,8 millones a corto plazo.</w:t>
      </w:r>
      <w:r w:rsidR="00BB1149" w:rsidRPr="00F36E32">
        <w:t xml:space="preserve"> Este importe representa el 88 por ciento de los ingresos corrientes del ejercicio y sobre </w:t>
      </w:r>
      <w:r w:rsidR="005A444D" w:rsidRPr="00F36E32">
        <w:t xml:space="preserve">el volumen de </w:t>
      </w:r>
      <w:r w:rsidR="00BB1149" w:rsidRPr="00F36E32">
        <w:t>2014, se ha incrementado en un cinco por ciento, es decir, en 139 millones</w:t>
      </w:r>
      <w:r w:rsidR="005A444D" w:rsidRPr="00F36E32">
        <w:t>.</w:t>
      </w:r>
      <w:r w:rsidR="00BB1149" w:rsidRPr="00F36E32">
        <w:t xml:space="preserve"> </w:t>
      </w:r>
    </w:p>
    <w:p w:rsidR="00110AC5" w:rsidRDefault="00BF360D" w:rsidP="00245167">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La recaudación líquida tributaria en 2015 ha ascendido a 3.205,4 millones, incrementándose en un 6,4 por ciento respecto al ejercicio anterior y represe</w:t>
      </w:r>
      <w:r>
        <w:t>n</w:t>
      </w:r>
      <w:r>
        <w:t>tando el 17,5</w:t>
      </w:r>
      <w:r w:rsidR="002E5022">
        <w:t>7</w:t>
      </w:r>
      <w:r>
        <w:t xml:space="preserve"> por ciento sobre el PIB de Navarra.</w:t>
      </w:r>
      <w:r w:rsidR="00FE2390">
        <w:t xml:space="preserve"> </w:t>
      </w:r>
    </w:p>
    <w:p w:rsidR="00B548B1" w:rsidRPr="004D52CC" w:rsidRDefault="008D2DBA" w:rsidP="008D2DBA">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rsidRPr="004D52CC">
        <w:t xml:space="preserve">El Sector Administración Pública de la Comunidad Foral, a efectos de la normativa de estabilidad presupuestaria y en términos de contabilidad nacional, ha obtenido un déficit o necesidades de financiación de </w:t>
      </w:r>
      <w:r w:rsidRPr="006A3173">
        <w:t>2</w:t>
      </w:r>
      <w:r w:rsidR="006A3173" w:rsidRPr="006A3173">
        <w:t>69,9</w:t>
      </w:r>
      <w:r w:rsidRPr="006A3173">
        <w:t xml:space="preserve"> millones –es d</w:t>
      </w:r>
      <w:r w:rsidRPr="006A3173">
        <w:t>e</w:t>
      </w:r>
      <w:r w:rsidRPr="006A3173">
        <w:lastRenderedPageBreak/>
        <w:t>cir, 120,</w:t>
      </w:r>
      <w:r w:rsidR="006A3173" w:rsidRPr="006A3173">
        <w:t>4</w:t>
      </w:r>
      <w:r w:rsidRPr="006A3173">
        <w:t xml:space="preserve"> millones más que en 2014</w:t>
      </w:r>
      <w:r w:rsidR="00EA1988">
        <w:t>–</w:t>
      </w:r>
      <w:r w:rsidRPr="006A3173">
        <w:t xml:space="preserve"> y un volumen de ende</w:t>
      </w:r>
      <w:r w:rsidRPr="004D52CC">
        <w:t xml:space="preserve">udamiento según el Protocolo de Déficit Excesivo (PDE) de </w:t>
      </w:r>
      <w:r w:rsidRPr="0002788A">
        <w:t xml:space="preserve">3.322 millones </w:t>
      </w:r>
      <w:r w:rsidRPr="004D52CC">
        <w:t>–esto es, 125 millones superior al de 2014</w:t>
      </w:r>
      <w:r w:rsidR="00EA1988">
        <w:t>–</w:t>
      </w:r>
      <w:r w:rsidRPr="004D52CC">
        <w:t>.</w:t>
      </w:r>
    </w:p>
    <w:p w:rsidR="00FB7335" w:rsidRDefault="00402735" w:rsidP="0023568C">
      <w:pPr>
        <w:pStyle w:val="texto"/>
        <w:tabs>
          <w:tab w:val="clear" w:pos="2835"/>
          <w:tab w:val="clear" w:pos="3969"/>
          <w:tab w:val="clear" w:pos="5103"/>
          <w:tab w:val="clear" w:pos="6237"/>
          <w:tab w:val="clear" w:pos="7371"/>
          <w:tab w:val="left" w:pos="480"/>
        </w:tabs>
        <w:rPr>
          <w:lang w:val="es-ES"/>
        </w:rPr>
      </w:pPr>
      <w:r w:rsidRPr="00402735">
        <w:rPr>
          <w:lang w:val="es-ES"/>
        </w:rPr>
        <w:t xml:space="preserve">En </w:t>
      </w:r>
      <w:r w:rsidRPr="00466653">
        <w:rPr>
          <w:b/>
          <w:lang w:val="es-ES"/>
        </w:rPr>
        <w:t>definitiva</w:t>
      </w:r>
      <w:r w:rsidRPr="00402735">
        <w:rPr>
          <w:lang w:val="es-ES"/>
        </w:rPr>
        <w:t xml:space="preserve">, </w:t>
      </w:r>
      <w:r w:rsidR="0023568C" w:rsidRPr="0023568C">
        <w:rPr>
          <w:lang w:val="es-ES"/>
        </w:rPr>
        <w:t>la situación financiera del Gobierno de Navarra se sigue c</w:t>
      </w:r>
      <w:r w:rsidR="0023568C" w:rsidRPr="0023568C">
        <w:rPr>
          <w:lang w:val="es-ES"/>
        </w:rPr>
        <w:t>a</w:t>
      </w:r>
      <w:r w:rsidR="0023568C" w:rsidRPr="0023568C">
        <w:rPr>
          <w:lang w:val="es-ES"/>
        </w:rPr>
        <w:t xml:space="preserve">racterizando por la necesidad de acudir a la financiación externa </w:t>
      </w:r>
      <w:r w:rsidR="004D52CC">
        <w:rPr>
          <w:lang w:val="es-ES"/>
        </w:rPr>
        <w:t>para cubrir sus gastos</w:t>
      </w:r>
      <w:r w:rsidR="00F04693">
        <w:rPr>
          <w:lang w:val="es-ES"/>
        </w:rPr>
        <w:t xml:space="preserve"> ordinarios y para hacer frente a l</w:t>
      </w:r>
      <w:r w:rsidR="003C402B">
        <w:rPr>
          <w:lang w:val="es-ES"/>
        </w:rPr>
        <w:t>os vencimientos</w:t>
      </w:r>
      <w:r w:rsidR="00F04693">
        <w:rPr>
          <w:lang w:val="es-ES"/>
        </w:rPr>
        <w:t xml:space="preserve"> de anteriores pasivos financieros;</w:t>
      </w:r>
      <w:r w:rsidR="0023568C">
        <w:rPr>
          <w:lang w:val="es-ES"/>
        </w:rPr>
        <w:t xml:space="preserve"> </w:t>
      </w:r>
      <w:r w:rsidR="00F36E32">
        <w:rPr>
          <w:lang w:val="es-ES"/>
        </w:rPr>
        <w:t>este</w:t>
      </w:r>
      <w:r w:rsidR="0023568C" w:rsidRPr="0023568C">
        <w:rPr>
          <w:lang w:val="es-ES"/>
        </w:rPr>
        <w:t xml:space="preserve"> mayor endeudamiento está provocando un incremento de los recursos destinados a financiar la carga financiera derivada del mismo. </w:t>
      </w:r>
    </w:p>
    <w:p w:rsidR="0023568C" w:rsidRPr="00466653" w:rsidRDefault="00F36E32" w:rsidP="0023568C">
      <w:pPr>
        <w:pStyle w:val="texto"/>
        <w:tabs>
          <w:tab w:val="clear" w:pos="2835"/>
          <w:tab w:val="clear" w:pos="3969"/>
          <w:tab w:val="clear" w:pos="5103"/>
          <w:tab w:val="clear" w:pos="6237"/>
          <w:tab w:val="clear" w:pos="7371"/>
          <w:tab w:val="left" w:pos="480"/>
        </w:tabs>
        <w:rPr>
          <w:lang w:val="es-ES"/>
        </w:rPr>
      </w:pPr>
      <w:r w:rsidRPr="00466653">
        <w:rPr>
          <w:lang w:val="es-ES"/>
        </w:rPr>
        <w:t xml:space="preserve">Por otra parte, sigue presentando </w:t>
      </w:r>
      <w:r w:rsidR="00FB7335" w:rsidRPr="00466653">
        <w:rPr>
          <w:lang w:val="es-ES"/>
        </w:rPr>
        <w:t xml:space="preserve">un desequilibrio relevante </w:t>
      </w:r>
      <w:r w:rsidRPr="00466653">
        <w:rPr>
          <w:lang w:val="es-ES"/>
        </w:rPr>
        <w:t>en el remanente de tesorería</w:t>
      </w:r>
      <w:r w:rsidR="00FB7335" w:rsidRPr="00466653">
        <w:rPr>
          <w:lang w:val="es-ES"/>
        </w:rPr>
        <w:t>, lo que significa que gastos generados en 2015 deben ser financi</w:t>
      </w:r>
      <w:r w:rsidR="00FB7335" w:rsidRPr="00466653">
        <w:rPr>
          <w:lang w:val="es-ES"/>
        </w:rPr>
        <w:t>a</w:t>
      </w:r>
      <w:r w:rsidR="00FB7335" w:rsidRPr="00466653">
        <w:rPr>
          <w:lang w:val="es-ES"/>
        </w:rPr>
        <w:t>d</w:t>
      </w:r>
      <w:r w:rsidR="00466653" w:rsidRPr="00466653">
        <w:rPr>
          <w:lang w:val="es-ES"/>
        </w:rPr>
        <w:t xml:space="preserve">os con recursos </w:t>
      </w:r>
      <w:r w:rsidR="00FB7335" w:rsidRPr="00466653">
        <w:rPr>
          <w:lang w:val="es-ES"/>
        </w:rPr>
        <w:t>de 2016; esta situación</w:t>
      </w:r>
      <w:r w:rsidR="003B699E" w:rsidRPr="00466653">
        <w:rPr>
          <w:lang w:val="es-ES"/>
        </w:rPr>
        <w:t xml:space="preserve"> pueden afectar a su </w:t>
      </w:r>
      <w:r w:rsidR="00E97DC3" w:rsidRPr="00466653">
        <w:rPr>
          <w:lang w:val="es-ES"/>
        </w:rPr>
        <w:t xml:space="preserve">liquidez y </w:t>
      </w:r>
      <w:r w:rsidR="003B699E" w:rsidRPr="00466653">
        <w:rPr>
          <w:lang w:val="es-ES"/>
        </w:rPr>
        <w:t>solve</w:t>
      </w:r>
      <w:r w:rsidR="003B699E" w:rsidRPr="00466653">
        <w:rPr>
          <w:lang w:val="es-ES"/>
        </w:rPr>
        <w:t>n</w:t>
      </w:r>
      <w:r w:rsidR="003B699E" w:rsidRPr="00466653">
        <w:rPr>
          <w:lang w:val="es-ES"/>
        </w:rPr>
        <w:t>cia</w:t>
      </w:r>
      <w:r w:rsidR="00A93D82" w:rsidRPr="00466653">
        <w:rPr>
          <w:lang w:val="es-ES"/>
        </w:rPr>
        <w:t xml:space="preserve"> a corto plazo</w:t>
      </w:r>
      <w:r w:rsidR="00FB7335" w:rsidRPr="00466653">
        <w:rPr>
          <w:lang w:val="es-ES"/>
        </w:rPr>
        <w:t>, contando además que la actual normativa no contempla m</w:t>
      </w:r>
      <w:r w:rsidR="00FB7335" w:rsidRPr="00466653">
        <w:rPr>
          <w:lang w:val="es-ES"/>
        </w:rPr>
        <w:t>e</w:t>
      </w:r>
      <w:r w:rsidR="00FB7335" w:rsidRPr="00466653">
        <w:rPr>
          <w:lang w:val="es-ES"/>
        </w:rPr>
        <w:t>canismos</w:t>
      </w:r>
      <w:r w:rsidR="00721511" w:rsidRPr="00466653">
        <w:rPr>
          <w:lang w:val="es-ES"/>
        </w:rPr>
        <w:t xml:space="preserve"> legales</w:t>
      </w:r>
      <w:r w:rsidR="00FB7335" w:rsidRPr="00466653">
        <w:rPr>
          <w:lang w:val="es-ES"/>
        </w:rPr>
        <w:t xml:space="preserve"> para resolver estas situaciones de remanente negativo</w:t>
      </w:r>
      <w:r w:rsidRPr="00466653">
        <w:rPr>
          <w:lang w:val="es-ES"/>
        </w:rPr>
        <w:t>.</w:t>
      </w:r>
    </w:p>
    <w:p w:rsidR="00402735" w:rsidRPr="00466653" w:rsidRDefault="0023568C" w:rsidP="00C50C25">
      <w:pPr>
        <w:pStyle w:val="texto"/>
        <w:tabs>
          <w:tab w:val="clear" w:pos="2835"/>
          <w:tab w:val="clear" w:pos="3969"/>
          <w:tab w:val="clear" w:pos="5103"/>
          <w:tab w:val="clear" w:pos="6237"/>
          <w:tab w:val="clear" w:pos="7371"/>
          <w:tab w:val="left" w:pos="480"/>
        </w:tabs>
        <w:rPr>
          <w:lang w:val="es-ES"/>
        </w:rPr>
      </w:pPr>
      <w:r w:rsidRPr="00466653">
        <w:rPr>
          <w:lang w:val="es-ES"/>
        </w:rPr>
        <w:t>C</w:t>
      </w:r>
      <w:r w:rsidR="00402735" w:rsidRPr="00466653">
        <w:rPr>
          <w:lang w:val="es-ES"/>
        </w:rPr>
        <w:t>omo viene insistiendo esta Cámara de Comptos en informes anteriores, la situación económico-financiera del Gobierno de Navarra exige</w:t>
      </w:r>
      <w:r w:rsidR="00F36E32" w:rsidRPr="00466653">
        <w:rPr>
          <w:lang w:val="es-ES"/>
        </w:rPr>
        <w:t>, por tanto,</w:t>
      </w:r>
      <w:r w:rsidR="00402735" w:rsidRPr="00466653">
        <w:rPr>
          <w:lang w:val="es-ES"/>
        </w:rPr>
        <w:t xml:space="preserve"> una revisión sistemática de sus gastos e ingresos </w:t>
      </w:r>
      <w:r w:rsidR="00F36E32" w:rsidRPr="00466653">
        <w:rPr>
          <w:lang w:val="es-ES"/>
        </w:rPr>
        <w:t>y</w:t>
      </w:r>
      <w:r w:rsidR="00402735" w:rsidRPr="00466653">
        <w:rPr>
          <w:lang w:val="es-ES"/>
        </w:rPr>
        <w:t xml:space="preserve"> </w:t>
      </w:r>
      <w:r w:rsidRPr="00466653">
        <w:rPr>
          <w:lang w:val="es-ES"/>
        </w:rPr>
        <w:t>una</w:t>
      </w:r>
      <w:r w:rsidR="00402735" w:rsidRPr="00466653">
        <w:rPr>
          <w:lang w:val="es-ES"/>
        </w:rPr>
        <w:t xml:space="preserve"> redefinición de sus propios objetivos al objeto de identificar las áreas de gestión prioritarias para </w:t>
      </w:r>
      <w:r w:rsidRPr="00466653">
        <w:rPr>
          <w:lang w:val="es-ES"/>
        </w:rPr>
        <w:t>hacer frente al</w:t>
      </w:r>
      <w:r w:rsidR="00402735" w:rsidRPr="00466653">
        <w:rPr>
          <w:lang w:val="es-ES"/>
        </w:rPr>
        <w:t xml:space="preserve"> actual contexto económico</w:t>
      </w:r>
      <w:r w:rsidR="00F36E32" w:rsidRPr="00466653">
        <w:rPr>
          <w:lang w:val="es-ES"/>
        </w:rPr>
        <w:t>-social</w:t>
      </w:r>
      <w:r w:rsidR="00402735" w:rsidRPr="00466653">
        <w:rPr>
          <w:lang w:val="es-ES"/>
        </w:rPr>
        <w:t>.</w:t>
      </w:r>
    </w:p>
    <w:p w:rsidR="00C50C25" w:rsidRPr="00466653" w:rsidRDefault="00FB7335" w:rsidP="00466653">
      <w:pPr>
        <w:pStyle w:val="texto"/>
        <w:tabs>
          <w:tab w:val="clear" w:pos="2835"/>
          <w:tab w:val="clear" w:pos="3969"/>
          <w:tab w:val="clear" w:pos="5103"/>
          <w:tab w:val="clear" w:pos="6237"/>
          <w:tab w:val="clear" w:pos="7371"/>
          <w:tab w:val="left" w:pos="480"/>
        </w:tabs>
        <w:rPr>
          <w:lang w:val="es-ES"/>
        </w:rPr>
      </w:pPr>
      <w:r w:rsidRPr="00466653">
        <w:rPr>
          <w:lang w:val="es-ES"/>
        </w:rPr>
        <w:t xml:space="preserve">En este contexto debe abrirse una reflexión sobre la adecuación del marco </w:t>
      </w:r>
      <w:r w:rsidR="00C50C25" w:rsidRPr="00466653">
        <w:rPr>
          <w:lang w:val="es-ES"/>
        </w:rPr>
        <w:t xml:space="preserve">presupuestario </w:t>
      </w:r>
      <w:r w:rsidRPr="00466653">
        <w:rPr>
          <w:lang w:val="es-ES"/>
        </w:rPr>
        <w:t xml:space="preserve">regulado </w:t>
      </w:r>
      <w:r w:rsidR="00C50C25" w:rsidRPr="00466653">
        <w:rPr>
          <w:lang w:val="es-ES"/>
        </w:rPr>
        <w:t xml:space="preserve">en </w:t>
      </w:r>
      <w:r w:rsidRPr="00466653">
        <w:rPr>
          <w:lang w:val="es-ES"/>
        </w:rPr>
        <w:t>la Ley Foral de la Hacienda Pública de Navarra</w:t>
      </w:r>
      <w:r w:rsidR="00C50C25" w:rsidRPr="00466653">
        <w:rPr>
          <w:lang w:val="es-ES"/>
        </w:rPr>
        <w:t xml:space="preserve"> a las exigencias derivadas de la normativa europea y estatal de estabilidad pres</w:t>
      </w:r>
      <w:r w:rsidR="00C50C25" w:rsidRPr="00466653">
        <w:rPr>
          <w:lang w:val="es-ES"/>
        </w:rPr>
        <w:t>u</w:t>
      </w:r>
      <w:r w:rsidR="00C50C25" w:rsidRPr="00466653">
        <w:rPr>
          <w:lang w:val="es-ES"/>
        </w:rPr>
        <w:t xml:space="preserve">puestaria. En este sentido, sería conveniente analizar si los actuales modelos de gestión y de control así como el </w:t>
      </w:r>
      <w:r w:rsidR="00466653">
        <w:rPr>
          <w:lang w:val="es-ES"/>
        </w:rPr>
        <w:t xml:space="preserve">propio </w:t>
      </w:r>
      <w:r w:rsidR="00C50C25" w:rsidRPr="00466653">
        <w:rPr>
          <w:lang w:val="es-ES"/>
        </w:rPr>
        <w:t xml:space="preserve">contenido </w:t>
      </w:r>
      <w:r w:rsidR="00144A36">
        <w:rPr>
          <w:lang w:val="es-ES"/>
        </w:rPr>
        <w:t xml:space="preserve">del presupuesto y </w:t>
      </w:r>
      <w:r w:rsidR="00C50C25" w:rsidRPr="00466653">
        <w:rPr>
          <w:lang w:val="es-ES"/>
        </w:rPr>
        <w:t>de la cue</w:t>
      </w:r>
      <w:r w:rsidR="00C50C25" w:rsidRPr="00466653">
        <w:rPr>
          <w:lang w:val="es-ES"/>
        </w:rPr>
        <w:t>n</w:t>
      </w:r>
      <w:r w:rsidR="00C50C25" w:rsidRPr="00466653">
        <w:rPr>
          <w:lang w:val="es-ES"/>
        </w:rPr>
        <w:t>ta general se adecúan a dichas exigencias.</w:t>
      </w:r>
    </w:p>
    <w:p w:rsidR="00497839" w:rsidRDefault="00497839" w:rsidP="00FE7AD8">
      <w:pPr>
        <w:pStyle w:val="atitulo3"/>
      </w:pPr>
      <w:r w:rsidRPr="00245167">
        <w:t xml:space="preserve">Párrafo de </w:t>
      </w:r>
      <w:r>
        <w:t>otra</w:t>
      </w:r>
      <w:r w:rsidR="00605873">
        <w:t>s</w:t>
      </w:r>
      <w:r>
        <w:t xml:space="preserve"> cuestiones</w:t>
      </w:r>
      <w:r w:rsidR="00372B99">
        <w:t xml:space="preserve"> </w:t>
      </w:r>
      <w:r w:rsidR="00DE6DB6">
        <w:t>significativas</w:t>
      </w:r>
    </w:p>
    <w:p w:rsidR="00497839" w:rsidRPr="00245167" w:rsidRDefault="00497839" w:rsidP="00497839">
      <w:pPr>
        <w:pStyle w:val="texto"/>
        <w:tabs>
          <w:tab w:val="clear" w:pos="2835"/>
          <w:tab w:val="clear" w:pos="3969"/>
          <w:tab w:val="clear" w:pos="5103"/>
          <w:tab w:val="clear" w:pos="6237"/>
          <w:tab w:val="clear" w:pos="7371"/>
          <w:tab w:val="left" w:pos="480"/>
          <w:tab w:val="num" w:pos="4920"/>
        </w:tabs>
      </w:pPr>
      <w:r>
        <w:rPr>
          <w:lang w:val="es-ES"/>
        </w:rPr>
        <w:t>E</w:t>
      </w:r>
      <w:r w:rsidR="00680DE6">
        <w:rPr>
          <w:lang w:val="es-ES"/>
        </w:rPr>
        <w:t>l 3 de</w:t>
      </w:r>
      <w:r>
        <w:t xml:space="preserve"> febrero de 2016</w:t>
      </w:r>
      <w:r w:rsidR="00680DE6">
        <w:t>, el Tribunal Supremo</w:t>
      </w:r>
      <w:r>
        <w:t xml:space="preserve"> </w:t>
      </w:r>
      <w:r w:rsidR="006C55C8">
        <w:t>dicta un d</w:t>
      </w:r>
      <w:r w:rsidR="00680DE6">
        <w:t>ecreto dando</w:t>
      </w:r>
      <w:r>
        <w:t xml:space="preserve"> por terminado el recurso contencioso-administrativo</w:t>
      </w:r>
      <w:r w:rsidR="000E2E9B">
        <w:t>,</w:t>
      </w:r>
      <w:r w:rsidR="00680DE6">
        <w:t xml:space="preserve"> </w:t>
      </w:r>
      <w:r w:rsidR="007A7AFB">
        <w:t>a instancia de la</w:t>
      </w:r>
      <w:r w:rsidR="00680DE6">
        <w:t xml:space="preserve"> Abogacía del </w:t>
      </w:r>
      <w:r w:rsidR="00680DE6" w:rsidRPr="00EA1988">
        <w:rPr>
          <w:spacing w:val="4"/>
        </w:rPr>
        <w:t>Estado</w:t>
      </w:r>
      <w:r w:rsidR="000E2E9B" w:rsidRPr="00EA1988">
        <w:rPr>
          <w:spacing w:val="4"/>
        </w:rPr>
        <w:t>,</w:t>
      </w:r>
      <w:r w:rsidRPr="00EA1988">
        <w:rPr>
          <w:spacing w:val="4"/>
        </w:rPr>
        <w:t xml:space="preserve"> </w:t>
      </w:r>
      <w:r w:rsidR="007A7AFB" w:rsidRPr="00EA1988">
        <w:rPr>
          <w:spacing w:val="4"/>
        </w:rPr>
        <w:t>en el</w:t>
      </w:r>
      <w:r w:rsidRPr="00EA1988">
        <w:rPr>
          <w:spacing w:val="4"/>
        </w:rPr>
        <w:t xml:space="preserve"> conflicto de competencias por la devolución del IVA soport</w:t>
      </w:r>
      <w:r w:rsidR="00761761" w:rsidRPr="00EA1988">
        <w:rPr>
          <w:spacing w:val="4"/>
        </w:rPr>
        <w:t>a</w:t>
      </w:r>
      <w:r w:rsidRPr="00EA1988">
        <w:rPr>
          <w:spacing w:val="4"/>
        </w:rPr>
        <w:t>do por una sociedad comercializadora de vehículos fabricados en Navarra</w:t>
      </w:r>
      <w:r w:rsidR="000A0AD6">
        <w:rPr>
          <w:spacing w:val="4"/>
        </w:rPr>
        <w:t xml:space="preserve"> cuantificado en 1.514 millones</w:t>
      </w:r>
      <w:r w:rsidRPr="00EA1988">
        <w:rPr>
          <w:spacing w:val="4"/>
        </w:rPr>
        <w:t>.</w:t>
      </w:r>
      <w:r w:rsidR="00680DE6" w:rsidRPr="00EA1988">
        <w:rPr>
          <w:spacing w:val="4"/>
        </w:rPr>
        <w:t xml:space="preserve"> </w:t>
      </w:r>
      <w:r w:rsidR="006C55C8">
        <w:rPr>
          <w:spacing w:val="4"/>
        </w:rPr>
        <w:t>En dicho d</w:t>
      </w:r>
      <w:r w:rsidR="00BB1149" w:rsidRPr="00EA1988">
        <w:rPr>
          <w:spacing w:val="4"/>
        </w:rPr>
        <w:t>ecreto</w:t>
      </w:r>
      <w:r w:rsidR="0061665A">
        <w:rPr>
          <w:spacing w:val="4"/>
        </w:rPr>
        <w:t>,</w:t>
      </w:r>
      <w:r w:rsidR="00BB1149" w:rsidRPr="00EA1988">
        <w:rPr>
          <w:spacing w:val="4"/>
        </w:rPr>
        <w:t xml:space="preserve"> se transforma el archivo provisional de los autos en archivo definitivo.</w:t>
      </w:r>
      <w:r w:rsidR="00680DE6" w:rsidRPr="00EA1988">
        <w:rPr>
          <w:spacing w:val="4"/>
        </w:rPr>
        <w:t xml:space="preserve"> </w:t>
      </w:r>
    </w:p>
    <w:p w:rsidR="00842F6C" w:rsidRPr="00021BF6" w:rsidRDefault="00703010" w:rsidP="00021BF6">
      <w:pPr>
        <w:pStyle w:val="atitulo2"/>
        <w:spacing w:before="240"/>
      </w:pPr>
      <w:bookmarkStart w:id="19" w:name="_Toc463350239"/>
      <w:r>
        <w:t>II</w:t>
      </w:r>
      <w:r w:rsidR="00A2212D">
        <w:t xml:space="preserve">.2. Opinión </w:t>
      </w:r>
      <w:r w:rsidR="002747C7">
        <w:t>de</w:t>
      </w:r>
      <w:r w:rsidR="00A2212D">
        <w:t xml:space="preserve"> </w:t>
      </w:r>
      <w:r w:rsidR="00B86CD0">
        <w:t xml:space="preserve">fiscalización de </w:t>
      </w:r>
      <w:r w:rsidR="00A2212D">
        <w:t>cumplimiento de legalidad</w:t>
      </w:r>
      <w:bookmarkEnd w:id="12"/>
      <w:bookmarkEnd w:id="13"/>
      <w:bookmarkEnd w:id="14"/>
      <w:bookmarkEnd w:id="15"/>
      <w:bookmarkEnd w:id="16"/>
      <w:bookmarkEnd w:id="17"/>
      <w:bookmarkEnd w:id="18"/>
      <w:bookmarkEnd w:id="19"/>
    </w:p>
    <w:p w:rsidR="006602FF" w:rsidRDefault="006602FF" w:rsidP="00FE7AD8">
      <w:pPr>
        <w:pStyle w:val="atitulo3"/>
      </w:pPr>
      <w:r>
        <w:t>Fundamento de la opinión de cumplimiento con salvedades</w:t>
      </w:r>
    </w:p>
    <w:p w:rsidR="00B548B1" w:rsidRPr="006739D2" w:rsidRDefault="00605873" w:rsidP="006739D2">
      <w:pPr>
        <w:pStyle w:val="texto"/>
        <w:tabs>
          <w:tab w:val="clear" w:pos="2835"/>
          <w:tab w:val="clear" w:pos="3969"/>
          <w:tab w:val="clear" w:pos="5103"/>
          <w:tab w:val="clear" w:pos="6237"/>
          <w:tab w:val="clear" w:pos="7371"/>
          <w:tab w:val="left" w:pos="480"/>
        </w:tabs>
        <w:rPr>
          <w:lang w:val="es-ES"/>
        </w:rPr>
      </w:pPr>
      <w:r w:rsidRPr="006739D2">
        <w:rPr>
          <w:lang w:val="es-ES"/>
        </w:rPr>
        <w:t>En relación con la Ley Orgánica de Estabilidad Presupuestaria y Sostenibil</w:t>
      </w:r>
      <w:r w:rsidRPr="006739D2">
        <w:rPr>
          <w:lang w:val="es-ES"/>
        </w:rPr>
        <w:t>i</w:t>
      </w:r>
      <w:r w:rsidRPr="006739D2">
        <w:rPr>
          <w:lang w:val="es-ES"/>
        </w:rPr>
        <w:t>dad Financiera</w:t>
      </w:r>
      <w:r w:rsidR="00427B5E" w:rsidRPr="006739D2">
        <w:rPr>
          <w:lang w:val="es-ES"/>
        </w:rPr>
        <w:t xml:space="preserve"> y los pactos convenidos con el Estado</w:t>
      </w:r>
      <w:r w:rsidRPr="006739D2">
        <w:rPr>
          <w:lang w:val="es-ES"/>
        </w:rPr>
        <w:t>, e</w:t>
      </w:r>
      <w:r w:rsidR="00DE6DB6" w:rsidRPr="006739D2">
        <w:rPr>
          <w:lang w:val="es-ES"/>
        </w:rPr>
        <w:t>l Gobierno de Navarra no ha cumplido</w:t>
      </w:r>
      <w:r w:rsidR="00040DF4" w:rsidRPr="006739D2">
        <w:rPr>
          <w:lang w:val="es-ES"/>
        </w:rPr>
        <w:t>, en 2015,</w:t>
      </w:r>
      <w:r w:rsidR="00DE6DB6" w:rsidRPr="006739D2">
        <w:rPr>
          <w:lang w:val="es-ES"/>
        </w:rPr>
        <w:t xml:space="preserve"> con </w:t>
      </w:r>
      <w:r w:rsidR="00B548B1" w:rsidRPr="006739D2">
        <w:rPr>
          <w:lang w:val="es-ES"/>
        </w:rPr>
        <w:t>las reglas fiscales relativas a los principios de e</w:t>
      </w:r>
      <w:r w:rsidR="00B548B1" w:rsidRPr="006739D2">
        <w:rPr>
          <w:lang w:val="es-ES"/>
        </w:rPr>
        <w:t>s</w:t>
      </w:r>
      <w:r w:rsidR="00B548B1" w:rsidRPr="006739D2">
        <w:rPr>
          <w:lang w:val="es-ES"/>
        </w:rPr>
        <w:t>tabilidad presupuestaria</w:t>
      </w:r>
      <w:r w:rsidR="003C402B">
        <w:rPr>
          <w:lang w:val="es-ES"/>
        </w:rPr>
        <w:t>. Así</w:t>
      </w:r>
      <w:r w:rsidR="001E2871">
        <w:rPr>
          <w:lang w:val="es-ES"/>
        </w:rPr>
        <w:t>:</w:t>
      </w:r>
    </w:p>
    <w:p w:rsidR="006602FF" w:rsidRDefault="00FC397F" w:rsidP="008D4BFD">
      <w:pPr>
        <w:pStyle w:val="texto"/>
        <w:tabs>
          <w:tab w:val="clear" w:pos="2835"/>
          <w:tab w:val="clear" w:pos="3969"/>
          <w:tab w:val="clear" w:pos="5103"/>
          <w:tab w:val="clear" w:pos="6237"/>
          <w:tab w:val="clear" w:pos="7371"/>
          <w:tab w:val="left" w:pos="480"/>
          <w:tab w:val="num" w:pos="4920"/>
        </w:tabs>
        <w:rPr>
          <w:lang w:val="es-ES"/>
        </w:rPr>
      </w:pPr>
      <w:r>
        <w:rPr>
          <w:lang w:val="es-ES"/>
        </w:rPr>
        <w:lastRenderedPageBreak/>
        <w:t>a</w:t>
      </w:r>
      <w:r w:rsidR="00EC5F32">
        <w:rPr>
          <w:lang w:val="es-ES"/>
        </w:rPr>
        <w:t>)</w:t>
      </w:r>
      <w:r w:rsidR="00B548B1">
        <w:rPr>
          <w:lang w:val="es-ES"/>
        </w:rPr>
        <w:t xml:space="preserve"> L</w:t>
      </w:r>
      <w:r w:rsidR="00B548B1" w:rsidRPr="00B548B1">
        <w:rPr>
          <w:lang w:val="es-ES"/>
        </w:rPr>
        <w:t>as necesidades de financiación</w:t>
      </w:r>
      <w:r w:rsidR="00BC7DBF">
        <w:rPr>
          <w:lang w:val="es-ES"/>
        </w:rPr>
        <w:t xml:space="preserve"> </w:t>
      </w:r>
      <w:r w:rsidR="00B548B1" w:rsidRPr="00B548B1">
        <w:rPr>
          <w:lang w:val="es-ES"/>
        </w:rPr>
        <w:t>en 2015</w:t>
      </w:r>
      <w:r w:rsidR="00BC7DBF">
        <w:rPr>
          <w:lang w:val="es-ES"/>
        </w:rPr>
        <w:t xml:space="preserve"> calculadas por el Gobierno de Navarra</w:t>
      </w:r>
      <w:r w:rsidR="00B548B1" w:rsidRPr="00B548B1">
        <w:rPr>
          <w:lang w:val="es-ES"/>
        </w:rPr>
        <w:t xml:space="preserve"> han representado el 1,48 por ciento del PIB de Navarra</w:t>
      </w:r>
      <w:r w:rsidR="00B548B1" w:rsidRPr="00B548B1">
        <w:rPr>
          <w:rStyle w:val="Refdenotaalpie"/>
          <w:szCs w:val="26"/>
        </w:rPr>
        <w:footnoteReference w:id="1"/>
      </w:r>
      <w:r w:rsidR="00B548B1" w:rsidRPr="00B548B1">
        <w:rPr>
          <w:lang w:val="es-ES"/>
        </w:rPr>
        <w:t xml:space="preserve">, </w:t>
      </w:r>
      <w:r w:rsidR="00B548B1">
        <w:rPr>
          <w:lang w:val="es-ES"/>
        </w:rPr>
        <w:t>porcentaje que supera el objetivo del 0,7 por ciento pactado con el Estado,</w:t>
      </w:r>
      <w:r w:rsidR="00FA5335" w:rsidRPr="00B548B1">
        <w:rPr>
          <w:lang w:val="es-ES"/>
        </w:rPr>
        <w:t xml:space="preserve"> tal y como se muestra en el siguiente cuadro</w:t>
      </w:r>
      <w:r w:rsidR="00B548B1">
        <w:rPr>
          <w:lang w:val="es-ES"/>
        </w:rPr>
        <w:t>:</w:t>
      </w:r>
    </w:p>
    <w:tbl>
      <w:tblPr>
        <w:tblW w:w="8598" w:type="dxa"/>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5779"/>
        <w:gridCol w:w="1267"/>
        <w:gridCol w:w="1552"/>
      </w:tblGrid>
      <w:tr w:rsidR="00E649DB" w:rsidRPr="00EA1988" w:rsidTr="000E7C62">
        <w:trPr>
          <w:trHeight w:val="284"/>
          <w:jc w:val="center"/>
        </w:trPr>
        <w:tc>
          <w:tcPr>
            <w:tcW w:w="5779" w:type="dxa"/>
            <w:tcBorders>
              <w:bottom w:val="single" w:sz="4" w:space="0" w:color="auto"/>
            </w:tcBorders>
            <w:shd w:val="clear" w:color="auto" w:fill="A8CBEE" w:themeFill="accent2" w:themeFillTint="66"/>
            <w:vAlign w:val="center"/>
          </w:tcPr>
          <w:p w:rsidR="00E649DB" w:rsidRPr="00EA1988" w:rsidRDefault="00E649DB" w:rsidP="007D059A">
            <w:pPr>
              <w:pStyle w:val="cuadroCabe"/>
              <w:rPr>
                <w:szCs w:val="18"/>
              </w:rPr>
            </w:pPr>
            <w:r w:rsidRPr="00EA1988">
              <w:rPr>
                <w:szCs w:val="18"/>
              </w:rPr>
              <w:t>Necesidades de Financiación 2015</w:t>
            </w:r>
          </w:p>
          <w:p w:rsidR="002E5022" w:rsidRPr="00EA1988" w:rsidRDefault="002E5022" w:rsidP="007D059A">
            <w:pPr>
              <w:pStyle w:val="cuadroCabe"/>
              <w:rPr>
                <w:szCs w:val="18"/>
              </w:rPr>
            </w:pPr>
            <w:r w:rsidRPr="00EA1988">
              <w:rPr>
                <w:szCs w:val="18"/>
              </w:rPr>
              <w:t>Sector Administración Pública</w:t>
            </w:r>
            <w:r w:rsidR="00BC7DBF" w:rsidRPr="00EA1988">
              <w:rPr>
                <w:szCs w:val="18"/>
              </w:rPr>
              <w:t xml:space="preserve"> Navarra</w:t>
            </w:r>
          </w:p>
        </w:tc>
        <w:tc>
          <w:tcPr>
            <w:tcW w:w="1267" w:type="dxa"/>
            <w:tcBorders>
              <w:bottom w:val="single" w:sz="4" w:space="0" w:color="auto"/>
            </w:tcBorders>
            <w:shd w:val="clear" w:color="auto" w:fill="A8CBEE" w:themeFill="accent2" w:themeFillTint="66"/>
            <w:vAlign w:val="center"/>
          </w:tcPr>
          <w:p w:rsidR="00E649DB" w:rsidRPr="00EA1988" w:rsidRDefault="00E649DB" w:rsidP="00EA1988">
            <w:pPr>
              <w:pStyle w:val="cuadroCabe"/>
              <w:jc w:val="right"/>
              <w:rPr>
                <w:szCs w:val="18"/>
              </w:rPr>
            </w:pPr>
            <w:r w:rsidRPr="00EA1988">
              <w:rPr>
                <w:szCs w:val="18"/>
              </w:rPr>
              <w:t>% PIB</w:t>
            </w:r>
          </w:p>
        </w:tc>
        <w:tc>
          <w:tcPr>
            <w:tcW w:w="1552" w:type="dxa"/>
            <w:tcBorders>
              <w:bottom w:val="single" w:sz="4" w:space="0" w:color="auto"/>
            </w:tcBorders>
            <w:shd w:val="clear" w:color="auto" w:fill="A8CBEE" w:themeFill="accent2" w:themeFillTint="66"/>
            <w:vAlign w:val="center"/>
          </w:tcPr>
          <w:p w:rsidR="00E649DB" w:rsidRPr="00EA1988" w:rsidRDefault="00E649DB" w:rsidP="00EA1988">
            <w:pPr>
              <w:pStyle w:val="cuadroCabe"/>
              <w:jc w:val="right"/>
              <w:rPr>
                <w:szCs w:val="18"/>
              </w:rPr>
            </w:pPr>
            <w:r w:rsidRPr="00EA1988">
              <w:rPr>
                <w:szCs w:val="18"/>
              </w:rPr>
              <w:t>Importe</w:t>
            </w:r>
          </w:p>
          <w:p w:rsidR="00E649DB" w:rsidRPr="00EA1988" w:rsidRDefault="00E649DB" w:rsidP="00EA1988">
            <w:pPr>
              <w:pStyle w:val="cuadroCabe"/>
              <w:jc w:val="right"/>
              <w:rPr>
                <w:sz w:val="16"/>
                <w:szCs w:val="16"/>
              </w:rPr>
            </w:pPr>
            <w:r w:rsidRPr="00EA1988">
              <w:rPr>
                <w:sz w:val="16"/>
                <w:szCs w:val="16"/>
              </w:rPr>
              <w:t>(en millones)</w:t>
            </w:r>
          </w:p>
        </w:tc>
      </w:tr>
      <w:tr w:rsidR="00E649DB" w:rsidRPr="00EA1988" w:rsidTr="00EA1988">
        <w:trPr>
          <w:trHeight w:val="284"/>
          <w:jc w:val="center"/>
        </w:trPr>
        <w:tc>
          <w:tcPr>
            <w:tcW w:w="5779" w:type="dxa"/>
            <w:tcBorders>
              <w:bottom w:val="single" w:sz="2" w:space="0" w:color="auto"/>
            </w:tcBorders>
            <w:vAlign w:val="center"/>
          </w:tcPr>
          <w:p w:rsidR="00E649DB" w:rsidRPr="00EA1988" w:rsidRDefault="003C5BB0" w:rsidP="003C5BB0">
            <w:pPr>
              <w:pStyle w:val="cuatexto"/>
              <w:ind w:right="29"/>
              <w:rPr>
                <w:szCs w:val="20"/>
                <w:lang w:val="es-ES"/>
              </w:rPr>
            </w:pPr>
            <w:r w:rsidRPr="00EA1988">
              <w:rPr>
                <w:szCs w:val="20"/>
                <w:lang w:val="es-ES"/>
              </w:rPr>
              <w:t xml:space="preserve">Objetivo </w:t>
            </w:r>
            <w:r w:rsidR="00E649DB" w:rsidRPr="00EA1988">
              <w:rPr>
                <w:szCs w:val="20"/>
                <w:lang w:val="es-ES"/>
              </w:rPr>
              <w:t>pactado</w:t>
            </w:r>
          </w:p>
        </w:tc>
        <w:tc>
          <w:tcPr>
            <w:tcW w:w="1267" w:type="dxa"/>
            <w:tcBorders>
              <w:bottom w:val="single" w:sz="2" w:space="0" w:color="auto"/>
            </w:tcBorders>
            <w:vAlign w:val="center"/>
          </w:tcPr>
          <w:p w:rsidR="00E649DB" w:rsidRPr="00EA1988" w:rsidRDefault="00E649DB" w:rsidP="00EA1988">
            <w:pPr>
              <w:spacing w:after="0"/>
              <w:ind w:right="103" w:firstLine="0"/>
              <w:jc w:val="right"/>
              <w:rPr>
                <w:rFonts w:ascii="Arial Narrow" w:hAnsi="Arial Narrow"/>
              </w:rPr>
            </w:pPr>
            <w:r w:rsidRPr="00EA1988">
              <w:rPr>
                <w:rFonts w:ascii="Arial Narrow" w:hAnsi="Arial Narrow"/>
              </w:rPr>
              <w:t>0.7</w:t>
            </w:r>
          </w:p>
        </w:tc>
        <w:tc>
          <w:tcPr>
            <w:tcW w:w="1552" w:type="dxa"/>
            <w:tcBorders>
              <w:bottom w:val="single" w:sz="2" w:space="0" w:color="auto"/>
            </w:tcBorders>
            <w:vAlign w:val="center"/>
          </w:tcPr>
          <w:p w:rsidR="00E649DB" w:rsidRPr="00EA1988" w:rsidRDefault="00E649DB" w:rsidP="00EA1988">
            <w:pPr>
              <w:spacing w:after="0"/>
              <w:ind w:right="96" w:firstLine="0"/>
              <w:jc w:val="right"/>
              <w:rPr>
                <w:rFonts w:ascii="Arial Narrow" w:hAnsi="Arial Narrow"/>
              </w:rPr>
            </w:pPr>
            <w:r w:rsidRPr="00EA1988">
              <w:rPr>
                <w:rFonts w:ascii="Arial Narrow" w:hAnsi="Arial Narrow"/>
              </w:rPr>
              <w:t>128,26</w:t>
            </w:r>
          </w:p>
        </w:tc>
      </w:tr>
      <w:tr w:rsidR="00E649DB" w:rsidRPr="00EA1988" w:rsidTr="00EA1988">
        <w:trPr>
          <w:trHeight w:val="284"/>
          <w:jc w:val="center"/>
        </w:trPr>
        <w:tc>
          <w:tcPr>
            <w:tcW w:w="5779" w:type="dxa"/>
            <w:tcBorders>
              <w:top w:val="single" w:sz="2" w:space="0" w:color="auto"/>
              <w:bottom w:val="single" w:sz="4" w:space="0" w:color="auto"/>
            </w:tcBorders>
            <w:vAlign w:val="center"/>
          </w:tcPr>
          <w:p w:rsidR="00E649DB" w:rsidRPr="00EA1988" w:rsidRDefault="00E649DB" w:rsidP="003C5BB0">
            <w:pPr>
              <w:pStyle w:val="cuatexto"/>
              <w:ind w:right="29"/>
              <w:rPr>
                <w:szCs w:val="20"/>
                <w:lang w:val="es-ES"/>
              </w:rPr>
            </w:pPr>
            <w:r w:rsidRPr="00EA1988">
              <w:rPr>
                <w:szCs w:val="20"/>
                <w:lang w:val="es-ES"/>
              </w:rPr>
              <w:t>Objetivo</w:t>
            </w:r>
            <w:r w:rsidR="003C5BB0" w:rsidRPr="00EA1988">
              <w:rPr>
                <w:szCs w:val="20"/>
                <w:lang w:val="es-ES"/>
              </w:rPr>
              <w:t xml:space="preserve"> ejecutado</w:t>
            </w:r>
          </w:p>
        </w:tc>
        <w:tc>
          <w:tcPr>
            <w:tcW w:w="1267" w:type="dxa"/>
            <w:tcBorders>
              <w:top w:val="single" w:sz="2" w:space="0" w:color="auto"/>
              <w:bottom w:val="single" w:sz="4" w:space="0" w:color="auto"/>
            </w:tcBorders>
            <w:vAlign w:val="center"/>
          </w:tcPr>
          <w:p w:rsidR="00E649DB" w:rsidRPr="00EA1988" w:rsidRDefault="00E649DB" w:rsidP="00EA1988">
            <w:pPr>
              <w:spacing w:after="0"/>
              <w:ind w:right="103" w:firstLine="0"/>
              <w:jc w:val="right"/>
              <w:rPr>
                <w:rFonts w:ascii="Arial Narrow" w:hAnsi="Arial Narrow"/>
              </w:rPr>
            </w:pPr>
            <w:r w:rsidRPr="00EA1988">
              <w:rPr>
                <w:rFonts w:ascii="Arial Narrow" w:hAnsi="Arial Narrow"/>
              </w:rPr>
              <w:t>1,48</w:t>
            </w:r>
          </w:p>
        </w:tc>
        <w:tc>
          <w:tcPr>
            <w:tcW w:w="1552" w:type="dxa"/>
            <w:tcBorders>
              <w:top w:val="single" w:sz="2" w:space="0" w:color="auto"/>
              <w:bottom w:val="single" w:sz="4" w:space="0" w:color="auto"/>
            </w:tcBorders>
            <w:vAlign w:val="center"/>
          </w:tcPr>
          <w:p w:rsidR="00E649DB" w:rsidRPr="00EA1988" w:rsidRDefault="006A3173" w:rsidP="00EA1988">
            <w:pPr>
              <w:spacing w:after="0"/>
              <w:ind w:right="96" w:firstLine="0"/>
              <w:jc w:val="right"/>
              <w:rPr>
                <w:rFonts w:ascii="Arial Narrow" w:hAnsi="Arial Narrow"/>
              </w:rPr>
            </w:pPr>
            <w:r w:rsidRPr="00EA1988">
              <w:rPr>
                <w:rFonts w:ascii="Arial Narrow" w:hAnsi="Arial Narrow"/>
              </w:rPr>
              <w:t>269,</w:t>
            </w:r>
            <w:r w:rsidR="00E97DC3" w:rsidRPr="00EA1988">
              <w:rPr>
                <w:rFonts w:ascii="Arial Narrow" w:hAnsi="Arial Narrow"/>
              </w:rPr>
              <w:t>90</w:t>
            </w:r>
          </w:p>
        </w:tc>
      </w:tr>
    </w:tbl>
    <w:p w:rsidR="00972CCF" w:rsidRDefault="00972CCF" w:rsidP="00EA1988">
      <w:pPr>
        <w:pStyle w:val="texto"/>
        <w:tabs>
          <w:tab w:val="clear" w:pos="2835"/>
          <w:tab w:val="clear" w:pos="3969"/>
          <w:tab w:val="clear" w:pos="5103"/>
          <w:tab w:val="clear" w:pos="6237"/>
          <w:tab w:val="clear" w:pos="7371"/>
          <w:tab w:val="left" w:pos="480"/>
        </w:tabs>
        <w:spacing w:after="0"/>
        <w:rPr>
          <w:lang w:val="es-ES"/>
        </w:rPr>
      </w:pPr>
    </w:p>
    <w:p w:rsidR="00FC397F" w:rsidRPr="00B548B1" w:rsidRDefault="00FC397F" w:rsidP="00FC397F">
      <w:pPr>
        <w:pStyle w:val="texto"/>
        <w:tabs>
          <w:tab w:val="clear" w:pos="2835"/>
          <w:tab w:val="clear" w:pos="3969"/>
          <w:tab w:val="clear" w:pos="5103"/>
          <w:tab w:val="clear" w:pos="6237"/>
          <w:tab w:val="clear" w:pos="7371"/>
          <w:tab w:val="left" w:pos="480"/>
        </w:tabs>
        <w:rPr>
          <w:lang w:val="es-ES"/>
        </w:rPr>
      </w:pPr>
      <w:r>
        <w:rPr>
          <w:lang w:val="es-ES"/>
        </w:rPr>
        <w:t>b</w:t>
      </w:r>
      <w:r w:rsidRPr="00094E3B">
        <w:rPr>
          <w:lang w:val="es-ES"/>
        </w:rPr>
        <w:t xml:space="preserve">) </w:t>
      </w:r>
      <w:r>
        <w:rPr>
          <w:lang w:val="es-ES"/>
        </w:rPr>
        <w:t xml:space="preserve">Regla de gasto. </w:t>
      </w:r>
      <w:r w:rsidR="00511CA0">
        <w:rPr>
          <w:lang w:val="es-ES"/>
        </w:rPr>
        <w:t>De acuerdo con el informe emitido por el Ministerio de Hacienda y Administraciones Públicas</w:t>
      </w:r>
      <w:r w:rsidR="00511CA0">
        <w:rPr>
          <w:rStyle w:val="Refdenotaalpie"/>
          <w:lang w:val="es-ES"/>
        </w:rPr>
        <w:footnoteReference w:id="2"/>
      </w:r>
      <w:r w:rsidR="00511CA0">
        <w:rPr>
          <w:lang w:val="es-ES"/>
        </w:rPr>
        <w:t>, e</w:t>
      </w:r>
      <w:r w:rsidRPr="00094E3B">
        <w:rPr>
          <w:lang w:val="es-ES"/>
        </w:rPr>
        <w:t xml:space="preserve">l Sector Administración Pública de la Comunidad Foral ha incurrido en un gasto computable para el ejercicio de 2015 de </w:t>
      </w:r>
      <w:r w:rsidR="001A76F2">
        <w:rPr>
          <w:lang w:val="es-ES"/>
        </w:rPr>
        <w:t>2.691</w:t>
      </w:r>
      <w:r w:rsidRPr="00094E3B">
        <w:rPr>
          <w:lang w:val="es-ES"/>
        </w:rPr>
        <w:t xml:space="preserve"> millones, lo que representa un increm</w:t>
      </w:r>
      <w:r>
        <w:rPr>
          <w:lang w:val="es-ES"/>
        </w:rPr>
        <w:t>e</w:t>
      </w:r>
      <w:r w:rsidRPr="00094E3B">
        <w:rPr>
          <w:lang w:val="es-ES"/>
        </w:rPr>
        <w:t xml:space="preserve">nto del </w:t>
      </w:r>
      <w:r w:rsidR="001A76F2">
        <w:rPr>
          <w:lang w:val="es-ES"/>
        </w:rPr>
        <w:t>2,7</w:t>
      </w:r>
      <w:r w:rsidRPr="00094E3B">
        <w:rPr>
          <w:lang w:val="es-ES"/>
        </w:rPr>
        <w:t xml:space="preserve"> por ciento respecto al ejercicio anterior, superior</w:t>
      </w:r>
      <w:r>
        <w:rPr>
          <w:lang w:val="es-ES"/>
        </w:rPr>
        <w:t>,</w:t>
      </w:r>
      <w:r w:rsidRPr="00094E3B">
        <w:rPr>
          <w:lang w:val="es-ES"/>
        </w:rPr>
        <w:t xml:space="preserve"> por tanto</w:t>
      </w:r>
      <w:r>
        <w:rPr>
          <w:lang w:val="es-ES"/>
        </w:rPr>
        <w:t>,</w:t>
      </w:r>
      <w:r w:rsidRPr="00094E3B">
        <w:rPr>
          <w:lang w:val="es-ES"/>
        </w:rPr>
        <w:t xml:space="preserve"> a la tasa de referencia del crecimiento de</w:t>
      </w:r>
      <w:r>
        <w:rPr>
          <w:lang w:val="es-ES"/>
        </w:rPr>
        <w:t>l PIB a medio plazo d</w:t>
      </w:r>
      <w:r w:rsidRPr="00094E3B">
        <w:rPr>
          <w:lang w:val="es-ES"/>
        </w:rPr>
        <w:t>e</w:t>
      </w:r>
      <w:r>
        <w:rPr>
          <w:lang w:val="es-ES"/>
        </w:rPr>
        <w:t xml:space="preserve"> </w:t>
      </w:r>
      <w:r w:rsidRPr="00094E3B">
        <w:rPr>
          <w:lang w:val="es-ES"/>
        </w:rPr>
        <w:t>la economía española</w:t>
      </w:r>
      <w:r>
        <w:rPr>
          <w:lang w:val="es-ES"/>
        </w:rPr>
        <w:t>,</w:t>
      </w:r>
      <w:r w:rsidRPr="00094E3B">
        <w:rPr>
          <w:lang w:val="es-ES"/>
        </w:rPr>
        <w:t xml:space="preserve"> calculada para el</w:t>
      </w:r>
      <w:r>
        <w:rPr>
          <w:lang w:val="es-ES"/>
        </w:rPr>
        <w:t xml:space="preserve"> </w:t>
      </w:r>
      <w:r w:rsidRPr="00094E3B">
        <w:rPr>
          <w:lang w:val="es-ES"/>
        </w:rPr>
        <w:t>ej</w:t>
      </w:r>
      <w:r>
        <w:rPr>
          <w:lang w:val="es-ES"/>
        </w:rPr>
        <w:t>e</w:t>
      </w:r>
      <w:r w:rsidRPr="00094E3B">
        <w:rPr>
          <w:lang w:val="es-ES"/>
        </w:rPr>
        <w:t>rcicio de 2015 en el 1,3 por ciento. En consecuencia,</w:t>
      </w:r>
      <w:r>
        <w:rPr>
          <w:lang w:val="es-ES"/>
        </w:rPr>
        <w:t xml:space="preserve"> ha inc</w:t>
      </w:r>
      <w:r w:rsidRPr="00094E3B">
        <w:rPr>
          <w:lang w:val="es-ES"/>
        </w:rPr>
        <w:t>umplido la regla de gasto p</w:t>
      </w:r>
      <w:r w:rsidRPr="00094E3B">
        <w:rPr>
          <w:lang w:val="es-ES"/>
        </w:rPr>
        <w:t>a</w:t>
      </w:r>
      <w:r w:rsidRPr="00094E3B">
        <w:rPr>
          <w:lang w:val="es-ES"/>
        </w:rPr>
        <w:t>ra 2015</w:t>
      </w:r>
      <w:r>
        <w:rPr>
          <w:lang w:val="es-ES"/>
        </w:rPr>
        <w:t xml:space="preserve"> al excederse el gasto computable en </w:t>
      </w:r>
      <w:r w:rsidR="0097615E">
        <w:rPr>
          <w:lang w:val="es-ES"/>
        </w:rPr>
        <w:t>37</w:t>
      </w:r>
      <w:r>
        <w:rPr>
          <w:lang w:val="es-ES"/>
        </w:rPr>
        <w:t xml:space="preserve"> millones</w:t>
      </w:r>
      <w:r w:rsidRPr="00094E3B">
        <w:rPr>
          <w:lang w:val="es-ES"/>
        </w:rPr>
        <w:t xml:space="preserve">. </w:t>
      </w:r>
    </w:p>
    <w:p w:rsidR="00B92C62" w:rsidRPr="00FC397F" w:rsidRDefault="00B92C62" w:rsidP="00EA1988">
      <w:pPr>
        <w:pStyle w:val="texto"/>
        <w:spacing w:after="240"/>
      </w:pPr>
      <w:r>
        <w:t>Las cuentas generales del Gobierno de Navarra de 2015 solo informan de las necesidades de financiación del ejercicio, no incluyendo referencias sobre el resto de principios de estabilidad presupuestaria y sostenibilidad financiera.</w:t>
      </w:r>
    </w:p>
    <w:p w:rsidR="00842F6C" w:rsidRPr="00036341" w:rsidRDefault="00842F6C" w:rsidP="00FE7AD8">
      <w:pPr>
        <w:pStyle w:val="atitulo3"/>
      </w:pPr>
      <w:r w:rsidRPr="00036341">
        <w:t xml:space="preserve">Opinión de </w:t>
      </w:r>
      <w:r w:rsidR="006602FF">
        <w:t xml:space="preserve">fiscalización de </w:t>
      </w:r>
      <w:r w:rsidRPr="00036341">
        <w:t>cumplimiento de legalidad</w:t>
      </w:r>
    </w:p>
    <w:p w:rsidR="00842F6C" w:rsidRDefault="00842F6C" w:rsidP="00842F6C">
      <w:pPr>
        <w:pStyle w:val="texto"/>
      </w:pPr>
      <w:r>
        <w:t>En nuestra opinión,</w:t>
      </w:r>
      <w:r w:rsidRPr="00A2212D">
        <w:t xml:space="preserve"> </w:t>
      </w:r>
      <w:r w:rsidR="00F343A7">
        <w:t xml:space="preserve">excepto por </w:t>
      </w:r>
      <w:r w:rsidR="00BC7DBF">
        <w:t>los</w:t>
      </w:r>
      <w:r w:rsidR="00F343A7">
        <w:t xml:space="preserve"> incumplimiento</w:t>
      </w:r>
      <w:r w:rsidR="00BC7DBF">
        <w:t>s</w:t>
      </w:r>
      <w:r w:rsidR="00F343A7">
        <w:t xml:space="preserve"> descrito</w:t>
      </w:r>
      <w:r w:rsidR="00BC7DBF">
        <w:t>s</w:t>
      </w:r>
      <w:r w:rsidR="00F343A7">
        <w:t xml:space="preserve"> en el párrafo “Fundamento de la opinión con salvedades”, </w:t>
      </w:r>
      <w:r w:rsidRPr="00A2212D">
        <w:t>las actividades, operaciones pr</w:t>
      </w:r>
      <w:r w:rsidRPr="00A2212D">
        <w:t>e</w:t>
      </w:r>
      <w:r w:rsidRPr="00A2212D">
        <w:t xml:space="preserve">supuestarias y financieras y la información reflejada en las cuentas </w:t>
      </w:r>
      <w:r w:rsidR="00F343A7">
        <w:t xml:space="preserve">generales </w:t>
      </w:r>
      <w:r w:rsidR="00F343A7" w:rsidRPr="006602FF">
        <w:t xml:space="preserve">de la Administración de la Comunidad Foral y sus organismos autónomos </w:t>
      </w:r>
      <w:r w:rsidRPr="00A2212D">
        <w:t>del ejercicio 201</w:t>
      </w:r>
      <w:r w:rsidR="00F343A7">
        <w:t>5</w:t>
      </w:r>
      <w:r w:rsidRPr="00A2212D">
        <w:t xml:space="preserve"> resultan conformes, en todos los aspectos significativos, con la normativa aplicable a la gestión de los fondos públicos. </w:t>
      </w:r>
    </w:p>
    <w:p w:rsidR="001E55DC" w:rsidRDefault="001E55DC">
      <w:pPr>
        <w:spacing w:after="0"/>
        <w:ind w:firstLine="0"/>
        <w:jc w:val="left"/>
        <w:rPr>
          <w:rFonts w:ascii="Arial" w:hAnsi="Arial"/>
          <w:b/>
          <w:color w:val="000000"/>
          <w:kern w:val="28"/>
          <w:sz w:val="25"/>
          <w:szCs w:val="26"/>
        </w:rPr>
      </w:pPr>
      <w:r>
        <w:br w:type="page"/>
      </w:r>
    </w:p>
    <w:p w:rsidR="00066FA6" w:rsidRDefault="00066FA6" w:rsidP="00066FA6">
      <w:pPr>
        <w:pStyle w:val="atitulo1"/>
      </w:pPr>
      <w:bookmarkStart w:id="20" w:name="_Toc463350240"/>
      <w:r w:rsidRPr="00DF51AE">
        <w:lastRenderedPageBreak/>
        <w:t>I</w:t>
      </w:r>
      <w:r w:rsidR="00703010">
        <w:t>II.</w:t>
      </w:r>
      <w:r w:rsidRPr="00DF51AE">
        <w:t xml:space="preserve"> </w:t>
      </w:r>
      <w:r>
        <w:t xml:space="preserve">Resumen de la cuenta </w:t>
      </w:r>
      <w:r w:rsidR="00951A4C">
        <w:t xml:space="preserve">general de la Administración de la Comunidad Foral y sus organismos autónomos, </w:t>
      </w:r>
      <w:r>
        <w:t>ejercicio 201</w:t>
      </w:r>
      <w:r w:rsidR="00951A4C">
        <w:t>5</w:t>
      </w:r>
      <w:bookmarkEnd w:id="20"/>
    </w:p>
    <w:p w:rsidR="007B6E2F" w:rsidRPr="00060E69" w:rsidRDefault="007B6E2F" w:rsidP="00497839">
      <w:pPr>
        <w:pStyle w:val="texto"/>
        <w:spacing w:after="280"/>
        <w:rPr>
          <w:lang w:val="es-ES"/>
        </w:rPr>
      </w:pPr>
      <w:r w:rsidRPr="000E2288">
        <w:rPr>
          <w:lang w:val="es-ES"/>
        </w:rPr>
        <w:t>A continuación se presenta</w:t>
      </w:r>
      <w:r w:rsidR="00060E69">
        <w:rPr>
          <w:lang w:val="es-ES"/>
        </w:rPr>
        <w:t xml:space="preserve"> un resumen de</w:t>
      </w:r>
      <w:r w:rsidRPr="000E2288">
        <w:rPr>
          <w:lang w:val="es-ES"/>
        </w:rPr>
        <w:t xml:space="preserve"> los estados contables más releva</w:t>
      </w:r>
      <w:r w:rsidRPr="000E2288">
        <w:rPr>
          <w:lang w:val="es-ES"/>
        </w:rPr>
        <w:t>n</w:t>
      </w:r>
      <w:r w:rsidRPr="000E2288">
        <w:rPr>
          <w:lang w:val="es-ES"/>
        </w:rPr>
        <w:t>tes que integran las cuentas anuales de 201</w:t>
      </w:r>
      <w:r>
        <w:rPr>
          <w:lang w:val="es-ES"/>
        </w:rPr>
        <w:t>5</w:t>
      </w:r>
      <w:r w:rsidRPr="000E2288">
        <w:rPr>
          <w:lang w:val="es-ES"/>
        </w:rPr>
        <w:t xml:space="preserve"> de la Administración de la Com</w:t>
      </w:r>
      <w:r w:rsidRPr="000E2288">
        <w:rPr>
          <w:lang w:val="es-ES"/>
        </w:rPr>
        <w:t>u</w:t>
      </w:r>
      <w:r w:rsidRPr="000E2288">
        <w:rPr>
          <w:lang w:val="es-ES"/>
        </w:rPr>
        <w:t>nidad Foral y de sus organismos autónomos.</w:t>
      </w:r>
    </w:p>
    <w:p w:rsidR="006420DA" w:rsidRPr="00497839" w:rsidRDefault="006420DA" w:rsidP="00497839">
      <w:pPr>
        <w:pStyle w:val="atitulo2"/>
        <w:spacing w:before="240"/>
        <w:rPr>
          <w:rFonts w:cs="Arial"/>
          <w:lang w:eastAsia="es-ES"/>
        </w:rPr>
      </w:pPr>
      <w:bookmarkStart w:id="21" w:name="_Toc463350241"/>
      <w:r>
        <w:t>I</w:t>
      </w:r>
      <w:r w:rsidR="00703010">
        <w:t>II</w:t>
      </w:r>
      <w:r>
        <w:t>.1.</w:t>
      </w:r>
      <w:r w:rsidR="00887A28">
        <w:t xml:space="preserve"> Liquidación del presupuesto </w:t>
      </w:r>
      <w:r>
        <w:t>201</w:t>
      </w:r>
      <w:r w:rsidR="00887A28">
        <w:t>5</w:t>
      </w:r>
      <w:bookmarkEnd w:id="21"/>
    </w:p>
    <w:p w:rsidR="00497839" w:rsidRPr="001B1D98" w:rsidRDefault="00497839" w:rsidP="00497839">
      <w:pPr>
        <w:pStyle w:val="cuatitul"/>
        <w:suppressAutoHyphens/>
        <w:spacing w:before="120" w:after="120"/>
        <w:ind w:right="28"/>
      </w:pPr>
      <w:r w:rsidRPr="001B1D98">
        <w:t>Liquidación del presupuesto de gastos de 201</w:t>
      </w:r>
      <w:r>
        <w:t>5</w:t>
      </w:r>
      <w:r w:rsidRPr="001B1D98">
        <w:t>, por capítulos económicos</w:t>
      </w:r>
    </w:p>
    <w:p w:rsidR="00497839" w:rsidRPr="000E7C62" w:rsidRDefault="00497839" w:rsidP="00497839">
      <w:pPr>
        <w:pStyle w:val="cuatitul"/>
        <w:suppressAutoHyphens/>
        <w:ind w:right="-211"/>
        <w:jc w:val="right"/>
        <w:rPr>
          <w:sz w:val="16"/>
          <w:szCs w:val="16"/>
        </w:rPr>
      </w:pPr>
      <w:r w:rsidRPr="001B1D98">
        <w:t xml:space="preserve">                                                                                             </w:t>
      </w:r>
      <w:r w:rsidRPr="000E7C62">
        <w:rPr>
          <w:sz w:val="16"/>
          <w:szCs w:val="16"/>
        </w:rPr>
        <w:t xml:space="preserve"> </w:t>
      </w:r>
      <w:r w:rsidRPr="000E7C62">
        <w:rPr>
          <w:rFonts w:ascii="GillSans Light" w:hAnsi="GillSans Light"/>
          <w:sz w:val="16"/>
          <w:szCs w:val="16"/>
        </w:rPr>
        <w:t>(</w:t>
      </w:r>
      <w:r w:rsidR="007E1C86">
        <w:rPr>
          <w:rFonts w:ascii="GillSans Light" w:hAnsi="GillSans Light"/>
          <w:sz w:val="16"/>
          <w:szCs w:val="16"/>
        </w:rPr>
        <w:t>M</w:t>
      </w:r>
      <w:r w:rsidRPr="000E7C62">
        <w:rPr>
          <w:rFonts w:ascii="GillSans Light" w:hAnsi="GillSans Light"/>
          <w:sz w:val="16"/>
          <w:szCs w:val="16"/>
        </w:rPr>
        <w:t>iles de euros)</w:t>
      </w:r>
    </w:p>
    <w:tbl>
      <w:tblPr>
        <w:tblW w:w="9215" w:type="dxa"/>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253"/>
        <w:gridCol w:w="988"/>
        <w:gridCol w:w="1087"/>
        <w:gridCol w:w="1113"/>
        <w:gridCol w:w="1014"/>
        <w:gridCol w:w="1018"/>
        <w:gridCol w:w="782"/>
        <w:gridCol w:w="960"/>
      </w:tblGrid>
      <w:tr w:rsidR="00497839" w:rsidRPr="00336A90" w:rsidTr="000E7C62">
        <w:trPr>
          <w:trHeight w:hRule="exact" w:val="380"/>
          <w:jc w:val="center"/>
        </w:trPr>
        <w:tc>
          <w:tcPr>
            <w:tcW w:w="2253" w:type="dxa"/>
            <w:shd w:val="clear" w:color="auto" w:fill="A8CBEE" w:themeFill="accent2" w:themeFillTint="66"/>
            <w:vAlign w:val="center"/>
          </w:tcPr>
          <w:p w:rsidR="00497839" w:rsidRPr="00336A90" w:rsidRDefault="00497839" w:rsidP="00BB1149">
            <w:pPr>
              <w:pStyle w:val="cuadroCabe"/>
              <w:rPr>
                <w:sz w:val="17"/>
                <w:szCs w:val="17"/>
              </w:rPr>
            </w:pPr>
            <w:r w:rsidRPr="00336A90">
              <w:rPr>
                <w:sz w:val="17"/>
                <w:szCs w:val="17"/>
              </w:rPr>
              <w:t>Capítulo económico</w:t>
            </w:r>
          </w:p>
        </w:tc>
        <w:tc>
          <w:tcPr>
            <w:tcW w:w="988" w:type="dxa"/>
            <w:shd w:val="clear" w:color="auto" w:fill="A8CBEE" w:themeFill="accent2" w:themeFillTint="66"/>
            <w:vAlign w:val="center"/>
          </w:tcPr>
          <w:p w:rsidR="00497839" w:rsidRPr="00336A90" w:rsidRDefault="00497839" w:rsidP="00BB1149">
            <w:pPr>
              <w:pStyle w:val="cuadroCabe"/>
              <w:jc w:val="right"/>
              <w:rPr>
                <w:sz w:val="17"/>
                <w:szCs w:val="17"/>
              </w:rPr>
            </w:pPr>
            <w:r w:rsidRPr="00336A90">
              <w:rPr>
                <w:sz w:val="17"/>
                <w:szCs w:val="17"/>
              </w:rPr>
              <w:t>Cto. inicial</w:t>
            </w:r>
          </w:p>
        </w:tc>
        <w:tc>
          <w:tcPr>
            <w:tcW w:w="1087" w:type="dxa"/>
            <w:shd w:val="clear" w:color="auto" w:fill="A8CBEE" w:themeFill="accent2" w:themeFillTint="66"/>
            <w:vAlign w:val="center"/>
          </w:tcPr>
          <w:p w:rsidR="00497839" w:rsidRPr="00336A90" w:rsidRDefault="00497839" w:rsidP="00BB1149">
            <w:pPr>
              <w:pStyle w:val="cuadroCabe"/>
              <w:jc w:val="right"/>
              <w:rPr>
                <w:sz w:val="17"/>
                <w:szCs w:val="17"/>
              </w:rPr>
            </w:pPr>
            <w:r w:rsidRPr="00336A90">
              <w:rPr>
                <w:sz w:val="17"/>
                <w:szCs w:val="17"/>
              </w:rPr>
              <w:t>Consolidado</w:t>
            </w:r>
          </w:p>
        </w:tc>
        <w:tc>
          <w:tcPr>
            <w:tcW w:w="1113" w:type="dxa"/>
            <w:shd w:val="clear" w:color="auto" w:fill="A8CBEE" w:themeFill="accent2" w:themeFillTint="66"/>
            <w:vAlign w:val="center"/>
          </w:tcPr>
          <w:p w:rsidR="00497839" w:rsidRPr="00336A90" w:rsidRDefault="00497839" w:rsidP="00BB1149">
            <w:pPr>
              <w:pStyle w:val="cuadroCabe"/>
              <w:jc w:val="right"/>
              <w:rPr>
                <w:sz w:val="17"/>
                <w:szCs w:val="17"/>
              </w:rPr>
            </w:pPr>
            <w:r w:rsidRPr="00336A90">
              <w:rPr>
                <w:sz w:val="17"/>
                <w:szCs w:val="17"/>
              </w:rPr>
              <w:t>Autorizado</w:t>
            </w:r>
          </w:p>
        </w:tc>
        <w:tc>
          <w:tcPr>
            <w:tcW w:w="1014" w:type="dxa"/>
            <w:shd w:val="clear" w:color="auto" w:fill="A8CBEE" w:themeFill="accent2" w:themeFillTint="66"/>
            <w:vAlign w:val="center"/>
          </w:tcPr>
          <w:p w:rsidR="00497839" w:rsidRPr="00336A90" w:rsidRDefault="00497839" w:rsidP="00BB1149">
            <w:pPr>
              <w:pStyle w:val="cuadroCabe"/>
              <w:jc w:val="right"/>
              <w:rPr>
                <w:sz w:val="17"/>
                <w:szCs w:val="17"/>
              </w:rPr>
            </w:pPr>
            <w:r w:rsidRPr="00336A90">
              <w:rPr>
                <w:sz w:val="17"/>
                <w:szCs w:val="17"/>
              </w:rPr>
              <w:t>Dispuesto</w:t>
            </w:r>
          </w:p>
        </w:tc>
        <w:tc>
          <w:tcPr>
            <w:tcW w:w="1018" w:type="dxa"/>
            <w:shd w:val="clear" w:color="auto" w:fill="A8CBEE" w:themeFill="accent2" w:themeFillTint="66"/>
            <w:vAlign w:val="center"/>
          </w:tcPr>
          <w:p w:rsidR="00497839" w:rsidRPr="00336A90" w:rsidRDefault="00497839" w:rsidP="00BB1149">
            <w:pPr>
              <w:pStyle w:val="cuadroCabe"/>
              <w:jc w:val="right"/>
              <w:rPr>
                <w:sz w:val="17"/>
                <w:szCs w:val="17"/>
              </w:rPr>
            </w:pPr>
            <w:r w:rsidRPr="00336A90">
              <w:rPr>
                <w:sz w:val="17"/>
                <w:szCs w:val="17"/>
              </w:rPr>
              <w:t>Realizado</w:t>
            </w:r>
          </w:p>
        </w:tc>
        <w:tc>
          <w:tcPr>
            <w:tcW w:w="782" w:type="dxa"/>
            <w:shd w:val="clear" w:color="auto" w:fill="A8CBEE" w:themeFill="accent2" w:themeFillTint="66"/>
            <w:vAlign w:val="center"/>
          </w:tcPr>
          <w:p w:rsidR="00497839" w:rsidRPr="00336A90" w:rsidRDefault="00497839" w:rsidP="00BB1149">
            <w:pPr>
              <w:pStyle w:val="cuadroCabe"/>
              <w:jc w:val="right"/>
              <w:rPr>
                <w:sz w:val="17"/>
                <w:szCs w:val="17"/>
              </w:rPr>
            </w:pPr>
            <w:r w:rsidRPr="00336A90">
              <w:rPr>
                <w:sz w:val="17"/>
                <w:szCs w:val="17"/>
              </w:rPr>
              <w:t>Porcen</w:t>
            </w:r>
            <w:r>
              <w:rPr>
                <w:sz w:val="17"/>
                <w:szCs w:val="17"/>
              </w:rPr>
              <w:t>t.</w:t>
            </w:r>
          </w:p>
        </w:tc>
        <w:tc>
          <w:tcPr>
            <w:tcW w:w="960" w:type="dxa"/>
            <w:shd w:val="clear" w:color="auto" w:fill="A8CBEE" w:themeFill="accent2" w:themeFillTint="66"/>
            <w:vAlign w:val="center"/>
          </w:tcPr>
          <w:p w:rsidR="00497839" w:rsidRPr="00336A90" w:rsidRDefault="00497839" w:rsidP="00BB1149">
            <w:pPr>
              <w:pStyle w:val="cuadroCabe"/>
              <w:jc w:val="right"/>
              <w:rPr>
                <w:sz w:val="17"/>
                <w:szCs w:val="17"/>
              </w:rPr>
            </w:pPr>
            <w:r w:rsidRPr="00336A90">
              <w:rPr>
                <w:sz w:val="17"/>
                <w:szCs w:val="17"/>
              </w:rPr>
              <w:t>Pagado</w:t>
            </w:r>
          </w:p>
        </w:tc>
      </w:tr>
      <w:tr w:rsidR="00497839" w:rsidRPr="00336A90" w:rsidTr="000E7C62">
        <w:trPr>
          <w:trHeight w:hRule="exact" w:val="300"/>
          <w:jc w:val="center"/>
        </w:trPr>
        <w:tc>
          <w:tcPr>
            <w:tcW w:w="2253" w:type="dxa"/>
            <w:tcBorders>
              <w:bottom w:val="single" w:sz="2" w:space="0" w:color="auto"/>
            </w:tcBorders>
            <w:vAlign w:val="center"/>
          </w:tcPr>
          <w:p w:rsidR="00497839" w:rsidRPr="00336A90" w:rsidRDefault="00497839" w:rsidP="00BB1149">
            <w:pPr>
              <w:pStyle w:val="cuatexto"/>
              <w:ind w:right="29"/>
              <w:rPr>
                <w:sz w:val="18"/>
                <w:szCs w:val="18"/>
                <w:lang w:val="es-ES"/>
              </w:rPr>
            </w:pPr>
            <w:r w:rsidRPr="00336A90">
              <w:rPr>
                <w:sz w:val="18"/>
                <w:szCs w:val="18"/>
                <w:lang w:val="es-ES"/>
              </w:rPr>
              <w:t>Gastos de personal</w:t>
            </w:r>
          </w:p>
        </w:tc>
        <w:tc>
          <w:tcPr>
            <w:tcW w:w="988" w:type="dxa"/>
            <w:tcBorders>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1.109.511</w:t>
            </w:r>
          </w:p>
        </w:tc>
        <w:tc>
          <w:tcPr>
            <w:tcW w:w="1087" w:type="dxa"/>
            <w:tcBorders>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1.139.353</w:t>
            </w:r>
          </w:p>
        </w:tc>
        <w:tc>
          <w:tcPr>
            <w:tcW w:w="1113" w:type="dxa"/>
            <w:tcBorders>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1.138.468</w:t>
            </w:r>
          </w:p>
        </w:tc>
        <w:tc>
          <w:tcPr>
            <w:tcW w:w="1014" w:type="dxa"/>
            <w:tcBorders>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1.138.413</w:t>
            </w:r>
          </w:p>
        </w:tc>
        <w:tc>
          <w:tcPr>
            <w:tcW w:w="1018" w:type="dxa"/>
            <w:tcBorders>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1.138.413</w:t>
            </w:r>
          </w:p>
        </w:tc>
        <w:tc>
          <w:tcPr>
            <w:tcW w:w="782" w:type="dxa"/>
            <w:tcBorders>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100</w:t>
            </w:r>
          </w:p>
        </w:tc>
        <w:tc>
          <w:tcPr>
            <w:tcW w:w="960" w:type="dxa"/>
            <w:tcBorders>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1.138.152</w:t>
            </w:r>
          </w:p>
        </w:tc>
      </w:tr>
      <w:tr w:rsidR="00497839" w:rsidRPr="00336A90" w:rsidTr="00BB1149">
        <w:trPr>
          <w:trHeight w:hRule="exact" w:val="300"/>
          <w:jc w:val="center"/>
        </w:trPr>
        <w:tc>
          <w:tcPr>
            <w:tcW w:w="2253" w:type="dxa"/>
            <w:tcBorders>
              <w:top w:val="single" w:sz="2" w:space="0" w:color="auto"/>
              <w:bottom w:val="single" w:sz="2" w:space="0" w:color="auto"/>
            </w:tcBorders>
            <w:vAlign w:val="center"/>
          </w:tcPr>
          <w:p w:rsidR="00497839" w:rsidRPr="00336A90" w:rsidRDefault="00497839" w:rsidP="00BB1149">
            <w:pPr>
              <w:pStyle w:val="cuatexto"/>
              <w:ind w:right="29"/>
              <w:rPr>
                <w:sz w:val="18"/>
                <w:szCs w:val="18"/>
                <w:lang w:val="es-ES"/>
              </w:rPr>
            </w:pPr>
            <w:r w:rsidRPr="00336A90">
              <w:rPr>
                <w:sz w:val="18"/>
                <w:szCs w:val="18"/>
                <w:lang w:val="es-ES"/>
              </w:rPr>
              <w:t>Gtos. Corr. en bienes y serv.</w:t>
            </w:r>
          </w:p>
        </w:tc>
        <w:tc>
          <w:tcPr>
            <w:tcW w:w="988"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571.579</w:t>
            </w:r>
          </w:p>
        </w:tc>
        <w:tc>
          <w:tcPr>
            <w:tcW w:w="1087"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576.368</w:t>
            </w:r>
          </w:p>
        </w:tc>
        <w:tc>
          <w:tcPr>
            <w:tcW w:w="1113"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566.603</w:t>
            </w:r>
          </w:p>
        </w:tc>
        <w:tc>
          <w:tcPr>
            <w:tcW w:w="1014"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564.143</w:t>
            </w:r>
          </w:p>
        </w:tc>
        <w:tc>
          <w:tcPr>
            <w:tcW w:w="1018"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562.426</w:t>
            </w:r>
          </w:p>
        </w:tc>
        <w:tc>
          <w:tcPr>
            <w:tcW w:w="782"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98</w:t>
            </w:r>
          </w:p>
        </w:tc>
        <w:tc>
          <w:tcPr>
            <w:tcW w:w="960"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503.517</w:t>
            </w:r>
          </w:p>
        </w:tc>
      </w:tr>
      <w:tr w:rsidR="00497839" w:rsidRPr="00336A90" w:rsidTr="00BB1149">
        <w:trPr>
          <w:trHeight w:hRule="exact" w:val="300"/>
          <w:jc w:val="center"/>
        </w:trPr>
        <w:tc>
          <w:tcPr>
            <w:tcW w:w="2253" w:type="dxa"/>
            <w:tcBorders>
              <w:top w:val="single" w:sz="2" w:space="0" w:color="auto"/>
              <w:bottom w:val="single" w:sz="2" w:space="0" w:color="auto"/>
            </w:tcBorders>
            <w:vAlign w:val="center"/>
          </w:tcPr>
          <w:p w:rsidR="00497839" w:rsidRPr="00336A90" w:rsidRDefault="00497839" w:rsidP="00BB1149">
            <w:pPr>
              <w:pStyle w:val="cuatexto"/>
              <w:ind w:right="29"/>
              <w:rPr>
                <w:sz w:val="18"/>
                <w:szCs w:val="18"/>
                <w:lang w:val="es-ES"/>
              </w:rPr>
            </w:pPr>
            <w:r w:rsidRPr="00336A90">
              <w:rPr>
                <w:sz w:val="18"/>
                <w:szCs w:val="18"/>
                <w:lang w:val="es-ES"/>
              </w:rPr>
              <w:t>Gastos financieros</w:t>
            </w:r>
          </w:p>
        </w:tc>
        <w:tc>
          <w:tcPr>
            <w:tcW w:w="988"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121.583</w:t>
            </w:r>
          </w:p>
        </w:tc>
        <w:tc>
          <w:tcPr>
            <w:tcW w:w="1087"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109.266</w:t>
            </w:r>
          </w:p>
        </w:tc>
        <w:tc>
          <w:tcPr>
            <w:tcW w:w="1113"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108.513</w:t>
            </w:r>
          </w:p>
        </w:tc>
        <w:tc>
          <w:tcPr>
            <w:tcW w:w="1014"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108.513</w:t>
            </w:r>
          </w:p>
        </w:tc>
        <w:tc>
          <w:tcPr>
            <w:tcW w:w="1018"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108.513</w:t>
            </w:r>
          </w:p>
        </w:tc>
        <w:tc>
          <w:tcPr>
            <w:tcW w:w="782"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99</w:t>
            </w:r>
          </w:p>
        </w:tc>
        <w:tc>
          <w:tcPr>
            <w:tcW w:w="960"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108.494</w:t>
            </w:r>
          </w:p>
        </w:tc>
      </w:tr>
      <w:tr w:rsidR="00497839" w:rsidRPr="00336A90" w:rsidTr="00BB1149">
        <w:trPr>
          <w:trHeight w:hRule="exact" w:val="300"/>
          <w:jc w:val="center"/>
        </w:trPr>
        <w:tc>
          <w:tcPr>
            <w:tcW w:w="2253" w:type="dxa"/>
            <w:tcBorders>
              <w:top w:val="single" w:sz="2" w:space="0" w:color="auto"/>
              <w:bottom w:val="single" w:sz="2" w:space="0" w:color="auto"/>
            </w:tcBorders>
            <w:vAlign w:val="center"/>
          </w:tcPr>
          <w:p w:rsidR="00497839" w:rsidRPr="00336A90" w:rsidRDefault="00497839" w:rsidP="00BB1149">
            <w:pPr>
              <w:pStyle w:val="cuatexto"/>
              <w:ind w:right="29"/>
              <w:rPr>
                <w:sz w:val="18"/>
                <w:szCs w:val="18"/>
                <w:lang w:val="es-ES"/>
              </w:rPr>
            </w:pPr>
            <w:r w:rsidRPr="00336A90">
              <w:rPr>
                <w:sz w:val="18"/>
                <w:szCs w:val="18"/>
                <w:lang w:val="es-ES"/>
              </w:rPr>
              <w:t>Transferencias corrientes</w:t>
            </w:r>
          </w:p>
        </w:tc>
        <w:tc>
          <w:tcPr>
            <w:tcW w:w="988"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1.334.559</w:t>
            </w:r>
          </w:p>
        </w:tc>
        <w:tc>
          <w:tcPr>
            <w:tcW w:w="1087"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1.479.211</w:t>
            </w:r>
          </w:p>
        </w:tc>
        <w:tc>
          <w:tcPr>
            <w:tcW w:w="1113"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1.476.159</w:t>
            </w:r>
          </w:p>
        </w:tc>
        <w:tc>
          <w:tcPr>
            <w:tcW w:w="1014"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1.473.758</w:t>
            </w:r>
          </w:p>
        </w:tc>
        <w:tc>
          <w:tcPr>
            <w:tcW w:w="1018"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1.471.108</w:t>
            </w:r>
          </w:p>
        </w:tc>
        <w:tc>
          <w:tcPr>
            <w:tcW w:w="782"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99</w:t>
            </w:r>
          </w:p>
        </w:tc>
        <w:tc>
          <w:tcPr>
            <w:tcW w:w="960"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1.422.626</w:t>
            </w:r>
          </w:p>
        </w:tc>
      </w:tr>
      <w:tr w:rsidR="00497839" w:rsidRPr="00336A90" w:rsidTr="00BB1149">
        <w:trPr>
          <w:trHeight w:hRule="exact" w:val="300"/>
          <w:jc w:val="center"/>
        </w:trPr>
        <w:tc>
          <w:tcPr>
            <w:tcW w:w="2253" w:type="dxa"/>
            <w:tcBorders>
              <w:top w:val="single" w:sz="2" w:space="0" w:color="auto"/>
              <w:bottom w:val="single" w:sz="2" w:space="0" w:color="auto"/>
            </w:tcBorders>
            <w:vAlign w:val="center"/>
          </w:tcPr>
          <w:p w:rsidR="00497839" w:rsidRPr="00BE4AB7" w:rsidRDefault="00497839" w:rsidP="00BB1149">
            <w:pPr>
              <w:pStyle w:val="cuatexto"/>
              <w:ind w:right="29"/>
              <w:rPr>
                <w:sz w:val="18"/>
                <w:szCs w:val="18"/>
                <w:lang w:val="es-ES"/>
              </w:rPr>
            </w:pPr>
            <w:r w:rsidRPr="00BE4AB7">
              <w:rPr>
                <w:sz w:val="18"/>
                <w:szCs w:val="18"/>
                <w:lang w:val="es-ES"/>
              </w:rPr>
              <w:t>Crédito global</w:t>
            </w:r>
          </w:p>
        </w:tc>
        <w:tc>
          <w:tcPr>
            <w:tcW w:w="988"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45.908</w:t>
            </w:r>
          </w:p>
        </w:tc>
        <w:tc>
          <w:tcPr>
            <w:tcW w:w="1087"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0</w:t>
            </w:r>
          </w:p>
        </w:tc>
        <w:tc>
          <w:tcPr>
            <w:tcW w:w="1113"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0</w:t>
            </w:r>
          </w:p>
        </w:tc>
        <w:tc>
          <w:tcPr>
            <w:tcW w:w="1014"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0</w:t>
            </w:r>
          </w:p>
        </w:tc>
        <w:tc>
          <w:tcPr>
            <w:tcW w:w="1018"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0</w:t>
            </w:r>
          </w:p>
        </w:tc>
        <w:tc>
          <w:tcPr>
            <w:tcW w:w="782"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0</w:t>
            </w:r>
          </w:p>
        </w:tc>
        <w:tc>
          <w:tcPr>
            <w:tcW w:w="960"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0</w:t>
            </w:r>
          </w:p>
        </w:tc>
      </w:tr>
      <w:tr w:rsidR="00497839" w:rsidRPr="00336A90" w:rsidTr="00BB1149">
        <w:trPr>
          <w:trHeight w:hRule="exact" w:val="300"/>
          <w:jc w:val="center"/>
        </w:trPr>
        <w:tc>
          <w:tcPr>
            <w:tcW w:w="2253" w:type="dxa"/>
            <w:tcBorders>
              <w:top w:val="single" w:sz="2" w:space="0" w:color="auto"/>
              <w:bottom w:val="single" w:sz="2" w:space="0" w:color="auto"/>
            </w:tcBorders>
            <w:vAlign w:val="center"/>
          </w:tcPr>
          <w:p w:rsidR="00497839" w:rsidRPr="00336A90" w:rsidRDefault="00497839" w:rsidP="00BB1149">
            <w:pPr>
              <w:pStyle w:val="cuatexto"/>
              <w:ind w:right="29"/>
              <w:rPr>
                <w:sz w:val="18"/>
                <w:szCs w:val="18"/>
                <w:lang w:val="es-ES"/>
              </w:rPr>
            </w:pPr>
            <w:r w:rsidRPr="00336A90">
              <w:rPr>
                <w:sz w:val="18"/>
                <w:szCs w:val="18"/>
                <w:lang w:val="es-ES"/>
              </w:rPr>
              <w:t>Inversiones reales</w:t>
            </w:r>
          </w:p>
        </w:tc>
        <w:tc>
          <w:tcPr>
            <w:tcW w:w="988"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131.499</w:t>
            </w:r>
          </w:p>
        </w:tc>
        <w:tc>
          <w:tcPr>
            <w:tcW w:w="1087"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95.800</w:t>
            </w:r>
          </w:p>
        </w:tc>
        <w:tc>
          <w:tcPr>
            <w:tcW w:w="1113"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93.625</w:t>
            </w:r>
          </w:p>
        </w:tc>
        <w:tc>
          <w:tcPr>
            <w:tcW w:w="1014"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93.533</w:t>
            </w:r>
          </w:p>
        </w:tc>
        <w:tc>
          <w:tcPr>
            <w:tcW w:w="1018"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91.861</w:t>
            </w:r>
          </w:p>
        </w:tc>
        <w:tc>
          <w:tcPr>
            <w:tcW w:w="782"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96</w:t>
            </w:r>
          </w:p>
        </w:tc>
        <w:tc>
          <w:tcPr>
            <w:tcW w:w="960"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71.548</w:t>
            </w:r>
          </w:p>
        </w:tc>
      </w:tr>
      <w:tr w:rsidR="00497839" w:rsidRPr="00336A90" w:rsidTr="00BB1149">
        <w:trPr>
          <w:trHeight w:hRule="exact" w:val="300"/>
          <w:jc w:val="center"/>
        </w:trPr>
        <w:tc>
          <w:tcPr>
            <w:tcW w:w="2253" w:type="dxa"/>
            <w:tcBorders>
              <w:top w:val="single" w:sz="2" w:space="0" w:color="auto"/>
              <w:bottom w:val="single" w:sz="2" w:space="0" w:color="auto"/>
            </w:tcBorders>
            <w:vAlign w:val="center"/>
          </w:tcPr>
          <w:p w:rsidR="00497839" w:rsidRPr="00336A90" w:rsidRDefault="00497839" w:rsidP="00BB1149">
            <w:pPr>
              <w:pStyle w:val="cuatexto"/>
              <w:ind w:right="29"/>
              <w:rPr>
                <w:sz w:val="18"/>
                <w:szCs w:val="18"/>
                <w:lang w:val="es-ES"/>
              </w:rPr>
            </w:pPr>
            <w:r w:rsidRPr="00336A90">
              <w:rPr>
                <w:sz w:val="18"/>
                <w:szCs w:val="18"/>
                <w:lang w:val="es-ES"/>
              </w:rPr>
              <w:t xml:space="preserve">Transferencias de capital </w:t>
            </w:r>
          </w:p>
        </w:tc>
        <w:tc>
          <w:tcPr>
            <w:tcW w:w="988"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143.672</w:t>
            </w:r>
          </w:p>
        </w:tc>
        <w:tc>
          <w:tcPr>
            <w:tcW w:w="1087"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137.270</w:t>
            </w:r>
          </w:p>
        </w:tc>
        <w:tc>
          <w:tcPr>
            <w:tcW w:w="1113"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124.622</w:t>
            </w:r>
          </w:p>
        </w:tc>
        <w:tc>
          <w:tcPr>
            <w:tcW w:w="1014"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122.759</w:t>
            </w:r>
          </w:p>
        </w:tc>
        <w:tc>
          <w:tcPr>
            <w:tcW w:w="1018"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117.417</w:t>
            </w:r>
          </w:p>
        </w:tc>
        <w:tc>
          <w:tcPr>
            <w:tcW w:w="782"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86</w:t>
            </w:r>
          </w:p>
        </w:tc>
        <w:tc>
          <w:tcPr>
            <w:tcW w:w="960"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67.235</w:t>
            </w:r>
          </w:p>
        </w:tc>
      </w:tr>
      <w:tr w:rsidR="00497839" w:rsidRPr="00336A90" w:rsidTr="00BB1149">
        <w:trPr>
          <w:trHeight w:hRule="exact" w:val="300"/>
          <w:jc w:val="center"/>
        </w:trPr>
        <w:tc>
          <w:tcPr>
            <w:tcW w:w="2253" w:type="dxa"/>
            <w:tcBorders>
              <w:top w:val="single" w:sz="2" w:space="0" w:color="auto"/>
              <w:bottom w:val="single" w:sz="2" w:space="0" w:color="auto"/>
            </w:tcBorders>
            <w:vAlign w:val="center"/>
          </w:tcPr>
          <w:p w:rsidR="00497839" w:rsidRPr="00336A90" w:rsidRDefault="00497839" w:rsidP="00BB1149">
            <w:pPr>
              <w:pStyle w:val="cuatexto"/>
              <w:ind w:right="29"/>
              <w:rPr>
                <w:sz w:val="18"/>
                <w:szCs w:val="18"/>
                <w:lang w:val="es-ES"/>
              </w:rPr>
            </w:pPr>
            <w:r w:rsidRPr="00336A90">
              <w:rPr>
                <w:sz w:val="18"/>
                <w:szCs w:val="18"/>
                <w:lang w:val="es-ES"/>
              </w:rPr>
              <w:t>Activos financieros</w:t>
            </w:r>
          </w:p>
        </w:tc>
        <w:tc>
          <w:tcPr>
            <w:tcW w:w="988"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61.561</w:t>
            </w:r>
          </w:p>
        </w:tc>
        <w:tc>
          <w:tcPr>
            <w:tcW w:w="1087"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120.539</w:t>
            </w:r>
          </w:p>
        </w:tc>
        <w:tc>
          <w:tcPr>
            <w:tcW w:w="1113"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116.996</w:t>
            </w:r>
          </w:p>
        </w:tc>
        <w:tc>
          <w:tcPr>
            <w:tcW w:w="1014"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116.996</w:t>
            </w:r>
          </w:p>
        </w:tc>
        <w:tc>
          <w:tcPr>
            <w:tcW w:w="1018"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116.996</w:t>
            </w:r>
          </w:p>
        </w:tc>
        <w:tc>
          <w:tcPr>
            <w:tcW w:w="782"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97</w:t>
            </w:r>
          </w:p>
        </w:tc>
        <w:tc>
          <w:tcPr>
            <w:tcW w:w="960"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112.996</w:t>
            </w:r>
          </w:p>
        </w:tc>
      </w:tr>
      <w:tr w:rsidR="00497839" w:rsidRPr="00336A90" w:rsidTr="00BB1149">
        <w:trPr>
          <w:trHeight w:hRule="exact" w:val="300"/>
          <w:jc w:val="center"/>
        </w:trPr>
        <w:tc>
          <w:tcPr>
            <w:tcW w:w="2253" w:type="dxa"/>
            <w:tcBorders>
              <w:top w:val="single" w:sz="2" w:space="0" w:color="auto"/>
              <w:bottom w:val="single" w:sz="4" w:space="0" w:color="auto"/>
            </w:tcBorders>
            <w:vAlign w:val="center"/>
          </w:tcPr>
          <w:p w:rsidR="00497839" w:rsidRPr="00336A90" w:rsidRDefault="00497839" w:rsidP="00BB1149">
            <w:pPr>
              <w:pStyle w:val="cuatexto"/>
              <w:ind w:right="29"/>
              <w:rPr>
                <w:sz w:val="18"/>
                <w:szCs w:val="18"/>
                <w:lang w:val="es-ES"/>
              </w:rPr>
            </w:pPr>
            <w:r w:rsidRPr="00336A90">
              <w:rPr>
                <w:sz w:val="18"/>
                <w:szCs w:val="18"/>
                <w:lang w:val="es-ES"/>
              </w:rPr>
              <w:t>Pasivos financieros</w:t>
            </w:r>
          </w:p>
        </w:tc>
        <w:tc>
          <w:tcPr>
            <w:tcW w:w="988" w:type="dxa"/>
            <w:tcBorders>
              <w:top w:val="single" w:sz="2" w:space="0" w:color="auto"/>
              <w:bottom w:val="single" w:sz="4"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317.844</w:t>
            </w:r>
          </w:p>
        </w:tc>
        <w:tc>
          <w:tcPr>
            <w:tcW w:w="1087" w:type="dxa"/>
            <w:tcBorders>
              <w:top w:val="single" w:sz="2" w:space="0" w:color="auto"/>
              <w:bottom w:val="single" w:sz="4"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307.228</w:t>
            </w:r>
          </w:p>
        </w:tc>
        <w:tc>
          <w:tcPr>
            <w:tcW w:w="1113" w:type="dxa"/>
            <w:tcBorders>
              <w:top w:val="single" w:sz="2" w:space="0" w:color="auto"/>
              <w:bottom w:val="single" w:sz="4"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307.228</w:t>
            </w:r>
          </w:p>
        </w:tc>
        <w:tc>
          <w:tcPr>
            <w:tcW w:w="1014" w:type="dxa"/>
            <w:tcBorders>
              <w:top w:val="single" w:sz="2" w:space="0" w:color="auto"/>
              <w:bottom w:val="single" w:sz="4"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307.228</w:t>
            </w:r>
          </w:p>
        </w:tc>
        <w:tc>
          <w:tcPr>
            <w:tcW w:w="1018" w:type="dxa"/>
            <w:tcBorders>
              <w:top w:val="single" w:sz="2" w:space="0" w:color="auto"/>
              <w:bottom w:val="single" w:sz="4"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307.228</w:t>
            </w:r>
          </w:p>
        </w:tc>
        <w:tc>
          <w:tcPr>
            <w:tcW w:w="782" w:type="dxa"/>
            <w:tcBorders>
              <w:top w:val="single" w:sz="2" w:space="0" w:color="auto"/>
              <w:bottom w:val="single" w:sz="4"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100</w:t>
            </w:r>
          </w:p>
        </w:tc>
        <w:tc>
          <w:tcPr>
            <w:tcW w:w="960" w:type="dxa"/>
            <w:tcBorders>
              <w:top w:val="single" w:sz="2" w:space="0" w:color="auto"/>
              <w:bottom w:val="single" w:sz="4" w:space="0" w:color="auto"/>
            </w:tcBorders>
            <w:vAlign w:val="center"/>
          </w:tcPr>
          <w:p w:rsidR="00497839" w:rsidRPr="008032A1" w:rsidRDefault="00497839" w:rsidP="00BB1149">
            <w:pPr>
              <w:spacing w:after="0"/>
              <w:ind w:firstLine="0"/>
              <w:jc w:val="right"/>
              <w:rPr>
                <w:rFonts w:ascii="Arial Narrow" w:hAnsi="Arial Narrow"/>
              </w:rPr>
            </w:pPr>
            <w:r w:rsidRPr="008032A1">
              <w:rPr>
                <w:rFonts w:ascii="Arial Narrow" w:hAnsi="Arial Narrow"/>
              </w:rPr>
              <w:t>307.228</w:t>
            </w:r>
          </w:p>
        </w:tc>
      </w:tr>
      <w:tr w:rsidR="00497839" w:rsidRPr="00336A90" w:rsidTr="000E7C62">
        <w:trPr>
          <w:trHeight w:hRule="exact" w:val="300"/>
          <w:jc w:val="center"/>
        </w:trPr>
        <w:tc>
          <w:tcPr>
            <w:tcW w:w="2253" w:type="dxa"/>
            <w:shd w:val="clear" w:color="auto" w:fill="A8CBEE" w:themeFill="accent2" w:themeFillTint="66"/>
            <w:vAlign w:val="center"/>
          </w:tcPr>
          <w:p w:rsidR="00497839" w:rsidRPr="00336A90" w:rsidRDefault="00497839" w:rsidP="00BB1149">
            <w:pPr>
              <w:pStyle w:val="cuadroCabe"/>
              <w:rPr>
                <w:sz w:val="17"/>
                <w:szCs w:val="17"/>
                <w:lang w:val="es-ES"/>
              </w:rPr>
            </w:pPr>
            <w:r w:rsidRPr="00336A90">
              <w:rPr>
                <w:sz w:val="17"/>
                <w:szCs w:val="17"/>
                <w:lang w:val="es-ES"/>
              </w:rPr>
              <w:t>Total</w:t>
            </w:r>
          </w:p>
        </w:tc>
        <w:tc>
          <w:tcPr>
            <w:tcW w:w="988" w:type="dxa"/>
            <w:shd w:val="clear" w:color="auto" w:fill="A8CBEE" w:themeFill="accent2" w:themeFillTint="66"/>
            <w:vAlign w:val="center"/>
          </w:tcPr>
          <w:p w:rsidR="00497839" w:rsidRPr="008032A1" w:rsidRDefault="00497839" w:rsidP="00BB1149">
            <w:pPr>
              <w:spacing w:after="0"/>
              <w:ind w:firstLine="0"/>
              <w:jc w:val="right"/>
              <w:rPr>
                <w:rFonts w:ascii="Arial" w:hAnsi="Arial" w:cs="Arial"/>
                <w:sz w:val="18"/>
                <w:szCs w:val="18"/>
              </w:rPr>
            </w:pPr>
            <w:r w:rsidRPr="008032A1">
              <w:rPr>
                <w:rFonts w:ascii="Arial" w:hAnsi="Arial" w:cs="Arial"/>
                <w:sz w:val="18"/>
                <w:szCs w:val="18"/>
              </w:rPr>
              <w:t>3.837.717</w:t>
            </w:r>
          </w:p>
        </w:tc>
        <w:tc>
          <w:tcPr>
            <w:tcW w:w="1087" w:type="dxa"/>
            <w:shd w:val="clear" w:color="auto" w:fill="A8CBEE" w:themeFill="accent2" w:themeFillTint="66"/>
            <w:vAlign w:val="center"/>
          </w:tcPr>
          <w:p w:rsidR="00497839" w:rsidRPr="008032A1" w:rsidRDefault="00497839" w:rsidP="00BB1149">
            <w:pPr>
              <w:spacing w:after="0"/>
              <w:ind w:firstLine="0"/>
              <w:jc w:val="right"/>
              <w:rPr>
                <w:rFonts w:ascii="Arial" w:hAnsi="Arial" w:cs="Arial"/>
                <w:sz w:val="18"/>
                <w:szCs w:val="18"/>
              </w:rPr>
            </w:pPr>
            <w:r w:rsidRPr="008032A1">
              <w:rPr>
                <w:rFonts w:ascii="Arial" w:hAnsi="Arial" w:cs="Arial"/>
                <w:sz w:val="18"/>
                <w:szCs w:val="18"/>
              </w:rPr>
              <w:t>3.965.036</w:t>
            </w:r>
          </w:p>
        </w:tc>
        <w:tc>
          <w:tcPr>
            <w:tcW w:w="1113" w:type="dxa"/>
            <w:shd w:val="clear" w:color="auto" w:fill="A8CBEE" w:themeFill="accent2" w:themeFillTint="66"/>
            <w:vAlign w:val="center"/>
          </w:tcPr>
          <w:p w:rsidR="00497839" w:rsidRPr="008032A1" w:rsidRDefault="00497839" w:rsidP="00BB1149">
            <w:pPr>
              <w:spacing w:after="0"/>
              <w:ind w:firstLine="0"/>
              <w:jc w:val="right"/>
              <w:rPr>
                <w:rFonts w:ascii="Arial" w:hAnsi="Arial" w:cs="Arial"/>
                <w:sz w:val="18"/>
                <w:szCs w:val="18"/>
              </w:rPr>
            </w:pPr>
            <w:r w:rsidRPr="008032A1">
              <w:rPr>
                <w:rFonts w:ascii="Arial" w:hAnsi="Arial" w:cs="Arial"/>
                <w:sz w:val="18"/>
                <w:szCs w:val="18"/>
              </w:rPr>
              <w:t>3.932.213</w:t>
            </w:r>
          </w:p>
        </w:tc>
        <w:tc>
          <w:tcPr>
            <w:tcW w:w="1014" w:type="dxa"/>
            <w:shd w:val="clear" w:color="auto" w:fill="A8CBEE" w:themeFill="accent2" w:themeFillTint="66"/>
            <w:vAlign w:val="center"/>
          </w:tcPr>
          <w:p w:rsidR="00497839" w:rsidRPr="008032A1" w:rsidRDefault="00497839" w:rsidP="00BB1149">
            <w:pPr>
              <w:spacing w:after="0"/>
              <w:ind w:firstLine="0"/>
              <w:jc w:val="right"/>
              <w:rPr>
                <w:rFonts w:ascii="Arial" w:hAnsi="Arial" w:cs="Arial"/>
                <w:sz w:val="18"/>
                <w:szCs w:val="18"/>
              </w:rPr>
            </w:pPr>
            <w:r w:rsidRPr="008032A1">
              <w:rPr>
                <w:rFonts w:ascii="Arial" w:hAnsi="Arial" w:cs="Arial"/>
                <w:sz w:val="18"/>
                <w:szCs w:val="18"/>
              </w:rPr>
              <w:t>3.925.344</w:t>
            </w:r>
          </w:p>
        </w:tc>
        <w:tc>
          <w:tcPr>
            <w:tcW w:w="1018" w:type="dxa"/>
            <w:shd w:val="clear" w:color="auto" w:fill="A8CBEE" w:themeFill="accent2" w:themeFillTint="66"/>
            <w:vAlign w:val="center"/>
          </w:tcPr>
          <w:p w:rsidR="00497839" w:rsidRPr="008032A1" w:rsidRDefault="00497839" w:rsidP="00BB1149">
            <w:pPr>
              <w:spacing w:after="0"/>
              <w:ind w:firstLine="0"/>
              <w:jc w:val="right"/>
              <w:rPr>
                <w:rFonts w:ascii="Arial" w:hAnsi="Arial" w:cs="Arial"/>
                <w:sz w:val="18"/>
                <w:szCs w:val="18"/>
              </w:rPr>
            </w:pPr>
            <w:r w:rsidRPr="008032A1">
              <w:rPr>
                <w:rFonts w:ascii="Arial" w:hAnsi="Arial" w:cs="Arial"/>
                <w:sz w:val="18"/>
                <w:szCs w:val="18"/>
              </w:rPr>
              <w:t>3.913.963</w:t>
            </w:r>
          </w:p>
        </w:tc>
        <w:tc>
          <w:tcPr>
            <w:tcW w:w="782" w:type="dxa"/>
            <w:shd w:val="clear" w:color="auto" w:fill="A8CBEE" w:themeFill="accent2" w:themeFillTint="66"/>
            <w:vAlign w:val="center"/>
          </w:tcPr>
          <w:p w:rsidR="00497839" w:rsidRPr="008032A1" w:rsidRDefault="00497839" w:rsidP="00BB1149">
            <w:pPr>
              <w:spacing w:after="0"/>
              <w:ind w:firstLine="0"/>
              <w:jc w:val="right"/>
              <w:rPr>
                <w:rFonts w:ascii="Arial" w:hAnsi="Arial" w:cs="Arial"/>
                <w:sz w:val="18"/>
                <w:szCs w:val="18"/>
              </w:rPr>
            </w:pPr>
            <w:r>
              <w:rPr>
                <w:rFonts w:ascii="Arial" w:hAnsi="Arial" w:cs="Arial"/>
                <w:sz w:val="18"/>
                <w:szCs w:val="18"/>
              </w:rPr>
              <w:t>99</w:t>
            </w:r>
          </w:p>
        </w:tc>
        <w:tc>
          <w:tcPr>
            <w:tcW w:w="960" w:type="dxa"/>
            <w:shd w:val="clear" w:color="auto" w:fill="A8CBEE" w:themeFill="accent2" w:themeFillTint="66"/>
            <w:vAlign w:val="center"/>
          </w:tcPr>
          <w:p w:rsidR="00497839" w:rsidRPr="008032A1" w:rsidRDefault="00497839" w:rsidP="00BB1149">
            <w:pPr>
              <w:spacing w:after="0"/>
              <w:ind w:firstLine="0"/>
              <w:jc w:val="right"/>
              <w:rPr>
                <w:rFonts w:ascii="Arial" w:hAnsi="Arial" w:cs="Arial"/>
                <w:sz w:val="18"/>
                <w:szCs w:val="18"/>
              </w:rPr>
            </w:pPr>
            <w:r w:rsidRPr="008032A1">
              <w:rPr>
                <w:rFonts w:ascii="Arial" w:hAnsi="Arial" w:cs="Arial"/>
                <w:sz w:val="18"/>
                <w:szCs w:val="18"/>
              </w:rPr>
              <w:t>3.731.797</w:t>
            </w:r>
          </w:p>
        </w:tc>
      </w:tr>
    </w:tbl>
    <w:p w:rsidR="00497839" w:rsidRPr="00AB1D21" w:rsidRDefault="00497839" w:rsidP="00497839">
      <w:pPr>
        <w:pStyle w:val="cuatitul"/>
        <w:suppressAutoHyphens/>
        <w:ind w:right="29"/>
        <w:rPr>
          <w:sz w:val="16"/>
          <w:szCs w:val="16"/>
        </w:rPr>
      </w:pPr>
    </w:p>
    <w:p w:rsidR="00497839" w:rsidRPr="00AB1D21" w:rsidRDefault="00497839" w:rsidP="00497839">
      <w:pPr>
        <w:pStyle w:val="cuatitul"/>
        <w:suppressAutoHyphens/>
        <w:ind w:right="29"/>
        <w:rPr>
          <w:sz w:val="16"/>
          <w:szCs w:val="16"/>
        </w:rPr>
      </w:pPr>
    </w:p>
    <w:p w:rsidR="00497839" w:rsidRPr="00AB1D21" w:rsidRDefault="00497839" w:rsidP="00497839">
      <w:pPr>
        <w:pStyle w:val="cuatitul"/>
        <w:suppressAutoHyphens/>
        <w:spacing w:before="240" w:after="120"/>
        <w:ind w:right="28"/>
      </w:pPr>
      <w:r w:rsidRPr="00AB1D21">
        <w:t>Liquidación del</w:t>
      </w:r>
      <w:r>
        <w:t xml:space="preserve"> presupuesto de ingresos de 2015</w:t>
      </w:r>
      <w:r w:rsidRPr="00AB1D21">
        <w:t>, por capítulos económicos</w:t>
      </w:r>
    </w:p>
    <w:p w:rsidR="00497839" w:rsidRPr="000E7C62" w:rsidRDefault="00497839" w:rsidP="00497839">
      <w:pPr>
        <w:pStyle w:val="cuatitul"/>
        <w:suppressAutoHyphens/>
        <w:ind w:right="-211"/>
        <w:jc w:val="right"/>
        <w:rPr>
          <w:sz w:val="16"/>
          <w:szCs w:val="16"/>
        </w:rPr>
      </w:pPr>
      <w:r w:rsidRPr="00771EC7">
        <w:t xml:space="preserve">                                                                                             </w:t>
      </w:r>
      <w:r w:rsidRPr="000E7C62">
        <w:rPr>
          <w:sz w:val="16"/>
          <w:szCs w:val="16"/>
        </w:rPr>
        <w:t xml:space="preserve"> </w:t>
      </w:r>
      <w:r w:rsidRPr="000E7C62">
        <w:rPr>
          <w:rFonts w:ascii="GillSans Light" w:hAnsi="GillSans Light"/>
          <w:sz w:val="16"/>
          <w:szCs w:val="16"/>
        </w:rPr>
        <w:t>(</w:t>
      </w:r>
      <w:r w:rsidR="007E1C86">
        <w:rPr>
          <w:rFonts w:ascii="GillSans Light" w:hAnsi="GillSans Light"/>
          <w:sz w:val="16"/>
          <w:szCs w:val="16"/>
        </w:rPr>
        <w:t>M</w:t>
      </w:r>
      <w:r w:rsidRPr="000E7C62">
        <w:rPr>
          <w:rFonts w:ascii="GillSans Light" w:hAnsi="GillSans Light"/>
          <w:sz w:val="16"/>
          <w:szCs w:val="16"/>
        </w:rPr>
        <w:t>iles de euros)</w:t>
      </w:r>
    </w:p>
    <w:tbl>
      <w:tblPr>
        <w:tblW w:w="9172" w:type="dxa"/>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468"/>
        <w:gridCol w:w="1256"/>
        <w:gridCol w:w="1537"/>
        <w:gridCol w:w="1713"/>
        <w:gridCol w:w="898"/>
        <w:gridCol w:w="10"/>
        <w:gridCol w:w="1290"/>
      </w:tblGrid>
      <w:tr w:rsidR="00497839" w:rsidRPr="00771EC7" w:rsidTr="000E7C62">
        <w:trPr>
          <w:trHeight w:hRule="exact" w:val="500"/>
          <w:jc w:val="center"/>
        </w:trPr>
        <w:tc>
          <w:tcPr>
            <w:tcW w:w="2468" w:type="dxa"/>
            <w:tcBorders>
              <w:bottom w:val="single" w:sz="4" w:space="0" w:color="auto"/>
            </w:tcBorders>
            <w:shd w:val="clear" w:color="auto" w:fill="A8CBEE" w:themeFill="accent2" w:themeFillTint="66"/>
            <w:vAlign w:val="center"/>
          </w:tcPr>
          <w:p w:rsidR="00497839" w:rsidRPr="00771EC7" w:rsidRDefault="00497839" w:rsidP="00BB1149">
            <w:pPr>
              <w:pStyle w:val="cuadroCabe"/>
              <w:rPr>
                <w:sz w:val="16"/>
              </w:rPr>
            </w:pPr>
            <w:r w:rsidRPr="00771EC7">
              <w:t>Capítulo económico</w:t>
            </w:r>
          </w:p>
        </w:tc>
        <w:tc>
          <w:tcPr>
            <w:tcW w:w="1256" w:type="dxa"/>
            <w:tcBorders>
              <w:bottom w:val="single" w:sz="4" w:space="0" w:color="auto"/>
            </w:tcBorders>
            <w:shd w:val="clear" w:color="auto" w:fill="A8CBEE" w:themeFill="accent2" w:themeFillTint="66"/>
            <w:vAlign w:val="center"/>
          </w:tcPr>
          <w:p w:rsidR="00497839" w:rsidRDefault="00497839" w:rsidP="00BB1149">
            <w:pPr>
              <w:pStyle w:val="cuadroCabe"/>
              <w:jc w:val="right"/>
            </w:pPr>
            <w:r w:rsidRPr="00771EC7">
              <w:t>Presupuesto</w:t>
            </w:r>
          </w:p>
          <w:p w:rsidR="00497839" w:rsidRPr="00771EC7" w:rsidRDefault="00497839" w:rsidP="00BB1149">
            <w:pPr>
              <w:pStyle w:val="cuadroCabe"/>
              <w:jc w:val="right"/>
              <w:rPr>
                <w:sz w:val="16"/>
              </w:rPr>
            </w:pPr>
            <w:r w:rsidRPr="00771EC7">
              <w:t>inicial</w:t>
            </w:r>
          </w:p>
        </w:tc>
        <w:tc>
          <w:tcPr>
            <w:tcW w:w="1537" w:type="dxa"/>
            <w:tcBorders>
              <w:bottom w:val="single" w:sz="4" w:space="0" w:color="auto"/>
            </w:tcBorders>
            <w:shd w:val="clear" w:color="auto" w:fill="A8CBEE" w:themeFill="accent2" w:themeFillTint="66"/>
            <w:vAlign w:val="center"/>
          </w:tcPr>
          <w:p w:rsidR="00497839" w:rsidRDefault="00497839" w:rsidP="00BB1149">
            <w:pPr>
              <w:pStyle w:val="cuadroCabe"/>
              <w:jc w:val="right"/>
            </w:pPr>
            <w:r w:rsidRPr="00771EC7">
              <w:t>Presupuesto</w:t>
            </w:r>
          </w:p>
          <w:p w:rsidR="00497839" w:rsidRPr="00771EC7" w:rsidRDefault="00497839" w:rsidP="00BB1149">
            <w:pPr>
              <w:pStyle w:val="cuadroCabe"/>
              <w:jc w:val="right"/>
              <w:rPr>
                <w:sz w:val="16"/>
              </w:rPr>
            </w:pPr>
            <w:r w:rsidRPr="00771EC7">
              <w:t>Definitivo</w:t>
            </w:r>
          </w:p>
        </w:tc>
        <w:tc>
          <w:tcPr>
            <w:tcW w:w="1713" w:type="dxa"/>
            <w:tcBorders>
              <w:bottom w:val="single" w:sz="4" w:space="0" w:color="auto"/>
            </w:tcBorders>
            <w:shd w:val="clear" w:color="auto" w:fill="A8CBEE" w:themeFill="accent2" w:themeFillTint="66"/>
            <w:vAlign w:val="center"/>
          </w:tcPr>
          <w:p w:rsidR="00497839" w:rsidRPr="00771EC7" w:rsidRDefault="00497839" w:rsidP="00BB1149">
            <w:pPr>
              <w:pStyle w:val="cuadroCabe"/>
              <w:jc w:val="right"/>
              <w:rPr>
                <w:sz w:val="16"/>
              </w:rPr>
            </w:pPr>
            <w:r w:rsidRPr="00771EC7">
              <w:t>D</w:t>
            </w:r>
            <w:r>
              <w:t>erec</w:t>
            </w:r>
            <w:r w:rsidRPr="00771EC7">
              <w:t>hos</w:t>
            </w:r>
            <w:r>
              <w:t xml:space="preserve"> </w:t>
            </w:r>
            <w:r w:rsidRPr="00771EC7">
              <w:t>Recon</w:t>
            </w:r>
            <w:r>
              <w:t xml:space="preserve">. </w:t>
            </w:r>
            <w:r w:rsidRPr="00771EC7">
              <w:t xml:space="preserve"> netos</w:t>
            </w:r>
          </w:p>
        </w:tc>
        <w:tc>
          <w:tcPr>
            <w:tcW w:w="908" w:type="dxa"/>
            <w:gridSpan w:val="2"/>
            <w:tcBorders>
              <w:bottom w:val="single" w:sz="4" w:space="0" w:color="auto"/>
            </w:tcBorders>
            <w:shd w:val="clear" w:color="auto" w:fill="A8CBEE" w:themeFill="accent2" w:themeFillTint="66"/>
            <w:vAlign w:val="center"/>
          </w:tcPr>
          <w:p w:rsidR="00497839" w:rsidRPr="00771EC7" w:rsidRDefault="00497839" w:rsidP="00497839">
            <w:pPr>
              <w:pStyle w:val="cuadroCabe"/>
              <w:ind w:right="-30"/>
              <w:jc w:val="right"/>
              <w:rPr>
                <w:sz w:val="16"/>
              </w:rPr>
            </w:pPr>
            <w:r w:rsidRPr="00497839">
              <w:t>Porcent</w:t>
            </w:r>
            <w:r>
              <w:t>.</w:t>
            </w:r>
          </w:p>
        </w:tc>
        <w:tc>
          <w:tcPr>
            <w:tcW w:w="1290" w:type="dxa"/>
            <w:tcBorders>
              <w:bottom w:val="single" w:sz="4" w:space="0" w:color="auto"/>
            </w:tcBorders>
            <w:shd w:val="clear" w:color="auto" w:fill="A8CBEE" w:themeFill="accent2" w:themeFillTint="66"/>
            <w:vAlign w:val="center"/>
          </w:tcPr>
          <w:p w:rsidR="00497839" w:rsidRPr="00771EC7" w:rsidRDefault="00497839" w:rsidP="00BB1149">
            <w:pPr>
              <w:pStyle w:val="cuadroCabe"/>
              <w:jc w:val="right"/>
              <w:rPr>
                <w:sz w:val="16"/>
              </w:rPr>
            </w:pPr>
            <w:r w:rsidRPr="00362EBD">
              <w:t>Recaudación neta</w:t>
            </w:r>
          </w:p>
        </w:tc>
      </w:tr>
      <w:tr w:rsidR="00497839" w:rsidRPr="00771EC7" w:rsidTr="00BB1149">
        <w:trPr>
          <w:trHeight w:hRule="exact" w:val="300"/>
          <w:jc w:val="center"/>
        </w:trPr>
        <w:tc>
          <w:tcPr>
            <w:tcW w:w="2468" w:type="dxa"/>
            <w:tcBorders>
              <w:top w:val="single" w:sz="4" w:space="0" w:color="auto"/>
              <w:bottom w:val="single" w:sz="2" w:space="0" w:color="auto"/>
            </w:tcBorders>
            <w:vAlign w:val="center"/>
          </w:tcPr>
          <w:p w:rsidR="00497839" w:rsidRPr="00771EC7" w:rsidRDefault="00497839" w:rsidP="00BB1149">
            <w:pPr>
              <w:pStyle w:val="cuatexto"/>
              <w:ind w:right="29"/>
              <w:rPr>
                <w:sz w:val="18"/>
                <w:szCs w:val="18"/>
                <w:lang w:val="es-ES"/>
              </w:rPr>
            </w:pPr>
            <w:r w:rsidRPr="00771EC7">
              <w:rPr>
                <w:sz w:val="18"/>
                <w:szCs w:val="18"/>
                <w:lang w:val="es-ES"/>
              </w:rPr>
              <w:t>Impuestos directos</w:t>
            </w:r>
          </w:p>
        </w:tc>
        <w:tc>
          <w:tcPr>
            <w:tcW w:w="1256" w:type="dxa"/>
            <w:tcBorders>
              <w:top w:val="single" w:sz="4"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sidRPr="00637765">
              <w:rPr>
                <w:rFonts w:ascii="Arial Narrow" w:hAnsi="Arial Narrow"/>
              </w:rPr>
              <w:t>1.470.772</w:t>
            </w:r>
          </w:p>
        </w:tc>
        <w:tc>
          <w:tcPr>
            <w:tcW w:w="1537" w:type="dxa"/>
            <w:tcBorders>
              <w:top w:val="single" w:sz="4"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sidRPr="00637765">
              <w:rPr>
                <w:rFonts w:ascii="Arial Narrow" w:hAnsi="Arial Narrow"/>
              </w:rPr>
              <w:t>1.498.549</w:t>
            </w:r>
          </w:p>
        </w:tc>
        <w:tc>
          <w:tcPr>
            <w:tcW w:w="1713" w:type="dxa"/>
            <w:tcBorders>
              <w:top w:val="single" w:sz="4"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sidRPr="00637765">
              <w:rPr>
                <w:rFonts w:ascii="Arial Narrow" w:hAnsi="Arial Narrow"/>
              </w:rPr>
              <w:t>1.467.772</w:t>
            </w:r>
          </w:p>
        </w:tc>
        <w:tc>
          <w:tcPr>
            <w:tcW w:w="908" w:type="dxa"/>
            <w:gridSpan w:val="2"/>
            <w:tcBorders>
              <w:top w:val="single" w:sz="4"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98</w:t>
            </w:r>
          </w:p>
        </w:tc>
        <w:tc>
          <w:tcPr>
            <w:tcW w:w="1290" w:type="dxa"/>
            <w:tcBorders>
              <w:top w:val="single" w:sz="4"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sidRPr="00637765">
              <w:rPr>
                <w:rFonts w:ascii="Arial Narrow" w:hAnsi="Arial Narrow"/>
              </w:rPr>
              <w:t>1.460.388</w:t>
            </w:r>
          </w:p>
        </w:tc>
      </w:tr>
      <w:tr w:rsidR="00497839" w:rsidRPr="00771EC7" w:rsidTr="00BB1149">
        <w:trPr>
          <w:trHeight w:hRule="exact" w:val="300"/>
          <w:jc w:val="center"/>
        </w:trPr>
        <w:tc>
          <w:tcPr>
            <w:tcW w:w="2468" w:type="dxa"/>
            <w:tcBorders>
              <w:top w:val="single" w:sz="2" w:space="0" w:color="auto"/>
              <w:bottom w:val="single" w:sz="2" w:space="0" w:color="auto"/>
            </w:tcBorders>
            <w:vAlign w:val="center"/>
          </w:tcPr>
          <w:p w:rsidR="00497839" w:rsidRPr="00771EC7" w:rsidRDefault="00497839" w:rsidP="00BB1149">
            <w:pPr>
              <w:pStyle w:val="cuatexto"/>
              <w:ind w:right="29"/>
              <w:rPr>
                <w:sz w:val="18"/>
                <w:szCs w:val="18"/>
                <w:lang w:val="es-ES"/>
              </w:rPr>
            </w:pPr>
            <w:r w:rsidRPr="00771EC7">
              <w:rPr>
                <w:sz w:val="18"/>
                <w:szCs w:val="18"/>
                <w:lang w:val="es-ES"/>
              </w:rPr>
              <w:t>Impuestos indirectos</w:t>
            </w:r>
          </w:p>
        </w:tc>
        <w:tc>
          <w:tcPr>
            <w:tcW w:w="1256"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sidRPr="00637765">
              <w:rPr>
                <w:rFonts w:ascii="Arial Narrow" w:hAnsi="Arial Narrow"/>
              </w:rPr>
              <w:t>1.631.715</w:t>
            </w:r>
          </w:p>
        </w:tc>
        <w:tc>
          <w:tcPr>
            <w:tcW w:w="1537"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sidRPr="00637765">
              <w:rPr>
                <w:rFonts w:ascii="Arial Narrow" w:hAnsi="Arial Narrow"/>
              </w:rPr>
              <w:t>1.636.357</w:t>
            </w:r>
          </w:p>
        </w:tc>
        <w:tc>
          <w:tcPr>
            <w:tcW w:w="1713"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sidRPr="00637765">
              <w:rPr>
                <w:rFonts w:ascii="Arial Narrow" w:hAnsi="Arial Narrow"/>
              </w:rPr>
              <w:t>1.641.986</w:t>
            </w:r>
          </w:p>
        </w:tc>
        <w:tc>
          <w:tcPr>
            <w:tcW w:w="908" w:type="dxa"/>
            <w:gridSpan w:val="2"/>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100</w:t>
            </w:r>
          </w:p>
        </w:tc>
        <w:tc>
          <w:tcPr>
            <w:tcW w:w="1290"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sidRPr="00637765">
              <w:rPr>
                <w:rFonts w:ascii="Arial Narrow" w:hAnsi="Arial Narrow"/>
              </w:rPr>
              <w:t>1.629.689</w:t>
            </w:r>
          </w:p>
        </w:tc>
      </w:tr>
      <w:tr w:rsidR="00497839" w:rsidRPr="00771EC7" w:rsidTr="00BB1149">
        <w:trPr>
          <w:trHeight w:hRule="exact" w:val="300"/>
          <w:jc w:val="center"/>
        </w:trPr>
        <w:tc>
          <w:tcPr>
            <w:tcW w:w="2468" w:type="dxa"/>
            <w:tcBorders>
              <w:top w:val="single" w:sz="2" w:space="0" w:color="auto"/>
              <w:bottom w:val="single" w:sz="2" w:space="0" w:color="auto"/>
            </w:tcBorders>
            <w:vAlign w:val="center"/>
          </w:tcPr>
          <w:p w:rsidR="00497839" w:rsidRPr="00771EC7" w:rsidRDefault="00497839" w:rsidP="00BB1149">
            <w:pPr>
              <w:pStyle w:val="cuatexto"/>
              <w:ind w:right="29"/>
              <w:rPr>
                <w:sz w:val="18"/>
                <w:szCs w:val="18"/>
                <w:lang w:val="es-ES"/>
              </w:rPr>
            </w:pPr>
            <w:r w:rsidRPr="00771EC7">
              <w:rPr>
                <w:sz w:val="18"/>
                <w:szCs w:val="18"/>
                <w:lang w:val="es-ES"/>
              </w:rPr>
              <w:t>Tasas, precios públicos y otros</w:t>
            </w:r>
          </w:p>
        </w:tc>
        <w:tc>
          <w:tcPr>
            <w:tcW w:w="1256"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sidRPr="00637765">
              <w:rPr>
                <w:rFonts w:ascii="Arial Narrow" w:hAnsi="Arial Narrow"/>
              </w:rPr>
              <w:t>109.719</w:t>
            </w:r>
          </w:p>
        </w:tc>
        <w:tc>
          <w:tcPr>
            <w:tcW w:w="1537"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sidRPr="00637765">
              <w:rPr>
                <w:rFonts w:ascii="Arial Narrow" w:hAnsi="Arial Narrow"/>
              </w:rPr>
              <w:t>116.807</w:t>
            </w:r>
          </w:p>
        </w:tc>
        <w:tc>
          <w:tcPr>
            <w:tcW w:w="1713"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sidRPr="00637765">
              <w:rPr>
                <w:rFonts w:ascii="Arial Narrow" w:hAnsi="Arial Narrow"/>
              </w:rPr>
              <w:t>125.151</w:t>
            </w:r>
          </w:p>
        </w:tc>
        <w:tc>
          <w:tcPr>
            <w:tcW w:w="908" w:type="dxa"/>
            <w:gridSpan w:val="2"/>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107</w:t>
            </w:r>
          </w:p>
        </w:tc>
        <w:tc>
          <w:tcPr>
            <w:tcW w:w="1290"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sidRPr="00637765">
              <w:rPr>
                <w:rFonts w:ascii="Arial Narrow" w:hAnsi="Arial Narrow"/>
              </w:rPr>
              <w:t>86.923</w:t>
            </w:r>
          </w:p>
        </w:tc>
      </w:tr>
      <w:tr w:rsidR="00497839" w:rsidRPr="00771EC7" w:rsidTr="00BB1149">
        <w:trPr>
          <w:trHeight w:hRule="exact" w:val="300"/>
          <w:jc w:val="center"/>
        </w:trPr>
        <w:tc>
          <w:tcPr>
            <w:tcW w:w="2468" w:type="dxa"/>
            <w:tcBorders>
              <w:top w:val="single" w:sz="2" w:space="0" w:color="auto"/>
              <w:bottom w:val="single" w:sz="2" w:space="0" w:color="auto"/>
            </w:tcBorders>
            <w:vAlign w:val="center"/>
          </w:tcPr>
          <w:p w:rsidR="00497839" w:rsidRPr="00771EC7" w:rsidRDefault="00497839" w:rsidP="00BB1149">
            <w:pPr>
              <w:pStyle w:val="cuatexto"/>
              <w:ind w:right="29"/>
              <w:rPr>
                <w:sz w:val="18"/>
                <w:szCs w:val="18"/>
                <w:lang w:val="es-ES"/>
              </w:rPr>
            </w:pPr>
            <w:r w:rsidRPr="00771EC7">
              <w:rPr>
                <w:sz w:val="18"/>
                <w:szCs w:val="18"/>
                <w:lang w:val="es-ES"/>
              </w:rPr>
              <w:t>Transferencias corrientes</w:t>
            </w:r>
          </w:p>
        </w:tc>
        <w:tc>
          <w:tcPr>
            <w:tcW w:w="1256"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sidRPr="00637765">
              <w:rPr>
                <w:rFonts w:ascii="Arial Narrow" w:hAnsi="Arial Narrow"/>
              </w:rPr>
              <w:t>43.302</w:t>
            </w:r>
          </w:p>
        </w:tc>
        <w:tc>
          <w:tcPr>
            <w:tcW w:w="1537"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sidRPr="00637765">
              <w:rPr>
                <w:rFonts w:ascii="Arial Narrow" w:hAnsi="Arial Narrow"/>
              </w:rPr>
              <w:t>47.624</w:t>
            </w:r>
          </w:p>
        </w:tc>
        <w:tc>
          <w:tcPr>
            <w:tcW w:w="1713"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sidRPr="00637765">
              <w:rPr>
                <w:rFonts w:ascii="Arial Narrow" w:hAnsi="Arial Narrow"/>
              </w:rPr>
              <w:t>36.931</w:t>
            </w:r>
          </w:p>
        </w:tc>
        <w:tc>
          <w:tcPr>
            <w:tcW w:w="908" w:type="dxa"/>
            <w:gridSpan w:val="2"/>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78</w:t>
            </w:r>
          </w:p>
        </w:tc>
        <w:tc>
          <w:tcPr>
            <w:tcW w:w="1290"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sidRPr="00637765">
              <w:rPr>
                <w:rFonts w:ascii="Arial Narrow" w:hAnsi="Arial Narrow"/>
              </w:rPr>
              <w:t>36.954</w:t>
            </w:r>
          </w:p>
        </w:tc>
      </w:tr>
      <w:tr w:rsidR="00497839" w:rsidRPr="00771EC7" w:rsidTr="00BB1149">
        <w:trPr>
          <w:trHeight w:hRule="exact" w:val="300"/>
          <w:jc w:val="center"/>
        </w:trPr>
        <w:tc>
          <w:tcPr>
            <w:tcW w:w="2468" w:type="dxa"/>
            <w:tcBorders>
              <w:top w:val="single" w:sz="2" w:space="0" w:color="auto"/>
              <w:bottom w:val="single" w:sz="2" w:space="0" w:color="auto"/>
            </w:tcBorders>
            <w:vAlign w:val="center"/>
          </w:tcPr>
          <w:p w:rsidR="00497839" w:rsidRPr="00771EC7" w:rsidRDefault="00497839" w:rsidP="00BB1149">
            <w:pPr>
              <w:pStyle w:val="cuatexto"/>
              <w:ind w:right="29"/>
              <w:rPr>
                <w:sz w:val="18"/>
                <w:szCs w:val="18"/>
                <w:lang w:val="es-ES"/>
              </w:rPr>
            </w:pPr>
            <w:r w:rsidRPr="00771EC7">
              <w:rPr>
                <w:sz w:val="18"/>
                <w:szCs w:val="18"/>
                <w:lang w:val="es-ES"/>
              </w:rPr>
              <w:t>Ingresos patrimoniales</w:t>
            </w:r>
          </w:p>
        </w:tc>
        <w:tc>
          <w:tcPr>
            <w:tcW w:w="1256"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sidRPr="00637765">
              <w:rPr>
                <w:rFonts w:ascii="Arial Narrow" w:hAnsi="Arial Narrow"/>
              </w:rPr>
              <w:t>7.391</w:t>
            </w:r>
          </w:p>
        </w:tc>
        <w:tc>
          <w:tcPr>
            <w:tcW w:w="1537"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sidRPr="00637765">
              <w:rPr>
                <w:rFonts w:ascii="Arial Narrow" w:hAnsi="Arial Narrow"/>
              </w:rPr>
              <w:t>7.652</w:t>
            </w:r>
          </w:p>
        </w:tc>
        <w:tc>
          <w:tcPr>
            <w:tcW w:w="1713"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sidRPr="00637765">
              <w:rPr>
                <w:rFonts w:ascii="Arial Narrow" w:hAnsi="Arial Narrow"/>
              </w:rPr>
              <w:t>11.607</w:t>
            </w:r>
          </w:p>
        </w:tc>
        <w:tc>
          <w:tcPr>
            <w:tcW w:w="908" w:type="dxa"/>
            <w:gridSpan w:val="2"/>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152</w:t>
            </w:r>
          </w:p>
        </w:tc>
        <w:tc>
          <w:tcPr>
            <w:tcW w:w="1290"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sidRPr="00637765">
              <w:rPr>
                <w:rFonts w:ascii="Arial Narrow" w:hAnsi="Arial Narrow"/>
              </w:rPr>
              <w:t>4.710</w:t>
            </w:r>
          </w:p>
        </w:tc>
      </w:tr>
      <w:tr w:rsidR="00497839" w:rsidRPr="00771EC7" w:rsidTr="00BB1149">
        <w:trPr>
          <w:trHeight w:hRule="exact" w:val="300"/>
          <w:jc w:val="center"/>
        </w:trPr>
        <w:tc>
          <w:tcPr>
            <w:tcW w:w="2468" w:type="dxa"/>
            <w:tcBorders>
              <w:top w:val="single" w:sz="2" w:space="0" w:color="auto"/>
              <w:bottom w:val="single" w:sz="2" w:space="0" w:color="auto"/>
            </w:tcBorders>
            <w:vAlign w:val="center"/>
          </w:tcPr>
          <w:p w:rsidR="00497839" w:rsidRPr="00771EC7" w:rsidRDefault="00497839" w:rsidP="00BB1149">
            <w:pPr>
              <w:pStyle w:val="cuatexto"/>
              <w:ind w:right="29"/>
              <w:rPr>
                <w:sz w:val="18"/>
                <w:szCs w:val="18"/>
                <w:lang w:val="es-ES"/>
              </w:rPr>
            </w:pPr>
            <w:r w:rsidRPr="00771EC7">
              <w:rPr>
                <w:sz w:val="18"/>
                <w:szCs w:val="18"/>
                <w:lang w:val="es-ES"/>
              </w:rPr>
              <w:t>Enajenación inversiones reales</w:t>
            </w:r>
          </w:p>
        </w:tc>
        <w:tc>
          <w:tcPr>
            <w:tcW w:w="1256"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sidRPr="00637765">
              <w:rPr>
                <w:rFonts w:ascii="Arial Narrow" w:hAnsi="Arial Narrow"/>
              </w:rPr>
              <w:t>1.810</w:t>
            </w:r>
          </w:p>
        </w:tc>
        <w:tc>
          <w:tcPr>
            <w:tcW w:w="1537"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sidRPr="00637765">
              <w:rPr>
                <w:rFonts w:ascii="Arial Narrow" w:hAnsi="Arial Narrow"/>
              </w:rPr>
              <w:t>1.849</w:t>
            </w:r>
          </w:p>
        </w:tc>
        <w:tc>
          <w:tcPr>
            <w:tcW w:w="1713"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sidRPr="00637765">
              <w:rPr>
                <w:rFonts w:ascii="Arial Narrow" w:hAnsi="Arial Narrow"/>
              </w:rPr>
              <w:t>1.391</w:t>
            </w:r>
          </w:p>
        </w:tc>
        <w:tc>
          <w:tcPr>
            <w:tcW w:w="908" w:type="dxa"/>
            <w:gridSpan w:val="2"/>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75</w:t>
            </w:r>
          </w:p>
        </w:tc>
        <w:tc>
          <w:tcPr>
            <w:tcW w:w="1290"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sidRPr="00637765">
              <w:rPr>
                <w:rFonts w:ascii="Arial Narrow" w:hAnsi="Arial Narrow"/>
              </w:rPr>
              <w:t>361</w:t>
            </w:r>
          </w:p>
        </w:tc>
      </w:tr>
      <w:tr w:rsidR="00497839" w:rsidRPr="00771EC7" w:rsidTr="00BB1149">
        <w:trPr>
          <w:trHeight w:hRule="exact" w:val="300"/>
          <w:jc w:val="center"/>
        </w:trPr>
        <w:tc>
          <w:tcPr>
            <w:tcW w:w="2468" w:type="dxa"/>
            <w:tcBorders>
              <w:top w:val="single" w:sz="2" w:space="0" w:color="auto"/>
              <w:bottom w:val="single" w:sz="2" w:space="0" w:color="auto"/>
            </w:tcBorders>
            <w:vAlign w:val="center"/>
          </w:tcPr>
          <w:p w:rsidR="00497839" w:rsidRPr="00771EC7" w:rsidRDefault="00497839" w:rsidP="00BB1149">
            <w:pPr>
              <w:pStyle w:val="cuatexto"/>
              <w:ind w:right="29"/>
              <w:rPr>
                <w:sz w:val="18"/>
                <w:szCs w:val="18"/>
                <w:lang w:val="es-ES"/>
              </w:rPr>
            </w:pPr>
            <w:r w:rsidRPr="00771EC7">
              <w:rPr>
                <w:sz w:val="18"/>
                <w:szCs w:val="18"/>
                <w:lang w:val="es-ES"/>
              </w:rPr>
              <w:t>Transferencias de capital</w:t>
            </w:r>
          </w:p>
        </w:tc>
        <w:tc>
          <w:tcPr>
            <w:tcW w:w="1256"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sidRPr="00637765">
              <w:rPr>
                <w:rFonts w:ascii="Arial Narrow" w:hAnsi="Arial Narrow"/>
              </w:rPr>
              <w:t>45.456</w:t>
            </w:r>
          </w:p>
        </w:tc>
        <w:tc>
          <w:tcPr>
            <w:tcW w:w="1537"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sidRPr="00637765">
              <w:rPr>
                <w:rFonts w:ascii="Arial Narrow" w:hAnsi="Arial Narrow"/>
              </w:rPr>
              <w:t>46.298</w:t>
            </w:r>
          </w:p>
        </w:tc>
        <w:tc>
          <w:tcPr>
            <w:tcW w:w="1713"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sidRPr="00637765">
              <w:rPr>
                <w:rFonts w:ascii="Arial Narrow" w:hAnsi="Arial Narrow"/>
              </w:rPr>
              <w:t>41.684</w:t>
            </w:r>
          </w:p>
        </w:tc>
        <w:tc>
          <w:tcPr>
            <w:tcW w:w="908" w:type="dxa"/>
            <w:gridSpan w:val="2"/>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90</w:t>
            </w:r>
          </w:p>
        </w:tc>
        <w:tc>
          <w:tcPr>
            <w:tcW w:w="1290"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sidRPr="00637765">
              <w:rPr>
                <w:rFonts w:ascii="Arial Narrow" w:hAnsi="Arial Narrow"/>
              </w:rPr>
              <w:t>11.684</w:t>
            </w:r>
          </w:p>
        </w:tc>
      </w:tr>
      <w:tr w:rsidR="00497839" w:rsidRPr="00771EC7" w:rsidTr="00BB1149">
        <w:trPr>
          <w:trHeight w:hRule="exact" w:val="300"/>
          <w:jc w:val="center"/>
        </w:trPr>
        <w:tc>
          <w:tcPr>
            <w:tcW w:w="2468" w:type="dxa"/>
            <w:tcBorders>
              <w:top w:val="single" w:sz="2" w:space="0" w:color="auto"/>
              <w:bottom w:val="single" w:sz="2" w:space="0" w:color="auto"/>
            </w:tcBorders>
            <w:vAlign w:val="center"/>
          </w:tcPr>
          <w:p w:rsidR="00497839" w:rsidRPr="00771EC7" w:rsidRDefault="00497839" w:rsidP="00BB1149">
            <w:pPr>
              <w:pStyle w:val="cuatexto"/>
              <w:ind w:right="29"/>
              <w:rPr>
                <w:sz w:val="18"/>
                <w:szCs w:val="18"/>
                <w:lang w:val="es-ES"/>
              </w:rPr>
            </w:pPr>
            <w:r w:rsidRPr="00771EC7">
              <w:rPr>
                <w:sz w:val="18"/>
                <w:szCs w:val="18"/>
                <w:lang w:val="es-ES"/>
              </w:rPr>
              <w:t>Activos financieros</w:t>
            </w:r>
          </w:p>
        </w:tc>
        <w:tc>
          <w:tcPr>
            <w:tcW w:w="1256"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sidRPr="00637765">
              <w:rPr>
                <w:rFonts w:ascii="Arial Narrow" w:hAnsi="Arial Narrow"/>
              </w:rPr>
              <w:t>62.776</w:t>
            </w:r>
          </w:p>
        </w:tc>
        <w:tc>
          <w:tcPr>
            <w:tcW w:w="1537"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sidRPr="00637765">
              <w:rPr>
                <w:rFonts w:ascii="Arial Narrow" w:hAnsi="Arial Narrow"/>
              </w:rPr>
              <w:t>144.225</w:t>
            </w:r>
          </w:p>
        </w:tc>
        <w:tc>
          <w:tcPr>
            <w:tcW w:w="1713"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sidRPr="00637765">
              <w:rPr>
                <w:rFonts w:ascii="Arial Narrow" w:hAnsi="Arial Narrow"/>
              </w:rPr>
              <w:t>103.107</w:t>
            </w:r>
          </w:p>
        </w:tc>
        <w:tc>
          <w:tcPr>
            <w:tcW w:w="908" w:type="dxa"/>
            <w:gridSpan w:val="2"/>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72</w:t>
            </w:r>
          </w:p>
        </w:tc>
        <w:tc>
          <w:tcPr>
            <w:tcW w:w="1290"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sidRPr="00637765">
              <w:rPr>
                <w:rFonts w:ascii="Arial Narrow" w:hAnsi="Arial Narrow"/>
              </w:rPr>
              <w:t>100.836</w:t>
            </w:r>
          </w:p>
        </w:tc>
      </w:tr>
      <w:tr w:rsidR="00497839" w:rsidRPr="00771EC7" w:rsidTr="00BB1149">
        <w:trPr>
          <w:trHeight w:hRule="exact" w:val="300"/>
          <w:jc w:val="center"/>
        </w:trPr>
        <w:tc>
          <w:tcPr>
            <w:tcW w:w="2468" w:type="dxa"/>
            <w:tcBorders>
              <w:top w:val="single" w:sz="2" w:space="0" w:color="auto"/>
              <w:bottom w:val="single" w:sz="2" w:space="0" w:color="auto"/>
            </w:tcBorders>
            <w:vAlign w:val="center"/>
          </w:tcPr>
          <w:p w:rsidR="00497839" w:rsidRPr="00771EC7" w:rsidRDefault="00497839" w:rsidP="00BB1149">
            <w:pPr>
              <w:pStyle w:val="cuatexto"/>
              <w:ind w:right="29"/>
              <w:rPr>
                <w:rFonts w:ascii="GillSans" w:hAnsi="GillSans"/>
                <w:sz w:val="18"/>
                <w:szCs w:val="18"/>
                <w:lang w:val="es-ES"/>
              </w:rPr>
            </w:pPr>
            <w:r w:rsidRPr="00771EC7">
              <w:rPr>
                <w:sz w:val="18"/>
                <w:szCs w:val="18"/>
                <w:lang w:val="es-ES"/>
              </w:rPr>
              <w:t>Pasivos financieros</w:t>
            </w:r>
          </w:p>
        </w:tc>
        <w:tc>
          <w:tcPr>
            <w:tcW w:w="1256"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sidRPr="00637765">
              <w:rPr>
                <w:rFonts w:ascii="Arial Narrow" w:hAnsi="Arial Narrow"/>
              </w:rPr>
              <w:t>464.775</w:t>
            </w:r>
          </w:p>
        </w:tc>
        <w:tc>
          <w:tcPr>
            <w:tcW w:w="1537"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sidRPr="00637765">
              <w:rPr>
                <w:rFonts w:ascii="Arial Narrow" w:hAnsi="Arial Narrow"/>
              </w:rPr>
              <w:t>465.678</w:t>
            </w:r>
          </w:p>
        </w:tc>
        <w:tc>
          <w:tcPr>
            <w:tcW w:w="1713"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sidRPr="00637765">
              <w:rPr>
                <w:rFonts w:ascii="Arial Narrow" w:hAnsi="Arial Narrow"/>
              </w:rPr>
              <w:t>446.936</w:t>
            </w:r>
          </w:p>
        </w:tc>
        <w:tc>
          <w:tcPr>
            <w:tcW w:w="908" w:type="dxa"/>
            <w:gridSpan w:val="2"/>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96</w:t>
            </w:r>
          </w:p>
        </w:tc>
        <w:tc>
          <w:tcPr>
            <w:tcW w:w="1290"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sidRPr="00637765">
              <w:rPr>
                <w:rFonts w:ascii="Arial Narrow" w:hAnsi="Arial Narrow"/>
              </w:rPr>
              <w:t>446.936</w:t>
            </w:r>
          </w:p>
        </w:tc>
      </w:tr>
      <w:tr w:rsidR="00497839" w:rsidRPr="00771EC7" w:rsidTr="000E7C62">
        <w:trPr>
          <w:trHeight w:hRule="exact" w:val="300"/>
          <w:jc w:val="center"/>
        </w:trPr>
        <w:tc>
          <w:tcPr>
            <w:tcW w:w="2468" w:type="dxa"/>
            <w:tcBorders>
              <w:top w:val="single" w:sz="2" w:space="0" w:color="auto"/>
              <w:bottom w:val="single" w:sz="4" w:space="0" w:color="auto"/>
            </w:tcBorders>
            <w:shd w:val="clear" w:color="auto" w:fill="A8CBEE" w:themeFill="accent2" w:themeFillTint="66"/>
            <w:vAlign w:val="center"/>
          </w:tcPr>
          <w:p w:rsidR="00497839" w:rsidRPr="00771EC7" w:rsidRDefault="00497839" w:rsidP="00BB1149">
            <w:pPr>
              <w:pStyle w:val="cuadroCabe"/>
              <w:rPr>
                <w:lang w:val="es-ES"/>
              </w:rPr>
            </w:pPr>
            <w:r w:rsidRPr="00771EC7">
              <w:rPr>
                <w:lang w:val="es-ES"/>
              </w:rPr>
              <w:t>Total</w:t>
            </w:r>
          </w:p>
        </w:tc>
        <w:tc>
          <w:tcPr>
            <w:tcW w:w="1256" w:type="dxa"/>
            <w:tcBorders>
              <w:top w:val="single" w:sz="2" w:space="0" w:color="auto"/>
              <w:bottom w:val="single" w:sz="4" w:space="0" w:color="auto"/>
            </w:tcBorders>
            <w:shd w:val="clear" w:color="auto" w:fill="A8CBEE" w:themeFill="accent2" w:themeFillTint="66"/>
            <w:vAlign w:val="center"/>
          </w:tcPr>
          <w:p w:rsidR="00497839" w:rsidRPr="00637765" w:rsidRDefault="00497839" w:rsidP="00BB1149">
            <w:pPr>
              <w:spacing w:after="0"/>
              <w:ind w:firstLine="0"/>
              <w:jc w:val="right"/>
              <w:rPr>
                <w:rFonts w:ascii="Arial" w:hAnsi="Arial" w:cs="Arial"/>
                <w:sz w:val="18"/>
                <w:szCs w:val="18"/>
              </w:rPr>
            </w:pPr>
            <w:r w:rsidRPr="00637765">
              <w:rPr>
                <w:rFonts w:ascii="Arial" w:hAnsi="Arial" w:cs="Arial"/>
                <w:sz w:val="18"/>
                <w:szCs w:val="18"/>
              </w:rPr>
              <w:t>3.837.717</w:t>
            </w:r>
          </w:p>
        </w:tc>
        <w:tc>
          <w:tcPr>
            <w:tcW w:w="1537" w:type="dxa"/>
            <w:tcBorders>
              <w:top w:val="single" w:sz="2" w:space="0" w:color="auto"/>
              <w:bottom w:val="single" w:sz="4" w:space="0" w:color="auto"/>
            </w:tcBorders>
            <w:shd w:val="clear" w:color="auto" w:fill="A8CBEE" w:themeFill="accent2" w:themeFillTint="66"/>
            <w:vAlign w:val="center"/>
          </w:tcPr>
          <w:p w:rsidR="00497839" w:rsidRPr="00637765" w:rsidRDefault="00497839" w:rsidP="00BB1149">
            <w:pPr>
              <w:spacing w:after="0"/>
              <w:ind w:firstLine="0"/>
              <w:jc w:val="right"/>
              <w:rPr>
                <w:rFonts w:ascii="Arial" w:hAnsi="Arial" w:cs="Arial"/>
                <w:sz w:val="18"/>
                <w:szCs w:val="18"/>
              </w:rPr>
            </w:pPr>
            <w:r w:rsidRPr="00637765">
              <w:rPr>
                <w:rFonts w:ascii="Arial" w:hAnsi="Arial" w:cs="Arial"/>
                <w:sz w:val="18"/>
                <w:szCs w:val="18"/>
              </w:rPr>
              <w:t>3.965.036</w:t>
            </w:r>
          </w:p>
        </w:tc>
        <w:tc>
          <w:tcPr>
            <w:tcW w:w="1713" w:type="dxa"/>
            <w:tcBorders>
              <w:top w:val="single" w:sz="2" w:space="0" w:color="auto"/>
              <w:bottom w:val="single" w:sz="4" w:space="0" w:color="auto"/>
            </w:tcBorders>
            <w:shd w:val="clear" w:color="auto" w:fill="A8CBEE" w:themeFill="accent2" w:themeFillTint="66"/>
            <w:vAlign w:val="center"/>
          </w:tcPr>
          <w:p w:rsidR="00497839" w:rsidRPr="00637765" w:rsidRDefault="00497839" w:rsidP="00BB1149">
            <w:pPr>
              <w:spacing w:after="0"/>
              <w:ind w:firstLine="0"/>
              <w:jc w:val="right"/>
              <w:rPr>
                <w:rFonts w:ascii="Arial" w:hAnsi="Arial" w:cs="Arial"/>
                <w:sz w:val="18"/>
                <w:szCs w:val="18"/>
              </w:rPr>
            </w:pPr>
            <w:r w:rsidRPr="00637765">
              <w:rPr>
                <w:rFonts w:ascii="Arial" w:hAnsi="Arial" w:cs="Arial"/>
                <w:sz w:val="18"/>
                <w:szCs w:val="18"/>
              </w:rPr>
              <w:t>3.876.565</w:t>
            </w:r>
          </w:p>
        </w:tc>
        <w:tc>
          <w:tcPr>
            <w:tcW w:w="898" w:type="dxa"/>
            <w:tcBorders>
              <w:top w:val="single" w:sz="2" w:space="0" w:color="auto"/>
              <w:bottom w:val="single" w:sz="4" w:space="0" w:color="auto"/>
            </w:tcBorders>
            <w:shd w:val="clear" w:color="auto" w:fill="A8CBEE" w:themeFill="accent2" w:themeFillTint="66"/>
            <w:vAlign w:val="center"/>
          </w:tcPr>
          <w:p w:rsidR="00497839" w:rsidRPr="00637765" w:rsidRDefault="00497839" w:rsidP="00BB1149">
            <w:pPr>
              <w:spacing w:after="0"/>
              <w:ind w:firstLine="0"/>
              <w:jc w:val="right"/>
              <w:rPr>
                <w:rFonts w:ascii="Arial" w:hAnsi="Arial" w:cs="Arial"/>
                <w:sz w:val="18"/>
                <w:szCs w:val="18"/>
              </w:rPr>
            </w:pPr>
            <w:r>
              <w:rPr>
                <w:rFonts w:ascii="Arial" w:hAnsi="Arial" w:cs="Arial"/>
                <w:sz w:val="18"/>
                <w:szCs w:val="18"/>
              </w:rPr>
              <w:t>98</w:t>
            </w:r>
          </w:p>
        </w:tc>
        <w:tc>
          <w:tcPr>
            <w:tcW w:w="1300" w:type="dxa"/>
            <w:gridSpan w:val="2"/>
            <w:tcBorders>
              <w:top w:val="single" w:sz="2" w:space="0" w:color="auto"/>
              <w:bottom w:val="single" w:sz="4" w:space="0" w:color="auto"/>
            </w:tcBorders>
            <w:shd w:val="clear" w:color="auto" w:fill="A8CBEE" w:themeFill="accent2" w:themeFillTint="66"/>
            <w:vAlign w:val="center"/>
          </w:tcPr>
          <w:p w:rsidR="00497839" w:rsidRPr="00637765" w:rsidRDefault="00497839" w:rsidP="00BB1149">
            <w:pPr>
              <w:spacing w:after="0"/>
              <w:ind w:firstLine="0"/>
              <w:jc w:val="right"/>
              <w:rPr>
                <w:rFonts w:ascii="Arial" w:hAnsi="Arial" w:cs="Arial"/>
                <w:iCs/>
                <w:sz w:val="18"/>
                <w:szCs w:val="18"/>
              </w:rPr>
            </w:pPr>
            <w:r w:rsidRPr="00637765">
              <w:rPr>
                <w:rFonts w:ascii="Arial" w:hAnsi="Arial" w:cs="Arial"/>
                <w:iCs/>
                <w:sz w:val="18"/>
                <w:szCs w:val="18"/>
              </w:rPr>
              <w:t>3.778.480</w:t>
            </w:r>
          </w:p>
        </w:tc>
      </w:tr>
    </w:tbl>
    <w:p w:rsidR="00497839" w:rsidRPr="00771EC7" w:rsidRDefault="00497839" w:rsidP="00497839">
      <w:pPr>
        <w:ind w:left="567" w:firstLine="0"/>
        <w:rPr>
          <w:highlight w:val="yellow"/>
        </w:rPr>
      </w:pPr>
    </w:p>
    <w:p w:rsidR="00497839" w:rsidRDefault="00497839" w:rsidP="00497839">
      <w:pPr>
        <w:pStyle w:val="texto"/>
      </w:pPr>
    </w:p>
    <w:p w:rsidR="00497839" w:rsidRDefault="00497839" w:rsidP="00497839">
      <w:pPr>
        <w:pStyle w:val="texto"/>
      </w:pPr>
    </w:p>
    <w:p w:rsidR="00497839" w:rsidRPr="00D27E23" w:rsidRDefault="00497839" w:rsidP="00497839">
      <w:pPr>
        <w:pStyle w:val="atitulo2"/>
      </w:pPr>
      <w:r>
        <w:br w:type="page"/>
      </w:r>
      <w:bookmarkStart w:id="22" w:name="_Toc340229944"/>
      <w:bookmarkStart w:id="23" w:name="_Toc394485122"/>
      <w:bookmarkStart w:id="24" w:name="_Toc399859617"/>
      <w:bookmarkStart w:id="25" w:name="_Toc463350242"/>
      <w:r>
        <w:lastRenderedPageBreak/>
        <w:t>III.2.</w:t>
      </w:r>
      <w:r w:rsidRPr="00D27E23">
        <w:t xml:space="preserve"> Res</w:t>
      </w:r>
      <w:r w:rsidR="00887A28">
        <w:t xml:space="preserve">ultado presupuestario </w:t>
      </w:r>
      <w:r w:rsidRPr="00D27E23">
        <w:t>201</w:t>
      </w:r>
      <w:r>
        <w:t>5</w:t>
      </w:r>
      <w:bookmarkEnd w:id="22"/>
      <w:bookmarkEnd w:id="23"/>
      <w:bookmarkEnd w:id="24"/>
      <w:bookmarkEnd w:id="25"/>
    </w:p>
    <w:p w:rsidR="00497839" w:rsidRPr="003A0A1B" w:rsidRDefault="00497839" w:rsidP="00497839">
      <w:pPr>
        <w:pStyle w:val="texto"/>
        <w:jc w:val="right"/>
        <w:rPr>
          <w:rFonts w:ascii="GillSans Light" w:hAnsi="GillSans Light"/>
          <w:sz w:val="18"/>
          <w:szCs w:val="18"/>
        </w:rPr>
      </w:pPr>
      <w:r>
        <w:rPr>
          <w:rFonts w:ascii="GillSans Light" w:hAnsi="GillSans Light"/>
          <w:sz w:val="18"/>
          <w:szCs w:val="18"/>
        </w:rPr>
        <w:t>(</w:t>
      </w:r>
      <w:r w:rsidR="007E1C86">
        <w:rPr>
          <w:rFonts w:ascii="GillSans Light" w:hAnsi="GillSans Light"/>
          <w:sz w:val="18"/>
          <w:szCs w:val="18"/>
        </w:rPr>
        <w:t>M</w:t>
      </w:r>
      <w:r>
        <w:rPr>
          <w:rFonts w:ascii="GillSans Light" w:hAnsi="GillSans Light"/>
          <w:sz w:val="18"/>
          <w:szCs w:val="18"/>
        </w:rPr>
        <w:t>iles de euros)</w:t>
      </w:r>
    </w:p>
    <w:tbl>
      <w:tblPr>
        <w:tblW w:w="8713"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665"/>
        <w:gridCol w:w="2015"/>
        <w:gridCol w:w="1593"/>
        <w:gridCol w:w="1440"/>
      </w:tblGrid>
      <w:tr w:rsidR="00497839" w:rsidRPr="00A67AF8" w:rsidTr="000E7C62">
        <w:trPr>
          <w:trHeight w:hRule="exact" w:val="454"/>
          <w:jc w:val="center"/>
        </w:trPr>
        <w:tc>
          <w:tcPr>
            <w:tcW w:w="3665" w:type="dxa"/>
            <w:tcBorders>
              <w:top w:val="single" w:sz="4" w:space="0" w:color="auto"/>
              <w:bottom w:val="single" w:sz="2" w:space="0" w:color="auto"/>
            </w:tcBorders>
            <w:shd w:val="clear" w:color="auto" w:fill="A8CBEE" w:themeFill="accent2" w:themeFillTint="66"/>
            <w:vAlign w:val="center"/>
          </w:tcPr>
          <w:p w:rsidR="00497839" w:rsidRPr="00A67AF8" w:rsidRDefault="00497839" w:rsidP="00BB1149">
            <w:pPr>
              <w:pStyle w:val="cuadroCabe"/>
              <w:rPr>
                <w:snapToGrid w:val="0"/>
              </w:rPr>
            </w:pPr>
            <w:r w:rsidRPr="00A67AF8">
              <w:rPr>
                <w:snapToGrid w:val="0"/>
              </w:rPr>
              <w:t>Conceptos</w:t>
            </w:r>
          </w:p>
        </w:tc>
        <w:tc>
          <w:tcPr>
            <w:tcW w:w="2015" w:type="dxa"/>
            <w:tcBorders>
              <w:top w:val="single" w:sz="4" w:space="0" w:color="auto"/>
              <w:bottom w:val="single" w:sz="2" w:space="0" w:color="auto"/>
            </w:tcBorders>
            <w:shd w:val="clear" w:color="auto" w:fill="A8CBEE" w:themeFill="accent2" w:themeFillTint="66"/>
            <w:vAlign w:val="center"/>
          </w:tcPr>
          <w:p w:rsidR="00497839" w:rsidRDefault="00497839" w:rsidP="00BB1149">
            <w:pPr>
              <w:pStyle w:val="cuadroCabe"/>
              <w:jc w:val="right"/>
              <w:rPr>
                <w:snapToGrid w:val="0"/>
                <w:color w:val="000000"/>
                <w:lang w:val="es-ES"/>
              </w:rPr>
            </w:pPr>
            <w:r w:rsidRPr="00A67AF8">
              <w:rPr>
                <w:snapToGrid w:val="0"/>
                <w:color w:val="000000"/>
                <w:lang w:val="es-ES"/>
              </w:rPr>
              <w:t>Derechos</w:t>
            </w:r>
            <w:r>
              <w:rPr>
                <w:snapToGrid w:val="0"/>
                <w:color w:val="000000"/>
                <w:lang w:val="es-ES"/>
              </w:rPr>
              <w:t xml:space="preserve"> </w:t>
            </w:r>
          </w:p>
          <w:p w:rsidR="00497839" w:rsidRPr="00A67AF8" w:rsidRDefault="00497839" w:rsidP="00BB1149">
            <w:pPr>
              <w:pStyle w:val="cuadroCabe"/>
              <w:jc w:val="right"/>
              <w:rPr>
                <w:snapToGrid w:val="0"/>
                <w:color w:val="000000"/>
                <w:lang w:val="es-ES"/>
              </w:rPr>
            </w:pPr>
            <w:r w:rsidRPr="00A67AF8">
              <w:rPr>
                <w:snapToGrid w:val="0"/>
                <w:color w:val="000000"/>
                <w:lang w:val="es-ES"/>
              </w:rPr>
              <w:t>Reconocidos</w:t>
            </w:r>
          </w:p>
        </w:tc>
        <w:tc>
          <w:tcPr>
            <w:tcW w:w="1593" w:type="dxa"/>
            <w:tcBorders>
              <w:top w:val="single" w:sz="4" w:space="0" w:color="auto"/>
              <w:bottom w:val="single" w:sz="2" w:space="0" w:color="auto"/>
            </w:tcBorders>
            <w:shd w:val="clear" w:color="auto" w:fill="A8CBEE" w:themeFill="accent2" w:themeFillTint="66"/>
            <w:vAlign w:val="center"/>
          </w:tcPr>
          <w:p w:rsidR="00497839" w:rsidRPr="00A67AF8" w:rsidRDefault="00497839" w:rsidP="00BB1149">
            <w:pPr>
              <w:pStyle w:val="cuadroCabe"/>
              <w:jc w:val="right"/>
              <w:rPr>
                <w:snapToGrid w:val="0"/>
                <w:color w:val="000000"/>
                <w:lang w:val="es-ES"/>
              </w:rPr>
            </w:pPr>
            <w:r w:rsidRPr="00A67AF8">
              <w:rPr>
                <w:snapToGrid w:val="0"/>
                <w:color w:val="000000"/>
                <w:lang w:val="es-ES"/>
              </w:rPr>
              <w:t>Obligaciones</w:t>
            </w:r>
          </w:p>
          <w:p w:rsidR="00497839" w:rsidRPr="00A67AF8" w:rsidRDefault="00497839" w:rsidP="00BB1149">
            <w:pPr>
              <w:pStyle w:val="cuadroCabe"/>
              <w:jc w:val="right"/>
              <w:rPr>
                <w:snapToGrid w:val="0"/>
                <w:color w:val="000000"/>
                <w:lang w:val="es-ES"/>
              </w:rPr>
            </w:pPr>
            <w:r w:rsidRPr="00A67AF8">
              <w:rPr>
                <w:snapToGrid w:val="0"/>
                <w:color w:val="000000"/>
                <w:lang w:val="es-ES"/>
              </w:rPr>
              <w:t>Reconocidas</w:t>
            </w:r>
          </w:p>
        </w:tc>
        <w:tc>
          <w:tcPr>
            <w:tcW w:w="1440" w:type="dxa"/>
            <w:tcBorders>
              <w:top w:val="single" w:sz="4" w:space="0" w:color="auto"/>
              <w:bottom w:val="single" w:sz="2" w:space="0" w:color="auto"/>
            </w:tcBorders>
            <w:shd w:val="clear" w:color="auto" w:fill="A8CBEE" w:themeFill="accent2" w:themeFillTint="66"/>
            <w:vAlign w:val="center"/>
          </w:tcPr>
          <w:p w:rsidR="00497839" w:rsidRPr="00A67AF8" w:rsidRDefault="00497839" w:rsidP="00BB1149">
            <w:pPr>
              <w:pStyle w:val="cuadroCabe"/>
              <w:jc w:val="right"/>
              <w:rPr>
                <w:snapToGrid w:val="0"/>
                <w:color w:val="000000"/>
                <w:lang w:val="es-ES"/>
              </w:rPr>
            </w:pPr>
            <w:r w:rsidRPr="00A67AF8">
              <w:rPr>
                <w:snapToGrid w:val="0"/>
                <w:color w:val="000000"/>
                <w:lang w:val="es-ES"/>
              </w:rPr>
              <w:t>Importe</w:t>
            </w:r>
          </w:p>
        </w:tc>
      </w:tr>
      <w:tr w:rsidR="00497839" w:rsidRPr="007C70EA" w:rsidTr="00BB1149">
        <w:trPr>
          <w:trHeight w:hRule="exact" w:val="284"/>
          <w:jc w:val="center"/>
        </w:trPr>
        <w:tc>
          <w:tcPr>
            <w:tcW w:w="3665" w:type="dxa"/>
            <w:tcBorders>
              <w:top w:val="single" w:sz="2" w:space="0" w:color="auto"/>
            </w:tcBorders>
            <w:vAlign w:val="center"/>
          </w:tcPr>
          <w:p w:rsidR="00497839" w:rsidRPr="007C70EA" w:rsidRDefault="00497839" w:rsidP="00BB1149">
            <w:pPr>
              <w:pStyle w:val="Tabla"/>
              <w:rPr>
                <w:rFonts w:ascii="Arial Narrow" w:hAnsi="Arial Narrow" w:cs="Arial"/>
                <w:snapToGrid w:val="0"/>
                <w:sz w:val="20"/>
              </w:rPr>
            </w:pPr>
            <w:r w:rsidRPr="007C70EA">
              <w:rPr>
                <w:rFonts w:ascii="Arial Narrow" w:hAnsi="Arial Narrow" w:cs="Arial"/>
                <w:snapToGrid w:val="0"/>
                <w:sz w:val="20"/>
              </w:rPr>
              <w:t xml:space="preserve">     1. Operaciones corrientes</w:t>
            </w:r>
          </w:p>
        </w:tc>
        <w:tc>
          <w:tcPr>
            <w:tcW w:w="2015" w:type="dxa"/>
            <w:tcBorders>
              <w:top w:val="single" w:sz="2" w:space="0" w:color="auto"/>
            </w:tcBorders>
            <w:vAlign w:val="center"/>
          </w:tcPr>
          <w:p w:rsidR="00497839" w:rsidRPr="007C70EA" w:rsidRDefault="00497839" w:rsidP="00BB1149">
            <w:pPr>
              <w:pStyle w:val="Tabla"/>
              <w:jc w:val="right"/>
              <w:rPr>
                <w:rFonts w:ascii="Arial Narrow" w:hAnsi="Arial Narrow" w:cs="Arial"/>
                <w:snapToGrid w:val="0"/>
                <w:sz w:val="20"/>
              </w:rPr>
            </w:pPr>
            <w:r>
              <w:rPr>
                <w:rFonts w:ascii="Arial Narrow" w:hAnsi="Arial Narrow" w:cs="Arial"/>
                <w:snapToGrid w:val="0"/>
                <w:sz w:val="20"/>
              </w:rPr>
              <w:t>3.283.447</w:t>
            </w:r>
          </w:p>
        </w:tc>
        <w:tc>
          <w:tcPr>
            <w:tcW w:w="1593" w:type="dxa"/>
            <w:tcBorders>
              <w:top w:val="single" w:sz="2" w:space="0" w:color="auto"/>
            </w:tcBorders>
            <w:vAlign w:val="center"/>
          </w:tcPr>
          <w:p w:rsidR="00497839" w:rsidRPr="007C70EA" w:rsidRDefault="00497839" w:rsidP="00BB1149">
            <w:pPr>
              <w:pStyle w:val="Tabla"/>
              <w:ind w:right="41"/>
              <w:jc w:val="right"/>
              <w:rPr>
                <w:rFonts w:ascii="Arial Narrow" w:hAnsi="Arial Narrow" w:cs="Arial"/>
                <w:snapToGrid w:val="0"/>
                <w:sz w:val="20"/>
              </w:rPr>
            </w:pPr>
            <w:r>
              <w:rPr>
                <w:rFonts w:ascii="Arial Narrow" w:hAnsi="Arial Narrow" w:cs="Arial"/>
                <w:snapToGrid w:val="0"/>
                <w:sz w:val="20"/>
              </w:rPr>
              <w:t>3.280.461</w:t>
            </w:r>
          </w:p>
        </w:tc>
        <w:tc>
          <w:tcPr>
            <w:tcW w:w="1440" w:type="dxa"/>
            <w:tcBorders>
              <w:top w:val="single" w:sz="2" w:space="0" w:color="auto"/>
            </w:tcBorders>
            <w:vAlign w:val="center"/>
          </w:tcPr>
          <w:p w:rsidR="00497839" w:rsidRPr="007C70EA" w:rsidRDefault="00497839" w:rsidP="00BB1149">
            <w:pPr>
              <w:pStyle w:val="Tabla"/>
              <w:jc w:val="right"/>
              <w:rPr>
                <w:rFonts w:ascii="Arial Narrow" w:hAnsi="Arial Narrow" w:cs="Arial"/>
                <w:snapToGrid w:val="0"/>
                <w:sz w:val="20"/>
              </w:rPr>
            </w:pPr>
            <w:r>
              <w:rPr>
                <w:rFonts w:ascii="Arial Narrow" w:hAnsi="Arial Narrow" w:cs="Arial"/>
                <w:snapToGrid w:val="0"/>
                <w:sz w:val="20"/>
              </w:rPr>
              <w:t>2.987</w:t>
            </w:r>
          </w:p>
        </w:tc>
      </w:tr>
      <w:tr w:rsidR="00497839" w:rsidRPr="007C70EA" w:rsidTr="00BB1149">
        <w:trPr>
          <w:trHeight w:hRule="exact" w:val="284"/>
          <w:jc w:val="center"/>
        </w:trPr>
        <w:tc>
          <w:tcPr>
            <w:tcW w:w="3665" w:type="dxa"/>
            <w:tcBorders>
              <w:bottom w:val="nil"/>
            </w:tcBorders>
            <w:vAlign w:val="center"/>
          </w:tcPr>
          <w:p w:rsidR="00497839" w:rsidRPr="007C70EA" w:rsidRDefault="00497839" w:rsidP="00BB1149">
            <w:pPr>
              <w:pStyle w:val="Tabla"/>
              <w:rPr>
                <w:rFonts w:ascii="Arial Narrow" w:hAnsi="Arial Narrow" w:cs="Arial"/>
                <w:snapToGrid w:val="0"/>
                <w:sz w:val="20"/>
              </w:rPr>
            </w:pPr>
            <w:r w:rsidRPr="007C70EA">
              <w:rPr>
                <w:rFonts w:ascii="Arial Narrow" w:hAnsi="Arial Narrow" w:cs="Arial"/>
                <w:snapToGrid w:val="0"/>
                <w:sz w:val="20"/>
              </w:rPr>
              <w:t xml:space="preserve">     2. Operaciones de capital</w:t>
            </w:r>
          </w:p>
        </w:tc>
        <w:tc>
          <w:tcPr>
            <w:tcW w:w="2015" w:type="dxa"/>
            <w:tcBorders>
              <w:bottom w:val="nil"/>
            </w:tcBorders>
            <w:vAlign w:val="center"/>
          </w:tcPr>
          <w:p w:rsidR="00497839" w:rsidRPr="007C70EA" w:rsidRDefault="00497839" w:rsidP="00BB1149">
            <w:pPr>
              <w:pStyle w:val="Tabla"/>
              <w:jc w:val="right"/>
              <w:rPr>
                <w:rFonts w:ascii="Arial Narrow" w:hAnsi="Arial Narrow" w:cs="Arial"/>
                <w:snapToGrid w:val="0"/>
                <w:sz w:val="20"/>
              </w:rPr>
            </w:pPr>
            <w:r>
              <w:rPr>
                <w:rFonts w:ascii="Arial Narrow" w:hAnsi="Arial Narrow" w:cs="Arial"/>
                <w:snapToGrid w:val="0"/>
                <w:sz w:val="20"/>
              </w:rPr>
              <w:t>43.074</w:t>
            </w:r>
          </w:p>
        </w:tc>
        <w:tc>
          <w:tcPr>
            <w:tcW w:w="1593" w:type="dxa"/>
            <w:tcBorders>
              <w:bottom w:val="nil"/>
            </w:tcBorders>
            <w:vAlign w:val="center"/>
          </w:tcPr>
          <w:p w:rsidR="00497839" w:rsidRPr="007C70EA" w:rsidRDefault="00497839" w:rsidP="00BB1149">
            <w:pPr>
              <w:pStyle w:val="Tabla"/>
              <w:ind w:right="41"/>
              <w:jc w:val="right"/>
              <w:rPr>
                <w:rFonts w:ascii="Arial Narrow" w:hAnsi="Arial Narrow" w:cs="Arial"/>
                <w:snapToGrid w:val="0"/>
                <w:sz w:val="20"/>
              </w:rPr>
            </w:pPr>
            <w:r>
              <w:rPr>
                <w:rFonts w:ascii="Arial Narrow" w:hAnsi="Arial Narrow" w:cs="Arial"/>
                <w:snapToGrid w:val="0"/>
                <w:sz w:val="20"/>
              </w:rPr>
              <w:t>209.278</w:t>
            </w:r>
          </w:p>
        </w:tc>
        <w:tc>
          <w:tcPr>
            <w:tcW w:w="1440" w:type="dxa"/>
            <w:tcBorders>
              <w:bottom w:val="nil"/>
            </w:tcBorders>
            <w:vAlign w:val="center"/>
          </w:tcPr>
          <w:p w:rsidR="00497839" w:rsidRPr="007C70EA" w:rsidRDefault="00497839" w:rsidP="00BB1149">
            <w:pPr>
              <w:pStyle w:val="Tabla"/>
              <w:jc w:val="right"/>
              <w:rPr>
                <w:rFonts w:ascii="Arial Narrow" w:hAnsi="Arial Narrow" w:cs="Arial"/>
                <w:snapToGrid w:val="0"/>
                <w:sz w:val="20"/>
              </w:rPr>
            </w:pPr>
            <w:r>
              <w:rPr>
                <w:rFonts w:ascii="Arial Narrow" w:hAnsi="Arial Narrow" w:cs="Arial"/>
                <w:snapToGrid w:val="0"/>
                <w:sz w:val="20"/>
              </w:rPr>
              <w:t>-166.204</w:t>
            </w:r>
          </w:p>
        </w:tc>
      </w:tr>
      <w:tr w:rsidR="00497839" w:rsidRPr="007C70EA" w:rsidTr="00BB1149">
        <w:trPr>
          <w:trHeight w:hRule="exact" w:val="284"/>
          <w:jc w:val="center"/>
        </w:trPr>
        <w:tc>
          <w:tcPr>
            <w:tcW w:w="3665" w:type="dxa"/>
            <w:tcBorders>
              <w:bottom w:val="single" w:sz="2" w:space="0" w:color="auto"/>
            </w:tcBorders>
            <w:vAlign w:val="center"/>
          </w:tcPr>
          <w:p w:rsidR="00497839" w:rsidRPr="007C70EA" w:rsidRDefault="00497839" w:rsidP="00BB1149">
            <w:pPr>
              <w:pStyle w:val="Tabla"/>
              <w:rPr>
                <w:rFonts w:ascii="Arial Narrow" w:hAnsi="Arial Narrow" w:cs="Arial"/>
                <w:snapToGrid w:val="0"/>
                <w:sz w:val="20"/>
              </w:rPr>
            </w:pPr>
            <w:r w:rsidRPr="007C70EA">
              <w:rPr>
                <w:rFonts w:ascii="Arial Narrow" w:hAnsi="Arial Narrow" w:cs="Arial"/>
                <w:snapToGrid w:val="0"/>
                <w:sz w:val="20"/>
              </w:rPr>
              <w:t xml:space="preserve">     3. Operaciones con activos financieros</w:t>
            </w:r>
          </w:p>
        </w:tc>
        <w:tc>
          <w:tcPr>
            <w:tcW w:w="2015" w:type="dxa"/>
            <w:tcBorders>
              <w:bottom w:val="single" w:sz="2" w:space="0" w:color="auto"/>
            </w:tcBorders>
            <w:vAlign w:val="center"/>
          </w:tcPr>
          <w:p w:rsidR="00497839" w:rsidRPr="007C70EA" w:rsidRDefault="00497839" w:rsidP="00BB1149">
            <w:pPr>
              <w:pStyle w:val="Tabla"/>
              <w:jc w:val="right"/>
              <w:rPr>
                <w:rFonts w:ascii="Arial Narrow" w:hAnsi="Arial Narrow" w:cs="Arial"/>
                <w:snapToGrid w:val="0"/>
                <w:sz w:val="20"/>
              </w:rPr>
            </w:pPr>
            <w:r>
              <w:rPr>
                <w:rFonts w:ascii="Arial Narrow" w:hAnsi="Arial Narrow" w:cs="Arial"/>
                <w:snapToGrid w:val="0"/>
                <w:sz w:val="20"/>
              </w:rPr>
              <w:t>103.107</w:t>
            </w:r>
          </w:p>
        </w:tc>
        <w:tc>
          <w:tcPr>
            <w:tcW w:w="1593" w:type="dxa"/>
            <w:tcBorders>
              <w:bottom w:val="single" w:sz="2" w:space="0" w:color="auto"/>
            </w:tcBorders>
            <w:vAlign w:val="center"/>
          </w:tcPr>
          <w:p w:rsidR="00497839" w:rsidRPr="007C70EA" w:rsidRDefault="00497839" w:rsidP="00BB1149">
            <w:pPr>
              <w:pStyle w:val="Tabla"/>
              <w:ind w:right="41"/>
              <w:jc w:val="right"/>
              <w:rPr>
                <w:rFonts w:ascii="Arial Narrow" w:hAnsi="Arial Narrow" w:cs="Arial"/>
                <w:snapToGrid w:val="0"/>
                <w:sz w:val="20"/>
              </w:rPr>
            </w:pPr>
            <w:r>
              <w:rPr>
                <w:rFonts w:ascii="Arial Narrow" w:hAnsi="Arial Narrow" w:cs="Arial"/>
                <w:snapToGrid w:val="0"/>
                <w:sz w:val="20"/>
              </w:rPr>
              <w:t>116.996</w:t>
            </w:r>
          </w:p>
        </w:tc>
        <w:tc>
          <w:tcPr>
            <w:tcW w:w="1440" w:type="dxa"/>
            <w:tcBorders>
              <w:bottom w:val="single" w:sz="2" w:space="0" w:color="auto"/>
            </w:tcBorders>
            <w:vAlign w:val="center"/>
          </w:tcPr>
          <w:p w:rsidR="00497839" w:rsidRPr="007C70EA" w:rsidRDefault="00497839" w:rsidP="00BB1149">
            <w:pPr>
              <w:pStyle w:val="Tabla"/>
              <w:jc w:val="right"/>
              <w:rPr>
                <w:rFonts w:ascii="Arial Narrow" w:hAnsi="Arial Narrow" w:cs="Arial"/>
                <w:snapToGrid w:val="0"/>
                <w:sz w:val="20"/>
              </w:rPr>
            </w:pPr>
            <w:r>
              <w:rPr>
                <w:rFonts w:ascii="Arial Narrow" w:hAnsi="Arial Narrow" w:cs="Arial"/>
                <w:snapToGrid w:val="0"/>
                <w:sz w:val="20"/>
              </w:rPr>
              <w:t>-13.889</w:t>
            </w:r>
          </w:p>
        </w:tc>
      </w:tr>
      <w:tr w:rsidR="00497839" w:rsidRPr="00026796" w:rsidTr="00BB1149">
        <w:trPr>
          <w:trHeight w:hRule="exact" w:val="284"/>
          <w:jc w:val="center"/>
        </w:trPr>
        <w:tc>
          <w:tcPr>
            <w:tcW w:w="3665" w:type="dxa"/>
            <w:tcBorders>
              <w:top w:val="single" w:sz="2" w:space="0" w:color="auto"/>
              <w:bottom w:val="single" w:sz="2" w:space="0" w:color="auto"/>
            </w:tcBorders>
            <w:vAlign w:val="center"/>
          </w:tcPr>
          <w:p w:rsidR="00497839" w:rsidRPr="00026796" w:rsidRDefault="00497839" w:rsidP="00BB1149">
            <w:pPr>
              <w:pStyle w:val="Tabla"/>
              <w:rPr>
                <w:rFonts w:ascii="Arial Narrow" w:hAnsi="Arial Narrow" w:cs="Arial"/>
                <w:snapToGrid w:val="0"/>
                <w:sz w:val="20"/>
              </w:rPr>
            </w:pPr>
            <w:r w:rsidRPr="00026796">
              <w:rPr>
                <w:rFonts w:ascii="Arial Narrow" w:hAnsi="Arial Narrow" w:cs="Arial"/>
                <w:snapToGrid w:val="0"/>
                <w:sz w:val="20"/>
              </w:rPr>
              <w:t>I. Resultado Presupuestario del ejercicio</w:t>
            </w:r>
          </w:p>
        </w:tc>
        <w:tc>
          <w:tcPr>
            <w:tcW w:w="2015" w:type="dxa"/>
            <w:tcBorders>
              <w:top w:val="single" w:sz="2" w:space="0" w:color="auto"/>
              <w:bottom w:val="single" w:sz="2" w:space="0" w:color="auto"/>
            </w:tcBorders>
            <w:vAlign w:val="center"/>
          </w:tcPr>
          <w:p w:rsidR="00497839" w:rsidRPr="00026796" w:rsidRDefault="00497839" w:rsidP="00BB1149">
            <w:pPr>
              <w:pStyle w:val="Tabla"/>
              <w:jc w:val="right"/>
              <w:rPr>
                <w:rFonts w:ascii="Arial Narrow" w:hAnsi="Arial Narrow" w:cs="Arial"/>
                <w:snapToGrid w:val="0"/>
                <w:sz w:val="20"/>
              </w:rPr>
            </w:pPr>
            <w:r>
              <w:rPr>
                <w:rFonts w:ascii="Arial Narrow" w:hAnsi="Arial Narrow" w:cs="Arial"/>
                <w:snapToGrid w:val="0"/>
                <w:sz w:val="20"/>
              </w:rPr>
              <w:t>3.429.629</w:t>
            </w:r>
          </w:p>
        </w:tc>
        <w:tc>
          <w:tcPr>
            <w:tcW w:w="1593" w:type="dxa"/>
            <w:tcBorders>
              <w:top w:val="single" w:sz="2" w:space="0" w:color="auto"/>
              <w:bottom w:val="single" w:sz="2" w:space="0" w:color="auto"/>
            </w:tcBorders>
            <w:vAlign w:val="center"/>
          </w:tcPr>
          <w:p w:rsidR="00497839" w:rsidRPr="00026796" w:rsidRDefault="00497839" w:rsidP="00BB1149">
            <w:pPr>
              <w:pStyle w:val="Tabla"/>
              <w:ind w:right="41"/>
              <w:jc w:val="right"/>
              <w:rPr>
                <w:rFonts w:ascii="Arial Narrow" w:hAnsi="Arial Narrow" w:cs="Arial"/>
                <w:snapToGrid w:val="0"/>
                <w:sz w:val="20"/>
              </w:rPr>
            </w:pPr>
            <w:r>
              <w:rPr>
                <w:rFonts w:ascii="Arial Narrow" w:hAnsi="Arial Narrow" w:cs="Arial"/>
                <w:snapToGrid w:val="0"/>
                <w:sz w:val="20"/>
              </w:rPr>
              <w:t>3.606.735</w:t>
            </w:r>
          </w:p>
        </w:tc>
        <w:tc>
          <w:tcPr>
            <w:tcW w:w="1440" w:type="dxa"/>
            <w:tcBorders>
              <w:top w:val="single" w:sz="2" w:space="0" w:color="auto"/>
              <w:bottom w:val="single" w:sz="2" w:space="0" w:color="auto"/>
            </w:tcBorders>
            <w:vAlign w:val="center"/>
          </w:tcPr>
          <w:p w:rsidR="00497839" w:rsidRPr="00026796" w:rsidRDefault="00497839" w:rsidP="00BB1149">
            <w:pPr>
              <w:pStyle w:val="Tabla"/>
              <w:jc w:val="right"/>
              <w:rPr>
                <w:rFonts w:ascii="Arial Narrow" w:hAnsi="Arial Narrow" w:cs="Arial"/>
                <w:snapToGrid w:val="0"/>
                <w:sz w:val="20"/>
              </w:rPr>
            </w:pPr>
            <w:r>
              <w:rPr>
                <w:rFonts w:ascii="Arial Narrow" w:hAnsi="Arial Narrow" w:cs="Arial"/>
                <w:snapToGrid w:val="0"/>
                <w:sz w:val="20"/>
              </w:rPr>
              <w:t>-177.106</w:t>
            </w:r>
          </w:p>
        </w:tc>
      </w:tr>
      <w:tr w:rsidR="00497839" w:rsidRPr="00026796" w:rsidTr="00BB1149">
        <w:trPr>
          <w:trHeight w:hRule="exact" w:val="284"/>
          <w:jc w:val="center"/>
        </w:trPr>
        <w:tc>
          <w:tcPr>
            <w:tcW w:w="3665" w:type="dxa"/>
            <w:tcBorders>
              <w:top w:val="single" w:sz="2" w:space="0" w:color="auto"/>
              <w:bottom w:val="single" w:sz="2" w:space="0" w:color="auto"/>
            </w:tcBorders>
            <w:vAlign w:val="center"/>
          </w:tcPr>
          <w:p w:rsidR="00497839" w:rsidRPr="00026796" w:rsidRDefault="00497839" w:rsidP="00BB1149">
            <w:pPr>
              <w:pStyle w:val="Tabla"/>
              <w:rPr>
                <w:rFonts w:ascii="Arial Narrow" w:hAnsi="Arial Narrow" w:cs="Arial"/>
                <w:snapToGrid w:val="0"/>
                <w:sz w:val="20"/>
              </w:rPr>
            </w:pPr>
            <w:r w:rsidRPr="00026796">
              <w:rPr>
                <w:rFonts w:ascii="Arial Narrow" w:hAnsi="Arial Narrow" w:cs="Arial"/>
                <w:snapToGrid w:val="0"/>
                <w:sz w:val="20"/>
              </w:rPr>
              <w:t>II. Variación neta de pasivos financieros</w:t>
            </w:r>
          </w:p>
        </w:tc>
        <w:tc>
          <w:tcPr>
            <w:tcW w:w="2015" w:type="dxa"/>
            <w:tcBorders>
              <w:top w:val="single" w:sz="2" w:space="0" w:color="auto"/>
              <w:bottom w:val="single" w:sz="2" w:space="0" w:color="auto"/>
            </w:tcBorders>
            <w:vAlign w:val="center"/>
          </w:tcPr>
          <w:p w:rsidR="00497839" w:rsidRPr="00026796" w:rsidRDefault="00497839" w:rsidP="00BB1149">
            <w:pPr>
              <w:pStyle w:val="Tabla"/>
              <w:jc w:val="right"/>
              <w:rPr>
                <w:rFonts w:ascii="Arial Narrow" w:hAnsi="Arial Narrow" w:cs="Arial"/>
                <w:snapToGrid w:val="0"/>
                <w:sz w:val="20"/>
              </w:rPr>
            </w:pPr>
            <w:r>
              <w:rPr>
                <w:rFonts w:ascii="Arial Narrow" w:hAnsi="Arial Narrow" w:cs="Arial"/>
                <w:snapToGrid w:val="0"/>
                <w:sz w:val="20"/>
              </w:rPr>
              <w:t>446.936</w:t>
            </w:r>
          </w:p>
        </w:tc>
        <w:tc>
          <w:tcPr>
            <w:tcW w:w="1593" w:type="dxa"/>
            <w:tcBorders>
              <w:top w:val="single" w:sz="2" w:space="0" w:color="auto"/>
              <w:bottom w:val="single" w:sz="2" w:space="0" w:color="auto"/>
            </w:tcBorders>
            <w:vAlign w:val="center"/>
          </w:tcPr>
          <w:p w:rsidR="00497839" w:rsidRPr="00026796" w:rsidRDefault="00497839" w:rsidP="00BB1149">
            <w:pPr>
              <w:pStyle w:val="Tabla"/>
              <w:ind w:right="41"/>
              <w:jc w:val="right"/>
              <w:rPr>
                <w:rFonts w:ascii="Arial Narrow" w:hAnsi="Arial Narrow" w:cs="Arial"/>
                <w:snapToGrid w:val="0"/>
                <w:sz w:val="20"/>
              </w:rPr>
            </w:pPr>
            <w:r>
              <w:rPr>
                <w:rFonts w:ascii="Arial Narrow" w:hAnsi="Arial Narrow" w:cs="Arial"/>
                <w:snapToGrid w:val="0"/>
                <w:sz w:val="20"/>
              </w:rPr>
              <w:t>307.228</w:t>
            </w:r>
          </w:p>
        </w:tc>
        <w:tc>
          <w:tcPr>
            <w:tcW w:w="1440" w:type="dxa"/>
            <w:tcBorders>
              <w:top w:val="single" w:sz="2" w:space="0" w:color="auto"/>
              <w:bottom w:val="single" w:sz="2" w:space="0" w:color="auto"/>
            </w:tcBorders>
            <w:vAlign w:val="center"/>
          </w:tcPr>
          <w:p w:rsidR="00497839" w:rsidRPr="00026796" w:rsidRDefault="00497839" w:rsidP="00BB1149">
            <w:pPr>
              <w:pStyle w:val="Tabla"/>
              <w:jc w:val="right"/>
              <w:rPr>
                <w:rFonts w:ascii="Arial Narrow" w:hAnsi="Arial Narrow" w:cs="Arial"/>
                <w:snapToGrid w:val="0"/>
                <w:sz w:val="20"/>
              </w:rPr>
            </w:pPr>
            <w:r>
              <w:rPr>
                <w:rFonts w:ascii="Arial Narrow" w:hAnsi="Arial Narrow" w:cs="Arial"/>
                <w:snapToGrid w:val="0"/>
                <w:sz w:val="20"/>
              </w:rPr>
              <w:t>139.708</w:t>
            </w:r>
          </w:p>
        </w:tc>
      </w:tr>
      <w:tr w:rsidR="00497839" w:rsidRPr="007C70EA" w:rsidTr="00BB1149">
        <w:trPr>
          <w:trHeight w:hRule="exact" w:val="284"/>
          <w:jc w:val="center"/>
        </w:trPr>
        <w:tc>
          <w:tcPr>
            <w:tcW w:w="7273" w:type="dxa"/>
            <w:gridSpan w:val="3"/>
            <w:tcBorders>
              <w:top w:val="single" w:sz="2" w:space="0" w:color="auto"/>
              <w:bottom w:val="single" w:sz="2" w:space="0" w:color="auto"/>
            </w:tcBorders>
            <w:vAlign w:val="center"/>
          </w:tcPr>
          <w:p w:rsidR="00497839" w:rsidRPr="007C70EA" w:rsidRDefault="00497839" w:rsidP="00BB1149">
            <w:pPr>
              <w:pStyle w:val="Tabla"/>
              <w:ind w:right="239"/>
              <w:jc w:val="left"/>
              <w:rPr>
                <w:rFonts w:ascii="Arial Narrow" w:hAnsi="Arial Narrow" w:cs="Arial"/>
                <w:b/>
                <w:snapToGrid w:val="0"/>
                <w:sz w:val="20"/>
              </w:rPr>
            </w:pPr>
            <w:r w:rsidRPr="00A36EF2">
              <w:rPr>
                <w:rFonts w:ascii="Arial Narrow" w:hAnsi="Arial Narrow" w:cs="Arial"/>
                <w:b/>
                <w:snapToGrid w:val="0"/>
                <w:sz w:val="20"/>
              </w:rPr>
              <w:t>III. Saldo presupuestario del ejercicio</w:t>
            </w:r>
          </w:p>
        </w:tc>
        <w:tc>
          <w:tcPr>
            <w:tcW w:w="1440" w:type="dxa"/>
            <w:tcBorders>
              <w:top w:val="single" w:sz="2" w:space="0" w:color="auto"/>
              <w:bottom w:val="single" w:sz="2" w:space="0" w:color="auto"/>
            </w:tcBorders>
            <w:vAlign w:val="center"/>
          </w:tcPr>
          <w:p w:rsidR="00497839" w:rsidRPr="007C70EA" w:rsidRDefault="00497839" w:rsidP="00BB1149">
            <w:pPr>
              <w:pStyle w:val="Tabla"/>
              <w:jc w:val="right"/>
              <w:rPr>
                <w:rFonts w:ascii="Arial Narrow" w:hAnsi="Arial Narrow" w:cs="Arial"/>
                <w:b/>
                <w:snapToGrid w:val="0"/>
                <w:sz w:val="20"/>
              </w:rPr>
            </w:pPr>
            <w:r>
              <w:rPr>
                <w:rFonts w:ascii="Arial Narrow" w:hAnsi="Arial Narrow" w:cs="Arial"/>
                <w:b/>
                <w:snapToGrid w:val="0"/>
                <w:sz w:val="20"/>
              </w:rPr>
              <w:t>-37.399</w:t>
            </w:r>
          </w:p>
        </w:tc>
      </w:tr>
      <w:tr w:rsidR="00497839" w:rsidRPr="00A36EF2" w:rsidTr="00BB1149">
        <w:trPr>
          <w:trHeight w:hRule="exact" w:val="284"/>
          <w:jc w:val="center"/>
        </w:trPr>
        <w:tc>
          <w:tcPr>
            <w:tcW w:w="5680" w:type="dxa"/>
            <w:gridSpan w:val="2"/>
            <w:tcBorders>
              <w:top w:val="single" w:sz="2" w:space="0" w:color="auto"/>
              <w:bottom w:val="single" w:sz="2" w:space="0" w:color="auto"/>
            </w:tcBorders>
            <w:vAlign w:val="center"/>
          </w:tcPr>
          <w:p w:rsidR="00497839" w:rsidRPr="00A36EF2" w:rsidRDefault="00497839" w:rsidP="00BB1149">
            <w:pPr>
              <w:pStyle w:val="Tabla"/>
              <w:rPr>
                <w:rFonts w:ascii="Arial Narrow" w:hAnsi="Arial Narrow" w:cs="Arial"/>
                <w:snapToGrid w:val="0"/>
                <w:sz w:val="20"/>
              </w:rPr>
            </w:pPr>
            <w:r w:rsidRPr="00A36EF2">
              <w:rPr>
                <w:rFonts w:ascii="Arial Narrow" w:hAnsi="Arial Narrow" w:cs="Arial"/>
                <w:snapToGrid w:val="0"/>
                <w:sz w:val="20"/>
              </w:rPr>
              <w:t xml:space="preserve">     4. Obli</w:t>
            </w:r>
            <w:r w:rsidR="00346A61">
              <w:rPr>
                <w:rFonts w:ascii="Arial Narrow" w:hAnsi="Arial Narrow" w:cs="Arial"/>
                <w:snapToGrid w:val="0"/>
                <w:sz w:val="20"/>
              </w:rPr>
              <w:t>g</w:t>
            </w:r>
            <w:r>
              <w:rPr>
                <w:rFonts w:ascii="Arial Narrow" w:hAnsi="Arial Narrow" w:cs="Arial"/>
                <w:snapToGrid w:val="0"/>
                <w:sz w:val="20"/>
              </w:rPr>
              <w:t>.</w:t>
            </w:r>
            <w:r w:rsidRPr="00A36EF2">
              <w:rPr>
                <w:rFonts w:ascii="Arial Narrow" w:hAnsi="Arial Narrow" w:cs="Arial"/>
                <w:snapToGrid w:val="0"/>
                <w:sz w:val="20"/>
              </w:rPr>
              <w:t xml:space="preserve"> reconocidas financiadas con Rem</w:t>
            </w:r>
            <w:r>
              <w:rPr>
                <w:rFonts w:ascii="Arial Narrow" w:hAnsi="Arial Narrow" w:cs="Arial"/>
                <w:snapToGrid w:val="0"/>
                <w:sz w:val="20"/>
              </w:rPr>
              <w:t>.</w:t>
            </w:r>
            <w:r w:rsidRPr="00A36EF2">
              <w:rPr>
                <w:rFonts w:ascii="Arial Narrow" w:hAnsi="Arial Narrow" w:cs="Arial"/>
                <w:snapToGrid w:val="0"/>
                <w:sz w:val="20"/>
              </w:rPr>
              <w:t xml:space="preserve"> Tesor</w:t>
            </w:r>
            <w:r>
              <w:rPr>
                <w:rFonts w:ascii="Arial Narrow" w:hAnsi="Arial Narrow" w:cs="Arial"/>
                <w:snapToGrid w:val="0"/>
                <w:sz w:val="20"/>
              </w:rPr>
              <w:t>. afecto a FPELIN</w:t>
            </w:r>
          </w:p>
        </w:tc>
        <w:tc>
          <w:tcPr>
            <w:tcW w:w="1593" w:type="dxa"/>
            <w:tcBorders>
              <w:top w:val="single" w:sz="2" w:space="0" w:color="auto"/>
              <w:bottom w:val="single" w:sz="2" w:space="0" w:color="auto"/>
            </w:tcBorders>
            <w:vAlign w:val="center"/>
          </w:tcPr>
          <w:p w:rsidR="00497839" w:rsidRPr="00A36EF2" w:rsidRDefault="00497839" w:rsidP="00BB1149">
            <w:pPr>
              <w:pStyle w:val="Tabla"/>
              <w:jc w:val="right"/>
              <w:rPr>
                <w:rFonts w:ascii="Arial Narrow" w:hAnsi="Arial Narrow" w:cs="Arial"/>
                <w:snapToGrid w:val="0"/>
                <w:sz w:val="20"/>
              </w:rPr>
            </w:pPr>
          </w:p>
        </w:tc>
        <w:tc>
          <w:tcPr>
            <w:tcW w:w="1440" w:type="dxa"/>
            <w:tcBorders>
              <w:top w:val="single" w:sz="2" w:space="0" w:color="auto"/>
              <w:bottom w:val="single" w:sz="2" w:space="0" w:color="auto"/>
            </w:tcBorders>
            <w:vAlign w:val="center"/>
          </w:tcPr>
          <w:p w:rsidR="00497839" w:rsidRPr="00A36EF2" w:rsidRDefault="00497839" w:rsidP="00BB1149">
            <w:pPr>
              <w:pStyle w:val="Tabla"/>
              <w:jc w:val="right"/>
              <w:rPr>
                <w:rFonts w:ascii="Arial Narrow" w:hAnsi="Arial Narrow" w:cs="Arial"/>
                <w:snapToGrid w:val="0"/>
                <w:sz w:val="20"/>
              </w:rPr>
            </w:pPr>
            <w:r>
              <w:rPr>
                <w:rFonts w:ascii="Arial Narrow" w:hAnsi="Arial Narrow" w:cs="Arial"/>
                <w:snapToGrid w:val="0"/>
                <w:sz w:val="20"/>
              </w:rPr>
              <w:t>13.991</w:t>
            </w:r>
          </w:p>
        </w:tc>
      </w:tr>
      <w:tr w:rsidR="00497839" w:rsidRPr="00A36EF2" w:rsidTr="00BB1149">
        <w:trPr>
          <w:trHeight w:hRule="exact" w:val="284"/>
          <w:jc w:val="center"/>
        </w:trPr>
        <w:tc>
          <w:tcPr>
            <w:tcW w:w="5680" w:type="dxa"/>
            <w:gridSpan w:val="2"/>
            <w:tcBorders>
              <w:top w:val="single" w:sz="2" w:space="0" w:color="auto"/>
              <w:bottom w:val="single" w:sz="2" w:space="0" w:color="auto"/>
            </w:tcBorders>
            <w:vAlign w:val="center"/>
          </w:tcPr>
          <w:p w:rsidR="00497839" w:rsidRPr="00A36EF2" w:rsidRDefault="00497839" w:rsidP="00BB1149">
            <w:pPr>
              <w:pStyle w:val="Tabla"/>
              <w:rPr>
                <w:rFonts w:ascii="Arial Narrow" w:hAnsi="Arial Narrow" w:cs="Arial"/>
                <w:snapToGrid w:val="0"/>
                <w:sz w:val="20"/>
              </w:rPr>
            </w:pPr>
            <w:r w:rsidRPr="00A36EF2">
              <w:rPr>
                <w:rFonts w:ascii="Arial Narrow" w:hAnsi="Arial Narrow" w:cs="Arial"/>
                <w:snapToGrid w:val="0"/>
                <w:sz w:val="20"/>
              </w:rPr>
              <w:t xml:space="preserve">     5. Desviaciones de financiación negativas imputables al ejercicio</w:t>
            </w:r>
          </w:p>
        </w:tc>
        <w:tc>
          <w:tcPr>
            <w:tcW w:w="1593" w:type="dxa"/>
            <w:tcBorders>
              <w:top w:val="single" w:sz="2" w:space="0" w:color="auto"/>
              <w:bottom w:val="single" w:sz="2" w:space="0" w:color="auto"/>
            </w:tcBorders>
            <w:vAlign w:val="center"/>
          </w:tcPr>
          <w:p w:rsidR="00497839" w:rsidRPr="00A36EF2" w:rsidRDefault="00497839" w:rsidP="00BB1149">
            <w:pPr>
              <w:pStyle w:val="Tabla"/>
              <w:rPr>
                <w:rFonts w:ascii="Arial Narrow" w:hAnsi="Arial Narrow" w:cs="Arial"/>
                <w:snapToGrid w:val="0"/>
                <w:sz w:val="20"/>
              </w:rPr>
            </w:pPr>
          </w:p>
        </w:tc>
        <w:tc>
          <w:tcPr>
            <w:tcW w:w="1440" w:type="dxa"/>
            <w:tcBorders>
              <w:top w:val="single" w:sz="2" w:space="0" w:color="auto"/>
              <w:bottom w:val="single" w:sz="2" w:space="0" w:color="auto"/>
            </w:tcBorders>
            <w:vAlign w:val="center"/>
          </w:tcPr>
          <w:p w:rsidR="00497839" w:rsidRPr="00A36EF2" w:rsidRDefault="00497839" w:rsidP="00BB1149">
            <w:pPr>
              <w:pStyle w:val="Tabla"/>
              <w:jc w:val="right"/>
              <w:rPr>
                <w:rFonts w:ascii="Arial Narrow" w:hAnsi="Arial Narrow" w:cs="Arial"/>
                <w:snapToGrid w:val="0"/>
                <w:sz w:val="20"/>
              </w:rPr>
            </w:pPr>
            <w:r>
              <w:rPr>
                <w:rFonts w:ascii="Arial Narrow" w:hAnsi="Arial Narrow" w:cs="Arial"/>
                <w:snapToGrid w:val="0"/>
                <w:sz w:val="20"/>
              </w:rPr>
              <w:t>5.850</w:t>
            </w:r>
          </w:p>
        </w:tc>
      </w:tr>
      <w:tr w:rsidR="00497839" w:rsidRPr="00A36EF2" w:rsidTr="00BB1149">
        <w:trPr>
          <w:trHeight w:hRule="exact" w:val="284"/>
          <w:jc w:val="center"/>
        </w:trPr>
        <w:tc>
          <w:tcPr>
            <w:tcW w:w="5680" w:type="dxa"/>
            <w:gridSpan w:val="2"/>
            <w:tcBorders>
              <w:top w:val="single" w:sz="2" w:space="0" w:color="auto"/>
              <w:bottom w:val="single" w:sz="2" w:space="0" w:color="auto"/>
            </w:tcBorders>
            <w:vAlign w:val="center"/>
          </w:tcPr>
          <w:p w:rsidR="00497839" w:rsidRPr="00A36EF2" w:rsidRDefault="00497839" w:rsidP="00BB1149">
            <w:pPr>
              <w:pStyle w:val="Tabla"/>
              <w:rPr>
                <w:rFonts w:ascii="Arial Narrow" w:hAnsi="Arial Narrow" w:cs="Arial"/>
                <w:snapToGrid w:val="0"/>
                <w:sz w:val="20"/>
              </w:rPr>
            </w:pPr>
            <w:r w:rsidRPr="00A36EF2">
              <w:rPr>
                <w:rFonts w:ascii="Arial Narrow" w:hAnsi="Arial Narrow" w:cs="Arial"/>
                <w:snapToGrid w:val="0"/>
                <w:sz w:val="20"/>
              </w:rPr>
              <w:t xml:space="preserve">     6. Desviaciones de financiación positivas imputables al ejercicio</w:t>
            </w:r>
          </w:p>
        </w:tc>
        <w:tc>
          <w:tcPr>
            <w:tcW w:w="1593" w:type="dxa"/>
            <w:tcBorders>
              <w:top w:val="single" w:sz="2" w:space="0" w:color="auto"/>
              <w:bottom w:val="single" w:sz="2" w:space="0" w:color="auto"/>
            </w:tcBorders>
            <w:vAlign w:val="center"/>
          </w:tcPr>
          <w:p w:rsidR="00497839" w:rsidRPr="00A36EF2" w:rsidRDefault="00497839" w:rsidP="00BB1149">
            <w:pPr>
              <w:pStyle w:val="Tabla"/>
              <w:rPr>
                <w:rFonts w:ascii="Arial Narrow" w:hAnsi="Arial Narrow" w:cs="Arial"/>
                <w:snapToGrid w:val="0"/>
                <w:sz w:val="20"/>
              </w:rPr>
            </w:pPr>
          </w:p>
        </w:tc>
        <w:tc>
          <w:tcPr>
            <w:tcW w:w="1440" w:type="dxa"/>
            <w:tcBorders>
              <w:top w:val="single" w:sz="2" w:space="0" w:color="auto"/>
              <w:bottom w:val="single" w:sz="2" w:space="0" w:color="auto"/>
            </w:tcBorders>
            <w:vAlign w:val="center"/>
          </w:tcPr>
          <w:p w:rsidR="00497839" w:rsidRPr="00A36EF2" w:rsidRDefault="00346A61" w:rsidP="00BB1149">
            <w:pPr>
              <w:pStyle w:val="Tabla"/>
              <w:jc w:val="right"/>
              <w:rPr>
                <w:rFonts w:ascii="Arial Narrow" w:hAnsi="Arial Narrow" w:cs="Arial"/>
                <w:snapToGrid w:val="0"/>
                <w:sz w:val="20"/>
              </w:rPr>
            </w:pPr>
            <w:r>
              <w:rPr>
                <w:rFonts w:ascii="Arial Narrow" w:hAnsi="Arial Narrow" w:cs="Arial"/>
                <w:snapToGrid w:val="0"/>
                <w:sz w:val="20"/>
              </w:rPr>
              <w:t>-</w:t>
            </w:r>
            <w:r w:rsidR="00497839">
              <w:rPr>
                <w:rFonts w:ascii="Arial Narrow" w:hAnsi="Arial Narrow" w:cs="Arial"/>
                <w:snapToGrid w:val="0"/>
                <w:sz w:val="20"/>
              </w:rPr>
              <w:t>5.508</w:t>
            </w:r>
          </w:p>
        </w:tc>
      </w:tr>
      <w:tr w:rsidR="00497839" w:rsidRPr="00A36EF2" w:rsidTr="00BB1149">
        <w:trPr>
          <w:trHeight w:hRule="exact" w:val="284"/>
          <w:jc w:val="center"/>
        </w:trPr>
        <w:tc>
          <w:tcPr>
            <w:tcW w:w="7273" w:type="dxa"/>
            <w:gridSpan w:val="3"/>
            <w:tcBorders>
              <w:top w:val="single" w:sz="2" w:space="0" w:color="auto"/>
              <w:bottom w:val="single" w:sz="2" w:space="0" w:color="auto"/>
            </w:tcBorders>
            <w:vAlign w:val="center"/>
          </w:tcPr>
          <w:p w:rsidR="00497839" w:rsidRPr="007C70EA" w:rsidRDefault="00497839" w:rsidP="00BB1149">
            <w:pPr>
              <w:pStyle w:val="Tabla"/>
              <w:rPr>
                <w:rFonts w:ascii="Arial Narrow" w:hAnsi="Arial Narrow" w:cs="Arial"/>
                <w:b/>
                <w:snapToGrid w:val="0"/>
                <w:sz w:val="20"/>
              </w:rPr>
            </w:pPr>
            <w:r w:rsidRPr="00A36EF2">
              <w:rPr>
                <w:rFonts w:ascii="Arial Narrow" w:hAnsi="Arial Narrow" w:cs="Arial"/>
                <w:b/>
                <w:snapToGrid w:val="0"/>
                <w:sz w:val="20"/>
              </w:rPr>
              <w:t>V. Saldo presupuestario ajustado del ejercicio (III+4+5-6</w:t>
            </w:r>
            <w:r>
              <w:rPr>
                <w:rFonts w:ascii="Arial Narrow" w:hAnsi="Arial Narrow" w:cs="Arial"/>
                <w:b/>
                <w:snapToGrid w:val="0"/>
                <w:sz w:val="20"/>
              </w:rPr>
              <w:t>)</w:t>
            </w:r>
          </w:p>
        </w:tc>
        <w:tc>
          <w:tcPr>
            <w:tcW w:w="1440" w:type="dxa"/>
            <w:tcBorders>
              <w:top w:val="single" w:sz="2" w:space="0" w:color="auto"/>
              <w:bottom w:val="single" w:sz="2" w:space="0" w:color="auto"/>
            </w:tcBorders>
            <w:vAlign w:val="center"/>
          </w:tcPr>
          <w:p w:rsidR="00497839" w:rsidRPr="007C70EA" w:rsidRDefault="00497839" w:rsidP="00BB1149">
            <w:pPr>
              <w:pStyle w:val="Tabla"/>
              <w:jc w:val="right"/>
              <w:rPr>
                <w:rFonts w:ascii="Arial Narrow" w:hAnsi="Arial Narrow" w:cs="Arial"/>
                <w:b/>
                <w:snapToGrid w:val="0"/>
                <w:sz w:val="20"/>
              </w:rPr>
            </w:pPr>
            <w:r>
              <w:rPr>
                <w:rFonts w:ascii="Arial Narrow" w:hAnsi="Arial Narrow" w:cs="Arial"/>
                <w:b/>
                <w:snapToGrid w:val="0"/>
                <w:sz w:val="20"/>
              </w:rPr>
              <w:t>-23.066</w:t>
            </w:r>
          </w:p>
        </w:tc>
      </w:tr>
    </w:tbl>
    <w:p w:rsidR="00497839" w:rsidRDefault="00497839" w:rsidP="00497839">
      <w:pPr>
        <w:pStyle w:val="texto"/>
      </w:pPr>
      <w:bookmarkStart w:id="26" w:name="_Toc340229945"/>
    </w:p>
    <w:p w:rsidR="00497839" w:rsidRDefault="00497839" w:rsidP="00497839">
      <w:pPr>
        <w:pStyle w:val="texto"/>
      </w:pPr>
    </w:p>
    <w:p w:rsidR="00497839" w:rsidRDefault="00497839" w:rsidP="00497839">
      <w:pPr>
        <w:pStyle w:val="atitulo2"/>
        <w:spacing w:after="120"/>
      </w:pPr>
      <w:bookmarkStart w:id="27" w:name="_Toc394485123"/>
      <w:bookmarkStart w:id="28" w:name="_Toc399859618"/>
      <w:bookmarkStart w:id="29" w:name="_Toc463350243"/>
      <w:r>
        <w:t>III.3. Remanente de Tesorería a 31 de diciembre de 2015</w:t>
      </w:r>
      <w:bookmarkEnd w:id="26"/>
      <w:bookmarkEnd w:id="27"/>
      <w:bookmarkEnd w:id="28"/>
      <w:bookmarkEnd w:id="29"/>
    </w:p>
    <w:p w:rsidR="00497839" w:rsidRPr="00A221DE" w:rsidRDefault="00497839" w:rsidP="00497839">
      <w:pPr>
        <w:pStyle w:val="texto"/>
        <w:jc w:val="right"/>
        <w:rPr>
          <w:rFonts w:ascii="GillSans Light" w:hAnsi="GillSans Light"/>
          <w:sz w:val="18"/>
          <w:szCs w:val="18"/>
        </w:rPr>
      </w:pPr>
      <w:r>
        <w:rPr>
          <w:rFonts w:ascii="GillSans Light" w:hAnsi="GillSans Light"/>
          <w:sz w:val="18"/>
          <w:szCs w:val="18"/>
        </w:rPr>
        <w:t>(</w:t>
      </w:r>
      <w:r w:rsidR="007E1C86">
        <w:rPr>
          <w:rFonts w:ascii="GillSans Light" w:hAnsi="GillSans Light"/>
          <w:sz w:val="18"/>
          <w:szCs w:val="18"/>
        </w:rPr>
        <w:t>E</w:t>
      </w:r>
      <w:r>
        <w:rPr>
          <w:rFonts w:ascii="GillSans Light" w:hAnsi="GillSans Light"/>
          <w:sz w:val="18"/>
          <w:szCs w:val="18"/>
        </w:rPr>
        <w:t>n euros)</w:t>
      </w:r>
    </w:p>
    <w:tbl>
      <w:tblPr>
        <w:tblW w:w="8953" w:type="dxa"/>
        <w:jc w:val="center"/>
        <w:tblCellMar>
          <w:left w:w="70" w:type="dxa"/>
          <w:right w:w="70" w:type="dxa"/>
        </w:tblCellMar>
        <w:tblLook w:val="0000" w:firstRow="0" w:lastRow="0" w:firstColumn="0" w:lastColumn="0" w:noHBand="0" w:noVBand="0"/>
      </w:tblPr>
      <w:tblGrid>
        <w:gridCol w:w="4705"/>
        <w:gridCol w:w="2281"/>
        <w:gridCol w:w="1967"/>
      </w:tblGrid>
      <w:tr w:rsidR="00497839" w:rsidRPr="00F84D23" w:rsidTr="000E7C62">
        <w:trPr>
          <w:trHeight w:hRule="exact" w:val="321"/>
          <w:jc w:val="center"/>
        </w:trPr>
        <w:tc>
          <w:tcPr>
            <w:tcW w:w="6986" w:type="dxa"/>
            <w:gridSpan w:val="2"/>
            <w:tcBorders>
              <w:top w:val="single" w:sz="4" w:space="0" w:color="auto"/>
              <w:bottom w:val="single" w:sz="4" w:space="0" w:color="auto"/>
            </w:tcBorders>
            <w:shd w:val="clear" w:color="auto" w:fill="A8CBEE" w:themeFill="accent2" w:themeFillTint="66"/>
            <w:noWrap/>
            <w:vAlign w:val="center"/>
          </w:tcPr>
          <w:p w:rsidR="00497839" w:rsidRPr="00314C51" w:rsidRDefault="00497839" w:rsidP="00BB1149">
            <w:pPr>
              <w:pStyle w:val="cuadroCabe"/>
              <w:rPr>
                <w:snapToGrid w:val="0"/>
              </w:rPr>
            </w:pPr>
            <w:r w:rsidRPr="00314C51">
              <w:rPr>
                <w:snapToGrid w:val="0"/>
              </w:rPr>
              <w:t>Concepto</w:t>
            </w:r>
            <w:r>
              <w:rPr>
                <w:snapToGrid w:val="0"/>
              </w:rPr>
              <w:t>s</w:t>
            </w:r>
          </w:p>
        </w:tc>
        <w:tc>
          <w:tcPr>
            <w:tcW w:w="1967" w:type="dxa"/>
            <w:tcBorders>
              <w:top w:val="single" w:sz="4" w:space="0" w:color="auto"/>
              <w:bottom w:val="single" w:sz="4" w:space="0" w:color="auto"/>
            </w:tcBorders>
            <w:shd w:val="clear" w:color="auto" w:fill="A8CBEE" w:themeFill="accent2" w:themeFillTint="66"/>
            <w:noWrap/>
            <w:vAlign w:val="center"/>
          </w:tcPr>
          <w:p w:rsidR="00497839" w:rsidRPr="00314C51" w:rsidRDefault="00497839" w:rsidP="00BB1149">
            <w:pPr>
              <w:pStyle w:val="cuadroCabe"/>
              <w:jc w:val="right"/>
              <w:rPr>
                <w:snapToGrid w:val="0"/>
              </w:rPr>
            </w:pPr>
            <w:r w:rsidRPr="00314C51">
              <w:rPr>
                <w:snapToGrid w:val="0"/>
              </w:rPr>
              <w:t>Importe</w:t>
            </w:r>
          </w:p>
        </w:tc>
      </w:tr>
      <w:tr w:rsidR="00497839" w:rsidRPr="00827351" w:rsidTr="00BB1149">
        <w:trPr>
          <w:trHeight w:hRule="exact" w:val="284"/>
          <w:jc w:val="center"/>
        </w:trPr>
        <w:tc>
          <w:tcPr>
            <w:tcW w:w="6986" w:type="dxa"/>
            <w:gridSpan w:val="2"/>
            <w:tcBorders>
              <w:top w:val="single" w:sz="4" w:space="0" w:color="auto"/>
              <w:bottom w:val="single" w:sz="2" w:space="0" w:color="auto"/>
            </w:tcBorders>
            <w:shd w:val="clear" w:color="auto" w:fill="auto"/>
            <w:noWrap/>
            <w:vAlign w:val="center"/>
          </w:tcPr>
          <w:p w:rsidR="00497839" w:rsidRPr="00827351" w:rsidRDefault="00497839" w:rsidP="00BB1149">
            <w:pPr>
              <w:spacing w:after="0"/>
              <w:ind w:hanging="1"/>
              <w:rPr>
                <w:rFonts w:ascii="Arial Narrow" w:hAnsi="Arial Narrow" w:cs="Arial"/>
                <w:b/>
                <w:bCs/>
              </w:rPr>
            </w:pPr>
            <w:r w:rsidRPr="00827351">
              <w:rPr>
                <w:rFonts w:ascii="Arial Narrow" w:hAnsi="Arial Narrow" w:cs="Arial"/>
                <w:b/>
                <w:bCs/>
              </w:rPr>
              <w:t>+ Derechos pendientes de cobro</w:t>
            </w:r>
          </w:p>
        </w:tc>
        <w:tc>
          <w:tcPr>
            <w:tcW w:w="1967" w:type="dxa"/>
            <w:tcBorders>
              <w:top w:val="single" w:sz="4" w:space="0" w:color="auto"/>
              <w:bottom w:val="single" w:sz="2" w:space="0" w:color="auto"/>
            </w:tcBorders>
            <w:shd w:val="clear" w:color="auto" w:fill="auto"/>
            <w:noWrap/>
            <w:vAlign w:val="center"/>
          </w:tcPr>
          <w:p w:rsidR="00497839" w:rsidRPr="00CD5599" w:rsidRDefault="00497839" w:rsidP="00BB1149">
            <w:pPr>
              <w:spacing w:after="0"/>
              <w:ind w:hanging="1"/>
              <w:jc w:val="right"/>
              <w:rPr>
                <w:rFonts w:ascii="Arial Narrow" w:hAnsi="Arial Narrow" w:cs="Arial"/>
                <w:b/>
                <w:bCs/>
              </w:rPr>
            </w:pPr>
            <w:r w:rsidRPr="00CD5599">
              <w:rPr>
                <w:rFonts w:ascii="Arial Narrow" w:hAnsi="Arial Narrow" w:cs="Arial"/>
                <w:b/>
                <w:bCs/>
              </w:rPr>
              <w:t>263.631.427</w:t>
            </w:r>
          </w:p>
        </w:tc>
      </w:tr>
      <w:tr w:rsidR="00497839" w:rsidRPr="00827351" w:rsidTr="00BB1149">
        <w:trPr>
          <w:trHeight w:hRule="exact" w:val="284"/>
          <w:jc w:val="center"/>
        </w:trPr>
        <w:tc>
          <w:tcPr>
            <w:tcW w:w="4705"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firstLine="0"/>
              <w:rPr>
                <w:rFonts w:ascii="Arial Narrow" w:hAnsi="Arial Narrow" w:cs="Arial"/>
              </w:rPr>
            </w:pPr>
            <w:r w:rsidRPr="00827351">
              <w:rPr>
                <w:rFonts w:ascii="Arial Narrow" w:hAnsi="Arial Narrow" w:cs="Arial"/>
              </w:rPr>
              <w:t>Presupuesto Ingresos: ejercicio corriente</w:t>
            </w:r>
          </w:p>
        </w:tc>
        <w:tc>
          <w:tcPr>
            <w:tcW w:w="2281" w:type="dxa"/>
            <w:tcBorders>
              <w:top w:val="single" w:sz="2" w:space="0" w:color="auto"/>
              <w:bottom w:val="single" w:sz="2" w:space="0" w:color="auto"/>
            </w:tcBorders>
            <w:shd w:val="clear" w:color="auto" w:fill="auto"/>
            <w:noWrap/>
            <w:vAlign w:val="center"/>
          </w:tcPr>
          <w:p w:rsidR="00497839" w:rsidRPr="00827351" w:rsidRDefault="00497839" w:rsidP="00BB1149">
            <w:pPr>
              <w:spacing w:after="0"/>
              <w:jc w:val="right"/>
              <w:rPr>
                <w:rFonts w:ascii="Arial Narrow" w:hAnsi="Arial Narrow" w:cs="Arial"/>
                <w:snapToGrid w:val="0"/>
              </w:rPr>
            </w:pPr>
            <w:r w:rsidRPr="00827351">
              <w:rPr>
                <w:rFonts w:ascii="Arial Narrow" w:hAnsi="Arial Narrow" w:cs="Arial"/>
                <w:snapToGrid w:val="0"/>
              </w:rPr>
              <w:t>769.527.685</w:t>
            </w:r>
          </w:p>
        </w:tc>
        <w:tc>
          <w:tcPr>
            <w:tcW w:w="1967"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hanging="1"/>
              <w:rPr>
                <w:rFonts w:ascii="Arial Narrow" w:hAnsi="Arial Narrow" w:cs="Arial"/>
              </w:rPr>
            </w:pPr>
          </w:p>
        </w:tc>
      </w:tr>
      <w:tr w:rsidR="00497839" w:rsidRPr="00827351" w:rsidTr="00BB1149">
        <w:trPr>
          <w:trHeight w:hRule="exact" w:val="284"/>
          <w:jc w:val="center"/>
        </w:trPr>
        <w:tc>
          <w:tcPr>
            <w:tcW w:w="4705"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firstLine="0"/>
              <w:rPr>
                <w:rFonts w:ascii="Arial Narrow" w:hAnsi="Arial Narrow" w:cs="Arial"/>
              </w:rPr>
            </w:pPr>
            <w:r w:rsidRPr="00827351">
              <w:rPr>
                <w:rFonts w:ascii="Arial Narrow" w:hAnsi="Arial Narrow" w:cs="Arial"/>
              </w:rPr>
              <w:t>Derechos difícil recaudación</w:t>
            </w:r>
          </w:p>
        </w:tc>
        <w:tc>
          <w:tcPr>
            <w:tcW w:w="2281" w:type="dxa"/>
            <w:tcBorders>
              <w:top w:val="single" w:sz="2" w:space="0" w:color="auto"/>
              <w:bottom w:val="single" w:sz="2" w:space="0" w:color="auto"/>
            </w:tcBorders>
            <w:shd w:val="clear" w:color="auto" w:fill="auto"/>
            <w:noWrap/>
            <w:vAlign w:val="center"/>
          </w:tcPr>
          <w:p w:rsidR="00497839" w:rsidRPr="00827351" w:rsidRDefault="00497839" w:rsidP="00BB1149">
            <w:pPr>
              <w:spacing w:after="0"/>
              <w:jc w:val="right"/>
              <w:rPr>
                <w:rFonts w:ascii="Arial Narrow" w:hAnsi="Arial Narrow" w:cs="Arial"/>
                <w:snapToGrid w:val="0"/>
              </w:rPr>
            </w:pPr>
            <w:r w:rsidRPr="00827351">
              <w:rPr>
                <w:rFonts w:ascii="Arial Narrow" w:hAnsi="Arial Narrow" w:cs="Arial"/>
                <w:snapToGrid w:val="0"/>
              </w:rPr>
              <w:t>-491.941.519</w:t>
            </w:r>
          </w:p>
        </w:tc>
        <w:tc>
          <w:tcPr>
            <w:tcW w:w="1967"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hanging="1"/>
              <w:rPr>
                <w:rFonts w:ascii="Arial Narrow" w:hAnsi="Arial Narrow" w:cs="Arial"/>
              </w:rPr>
            </w:pPr>
          </w:p>
        </w:tc>
      </w:tr>
      <w:tr w:rsidR="00497839" w:rsidRPr="00827351" w:rsidTr="00BB1149">
        <w:trPr>
          <w:trHeight w:hRule="exact" w:val="284"/>
          <w:jc w:val="center"/>
        </w:trPr>
        <w:tc>
          <w:tcPr>
            <w:tcW w:w="4705"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firstLine="0"/>
              <w:rPr>
                <w:rFonts w:ascii="Arial Narrow" w:hAnsi="Arial Narrow" w:cs="Arial"/>
              </w:rPr>
            </w:pPr>
            <w:r w:rsidRPr="00827351">
              <w:rPr>
                <w:rFonts w:ascii="Arial Narrow" w:hAnsi="Arial Narrow" w:cs="Arial"/>
              </w:rPr>
              <w:t>Minoración por partidas pendientes de aplicar</w:t>
            </w:r>
          </w:p>
        </w:tc>
        <w:tc>
          <w:tcPr>
            <w:tcW w:w="2281" w:type="dxa"/>
            <w:tcBorders>
              <w:top w:val="single" w:sz="2" w:space="0" w:color="auto"/>
              <w:bottom w:val="single" w:sz="2" w:space="0" w:color="auto"/>
            </w:tcBorders>
            <w:shd w:val="clear" w:color="auto" w:fill="auto"/>
            <w:noWrap/>
            <w:vAlign w:val="center"/>
          </w:tcPr>
          <w:p w:rsidR="00497839" w:rsidRPr="00827351" w:rsidRDefault="00497839" w:rsidP="00BB1149">
            <w:pPr>
              <w:spacing w:after="0"/>
              <w:jc w:val="right"/>
              <w:rPr>
                <w:rFonts w:ascii="Arial Narrow" w:hAnsi="Arial Narrow" w:cs="Arial"/>
                <w:snapToGrid w:val="0"/>
              </w:rPr>
            </w:pPr>
            <w:r w:rsidRPr="00827351">
              <w:rPr>
                <w:rFonts w:ascii="Arial Narrow" w:hAnsi="Arial Narrow" w:cs="Arial"/>
                <w:snapToGrid w:val="0"/>
              </w:rPr>
              <w:t>-2.742.670</w:t>
            </w:r>
          </w:p>
        </w:tc>
        <w:tc>
          <w:tcPr>
            <w:tcW w:w="1967"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hanging="1"/>
              <w:rPr>
                <w:rFonts w:ascii="Arial Narrow" w:hAnsi="Arial Narrow" w:cs="Arial"/>
              </w:rPr>
            </w:pPr>
          </w:p>
        </w:tc>
      </w:tr>
      <w:tr w:rsidR="00497839" w:rsidRPr="00827351" w:rsidTr="00BB1149">
        <w:trPr>
          <w:trHeight w:hRule="exact" w:val="284"/>
          <w:jc w:val="center"/>
        </w:trPr>
        <w:tc>
          <w:tcPr>
            <w:tcW w:w="4705"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firstLine="0"/>
              <w:rPr>
                <w:rFonts w:ascii="Arial Narrow" w:hAnsi="Arial Narrow" w:cs="Arial"/>
              </w:rPr>
            </w:pPr>
            <w:r w:rsidRPr="00827351">
              <w:rPr>
                <w:rFonts w:ascii="Arial Narrow" w:hAnsi="Arial Narrow" w:cs="Arial"/>
              </w:rPr>
              <w:t>Minoración por partidas pdtes aplicar CAT</w:t>
            </w:r>
          </w:p>
        </w:tc>
        <w:tc>
          <w:tcPr>
            <w:tcW w:w="2281" w:type="dxa"/>
            <w:tcBorders>
              <w:top w:val="single" w:sz="2" w:space="0" w:color="auto"/>
              <w:bottom w:val="single" w:sz="2" w:space="0" w:color="auto"/>
            </w:tcBorders>
            <w:shd w:val="clear" w:color="auto" w:fill="auto"/>
            <w:noWrap/>
            <w:vAlign w:val="center"/>
          </w:tcPr>
          <w:p w:rsidR="00497839" w:rsidRPr="00827351" w:rsidRDefault="00497839" w:rsidP="00BB1149">
            <w:pPr>
              <w:spacing w:after="0"/>
              <w:jc w:val="right"/>
              <w:rPr>
                <w:rFonts w:ascii="Arial Narrow" w:hAnsi="Arial Narrow" w:cs="Arial"/>
                <w:snapToGrid w:val="0"/>
              </w:rPr>
            </w:pPr>
            <w:r w:rsidRPr="00827351">
              <w:rPr>
                <w:rFonts w:ascii="Arial Narrow" w:hAnsi="Arial Narrow" w:cs="Arial"/>
                <w:snapToGrid w:val="0"/>
              </w:rPr>
              <w:t>-29.797.053</w:t>
            </w:r>
          </w:p>
        </w:tc>
        <w:tc>
          <w:tcPr>
            <w:tcW w:w="1967"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hanging="1"/>
              <w:rPr>
                <w:rFonts w:ascii="Arial Narrow" w:hAnsi="Arial Narrow" w:cs="Arial"/>
              </w:rPr>
            </w:pPr>
          </w:p>
        </w:tc>
      </w:tr>
      <w:tr w:rsidR="00497839" w:rsidRPr="00827351" w:rsidTr="00BB1149">
        <w:trPr>
          <w:trHeight w:hRule="exact" w:val="284"/>
          <w:jc w:val="center"/>
        </w:trPr>
        <w:tc>
          <w:tcPr>
            <w:tcW w:w="4705"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firstLine="0"/>
              <w:rPr>
                <w:rFonts w:ascii="Arial Narrow" w:hAnsi="Arial Narrow" w:cs="Arial"/>
              </w:rPr>
            </w:pPr>
            <w:r w:rsidRPr="00827351">
              <w:rPr>
                <w:rFonts w:ascii="Arial Narrow" w:hAnsi="Arial Narrow" w:cs="Arial"/>
              </w:rPr>
              <w:t>Presupuesto Ingresos: ejercicios cerrados</w:t>
            </w:r>
          </w:p>
        </w:tc>
        <w:tc>
          <w:tcPr>
            <w:tcW w:w="2281" w:type="dxa"/>
            <w:tcBorders>
              <w:top w:val="single" w:sz="2" w:space="0" w:color="auto"/>
              <w:bottom w:val="single" w:sz="2" w:space="0" w:color="auto"/>
            </w:tcBorders>
            <w:shd w:val="clear" w:color="auto" w:fill="auto"/>
            <w:noWrap/>
            <w:vAlign w:val="center"/>
          </w:tcPr>
          <w:p w:rsidR="00497839" w:rsidRPr="00827351" w:rsidRDefault="00497839" w:rsidP="00BB1149">
            <w:pPr>
              <w:spacing w:after="0"/>
              <w:jc w:val="right"/>
              <w:rPr>
                <w:rFonts w:ascii="Arial Narrow" w:hAnsi="Arial Narrow" w:cs="Arial"/>
                <w:snapToGrid w:val="0"/>
              </w:rPr>
            </w:pPr>
            <w:r w:rsidRPr="00827351">
              <w:rPr>
                <w:rFonts w:ascii="Arial Narrow" w:hAnsi="Arial Narrow" w:cs="Arial"/>
                <w:snapToGrid w:val="0"/>
              </w:rPr>
              <w:t>3.623.516,</w:t>
            </w:r>
          </w:p>
        </w:tc>
        <w:tc>
          <w:tcPr>
            <w:tcW w:w="1967"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hanging="1"/>
              <w:rPr>
                <w:rFonts w:ascii="Arial Narrow" w:hAnsi="Arial Narrow" w:cs="Arial"/>
              </w:rPr>
            </w:pPr>
          </w:p>
        </w:tc>
      </w:tr>
      <w:tr w:rsidR="00497839" w:rsidRPr="00827351" w:rsidTr="00BB1149">
        <w:trPr>
          <w:trHeight w:hRule="exact" w:val="284"/>
          <w:jc w:val="center"/>
        </w:trPr>
        <w:tc>
          <w:tcPr>
            <w:tcW w:w="4705"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firstLine="0"/>
              <w:rPr>
                <w:rFonts w:ascii="Arial Narrow" w:hAnsi="Arial Narrow" w:cs="Arial"/>
              </w:rPr>
            </w:pPr>
            <w:r w:rsidRPr="00827351">
              <w:rPr>
                <w:rFonts w:ascii="Arial Narrow" w:hAnsi="Arial Narrow" w:cs="Arial"/>
              </w:rPr>
              <w:t>Derechos difícil recaudación</w:t>
            </w:r>
          </w:p>
        </w:tc>
        <w:tc>
          <w:tcPr>
            <w:tcW w:w="2281" w:type="dxa"/>
            <w:tcBorders>
              <w:top w:val="single" w:sz="2" w:space="0" w:color="auto"/>
              <w:bottom w:val="single" w:sz="2" w:space="0" w:color="auto"/>
            </w:tcBorders>
            <w:shd w:val="clear" w:color="auto" w:fill="auto"/>
            <w:noWrap/>
            <w:vAlign w:val="center"/>
          </w:tcPr>
          <w:p w:rsidR="00497839" w:rsidRPr="00827351" w:rsidRDefault="00497839" w:rsidP="00BB1149">
            <w:pPr>
              <w:spacing w:after="0"/>
              <w:jc w:val="right"/>
              <w:rPr>
                <w:rFonts w:ascii="Arial Narrow" w:hAnsi="Arial Narrow" w:cs="Arial"/>
                <w:snapToGrid w:val="0"/>
              </w:rPr>
            </w:pPr>
            <w:r w:rsidRPr="00827351">
              <w:rPr>
                <w:rFonts w:ascii="Arial Narrow" w:hAnsi="Arial Narrow" w:cs="Arial"/>
                <w:snapToGrid w:val="0"/>
              </w:rPr>
              <w:t>-2.634.632,</w:t>
            </w:r>
          </w:p>
        </w:tc>
        <w:tc>
          <w:tcPr>
            <w:tcW w:w="1967"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hanging="1"/>
              <w:rPr>
                <w:rFonts w:ascii="Arial Narrow" w:hAnsi="Arial Narrow" w:cs="Arial"/>
              </w:rPr>
            </w:pPr>
          </w:p>
        </w:tc>
      </w:tr>
      <w:tr w:rsidR="00497839" w:rsidRPr="00827351" w:rsidTr="00BB1149">
        <w:trPr>
          <w:trHeight w:hRule="exact" w:val="284"/>
          <w:jc w:val="center"/>
        </w:trPr>
        <w:tc>
          <w:tcPr>
            <w:tcW w:w="4705"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firstLine="0"/>
              <w:rPr>
                <w:rFonts w:ascii="Arial Narrow" w:hAnsi="Arial Narrow" w:cs="Arial"/>
              </w:rPr>
            </w:pPr>
            <w:r w:rsidRPr="00827351">
              <w:rPr>
                <w:rFonts w:ascii="Arial Narrow" w:hAnsi="Arial Narrow" w:cs="Arial"/>
              </w:rPr>
              <w:t>Ingresos extrapresupuestarios</w:t>
            </w:r>
          </w:p>
        </w:tc>
        <w:tc>
          <w:tcPr>
            <w:tcW w:w="2281" w:type="dxa"/>
            <w:tcBorders>
              <w:top w:val="single" w:sz="2" w:space="0" w:color="auto"/>
              <w:bottom w:val="single" w:sz="2" w:space="0" w:color="auto"/>
            </w:tcBorders>
            <w:shd w:val="clear" w:color="auto" w:fill="auto"/>
            <w:noWrap/>
            <w:vAlign w:val="center"/>
          </w:tcPr>
          <w:p w:rsidR="00497839" w:rsidRPr="00827351" w:rsidRDefault="00497839" w:rsidP="00BB1149">
            <w:pPr>
              <w:spacing w:after="0"/>
              <w:jc w:val="right"/>
              <w:rPr>
                <w:rFonts w:ascii="Arial Narrow" w:hAnsi="Arial Narrow" w:cs="Arial"/>
                <w:snapToGrid w:val="0"/>
              </w:rPr>
            </w:pPr>
            <w:r w:rsidRPr="00827351">
              <w:rPr>
                <w:rFonts w:ascii="Arial Narrow" w:hAnsi="Arial Narrow" w:cs="Arial"/>
                <w:snapToGrid w:val="0"/>
              </w:rPr>
              <w:t>17.819.176</w:t>
            </w:r>
          </w:p>
        </w:tc>
        <w:tc>
          <w:tcPr>
            <w:tcW w:w="1967"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hanging="1"/>
              <w:rPr>
                <w:rFonts w:ascii="Arial Narrow" w:hAnsi="Arial Narrow" w:cs="Arial"/>
              </w:rPr>
            </w:pPr>
          </w:p>
        </w:tc>
      </w:tr>
      <w:tr w:rsidR="00497839" w:rsidRPr="00827351" w:rsidTr="00BB1149">
        <w:trPr>
          <w:trHeight w:hRule="exact" w:val="284"/>
          <w:jc w:val="center"/>
        </w:trPr>
        <w:tc>
          <w:tcPr>
            <w:tcW w:w="4705"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firstLine="0"/>
              <w:rPr>
                <w:rFonts w:ascii="Arial Narrow" w:hAnsi="Arial Narrow" w:cs="Arial"/>
              </w:rPr>
            </w:pPr>
            <w:r w:rsidRPr="00827351">
              <w:rPr>
                <w:rFonts w:ascii="Arial Narrow" w:hAnsi="Arial Narrow" w:cs="Arial"/>
              </w:rPr>
              <w:t>Derechos difícil recaudación</w:t>
            </w:r>
          </w:p>
        </w:tc>
        <w:tc>
          <w:tcPr>
            <w:tcW w:w="2281" w:type="dxa"/>
            <w:tcBorders>
              <w:top w:val="single" w:sz="2" w:space="0" w:color="auto"/>
              <w:bottom w:val="single" w:sz="2" w:space="0" w:color="auto"/>
            </w:tcBorders>
            <w:shd w:val="clear" w:color="auto" w:fill="auto"/>
            <w:noWrap/>
            <w:vAlign w:val="center"/>
          </w:tcPr>
          <w:p w:rsidR="00497839" w:rsidRPr="00827351" w:rsidRDefault="00497839" w:rsidP="00BB1149">
            <w:pPr>
              <w:spacing w:after="0"/>
              <w:jc w:val="right"/>
              <w:rPr>
                <w:rFonts w:ascii="Arial Narrow" w:hAnsi="Arial Narrow" w:cs="Arial"/>
                <w:snapToGrid w:val="0"/>
              </w:rPr>
            </w:pPr>
            <w:r w:rsidRPr="00827351">
              <w:rPr>
                <w:rFonts w:ascii="Arial Narrow" w:hAnsi="Arial Narrow" w:cs="Arial"/>
                <w:snapToGrid w:val="0"/>
              </w:rPr>
              <w:t>-223.076</w:t>
            </w:r>
          </w:p>
        </w:tc>
        <w:tc>
          <w:tcPr>
            <w:tcW w:w="1967"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hanging="1"/>
              <w:rPr>
                <w:rFonts w:ascii="Arial Narrow" w:hAnsi="Arial Narrow" w:cs="Arial"/>
              </w:rPr>
            </w:pPr>
          </w:p>
        </w:tc>
      </w:tr>
      <w:tr w:rsidR="00497839" w:rsidRPr="00827351" w:rsidTr="00BB1149">
        <w:trPr>
          <w:trHeight w:hRule="exact" w:val="284"/>
          <w:jc w:val="center"/>
        </w:trPr>
        <w:tc>
          <w:tcPr>
            <w:tcW w:w="6986" w:type="dxa"/>
            <w:gridSpan w:val="2"/>
            <w:tcBorders>
              <w:top w:val="single" w:sz="2" w:space="0" w:color="auto"/>
              <w:bottom w:val="single" w:sz="2" w:space="0" w:color="auto"/>
            </w:tcBorders>
            <w:shd w:val="clear" w:color="auto" w:fill="auto"/>
            <w:noWrap/>
            <w:vAlign w:val="center"/>
          </w:tcPr>
          <w:p w:rsidR="00497839" w:rsidRPr="00827351" w:rsidRDefault="00497839" w:rsidP="00BB1149">
            <w:pPr>
              <w:spacing w:after="0"/>
              <w:ind w:hanging="1"/>
              <w:rPr>
                <w:rFonts w:ascii="Arial Narrow" w:hAnsi="Arial Narrow" w:cs="Arial"/>
                <w:b/>
                <w:bCs/>
              </w:rPr>
            </w:pPr>
            <w:r w:rsidRPr="00827351">
              <w:rPr>
                <w:rFonts w:ascii="Arial Narrow" w:hAnsi="Arial Narrow" w:cs="Arial"/>
                <w:b/>
                <w:bCs/>
              </w:rPr>
              <w:t>- Obligaciones pendientes de pago</w:t>
            </w:r>
          </w:p>
        </w:tc>
        <w:tc>
          <w:tcPr>
            <w:tcW w:w="1967" w:type="dxa"/>
            <w:tcBorders>
              <w:top w:val="single" w:sz="2" w:space="0" w:color="auto"/>
              <w:bottom w:val="single" w:sz="2" w:space="0" w:color="auto"/>
            </w:tcBorders>
            <w:shd w:val="clear" w:color="auto" w:fill="auto"/>
            <w:noWrap/>
            <w:vAlign w:val="center"/>
          </w:tcPr>
          <w:p w:rsidR="00497839" w:rsidRPr="00CD5599" w:rsidRDefault="00497839" w:rsidP="00BB1149">
            <w:pPr>
              <w:spacing w:after="0"/>
              <w:jc w:val="right"/>
              <w:rPr>
                <w:rFonts w:ascii="Arial Narrow" w:hAnsi="Arial Narrow" w:cs="Arial"/>
                <w:b/>
                <w:snapToGrid w:val="0"/>
              </w:rPr>
            </w:pPr>
            <w:r w:rsidRPr="00CD5599">
              <w:rPr>
                <w:rFonts w:ascii="Arial Narrow" w:hAnsi="Arial Narrow" w:cs="Arial"/>
                <w:b/>
                <w:snapToGrid w:val="0"/>
              </w:rPr>
              <w:t>-508.894.317</w:t>
            </w:r>
          </w:p>
        </w:tc>
      </w:tr>
      <w:tr w:rsidR="00497839" w:rsidRPr="00827351" w:rsidTr="00BB1149">
        <w:trPr>
          <w:trHeight w:hRule="exact" w:val="284"/>
          <w:jc w:val="center"/>
        </w:trPr>
        <w:tc>
          <w:tcPr>
            <w:tcW w:w="4705"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right="-70" w:firstLine="0"/>
              <w:rPr>
                <w:rFonts w:ascii="Arial Narrow" w:hAnsi="Arial Narrow" w:cs="Arial"/>
              </w:rPr>
            </w:pPr>
            <w:r w:rsidRPr="00827351">
              <w:rPr>
                <w:rFonts w:ascii="Arial Narrow" w:hAnsi="Arial Narrow" w:cs="Arial"/>
              </w:rPr>
              <w:t>Presupuesto Gastos: ejercicio corriente</w:t>
            </w:r>
          </w:p>
        </w:tc>
        <w:tc>
          <w:tcPr>
            <w:tcW w:w="2281"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hanging="1"/>
              <w:jc w:val="right"/>
              <w:rPr>
                <w:rFonts w:ascii="Arial Narrow" w:hAnsi="Arial Narrow" w:cs="Arial"/>
              </w:rPr>
            </w:pPr>
            <w:r w:rsidRPr="00827351">
              <w:rPr>
                <w:rFonts w:ascii="Arial Narrow" w:hAnsi="Arial Narrow" w:cs="Arial"/>
              </w:rPr>
              <w:t>-469.741.141</w:t>
            </w:r>
          </w:p>
        </w:tc>
        <w:tc>
          <w:tcPr>
            <w:tcW w:w="1967"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hanging="1"/>
              <w:rPr>
                <w:rFonts w:ascii="Arial Narrow" w:hAnsi="Arial Narrow" w:cs="Arial"/>
              </w:rPr>
            </w:pPr>
          </w:p>
        </w:tc>
      </w:tr>
      <w:tr w:rsidR="00497839" w:rsidRPr="00827351" w:rsidTr="00BB1149">
        <w:trPr>
          <w:trHeight w:hRule="exact" w:val="284"/>
          <w:jc w:val="center"/>
        </w:trPr>
        <w:tc>
          <w:tcPr>
            <w:tcW w:w="4705"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firstLine="0"/>
              <w:rPr>
                <w:rFonts w:ascii="Arial Narrow" w:hAnsi="Arial Narrow" w:cs="Arial"/>
              </w:rPr>
            </w:pPr>
            <w:r w:rsidRPr="00827351">
              <w:rPr>
                <w:rFonts w:ascii="Arial Narrow" w:hAnsi="Arial Narrow" w:cs="Arial"/>
              </w:rPr>
              <w:t>Presupuesto Gastos: ejercicios cerrados</w:t>
            </w:r>
          </w:p>
        </w:tc>
        <w:tc>
          <w:tcPr>
            <w:tcW w:w="2281"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hanging="1"/>
              <w:jc w:val="right"/>
              <w:rPr>
                <w:rFonts w:ascii="Arial Narrow" w:hAnsi="Arial Narrow" w:cs="Arial"/>
              </w:rPr>
            </w:pPr>
            <w:r w:rsidRPr="00827351">
              <w:rPr>
                <w:rFonts w:ascii="Arial Narrow" w:hAnsi="Arial Narrow" w:cs="Arial"/>
              </w:rPr>
              <w:t>-6.371.566</w:t>
            </w:r>
          </w:p>
        </w:tc>
        <w:tc>
          <w:tcPr>
            <w:tcW w:w="1967"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hanging="1"/>
              <w:rPr>
                <w:rFonts w:ascii="Arial Narrow" w:hAnsi="Arial Narrow" w:cs="Arial"/>
              </w:rPr>
            </w:pPr>
          </w:p>
        </w:tc>
      </w:tr>
      <w:tr w:rsidR="00497839" w:rsidRPr="00827351" w:rsidTr="00BB1149">
        <w:trPr>
          <w:trHeight w:hRule="exact" w:val="284"/>
          <w:jc w:val="center"/>
        </w:trPr>
        <w:tc>
          <w:tcPr>
            <w:tcW w:w="4705"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firstLine="0"/>
              <w:rPr>
                <w:rFonts w:ascii="Arial Narrow" w:hAnsi="Arial Narrow" w:cs="Arial"/>
              </w:rPr>
            </w:pPr>
            <w:r w:rsidRPr="00827351">
              <w:rPr>
                <w:rFonts w:ascii="Arial Narrow" w:hAnsi="Arial Narrow" w:cs="Arial"/>
              </w:rPr>
              <w:t>Gastos extrapresupuestarios</w:t>
            </w:r>
          </w:p>
        </w:tc>
        <w:tc>
          <w:tcPr>
            <w:tcW w:w="2281"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hanging="1"/>
              <w:jc w:val="right"/>
              <w:rPr>
                <w:rFonts w:ascii="Arial Narrow" w:hAnsi="Arial Narrow" w:cs="Arial"/>
              </w:rPr>
            </w:pPr>
            <w:r w:rsidRPr="00827351">
              <w:rPr>
                <w:rFonts w:ascii="Arial Narrow" w:hAnsi="Arial Narrow" w:cs="Arial"/>
              </w:rPr>
              <w:t>-32.781.610</w:t>
            </w:r>
          </w:p>
        </w:tc>
        <w:tc>
          <w:tcPr>
            <w:tcW w:w="1967"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hanging="1"/>
              <w:rPr>
                <w:rFonts w:ascii="Arial Narrow" w:hAnsi="Arial Narrow" w:cs="Arial"/>
              </w:rPr>
            </w:pPr>
          </w:p>
        </w:tc>
      </w:tr>
      <w:tr w:rsidR="00497839" w:rsidRPr="00CD5599" w:rsidTr="00BB1149">
        <w:trPr>
          <w:trHeight w:hRule="exact" w:val="284"/>
          <w:jc w:val="center"/>
        </w:trPr>
        <w:tc>
          <w:tcPr>
            <w:tcW w:w="4705"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firstLine="12"/>
              <w:rPr>
                <w:rFonts w:ascii="Arial Narrow" w:hAnsi="Arial Narrow" w:cs="Arial"/>
                <w:b/>
                <w:bCs/>
              </w:rPr>
            </w:pPr>
            <w:r w:rsidRPr="00827351">
              <w:rPr>
                <w:rFonts w:ascii="Arial Narrow" w:hAnsi="Arial Narrow" w:cs="Arial"/>
                <w:b/>
                <w:bCs/>
              </w:rPr>
              <w:t>+ Fondos líquidos</w:t>
            </w:r>
          </w:p>
        </w:tc>
        <w:tc>
          <w:tcPr>
            <w:tcW w:w="2281"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hanging="1"/>
              <w:rPr>
                <w:rFonts w:ascii="Arial Narrow" w:hAnsi="Arial Narrow" w:cs="Arial"/>
                <w:b/>
              </w:rPr>
            </w:pPr>
          </w:p>
        </w:tc>
        <w:tc>
          <w:tcPr>
            <w:tcW w:w="1967" w:type="dxa"/>
            <w:tcBorders>
              <w:top w:val="single" w:sz="2" w:space="0" w:color="auto"/>
              <w:bottom w:val="single" w:sz="2" w:space="0" w:color="auto"/>
            </w:tcBorders>
            <w:shd w:val="clear" w:color="auto" w:fill="auto"/>
            <w:noWrap/>
            <w:vAlign w:val="center"/>
          </w:tcPr>
          <w:p w:rsidR="00497839" w:rsidRPr="00CD5599" w:rsidRDefault="00497839" w:rsidP="00BB1149">
            <w:pPr>
              <w:spacing w:after="0"/>
              <w:ind w:hanging="1"/>
              <w:jc w:val="right"/>
              <w:rPr>
                <w:rFonts w:ascii="Arial Narrow" w:hAnsi="Arial Narrow" w:cs="Arial"/>
                <w:b/>
                <w:bCs/>
              </w:rPr>
            </w:pPr>
            <w:r w:rsidRPr="00CD5599">
              <w:rPr>
                <w:rFonts w:ascii="Arial Narrow" w:hAnsi="Arial Narrow" w:cs="Arial"/>
                <w:b/>
                <w:bCs/>
              </w:rPr>
              <w:t>61.971.413</w:t>
            </w:r>
          </w:p>
        </w:tc>
      </w:tr>
      <w:tr w:rsidR="00497839" w:rsidRPr="00CD5599" w:rsidTr="000E7C62">
        <w:trPr>
          <w:trHeight w:hRule="exact" w:val="284"/>
          <w:jc w:val="center"/>
        </w:trPr>
        <w:tc>
          <w:tcPr>
            <w:tcW w:w="6986" w:type="dxa"/>
            <w:gridSpan w:val="2"/>
            <w:tcBorders>
              <w:top w:val="single" w:sz="2" w:space="0" w:color="auto"/>
              <w:bottom w:val="single" w:sz="2" w:space="0" w:color="auto"/>
            </w:tcBorders>
            <w:shd w:val="clear" w:color="auto" w:fill="A8CBEE" w:themeFill="accent2" w:themeFillTint="66"/>
            <w:noWrap/>
            <w:vAlign w:val="center"/>
          </w:tcPr>
          <w:p w:rsidR="00497839" w:rsidRPr="00827351" w:rsidRDefault="00497839" w:rsidP="00BB1149">
            <w:pPr>
              <w:pStyle w:val="cuadroCabe"/>
              <w:rPr>
                <w:rFonts w:ascii="Arial Narrow" w:hAnsi="Arial Narrow" w:cs="Arial"/>
                <w:b/>
                <w:bCs/>
                <w:sz w:val="20"/>
                <w:szCs w:val="20"/>
              </w:rPr>
            </w:pPr>
            <w:r w:rsidRPr="00827351">
              <w:rPr>
                <w:rFonts w:ascii="Arial Narrow" w:hAnsi="Arial Narrow"/>
                <w:sz w:val="20"/>
                <w:szCs w:val="20"/>
              </w:rPr>
              <w:t>Remanente de Tesorería Total</w:t>
            </w:r>
          </w:p>
        </w:tc>
        <w:tc>
          <w:tcPr>
            <w:tcW w:w="1967" w:type="dxa"/>
            <w:tcBorders>
              <w:top w:val="single" w:sz="2" w:space="0" w:color="auto"/>
              <w:bottom w:val="single" w:sz="2" w:space="0" w:color="auto"/>
            </w:tcBorders>
            <w:shd w:val="clear" w:color="auto" w:fill="A8CBEE" w:themeFill="accent2" w:themeFillTint="66"/>
            <w:noWrap/>
            <w:vAlign w:val="center"/>
          </w:tcPr>
          <w:p w:rsidR="00497839" w:rsidRPr="00CD5599" w:rsidRDefault="00497839" w:rsidP="00BB1149">
            <w:pPr>
              <w:pStyle w:val="cuadroCabe"/>
              <w:jc w:val="right"/>
              <w:rPr>
                <w:rFonts w:ascii="Arial Narrow" w:hAnsi="Arial Narrow" w:cs="Arial"/>
                <w:bCs/>
                <w:sz w:val="20"/>
                <w:szCs w:val="20"/>
              </w:rPr>
            </w:pPr>
            <w:r w:rsidRPr="00CD5599">
              <w:rPr>
                <w:rFonts w:ascii="Arial Narrow" w:hAnsi="Arial Narrow" w:cs="Arial"/>
                <w:bCs/>
                <w:sz w:val="20"/>
                <w:szCs w:val="20"/>
              </w:rPr>
              <w:t>-183.291.476</w:t>
            </w:r>
          </w:p>
        </w:tc>
      </w:tr>
      <w:tr w:rsidR="00497839" w:rsidRPr="00827351" w:rsidTr="00BB1149">
        <w:trPr>
          <w:trHeight w:hRule="exact" w:val="284"/>
          <w:jc w:val="center"/>
        </w:trPr>
        <w:tc>
          <w:tcPr>
            <w:tcW w:w="4705" w:type="dxa"/>
            <w:tcBorders>
              <w:top w:val="single" w:sz="2" w:space="0" w:color="auto"/>
              <w:bottom w:val="single" w:sz="2" w:space="0" w:color="auto"/>
            </w:tcBorders>
            <w:shd w:val="clear" w:color="auto" w:fill="auto"/>
            <w:noWrap/>
            <w:vAlign w:val="center"/>
          </w:tcPr>
          <w:p w:rsidR="00497839" w:rsidRPr="00827351" w:rsidRDefault="00497839" w:rsidP="007B7BC8">
            <w:pPr>
              <w:spacing w:after="0"/>
              <w:ind w:firstLine="0"/>
              <w:jc w:val="left"/>
              <w:rPr>
                <w:rFonts w:ascii="Arial Narrow" w:hAnsi="Arial Narrow" w:cs="Arial"/>
              </w:rPr>
            </w:pPr>
            <w:r w:rsidRPr="00827351">
              <w:rPr>
                <w:rFonts w:ascii="Arial Narrow" w:hAnsi="Arial Narrow" w:cs="Arial"/>
              </w:rPr>
              <w:t>R.T. afecto a Fondo Haciendas Locales</w:t>
            </w:r>
          </w:p>
        </w:tc>
        <w:tc>
          <w:tcPr>
            <w:tcW w:w="2281"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hanging="1"/>
              <w:jc w:val="right"/>
              <w:rPr>
                <w:rFonts w:ascii="Arial Narrow" w:hAnsi="Arial Narrow" w:cs="Arial"/>
              </w:rPr>
            </w:pPr>
            <w:r w:rsidRPr="00827351">
              <w:rPr>
                <w:rFonts w:ascii="Arial Narrow" w:hAnsi="Arial Narrow" w:cs="Arial"/>
              </w:rPr>
              <w:t>52.425.428</w:t>
            </w:r>
          </w:p>
        </w:tc>
        <w:tc>
          <w:tcPr>
            <w:tcW w:w="1967"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hanging="1"/>
              <w:rPr>
                <w:rFonts w:ascii="Arial Narrow" w:hAnsi="Arial Narrow" w:cs="Arial"/>
                <w:b/>
              </w:rPr>
            </w:pPr>
          </w:p>
        </w:tc>
      </w:tr>
      <w:tr w:rsidR="00497839" w:rsidRPr="00827351" w:rsidTr="00BB1149">
        <w:trPr>
          <w:trHeight w:hRule="exact" w:val="284"/>
          <w:jc w:val="center"/>
        </w:trPr>
        <w:tc>
          <w:tcPr>
            <w:tcW w:w="4705" w:type="dxa"/>
            <w:tcBorders>
              <w:top w:val="single" w:sz="2" w:space="0" w:color="auto"/>
              <w:bottom w:val="single" w:sz="2" w:space="0" w:color="auto"/>
            </w:tcBorders>
            <w:shd w:val="clear" w:color="auto" w:fill="auto"/>
            <w:noWrap/>
            <w:vAlign w:val="center"/>
          </w:tcPr>
          <w:p w:rsidR="00497839" w:rsidRPr="00827351" w:rsidRDefault="00497839" w:rsidP="007B7BC8">
            <w:pPr>
              <w:spacing w:after="0"/>
              <w:ind w:firstLine="0"/>
              <w:jc w:val="left"/>
              <w:rPr>
                <w:rFonts w:ascii="Arial Narrow" w:hAnsi="Arial Narrow" w:cs="Arial"/>
              </w:rPr>
            </w:pPr>
            <w:r w:rsidRPr="00827351">
              <w:rPr>
                <w:rFonts w:ascii="Arial Narrow" w:hAnsi="Arial Narrow" w:cs="Arial"/>
              </w:rPr>
              <w:t>Desviaciones de financiación acumuladas positivas</w:t>
            </w:r>
          </w:p>
        </w:tc>
        <w:tc>
          <w:tcPr>
            <w:tcW w:w="2281"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hanging="1"/>
              <w:jc w:val="right"/>
              <w:rPr>
                <w:rFonts w:ascii="Arial Narrow" w:hAnsi="Arial Narrow" w:cs="Arial"/>
              </w:rPr>
            </w:pPr>
            <w:r w:rsidRPr="00827351">
              <w:rPr>
                <w:rFonts w:ascii="Arial Narrow" w:hAnsi="Arial Narrow" w:cs="Arial"/>
              </w:rPr>
              <w:t>2.382.711</w:t>
            </w:r>
          </w:p>
        </w:tc>
        <w:tc>
          <w:tcPr>
            <w:tcW w:w="1967"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hanging="1"/>
              <w:rPr>
                <w:rFonts w:ascii="Arial Narrow" w:hAnsi="Arial Narrow" w:cs="Arial"/>
                <w:b/>
              </w:rPr>
            </w:pPr>
          </w:p>
        </w:tc>
      </w:tr>
      <w:tr w:rsidR="00497839" w:rsidRPr="00A645B1" w:rsidTr="000E7C62">
        <w:trPr>
          <w:trHeight w:hRule="exact" w:val="284"/>
          <w:jc w:val="center"/>
        </w:trPr>
        <w:tc>
          <w:tcPr>
            <w:tcW w:w="6986" w:type="dxa"/>
            <w:gridSpan w:val="2"/>
            <w:tcBorders>
              <w:top w:val="single" w:sz="2" w:space="0" w:color="auto"/>
              <w:bottom w:val="single" w:sz="2" w:space="0" w:color="auto"/>
            </w:tcBorders>
            <w:shd w:val="clear" w:color="auto" w:fill="A8CBEE" w:themeFill="accent2" w:themeFillTint="66"/>
            <w:noWrap/>
            <w:vAlign w:val="center"/>
          </w:tcPr>
          <w:p w:rsidR="00497839" w:rsidRPr="00035192" w:rsidRDefault="00497839" w:rsidP="00BB1149">
            <w:pPr>
              <w:pStyle w:val="cuadroCabe"/>
            </w:pPr>
            <w:r w:rsidRPr="00035192">
              <w:t>Remanente de Tesorería afecto</w:t>
            </w:r>
          </w:p>
        </w:tc>
        <w:tc>
          <w:tcPr>
            <w:tcW w:w="1967" w:type="dxa"/>
            <w:tcBorders>
              <w:top w:val="single" w:sz="2" w:space="0" w:color="auto"/>
              <w:bottom w:val="single" w:sz="2" w:space="0" w:color="auto"/>
            </w:tcBorders>
            <w:shd w:val="clear" w:color="auto" w:fill="A8CBEE" w:themeFill="accent2" w:themeFillTint="66"/>
            <w:noWrap/>
            <w:vAlign w:val="center"/>
          </w:tcPr>
          <w:p w:rsidR="00497839" w:rsidRPr="00827351" w:rsidRDefault="00497839" w:rsidP="00BB1149">
            <w:pPr>
              <w:pStyle w:val="cuadroCabe"/>
              <w:jc w:val="right"/>
              <w:rPr>
                <w:rFonts w:cs="Arial"/>
              </w:rPr>
            </w:pPr>
            <w:r w:rsidRPr="00827351">
              <w:rPr>
                <w:rFonts w:cs="Arial"/>
              </w:rPr>
              <w:t>54.808.139</w:t>
            </w:r>
          </w:p>
        </w:tc>
      </w:tr>
      <w:tr w:rsidR="00497839" w:rsidRPr="00A645B1" w:rsidTr="000E7C62">
        <w:trPr>
          <w:trHeight w:hRule="exact" w:val="284"/>
          <w:jc w:val="center"/>
        </w:trPr>
        <w:tc>
          <w:tcPr>
            <w:tcW w:w="6986" w:type="dxa"/>
            <w:gridSpan w:val="2"/>
            <w:tcBorders>
              <w:top w:val="single" w:sz="2" w:space="0" w:color="auto"/>
              <w:bottom w:val="single" w:sz="2" w:space="0" w:color="auto"/>
            </w:tcBorders>
            <w:shd w:val="clear" w:color="auto" w:fill="A8CBEE" w:themeFill="accent2" w:themeFillTint="66"/>
            <w:noWrap/>
            <w:vAlign w:val="center"/>
          </w:tcPr>
          <w:p w:rsidR="00497839" w:rsidRPr="00035192" w:rsidRDefault="00497839" w:rsidP="00BB1149">
            <w:pPr>
              <w:pStyle w:val="cuadroCabe"/>
            </w:pPr>
            <w:r w:rsidRPr="00035192">
              <w:t>Remanente de Tesorería gastos generales</w:t>
            </w:r>
          </w:p>
        </w:tc>
        <w:tc>
          <w:tcPr>
            <w:tcW w:w="1967" w:type="dxa"/>
            <w:tcBorders>
              <w:top w:val="single" w:sz="2" w:space="0" w:color="auto"/>
              <w:bottom w:val="single" w:sz="2" w:space="0" w:color="auto"/>
            </w:tcBorders>
            <w:shd w:val="clear" w:color="auto" w:fill="A8CBEE" w:themeFill="accent2" w:themeFillTint="66"/>
            <w:noWrap/>
            <w:vAlign w:val="center"/>
          </w:tcPr>
          <w:p w:rsidR="00497839" w:rsidRPr="00827351" w:rsidRDefault="00497839" w:rsidP="00BB1149">
            <w:pPr>
              <w:pStyle w:val="cuadroCabe"/>
              <w:jc w:val="right"/>
              <w:rPr>
                <w:rFonts w:cs="Arial"/>
                <w:bCs/>
              </w:rPr>
            </w:pPr>
            <w:r w:rsidRPr="00827351">
              <w:rPr>
                <w:rFonts w:cs="Arial"/>
                <w:bCs/>
              </w:rPr>
              <w:t>-238.099.616</w:t>
            </w:r>
          </w:p>
        </w:tc>
      </w:tr>
    </w:tbl>
    <w:p w:rsidR="00497839" w:rsidRDefault="00497839" w:rsidP="00497839">
      <w:pPr>
        <w:pStyle w:val="texto"/>
      </w:pPr>
    </w:p>
    <w:p w:rsidR="00497839" w:rsidRDefault="00497839" w:rsidP="00497839">
      <w:pPr>
        <w:pStyle w:val="atitulo2"/>
      </w:pPr>
      <w:r>
        <w:br w:type="page"/>
      </w:r>
      <w:bookmarkStart w:id="30" w:name="_Toc340229946"/>
      <w:bookmarkStart w:id="31" w:name="_Toc394485124"/>
      <w:bookmarkStart w:id="32" w:name="_Toc399859619"/>
      <w:bookmarkStart w:id="33" w:name="_Toc463350244"/>
      <w:r>
        <w:lastRenderedPageBreak/>
        <w:t>III.4. Balance de situación a 31 de diciembre de 2015</w:t>
      </w:r>
      <w:bookmarkEnd w:id="30"/>
      <w:bookmarkEnd w:id="31"/>
      <w:bookmarkEnd w:id="32"/>
      <w:bookmarkEnd w:id="33"/>
    </w:p>
    <w:p w:rsidR="00497839" w:rsidRPr="00A645B1" w:rsidRDefault="00497839" w:rsidP="0011458F">
      <w:pPr>
        <w:pStyle w:val="texto"/>
        <w:spacing w:after="40"/>
        <w:jc w:val="right"/>
        <w:rPr>
          <w:rFonts w:ascii="GillSans Light" w:hAnsi="GillSans Light"/>
          <w:sz w:val="18"/>
          <w:szCs w:val="18"/>
        </w:rPr>
      </w:pPr>
      <w:r w:rsidRPr="00A645B1">
        <w:rPr>
          <w:rFonts w:ascii="GillSans Light" w:hAnsi="GillSans Light"/>
          <w:sz w:val="18"/>
          <w:szCs w:val="18"/>
        </w:rPr>
        <w:t>(</w:t>
      </w:r>
      <w:r w:rsidR="007E1C86">
        <w:rPr>
          <w:rFonts w:ascii="GillSans Light" w:hAnsi="GillSans Light"/>
          <w:sz w:val="18"/>
          <w:szCs w:val="18"/>
        </w:rPr>
        <w:t>E</w:t>
      </w:r>
      <w:r w:rsidRPr="00A645B1">
        <w:rPr>
          <w:rFonts w:ascii="GillSans Light" w:hAnsi="GillSans Light"/>
          <w:sz w:val="18"/>
          <w:szCs w:val="18"/>
        </w:rPr>
        <w:t>n euros)</w:t>
      </w:r>
    </w:p>
    <w:tbl>
      <w:tblPr>
        <w:tblW w:w="9037" w:type="dxa"/>
        <w:jc w:val="center"/>
        <w:tblInd w:w="317" w:type="dxa"/>
        <w:tblLayout w:type="fixed"/>
        <w:tblCellMar>
          <w:left w:w="70" w:type="dxa"/>
          <w:right w:w="70" w:type="dxa"/>
        </w:tblCellMar>
        <w:tblLook w:val="0000" w:firstRow="0" w:lastRow="0" w:firstColumn="0" w:lastColumn="0" w:noHBand="0" w:noVBand="0"/>
      </w:tblPr>
      <w:tblGrid>
        <w:gridCol w:w="4944"/>
        <w:gridCol w:w="1930"/>
        <w:gridCol w:w="2163"/>
      </w:tblGrid>
      <w:tr w:rsidR="00497839" w:rsidRPr="00A645B1" w:rsidTr="00B4698F">
        <w:trPr>
          <w:trHeight w:hRule="exact" w:val="340"/>
          <w:jc w:val="center"/>
        </w:trPr>
        <w:tc>
          <w:tcPr>
            <w:tcW w:w="4944" w:type="dxa"/>
            <w:tcBorders>
              <w:top w:val="single" w:sz="4" w:space="0" w:color="auto"/>
              <w:bottom w:val="single" w:sz="4" w:space="0" w:color="auto"/>
            </w:tcBorders>
            <w:shd w:val="clear" w:color="auto" w:fill="A8CBEE" w:themeFill="accent2" w:themeFillTint="66"/>
            <w:vAlign w:val="center"/>
          </w:tcPr>
          <w:p w:rsidR="00497839" w:rsidRPr="00A645B1" w:rsidRDefault="00497839" w:rsidP="00BB1149">
            <w:pPr>
              <w:pStyle w:val="cuadroCabe"/>
              <w:rPr>
                <w:snapToGrid w:val="0"/>
              </w:rPr>
            </w:pPr>
            <w:r w:rsidRPr="00A645B1">
              <w:rPr>
                <w:snapToGrid w:val="0"/>
              </w:rPr>
              <w:t>ACTIVO</w:t>
            </w:r>
          </w:p>
        </w:tc>
        <w:tc>
          <w:tcPr>
            <w:tcW w:w="1930" w:type="dxa"/>
            <w:tcBorders>
              <w:top w:val="single" w:sz="4" w:space="0" w:color="auto"/>
              <w:bottom w:val="single" w:sz="4" w:space="0" w:color="auto"/>
            </w:tcBorders>
            <w:shd w:val="clear" w:color="auto" w:fill="A8CBEE" w:themeFill="accent2" w:themeFillTint="66"/>
            <w:vAlign w:val="center"/>
          </w:tcPr>
          <w:p w:rsidR="00497839" w:rsidRPr="00A645B1" w:rsidRDefault="00497839" w:rsidP="00BB1149">
            <w:pPr>
              <w:pStyle w:val="cuadroCabe"/>
              <w:jc w:val="right"/>
              <w:rPr>
                <w:snapToGrid w:val="0"/>
                <w:lang w:val="es-ES"/>
              </w:rPr>
            </w:pPr>
            <w:r w:rsidRPr="00A645B1">
              <w:rPr>
                <w:snapToGrid w:val="0"/>
                <w:lang w:val="es-ES"/>
              </w:rPr>
              <w:t>Ejercicio 201</w:t>
            </w:r>
            <w:r>
              <w:rPr>
                <w:snapToGrid w:val="0"/>
                <w:lang w:val="es-ES"/>
              </w:rPr>
              <w:t>5</w:t>
            </w:r>
          </w:p>
        </w:tc>
        <w:tc>
          <w:tcPr>
            <w:tcW w:w="2163" w:type="dxa"/>
            <w:tcBorders>
              <w:top w:val="single" w:sz="4" w:space="0" w:color="auto"/>
              <w:bottom w:val="single" w:sz="4" w:space="0" w:color="auto"/>
            </w:tcBorders>
            <w:shd w:val="clear" w:color="auto" w:fill="A8CBEE" w:themeFill="accent2" w:themeFillTint="66"/>
            <w:vAlign w:val="center"/>
          </w:tcPr>
          <w:p w:rsidR="00497839" w:rsidRPr="00A645B1" w:rsidRDefault="00497839" w:rsidP="00BB1149">
            <w:pPr>
              <w:pStyle w:val="cuadroCabe"/>
              <w:jc w:val="right"/>
              <w:rPr>
                <w:snapToGrid w:val="0"/>
                <w:lang w:val="es-ES"/>
              </w:rPr>
            </w:pPr>
            <w:r w:rsidRPr="00A645B1">
              <w:rPr>
                <w:snapToGrid w:val="0"/>
                <w:lang w:val="es-ES"/>
              </w:rPr>
              <w:t>Ejercicio 201</w:t>
            </w:r>
            <w:r>
              <w:rPr>
                <w:snapToGrid w:val="0"/>
                <w:lang w:val="es-ES"/>
              </w:rPr>
              <w:t>4</w:t>
            </w:r>
          </w:p>
        </w:tc>
      </w:tr>
      <w:tr w:rsidR="00497839" w:rsidRPr="00684FAF" w:rsidTr="00B4698F">
        <w:trPr>
          <w:trHeight w:hRule="exact" w:val="312"/>
          <w:jc w:val="center"/>
        </w:trPr>
        <w:tc>
          <w:tcPr>
            <w:tcW w:w="4944" w:type="dxa"/>
            <w:tcBorders>
              <w:top w:val="single" w:sz="4" w:space="0" w:color="auto"/>
              <w:bottom w:val="single" w:sz="4" w:space="0" w:color="auto"/>
            </w:tcBorders>
            <w:vAlign w:val="center"/>
          </w:tcPr>
          <w:p w:rsidR="00497839" w:rsidRPr="00684FAF" w:rsidRDefault="00497839" w:rsidP="00BB1149">
            <w:pPr>
              <w:spacing w:after="0"/>
              <w:ind w:left="71" w:firstLine="0"/>
              <w:rPr>
                <w:rFonts w:ascii="Arial Narrow" w:hAnsi="Arial Narrow" w:cs="Arial"/>
                <w:b/>
                <w:snapToGrid w:val="0"/>
                <w:color w:val="000000"/>
              </w:rPr>
            </w:pPr>
            <w:r w:rsidRPr="00684FAF">
              <w:rPr>
                <w:rFonts w:ascii="Arial Narrow" w:hAnsi="Arial Narrow" w:cs="Arial"/>
                <w:b/>
                <w:snapToGrid w:val="0"/>
                <w:color w:val="000000"/>
              </w:rPr>
              <w:t xml:space="preserve">A) Inmovilizado </w:t>
            </w:r>
          </w:p>
        </w:tc>
        <w:tc>
          <w:tcPr>
            <w:tcW w:w="1930" w:type="dxa"/>
            <w:tcBorders>
              <w:top w:val="single" w:sz="4" w:space="0" w:color="auto"/>
              <w:bottom w:val="single" w:sz="4" w:space="0" w:color="auto"/>
            </w:tcBorders>
            <w:vAlign w:val="center"/>
          </w:tcPr>
          <w:p w:rsidR="00497839" w:rsidRPr="00E97FC9" w:rsidRDefault="00B64821" w:rsidP="00B64821">
            <w:pPr>
              <w:spacing w:after="0"/>
              <w:ind w:left="71"/>
              <w:jc w:val="right"/>
              <w:rPr>
                <w:rFonts w:ascii="Arial Narrow" w:hAnsi="Arial Narrow" w:cs="Arial"/>
                <w:b/>
                <w:snapToGrid w:val="0"/>
                <w:color w:val="000000"/>
              </w:rPr>
            </w:pPr>
            <w:r w:rsidRPr="00B64821">
              <w:rPr>
                <w:rFonts w:ascii="Arial Narrow" w:hAnsi="Arial Narrow" w:cs="Arial"/>
                <w:b/>
                <w:snapToGrid w:val="0"/>
                <w:color w:val="000000"/>
              </w:rPr>
              <w:t>2.775.979.301</w:t>
            </w:r>
          </w:p>
        </w:tc>
        <w:tc>
          <w:tcPr>
            <w:tcW w:w="2163" w:type="dxa"/>
            <w:tcBorders>
              <w:top w:val="single" w:sz="4" w:space="0" w:color="auto"/>
              <w:bottom w:val="single" w:sz="4" w:space="0" w:color="auto"/>
            </w:tcBorders>
            <w:vAlign w:val="center"/>
          </w:tcPr>
          <w:p w:rsidR="00497839" w:rsidRPr="00E97FC9" w:rsidRDefault="00497839" w:rsidP="00BB1149">
            <w:pPr>
              <w:spacing w:after="0"/>
              <w:ind w:left="71"/>
              <w:jc w:val="right"/>
              <w:rPr>
                <w:rFonts w:ascii="Arial Narrow" w:hAnsi="Arial Narrow" w:cs="Arial"/>
                <w:b/>
                <w:snapToGrid w:val="0"/>
                <w:color w:val="000000"/>
              </w:rPr>
            </w:pPr>
            <w:r>
              <w:rPr>
                <w:rFonts w:ascii="Arial Narrow" w:hAnsi="Arial Narrow" w:cs="Arial"/>
                <w:b/>
                <w:snapToGrid w:val="0"/>
                <w:color w:val="000000"/>
              </w:rPr>
              <w:t>2.697.387.829</w:t>
            </w:r>
          </w:p>
        </w:tc>
      </w:tr>
      <w:tr w:rsidR="00497839" w:rsidRPr="00E97FC9" w:rsidTr="00B4698F">
        <w:trPr>
          <w:trHeight w:hRule="exact" w:val="312"/>
          <w:jc w:val="center"/>
        </w:trPr>
        <w:tc>
          <w:tcPr>
            <w:tcW w:w="4944" w:type="dxa"/>
            <w:tcBorders>
              <w:top w:val="single" w:sz="4" w:space="0" w:color="auto"/>
            </w:tcBorders>
            <w:vAlign w:val="center"/>
          </w:tcPr>
          <w:p w:rsidR="00497839" w:rsidRPr="00E97FC9" w:rsidRDefault="00497839" w:rsidP="00BB1149">
            <w:pPr>
              <w:spacing w:after="0"/>
              <w:ind w:left="71" w:firstLine="0"/>
              <w:rPr>
                <w:rFonts w:ascii="Arial Narrow" w:hAnsi="Arial Narrow" w:cs="Arial"/>
                <w:snapToGrid w:val="0"/>
                <w:color w:val="000000"/>
              </w:rPr>
            </w:pPr>
            <w:r w:rsidRPr="00E97FC9">
              <w:rPr>
                <w:rFonts w:ascii="Arial Narrow" w:hAnsi="Arial Narrow" w:cs="Arial"/>
                <w:snapToGrid w:val="0"/>
                <w:color w:val="000000"/>
              </w:rPr>
              <w:t>III. Inmovilizaciones materiales</w:t>
            </w:r>
          </w:p>
        </w:tc>
        <w:tc>
          <w:tcPr>
            <w:tcW w:w="1930" w:type="dxa"/>
            <w:tcBorders>
              <w:top w:val="single" w:sz="4" w:space="0" w:color="auto"/>
            </w:tcBorders>
            <w:vAlign w:val="center"/>
          </w:tcPr>
          <w:p w:rsidR="00497839" w:rsidRPr="00E97FC9" w:rsidRDefault="00497839" w:rsidP="00BB1149">
            <w:pPr>
              <w:spacing w:after="0"/>
              <w:ind w:left="71"/>
              <w:jc w:val="right"/>
              <w:rPr>
                <w:rFonts w:ascii="Arial Narrow" w:hAnsi="Arial Narrow" w:cs="Arial"/>
                <w:snapToGrid w:val="0"/>
                <w:color w:val="000000"/>
              </w:rPr>
            </w:pPr>
            <w:r w:rsidRPr="00E97FC9">
              <w:rPr>
                <w:rFonts w:ascii="Arial Narrow" w:hAnsi="Arial Narrow" w:cs="Arial"/>
                <w:snapToGrid w:val="0"/>
                <w:color w:val="000000"/>
              </w:rPr>
              <w:t>2.182.799.050</w:t>
            </w:r>
          </w:p>
        </w:tc>
        <w:tc>
          <w:tcPr>
            <w:tcW w:w="2163" w:type="dxa"/>
            <w:tcBorders>
              <w:top w:val="single" w:sz="4" w:space="0" w:color="auto"/>
            </w:tcBorders>
            <w:vAlign w:val="center"/>
          </w:tcPr>
          <w:p w:rsidR="00497839" w:rsidRPr="00E97FC9" w:rsidRDefault="00497839" w:rsidP="00BB1149">
            <w:pPr>
              <w:spacing w:after="0"/>
              <w:ind w:left="71"/>
              <w:jc w:val="right"/>
              <w:rPr>
                <w:rFonts w:ascii="Arial Narrow" w:hAnsi="Arial Narrow" w:cs="Arial"/>
                <w:snapToGrid w:val="0"/>
                <w:color w:val="000000"/>
              </w:rPr>
            </w:pPr>
            <w:r>
              <w:rPr>
                <w:rFonts w:ascii="Arial Narrow" w:hAnsi="Arial Narrow" w:cs="Arial"/>
                <w:snapToGrid w:val="0"/>
                <w:color w:val="000000"/>
              </w:rPr>
              <w:t>2.107.553.379</w:t>
            </w:r>
          </w:p>
        </w:tc>
      </w:tr>
      <w:tr w:rsidR="00497839" w:rsidRPr="00684FAF" w:rsidTr="00B4698F">
        <w:trPr>
          <w:trHeight w:hRule="exact" w:val="312"/>
          <w:jc w:val="center"/>
        </w:trPr>
        <w:tc>
          <w:tcPr>
            <w:tcW w:w="4944" w:type="dxa"/>
            <w:vAlign w:val="center"/>
          </w:tcPr>
          <w:p w:rsidR="00497839" w:rsidRPr="00684FAF" w:rsidRDefault="00497839" w:rsidP="00BB1149">
            <w:pPr>
              <w:spacing w:after="0"/>
              <w:ind w:left="71" w:firstLine="0"/>
              <w:rPr>
                <w:rFonts w:ascii="Arial Narrow" w:hAnsi="Arial Narrow" w:cs="Arial"/>
                <w:snapToGrid w:val="0"/>
                <w:color w:val="000000"/>
              </w:rPr>
            </w:pPr>
            <w:r w:rsidRPr="00684FAF">
              <w:rPr>
                <w:rFonts w:ascii="Arial Narrow" w:hAnsi="Arial Narrow" w:cs="Arial"/>
                <w:snapToGrid w:val="0"/>
                <w:color w:val="000000"/>
              </w:rPr>
              <w:t xml:space="preserve">1. Terrenos y construcciones </w:t>
            </w:r>
          </w:p>
        </w:tc>
        <w:tc>
          <w:tcPr>
            <w:tcW w:w="1930" w:type="dxa"/>
            <w:vAlign w:val="center"/>
          </w:tcPr>
          <w:p w:rsidR="00497839" w:rsidRPr="00E97FC9" w:rsidRDefault="00497839" w:rsidP="00BB1149">
            <w:pPr>
              <w:spacing w:after="0"/>
              <w:ind w:left="71"/>
              <w:jc w:val="right"/>
              <w:rPr>
                <w:rFonts w:ascii="Arial Narrow" w:hAnsi="Arial Narrow" w:cs="Arial"/>
                <w:snapToGrid w:val="0"/>
                <w:color w:val="000000"/>
              </w:rPr>
            </w:pPr>
            <w:r w:rsidRPr="00E97FC9">
              <w:rPr>
                <w:rFonts w:ascii="Arial Narrow" w:hAnsi="Arial Narrow" w:cs="Arial"/>
                <w:snapToGrid w:val="0"/>
                <w:color w:val="000000"/>
              </w:rPr>
              <w:t>1.467.314.60</w:t>
            </w:r>
            <w:r>
              <w:rPr>
                <w:rFonts w:ascii="Arial Narrow" w:hAnsi="Arial Narrow" w:cs="Arial"/>
                <w:snapToGrid w:val="0"/>
                <w:color w:val="000000"/>
              </w:rPr>
              <w:t>9</w:t>
            </w:r>
          </w:p>
        </w:tc>
        <w:tc>
          <w:tcPr>
            <w:tcW w:w="2163" w:type="dxa"/>
            <w:vAlign w:val="center"/>
          </w:tcPr>
          <w:p w:rsidR="00497839" w:rsidRPr="00E97FC9" w:rsidRDefault="00497839" w:rsidP="00BB1149">
            <w:pPr>
              <w:spacing w:after="0"/>
              <w:ind w:left="71"/>
              <w:jc w:val="right"/>
              <w:rPr>
                <w:rFonts w:ascii="Arial Narrow" w:hAnsi="Arial Narrow" w:cs="Arial"/>
                <w:snapToGrid w:val="0"/>
                <w:color w:val="000000"/>
              </w:rPr>
            </w:pPr>
            <w:r>
              <w:rPr>
                <w:rFonts w:ascii="Arial Narrow" w:hAnsi="Arial Narrow" w:cs="Arial"/>
                <w:snapToGrid w:val="0"/>
                <w:color w:val="000000"/>
              </w:rPr>
              <w:t>1.431.369.914</w:t>
            </w:r>
          </w:p>
        </w:tc>
      </w:tr>
      <w:tr w:rsidR="00497839" w:rsidRPr="00684FAF" w:rsidTr="00B4698F">
        <w:trPr>
          <w:trHeight w:hRule="exact" w:val="312"/>
          <w:jc w:val="center"/>
        </w:trPr>
        <w:tc>
          <w:tcPr>
            <w:tcW w:w="4944" w:type="dxa"/>
            <w:vAlign w:val="center"/>
          </w:tcPr>
          <w:p w:rsidR="00497839" w:rsidRPr="00684FAF" w:rsidRDefault="00497839" w:rsidP="00BB1149">
            <w:pPr>
              <w:spacing w:after="0"/>
              <w:ind w:left="71" w:firstLine="0"/>
              <w:rPr>
                <w:rFonts w:ascii="Arial Narrow" w:hAnsi="Arial Narrow" w:cs="Arial"/>
                <w:snapToGrid w:val="0"/>
                <w:color w:val="000000"/>
              </w:rPr>
            </w:pPr>
            <w:r w:rsidRPr="00684FAF">
              <w:rPr>
                <w:rFonts w:ascii="Arial Narrow" w:hAnsi="Arial Narrow" w:cs="Arial"/>
                <w:snapToGrid w:val="0"/>
                <w:color w:val="000000"/>
              </w:rPr>
              <w:t>2. Instalaciones técnicas y maquinaria</w:t>
            </w:r>
          </w:p>
        </w:tc>
        <w:tc>
          <w:tcPr>
            <w:tcW w:w="1930" w:type="dxa"/>
            <w:vAlign w:val="center"/>
          </w:tcPr>
          <w:p w:rsidR="00497839" w:rsidRPr="00E97FC9" w:rsidRDefault="00497839" w:rsidP="00BB1149">
            <w:pPr>
              <w:spacing w:after="0"/>
              <w:ind w:left="71"/>
              <w:jc w:val="right"/>
              <w:rPr>
                <w:rFonts w:ascii="Arial Narrow" w:hAnsi="Arial Narrow" w:cs="Arial"/>
                <w:snapToGrid w:val="0"/>
                <w:color w:val="000000"/>
              </w:rPr>
            </w:pPr>
            <w:r w:rsidRPr="00E97FC9">
              <w:rPr>
                <w:rFonts w:ascii="Arial Narrow" w:hAnsi="Arial Narrow" w:cs="Arial"/>
                <w:snapToGrid w:val="0"/>
                <w:color w:val="000000"/>
              </w:rPr>
              <w:t>68.400.430</w:t>
            </w:r>
          </w:p>
        </w:tc>
        <w:tc>
          <w:tcPr>
            <w:tcW w:w="2163" w:type="dxa"/>
            <w:vAlign w:val="center"/>
          </w:tcPr>
          <w:p w:rsidR="00497839" w:rsidRPr="00E97FC9" w:rsidRDefault="00497839" w:rsidP="00BB1149">
            <w:pPr>
              <w:spacing w:after="0"/>
              <w:ind w:left="71"/>
              <w:jc w:val="right"/>
              <w:rPr>
                <w:rFonts w:ascii="Arial Narrow" w:hAnsi="Arial Narrow" w:cs="Arial"/>
                <w:snapToGrid w:val="0"/>
                <w:color w:val="000000"/>
              </w:rPr>
            </w:pPr>
            <w:r>
              <w:rPr>
                <w:rFonts w:ascii="Arial Narrow" w:hAnsi="Arial Narrow" w:cs="Arial"/>
                <w:snapToGrid w:val="0"/>
                <w:color w:val="000000"/>
              </w:rPr>
              <w:t>66.726.158</w:t>
            </w:r>
          </w:p>
        </w:tc>
      </w:tr>
      <w:tr w:rsidR="00497839" w:rsidRPr="00684FAF" w:rsidTr="00B4698F">
        <w:trPr>
          <w:trHeight w:hRule="exact" w:val="312"/>
          <w:jc w:val="center"/>
        </w:trPr>
        <w:tc>
          <w:tcPr>
            <w:tcW w:w="4944" w:type="dxa"/>
            <w:vAlign w:val="center"/>
          </w:tcPr>
          <w:p w:rsidR="00497839" w:rsidRPr="00684FAF" w:rsidRDefault="00497839" w:rsidP="00BB1149">
            <w:pPr>
              <w:spacing w:after="0"/>
              <w:ind w:left="71" w:firstLine="0"/>
              <w:rPr>
                <w:rFonts w:ascii="Arial Narrow" w:hAnsi="Arial Narrow" w:cs="Arial"/>
                <w:snapToGrid w:val="0"/>
                <w:color w:val="000000"/>
              </w:rPr>
            </w:pPr>
            <w:r w:rsidRPr="00684FAF">
              <w:rPr>
                <w:rFonts w:ascii="Arial Narrow" w:hAnsi="Arial Narrow" w:cs="Arial"/>
                <w:snapToGrid w:val="0"/>
                <w:color w:val="000000"/>
              </w:rPr>
              <w:t>3. Utillaje y mobiliario</w:t>
            </w:r>
          </w:p>
        </w:tc>
        <w:tc>
          <w:tcPr>
            <w:tcW w:w="1930" w:type="dxa"/>
            <w:vAlign w:val="center"/>
          </w:tcPr>
          <w:p w:rsidR="00497839" w:rsidRPr="00E97FC9" w:rsidRDefault="00497839" w:rsidP="00BB1149">
            <w:pPr>
              <w:spacing w:after="0"/>
              <w:ind w:left="71"/>
              <w:jc w:val="right"/>
              <w:rPr>
                <w:rFonts w:ascii="Arial Narrow" w:hAnsi="Arial Narrow" w:cs="Arial"/>
                <w:snapToGrid w:val="0"/>
                <w:color w:val="000000"/>
              </w:rPr>
            </w:pPr>
            <w:r w:rsidRPr="00E97FC9">
              <w:rPr>
                <w:rFonts w:ascii="Arial Narrow" w:hAnsi="Arial Narrow" w:cs="Arial"/>
                <w:snapToGrid w:val="0"/>
                <w:color w:val="000000"/>
              </w:rPr>
              <w:t>301.319.98</w:t>
            </w:r>
            <w:r>
              <w:rPr>
                <w:rFonts w:ascii="Arial Narrow" w:hAnsi="Arial Narrow" w:cs="Arial"/>
                <w:snapToGrid w:val="0"/>
                <w:color w:val="000000"/>
              </w:rPr>
              <w:t>7</w:t>
            </w:r>
          </w:p>
        </w:tc>
        <w:tc>
          <w:tcPr>
            <w:tcW w:w="2163" w:type="dxa"/>
            <w:vAlign w:val="center"/>
          </w:tcPr>
          <w:p w:rsidR="00497839" w:rsidRPr="00E97FC9" w:rsidRDefault="00497839" w:rsidP="00BB1149">
            <w:pPr>
              <w:spacing w:after="0"/>
              <w:ind w:left="71"/>
              <w:jc w:val="right"/>
              <w:rPr>
                <w:rFonts w:ascii="Arial Narrow" w:hAnsi="Arial Narrow" w:cs="Arial"/>
                <w:snapToGrid w:val="0"/>
                <w:color w:val="000000"/>
              </w:rPr>
            </w:pPr>
            <w:r>
              <w:rPr>
                <w:rFonts w:ascii="Arial Narrow" w:hAnsi="Arial Narrow" w:cs="Arial"/>
                <w:snapToGrid w:val="0"/>
                <w:color w:val="000000"/>
              </w:rPr>
              <w:t>364.228.749</w:t>
            </w:r>
          </w:p>
        </w:tc>
      </w:tr>
      <w:tr w:rsidR="00497839" w:rsidRPr="00684FAF" w:rsidTr="00B4698F">
        <w:trPr>
          <w:trHeight w:hRule="exact" w:val="312"/>
          <w:jc w:val="center"/>
        </w:trPr>
        <w:tc>
          <w:tcPr>
            <w:tcW w:w="4944" w:type="dxa"/>
            <w:vAlign w:val="center"/>
          </w:tcPr>
          <w:p w:rsidR="00497839" w:rsidRPr="00684FAF" w:rsidRDefault="00497839" w:rsidP="00BB1149">
            <w:pPr>
              <w:spacing w:after="0"/>
              <w:ind w:left="71" w:firstLine="0"/>
              <w:rPr>
                <w:rFonts w:ascii="Arial Narrow" w:hAnsi="Arial Narrow" w:cs="Arial"/>
                <w:snapToGrid w:val="0"/>
                <w:color w:val="000000"/>
              </w:rPr>
            </w:pPr>
            <w:r w:rsidRPr="00684FAF">
              <w:rPr>
                <w:rFonts w:ascii="Arial Narrow" w:hAnsi="Arial Narrow" w:cs="Arial"/>
                <w:snapToGrid w:val="0"/>
                <w:color w:val="000000"/>
              </w:rPr>
              <w:t xml:space="preserve">4. Otro inmovilizado </w:t>
            </w:r>
          </w:p>
        </w:tc>
        <w:tc>
          <w:tcPr>
            <w:tcW w:w="1930" w:type="dxa"/>
            <w:vAlign w:val="center"/>
          </w:tcPr>
          <w:p w:rsidR="00497839" w:rsidRPr="00E97FC9" w:rsidRDefault="0004089C" w:rsidP="0004089C">
            <w:pPr>
              <w:spacing w:after="0"/>
              <w:ind w:left="71"/>
              <w:jc w:val="right"/>
              <w:rPr>
                <w:rFonts w:ascii="Arial Narrow" w:hAnsi="Arial Narrow" w:cs="Arial"/>
                <w:snapToGrid w:val="0"/>
                <w:color w:val="000000"/>
              </w:rPr>
            </w:pPr>
            <w:r>
              <w:rPr>
                <w:rFonts w:ascii="Arial Narrow" w:hAnsi="Arial Narrow" w:cs="Arial"/>
                <w:snapToGrid w:val="0"/>
                <w:color w:val="000000"/>
              </w:rPr>
              <w:t>345.764.025</w:t>
            </w:r>
          </w:p>
        </w:tc>
        <w:tc>
          <w:tcPr>
            <w:tcW w:w="2163" w:type="dxa"/>
            <w:vAlign w:val="center"/>
          </w:tcPr>
          <w:p w:rsidR="00497839" w:rsidRPr="00E97FC9" w:rsidRDefault="00497839" w:rsidP="00BB1149">
            <w:pPr>
              <w:spacing w:after="0"/>
              <w:ind w:left="71"/>
              <w:jc w:val="right"/>
              <w:rPr>
                <w:rFonts w:ascii="Arial Narrow" w:hAnsi="Arial Narrow" w:cs="Arial"/>
                <w:snapToGrid w:val="0"/>
                <w:color w:val="000000"/>
              </w:rPr>
            </w:pPr>
            <w:r>
              <w:rPr>
                <w:rFonts w:ascii="Arial Narrow" w:hAnsi="Arial Narrow" w:cs="Arial"/>
                <w:snapToGrid w:val="0"/>
                <w:color w:val="000000"/>
              </w:rPr>
              <w:t>245.228.558</w:t>
            </w:r>
          </w:p>
        </w:tc>
      </w:tr>
      <w:tr w:rsidR="00497839" w:rsidRPr="00C91A3F" w:rsidTr="00B4698F">
        <w:trPr>
          <w:trHeight w:hRule="exact" w:val="312"/>
          <w:jc w:val="center"/>
        </w:trPr>
        <w:tc>
          <w:tcPr>
            <w:tcW w:w="4944" w:type="dxa"/>
            <w:tcBorders>
              <w:top w:val="single" w:sz="2" w:space="0" w:color="auto"/>
            </w:tcBorders>
            <w:vAlign w:val="center"/>
          </w:tcPr>
          <w:p w:rsidR="00497839" w:rsidRPr="00C91A3F" w:rsidRDefault="00497839" w:rsidP="00BB1149">
            <w:pPr>
              <w:spacing w:after="0"/>
              <w:ind w:left="71" w:firstLine="0"/>
              <w:rPr>
                <w:rFonts w:ascii="Arial Narrow" w:hAnsi="Arial Narrow" w:cs="Arial"/>
                <w:snapToGrid w:val="0"/>
                <w:color w:val="000000"/>
              </w:rPr>
            </w:pPr>
            <w:r w:rsidRPr="00C91A3F">
              <w:rPr>
                <w:rFonts w:ascii="Arial Narrow" w:hAnsi="Arial Narrow" w:cs="Arial"/>
                <w:snapToGrid w:val="0"/>
                <w:color w:val="000000"/>
              </w:rPr>
              <w:t>V. Inversiones financieras permanentes</w:t>
            </w:r>
          </w:p>
        </w:tc>
        <w:tc>
          <w:tcPr>
            <w:tcW w:w="1930" w:type="dxa"/>
            <w:tcBorders>
              <w:top w:val="single" w:sz="2" w:space="0" w:color="auto"/>
            </w:tcBorders>
            <w:vAlign w:val="center"/>
          </w:tcPr>
          <w:p w:rsidR="00497839" w:rsidRPr="000E7C62" w:rsidRDefault="00497839" w:rsidP="00B64821">
            <w:pPr>
              <w:spacing w:after="0"/>
              <w:jc w:val="right"/>
              <w:rPr>
                <w:rFonts w:ascii="Arial Narrow" w:hAnsi="Arial Narrow" w:cs="Arial"/>
                <w:snapToGrid w:val="0"/>
                <w:color w:val="000000"/>
              </w:rPr>
            </w:pPr>
            <w:r w:rsidRPr="000E7C62">
              <w:rPr>
                <w:rFonts w:ascii="Arial Narrow" w:hAnsi="Arial Narrow" w:cs="Arial"/>
                <w:snapToGrid w:val="0"/>
                <w:color w:val="000000"/>
              </w:rPr>
              <w:t>593.180.</w:t>
            </w:r>
            <w:r w:rsidR="00B64821" w:rsidRPr="000E7C62">
              <w:rPr>
                <w:rFonts w:ascii="Arial Narrow" w:hAnsi="Arial Narrow" w:cs="Arial"/>
                <w:snapToGrid w:val="0"/>
                <w:color w:val="000000"/>
              </w:rPr>
              <w:t>251</w:t>
            </w:r>
          </w:p>
        </w:tc>
        <w:tc>
          <w:tcPr>
            <w:tcW w:w="2163" w:type="dxa"/>
            <w:tcBorders>
              <w:top w:val="single" w:sz="2" w:space="0" w:color="auto"/>
            </w:tcBorders>
            <w:vAlign w:val="center"/>
          </w:tcPr>
          <w:p w:rsidR="00497839" w:rsidRPr="000E7C62" w:rsidRDefault="00497839" w:rsidP="00BB1149">
            <w:pPr>
              <w:spacing w:after="0"/>
              <w:ind w:left="71"/>
              <w:jc w:val="right"/>
              <w:rPr>
                <w:rFonts w:ascii="Arial Narrow" w:hAnsi="Arial Narrow" w:cs="Arial"/>
                <w:snapToGrid w:val="0"/>
                <w:color w:val="000000"/>
              </w:rPr>
            </w:pPr>
            <w:r w:rsidRPr="000E7C62">
              <w:rPr>
                <w:rFonts w:ascii="Arial Narrow" w:hAnsi="Arial Narrow" w:cs="Arial"/>
                <w:snapToGrid w:val="0"/>
                <w:color w:val="000000"/>
              </w:rPr>
              <w:t>589.834.451</w:t>
            </w:r>
          </w:p>
        </w:tc>
      </w:tr>
      <w:tr w:rsidR="00497839" w:rsidRPr="00684FAF" w:rsidTr="00B4698F">
        <w:trPr>
          <w:trHeight w:hRule="exact" w:val="312"/>
          <w:jc w:val="center"/>
        </w:trPr>
        <w:tc>
          <w:tcPr>
            <w:tcW w:w="4944" w:type="dxa"/>
            <w:vAlign w:val="center"/>
          </w:tcPr>
          <w:p w:rsidR="00497839" w:rsidRPr="00684FAF" w:rsidRDefault="00497839" w:rsidP="00BB1149">
            <w:pPr>
              <w:spacing w:after="0"/>
              <w:ind w:left="71" w:firstLine="0"/>
              <w:rPr>
                <w:rFonts w:ascii="Arial Narrow" w:hAnsi="Arial Narrow" w:cs="Arial"/>
                <w:snapToGrid w:val="0"/>
                <w:color w:val="000000"/>
              </w:rPr>
            </w:pPr>
            <w:r w:rsidRPr="00684FAF">
              <w:rPr>
                <w:rFonts w:ascii="Arial Narrow" w:hAnsi="Arial Narrow" w:cs="Arial"/>
                <w:snapToGrid w:val="0"/>
                <w:color w:val="000000"/>
              </w:rPr>
              <w:t xml:space="preserve">1. Cartera de valores a largo plazo </w:t>
            </w:r>
          </w:p>
        </w:tc>
        <w:tc>
          <w:tcPr>
            <w:tcW w:w="1930" w:type="dxa"/>
            <w:vAlign w:val="center"/>
          </w:tcPr>
          <w:p w:rsidR="00497839" w:rsidRPr="00E97FC9" w:rsidRDefault="00497839" w:rsidP="00BB1149">
            <w:pPr>
              <w:spacing w:after="0"/>
              <w:ind w:left="71"/>
              <w:jc w:val="right"/>
              <w:rPr>
                <w:rFonts w:ascii="Arial Narrow" w:hAnsi="Arial Narrow" w:cs="Arial"/>
                <w:snapToGrid w:val="0"/>
                <w:color w:val="000000"/>
              </w:rPr>
            </w:pPr>
            <w:r w:rsidRPr="00E97FC9">
              <w:rPr>
                <w:rFonts w:ascii="Arial Narrow" w:hAnsi="Arial Narrow" w:cs="Arial"/>
                <w:snapToGrid w:val="0"/>
                <w:color w:val="000000"/>
              </w:rPr>
              <w:t>523.999.407</w:t>
            </w:r>
          </w:p>
        </w:tc>
        <w:tc>
          <w:tcPr>
            <w:tcW w:w="2163" w:type="dxa"/>
            <w:vAlign w:val="center"/>
          </w:tcPr>
          <w:p w:rsidR="00497839" w:rsidRPr="00E97FC9" w:rsidRDefault="00497839" w:rsidP="00BB1149">
            <w:pPr>
              <w:spacing w:after="0"/>
              <w:ind w:left="71"/>
              <w:jc w:val="right"/>
              <w:rPr>
                <w:rFonts w:ascii="Arial Narrow" w:hAnsi="Arial Narrow" w:cs="Arial"/>
                <w:snapToGrid w:val="0"/>
                <w:color w:val="000000"/>
              </w:rPr>
            </w:pPr>
            <w:r w:rsidRPr="00E97FC9">
              <w:rPr>
                <w:rFonts w:ascii="Arial Narrow" w:hAnsi="Arial Narrow" w:cs="Arial"/>
                <w:snapToGrid w:val="0"/>
                <w:color w:val="000000"/>
              </w:rPr>
              <w:t>504.328.407</w:t>
            </w:r>
          </w:p>
        </w:tc>
      </w:tr>
      <w:tr w:rsidR="00497839" w:rsidRPr="00684FAF" w:rsidTr="00B4698F">
        <w:trPr>
          <w:trHeight w:hRule="exact" w:val="312"/>
          <w:jc w:val="center"/>
        </w:trPr>
        <w:tc>
          <w:tcPr>
            <w:tcW w:w="4944" w:type="dxa"/>
            <w:vAlign w:val="center"/>
          </w:tcPr>
          <w:p w:rsidR="00497839" w:rsidRPr="00684FAF" w:rsidRDefault="00497839" w:rsidP="00BB1149">
            <w:pPr>
              <w:spacing w:after="0"/>
              <w:ind w:left="71" w:firstLine="0"/>
              <w:rPr>
                <w:rFonts w:ascii="Arial Narrow" w:hAnsi="Arial Narrow" w:cs="Arial"/>
                <w:snapToGrid w:val="0"/>
                <w:color w:val="000000"/>
              </w:rPr>
            </w:pPr>
            <w:r w:rsidRPr="00684FAF">
              <w:rPr>
                <w:rFonts w:ascii="Arial Narrow" w:hAnsi="Arial Narrow" w:cs="Arial"/>
                <w:snapToGrid w:val="0"/>
                <w:color w:val="000000"/>
              </w:rPr>
              <w:t>2. Otras inversiones y créditos a largo plazo</w:t>
            </w:r>
          </w:p>
        </w:tc>
        <w:tc>
          <w:tcPr>
            <w:tcW w:w="1930" w:type="dxa"/>
            <w:vAlign w:val="center"/>
          </w:tcPr>
          <w:p w:rsidR="00497839" w:rsidRPr="00E97FC9" w:rsidRDefault="00497839" w:rsidP="00BB1149">
            <w:pPr>
              <w:spacing w:after="0"/>
              <w:ind w:left="71"/>
              <w:jc w:val="right"/>
              <w:rPr>
                <w:rFonts w:ascii="Arial Narrow" w:hAnsi="Arial Narrow" w:cs="Arial"/>
                <w:snapToGrid w:val="0"/>
                <w:color w:val="000000"/>
              </w:rPr>
            </w:pPr>
            <w:r w:rsidRPr="00E97FC9">
              <w:rPr>
                <w:rFonts w:ascii="Arial Narrow" w:hAnsi="Arial Narrow" w:cs="Arial"/>
                <w:snapToGrid w:val="0"/>
                <w:color w:val="000000"/>
              </w:rPr>
              <w:t>70.137.762</w:t>
            </w:r>
          </w:p>
        </w:tc>
        <w:tc>
          <w:tcPr>
            <w:tcW w:w="2163" w:type="dxa"/>
            <w:vAlign w:val="center"/>
          </w:tcPr>
          <w:p w:rsidR="00497839" w:rsidRPr="00E97FC9" w:rsidRDefault="00497839" w:rsidP="00BB1149">
            <w:pPr>
              <w:spacing w:after="0"/>
              <w:ind w:left="71"/>
              <w:jc w:val="right"/>
              <w:rPr>
                <w:rFonts w:ascii="Arial Narrow" w:hAnsi="Arial Narrow" w:cs="Arial"/>
                <w:snapToGrid w:val="0"/>
                <w:color w:val="000000"/>
              </w:rPr>
            </w:pPr>
            <w:r>
              <w:rPr>
                <w:rFonts w:ascii="Arial Narrow" w:hAnsi="Arial Narrow" w:cs="Arial"/>
                <w:snapToGrid w:val="0"/>
                <w:color w:val="000000"/>
              </w:rPr>
              <w:t>86.364.102</w:t>
            </w:r>
          </w:p>
        </w:tc>
      </w:tr>
      <w:tr w:rsidR="00497839" w:rsidRPr="00684FAF" w:rsidTr="00B4698F">
        <w:trPr>
          <w:trHeight w:hRule="exact" w:val="312"/>
          <w:jc w:val="center"/>
        </w:trPr>
        <w:tc>
          <w:tcPr>
            <w:tcW w:w="4944" w:type="dxa"/>
            <w:tcBorders>
              <w:bottom w:val="single" w:sz="4" w:space="0" w:color="auto"/>
            </w:tcBorders>
            <w:vAlign w:val="center"/>
          </w:tcPr>
          <w:p w:rsidR="00497839" w:rsidRPr="00684FAF" w:rsidRDefault="00497839" w:rsidP="00BB1149">
            <w:pPr>
              <w:spacing w:after="0"/>
              <w:ind w:left="71" w:firstLine="0"/>
              <w:rPr>
                <w:rFonts w:ascii="Arial Narrow" w:hAnsi="Arial Narrow" w:cs="Arial"/>
                <w:snapToGrid w:val="0"/>
                <w:color w:val="000000"/>
              </w:rPr>
            </w:pPr>
            <w:r w:rsidRPr="00684FAF">
              <w:rPr>
                <w:rFonts w:ascii="Arial Narrow" w:hAnsi="Arial Narrow" w:cs="Arial"/>
                <w:snapToGrid w:val="0"/>
                <w:color w:val="000000"/>
              </w:rPr>
              <w:t>4. (Provisiones)</w:t>
            </w:r>
          </w:p>
        </w:tc>
        <w:tc>
          <w:tcPr>
            <w:tcW w:w="1930" w:type="dxa"/>
            <w:tcBorders>
              <w:bottom w:val="single" w:sz="4" w:space="0" w:color="auto"/>
            </w:tcBorders>
            <w:vAlign w:val="center"/>
          </w:tcPr>
          <w:p w:rsidR="00497839" w:rsidRPr="00E97FC9" w:rsidRDefault="00497839" w:rsidP="00B64821">
            <w:pPr>
              <w:spacing w:after="0"/>
              <w:ind w:left="71"/>
              <w:jc w:val="right"/>
              <w:rPr>
                <w:rFonts w:ascii="Arial Narrow" w:hAnsi="Arial Narrow" w:cs="Arial"/>
                <w:snapToGrid w:val="0"/>
                <w:color w:val="000000"/>
              </w:rPr>
            </w:pPr>
            <w:r>
              <w:rPr>
                <w:rFonts w:ascii="Arial Narrow" w:hAnsi="Arial Narrow" w:cs="Arial"/>
                <w:snapToGrid w:val="0"/>
                <w:color w:val="000000"/>
              </w:rPr>
              <w:t>-</w:t>
            </w:r>
            <w:r w:rsidRPr="00E97FC9">
              <w:rPr>
                <w:rFonts w:ascii="Arial Narrow" w:hAnsi="Arial Narrow" w:cs="Arial"/>
                <w:snapToGrid w:val="0"/>
                <w:color w:val="000000"/>
              </w:rPr>
              <w:t>956.91</w:t>
            </w:r>
            <w:r w:rsidR="00B64821">
              <w:rPr>
                <w:rFonts w:ascii="Arial Narrow" w:hAnsi="Arial Narrow" w:cs="Arial"/>
                <w:snapToGrid w:val="0"/>
                <w:color w:val="000000"/>
              </w:rPr>
              <w:t>8</w:t>
            </w:r>
          </w:p>
        </w:tc>
        <w:tc>
          <w:tcPr>
            <w:tcW w:w="2163" w:type="dxa"/>
            <w:tcBorders>
              <w:bottom w:val="single" w:sz="4" w:space="0" w:color="auto"/>
            </w:tcBorders>
            <w:vAlign w:val="center"/>
          </w:tcPr>
          <w:p w:rsidR="00497839" w:rsidRPr="00E97FC9" w:rsidRDefault="00497839" w:rsidP="00BB1149">
            <w:pPr>
              <w:spacing w:after="0"/>
              <w:ind w:left="71"/>
              <w:jc w:val="right"/>
              <w:rPr>
                <w:rFonts w:ascii="Arial Narrow" w:hAnsi="Arial Narrow" w:cs="Arial"/>
                <w:snapToGrid w:val="0"/>
                <w:color w:val="000000"/>
              </w:rPr>
            </w:pPr>
            <w:r>
              <w:rPr>
                <w:rFonts w:ascii="Arial Narrow" w:hAnsi="Arial Narrow" w:cs="Arial"/>
                <w:snapToGrid w:val="0"/>
                <w:color w:val="000000"/>
              </w:rPr>
              <w:t>-858.059</w:t>
            </w:r>
          </w:p>
        </w:tc>
      </w:tr>
      <w:tr w:rsidR="00497839" w:rsidRPr="00684FAF" w:rsidTr="00B4698F">
        <w:trPr>
          <w:trHeight w:hRule="exact" w:val="312"/>
          <w:jc w:val="center"/>
        </w:trPr>
        <w:tc>
          <w:tcPr>
            <w:tcW w:w="4944" w:type="dxa"/>
            <w:tcBorders>
              <w:top w:val="single" w:sz="4" w:space="0" w:color="auto"/>
              <w:bottom w:val="single" w:sz="4" w:space="0" w:color="auto"/>
            </w:tcBorders>
            <w:vAlign w:val="center"/>
          </w:tcPr>
          <w:p w:rsidR="00497839" w:rsidRPr="00684FAF" w:rsidRDefault="00497839" w:rsidP="00BB1149">
            <w:pPr>
              <w:spacing w:after="0"/>
              <w:ind w:left="71" w:firstLine="0"/>
              <w:rPr>
                <w:rFonts w:ascii="Arial Narrow" w:hAnsi="Arial Narrow" w:cs="Arial"/>
                <w:b/>
                <w:snapToGrid w:val="0"/>
                <w:color w:val="000000"/>
              </w:rPr>
            </w:pPr>
            <w:r w:rsidRPr="00684FAF">
              <w:rPr>
                <w:rFonts w:ascii="Arial Narrow" w:hAnsi="Arial Narrow" w:cs="Arial"/>
                <w:b/>
                <w:snapToGrid w:val="0"/>
                <w:color w:val="000000"/>
              </w:rPr>
              <w:t>C) Activo circulante</w:t>
            </w:r>
          </w:p>
        </w:tc>
        <w:tc>
          <w:tcPr>
            <w:tcW w:w="1930" w:type="dxa"/>
            <w:tcBorders>
              <w:top w:val="single" w:sz="4" w:space="0" w:color="auto"/>
              <w:bottom w:val="single" w:sz="4" w:space="0" w:color="auto"/>
            </w:tcBorders>
            <w:vAlign w:val="center"/>
          </w:tcPr>
          <w:p w:rsidR="00497839" w:rsidRPr="001400D6" w:rsidRDefault="00497839" w:rsidP="002D7CF9">
            <w:pPr>
              <w:spacing w:after="0"/>
              <w:ind w:left="71"/>
              <w:jc w:val="right"/>
              <w:rPr>
                <w:rFonts w:ascii="Arial Narrow" w:hAnsi="Arial Narrow" w:cs="Arial"/>
                <w:b/>
                <w:snapToGrid w:val="0"/>
                <w:color w:val="000000"/>
              </w:rPr>
            </w:pPr>
            <w:r w:rsidRPr="001400D6">
              <w:rPr>
                <w:rFonts w:ascii="Arial Narrow" w:hAnsi="Arial Narrow" w:cs="Arial"/>
                <w:b/>
                <w:snapToGrid w:val="0"/>
                <w:color w:val="000000"/>
              </w:rPr>
              <w:t>426</w:t>
            </w:r>
            <w:r w:rsidR="002D7CF9">
              <w:rPr>
                <w:rFonts w:ascii="Arial Narrow" w:hAnsi="Arial Narrow" w:cs="Arial"/>
                <w:b/>
                <w:snapToGrid w:val="0"/>
                <w:color w:val="000000"/>
              </w:rPr>
              <w:t>.</w:t>
            </w:r>
            <w:r w:rsidRPr="001400D6">
              <w:rPr>
                <w:rFonts w:ascii="Arial Narrow" w:hAnsi="Arial Narrow" w:cs="Arial"/>
                <w:b/>
                <w:snapToGrid w:val="0"/>
                <w:color w:val="000000"/>
              </w:rPr>
              <w:t>861</w:t>
            </w:r>
            <w:r w:rsidR="002D7CF9">
              <w:rPr>
                <w:rFonts w:ascii="Arial Narrow" w:hAnsi="Arial Narrow" w:cs="Arial"/>
                <w:b/>
                <w:snapToGrid w:val="0"/>
                <w:color w:val="000000"/>
              </w:rPr>
              <w:t>.</w:t>
            </w:r>
            <w:r w:rsidRPr="001400D6">
              <w:rPr>
                <w:rFonts w:ascii="Arial Narrow" w:hAnsi="Arial Narrow" w:cs="Arial"/>
                <w:b/>
                <w:snapToGrid w:val="0"/>
                <w:color w:val="000000"/>
              </w:rPr>
              <w:t>386</w:t>
            </w:r>
          </w:p>
        </w:tc>
        <w:tc>
          <w:tcPr>
            <w:tcW w:w="2163" w:type="dxa"/>
            <w:tcBorders>
              <w:top w:val="single" w:sz="4" w:space="0" w:color="auto"/>
              <w:bottom w:val="single" w:sz="4" w:space="0" w:color="auto"/>
            </w:tcBorders>
            <w:vAlign w:val="center"/>
          </w:tcPr>
          <w:p w:rsidR="00497839" w:rsidRPr="001400D6" w:rsidRDefault="00497839" w:rsidP="00BB1149">
            <w:pPr>
              <w:spacing w:after="0"/>
              <w:ind w:left="71"/>
              <w:jc w:val="right"/>
              <w:rPr>
                <w:rFonts w:ascii="Arial Narrow" w:hAnsi="Arial Narrow" w:cs="Arial"/>
                <w:b/>
                <w:snapToGrid w:val="0"/>
                <w:color w:val="000000"/>
              </w:rPr>
            </w:pPr>
            <w:r>
              <w:rPr>
                <w:rFonts w:ascii="Arial Narrow" w:hAnsi="Arial Narrow" w:cs="Arial"/>
                <w:b/>
                <w:snapToGrid w:val="0"/>
                <w:color w:val="000000"/>
              </w:rPr>
              <w:t>512.852.158</w:t>
            </w:r>
          </w:p>
        </w:tc>
      </w:tr>
      <w:tr w:rsidR="00497839" w:rsidRPr="00C91A3F" w:rsidTr="00B4698F">
        <w:trPr>
          <w:trHeight w:hRule="exact" w:val="312"/>
          <w:jc w:val="center"/>
        </w:trPr>
        <w:tc>
          <w:tcPr>
            <w:tcW w:w="4944" w:type="dxa"/>
            <w:tcBorders>
              <w:top w:val="single" w:sz="4" w:space="0" w:color="auto"/>
            </w:tcBorders>
            <w:vAlign w:val="center"/>
          </w:tcPr>
          <w:p w:rsidR="00497839" w:rsidRPr="00C91A3F" w:rsidRDefault="00497839" w:rsidP="00BB1149">
            <w:pPr>
              <w:spacing w:after="0"/>
              <w:ind w:left="71" w:firstLine="0"/>
              <w:rPr>
                <w:rFonts w:ascii="Arial Narrow" w:hAnsi="Arial Narrow" w:cs="Arial"/>
                <w:snapToGrid w:val="0"/>
                <w:color w:val="000000"/>
              </w:rPr>
            </w:pPr>
            <w:r w:rsidRPr="00C91A3F">
              <w:rPr>
                <w:rFonts w:ascii="Arial Narrow" w:hAnsi="Arial Narrow" w:cs="Arial"/>
                <w:snapToGrid w:val="0"/>
                <w:color w:val="000000"/>
              </w:rPr>
              <w:t xml:space="preserve">I. Existencias </w:t>
            </w:r>
          </w:p>
        </w:tc>
        <w:tc>
          <w:tcPr>
            <w:tcW w:w="1930" w:type="dxa"/>
            <w:tcBorders>
              <w:top w:val="single" w:sz="4" w:space="0" w:color="auto"/>
            </w:tcBorders>
            <w:vAlign w:val="center"/>
          </w:tcPr>
          <w:p w:rsidR="00497839" w:rsidRPr="000E7C62" w:rsidRDefault="00497839" w:rsidP="00BB1149">
            <w:pPr>
              <w:spacing w:after="0"/>
              <w:ind w:left="71"/>
              <w:jc w:val="right"/>
              <w:rPr>
                <w:rFonts w:ascii="Arial Narrow" w:hAnsi="Arial Narrow" w:cs="Arial"/>
                <w:snapToGrid w:val="0"/>
                <w:color w:val="000000"/>
              </w:rPr>
            </w:pPr>
            <w:r w:rsidRPr="000E7C62">
              <w:rPr>
                <w:rFonts w:ascii="Arial Narrow" w:hAnsi="Arial Narrow" w:cs="Arial"/>
                <w:snapToGrid w:val="0"/>
                <w:color w:val="000000"/>
              </w:rPr>
              <w:t>15.250.866</w:t>
            </w:r>
          </w:p>
        </w:tc>
        <w:tc>
          <w:tcPr>
            <w:tcW w:w="2163" w:type="dxa"/>
            <w:tcBorders>
              <w:top w:val="single" w:sz="4" w:space="0" w:color="auto"/>
            </w:tcBorders>
            <w:vAlign w:val="center"/>
          </w:tcPr>
          <w:p w:rsidR="00497839" w:rsidRPr="000E7C62" w:rsidRDefault="00497839" w:rsidP="00BB1149">
            <w:pPr>
              <w:spacing w:after="0"/>
              <w:ind w:left="71"/>
              <w:jc w:val="right"/>
              <w:rPr>
                <w:rFonts w:ascii="Arial Narrow" w:hAnsi="Arial Narrow" w:cs="Arial"/>
                <w:snapToGrid w:val="0"/>
                <w:color w:val="000000"/>
              </w:rPr>
            </w:pPr>
            <w:r w:rsidRPr="000E7C62">
              <w:rPr>
                <w:rFonts w:ascii="Arial Narrow" w:hAnsi="Arial Narrow" w:cs="Arial"/>
                <w:snapToGrid w:val="0"/>
                <w:color w:val="000000"/>
              </w:rPr>
              <w:t>8.924.843</w:t>
            </w:r>
          </w:p>
        </w:tc>
      </w:tr>
      <w:tr w:rsidR="00497839" w:rsidRPr="00684FAF" w:rsidTr="00B4698F">
        <w:trPr>
          <w:trHeight w:hRule="exact" w:val="312"/>
          <w:jc w:val="center"/>
        </w:trPr>
        <w:tc>
          <w:tcPr>
            <w:tcW w:w="4944" w:type="dxa"/>
            <w:tcBorders>
              <w:bottom w:val="single" w:sz="2" w:space="0" w:color="auto"/>
            </w:tcBorders>
            <w:vAlign w:val="center"/>
          </w:tcPr>
          <w:p w:rsidR="00497839" w:rsidRPr="00684FAF" w:rsidRDefault="00497839" w:rsidP="00BB1149">
            <w:pPr>
              <w:spacing w:after="0"/>
              <w:ind w:left="71" w:firstLine="0"/>
              <w:rPr>
                <w:rFonts w:ascii="Arial Narrow" w:hAnsi="Arial Narrow" w:cs="Arial"/>
                <w:snapToGrid w:val="0"/>
                <w:color w:val="000000"/>
              </w:rPr>
            </w:pPr>
            <w:r w:rsidRPr="00684FAF">
              <w:rPr>
                <w:rFonts w:ascii="Arial Narrow" w:hAnsi="Arial Narrow" w:cs="Arial"/>
                <w:snapToGrid w:val="0"/>
                <w:color w:val="000000"/>
              </w:rPr>
              <w:t>2. Materias primas y otros aprovisionamientos</w:t>
            </w:r>
          </w:p>
        </w:tc>
        <w:tc>
          <w:tcPr>
            <w:tcW w:w="1930" w:type="dxa"/>
            <w:tcBorders>
              <w:bottom w:val="single" w:sz="2" w:space="0" w:color="auto"/>
            </w:tcBorders>
            <w:vAlign w:val="center"/>
          </w:tcPr>
          <w:p w:rsidR="00497839" w:rsidRPr="001400D6" w:rsidRDefault="00497839" w:rsidP="00BB1149">
            <w:pPr>
              <w:spacing w:after="0"/>
              <w:ind w:left="71"/>
              <w:jc w:val="right"/>
              <w:rPr>
                <w:rFonts w:ascii="Arial Narrow" w:hAnsi="Arial Narrow" w:cs="Arial"/>
                <w:snapToGrid w:val="0"/>
                <w:color w:val="000000"/>
              </w:rPr>
            </w:pPr>
            <w:r w:rsidRPr="001400D6">
              <w:rPr>
                <w:rFonts w:ascii="Arial Narrow" w:hAnsi="Arial Narrow" w:cs="Arial"/>
                <w:snapToGrid w:val="0"/>
                <w:color w:val="000000"/>
              </w:rPr>
              <w:t>15.250.866</w:t>
            </w:r>
          </w:p>
        </w:tc>
        <w:tc>
          <w:tcPr>
            <w:tcW w:w="2163" w:type="dxa"/>
            <w:tcBorders>
              <w:bottom w:val="single" w:sz="2" w:space="0" w:color="auto"/>
            </w:tcBorders>
            <w:vAlign w:val="center"/>
          </w:tcPr>
          <w:p w:rsidR="00497839" w:rsidRPr="001400D6" w:rsidRDefault="00497839" w:rsidP="00BB1149">
            <w:pPr>
              <w:spacing w:after="0"/>
              <w:ind w:left="71"/>
              <w:jc w:val="right"/>
              <w:rPr>
                <w:rFonts w:ascii="Arial Narrow" w:hAnsi="Arial Narrow" w:cs="Arial"/>
                <w:snapToGrid w:val="0"/>
                <w:color w:val="000000"/>
              </w:rPr>
            </w:pPr>
            <w:r>
              <w:rPr>
                <w:rFonts w:ascii="Arial Narrow" w:hAnsi="Arial Narrow" w:cs="Arial"/>
                <w:snapToGrid w:val="0"/>
                <w:color w:val="000000"/>
              </w:rPr>
              <w:t>8.924.843</w:t>
            </w:r>
          </w:p>
        </w:tc>
      </w:tr>
      <w:tr w:rsidR="00497839" w:rsidRPr="00C91A3F" w:rsidTr="00B4698F">
        <w:trPr>
          <w:trHeight w:hRule="exact" w:val="312"/>
          <w:jc w:val="center"/>
        </w:trPr>
        <w:tc>
          <w:tcPr>
            <w:tcW w:w="4944" w:type="dxa"/>
            <w:tcBorders>
              <w:top w:val="single" w:sz="2" w:space="0" w:color="auto"/>
            </w:tcBorders>
            <w:vAlign w:val="center"/>
          </w:tcPr>
          <w:p w:rsidR="00497839" w:rsidRPr="00C91A3F" w:rsidRDefault="00497839" w:rsidP="00BB1149">
            <w:pPr>
              <w:spacing w:after="0"/>
              <w:ind w:left="71" w:firstLine="0"/>
              <w:rPr>
                <w:rFonts w:ascii="Arial Narrow" w:hAnsi="Arial Narrow" w:cs="Arial"/>
                <w:snapToGrid w:val="0"/>
                <w:color w:val="000000"/>
              </w:rPr>
            </w:pPr>
            <w:r w:rsidRPr="00C91A3F">
              <w:rPr>
                <w:rFonts w:ascii="Arial Narrow" w:hAnsi="Arial Narrow" w:cs="Arial"/>
                <w:snapToGrid w:val="0"/>
                <w:color w:val="000000"/>
              </w:rPr>
              <w:t xml:space="preserve">II. Deudores </w:t>
            </w:r>
          </w:p>
        </w:tc>
        <w:tc>
          <w:tcPr>
            <w:tcW w:w="1930" w:type="dxa"/>
            <w:tcBorders>
              <w:top w:val="single" w:sz="2" w:space="0" w:color="auto"/>
            </w:tcBorders>
            <w:vAlign w:val="center"/>
          </w:tcPr>
          <w:p w:rsidR="00497839" w:rsidRPr="000E7C62" w:rsidRDefault="00497839" w:rsidP="00BB1149">
            <w:pPr>
              <w:spacing w:after="0"/>
              <w:jc w:val="right"/>
              <w:rPr>
                <w:rFonts w:ascii="Arial Narrow" w:hAnsi="Arial Narrow" w:cs="Arial"/>
                <w:snapToGrid w:val="0"/>
                <w:color w:val="000000"/>
              </w:rPr>
            </w:pPr>
            <w:r w:rsidRPr="000E7C62">
              <w:rPr>
                <w:rFonts w:ascii="Arial Narrow" w:hAnsi="Arial Narrow" w:cs="Arial"/>
                <w:snapToGrid w:val="0"/>
                <w:color w:val="000000"/>
              </w:rPr>
              <w:t>349.621.837</w:t>
            </w:r>
          </w:p>
        </w:tc>
        <w:tc>
          <w:tcPr>
            <w:tcW w:w="2163" w:type="dxa"/>
            <w:tcBorders>
              <w:top w:val="single" w:sz="2" w:space="0" w:color="auto"/>
            </w:tcBorders>
            <w:vAlign w:val="center"/>
          </w:tcPr>
          <w:p w:rsidR="00497839" w:rsidRPr="000E7C62" w:rsidRDefault="00497839" w:rsidP="00BB1149">
            <w:pPr>
              <w:spacing w:after="0"/>
              <w:ind w:left="71"/>
              <w:jc w:val="right"/>
              <w:rPr>
                <w:rFonts w:ascii="Arial Narrow" w:hAnsi="Arial Narrow" w:cs="Arial"/>
                <w:snapToGrid w:val="0"/>
                <w:color w:val="000000"/>
              </w:rPr>
            </w:pPr>
            <w:r w:rsidRPr="000E7C62">
              <w:rPr>
                <w:rFonts w:ascii="Arial Narrow" w:hAnsi="Arial Narrow" w:cs="Arial"/>
                <w:snapToGrid w:val="0"/>
                <w:color w:val="000000"/>
              </w:rPr>
              <w:t>338.194.678</w:t>
            </w:r>
          </w:p>
        </w:tc>
      </w:tr>
      <w:tr w:rsidR="00497839" w:rsidRPr="00684FAF" w:rsidTr="00B4698F">
        <w:trPr>
          <w:trHeight w:hRule="exact" w:val="312"/>
          <w:jc w:val="center"/>
        </w:trPr>
        <w:tc>
          <w:tcPr>
            <w:tcW w:w="4944" w:type="dxa"/>
            <w:vAlign w:val="center"/>
          </w:tcPr>
          <w:p w:rsidR="00497839" w:rsidRPr="00684FAF" w:rsidRDefault="00497839" w:rsidP="00BB1149">
            <w:pPr>
              <w:spacing w:after="0"/>
              <w:ind w:left="71" w:firstLine="0"/>
              <w:rPr>
                <w:rFonts w:ascii="Arial Narrow" w:hAnsi="Arial Narrow" w:cs="Arial"/>
                <w:snapToGrid w:val="0"/>
                <w:color w:val="000000"/>
              </w:rPr>
            </w:pPr>
            <w:r w:rsidRPr="00684FAF">
              <w:rPr>
                <w:rFonts w:ascii="Arial Narrow" w:hAnsi="Arial Narrow" w:cs="Arial"/>
                <w:snapToGrid w:val="0"/>
                <w:color w:val="000000"/>
              </w:rPr>
              <w:t>1. Deudores presupuestarios</w:t>
            </w:r>
          </w:p>
        </w:tc>
        <w:tc>
          <w:tcPr>
            <w:tcW w:w="1930" w:type="dxa"/>
            <w:vAlign w:val="center"/>
          </w:tcPr>
          <w:p w:rsidR="00497839" w:rsidRPr="001400D6" w:rsidRDefault="00497839" w:rsidP="00BB1149">
            <w:pPr>
              <w:spacing w:after="0"/>
              <w:ind w:left="71"/>
              <w:jc w:val="right"/>
              <w:rPr>
                <w:rFonts w:ascii="Arial Narrow" w:hAnsi="Arial Narrow" w:cs="Arial"/>
                <w:snapToGrid w:val="0"/>
                <w:color w:val="000000"/>
              </w:rPr>
            </w:pPr>
            <w:r w:rsidRPr="001400D6">
              <w:rPr>
                <w:rFonts w:ascii="Arial Narrow" w:hAnsi="Arial Narrow" w:cs="Arial"/>
                <w:snapToGrid w:val="0"/>
                <w:color w:val="000000"/>
              </w:rPr>
              <w:t>837.496.185</w:t>
            </w:r>
          </w:p>
        </w:tc>
        <w:tc>
          <w:tcPr>
            <w:tcW w:w="2163" w:type="dxa"/>
            <w:vAlign w:val="center"/>
          </w:tcPr>
          <w:p w:rsidR="00497839" w:rsidRPr="001400D6" w:rsidRDefault="00497839" w:rsidP="00BB1149">
            <w:pPr>
              <w:spacing w:after="0"/>
              <w:ind w:left="71"/>
              <w:jc w:val="right"/>
              <w:rPr>
                <w:rFonts w:ascii="Arial Narrow" w:hAnsi="Arial Narrow" w:cs="Arial"/>
                <w:snapToGrid w:val="0"/>
                <w:color w:val="000000"/>
              </w:rPr>
            </w:pPr>
            <w:r>
              <w:rPr>
                <w:rFonts w:ascii="Arial Narrow" w:hAnsi="Arial Narrow" w:cs="Arial"/>
                <w:snapToGrid w:val="0"/>
                <w:color w:val="000000"/>
              </w:rPr>
              <w:t>834.530.699</w:t>
            </w:r>
          </w:p>
        </w:tc>
      </w:tr>
      <w:tr w:rsidR="00497839" w:rsidRPr="00684FAF" w:rsidTr="00B4698F">
        <w:trPr>
          <w:trHeight w:hRule="exact" w:val="312"/>
          <w:jc w:val="center"/>
        </w:trPr>
        <w:tc>
          <w:tcPr>
            <w:tcW w:w="4944" w:type="dxa"/>
            <w:vAlign w:val="center"/>
          </w:tcPr>
          <w:p w:rsidR="00497839" w:rsidRPr="00684FAF" w:rsidRDefault="00497839" w:rsidP="00BB1149">
            <w:pPr>
              <w:spacing w:after="0"/>
              <w:ind w:left="71" w:firstLine="0"/>
              <w:rPr>
                <w:rFonts w:ascii="Arial Narrow" w:hAnsi="Arial Narrow" w:cs="Arial"/>
                <w:snapToGrid w:val="0"/>
                <w:color w:val="000000"/>
              </w:rPr>
            </w:pPr>
            <w:r w:rsidRPr="00684FAF">
              <w:rPr>
                <w:rFonts w:ascii="Arial Narrow" w:hAnsi="Arial Narrow" w:cs="Arial"/>
                <w:snapToGrid w:val="0"/>
                <w:color w:val="000000"/>
              </w:rPr>
              <w:t>2. Deudores no presupuestarios</w:t>
            </w:r>
          </w:p>
        </w:tc>
        <w:tc>
          <w:tcPr>
            <w:tcW w:w="1930" w:type="dxa"/>
            <w:vAlign w:val="center"/>
          </w:tcPr>
          <w:p w:rsidR="00497839" w:rsidRPr="001400D6" w:rsidRDefault="00497839" w:rsidP="00BB1149">
            <w:pPr>
              <w:spacing w:after="0"/>
              <w:ind w:left="71"/>
              <w:jc w:val="right"/>
              <w:rPr>
                <w:rFonts w:ascii="Arial Narrow" w:hAnsi="Arial Narrow" w:cs="Arial"/>
                <w:snapToGrid w:val="0"/>
                <w:color w:val="000000"/>
              </w:rPr>
            </w:pPr>
            <w:r w:rsidRPr="001400D6">
              <w:rPr>
                <w:rFonts w:ascii="Arial Narrow" w:hAnsi="Arial Narrow" w:cs="Arial"/>
                <w:snapToGrid w:val="0"/>
                <w:color w:val="000000"/>
              </w:rPr>
              <w:t>5.982.832</w:t>
            </w:r>
          </w:p>
        </w:tc>
        <w:tc>
          <w:tcPr>
            <w:tcW w:w="2163" w:type="dxa"/>
            <w:vAlign w:val="center"/>
          </w:tcPr>
          <w:p w:rsidR="00497839" w:rsidRPr="001400D6" w:rsidRDefault="00497839" w:rsidP="00BB1149">
            <w:pPr>
              <w:spacing w:after="0"/>
              <w:ind w:left="71"/>
              <w:jc w:val="right"/>
              <w:rPr>
                <w:rFonts w:ascii="Arial Narrow" w:hAnsi="Arial Narrow" w:cs="Arial"/>
                <w:snapToGrid w:val="0"/>
                <w:color w:val="000000"/>
              </w:rPr>
            </w:pPr>
            <w:r>
              <w:rPr>
                <w:rFonts w:ascii="Arial Narrow" w:hAnsi="Arial Narrow" w:cs="Arial"/>
                <w:snapToGrid w:val="0"/>
                <w:color w:val="000000"/>
              </w:rPr>
              <w:t>17.053.338</w:t>
            </w:r>
          </w:p>
        </w:tc>
      </w:tr>
      <w:tr w:rsidR="00497839" w:rsidRPr="00684FAF" w:rsidTr="00B4698F">
        <w:trPr>
          <w:trHeight w:hRule="exact" w:val="312"/>
          <w:jc w:val="center"/>
        </w:trPr>
        <w:tc>
          <w:tcPr>
            <w:tcW w:w="4944" w:type="dxa"/>
            <w:vAlign w:val="center"/>
          </w:tcPr>
          <w:p w:rsidR="00497839" w:rsidRPr="00684FAF" w:rsidRDefault="00497839" w:rsidP="00BB1149">
            <w:pPr>
              <w:spacing w:after="0"/>
              <w:ind w:left="71" w:firstLine="0"/>
              <w:rPr>
                <w:rFonts w:ascii="Arial Narrow" w:hAnsi="Arial Narrow" w:cs="Arial"/>
                <w:snapToGrid w:val="0"/>
                <w:color w:val="000000"/>
              </w:rPr>
            </w:pPr>
            <w:r w:rsidRPr="00684FAF">
              <w:rPr>
                <w:rFonts w:ascii="Arial Narrow" w:hAnsi="Arial Narrow" w:cs="Arial"/>
                <w:snapToGrid w:val="0"/>
                <w:color w:val="000000"/>
              </w:rPr>
              <w:t xml:space="preserve">3. Deudores por admón. de recursos por cuenta de otros EEPP </w:t>
            </w:r>
          </w:p>
        </w:tc>
        <w:tc>
          <w:tcPr>
            <w:tcW w:w="1930" w:type="dxa"/>
            <w:vAlign w:val="center"/>
          </w:tcPr>
          <w:p w:rsidR="00497839" w:rsidRPr="001400D6" w:rsidRDefault="00497839" w:rsidP="00BB1149">
            <w:pPr>
              <w:spacing w:after="0"/>
              <w:ind w:left="71"/>
              <w:jc w:val="right"/>
              <w:rPr>
                <w:rFonts w:ascii="Arial Narrow" w:hAnsi="Arial Narrow" w:cs="Arial"/>
                <w:snapToGrid w:val="0"/>
                <w:color w:val="000000"/>
              </w:rPr>
            </w:pPr>
            <w:r w:rsidRPr="001400D6">
              <w:rPr>
                <w:rFonts w:ascii="Arial Narrow" w:hAnsi="Arial Narrow" w:cs="Arial"/>
                <w:snapToGrid w:val="0"/>
                <w:color w:val="000000"/>
              </w:rPr>
              <w:t>310.6</w:t>
            </w:r>
            <w:r>
              <w:rPr>
                <w:rFonts w:ascii="Arial Narrow" w:hAnsi="Arial Narrow" w:cs="Arial"/>
                <w:snapToGrid w:val="0"/>
                <w:color w:val="000000"/>
              </w:rPr>
              <w:t>80</w:t>
            </w:r>
          </w:p>
        </w:tc>
        <w:tc>
          <w:tcPr>
            <w:tcW w:w="2163" w:type="dxa"/>
            <w:vAlign w:val="center"/>
          </w:tcPr>
          <w:p w:rsidR="00497839" w:rsidRPr="001400D6" w:rsidRDefault="00497839" w:rsidP="00BB1149">
            <w:pPr>
              <w:spacing w:after="0"/>
              <w:ind w:left="71"/>
              <w:jc w:val="right"/>
              <w:rPr>
                <w:rFonts w:ascii="Arial Narrow" w:hAnsi="Arial Narrow" w:cs="Arial"/>
                <w:snapToGrid w:val="0"/>
                <w:color w:val="000000"/>
              </w:rPr>
            </w:pPr>
            <w:r>
              <w:rPr>
                <w:rFonts w:ascii="Arial Narrow" w:hAnsi="Arial Narrow" w:cs="Arial"/>
                <w:snapToGrid w:val="0"/>
                <w:color w:val="000000"/>
              </w:rPr>
              <w:t>82.324</w:t>
            </w:r>
          </w:p>
        </w:tc>
      </w:tr>
      <w:tr w:rsidR="00497839" w:rsidRPr="00684FAF" w:rsidTr="00B4698F">
        <w:trPr>
          <w:trHeight w:hRule="exact" w:val="312"/>
          <w:jc w:val="center"/>
        </w:trPr>
        <w:tc>
          <w:tcPr>
            <w:tcW w:w="4944" w:type="dxa"/>
            <w:vAlign w:val="center"/>
          </w:tcPr>
          <w:p w:rsidR="00497839" w:rsidRPr="00684FAF" w:rsidRDefault="00497839" w:rsidP="00BB1149">
            <w:pPr>
              <w:spacing w:after="0"/>
              <w:ind w:left="71" w:firstLine="0"/>
              <w:rPr>
                <w:rFonts w:ascii="Arial Narrow" w:hAnsi="Arial Narrow" w:cs="Arial"/>
                <w:snapToGrid w:val="0"/>
                <w:color w:val="000000"/>
              </w:rPr>
            </w:pPr>
            <w:r w:rsidRPr="00684FAF">
              <w:rPr>
                <w:rFonts w:ascii="Arial Narrow" w:hAnsi="Arial Narrow" w:cs="Arial"/>
                <w:snapToGrid w:val="0"/>
                <w:color w:val="000000"/>
              </w:rPr>
              <w:t xml:space="preserve">5. Otros deudores </w:t>
            </w:r>
          </w:p>
        </w:tc>
        <w:tc>
          <w:tcPr>
            <w:tcW w:w="1930" w:type="dxa"/>
            <w:vAlign w:val="center"/>
          </w:tcPr>
          <w:p w:rsidR="00497839" w:rsidRPr="001400D6" w:rsidRDefault="00497839" w:rsidP="00BB1149">
            <w:pPr>
              <w:spacing w:after="0"/>
              <w:ind w:left="71"/>
              <w:jc w:val="right"/>
              <w:rPr>
                <w:rFonts w:ascii="Arial Narrow" w:hAnsi="Arial Narrow" w:cs="Arial"/>
                <w:snapToGrid w:val="0"/>
                <w:color w:val="000000"/>
              </w:rPr>
            </w:pPr>
            <w:r w:rsidRPr="001400D6">
              <w:rPr>
                <w:rFonts w:ascii="Arial Narrow" w:hAnsi="Arial Narrow" w:cs="Arial"/>
                <w:snapToGrid w:val="0"/>
                <w:color w:val="000000"/>
              </w:rPr>
              <w:t>4.000.867</w:t>
            </w:r>
          </w:p>
        </w:tc>
        <w:tc>
          <w:tcPr>
            <w:tcW w:w="2163" w:type="dxa"/>
            <w:vAlign w:val="center"/>
          </w:tcPr>
          <w:p w:rsidR="00497839" w:rsidRPr="001400D6" w:rsidRDefault="00497839" w:rsidP="00BB1149">
            <w:pPr>
              <w:spacing w:after="0"/>
              <w:ind w:left="71"/>
              <w:jc w:val="right"/>
              <w:rPr>
                <w:rFonts w:ascii="Arial Narrow" w:hAnsi="Arial Narrow" w:cs="Arial"/>
                <w:snapToGrid w:val="0"/>
                <w:color w:val="000000"/>
              </w:rPr>
            </w:pPr>
            <w:r>
              <w:rPr>
                <w:rFonts w:ascii="Arial Narrow" w:hAnsi="Arial Narrow" w:cs="Arial"/>
                <w:snapToGrid w:val="0"/>
                <w:color w:val="000000"/>
              </w:rPr>
              <w:t>15.178.489</w:t>
            </w:r>
          </w:p>
        </w:tc>
      </w:tr>
      <w:tr w:rsidR="00497839" w:rsidRPr="00684FAF" w:rsidTr="00B4698F">
        <w:trPr>
          <w:trHeight w:hRule="exact" w:val="312"/>
          <w:jc w:val="center"/>
        </w:trPr>
        <w:tc>
          <w:tcPr>
            <w:tcW w:w="4944" w:type="dxa"/>
            <w:tcBorders>
              <w:bottom w:val="single" w:sz="2" w:space="0" w:color="auto"/>
            </w:tcBorders>
            <w:vAlign w:val="center"/>
          </w:tcPr>
          <w:p w:rsidR="00497839" w:rsidRPr="00684FAF" w:rsidRDefault="00497839" w:rsidP="00BB1149">
            <w:pPr>
              <w:spacing w:after="0"/>
              <w:ind w:left="71" w:firstLine="0"/>
              <w:rPr>
                <w:rFonts w:ascii="Arial Narrow" w:hAnsi="Arial Narrow" w:cs="Arial"/>
                <w:snapToGrid w:val="0"/>
                <w:color w:val="000000"/>
              </w:rPr>
            </w:pPr>
            <w:r w:rsidRPr="00684FAF">
              <w:rPr>
                <w:rFonts w:ascii="Arial Narrow" w:hAnsi="Arial Narrow" w:cs="Arial"/>
                <w:snapToGrid w:val="0"/>
                <w:color w:val="000000"/>
              </w:rPr>
              <w:t>6</w:t>
            </w:r>
            <w:r w:rsidR="007B7BC8">
              <w:rPr>
                <w:rFonts w:ascii="Arial Narrow" w:hAnsi="Arial Narrow" w:cs="Arial"/>
                <w:snapToGrid w:val="0"/>
                <w:color w:val="000000"/>
              </w:rPr>
              <w:t>.</w:t>
            </w:r>
            <w:r w:rsidRPr="00684FAF">
              <w:rPr>
                <w:rFonts w:ascii="Arial Narrow" w:hAnsi="Arial Narrow" w:cs="Arial"/>
                <w:snapToGrid w:val="0"/>
                <w:color w:val="000000"/>
              </w:rPr>
              <w:t xml:space="preserve"> (Provisiones)</w:t>
            </w:r>
          </w:p>
        </w:tc>
        <w:tc>
          <w:tcPr>
            <w:tcW w:w="1930" w:type="dxa"/>
            <w:tcBorders>
              <w:bottom w:val="single" w:sz="2" w:space="0" w:color="auto"/>
            </w:tcBorders>
            <w:vAlign w:val="center"/>
          </w:tcPr>
          <w:p w:rsidR="00497839" w:rsidRPr="001400D6" w:rsidRDefault="00497839" w:rsidP="00BB1149">
            <w:pPr>
              <w:spacing w:after="0"/>
              <w:ind w:left="71"/>
              <w:jc w:val="right"/>
              <w:rPr>
                <w:rFonts w:ascii="Arial Narrow" w:hAnsi="Arial Narrow" w:cs="Arial"/>
                <w:snapToGrid w:val="0"/>
                <w:color w:val="000000"/>
              </w:rPr>
            </w:pPr>
            <w:r w:rsidRPr="001400D6">
              <w:rPr>
                <w:rFonts w:ascii="Arial Narrow" w:hAnsi="Arial Narrow" w:cs="Arial"/>
                <w:snapToGrid w:val="0"/>
                <w:color w:val="000000"/>
              </w:rPr>
              <w:t>-498.168.727</w:t>
            </w:r>
          </w:p>
        </w:tc>
        <w:tc>
          <w:tcPr>
            <w:tcW w:w="2163" w:type="dxa"/>
            <w:tcBorders>
              <w:bottom w:val="single" w:sz="2" w:space="0" w:color="auto"/>
            </w:tcBorders>
            <w:vAlign w:val="center"/>
          </w:tcPr>
          <w:p w:rsidR="00497839" w:rsidRPr="001400D6" w:rsidRDefault="00497839" w:rsidP="00BB1149">
            <w:pPr>
              <w:spacing w:after="0"/>
              <w:ind w:left="71"/>
              <w:jc w:val="right"/>
              <w:rPr>
                <w:rFonts w:ascii="Arial Narrow" w:hAnsi="Arial Narrow" w:cs="Arial"/>
                <w:snapToGrid w:val="0"/>
                <w:color w:val="000000"/>
              </w:rPr>
            </w:pPr>
            <w:r>
              <w:rPr>
                <w:rFonts w:ascii="Arial Narrow" w:hAnsi="Arial Narrow" w:cs="Arial"/>
                <w:snapToGrid w:val="0"/>
                <w:color w:val="000000"/>
              </w:rPr>
              <w:t>-528.650.172</w:t>
            </w:r>
          </w:p>
        </w:tc>
      </w:tr>
      <w:tr w:rsidR="00497839" w:rsidRPr="00C91A3F" w:rsidTr="00B4698F">
        <w:trPr>
          <w:trHeight w:hRule="exact" w:val="312"/>
          <w:jc w:val="center"/>
        </w:trPr>
        <w:tc>
          <w:tcPr>
            <w:tcW w:w="4944" w:type="dxa"/>
            <w:tcBorders>
              <w:top w:val="single" w:sz="2" w:space="0" w:color="auto"/>
            </w:tcBorders>
            <w:vAlign w:val="center"/>
          </w:tcPr>
          <w:p w:rsidR="00497839" w:rsidRPr="00C91A3F" w:rsidRDefault="00497839" w:rsidP="00BB1149">
            <w:pPr>
              <w:spacing w:after="0"/>
              <w:ind w:left="71" w:firstLine="0"/>
              <w:rPr>
                <w:rFonts w:ascii="Arial Narrow" w:hAnsi="Arial Narrow" w:cs="Arial"/>
                <w:snapToGrid w:val="0"/>
                <w:color w:val="000000"/>
              </w:rPr>
            </w:pPr>
            <w:r w:rsidRPr="00C91A3F">
              <w:rPr>
                <w:rFonts w:ascii="Arial Narrow" w:hAnsi="Arial Narrow" w:cs="Arial"/>
                <w:snapToGrid w:val="0"/>
                <w:color w:val="000000"/>
              </w:rPr>
              <w:t>III. Inversiones financieras temporales</w:t>
            </w:r>
          </w:p>
        </w:tc>
        <w:tc>
          <w:tcPr>
            <w:tcW w:w="1930" w:type="dxa"/>
            <w:tcBorders>
              <w:top w:val="single" w:sz="2" w:space="0" w:color="auto"/>
            </w:tcBorders>
            <w:vAlign w:val="center"/>
          </w:tcPr>
          <w:p w:rsidR="00497839" w:rsidRPr="000E7C62" w:rsidRDefault="00497839" w:rsidP="00BB1149">
            <w:pPr>
              <w:spacing w:after="0"/>
              <w:ind w:left="71"/>
              <w:jc w:val="right"/>
              <w:rPr>
                <w:rFonts w:ascii="Arial Narrow" w:hAnsi="Arial Narrow" w:cs="Arial"/>
                <w:snapToGrid w:val="0"/>
                <w:color w:val="000000"/>
              </w:rPr>
            </w:pPr>
            <w:r w:rsidRPr="000E7C62">
              <w:rPr>
                <w:rFonts w:ascii="Arial Narrow" w:hAnsi="Arial Narrow" w:cs="Arial"/>
                <w:snapToGrid w:val="0"/>
                <w:color w:val="000000"/>
              </w:rPr>
              <w:t>17.269</w:t>
            </w:r>
          </w:p>
        </w:tc>
        <w:tc>
          <w:tcPr>
            <w:tcW w:w="2163" w:type="dxa"/>
            <w:tcBorders>
              <w:top w:val="single" w:sz="2" w:space="0" w:color="auto"/>
            </w:tcBorders>
            <w:vAlign w:val="center"/>
          </w:tcPr>
          <w:p w:rsidR="00497839" w:rsidRPr="000E7C62" w:rsidRDefault="00497839" w:rsidP="00BB1149">
            <w:pPr>
              <w:spacing w:after="0"/>
              <w:ind w:left="71"/>
              <w:jc w:val="right"/>
              <w:rPr>
                <w:rFonts w:ascii="Arial Narrow" w:hAnsi="Arial Narrow" w:cs="Arial"/>
                <w:snapToGrid w:val="0"/>
                <w:color w:val="000000"/>
              </w:rPr>
            </w:pPr>
            <w:r w:rsidRPr="000E7C62">
              <w:rPr>
                <w:rFonts w:ascii="Arial Narrow" w:hAnsi="Arial Narrow" w:cs="Arial"/>
                <w:snapToGrid w:val="0"/>
                <w:color w:val="000000"/>
              </w:rPr>
              <w:t>17.269</w:t>
            </w:r>
          </w:p>
        </w:tc>
      </w:tr>
      <w:tr w:rsidR="00497839" w:rsidRPr="00684FAF" w:rsidTr="00B4698F">
        <w:trPr>
          <w:trHeight w:hRule="exact" w:val="312"/>
          <w:jc w:val="center"/>
        </w:trPr>
        <w:tc>
          <w:tcPr>
            <w:tcW w:w="4944" w:type="dxa"/>
            <w:tcBorders>
              <w:bottom w:val="single" w:sz="2" w:space="0" w:color="auto"/>
            </w:tcBorders>
            <w:vAlign w:val="center"/>
          </w:tcPr>
          <w:p w:rsidR="00497839" w:rsidRPr="00684FAF" w:rsidRDefault="00497839" w:rsidP="00BB1149">
            <w:pPr>
              <w:spacing w:after="0"/>
              <w:ind w:left="71" w:firstLine="0"/>
              <w:rPr>
                <w:rFonts w:ascii="Arial Narrow" w:hAnsi="Arial Narrow" w:cs="Arial"/>
                <w:snapToGrid w:val="0"/>
                <w:color w:val="000000"/>
              </w:rPr>
            </w:pPr>
            <w:r w:rsidRPr="00684FAF">
              <w:rPr>
                <w:rFonts w:ascii="Arial Narrow" w:hAnsi="Arial Narrow" w:cs="Arial"/>
                <w:snapToGrid w:val="0"/>
                <w:color w:val="000000"/>
              </w:rPr>
              <w:t xml:space="preserve">3. Fianzas y depósitos constituidos a corto plazo </w:t>
            </w:r>
          </w:p>
        </w:tc>
        <w:tc>
          <w:tcPr>
            <w:tcW w:w="1930" w:type="dxa"/>
            <w:tcBorders>
              <w:bottom w:val="single" w:sz="2" w:space="0" w:color="auto"/>
            </w:tcBorders>
            <w:vAlign w:val="center"/>
          </w:tcPr>
          <w:p w:rsidR="00497839" w:rsidRPr="001400D6" w:rsidRDefault="00497839" w:rsidP="00BB1149">
            <w:pPr>
              <w:spacing w:after="0"/>
              <w:ind w:left="71"/>
              <w:jc w:val="right"/>
              <w:rPr>
                <w:rFonts w:ascii="Arial Narrow" w:hAnsi="Arial Narrow" w:cs="Arial"/>
                <w:snapToGrid w:val="0"/>
                <w:color w:val="000000"/>
              </w:rPr>
            </w:pPr>
            <w:r w:rsidRPr="001400D6">
              <w:rPr>
                <w:rFonts w:ascii="Arial Narrow" w:hAnsi="Arial Narrow" w:cs="Arial"/>
                <w:snapToGrid w:val="0"/>
                <w:color w:val="000000"/>
              </w:rPr>
              <w:t>17.269</w:t>
            </w:r>
          </w:p>
        </w:tc>
        <w:tc>
          <w:tcPr>
            <w:tcW w:w="2163" w:type="dxa"/>
            <w:tcBorders>
              <w:bottom w:val="single" w:sz="2" w:space="0" w:color="auto"/>
            </w:tcBorders>
            <w:vAlign w:val="center"/>
          </w:tcPr>
          <w:p w:rsidR="00497839" w:rsidRPr="001400D6" w:rsidRDefault="00497839" w:rsidP="00BB1149">
            <w:pPr>
              <w:spacing w:after="0"/>
              <w:ind w:left="71"/>
              <w:jc w:val="right"/>
              <w:rPr>
                <w:rFonts w:ascii="Arial Narrow" w:hAnsi="Arial Narrow" w:cs="Arial"/>
                <w:snapToGrid w:val="0"/>
                <w:color w:val="000000"/>
              </w:rPr>
            </w:pPr>
            <w:r>
              <w:rPr>
                <w:rFonts w:ascii="Arial Narrow" w:hAnsi="Arial Narrow" w:cs="Arial"/>
                <w:snapToGrid w:val="0"/>
                <w:color w:val="000000"/>
              </w:rPr>
              <w:t>17.269</w:t>
            </w:r>
          </w:p>
        </w:tc>
      </w:tr>
      <w:tr w:rsidR="00497839" w:rsidRPr="00C91A3F" w:rsidTr="00B4698F">
        <w:trPr>
          <w:trHeight w:hRule="exact" w:val="312"/>
          <w:jc w:val="center"/>
        </w:trPr>
        <w:tc>
          <w:tcPr>
            <w:tcW w:w="4944" w:type="dxa"/>
            <w:tcBorders>
              <w:top w:val="single" w:sz="2" w:space="0" w:color="auto"/>
              <w:bottom w:val="single" w:sz="2" w:space="0" w:color="auto"/>
            </w:tcBorders>
            <w:vAlign w:val="center"/>
          </w:tcPr>
          <w:p w:rsidR="00497839" w:rsidRPr="00C91A3F" w:rsidRDefault="00497839" w:rsidP="00BB1149">
            <w:pPr>
              <w:spacing w:after="0"/>
              <w:ind w:left="71" w:firstLine="0"/>
              <w:rPr>
                <w:rFonts w:ascii="Arial Narrow" w:hAnsi="Arial Narrow" w:cs="Arial"/>
                <w:snapToGrid w:val="0"/>
                <w:color w:val="000000"/>
              </w:rPr>
            </w:pPr>
            <w:r w:rsidRPr="00C91A3F">
              <w:rPr>
                <w:rFonts w:ascii="Arial Narrow" w:hAnsi="Arial Narrow" w:cs="Arial"/>
                <w:snapToGrid w:val="0"/>
                <w:color w:val="000000"/>
              </w:rPr>
              <w:t xml:space="preserve">IV. Tesorería </w:t>
            </w:r>
          </w:p>
        </w:tc>
        <w:tc>
          <w:tcPr>
            <w:tcW w:w="1930" w:type="dxa"/>
            <w:tcBorders>
              <w:top w:val="single" w:sz="2" w:space="0" w:color="auto"/>
              <w:bottom w:val="single" w:sz="2" w:space="0" w:color="auto"/>
            </w:tcBorders>
            <w:vAlign w:val="center"/>
          </w:tcPr>
          <w:p w:rsidR="00497839" w:rsidRPr="000E7C62" w:rsidRDefault="00497839" w:rsidP="00BB1149">
            <w:pPr>
              <w:spacing w:after="0"/>
              <w:ind w:left="71"/>
              <w:jc w:val="right"/>
              <w:rPr>
                <w:rFonts w:ascii="Arial Narrow" w:hAnsi="Arial Narrow" w:cs="Arial"/>
                <w:snapToGrid w:val="0"/>
                <w:color w:val="000000"/>
              </w:rPr>
            </w:pPr>
            <w:r w:rsidRPr="000E7C62">
              <w:rPr>
                <w:rFonts w:ascii="Arial Narrow" w:hAnsi="Arial Narrow" w:cs="Arial"/>
                <w:snapToGrid w:val="0"/>
                <w:color w:val="000000"/>
              </w:rPr>
              <w:t>61.971.413</w:t>
            </w:r>
          </w:p>
        </w:tc>
        <w:tc>
          <w:tcPr>
            <w:tcW w:w="2163" w:type="dxa"/>
            <w:tcBorders>
              <w:top w:val="single" w:sz="2" w:space="0" w:color="auto"/>
              <w:bottom w:val="single" w:sz="2" w:space="0" w:color="auto"/>
            </w:tcBorders>
            <w:vAlign w:val="center"/>
          </w:tcPr>
          <w:p w:rsidR="00497839" w:rsidRPr="000E7C62" w:rsidRDefault="00497839" w:rsidP="00BB1149">
            <w:pPr>
              <w:spacing w:after="0"/>
              <w:ind w:left="71"/>
              <w:jc w:val="right"/>
              <w:rPr>
                <w:rFonts w:ascii="Arial Narrow" w:hAnsi="Arial Narrow" w:cs="Arial"/>
                <w:snapToGrid w:val="0"/>
                <w:color w:val="000000"/>
              </w:rPr>
            </w:pPr>
            <w:r w:rsidRPr="000E7C62">
              <w:rPr>
                <w:rFonts w:ascii="Arial Narrow" w:hAnsi="Arial Narrow" w:cs="Arial"/>
                <w:snapToGrid w:val="0"/>
                <w:color w:val="000000"/>
              </w:rPr>
              <w:t>165.715.367</w:t>
            </w:r>
          </w:p>
        </w:tc>
      </w:tr>
      <w:tr w:rsidR="00497839" w:rsidRPr="00A645B1" w:rsidTr="00B4698F">
        <w:trPr>
          <w:trHeight w:hRule="exact" w:val="340"/>
          <w:jc w:val="center"/>
        </w:trPr>
        <w:tc>
          <w:tcPr>
            <w:tcW w:w="4944" w:type="dxa"/>
            <w:tcBorders>
              <w:top w:val="single" w:sz="2" w:space="0" w:color="auto"/>
              <w:bottom w:val="single" w:sz="4" w:space="0" w:color="auto"/>
            </w:tcBorders>
            <w:shd w:val="clear" w:color="auto" w:fill="A8CBEE" w:themeFill="accent2" w:themeFillTint="66"/>
            <w:vAlign w:val="center"/>
          </w:tcPr>
          <w:p w:rsidR="00497839" w:rsidRPr="00A645B1" w:rsidRDefault="00497839" w:rsidP="00BB1149">
            <w:pPr>
              <w:pStyle w:val="cuadroCabe"/>
              <w:rPr>
                <w:snapToGrid w:val="0"/>
              </w:rPr>
            </w:pPr>
            <w:r w:rsidRPr="00A645B1">
              <w:rPr>
                <w:snapToGrid w:val="0"/>
              </w:rPr>
              <w:t xml:space="preserve">Total </w:t>
            </w:r>
            <w:r>
              <w:rPr>
                <w:snapToGrid w:val="0"/>
              </w:rPr>
              <w:t>Activo</w:t>
            </w:r>
            <w:r w:rsidR="003630EE">
              <w:rPr>
                <w:snapToGrid w:val="0"/>
              </w:rPr>
              <w:t xml:space="preserve"> (A</w:t>
            </w:r>
            <w:r w:rsidRPr="00A645B1">
              <w:rPr>
                <w:snapToGrid w:val="0"/>
              </w:rPr>
              <w:t>+C)</w:t>
            </w:r>
          </w:p>
        </w:tc>
        <w:tc>
          <w:tcPr>
            <w:tcW w:w="1930" w:type="dxa"/>
            <w:tcBorders>
              <w:top w:val="single" w:sz="2" w:space="0" w:color="auto"/>
              <w:bottom w:val="single" w:sz="4" w:space="0" w:color="auto"/>
            </w:tcBorders>
            <w:shd w:val="clear" w:color="auto" w:fill="A8CBEE" w:themeFill="accent2" w:themeFillTint="66"/>
            <w:vAlign w:val="center"/>
          </w:tcPr>
          <w:p w:rsidR="00497839" w:rsidRPr="00684FAF" w:rsidRDefault="00497839" w:rsidP="00BB1149">
            <w:pPr>
              <w:pStyle w:val="cuadroCabe"/>
              <w:jc w:val="right"/>
              <w:rPr>
                <w:snapToGrid w:val="0"/>
                <w:lang w:val="es-ES"/>
              </w:rPr>
            </w:pPr>
            <w:r>
              <w:rPr>
                <w:snapToGrid w:val="0"/>
                <w:lang w:val="es-ES"/>
              </w:rPr>
              <w:t>3.202.840.688</w:t>
            </w:r>
          </w:p>
        </w:tc>
        <w:tc>
          <w:tcPr>
            <w:tcW w:w="2163" w:type="dxa"/>
            <w:tcBorders>
              <w:top w:val="single" w:sz="2" w:space="0" w:color="auto"/>
              <w:bottom w:val="single" w:sz="4" w:space="0" w:color="auto"/>
            </w:tcBorders>
            <w:shd w:val="clear" w:color="auto" w:fill="A8CBEE" w:themeFill="accent2" w:themeFillTint="66"/>
            <w:vAlign w:val="center"/>
          </w:tcPr>
          <w:p w:rsidR="00497839" w:rsidRPr="00684FAF" w:rsidRDefault="00497839" w:rsidP="00BB1149">
            <w:pPr>
              <w:pStyle w:val="cuadroCabe"/>
              <w:jc w:val="right"/>
              <w:rPr>
                <w:snapToGrid w:val="0"/>
                <w:lang w:val="es-ES"/>
              </w:rPr>
            </w:pPr>
            <w:r>
              <w:rPr>
                <w:snapToGrid w:val="0"/>
                <w:lang w:val="es-ES"/>
              </w:rPr>
              <w:t>3.210.239.988</w:t>
            </w:r>
          </w:p>
        </w:tc>
      </w:tr>
    </w:tbl>
    <w:p w:rsidR="00497839" w:rsidRPr="00CA7064" w:rsidRDefault="00497839" w:rsidP="00497839">
      <w:pPr>
        <w:pStyle w:val="texto"/>
        <w:spacing w:before="120" w:after="0"/>
        <w:ind w:left="-357" w:firstLine="0"/>
        <w:rPr>
          <w:rFonts w:ascii="Arial Narrow" w:hAnsi="Arial Narrow"/>
          <w:sz w:val="18"/>
          <w:szCs w:val="18"/>
        </w:rPr>
      </w:pPr>
    </w:p>
    <w:p w:rsidR="00497839" w:rsidRDefault="00497839" w:rsidP="00497839">
      <w:pPr>
        <w:pStyle w:val="texto"/>
        <w:spacing w:before="120" w:after="0"/>
        <w:ind w:left="-357" w:firstLine="0"/>
        <w:jc w:val="left"/>
        <w:rPr>
          <w:rFonts w:ascii="Arial Narrow" w:hAnsi="Arial Narrow"/>
          <w:sz w:val="20"/>
        </w:rPr>
      </w:pPr>
    </w:p>
    <w:p w:rsidR="00497839" w:rsidRDefault="00497839" w:rsidP="00497839">
      <w:pPr>
        <w:pStyle w:val="texto"/>
        <w:spacing w:before="120" w:after="0"/>
        <w:ind w:left="-357" w:firstLine="0"/>
        <w:jc w:val="left"/>
        <w:rPr>
          <w:rFonts w:ascii="Arial Narrow" w:hAnsi="Arial Narrow"/>
          <w:sz w:val="20"/>
        </w:rPr>
      </w:pPr>
    </w:p>
    <w:p w:rsidR="00497839" w:rsidRDefault="00497839" w:rsidP="00497839">
      <w:pPr>
        <w:pStyle w:val="texto"/>
        <w:spacing w:before="120" w:after="0"/>
        <w:ind w:left="-357" w:firstLine="0"/>
        <w:jc w:val="left"/>
        <w:rPr>
          <w:rFonts w:ascii="Arial Narrow" w:hAnsi="Arial Narrow"/>
          <w:sz w:val="20"/>
        </w:rPr>
      </w:pPr>
    </w:p>
    <w:p w:rsidR="00497839" w:rsidRDefault="00497839" w:rsidP="00497839">
      <w:pPr>
        <w:pStyle w:val="texto"/>
        <w:spacing w:before="120" w:after="0"/>
        <w:ind w:left="-357" w:firstLine="0"/>
        <w:jc w:val="left"/>
        <w:rPr>
          <w:rFonts w:ascii="Arial Narrow" w:hAnsi="Arial Narrow"/>
          <w:sz w:val="20"/>
        </w:rPr>
      </w:pPr>
    </w:p>
    <w:p w:rsidR="00497839" w:rsidRDefault="00497839" w:rsidP="00497839">
      <w:pPr>
        <w:pStyle w:val="texto"/>
        <w:spacing w:before="120" w:after="0"/>
        <w:ind w:left="-357" w:firstLine="0"/>
        <w:jc w:val="left"/>
        <w:rPr>
          <w:rFonts w:ascii="Arial Narrow" w:hAnsi="Arial Narrow"/>
          <w:sz w:val="20"/>
        </w:rPr>
      </w:pPr>
    </w:p>
    <w:p w:rsidR="00497839" w:rsidRDefault="00497839" w:rsidP="00497839">
      <w:pPr>
        <w:pStyle w:val="texto"/>
        <w:spacing w:before="120" w:after="0"/>
        <w:ind w:left="-357" w:firstLine="0"/>
        <w:jc w:val="left"/>
        <w:rPr>
          <w:rFonts w:ascii="Arial Narrow" w:hAnsi="Arial Narrow"/>
          <w:sz w:val="20"/>
        </w:rPr>
      </w:pPr>
    </w:p>
    <w:p w:rsidR="00497839" w:rsidRDefault="00497839" w:rsidP="00497839">
      <w:pPr>
        <w:pStyle w:val="texto"/>
        <w:spacing w:before="120" w:after="0"/>
        <w:ind w:left="-357" w:firstLine="0"/>
        <w:jc w:val="left"/>
        <w:rPr>
          <w:rFonts w:ascii="Arial Narrow" w:hAnsi="Arial Narrow"/>
          <w:sz w:val="20"/>
        </w:rPr>
      </w:pPr>
    </w:p>
    <w:p w:rsidR="00497839" w:rsidRDefault="00497839" w:rsidP="00497839">
      <w:pPr>
        <w:pStyle w:val="texto"/>
        <w:spacing w:before="120" w:after="0"/>
        <w:ind w:left="-357" w:firstLine="0"/>
        <w:jc w:val="left"/>
        <w:rPr>
          <w:rFonts w:ascii="Arial Narrow" w:hAnsi="Arial Narrow"/>
          <w:sz w:val="20"/>
        </w:rPr>
      </w:pPr>
    </w:p>
    <w:p w:rsidR="003639A8" w:rsidRDefault="003639A8">
      <w:pPr>
        <w:spacing w:after="0"/>
        <w:ind w:firstLine="0"/>
        <w:jc w:val="left"/>
        <w:rPr>
          <w:rFonts w:ascii="Arial Narrow" w:hAnsi="Arial Narrow"/>
          <w:spacing w:val="6"/>
          <w:szCs w:val="24"/>
        </w:rPr>
      </w:pPr>
      <w:r>
        <w:rPr>
          <w:rFonts w:ascii="Arial Narrow" w:hAnsi="Arial Narrow"/>
        </w:rPr>
        <w:br w:type="page"/>
      </w:r>
    </w:p>
    <w:p w:rsidR="003639A8" w:rsidRPr="00A645B1" w:rsidRDefault="003639A8" w:rsidP="0011458F">
      <w:pPr>
        <w:pStyle w:val="texto"/>
        <w:spacing w:after="40"/>
        <w:ind w:right="-284"/>
        <w:jc w:val="right"/>
        <w:rPr>
          <w:rFonts w:ascii="GillSans Light" w:hAnsi="GillSans Light"/>
          <w:sz w:val="18"/>
          <w:szCs w:val="18"/>
        </w:rPr>
      </w:pPr>
      <w:r w:rsidRPr="00A645B1">
        <w:rPr>
          <w:rFonts w:ascii="GillSans Light" w:hAnsi="GillSans Light"/>
          <w:sz w:val="18"/>
          <w:szCs w:val="18"/>
        </w:rPr>
        <w:lastRenderedPageBreak/>
        <w:t>(</w:t>
      </w:r>
      <w:r w:rsidR="007E1C86">
        <w:rPr>
          <w:rFonts w:ascii="GillSans Light" w:hAnsi="GillSans Light"/>
          <w:sz w:val="18"/>
          <w:szCs w:val="18"/>
        </w:rPr>
        <w:t>E</w:t>
      </w:r>
      <w:r w:rsidRPr="00A645B1">
        <w:rPr>
          <w:rFonts w:ascii="GillSans Light" w:hAnsi="GillSans Light"/>
          <w:sz w:val="18"/>
          <w:szCs w:val="18"/>
        </w:rPr>
        <w:t>n euros)</w:t>
      </w:r>
    </w:p>
    <w:tbl>
      <w:tblPr>
        <w:tblW w:w="9317" w:type="dxa"/>
        <w:jc w:val="center"/>
        <w:tblLayout w:type="fixed"/>
        <w:tblCellMar>
          <w:left w:w="70" w:type="dxa"/>
          <w:right w:w="70" w:type="dxa"/>
        </w:tblCellMar>
        <w:tblLook w:val="0000" w:firstRow="0" w:lastRow="0" w:firstColumn="0" w:lastColumn="0" w:noHBand="0" w:noVBand="0"/>
      </w:tblPr>
      <w:tblGrid>
        <w:gridCol w:w="5327"/>
        <w:gridCol w:w="2171"/>
        <w:gridCol w:w="1819"/>
      </w:tblGrid>
      <w:tr w:rsidR="00497839" w:rsidRPr="00F42768" w:rsidTr="003639A8">
        <w:trPr>
          <w:trHeight w:hRule="exact" w:val="340"/>
          <w:jc w:val="center"/>
        </w:trPr>
        <w:tc>
          <w:tcPr>
            <w:tcW w:w="5327" w:type="dxa"/>
            <w:tcBorders>
              <w:top w:val="single" w:sz="4" w:space="0" w:color="auto"/>
              <w:bottom w:val="single" w:sz="4" w:space="0" w:color="auto"/>
            </w:tcBorders>
            <w:shd w:val="clear" w:color="auto" w:fill="A8CBEE" w:themeFill="accent2" w:themeFillTint="66"/>
            <w:vAlign w:val="center"/>
          </w:tcPr>
          <w:p w:rsidR="00497839" w:rsidRPr="00F42768" w:rsidRDefault="00497839" w:rsidP="00BB1149">
            <w:pPr>
              <w:pStyle w:val="cuadroCabe"/>
              <w:rPr>
                <w:snapToGrid w:val="0"/>
              </w:rPr>
            </w:pPr>
            <w:r w:rsidRPr="00F42768">
              <w:rPr>
                <w:snapToGrid w:val="0"/>
              </w:rPr>
              <w:br w:type="page"/>
            </w:r>
            <w:r w:rsidRPr="00F42768">
              <w:rPr>
                <w:snapToGrid w:val="0"/>
              </w:rPr>
              <w:br w:type="page"/>
            </w:r>
            <w:r>
              <w:rPr>
                <w:snapToGrid w:val="0"/>
              </w:rPr>
              <w:t xml:space="preserve">PATRIMONIO NETO Y </w:t>
            </w:r>
            <w:r w:rsidRPr="00F42768">
              <w:rPr>
                <w:snapToGrid w:val="0"/>
              </w:rPr>
              <w:t>PASIVO</w:t>
            </w:r>
          </w:p>
        </w:tc>
        <w:tc>
          <w:tcPr>
            <w:tcW w:w="2171" w:type="dxa"/>
            <w:tcBorders>
              <w:top w:val="single" w:sz="4" w:space="0" w:color="auto"/>
              <w:bottom w:val="single" w:sz="4" w:space="0" w:color="auto"/>
            </w:tcBorders>
            <w:shd w:val="clear" w:color="auto" w:fill="A8CBEE" w:themeFill="accent2" w:themeFillTint="66"/>
            <w:vAlign w:val="center"/>
          </w:tcPr>
          <w:p w:rsidR="00497839" w:rsidRPr="00F42768" w:rsidRDefault="00497839" w:rsidP="00BB1149">
            <w:pPr>
              <w:pStyle w:val="cuadroCabe"/>
              <w:jc w:val="right"/>
              <w:rPr>
                <w:snapToGrid w:val="0"/>
              </w:rPr>
            </w:pPr>
            <w:r w:rsidRPr="00F42768">
              <w:rPr>
                <w:snapToGrid w:val="0"/>
              </w:rPr>
              <w:t>Ejercicio 201</w:t>
            </w:r>
            <w:r>
              <w:rPr>
                <w:snapToGrid w:val="0"/>
              </w:rPr>
              <w:t>5</w:t>
            </w:r>
          </w:p>
        </w:tc>
        <w:tc>
          <w:tcPr>
            <w:tcW w:w="1819" w:type="dxa"/>
            <w:tcBorders>
              <w:top w:val="single" w:sz="4" w:space="0" w:color="auto"/>
              <w:bottom w:val="single" w:sz="4" w:space="0" w:color="auto"/>
            </w:tcBorders>
            <w:shd w:val="clear" w:color="auto" w:fill="A8CBEE" w:themeFill="accent2" w:themeFillTint="66"/>
            <w:vAlign w:val="center"/>
          </w:tcPr>
          <w:p w:rsidR="00497839" w:rsidRPr="00F42768" w:rsidRDefault="00497839" w:rsidP="003639A8">
            <w:pPr>
              <w:pStyle w:val="cuadroCabe"/>
              <w:jc w:val="right"/>
              <w:rPr>
                <w:snapToGrid w:val="0"/>
              </w:rPr>
            </w:pPr>
            <w:r w:rsidRPr="00F42768">
              <w:rPr>
                <w:snapToGrid w:val="0"/>
              </w:rPr>
              <w:t>Ejercicio 201</w:t>
            </w:r>
            <w:r>
              <w:rPr>
                <w:snapToGrid w:val="0"/>
              </w:rPr>
              <w:t>4</w:t>
            </w:r>
          </w:p>
        </w:tc>
      </w:tr>
      <w:tr w:rsidR="00497839" w:rsidRPr="00C91A3F" w:rsidTr="003639A8">
        <w:trPr>
          <w:trHeight w:hRule="exact" w:val="340"/>
          <w:jc w:val="center"/>
        </w:trPr>
        <w:tc>
          <w:tcPr>
            <w:tcW w:w="5327" w:type="dxa"/>
            <w:tcBorders>
              <w:top w:val="single" w:sz="4" w:space="0" w:color="auto"/>
              <w:bottom w:val="single" w:sz="2" w:space="0" w:color="auto"/>
            </w:tcBorders>
            <w:vAlign w:val="center"/>
          </w:tcPr>
          <w:p w:rsidR="00497839" w:rsidRPr="00C91A3F" w:rsidRDefault="00497839" w:rsidP="00BB1149">
            <w:pPr>
              <w:spacing w:after="0"/>
              <w:ind w:left="71" w:firstLine="0"/>
              <w:rPr>
                <w:rFonts w:ascii="Arial Narrow" w:hAnsi="Arial Narrow" w:cs="Arial"/>
                <w:b/>
                <w:snapToGrid w:val="0"/>
                <w:color w:val="000000"/>
              </w:rPr>
            </w:pPr>
            <w:r w:rsidRPr="00C91A3F">
              <w:rPr>
                <w:rFonts w:ascii="Arial Narrow" w:hAnsi="Arial Narrow" w:cs="Arial"/>
                <w:b/>
                <w:snapToGrid w:val="0"/>
                <w:color w:val="000000"/>
              </w:rPr>
              <w:t>A) Fondos Propios</w:t>
            </w:r>
          </w:p>
        </w:tc>
        <w:tc>
          <w:tcPr>
            <w:tcW w:w="2171" w:type="dxa"/>
            <w:tcBorders>
              <w:top w:val="single" w:sz="4" w:space="0" w:color="auto"/>
              <w:bottom w:val="single" w:sz="2" w:space="0" w:color="auto"/>
            </w:tcBorders>
            <w:vAlign w:val="center"/>
          </w:tcPr>
          <w:p w:rsidR="00497839" w:rsidRPr="006E1D78" w:rsidRDefault="00497839" w:rsidP="00C83994">
            <w:pPr>
              <w:spacing w:after="0"/>
              <w:jc w:val="right"/>
              <w:rPr>
                <w:rFonts w:ascii="Arial Narrow" w:hAnsi="Arial Narrow" w:cs="Arial"/>
                <w:b/>
                <w:snapToGrid w:val="0"/>
                <w:color w:val="000000"/>
              </w:rPr>
            </w:pPr>
            <w:r w:rsidRPr="00C83994">
              <w:rPr>
                <w:rFonts w:ascii="Arial Narrow" w:hAnsi="Arial Narrow" w:cs="Arial"/>
                <w:b/>
                <w:snapToGrid w:val="0"/>
              </w:rPr>
              <w:t>-247.</w:t>
            </w:r>
            <w:r w:rsidR="00C83994" w:rsidRPr="00C83994">
              <w:rPr>
                <w:rFonts w:ascii="Arial Narrow" w:hAnsi="Arial Narrow" w:cs="Arial"/>
                <w:b/>
                <w:snapToGrid w:val="0"/>
              </w:rPr>
              <w:t>816.537</w:t>
            </w:r>
          </w:p>
        </w:tc>
        <w:tc>
          <w:tcPr>
            <w:tcW w:w="1819" w:type="dxa"/>
            <w:tcBorders>
              <w:top w:val="single" w:sz="4" w:space="0" w:color="auto"/>
              <w:bottom w:val="single" w:sz="2" w:space="0" w:color="auto"/>
            </w:tcBorders>
            <w:vAlign w:val="center"/>
          </w:tcPr>
          <w:p w:rsidR="00497839" w:rsidRPr="006E1D78" w:rsidRDefault="00497839" w:rsidP="003639A8">
            <w:pPr>
              <w:spacing w:after="0"/>
              <w:ind w:firstLine="0"/>
              <w:jc w:val="right"/>
              <w:rPr>
                <w:rFonts w:ascii="Arial Narrow" w:hAnsi="Arial Narrow" w:cs="Arial"/>
                <w:b/>
                <w:snapToGrid w:val="0"/>
              </w:rPr>
            </w:pPr>
            <w:r w:rsidRPr="006E1D78">
              <w:rPr>
                <w:rFonts w:ascii="Arial Narrow" w:hAnsi="Arial Narrow" w:cs="Arial"/>
                <w:b/>
                <w:snapToGrid w:val="0"/>
              </w:rPr>
              <w:t>-97.860.16</w:t>
            </w:r>
            <w:r>
              <w:rPr>
                <w:rFonts w:ascii="Arial Narrow" w:hAnsi="Arial Narrow" w:cs="Arial"/>
                <w:b/>
                <w:snapToGrid w:val="0"/>
              </w:rPr>
              <w:t>7</w:t>
            </w:r>
          </w:p>
        </w:tc>
      </w:tr>
      <w:tr w:rsidR="00497839" w:rsidRPr="00F42768" w:rsidTr="003639A8">
        <w:trPr>
          <w:trHeight w:hRule="exact" w:val="340"/>
          <w:jc w:val="center"/>
        </w:trPr>
        <w:tc>
          <w:tcPr>
            <w:tcW w:w="5327" w:type="dxa"/>
            <w:tcBorders>
              <w:top w:val="single" w:sz="2" w:space="0" w:color="auto"/>
            </w:tcBorders>
            <w:vAlign w:val="center"/>
          </w:tcPr>
          <w:p w:rsidR="00497839" w:rsidRPr="00F42768" w:rsidRDefault="00497839" w:rsidP="00BB1149">
            <w:pPr>
              <w:spacing w:after="0"/>
              <w:ind w:left="71" w:firstLine="0"/>
              <w:rPr>
                <w:rFonts w:ascii="Arial Narrow" w:hAnsi="Arial Narrow" w:cs="Arial"/>
                <w:snapToGrid w:val="0"/>
                <w:color w:val="000000"/>
              </w:rPr>
            </w:pPr>
            <w:r w:rsidRPr="00F42768">
              <w:rPr>
                <w:rFonts w:ascii="Arial Narrow" w:hAnsi="Arial Narrow" w:cs="Arial"/>
                <w:snapToGrid w:val="0"/>
                <w:color w:val="000000"/>
              </w:rPr>
              <w:t xml:space="preserve">I. Patrimonio </w:t>
            </w:r>
          </w:p>
        </w:tc>
        <w:tc>
          <w:tcPr>
            <w:tcW w:w="2171" w:type="dxa"/>
            <w:tcBorders>
              <w:top w:val="single" w:sz="2" w:space="0" w:color="auto"/>
            </w:tcBorders>
            <w:vAlign w:val="center"/>
          </w:tcPr>
          <w:p w:rsidR="00497839" w:rsidRPr="006E1D78" w:rsidRDefault="00497839" w:rsidP="00BB1149">
            <w:pPr>
              <w:spacing w:after="0"/>
              <w:jc w:val="right"/>
              <w:rPr>
                <w:rFonts w:ascii="Arial Narrow" w:hAnsi="Arial Narrow" w:cs="Arial"/>
                <w:snapToGrid w:val="0"/>
              </w:rPr>
            </w:pPr>
            <w:r>
              <w:rPr>
                <w:rFonts w:ascii="Arial Narrow" w:hAnsi="Arial Narrow" w:cs="Arial"/>
                <w:snapToGrid w:val="0"/>
              </w:rPr>
              <w:t>-</w:t>
            </w:r>
            <w:r w:rsidRPr="006E1D78">
              <w:rPr>
                <w:rFonts w:ascii="Arial Narrow" w:hAnsi="Arial Narrow" w:cs="Arial"/>
                <w:snapToGrid w:val="0"/>
              </w:rPr>
              <w:t>9.552.006</w:t>
            </w:r>
          </w:p>
        </w:tc>
        <w:tc>
          <w:tcPr>
            <w:tcW w:w="1819" w:type="dxa"/>
            <w:tcBorders>
              <w:top w:val="single" w:sz="2" w:space="0" w:color="auto"/>
            </w:tcBorders>
            <w:vAlign w:val="center"/>
          </w:tcPr>
          <w:p w:rsidR="00497839" w:rsidRPr="006E1D78" w:rsidRDefault="00497839" w:rsidP="003639A8">
            <w:pPr>
              <w:spacing w:after="0"/>
              <w:ind w:firstLine="0"/>
              <w:jc w:val="right"/>
              <w:rPr>
                <w:rFonts w:ascii="Arial Narrow" w:hAnsi="Arial Narrow" w:cs="Arial"/>
                <w:snapToGrid w:val="0"/>
              </w:rPr>
            </w:pPr>
            <w:r>
              <w:rPr>
                <w:rFonts w:ascii="Arial Narrow" w:hAnsi="Arial Narrow" w:cs="Arial"/>
                <w:snapToGrid w:val="0"/>
              </w:rPr>
              <w:t>246.543.170</w:t>
            </w:r>
          </w:p>
        </w:tc>
      </w:tr>
      <w:tr w:rsidR="00497839" w:rsidRPr="00F42768" w:rsidTr="003639A8">
        <w:trPr>
          <w:trHeight w:hRule="exact" w:val="340"/>
          <w:jc w:val="center"/>
        </w:trPr>
        <w:tc>
          <w:tcPr>
            <w:tcW w:w="5327" w:type="dxa"/>
            <w:tcBorders>
              <w:bottom w:val="single" w:sz="2" w:space="0" w:color="auto"/>
            </w:tcBorders>
            <w:vAlign w:val="center"/>
          </w:tcPr>
          <w:p w:rsidR="00497839" w:rsidRPr="00F42768" w:rsidRDefault="00497839" w:rsidP="00BB1149">
            <w:pPr>
              <w:spacing w:after="0"/>
              <w:ind w:left="71" w:firstLine="0"/>
              <w:rPr>
                <w:rFonts w:ascii="Arial Narrow" w:hAnsi="Arial Narrow" w:cs="Arial"/>
                <w:snapToGrid w:val="0"/>
                <w:color w:val="000000"/>
              </w:rPr>
            </w:pPr>
            <w:r w:rsidRPr="00F42768">
              <w:rPr>
                <w:rFonts w:ascii="Arial Narrow" w:hAnsi="Arial Narrow" w:cs="Arial"/>
                <w:snapToGrid w:val="0"/>
                <w:color w:val="000000"/>
              </w:rPr>
              <w:t xml:space="preserve">1. Patrimonio </w:t>
            </w:r>
          </w:p>
        </w:tc>
        <w:tc>
          <w:tcPr>
            <w:tcW w:w="2171" w:type="dxa"/>
            <w:tcBorders>
              <w:bottom w:val="single" w:sz="2" w:space="0" w:color="auto"/>
            </w:tcBorders>
            <w:vAlign w:val="center"/>
          </w:tcPr>
          <w:p w:rsidR="00497839" w:rsidRPr="006E1D78" w:rsidRDefault="00497839" w:rsidP="00BB1149">
            <w:pPr>
              <w:spacing w:after="0"/>
              <w:jc w:val="right"/>
              <w:rPr>
                <w:rFonts w:ascii="Arial Narrow" w:hAnsi="Arial Narrow" w:cs="Arial"/>
                <w:snapToGrid w:val="0"/>
              </w:rPr>
            </w:pPr>
            <w:r w:rsidRPr="006E1D78">
              <w:rPr>
                <w:rFonts w:ascii="Arial Narrow" w:hAnsi="Arial Narrow" w:cs="Arial"/>
                <w:snapToGrid w:val="0"/>
              </w:rPr>
              <w:t>-9.552.006</w:t>
            </w:r>
          </w:p>
        </w:tc>
        <w:tc>
          <w:tcPr>
            <w:tcW w:w="1819" w:type="dxa"/>
            <w:tcBorders>
              <w:bottom w:val="single" w:sz="2" w:space="0" w:color="auto"/>
            </w:tcBorders>
            <w:vAlign w:val="center"/>
          </w:tcPr>
          <w:p w:rsidR="00497839" w:rsidRPr="006E1D78" w:rsidRDefault="00497839" w:rsidP="003639A8">
            <w:pPr>
              <w:spacing w:after="0"/>
              <w:ind w:firstLine="0"/>
              <w:jc w:val="right"/>
              <w:rPr>
                <w:rFonts w:ascii="Arial Narrow" w:hAnsi="Arial Narrow" w:cs="Arial"/>
                <w:snapToGrid w:val="0"/>
              </w:rPr>
            </w:pPr>
            <w:r>
              <w:rPr>
                <w:rFonts w:ascii="Arial Narrow" w:hAnsi="Arial Narrow" w:cs="Arial"/>
                <w:snapToGrid w:val="0"/>
              </w:rPr>
              <w:t>246.543.170</w:t>
            </w:r>
          </w:p>
        </w:tc>
      </w:tr>
      <w:tr w:rsidR="00497839" w:rsidRPr="00F42768" w:rsidTr="003639A8">
        <w:trPr>
          <w:trHeight w:hRule="exact" w:val="340"/>
          <w:jc w:val="center"/>
        </w:trPr>
        <w:tc>
          <w:tcPr>
            <w:tcW w:w="5327" w:type="dxa"/>
            <w:tcBorders>
              <w:top w:val="single" w:sz="2" w:space="0" w:color="auto"/>
            </w:tcBorders>
            <w:vAlign w:val="center"/>
          </w:tcPr>
          <w:p w:rsidR="00497839" w:rsidRPr="00F42768" w:rsidRDefault="00497839" w:rsidP="00BB1149">
            <w:pPr>
              <w:spacing w:after="0"/>
              <w:ind w:left="71" w:firstLine="0"/>
              <w:rPr>
                <w:rFonts w:ascii="Arial Narrow" w:hAnsi="Arial Narrow" w:cs="Arial"/>
                <w:snapToGrid w:val="0"/>
                <w:color w:val="000000"/>
              </w:rPr>
            </w:pPr>
            <w:r w:rsidRPr="00F42768">
              <w:rPr>
                <w:rFonts w:ascii="Arial Narrow" w:hAnsi="Arial Narrow" w:cs="Arial"/>
                <w:snapToGrid w:val="0"/>
                <w:color w:val="000000"/>
              </w:rPr>
              <w:t>III. Resultados del ejercicio anterior</w:t>
            </w:r>
          </w:p>
        </w:tc>
        <w:tc>
          <w:tcPr>
            <w:tcW w:w="2171" w:type="dxa"/>
            <w:tcBorders>
              <w:top w:val="single" w:sz="2" w:space="0" w:color="auto"/>
            </w:tcBorders>
            <w:vAlign w:val="center"/>
          </w:tcPr>
          <w:p w:rsidR="00497839" w:rsidRPr="00C83994" w:rsidRDefault="00497839" w:rsidP="00BB1149">
            <w:pPr>
              <w:spacing w:after="0"/>
              <w:jc w:val="right"/>
              <w:rPr>
                <w:rFonts w:ascii="Arial Narrow" w:hAnsi="Arial Narrow" w:cs="Arial"/>
                <w:snapToGrid w:val="0"/>
              </w:rPr>
            </w:pPr>
            <w:r w:rsidRPr="00C83994">
              <w:rPr>
                <w:rFonts w:ascii="Arial Narrow" w:hAnsi="Arial Narrow" w:cs="Arial"/>
                <w:snapToGrid w:val="0"/>
              </w:rPr>
              <w:t>-88.358.161</w:t>
            </w:r>
          </w:p>
        </w:tc>
        <w:tc>
          <w:tcPr>
            <w:tcW w:w="1819" w:type="dxa"/>
            <w:tcBorders>
              <w:top w:val="single" w:sz="2" w:space="0" w:color="auto"/>
            </w:tcBorders>
            <w:vAlign w:val="center"/>
          </w:tcPr>
          <w:p w:rsidR="00497839" w:rsidRPr="006E1D78" w:rsidRDefault="00497839" w:rsidP="003639A8">
            <w:pPr>
              <w:spacing w:after="0"/>
              <w:ind w:firstLine="0"/>
              <w:jc w:val="right"/>
              <w:rPr>
                <w:rFonts w:ascii="Arial Narrow" w:hAnsi="Arial Narrow" w:cs="Arial"/>
                <w:snapToGrid w:val="0"/>
              </w:rPr>
            </w:pPr>
            <w:r>
              <w:rPr>
                <w:rFonts w:ascii="Arial Narrow" w:hAnsi="Arial Narrow" w:cs="Arial"/>
                <w:snapToGrid w:val="0"/>
              </w:rPr>
              <w:t>-256.095.176</w:t>
            </w:r>
          </w:p>
        </w:tc>
      </w:tr>
      <w:tr w:rsidR="00497839" w:rsidRPr="00F42768" w:rsidTr="003639A8">
        <w:trPr>
          <w:trHeight w:hRule="exact" w:val="340"/>
          <w:jc w:val="center"/>
        </w:trPr>
        <w:tc>
          <w:tcPr>
            <w:tcW w:w="5327" w:type="dxa"/>
            <w:tcBorders>
              <w:bottom w:val="single" w:sz="2" w:space="0" w:color="auto"/>
            </w:tcBorders>
            <w:vAlign w:val="center"/>
          </w:tcPr>
          <w:p w:rsidR="00497839" w:rsidRPr="00F42768" w:rsidRDefault="00497839" w:rsidP="00BB1149">
            <w:pPr>
              <w:spacing w:after="0"/>
              <w:ind w:left="71" w:firstLine="0"/>
              <w:rPr>
                <w:rFonts w:ascii="Arial Narrow" w:hAnsi="Arial Narrow" w:cs="Arial"/>
                <w:snapToGrid w:val="0"/>
                <w:color w:val="000000"/>
              </w:rPr>
            </w:pPr>
            <w:r w:rsidRPr="00F42768">
              <w:rPr>
                <w:rFonts w:ascii="Arial Narrow" w:hAnsi="Arial Narrow" w:cs="Arial"/>
                <w:snapToGrid w:val="0"/>
                <w:color w:val="000000"/>
              </w:rPr>
              <w:t>1. Resultados del ejercicio anterior</w:t>
            </w:r>
          </w:p>
        </w:tc>
        <w:tc>
          <w:tcPr>
            <w:tcW w:w="2171" w:type="dxa"/>
            <w:tcBorders>
              <w:bottom w:val="single" w:sz="2" w:space="0" w:color="auto"/>
            </w:tcBorders>
            <w:vAlign w:val="center"/>
          </w:tcPr>
          <w:p w:rsidR="00497839" w:rsidRPr="00C83994" w:rsidRDefault="00497839" w:rsidP="00BB1149">
            <w:pPr>
              <w:spacing w:after="0"/>
              <w:jc w:val="right"/>
              <w:rPr>
                <w:rFonts w:ascii="Arial Narrow" w:hAnsi="Arial Narrow" w:cs="Arial"/>
                <w:snapToGrid w:val="0"/>
              </w:rPr>
            </w:pPr>
            <w:r w:rsidRPr="00C83994">
              <w:rPr>
                <w:rFonts w:ascii="Arial Narrow" w:hAnsi="Arial Narrow" w:cs="Arial"/>
                <w:snapToGrid w:val="0"/>
              </w:rPr>
              <w:t>-88.358.161</w:t>
            </w:r>
          </w:p>
        </w:tc>
        <w:tc>
          <w:tcPr>
            <w:tcW w:w="1819" w:type="dxa"/>
            <w:tcBorders>
              <w:bottom w:val="single" w:sz="2" w:space="0" w:color="auto"/>
            </w:tcBorders>
            <w:vAlign w:val="center"/>
          </w:tcPr>
          <w:p w:rsidR="00497839" w:rsidRPr="006E1D78" w:rsidRDefault="00497839" w:rsidP="003639A8">
            <w:pPr>
              <w:spacing w:after="0"/>
              <w:ind w:firstLine="0"/>
              <w:jc w:val="right"/>
              <w:rPr>
                <w:rFonts w:ascii="Arial Narrow" w:hAnsi="Arial Narrow" w:cs="Arial"/>
                <w:snapToGrid w:val="0"/>
              </w:rPr>
            </w:pPr>
            <w:r>
              <w:rPr>
                <w:rFonts w:ascii="Arial Narrow" w:hAnsi="Arial Narrow" w:cs="Arial"/>
                <w:snapToGrid w:val="0"/>
              </w:rPr>
              <w:t>-256.095.176</w:t>
            </w:r>
          </w:p>
        </w:tc>
      </w:tr>
      <w:tr w:rsidR="00497839" w:rsidRPr="00F42768" w:rsidTr="003639A8">
        <w:trPr>
          <w:trHeight w:hRule="exact" w:val="340"/>
          <w:jc w:val="center"/>
        </w:trPr>
        <w:tc>
          <w:tcPr>
            <w:tcW w:w="5327" w:type="dxa"/>
            <w:tcBorders>
              <w:top w:val="single" w:sz="2" w:space="0" w:color="auto"/>
              <w:bottom w:val="single" w:sz="2" w:space="0" w:color="auto"/>
            </w:tcBorders>
            <w:vAlign w:val="center"/>
          </w:tcPr>
          <w:p w:rsidR="00497839" w:rsidRPr="00F42768" w:rsidRDefault="00497839" w:rsidP="00BB1149">
            <w:pPr>
              <w:spacing w:after="0"/>
              <w:ind w:left="71" w:firstLine="0"/>
              <w:rPr>
                <w:rFonts w:ascii="Arial Narrow" w:hAnsi="Arial Narrow" w:cs="Arial"/>
                <w:snapToGrid w:val="0"/>
                <w:color w:val="000000"/>
              </w:rPr>
            </w:pPr>
            <w:r w:rsidRPr="00F42768">
              <w:rPr>
                <w:rFonts w:ascii="Arial Narrow" w:hAnsi="Arial Narrow" w:cs="Arial"/>
                <w:snapToGrid w:val="0"/>
                <w:color w:val="000000"/>
              </w:rPr>
              <w:t xml:space="preserve">IV. Resultados del ejercicio </w:t>
            </w:r>
          </w:p>
        </w:tc>
        <w:tc>
          <w:tcPr>
            <w:tcW w:w="2171" w:type="dxa"/>
            <w:tcBorders>
              <w:top w:val="single" w:sz="2" w:space="0" w:color="auto"/>
              <w:bottom w:val="single" w:sz="2" w:space="0" w:color="auto"/>
            </w:tcBorders>
            <w:vAlign w:val="center"/>
          </w:tcPr>
          <w:p w:rsidR="00497839" w:rsidRPr="006E1D78" w:rsidRDefault="00497839" w:rsidP="00C83994">
            <w:pPr>
              <w:spacing w:after="0"/>
              <w:jc w:val="right"/>
              <w:rPr>
                <w:rFonts w:ascii="Arial Narrow" w:hAnsi="Arial Narrow" w:cs="Arial"/>
                <w:snapToGrid w:val="0"/>
              </w:rPr>
            </w:pPr>
            <w:r w:rsidRPr="00C83994">
              <w:rPr>
                <w:rFonts w:ascii="Arial Narrow" w:hAnsi="Arial Narrow" w:cs="Arial"/>
                <w:snapToGrid w:val="0"/>
              </w:rPr>
              <w:t>-149.</w:t>
            </w:r>
            <w:r w:rsidR="00C83994" w:rsidRPr="00C83994">
              <w:rPr>
                <w:rFonts w:ascii="Arial Narrow" w:hAnsi="Arial Narrow" w:cs="Arial"/>
                <w:snapToGrid w:val="0"/>
              </w:rPr>
              <w:t>906.370</w:t>
            </w:r>
          </w:p>
        </w:tc>
        <w:tc>
          <w:tcPr>
            <w:tcW w:w="1819" w:type="dxa"/>
            <w:tcBorders>
              <w:top w:val="single" w:sz="2" w:space="0" w:color="auto"/>
              <w:bottom w:val="single" w:sz="2" w:space="0" w:color="auto"/>
            </w:tcBorders>
            <w:vAlign w:val="center"/>
          </w:tcPr>
          <w:p w:rsidR="00497839" w:rsidRPr="006E1D78" w:rsidRDefault="00497839" w:rsidP="003639A8">
            <w:pPr>
              <w:spacing w:after="0"/>
              <w:ind w:firstLine="0"/>
              <w:jc w:val="right"/>
              <w:rPr>
                <w:rFonts w:ascii="Arial Narrow" w:hAnsi="Arial Narrow" w:cs="Arial"/>
                <w:snapToGrid w:val="0"/>
              </w:rPr>
            </w:pPr>
            <w:r>
              <w:rPr>
                <w:rFonts w:ascii="Arial Narrow" w:hAnsi="Arial Narrow" w:cs="Arial"/>
                <w:snapToGrid w:val="0"/>
              </w:rPr>
              <w:t>-88.308.161</w:t>
            </w:r>
          </w:p>
        </w:tc>
      </w:tr>
      <w:tr w:rsidR="00497839" w:rsidRPr="00C91A3F" w:rsidTr="003639A8">
        <w:trPr>
          <w:trHeight w:hRule="exact" w:val="340"/>
          <w:jc w:val="center"/>
        </w:trPr>
        <w:tc>
          <w:tcPr>
            <w:tcW w:w="5327" w:type="dxa"/>
            <w:tcBorders>
              <w:top w:val="single" w:sz="2" w:space="0" w:color="auto"/>
              <w:bottom w:val="single" w:sz="2" w:space="0" w:color="auto"/>
            </w:tcBorders>
            <w:vAlign w:val="center"/>
          </w:tcPr>
          <w:p w:rsidR="00497839" w:rsidRPr="00C91A3F" w:rsidRDefault="00497839" w:rsidP="00BB1149">
            <w:pPr>
              <w:spacing w:after="0"/>
              <w:ind w:left="71" w:firstLine="0"/>
              <w:rPr>
                <w:rFonts w:ascii="Arial Narrow" w:hAnsi="Arial Narrow" w:cs="Arial"/>
                <w:b/>
                <w:snapToGrid w:val="0"/>
                <w:color w:val="000000"/>
              </w:rPr>
            </w:pPr>
            <w:r w:rsidRPr="00C91A3F">
              <w:rPr>
                <w:rFonts w:ascii="Arial Narrow" w:hAnsi="Arial Narrow" w:cs="Arial"/>
                <w:b/>
                <w:snapToGrid w:val="0"/>
                <w:color w:val="000000"/>
              </w:rPr>
              <w:t>C) Acreedores a largo plazo</w:t>
            </w:r>
          </w:p>
        </w:tc>
        <w:tc>
          <w:tcPr>
            <w:tcW w:w="2171" w:type="dxa"/>
            <w:tcBorders>
              <w:top w:val="single" w:sz="2" w:space="0" w:color="auto"/>
              <w:bottom w:val="single" w:sz="2" w:space="0" w:color="auto"/>
            </w:tcBorders>
            <w:vAlign w:val="center"/>
          </w:tcPr>
          <w:p w:rsidR="00497839" w:rsidRPr="006E1D78" w:rsidRDefault="00497839" w:rsidP="00BB1149">
            <w:pPr>
              <w:spacing w:after="0"/>
              <w:jc w:val="right"/>
              <w:rPr>
                <w:rFonts w:ascii="Arial Narrow" w:hAnsi="Arial Narrow" w:cs="Arial"/>
                <w:b/>
                <w:snapToGrid w:val="0"/>
              </w:rPr>
            </w:pPr>
            <w:r w:rsidRPr="006E1D78">
              <w:rPr>
                <w:rFonts w:ascii="Arial Narrow" w:hAnsi="Arial Narrow" w:cs="Arial"/>
                <w:b/>
                <w:snapToGrid w:val="0"/>
              </w:rPr>
              <w:t>2.560.358.266</w:t>
            </w:r>
          </w:p>
        </w:tc>
        <w:tc>
          <w:tcPr>
            <w:tcW w:w="1819" w:type="dxa"/>
            <w:tcBorders>
              <w:top w:val="single" w:sz="2" w:space="0" w:color="auto"/>
              <w:bottom w:val="single" w:sz="2" w:space="0" w:color="auto"/>
            </w:tcBorders>
            <w:vAlign w:val="center"/>
          </w:tcPr>
          <w:p w:rsidR="00497839" w:rsidRPr="006E1D78" w:rsidRDefault="00497839" w:rsidP="003639A8">
            <w:pPr>
              <w:spacing w:after="0"/>
              <w:ind w:firstLine="0"/>
              <w:jc w:val="right"/>
              <w:rPr>
                <w:rFonts w:ascii="Arial Narrow" w:hAnsi="Arial Narrow" w:cs="Arial"/>
                <w:b/>
                <w:snapToGrid w:val="0"/>
              </w:rPr>
            </w:pPr>
            <w:r>
              <w:rPr>
                <w:rFonts w:ascii="Arial Narrow" w:hAnsi="Arial Narrow" w:cs="Arial"/>
                <w:b/>
                <w:snapToGrid w:val="0"/>
              </w:rPr>
              <w:t>2.447.634.157</w:t>
            </w:r>
          </w:p>
        </w:tc>
      </w:tr>
      <w:tr w:rsidR="00497839" w:rsidRPr="00F42768" w:rsidTr="003639A8">
        <w:trPr>
          <w:trHeight w:hRule="exact" w:val="340"/>
          <w:jc w:val="center"/>
        </w:trPr>
        <w:tc>
          <w:tcPr>
            <w:tcW w:w="5327" w:type="dxa"/>
            <w:tcBorders>
              <w:top w:val="single" w:sz="2" w:space="0" w:color="auto"/>
            </w:tcBorders>
            <w:vAlign w:val="center"/>
          </w:tcPr>
          <w:p w:rsidR="00497839" w:rsidRPr="00F42768" w:rsidRDefault="00497839" w:rsidP="00BB1149">
            <w:pPr>
              <w:spacing w:after="0"/>
              <w:ind w:left="71" w:firstLine="0"/>
              <w:rPr>
                <w:rFonts w:ascii="Arial Narrow" w:hAnsi="Arial Narrow" w:cs="Arial"/>
                <w:snapToGrid w:val="0"/>
                <w:color w:val="000000"/>
              </w:rPr>
            </w:pPr>
            <w:r w:rsidRPr="00F42768">
              <w:rPr>
                <w:rFonts w:ascii="Arial Narrow" w:hAnsi="Arial Narrow" w:cs="Arial"/>
                <w:snapToGrid w:val="0"/>
                <w:color w:val="000000"/>
              </w:rPr>
              <w:t>I. Emisiones de obligaciones y otros valores negociables</w:t>
            </w:r>
          </w:p>
        </w:tc>
        <w:tc>
          <w:tcPr>
            <w:tcW w:w="2171" w:type="dxa"/>
            <w:tcBorders>
              <w:top w:val="single" w:sz="2" w:space="0" w:color="auto"/>
            </w:tcBorders>
            <w:vAlign w:val="center"/>
          </w:tcPr>
          <w:p w:rsidR="00497839" w:rsidRPr="006E1D78" w:rsidRDefault="00497839" w:rsidP="00BB1149">
            <w:pPr>
              <w:spacing w:after="0"/>
              <w:jc w:val="right"/>
              <w:rPr>
                <w:rFonts w:ascii="Arial Narrow" w:hAnsi="Arial Narrow" w:cs="Arial"/>
                <w:snapToGrid w:val="0"/>
                <w:color w:val="000000"/>
              </w:rPr>
            </w:pPr>
            <w:r w:rsidRPr="006E1D78">
              <w:rPr>
                <w:rFonts w:ascii="Arial Narrow" w:hAnsi="Arial Narrow" w:cs="Arial"/>
                <w:snapToGrid w:val="0"/>
                <w:color w:val="000000"/>
              </w:rPr>
              <w:t>1.471.492</w:t>
            </w:r>
            <w:r>
              <w:rPr>
                <w:rFonts w:ascii="Arial Narrow" w:hAnsi="Arial Narrow" w:cs="Arial"/>
                <w:snapToGrid w:val="0"/>
                <w:color w:val="000000"/>
              </w:rPr>
              <w:t>.195</w:t>
            </w:r>
          </w:p>
        </w:tc>
        <w:tc>
          <w:tcPr>
            <w:tcW w:w="1819" w:type="dxa"/>
            <w:tcBorders>
              <w:top w:val="single" w:sz="2" w:space="0" w:color="auto"/>
            </w:tcBorders>
            <w:vAlign w:val="center"/>
          </w:tcPr>
          <w:p w:rsidR="00497839" w:rsidRPr="006E1D78" w:rsidRDefault="00497839" w:rsidP="003639A8">
            <w:pPr>
              <w:spacing w:after="0"/>
              <w:ind w:firstLine="0"/>
              <w:jc w:val="right"/>
              <w:rPr>
                <w:rFonts w:ascii="Arial Narrow" w:hAnsi="Arial Narrow" w:cs="Arial"/>
                <w:snapToGrid w:val="0"/>
                <w:color w:val="000000"/>
              </w:rPr>
            </w:pPr>
            <w:r>
              <w:rPr>
                <w:rFonts w:ascii="Arial Narrow" w:hAnsi="Arial Narrow" w:cs="Arial"/>
                <w:snapToGrid w:val="0"/>
                <w:color w:val="000000"/>
              </w:rPr>
              <w:t>1.759.500.149</w:t>
            </w:r>
          </w:p>
        </w:tc>
      </w:tr>
      <w:tr w:rsidR="00497839" w:rsidRPr="00F42768" w:rsidTr="003639A8">
        <w:trPr>
          <w:trHeight w:hRule="exact" w:val="340"/>
          <w:jc w:val="center"/>
        </w:trPr>
        <w:tc>
          <w:tcPr>
            <w:tcW w:w="5327" w:type="dxa"/>
            <w:tcBorders>
              <w:bottom w:val="single" w:sz="2" w:space="0" w:color="auto"/>
            </w:tcBorders>
            <w:vAlign w:val="center"/>
          </w:tcPr>
          <w:p w:rsidR="00497839" w:rsidRPr="00F42768" w:rsidRDefault="00497839" w:rsidP="00BB1149">
            <w:pPr>
              <w:spacing w:after="0"/>
              <w:ind w:left="71" w:firstLine="0"/>
              <w:rPr>
                <w:rFonts w:ascii="Arial Narrow" w:hAnsi="Arial Narrow" w:cs="Arial"/>
                <w:snapToGrid w:val="0"/>
                <w:color w:val="000000"/>
              </w:rPr>
            </w:pPr>
            <w:r w:rsidRPr="00F42768">
              <w:rPr>
                <w:rFonts w:ascii="Arial Narrow" w:hAnsi="Arial Narrow" w:cs="Arial"/>
                <w:snapToGrid w:val="0"/>
                <w:color w:val="000000"/>
              </w:rPr>
              <w:t xml:space="preserve">1. Obligaciones y bonos </w:t>
            </w:r>
          </w:p>
        </w:tc>
        <w:tc>
          <w:tcPr>
            <w:tcW w:w="2171" w:type="dxa"/>
            <w:tcBorders>
              <w:bottom w:val="single" w:sz="2" w:space="0" w:color="auto"/>
            </w:tcBorders>
            <w:vAlign w:val="center"/>
          </w:tcPr>
          <w:p w:rsidR="00497839" w:rsidRPr="006E1D78" w:rsidRDefault="00497839" w:rsidP="00BB1149">
            <w:pPr>
              <w:spacing w:after="0"/>
              <w:jc w:val="right"/>
              <w:rPr>
                <w:rFonts w:ascii="Arial Narrow" w:hAnsi="Arial Narrow" w:cs="Arial"/>
                <w:snapToGrid w:val="0"/>
                <w:color w:val="000000"/>
              </w:rPr>
            </w:pPr>
            <w:r w:rsidRPr="006E1D78">
              <w:rPr>
                <w:rFonts w:ascii="Arial Narrow" w:hAnsi="Arial Narrow" w:cs="Arial"/>
                <w:snapToGrid w:val="0"/>
                <w:color w:val="000000"/>
              </w:rPr>
              <w:t>1.471.492.19</w:t>
            </w:r>
            <w:r>
              <w:rPr>
                <w:rFonts w:ascii="Arial Narrow" w:hAnsi="Arial Narrow" w:cs="Arial"/>
                <w:snapToGrid w:val="0"/>
                <w:color w:val="000000"/>
              </w:rPr>
              <w:t>5</w:t>
            </w:r>
          </w:p>
        </w:tc>
        <w:tc>
          <w:tcPr>
            <w:tcW w:w="1819" w:type="dxa"/>
            <w:tcBorders>
              <w:bottom w:val="single" w:sz="2" w:space="0" w:color="auto"/>
            </w:tcBorders>
            <w:vAlign w:val="center"/>
          </w:tcPr>
          <w:p w:rsidR="00497839" w:rsidRPr="006E1D78" w:rsidRDefault="00497839" w:rsidP="003639A8">
            <w:pPr>
              <w:spacing w:after="0"/>
              <w:ind w:firstLine="0"/>
              <w:jc w:val="right"/>
              <w:rPr>
                <w:rFonts w:ascii="Arial Narrow" w:hAnsi="Arial Narrow" w:cs="Arial"/>
                <w:snapToGrid w:val="0"/>
                <w:color w:val="000000"/>
              </w:rPr>
            </w:pPr>
            <w:r>
              <w:rPr>
                <w:rFonts w:ascii="Arial Narrow" w:hAnsi="Arial Narrow" w:cs="Arial"/>
                <w:snapToGrid w:val="0"/>
                <w:color w:val="000000"/>
              </w:rPr>
              <w:t>1.759.500.149</w:t>
            </w:r>
          </w:p>
        </w:tc>
      </w:tr>
      <w:tr w:rsidR="00497839" w:rsidRPr="00F42768" w:rsidTr="003639A8">
        <w:trPr>
          <w:trHeight w:hRule="exact" w:val="340"/>
          <w:jc w:val="center"/>
        </w:trPr>
        <w:tc>
          <w:tcPr>
            <w:tcW w:w="5327" w:type="dxa"/>
            <w:tcBorders>
              <w:top w:val="single" w:sz="2" w:space="0" w:color="auto"/>
            </w:tcBorders>
            <w:vAlign w:val="center"/>
          </w:tcPr>
          <w:p w:rsidR="00497839" w:rsidRPr="00F42768" w:rsidRDefault="00497839" w:rsidP="00BB1149">
            <w:pPr>
              <w:spacing w:after="0"/>
              <w:ind w:left="71" w:firstLine="0"/>
              <w:rPr>
                <w:rFonts w:ascii="Arial Narrow" w:hAnsi="Arial Narrow" w:cs="Arial"/>
                <w:snapToGrid w:val="0"/>
                <w:color w:val="000000"/>
              </w:rPr>
            </w:pPr>
            <w:r w:rsidRPr="00F42768">
              <w:rPr>
                <w:rFonts w:ascii="Arial Narrow" w:hAnsi="Arial Narrow" w:cs="Arial"/>
                <w:snapToGrid w:val="0"/>
                <w:color w:val="000000"/>
              </w:rPr>
              <w:t xml:space="preserve">II. Otras deudas a largo plazo </w:t>
            </w:r>
          </w:p>
        </w:tc>
        <w:tc>
          <w:tcPr>
            <w:tcW w:w="2171" w:type="dxa"/>
            <w:tcBorders>
              <w:top w:val="single" w:sz="2" w:space="0" w:color="auto"/>
            </w:tcBorders>
            <w:vAlign w:val="center"/>
          </w:tcPr>
          <w:p w:rsidR="00497839" w:rsidRPr="006E1D78" w:rsidRDefault="00497839" w:rsidP="00BB1149">
            <w:pPr>
              <w:spacing w:after="0"/>
              <w:jc w:val="right"/>
              <w:rPr>
                <w:rFonts w:ascii="Arial Narrow" w:hAnsi="Arial Narrow" w:cs="Arial"/>
                <w:snapToGrid w:val="0"/>
                <w:color w:val="000000"/>
              </w:rPr>
            </w:pPr>
            <w:r w:rsidRPr="006E1D78">
              <w:rPr>
                <w:rFonts w:ascii="Arial Narrow" w:hAnsi="Arial Narrow" w:cs="Arial"/>
                <w:snapToGrid w:val="0"/>
                <w:color w:val="000000"/>
              </w:rPr>
              <w:t>1.088.866.071</w:t>
            </w:r>
          </w:p>
        </w:tc>
        <w:tc>
          <w:tcPr>
            <w:tcW w:w="1819" w:type="dxa"/>
            <w:tcBorders>
              <w:top w:val="single" w:sz="2" w:space="0" w:color="auto"/>
            </w:tcBorders>
            <w:vAlign w:val="center"/>
          </w:tcPr>
          <w:p w:rsidR="00497839" w:rsidRPr="006E1D78" w:rsidRDefault="00497839" w:rsidP="003639A8">
            <w:pPr>
              <w:spacing w:after="0"/>
              <w:ind w:firstLine="0"/>
              <w:jc w:val="right"/>
              <w:rPr>
                <w:rFonts w:ascii="Arial Narrow" w:hAnsi="Arial Narrow" w:cs="Arial"/>
                <w:snapToGrid w:val="0"/>
                <w:color w:val="000000"/>
              </w:rPr>
            </w:pPr>
            <w:r>
              <w:rPr>
                <w:rFonts w:ascii="Arial Narrow" w:hAnsi="Arial Narrow" w:cs="Arial"/>
                <w:snapToGrid w:val="0"/>
                <w:color w:val="000000"/>
              </w:rPr>
              <w:t>688.134.008</w:t>
            </w:r>
          </w:p>
        </w:tc>
      </w:tr>
      <w:tr w:rsidR="00497839" w:rsidRPr="00F42768" w:rsidTr="003639A8">
        <w:trPr>
          <w:trHeight w:hRule="exact" w:val="340"/>
          <w:jc w:val="center"/>
        </w:trPr>
        <w:tc>
          <w:tcPr>
            <w:tcW w:w="5327" w:type="dxa"/>
            <w:vAlign w:val="center"/>
          </w:tcPr>
          <w:p w:rsidR="00497839" w:rsidRPr="00F42768" w:rsidRDefault="00497839" w:rsidP="00BB1149">
            <w:pPr>
              <w:spacing w:after="0"/>
              <w:ind w:left="71" w:firstLine="0"/>
              <w:rPr>
                <w:rFonts w:ascii="Arial Narrow" w:hAnsi="Arial Narrow" w:cs="Arial"/>
                <w:snapToGrid w:val="0"/>
                <w:color w:val="000000"/>
              </w:rPr>
            </w:pPr>
            <w:r w:rsidRPr="00F42768">
              <w:rPr>
                <w:rFonts w:ascii="Arial Narrow" w:hAnsi="Arial Narrow" w:cs="Arial"/>
                <w:snapToGrid w:val="0"/>
                <w:color w:val="000000"/>
              </w:rPr>
              <w:t xml:space="preserve">2. Otras deudas </w:t>
            </w:r>
          </w:p>
        </w:tc>
        <w:tc>
          <w:tcPr>
            <w:tcW w:w="2171" w:type="dxa"/>
            <w:vAlign w:val="center"/>
          </w:tcPr>
          <w:p w:rsidR="00497839" w:rsidRPr="006E1D78" w:rsidRDefault="00497839" w:rsidP="00BB1149">
            <w:pPr>
              <w:spacing w:after="0"/>
              <w:jc w:val="right"/>
              <w:rPr>
                <w:rFonts w:ascii="Arial Narrow" w:hAnsi="Arial Narrow" w:cs="Arial"/>
                <w:snapToGrid w:val="0"/>
                <w:color w:val="000000"/>
              </w:rPr>
            </w:pPr>
            <w:r w:rsidRPr="006E1D78">
              <w:rPr>
                <w:rFonts w:ascii="Arial Narrow" w:hAnsi="Arial Narrow" w:cs="Arial"/>
                <w:snapToGrid w:val="0"/>
                <w:color w:val="000000"/>
              </w:rPr>
              <w:t>1.088.414.04</w:t>
            </w:r>
            <w:r>
              <w:rPr>
                <w:rFonts w:ascii="Arial Narrow" w:hAnsi="Arial Narrow" w:cs="Arial"/>
                <w:snapToGrid w:val="0"/>
                <w:color w:val="000000"/>
              </w:rPr>
              <w:t>8</w:t>
            </w:r>
          </w:p>
        </w:tc>
        <w:tc>
          <w:tcPr>
            <w:tcW w:w="1819" w:type="dxa"/>
            <w:vAlign w:val="center"/>
          </w:tcPr>
          <w:p w:rsidR="00497839" w:rsidRPr="006E1D78" w:rsidRDefault="00497839" w:rsidP="003639A8">
            <w:pPr>
              <w:spacing w:after="0"/>
              <w:ind w:firstLine="0"/>
              <w:jc w:val="right"/>
              <w:rPr>
                <w:rFonts w:ascii="Arial Narrow" w:hAnsi="Arial Narrow" w:cs="Arial"/>
                <w:snapToGrid w:val="0"/>
                <w:color w:val="000000"/>
              </w:rPr>
            </w:pPr>
            <w:r>
              <w:rPr>
                <w:rFonts w:ascii="Arial Narrow" w:hAnsi="Arial Narrow" w:cs="Arial"/>
                <w:snapToGrid w:val="0"/>
                <w:color w:val="000000"/>
              </w:rPr>
              <w:t>687.664.600</w:t>
            </w:r>
          </w:p>
        </w:tc>
      </w:tr>
      <w:tr w:rsidR="00497839" w:rsidRPr="00F42768" w:rsidTr="003639A8">
        <w:trPr>
          <w:trHeight w:hRule="exact" w:val="340"/>
          <w:jc w:val="center"/>
        </w:trPr>
        <w:tc>
          <w:tcPr>
            <w:tcW w:w="5327" w:type="dxa"/>
            <w:tcBorders>
              <w:bottom w:val="single" w:sz="2" w:space="0" w:color="auto"/>
            </w:tcBorders>
            <w:vAlign w:val="center"/>
          </w:tcPr>
          <w:p w:rsidR="00497839" w:rsidRPr="00F42768" w:rsidRDefault="00497839" w:rsidP="00BB1149">
            <w:pPr>
              <w:spacing w:after="0"/>
              <w:ind w:left="71" w:firstLine="0"/>
              <w:rPr>
                <w:rFonts w:ascii="Arial Narrow" w:hAnsi="Arial Narrow" w:cs="Arial"/>
                <w:snapToGrid w:val="0"/>
                <w:color w:val="000000"/>
              </w:rPr>
            </w:pPr>
            <w:r w:rsidRPr="00F42768">
              <w:rPr>
                <w:rFonts w:ascii="Arial Narrow" w:hAnsi="Arial Narrow" w:cs="Arial"/>
                <w:snapToGrid w:val="0"/>
                <w:color w:val="000000"/>
              </w:rPr>
              <w:t>4. Fianzas y depósitos recibidos a largo plazo</w:t>
            </w:r>
          </w:p>
        </w:tc>
        <w:tc>
          <w:tcPr>
            <w:tcW w:w="2171" w:type="dxa"/>
            <w:tcBorders>
              <w:bottom w:val="single" w:sz="2" w:space="0" w:color="auto"/>
            </w:tcBorders>
            <w:vAlign w:val="center"/>
          </w:tcPr>
          <w:p w:rsidR="00497839" w:rsidRPr="006E1D78" w:rsidRDefault="00497839" w:rsidP="00BB1149">
            <w:pPr>
              <w:spacing w:after="0"/>
              <w:jc w:val="right"/>
              <w:rPr>
                <w:rFonts w:ascii="Arial Narrow" w:hAnsi="Arial Narrow" w:cs="Arial"/>
                <w:snapToGrid w:val="0"/>
                <w:color w:val="000000"/>
              </w:rPr>
            </w:pPr>
            <w:r w:rsidRPr="006E1D78">
              <w:rPr>
                <w:rFonts w:ascii="Arial Narrow" w:hAnsi="Arial Narrow" w:cs="Arial"/>
                <w:snapToGrid w:val="0"/>
                <w:color w:val="000000"/>
              </w:rPr>
              <w:t>452.023</w:t>
            </w:r>
          </w:p>
        </w:tc>
        <w:tc>
          <w:tcPr>
            <w:tcW w:w="1819" w:type="dxa"/>
            <w:tcBorders>
              <w:bottom w:val="single" w:sz="2" w:space="0" w:color="auto"/>
            </w:tcBorders>
            <w:vAlign w:val="center"/>
          </w:tcPr>
          <w:p w:rsidR="00497839" w:rsidRPr="006E1D78" w:rsidRDefault="00497839" w:rsidP="003639A8">
            <w:pPr>
              <w:spacing w:after="0"/>
              <w:ind w:firstLine="0"/>
              <w:jc w:val="right"/>
              <w:rPr>
                <w:rFonts w:ascii="Arial Narrow" w:hAnsi="Arial Narrow" w:cs="Arial"/>
                <w:snapToGrid w:val="0"/>
                <w:color w:val="000000"/>
              </w:rPr>
            </w:pPr>
            <w:r>
              <w:rPr>
                <w:rFonts w:ascii="Arial Narrow" w:hAnsi="Arial Narrow" w:cs="Arial"/>
                <w:snapToGrid w:val="0"/>
                <w:color w:val="000000"/>
              </w:rPr>
              <w:t>469.408</w:t>
            </w:r>
          </w:p>
        </w:tc>
      </w:tr>
      <w:tr w:rsidR="00497839" w:rsidRPr="00C91A3F" w:rsidTr="003639A8">
        <w:trPr>
          <w:trHeight w:hRule="exact" w:val="340"/>
          <w:jc w:val="center"/>
        </w:trPr>
        <w:tc>
          <w:tcPr>
            <w:tcW w:w="5327" w:type="dxa"/>
            <w:tcBorders>
              <w:top w:val="single" w:sz="2" w:space="0" w:color="auto"/>
              <w:bottom w:val="single" w:sz="2" w:space="0" w:color="auto"/>
            </w:tcBorders>
            <w:vAlign w:val="center"/>
          </w:tcPr>
          <w:p w:rsidR="00497839" w:rsidRPr="00C91A3F" w:rsidRDefault="00497839" w:rsidP="00BB1149">
            <w:pPr>
              <w:spacing w:after="0"/>
              <w:ind w:left="71" w:firstLine="0"/>
              <w:rPr>
                <w:rFonts w:ascii="Arial Narrow" w:hAnsi="Arial Narrow" w:cs="Arial"/>
                <w:b/>
                <w:snapToGrid w:val="0"/>
                <w:color w:val="000000"/>
              </w:rPr>
            </w:pPr>
            <w:r w:rsidRPr="00C91A3F">
              <w:rPr>
                <w:rFonts w:ascii="Arial Narrow" w:hAnsi="Arial Narrow" w:cs="Arial"/>
                <w:b/>
                <w:snapToGrid w:val="0"/>
                <w:color w:val="000000"/>
              </w:rPr>
              <w:t>D) Acreedores a corto plazo</w:t>
            </w:r>
          </w:p>
        </w:tc>
        <w:tc>
          <w:tcPr>
            <w:tcW w:w="2171" w:type="dxa"/>
            <w:tcBorders>
              <w:top w:val="single" w:sz="2" w:space="0" w:color="auto"/>
              <w:bottom w:val="single" w:sz="2" w:space="0" w:color="auto"/>
            </w:tcBorders>
            <w:vAlign w:val="center"/>
          </w:tcPr>
          <w:p w:rsidR="00497839" w:rsidRPr="006E1D78" w:rsidRDefault="00497839" w:rsidP="00124AFE">
            <w:pPr>
              <w:spacing w:after="0"/>
              <w:jc w:val="right"/>
              <w:rPr>
                <w:rFonts w:ascii="Arial Narrow" w:hAnsi="Arial Narrow" w:cs="Arial"/>
                <w:b/>
                <w:snapToGrid w:val="0"/>
              </w:rPr>
            </w:pPr>
            <w:r w:rsidRPr="006E1D78">
              <w:rPr>
                <w:rFonts w:ascii="Arial Narrow" w:hAnsi="Arial Narrow" w:cs="Arial"/>
                <w:b/>
                <w:snapToGrid w:val="0"/>
              </w:rPr>
              <w:t>890.2</w:t>
            </w:r>
            <w:r w:rsidR="00C83994">
              <w:rPr>
                <w:rFonts w:ascii="Arial Narrow" w:hAnsi="Arial Narrow" w:cs="Arial"/>
                <w:b/>
                <w:snapToGrid w:val="0"/>
              </w:rPr>
              <w:t>98.95</w:t>
            </w:r>
            <w:r w:rsidR="00124AFE">
              <w:rPr>
                <w:rFonts w:ascii="Arial Narrow" w:hAnsi="Arial Narrow" w:cs="Arial"/>
                <w:b/>
                <w:snapToGrid w:val="0"/>
              </w:rPr>
              <w:t>9</w:t>
            </w:r>
          </w:p>
        </w:tc>
        <w:tc>
          <w:tcPr>
            <w:tcW w:w="1819" w:type="dxa"/>
            <w:tcBorders>
              <w:top w:val="single" w:sz="2" w:space="0" w:color="auto"/>
              <w:bottom w:val="single" w:sz="2" w:space="0" w:color="auto"/>
            </w:tcBorders>
            <w:vAlign w:val="center"/>
          </w:tcPr>
          <w:p w:rsidR="00497839" w:rsidRPr="006E1D78" w:rsidRDefault="00497839" w:rsidP="003639A8">
            <w:pPr>
              <w:spacing w:after="0"/>
              <w:ind w:firstLine="0"/>
              <w:jc w:val="right"/>
              <w:rPr>
                <w:rFonts w:ascii="Arial Narrow" w:hAnsi="Arial Narrow" w:cs="Arial"/>
                <w:b/>
                <w:snapToGrid w:val="0"/>
              </w:rPr>
            </w:pPr>
            <w:r>
              <w:rPr>
                <w:rFonts w:ascii="Arial Narrow" w:hAnsi="Arial Narrow" w:cs="Arial"/>
                <w:b/>
                <w:snapToGrid w:val="0"/>
              </w:rPr>
              <w:t>860.465.998</w:t>
            </w:r>
          </w:p>
        </w:tc>
      </w:tr>
      <w:tr w:rsidR="00497839" w:rsidRPr="00F42768" w:rsidTr="003639A8">
        <w:trPr>
          <w:trHeight w:hRule="exact" w:val="340"/>
          <w:jc w:val="center"/>
        </w:trPr>
        <w:tc>
          <w:tcPr>
            <w:tcW w:w="5327" w:type="dxa"/>
            <w:tcBorders>
              <w:top w:val="single" w:sz="2" w:space="0" w:color="auto"/>
            </w:tcBorders>
            <w:vAlign w:val="center"/>
          </w:tcPr>
          <w:p w:rsidR="00497839" w:rsidRPr="00F42768" w:rsidRDefault="00497839" w:rsidP="00BB1149">
            <w:pPr>
              <w:spacing w:after="0"/>
              <w:ind w:left="71" w:firstLine="0"/>
              <w:rPr>
                <w:rFonts w:ascii="Arial Narrow" w:hAnsi="Arial Narrow" w:cs="Arial"/>
                <w:snapToGrid w:val="0"/>
                <w:color w:val="000000"/>
              </w:rPr>
            </w:pPr>
            <w:r w:rsidRPr="00F42768">
              <w:rPr>
                <w:rFonts w:ascii="Arial Narrow" w:hAnsi="Arial Narrow" w:cs="Arial"/>
                <w:snapToGrid w:val="0"/>
                <w:color w:val="000000"/>
              </w:rPr>
              <w:t>I. Emisiones de obligaciones y otros valores negociables</w:t>
            </w:r>
          </w:p>
        </w:tc>
        <w:tc>
          <w:tcPr>
            <w:tcW w:w="2171" w:type="dxa"/>
            <w:tcBorders>
              <w:top w:val="single" w:sz="2" w:space="0" w:color="auto"/>
            </w:tcBorders>
            <w:vAlign w:val="center"/>
          </w:tcPr>
          <w:p w:rsidR="00497839" w:rsidRPr="006E1D78" w:rsidRDefault="00497839" w:rsidP="00BB1149">
            <w:pPr>
              <w:spacing w:after="0"/>
              <w:jc w:val="right"/>
              <w:rPr>
                <w:rFonts w:ascii="Arial Narrow" w:hAnsi="Arial Narrow" w:cs="Arial"/>
                <w:snapToGrid w:val="0"/>
                <w:color w:val="000000"/>
              </w:rPr>
            </w:pPr>
            <w:r w:rsidRPr="006E1D78">
              <w:rPr>
                <w:rFonts w:ascii="Arial Narrow" w:hAnsi="Arial Narrow" w:cs="Arial"/>
                <w:snapToGrid w:val="0"/>
              </w:rPr>
              <w:t>349.830.43</w:t>
            </w:r>
            <w:r>
              <w:rPr>
                <w:rFonts w:ascii="Arial Narrow" w:hAnsi="Arial Narrow" w:cs="Arial"/>
                <w:snapToGrid w:val="0"/>
              </w:rPr>
              <w:t>9</w:t>
            </w:r>
          </w:p>
        </w:tc>
        <w:tc>
          <w:tcPr>
            <w:tcW w:w="1819" w:type="dxa"/>
            <w:tcBorders>
              <w:top w:val="single" w:sz="2" w:space="0" w:color="auto"/>
            </w:tcBorders>
            <w:vAlign w:val="center"/>
          </w:tcPr>
          <w:p w:rsidR="00497839" w:rsidRPr="006E1D78" w:rsidRDefault="00497839" w:rsidP="003639A8">
            <w:pPr>
              <w:spacing w:after="0"/>
              <w:ind w:firstLine="0"/>
              <w:jc w:val="right"/>
              <w:rPr>
                <w:rFonts w:ascii="Arial Narrow" w:hAnsi="Arial Narrow" w:cs="Arial"/>
                <w:snapToGrid w:val="0"/>
                <w:color w:val="000000"/>
              </w:rPr>
            </w:pPr>
            <w:r>
              <w:rPr>
                <w:rFonts w:ascii="Arial Narrow" w:hAnsi="Arial Narrow" w:cs="Arial"/>
                <w:snapToGrid w:val="0"/>
                <w:color w:val="000000"/>
              </w:rPr>
              <w:t>312.449.251</w:t>
            </w:r>
          </w:p>
        </w:tc>
      </w:tr>
      <w:tr w:rsidR="00497839" w:rsidRPr="00F42768" w:rsidTr="003639A8">
        <w:trPr>
          <w:trHeight w:hRule="exact" w:val="340"/>
          <w:jc w:val="center"/>
        </w:trPr>
        <w:tc>
          <w:tcPr>
            <w:tcW w:w="5327" w:type="dxa"/>
            <w:vAlign w:val="center"/>
          </w:tcPr>
          <w:p w:rsidR="00497839" w:rsidRPr="00F42768" w:rsidRDefault="00497839" w:rsidP="00BB1149">
            <w:pPr>
              <w:spacing w:after="0"/>
              <w:ind w:left="71" w:firstLine="0"/>
              <w:rPr>
                <w:rFonts w:ascii="Arial Narrow" w:hAnsi="Arial Narrow" w:cs="Arial"/>
                <w:snapToGrid w:val="0"/>
                <w:color w:val="000000"/>
              </w:rPr>
            </w:pPr>
            <w:r w:rsidRPr="00F42768">
              <w:rPr>
                <w:rFonts w:ascii="Arial Narrow" w:hAnsi="Arial Narrow" w:cs="Arial"/>
                <w:snapToGrid w:val="0"/>
                <w:color w:val="000000"/>
              </w:rPr>
              <w:t xml:space="preserve">1. Obligaciones y bonos a corto plazo </w:t>
            </w:r>
          </w:p>
        </w:tc>
        <w:tc>
          <w:tcPr>
            <w:tcW w:w="2171" w:type="dxa"/>
            <w:vAlign w:val="center"/>
          </w:tcPr>
          <w:p w:rsidR="00497839" w:rsidRPr="006E1D78" w:rsidRDefault="00497839" w:rsidP="00BB1149">
            <w:pPr>
              <w:spacing w:after="0"/>
              <w:jc w:val="right"/>
              <w:rPr>
                <w:rFonts w:ascii="Arial Narrow" w:hAnsi="Arial Narrow" w:cs="Arial"/>
                <w:snapToGrid w:val="0"/>
              </w:rPr>
            </w:pPr>
            <w:r w:rsidRPr="006E1D78">
              <w:rPr>
                <w:rFonts w:ascii="Arial Narrow" w:hAnsi="Arial Narrow" w:cs="Arial"/>
                <w:snapToGrid w:val="0"/>
              </w:rPr>
              <w:t xml:space="preserve">  337.728.319</w:t>
            </w:r>
          </w:p>
        </w:tc>
        <w:tc>
          <w:tcPr>
            <w:tcW w:w="1819" w:type="dxa"/>
            <w:vAlign w:val="center"/>
          </w:tcPr>
          <w:p w:rsidR="00497839" w:rsidRPr="006E1D78" w:rsidRDefault="00497839" w:rsidP="003639A8">
            <w:pPr>
              <w:spacing w:after="0"/>
              <w:ind w:firstLine="0"/>
              <w:jc w:val="right"/>
              <w:rPr>
                <w:rFonts w:ascii="Arial Narrow" w:hAnsi="Arial Narrow" w:cs="Arial"/>
                <w:snapToGrid w:val="0"/>
              </w:rPr>
            </w:pPr>
            <w:r>
              <w:rPr>
                <w:rFonts w:ascii="Arial Narrow" w:hAnsi="Arial Narrow" w:cs="Arial"/>
                <w:snapToGrid w:val="0"/>
              </w:rPr>
              <w:t>304.295.838</w:t>
            </w:r>
          </w:p>
        </w:tc>
      </w:tr>
      <w:tr w:rsidR="00497839" w:rsidRPr="00F42768" w:rsidTr="003639A8">
        <w:trPr>
          <w:trHeight w:hRule="exact" w:val="340"/>
          <w:jc w:val="center"/>
        </w:trPr>
        <w:tc>
          <w:tcPr>
            <w:tcW w:w="5327" w:type="dxa"/>
            <w:tcBorders>
              <w:bottom w:val="single" w:sz="2" w:space="0" w:color="auto"/>
            </w:tcBorders>
            <w:vAlign w:val="center"/>
          </w:tcPr>
          <w:p w:rsidR="00497839" w:rsidRPr="00F42768" w:rsidRDefault="00497839" w:rsidP="00BB1149">
            <w:pPr>
              <w:spacing w:after="0"/>
              <w:ind w:left="71" w:firstLine="0"/>
              <w:rPr>
                <w:rFonts w:ascii="Arial Narrow" w:hAnsi="Arial Narrow" w:cs="Arial"/>
                <w:snapToGrid w:val="0"/>
                <w:color w:val="000000"/>
              </w:rPr>
            </w:pPr>
            <w:r>
              <w:rPr>
                <w:rFonts w:ascii="Arial Narrow" w:hAnsi="Arial Narrow" w:cs="Arial"/>
                <w:snapToGrid w:val="0"/>
                <w:color w:val="000000"/>
              </w:rPr>
              <w:t>2. Deudas con entidades de crédito a corto plazo</w:t>
            </w:r>
          </w:p>
        </w:tc>
        <w:tc>
          <w:tcPr>
            <w:tcW w:w="2171" w:type="dxa"/>
            <w:tcBorders>
              <w:bottom w:val="single" w:sz="2" w:space="0" w:color="auto"/>
            </w:tcBorders>
            <w:vAlign w:val="center"/>
          </w:tcPr>
          <w:p w:rsidR="00497839" w:rsidRPr="006E1D78" w:rsidRDefault="00497839" w:rsidP="00BB1149">
            <w:pPr>
              <w:spacing w:after="0"/>
              <w:jc w:val="right"/>
              <w:rPr>
                <w:rFonts w:ascii="Arial Narrow" w:hAnsi="Arial Narrow" w:cs="Arial"/>
                <w:snapToGrid w:val="0"/>
              </w:rPr>
            </w:pPr>
            <w:r w:rsidRPr="006E1D78">
              <w:rPr>
                <w:rFonts w:ascii="Arial Narrow" w:hAnsi="Arial Narrow" w:cs="Arial"/>
                <w:snapToGrid w:val="0"/>
              </w:rPr>
              <w:t>12.102.1</w:t>
            </w:r>
            <w:r>
              <w:rPr>
                <w:rFonts w:ascii="Arial Narrow" w:hAnsi="Arial Narrow" w:cs="Arial"/>
                <w:snapToGrid w:val="0"/>
              </w:rPr>
              <w:t>20</w:t>
            </w:r>
          </w:p>
        </w:tc>
        <w:tc>
          <w:tcPr>
            <w:tcW w:w="1819" w:type="dxa"/>
            <w:tcBorders>
              <w:bottom w:val="single" w:sz="2" w:space="0" w:color="auto"/>
            </w:tcBorders>
            <w:vAlign w:val="center"/>
          </w:tcPr>
          <w:p w:rsidR="00497839" w:rsidRPr="006E1D78" w:rsidRDefault="00497839" w:rsidP="003639A8">
            <w:pPr>
              <w:spacing w:after="0"/>
              <w:ind w:firstLine="0"/>
              <w:jc w:val="right"/>
              <w:rPr>
                <w:rFonts w:ascii="Arial Narrow" w:hAnsi="Arial Narrow" w:cs="Arial"/>
                <w:snapToGrid w:val="0"/>
              </w:rPr>
            </w:pPr>
            <w:r w:rsidRPr="006E1D78">
              <w:rPr>
                <w:rFonts w:ascii="Arial Narrow" w:hAnsi="Arial Narrow" w:cs="Arial"/>
                <w:snapToGrid w:val="0"/>
              </w:rPr>
              <w:t>8.153.412</w:t>
            </w:r>
          </w:p>
        </w:tc>
      </w:tr>
      <w:tr w:rsidR="00497839" w:rsidRPr="00F42768" w:rsidTr="003639A8">
        <w:trPr>
          <w:trHeight w:hRule="exact" w:val="340"/>
          <w:jc w:val="center"/>
        </w:trPr>
        <w:tc>
          <w:tcPr>
            <w:tcW w:w="5327" w:type="dxa"/>
            <w:tcBorders>
              <w:top w:val="single" w:sz="2" w:space="0" w:color="auto"/>
            </w:tcBorders>
            <w:vAlign w:val="center"/>
          </w:tcPr>
          <w:p w:rsidR="00497839" w:rsidRPr="00F42768" w:rsidRDefault="00497839" w:rsidP="00BB1149">
            <w:pPr>
              <w:spacing w:after="0"/>
              <w:ind w:left="71" w:firstLine="0"/>
              <w:rPr>
                <w:rFonts w:ascii="Arial Narrow" w:hAnsi="Arial Narrow" w:cs="Arial"/>
                <w:snapToGrid w:val="0"/>
                <w:color w:val="000000"/>
              </w:rPr>
            </w:pPr>
            <w:r w:rsidRPr="00F42768">
              <w:rPr>
                <w:rFonts w:ascii="Arial Narrow" w:hAnsi="Arial Narrow" w:cs="Arial"/>
                <w:snapToGrid w:val="0"/>
                <w:color w:val="000000"/>
              </w:rPr>
              <w:t xml:space="preserve">III. Acreedores </w:t>
            </w:r>
          </w:p>
        </w:tc>
        <w:tc>
          <w:tcPr>
            <w:tcW w:w="2171" w:type="dxa"/>
            <w:tcBorders>
              <w:top w:val="single" w:sz="2" w:space="0" w:color="auto"/>
            </w:tcBorders>
            <w:vAlign w:val="center"/>
          </w:tcPr>
          <w:p w:rsidR="00497839" w:rsidRPr="006E1D78" w:rsidRDefault="00497839" w:rsidP="00C83994">
            <w:pPr>
              <w:spacing w:after="0"/>
              <w:jc w:val="right"/>
              <w:rPr>
                <w:rFonts w:ascii="Arial Narrow" w:hAnsi="Arial Narrow" w:cs="Arial"/>
                <w:snapToGrid w:val="0"/>
              </w:rPr>
            </w:pPr>
            <w:r w:rsidRPr="006E1D78">
              <w:rPr>
                <w:rFonts w:ascii="Arial Narrow" w:hAnsi="Arial Narrow" w:cs="Arial"/>
                <w:snapToGrid w:val="0"/>
              </w:rPr>
              <w:t>540.4</w:t>
            </w:r>
            <w:r w:rsidR="00C83994">
              <w:rPr>
                <w:rFonts w:ascii="Arial Narrow" w:hAnsi="Arial Narrow" w:cs="Arial"/>
                <w:snapToGrid w:val="0"/>
              </w:rPr>
              <w:t>68.520</w:t>
            </w:r>
          </w:p>
        </w:tc>
        <w:tc>
          <w:tcPr>
            <w:tcW w:w="1819" w:type="dxa"/>
            <w:tcBorders>
              <w:top w:val="single" w:sz="2" w:space="0" w:color="auto"/>
            </w:tcBorders>
            <w:vAlign w:val="center"/>
          </w:tcPr>
          <w:p w:rsidR="00497839" w:rsidRPr="006E1D78" w:rsidRDefault="00497839" w:rsidP="003639A8">
            <w:pPr>
              <w:spacing w:after="0"/>
              <w:ind w:firstLine="0"/>
              <w:jc w:val="right"/>
              <w:rPr>
                <w:rFonts w:ascii="Arial Narrow" w:hAnsi="Arial Narrow" w:cs="Arial"/>
                <w:snapToGrid w:val="0"/>
              </w:rPr>
            </w:pPr>
            <w:r>
              <w:rPr>
                <w:rFonts w:ascii="Arial Narrow" w:hAnsi="Arial Narrow" w:cs="Arial"/>
                <w:snapToGrid w:val="0"/>
              </w:rPr>
              <w:t>548.016.747</w:t>
            </w:r>
          </w:p>
        </w:tc>
      </w:tr>
      <w:tr w:rsidR="00497839" w:rsidRPr="00F42768" w:rsidTr="003639A8">
        <w:trPr>
          <w:trHeight w:hRule="exact" w:val="340"/>
          <w:jc w:val="center"/>
        </w:trPr>
        <w:tc>
          <w:tcPr>
            <w:tcW w:w="5327" w:type="dxa"/>
            <w:vAlign w:val="center"/>
          </w:tcPr>
          <w:p w:rsidR="00497839" w:rsidRPr="00F42768" w:rsidRDefault="00497839" w:rsidP="00BB1149">
            <w:pPr>
              <w:spacing w:after="0"/>
              <w:ind w:left="71" w:firstLine="0"/>
              <w:rPr>
                <w:rFonts w:ascii="Arial Narrow" w:hAnsi="Arial Narrow" w:cs="Arial"/>
                <w:snapToGrid w:val="0"/>
                <w:color w:val="000000"/>
              </w:rPr>
            </w:pPr>
            <w:r w:rsidRPr="00F42768">
              <w:rPr>
                <w:rFonts w:ascii="Arial Narrow" w:hAnsi="Arial Narrow" w:cs="Arial"/>
                <w:snapToGrid w:val="0"/>
                <w:color w:val="000000"/>
              </w:rPr>
              <w:t xml:space="preserve">1. Acreedores presupuestarios </w:t>
            </w:r>
          </w:p>
        </w:tc>
        <w:tc>
          <w:tcPr>
            <w:tcW w:w="2171" w:type="dxa"/>
            <w:vAlign w:val="center"/>
          </w:tcPr>
          <w:p w:rsidR="00497839" w:rsidRPr="006E1D78" w:rsidRDefault="00497839" w:rsidP="00BB1149">
            <w:pPr>
              <w:spacing w:after="0"/>
              <w:jc w:val="right"/>
              <w:rPr>
                <w:rFonts w:ascii="Arial Narrow" w:hAnsi="Arial Narrow" w:cs="Arial"/>
                <w:snapToGrid w:val="0"/>
              </w:rPr>
            </w:pPr>
            <w:r w:rsidRPr="006E1D78">
              <w:rPr>
                <w:rFonts w:ascii="Arial Narrow" w:hAnsi="Arial Narrow" w:cs="Arial"/>
                <w:snapToGrid w:val="0"/>
              </w:rPr>
              <w:t>484.349.993</w:t>
            </w:r>
          </w:p>
        </w:tc>
        <w:tc>
          <w:tcPr>
            <w:tcW w:w="1819" w:type="dxa"/>
            <w:vAlign w:val="center"/>
          </w:tcPr>
          <w:p w:rsidR="00497839" w:rsidRPr="006E1D78" w:rsidRDefault="00497839" w:rsidP="003639A8">
            <w:pPr>
              <w:spacing w:after="0"/>
              <w:ind w:firstLine="0"/>
              <w:jc w:val="right"/>
              <w:rPr>
                <w:rFonts w:ascii="Arial Narrow" w:hAnsi="Arial Narrow" w:cs="Arial"/>
                <w:snapToGrid w:val="0"/>
              </w:rPr>
            </w:pPr>
            <w:r>
              <w:rPr>
                <w:rFonts w:ascii="Arial Narrow" w:hAnsi="Arial Narrow" w:cs="Arial"/>
                <w:snapToGrid w:val="0"/>
              </w:rPr>
              <w:t>490.572.877</w:t>
            </w:r>
          </w:p>
        </w:tc>
      </w:tr>
      <w:tr w:rsidR="00497839" w:rsidRPr="00F42768" w:rsidTr="003639A8">
        <w:trPr>
          <w:trHeight w:hRule="exact" w:val="340"/>
          <w:jc w:val="center"/>
        </w:trPr>
        <w:tc>
          <w:tcPr>
            <w:tcW w:w="5327" w:type="dxa"/>
            <w:vAlign w:val="center"/>
          </w:tcPr>
          <w:p w:rsidR="00497839" w:rsidRPr="00F42768" w:rsidRDefault="00497839" w:rsidP="00BB1149">
            <w:pPr>
              <w:spacing w:after="0"/>
              <w:ind w:left="71" w:firstLine="0"/>
              <w:rPr>
                <w:rFonts w:ascii="Arial Narrow" w:hAnsi="Arial Narrow" w:cs="Arial"/>
                <w:snapToGrid w:val="0"/>
                <w:color w:val="000000"/>
              </w:rPr>
            </w:pPr>
            <w:r w:rsidRPr="00F42768">
              <w:rPr>
                <w:rFonts w:ascii="Arial Narrow" w:hAnsi="Arial Narrow" w:cs="Arial"/>
                <w:snapToGrid w:val="0"/>
                <w:color w:val="000000"/>
              </w:rPr>
              <w:t xml:space="preserve">3. Acreedores por admón. de recursos por cuenta de otros EEPP </w:t>
            </w:r>
          </w:p>
        </w:tc>
        <w:tc>
          <w:tcPr>
            <w:tcW w:w="2171" w:type="dxa"/>
            <w:vAlign w:val="center"/>
          </w:tcPr>
          <w:p w:rsidR="00497839" w:rsidRPr="006E1D78" w:rsidRDefault="00497839" w:rsidP="00BB1149">
            <w:pPr>
              <w:spacing w:after="0"/>
              <w:ind w:firstLine="0"/>
              <w:jc w:val="right"/>
              <w:rPr>
                <w:rFonts w:ascii="Arial Narrow" w:hAnsi="Arial Narrow" w:cs="Arial"/>
                <w:snapToGrid w:val="0"/>
                <w:color w:val="000000"/>
              </w:rPr>
            </w:pPr>
            <w:r w:rsidRPr="006E1D78">
              <w:rPr>
                <w:rFonts w:ascii="Arial Narrow" w:hAnsi="Arial Narrow" w:cs="Arial"/>
                <w:snapToGrid w:val="0"/>
                <w:color w:val="000000"/>
              </w:rPr>
              <w:t>9.221.42</w:t>
            </w:r>
            <w:r>
              <w:rPr>
                <w:rFonts w:ascii="Arial Narrow" w:hAnsi="Arial Narrow" w:cs="Arial"/>
                <w:snapToGrid w:val="0"/>
                <w:color w:val="000000"/>
              </w:rPr>
              <w:t>3</w:t>
            </w:r>
          </w:p>
        </w:tc>
        <w:tc>
          <w:tcPr>
            <w:tcW w:w="1819" w:type="dxa"/>
            <w:vAlign w:val="center"/>
          </w:tcPr>
          <w:p w:rsidR="00497839" w:rsidRPr="006E1D78" w:rsidRDefault="00497839" w:rsidP="003639A8">
            <w:pPr>
              <w:spacing w:after="0"/>
              <w:ind w:firstLine="0"/>
              <w:jc w:val="right"/>
              <w:rPr>
                <w:rFonts w:ascii="Arial Narrow" w:hAnsi="Arial Narrow" w:cs="Arial"/>
                <w:snapToGrid w:val="0"/>
                <w:color w:val="000000"/>
              </w:rPr>
            </w:pPr>
            <w:r>
              <w:rPr>
                <w:rFonts w:ascii="Arial Narrow" w:hAnsi="Arial Narrow" w:cs="Arial"/>
                <w:snapToGrid w:val="0"/>
                <w:color w:val="000000"/>
              </w:rPr>
              <w:t>8.529.806</w:t>
            </w:r>
          </w:p>
        </w:tc>
      </w:tr>
      <w:tr w:rsidR="00497839" w:rsidRPr="00F42768" w:rsidTr="003639A8">
        <w:trPr>
          <w:trHeight w:hRule="exact" w:val="340"/>
          <w:jc w:val="center"/>
        </w:trPr>
        <w:tc>
          <w:tcPr>
            <w:tcW w:w="5327" w:type="dxa"/>
            <w:vAlign w:val="center"/>
          </w:tcPr>
          <w:p w:rsidR="00497839" w:rsidRPr="00F42768" w:rsidRDefault="00497839" w:rsidP="00BB1149">
            <w:pPr>
              <w:spacing w:after="0"/>
              <w:ind w:left="71" w:firstLine="0"/>
              <w:rPr>
                <w:rFonts w:ascii="Arial Narrow" w:hAnsi="Arial Narrow" w:cs="Arial"/>
                <w:snapToGrid w:val="0"/>
                <w:color w:val="000000"/>
              </w:rPr>
            </w:pPr>
            <w:r w:rsidRPr="00F42768">
              <w:rPr>
                <w:rFonts w:ascii="Arial Narrow" w:hAnsi="Arial Narrow" w:cs="Arial"/>
                <w:snapToGrid w:val="0"/>
                <w:color w:val="000000"/>
              </w:rPr>
              <w:t xml:space="preserve">4. Administraciones públicas </w:t>
            </w:r>
          </w:p>
        </w:tc>
        <w:tc>
          <w:tcPr>
            <w:tcW w:w="2171" w:type="dxa"/>
            <w:vAlign w:val="center"/>
          </w:tcPr>
          <w:p w:rsidR="00497839" w:rsidRPr="006E1D78" w:rsidRDefault="00497839" w:rsidP="00BB1149">
            <w:pPr>
              <w:spacing w:after="0"/>
              <w:jc w:val="right"/>
              <w:rPr>
                <w:rFonts w:ascii="Arial Narrow" w:hAnsi="Arial Narrow" w:cs="Arial"/>
                <w:snapToGrid w:val="0"/>
                <w:color w:val="000000"/>
              </w:rPr>
            </w:pPr>
            <w:r w:rsidRPr="006E1D78">
              <w:rPr>
                <w:rFonts w:ascii="Arial Narrow" w:hAnsi="Arial Narrow" w:cs="Arial"/>
                <w:snapToGrid w:val="0"/>
                <w:color w:val="000000"/>
              </w:rPr>
              <w:t>3.023.74</w:t>
            </w:r>
            <w:r>
              <w:rPr>
                <w:rFonts w:ascii="Arial Narrow" w:hAnsi="Arial Narrow" w:cs="Arial"/>
                <w:snapToGrid w:val="0"/>
                <w:color w:val="000000"/>
              </w:rPr>
              <w:t>2</w:t>
            </w:r>
          </w:p>
        </w:tc>
        <w:tc>
          <w:tcPr>
            <w:tcW w:w="1819" w:type="dxa"/>
            <w:vAlign w:val="center"/>
          </w:tcPr>
          <w:p w:rsidR="00497839" w:rsidRPr="006E1D78" w:rsidRDefault="00497839" w:rsidP="003639A8">
            <w:pPr>
              <w:spacing w:after="0"/>
              <w:ind w:firstLine="0"/>
              <w:jc w:val="right"/>
              <w:rPr>
                <w:rFonts w:ascii="Arial Narrow" w:hAnsi="Arial Narrow" w:cs="Arial"/>
                <w:snapToGrid w:val="0"/>
                <w:color w:val="000000"/>
              </w:rPr>
            </w:pPr>
            <w:r>
              <w:rPr>
                <w:rFonts w:ascii="Arial Narrow" w:hAnsi="Arial Narrow" w:cs="Arial"/>
                <w:snapToGrid w:val="0"/>
                <w:color w:val="000000"/>
              </w:rPr>
              <w:t>2.862.132</w:t>
            </w:r>
          </w:p>
        </w:tc>
      </w:tr>
      <w:tr w:rsidR="00497839" w:rsidRPr="00F42768" w:rsidTr="003639A8">
        <w:trPr>
          <w:trHeight w:hRule="exact" w:val="340"/>
          <w:jc w:val="center"/>
        </w:trPr>
        <w:tc>
          <w:tcPr>
            <w:tcW w:w="5327" w:type="dxa"/>
            <w:vAlign w:val="center"/>
          </w:tcPr>
          <w:p w:rsidR="00497839" w:rsidRPr="00F42768" w:rsidRDefault="00497839" w:rsidP="00BB1149">
            <w:pPr>
              <w:spacing w:after="0"/>
              <w:ind w:left="71" w:firstLine="0"/>
              <w:rPr>
                <w:rFonts w:ascii="Arial Narrow" w:hAnsi="Arial Narrow" w:cs="Arial"/>
                <w:snapToGrid w:val="0"/>
                <w:color w:val="000000"/>
              </w:rPr>
            </w:pPr>
            <w:r w:rsidRPr="00F42768">
              <w:rPr>
                <w:rFonts w:ascii="Arial Narrow" w:hAnsi="Arial Narrow" w:cs="Arial"/>
                <w:snapToGrid w:val="0"/>
                <w:color w:val="000000"/>
              </w:rPr>
              <w:t>5. Otros acreedores</w:t>
            </w:r>
          </w:p>
        </w:tc>
        <w:tc>
          <w:tcPr>
            <w:tcW w:w="2171" w:type="dxa"/>
            <w:vAlign w:val="center"/>
          </w:tcPr>
          <w:p w:rsidR="00497839" w:rsidRPr="006E1D78" w:rsidRDefault="00497839" w:rsidP="00BB1149">
            <w:pPr>
              <w:spacing w:after="0"/>
              <w:jc w:val="right"/>
              <w:rPr>
                <w:rFonts w:ascii="Arial Narrow" w:hAnsi="Arial Narrow" w:cs="Arial"/>
                <w:snapToGrid w:val="0"/>
              </w:rPr>
            </w:pPr>
            <w:r w:rsidRPr="006E1D78">
              <w:rPr>
                <w:rFonts w:ascii="Arial Narrow" w:hAnsi="Arial Narrow" w:cs="Arial"/>
                <w:snapToGrid w:val="0"/>
              </w:rPr>
              <w:t>40.543.023</w:t>
            </w:r>
          </w:p>
        </w:tc>
        <w:tc>
          <w:tcPr>
            <w:tcW w:w="1819" w:type="dxa"/>
            <w:vAlign w:val="center"/>
          </w:tcPr>
          <w:p w:rsidR="00497839" w:rsidRPr="006E1D78" w:rsidRDefault="00497839" w:rsidP="003639A8">
            <w:pPr>
              <w:spacing w:after="0"/>
              <w:ind w:firstLine="0"/>
              <w:jc w:val="right"/>
              <w:rPr>
                <w:rFonts w:ascii="Arial Narrow" w:hAnsi="Arial Narrow" w:cs="Arial"/>
                <w:snapToGrid w:val="0"/>
              </w:rPr>
            </w:pPr>
            <w:r w:rsidRPr="006E1D78">
              <w:rPr>
                <w:rFonts w:ascii="Arial Narrow" w:hAnsi="Arial Narrow" w:cs="Arial"/>
                <w:snapToGrid w:val="0"/>
              </w:rPr>
              <w:t>42.849.881</w:t>
            </w:r>
          </w:p>
        </w:tc>
      </w:tr>
      <w:tr w:rsidR="00497839" w:rsidRPr="00F42768" w:rsidTr="003639A8">
        <w:trPr>
          <w:trHeight w:hRule="exact" w:val="340"/>
          <w:jc w:val="center"/>
        </w:trPr>
        <w:tc>
          <w:tcPr>
            <w:tcW w:w="5327" w:type="dxa"/>
            <w:tcBorders>
              <w:bottom w:val="single" w:sz="4" w:space="0" w:color="auto"/>
            </w:tcBorders>
            <w:vAlign w:val="center"/>
          </w:tcPr>
          <w:p w:rsidR="00497839" w:rsidRPr="00F42768" w:rsidRDefault="00497839" w:rsidP="00BB1149">
            <w:pPr>
              <w:spacing w:after="0"/>
              <w:ind w:left="71" w:firstLine="0"/>
              <w:rPr>
                <w:rFonts w:ascii="Arial Narrow" w:hAnsi="Arial Narrow" w:cs="Arial"/>
                <w:snapToGrid w:val="0"/>
                <w:color w:val="000000"/>
              </w:rPr>
            </w:pPr>
            <w:r w:rsidRPr="00F42768">
              <w:rPr>
                <w:rFonts w:ascii="Arial Narrow" w:hAnsi="Arial Narrow" w:cs="Arial"/>
                <w:snapToGrid w:val="0"/>
                <w:color w:val="000000"/>
              </w:rPr>
              <w:t xml:space="preserve">6. Fianzas y depósitos recibidos a corto plazo </w:t>
            </w:r>
          </w:p>
        </w:tc>
        <w:tc>
          <w:tcPr>
            <w:tcW w:w="2171" w:type="dxa"/>
            <w:tcBorders>
              <w:bottom w:val="single" w:sz="4" w:space="0" w:color="auto"/>
            </w:tcBorders>
            <w:vAlign w:val="center"/>
          </w:tcPr>
          <w:p w:rsidR="00497839" w:rsidRPr="006E1D78" w:rsidRDefault="00497839" w:rsidP="00BB1149">
            <w:pPr>
              <w:spacing w:after="0"/>
              <w:jc w:val="right"/>
              <w:rPr>
                <w:rFonts w:ascii="Arial Narrow" w:hAnsi="Arial Narrow" w:cs="Arial"/>
                <w:snapToGrid w:val="0"/>
                <w:color w:val="000000"/>
              </w:rPr>
            </w:pPr>
            <w:r w:rsidRPr="006E1D78">
              <w:rPr>
                <w:rFonts w:ascii="Arial Narrow" w:hAnsi="Arial Narrow" w:cs="Arial"/>
                <w:snapToGrid w:val="0"/>
                <w:color w:val="000000"/>
              </w:rPr>
              <w:t>3.330.33</w:t>
            </w:r>
            <w:r>
              <w:rPr>
                <w:rFonts w:ascii="Arial Narrow" w:hAnsi="Arial Narrow" w:cs="Arial"/>
                <w:snapToGrid w:val="0"/>
                <w:color w:val="000000"/>
              </w:rPr>
              <w:t>9</w:t>
            </w:r>
          </w:p>
        </w:tc>
        <w:tc>
          <w:tcPr>
            <w:tcW w:w="1819" w:type="dxa"/>
            <w:tcBorders>
              <w:bottom w:val="single" w:sz="4" w:space="0" w:color="auto"/>
            </w:tcBorders>
            <w:vAlign w:val="center"/>
          </w:tcPr>
          <w:p w:rsidR="00497839" w:rsidRPr="006E1D78" w:rsidRDefault="00497839" w:rsidP="003639A8">
            <w:pPr>
              <w:spacing w:after="0"/>
              <w:ind w:firstLine="0"/>
              <w:jc w:val="right"/>
              <w:rPr>
                <w:rFonts w:ascii="Arial Narrow" w:hAnsi="Arial Narrow" w:cs="Arial"/>
                <w:snapToGrid w:val="0"/>
                <w:color w:val="000000"/>
              </w:rPr>
            </w:pPr>
            <w:r>
              <w:rPr>
                <w:rFonts w:ascii="Arial Narrow" w:hAnsi="Arial Narrow" w:cs="Arial"/>
                <w:snapToGrid w:val="0"/>
                <w:color w:val="000000"/>
              </w:rPr>
              <w:t>3.202.050</w:t>
            </w:r>
          </w:p>
        </w:tc>
      </w:tr>
      <w:tr w:rsidR="00497839" w:rsidRPr="006E1D78" w:rsidTr="003639A8">
        <w:trPr>
          <w:trHeight w:hRule="exact" w:val="340"/>
          <w:jc w:val="center"/>
        </w:trPr>
        <w:tc>
          <w:tcPr>
            <w:tcW w:w="5327" w:type="dxa"/>
            <w:tcBorders>
              <w:top w:val="single" w:sz="4" w:space="0" w:color="auto"/>
              <w:bottom w:val="single" w:sz="4" w:space="0" w:color="auto"/>
            </w:tcBorders>
            <w:shd w:val="clear" w:color="auto" w:fill="A8CBEE" w:themeFill="accent2" w:themeFillTint="66"/>
            <w:vAlign w:val="center"/>
          </w:tcPr>
          <w:p w:rsidR="00497839" w:rsidRPr="006E1D78" w:rsidRDefault="00497839" w:rsidP="00BB1149">
            <w:pPr>
              <w:pStyle w:val="cuadroCabe"/>
              <w:rPr>
                <w:snapToGrid w:val="0"/>
              </w:rPr>
            </w:pPr>
            <w:r w:rsidRPr="006E1D78">
              <w:rPr>
                <w:snapToGrid w:val="0"/>
              </w:rPr>
              <w:t xml:space="preserve">Total Patrimonio Neto y Pasivo (A+C+D) </w:t>
            </w:r>
          </w:p>
        </w:tc>
        <w:tc>
          <w:tcPr>
            <w:tcW w:w="2171" w:type="dxa"/>
            <w:tcBorders>
              <w:top w:val="single" w:sz="4" w:space="0" w:color="auto"/>
              <w:bottom w:val="single" w:sz="4" w:space="0" w:color="auto"/>
            </w:tcBorders>
            <w:shd w:val="clear" w:color="auto" w:fill="A8CBEE" w:themeFill="accent2" w:themeFillTint="66"/>
            <w:vAlign w:val="center"/>
          </w:tcPr>
          <w:p w:rsidR="00497839" w:rsidRPr="006E1D78" w:rsidRDefault="00497839" w:rsidP="00BB1149">
            <w:pPr>
              <w:spacing w:after="0"/>
              <w:jc w:val="right"/>
              <w:rPr>
                <w:rFonts w:ascii="Arial" w:hAnsi="Arial" w:cs="Arial"/>
                <w:snapToGrid w:val="0"/>
                <w:color w:val="000000"/>
                <w:sz w:val="18"/>
                <w:szCs w:val="18"/>
                <w:highlight w:val="yellow"/>
              </w:rPr>
            </w:pPr>
            <w:r w:rsidRPr="006E1D78">
              <w:rPr>
                <w:rFonts w:ascii="Arial" w:hAnsi="Arial" w:cs="Arial"/>
                <w:snapToGrid w:val="0"/>
                <w:color w:val="000000"/>
                <w:sz w:val="18"/>
                <w:szCs w:val="18"/>
              </w:rPr>
              <w:t>3.202.840.68</w:t>
            </w:r>
            <w:r>
              <w:rPr>
                <w:rFonts w:ascii="Arial" w:hAnsi="Arial" w:cs="Arial"/>
                <w:snapToGrid w:val="0"/>
                <w:color w:val="000000"/>
                <w:sz w:val="18"/>
                <w:szCs w:val="18"/>
              </w:rPr>
              <w:t>8</w:t>
            </w:r>
          </w:p>
        </w:tc>
        <w:tc>
          <w:tcPr>
            <w:tcW w:w="1819" w:type="dxa"/>
            <w:tcBorders>
              <w:top w:val="single" w:sz="4" w:space="0" w:color="auto"/>
              <w:bottom w:val="single" w:sz="4" w:space="0" w:color="auto"/>
            </w:tcBorders>
            <w:shd w:val="clear" w:color="auto" w:fill="A8CBEE" w:themeFill="accent2" w:themeFillTint="66"/>
            <w:vAlign w:val="center"/>
          </w:tcPr>
          <w:p w:rsidR="00497839" w:rsidRPr="006E1D78" w:rsidRDefault="00497839" w:rsidP="003639A8">
            <w:pPr>
              <w:spacing w:after="0"/>
              <w:ind w:firstLine="0"/>
              <w:jc w:val="right"/>
              <w:rPr>
                <w:rFonts w:ascii="Arial" w:hAnsi="Arial" w:cs="Arial"/>
                <w:snapToGrid w:val="0"/>
                <w:sz w:val="18"/>
                <w:szCs w:val="18"/>
              </w:rPr>
            </w:pPr>
            <w:r w:rsidRPr="006E1D78">
              <w:rPr>
                <w:rFonts w:ascii="Arial" w:hAnsi="Arial" w:cs="Arial"/>
                <w:snapToGrid w:val="0"/>
                <w:sz w:val="18"/>
                <w:szCs w:val="18"/>
              </w:rPr>
              <w:t>3.210.239.98</w:t>
            </w:r>
            <w:r>
              <w:rPr>
                <w:rFonts w:ascii="Arial" w:hAnsi="Arial" w:cs="Arial"/>
                <w:snapToGrid w:val="0"/>
                <w:sz w:val="18"/>
                <w:szCs w:val="18"/>
              </w:rPr>
              <w:t>8</w:t>
            </w:r>
          </w:p>
        </w:tc>
      </w:tr>
    </w:tbl>
    <w:p w:rsidR="00497839" w:rsidRPr="007404AE" w:rsidRDefault="00497839" w:rsidP="00497839">
      <w:pPr>
        <w:pStyle w:val="texto"/>
        <w:spacing w:before="120" w:after="0"/>
        <w:ind w:left="-357" w:firstLine="0"/>
        <w:rPr>
          <w:rFonts w:ascii="Arial Narrow" w:hAnsi="Arial Narrow"/>
          <w:sz w:val="18"/>
          <w:szCs w:val="18"/>
        </w:rPr>
      </w:pPr>
    </w:p>
    <w:p w:rsidR="00497839" w:rsidRDefault="00497839" w:rsidP="00497839">
      <w:pPr>
        <w:pStyle w:val="atitulo2"/>
      </w:pPr>
      <w:r>
        <w:br w:type="page"/>
      </w:r>
      <w:bookmarkStart w:id="34" w:name="_Toc340229947"/>
      <w:bookmarkStart w:id="35" w:name="_Toc394485125"/>
      <w:bookmarkStart w:id="36" w:name="_Toc399859620"/>
      <w:bookmarkStart w:id="37" w:name="_Toc463350245"/>
      <w:r>
        <w:lastRenderedPageBreak/>
        <w:t>III.5. Cuenta de Resultados 201</w:t>
      </w:r>
      <w:bookmarkEnd w:id="34"/>
      <w:bookmarkEnd w:id="35"/>
      <w:r>
        <w:t>5</w:t>
      </w:r>
      <w:bookmarkEnd w:id="36"/>
      <w:bookmarkEnd w:id="37"/>
    </w:p>
    <w:p w:rsidR="00497839" w:rsidRPr="003A0A1B" w:rsidRDefault="00497839" w:rsidP="0011458F">
      <w:pPr>
        <w:pStyle w:val="texto"/>
        <w:spacing w:after="40"/>
        <w:jc w:val="right"/>
        <w:rPr>
          <w:rFonts w:ascii="GillSans Light" w:hAnsi="GillSans Light"/>
          <w:sz w:val="18"/>
          <w:szCs w:val="18"/>
        </w:rPr>
      </w:pPr>
      <w:r>
        <w:rPr>
          <w:rFonts w:ascii="GillSans Light" w:hAnsi="GillSans Light"/>
          <w:sz w:val="18"/>
          <w:szCs w:val="18"/>
        </w:rPr>
        <w:t>(</w:t>
      </w:r>
      <w:r w:rsidR="007E1C86">
        <w:rPr>
          <w:rFonts w:ascii="GillSans Light" w:hAnsi="GillSans Light"/>
          <w:sz w:val="18"/>
          <w:szCs w:val="18"/>
        </w:rPr>
        <w:t>E</w:t>
      </w:r>
      <w:r>
        <w:rPr>
          <w:rFonts w:ascii="GillSans Light" w:hAnsi="GillSans Light"/>
          <w:sz w:val="18"/>
          <w:szCs w:val="18"/>
        </w:rPr>
        <w:t>n euros)</w:t>
      </w:r>
    </w:p>
    <w:tbl>
      <w:tblPr>
        <w:tblW w:w="8711"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5080"/>
        <w:gridCol w:w="1867"/>
        <w:gridCol w:w="1764"/>
      </w:tblGrid>
      <w:tr w:rsidR="00497839" w:rsidRPr="00465E0D" w:rsidTr="0041655A">
        <w:trPr>
          <w:trHeight w:hRule="exact" w:val="397"/>
          <w:jc w:val="center"/>
        </w:trPr>
        <w:tc>
          <w:tcPr>
            <w:tcW w:w="5080" w:type="dxa"/>
            <w:tcBorders>
              <w:top w:val="single" w:sz="4" w:space="0" w:color="auto"/>
              <w:bottom w:val="single" w:sz="4" w:space="0" w:color="auto"/>
            </w:tcBorders>
            <w:shd w:val="clear" w:color="auto" w:fill="A8CBEE" w:themeFill="accent2" w:themeFillTint="66"/>
            <w:vAlign w:val="center"/>
          </w:tcPr>
          <w:p w:rsidR="00497839" w:rsidRPr="00465E0D" w:rsidRDefault="00497839" w:rsidP="00BB1149">
            <w:pPr>
              <w:pStyle w:val="cuadroCabe"/>
              <w:rPr>
                <w:snapToGrid w:val="0"/>
              </w:rPr>
            </w:pPr>
            <w:r w:rsidRPr="00465E0D">
              <w:rPr>
                <w:snapToGrid w:val="0"/>
              </w:rPr>
              <w:t>D</w:t>
            </w:r>
            <w:r>
              <w:rPr>
                <w:snapToGrid w:val="0"/>
              </w:rPr>
              <w:t>ebe</w:t>
            </w:r>
          </w:p>
        </w:tc>
        <w:tc>
          <w:tcPr>
            <w:tcW w:w="1867" w:type="dxa"/>
            <w:tcBorders>
              <w:top w:val="single" w:sz="4" w:space="0" w:color="auto"/>
              <w:bottom w:val="single" w:sz="4" w:space="0" w:color="auto"/>
            </w:tcBorders>
            <w:shd w:val="clear" w:color="auto" w:fill="A8CBEE" w:themeFill="accent2" w:themeFillTint="66"/>
            <w:vAlign w:val="center"/>
          </w:tcPr>
          <w:p w:rsidR="00497839" w:rsidRPr="00465E0D" w:rsidRDefault="00497839" w:rsidP="00BB1149">
            <w:pPr>
              <w:pStyle w:val="cuadroCabe"/>
              <w:jc w:val="right"/>
              <w:rPr>
                <w:snapToGrid w:val="0"/>
                <w:color w:val="000000"/>
                <w:lang w:val="es-ES"/>
              </w:rPr>
            </w:pPr>
            <w:r w:rsidRPr="00465E0D">
              <w:rPr>
                <w:snapToGrid w:val="0"/>
                <w:color w:val="000000"/>
                <w:lang w:val="es-ES"/>
              </w:rPr>
              <w:t>Ejercicio 201</w:t>
            </w:r>
            <w:r>
              <w:rPr>
                <w:snapToGrid w:val="0"/>
                <w:color w:val="000000"/>
                <w:lang w:val="es-ES"/>
              </w:rPr>
              <w:t>5</w:t>
            </w:r>
          </w:p>
        </w:tc>
        <w:tc>
          <w:tcPr>
            <w:tcW w:w="1764" w:type="dxa"/>
            <w:tcBorders>
              <w:top w:val="single" w:sz="4" w:space="0" w:color="auto"/>
              <w:bottom w:val="single" w:sz="4" w:space="0" w:color="auto"/>
            </w:tcBorders>
            <w:shd w:val="clear" w:color="auto" w:fill="A8CBEE" w:themeFill="accent2" w:themeFillTint="66"/>
            <w:vAlign w:val="center"/>
          </w:tcPr>
          <w:p w:rsidR="00497839" w:rsidRPr="00465E0D" w:rsidRDefault="00497839" w:rsidP="00BB1149">
            <w:pPr>
              <w:pStyle w:val="cuadroCabe"/>
              <w:jc w:val="right"/>
              <w:rPr>
                <w:snapToGrid w:val="0"/>
                <w:color w:val="000000"/>
                <w:lang w:val="es-ES"/>
              </w:rPr>
            </w:pPr>
            <w:r w:rsidRPr="00465E0D">
              <w:rPr>
                <w:snapToGrid w:val="0"/>
                <w:color w:val="000000"/>
                <w:lang w:val="es-ES"/>
              </w:rPr>
              <w:t>Ejercicio 201</w:t>
            </w:r>
            <w:r>
              <w:rPr>
                <w:snapToGrid w:val="0"/>
                <w:color w:val="000000"/>
                <w:lang w:val="es-ES"/>
              </w:rPr>
              <w:t>4</w:t>
            </w:r>
          </w:p>
        </w:tc>
      </w:tr>
      <w:tr w:rsidR="00497839" w:rsidRPr="007404AE" w:rsidTr="00BB1149">
        <w:trPr>
          <w:trHeight w:hRule="exact" w:val="340"/>
          <w:jc w:val="center"/>
        </w:trPr>
        <w:tc>
          <w:tcPr>
            <w:tcW w:w="5080" w:type="dxa"/>
            <w:tcBorders>
              <w:top w:val="single" w:sz="4" w:space="0" w:color="auto"/>
              <w:bottom w:val="single" w:sz="2" w:space="0" w:color="auto"/>
            </w:tcBorders>
            <w:vAlign w:val="center"/>
          </w:tcPr>
          <w:p w:rsidR="00497839" w:rsidRPr="007404AE" w:rsidRDefault="00497839" w:rsidP="00BB1149">
            <w:pPr>
              <w:pStyle w:val="Tabla"/>
              <w:spacing w:before="60" w:after="60"/>
              <w:rPr>
                <w:rFonts w:ascii="Arial Narrow" w:hAnsi="Arial Narrow" w:cs="Arial"/>
                <w:snapToGrid w:val="0"/>
                <w:sz w:val="20"/>
              </w:rPr>
            </w:pPr>
            <w:r w:rsidRPr="007404AE">
              <w:rPr>
                <w:rFonts w:ascii="Arial Narrow" w:hAnsi="Arial Narrow" w:cs="Arial"/>
                <w:snapToGrid w:val="0"/>
                <w:sz w:val="20"/>
              </w:rPr>
              <w:t>A) Gastos</w:t>
            </w:r>
          </w:p>
        </w:tc>
        <w:tc>
          <w:tcPr>
            <w:tcW w:w="1867" w:type="dxa"/>
            <w:tcBorders>
              <w:top w:val="single" w:sz="4" w:space="0" w:color="auto"/>
              <w:bottom w:val="single" w:sz="2" w:space="0" w:color="auto"/>
            </w:tcBorders>
            <w:vAlign w:val="center"/>
          </w:tcPr>
          <w:p w:rsidR="00497839" w:rsidRPr="007404AE" w:rsidRDefault="00497839" w:rsidP="00BB1149">
            <w:pPr>
              <w:spacing w:before="60" w:after="60" w:line="200" w:lineRule="atLeast"/>
              <w:ind w:firstLine="0"/>
              <w:jc w:val="right"/>
              <w:rPr>
                <w:rFonts w:ascii="Arial Narrow" w:hAnsi="Arial Narrow" w:cs="Arial"/>
                <w:snapToGrid w:val="0"/>
                <w:color w:val="000000"/>
                <w:lang w:val="es-ES"/>
              </w:rPr>
            </w:pPr>
          </w:p>
        </w:tc>
        <w:tc>
          <w:tcPr>
            <w:tcW w:w="1764" w:type="dxa"/>
            <w:tcBorders>
              <w:top w:val="single" w:sz="4" w:space="0" w:color="auto"/>
              <w:bottom w:val="single" w:sz="2" w:space="0" w:color="auto"/>
            </w:tcBorders>
            <w:vAlign w:val="center"/>
          </w:tcPr>
          <w:p w:rsidR="00497839" w:rsidRPr="007404AE" w:rsidRDefault="00497839" w:rsidP="00BB1149">
            <w:pPr>
              <w:spacing w:before="60" w:after="60" w:line="200" w:lineRule="atLeast"/>
              <w:ind w:firstLine="0"/>
              <w:jc w:val="right"/>
              <w:rPr>
                <w:rFonts w:ascii="Arial Narrow" w:hAnsi="Arial Narrow" w:cs="Arial"/>
                <w:snapToGrid w:val="0"/>
                <w:color w:val="000000"/>
                <w:lang w:val="es-ES"/>
              </w:rPr>
            </w:pPr>
          </w:p>
        </w:tc>
      </w:tr>
      <w:tr w:rsidR="00497839" w:rsidRPr="007404AE" w:rsidTr="0041655A">
        <w:trPr>
          <w:trHeight w:hRule="exact" w:val="340"/>
          <w:jc w:val="center"/>
        </w:trPr>
        <w:tc>
          <w:tcPr>
            <w:tcW w:w="5080" w:type="dxa"/>
            <w:tcBorders>
              <w:top w:val="single" w:sz="2" w:space="0" w:color="auto"/>
              <w:bottom w:val="single" w:sz="2" w:space="0" w:color="auto"/>
            </w:tcBorders>
            <w:vAlign w:val="center"/>
          </w:tcPr>
          <w:p w:rsidR="00497839" w:rsidRPr="007404AE" w:rsidRDefault="00497839" w:rsidP="00BB1149">
            <w:pPr>
              <w:pStyle w:val="Tabla"/>
              <w:spacing w:before="60" w:after="60"/>
              <w:rPr>
                <w:rFonts w:ascii="Arial Narrow" w:hAnsi="Arial Narrow" w:cs="Arial"/>
                <w:b/>
                <w:snapToGrid w:val="0"/>
                <w:sz w:val="20"/>
              </w:rPr>
            </w:pPr>
            <w:r w:rsidRPr="007404AE">
              <w:rPr>
                <w:rFonts w:ascii="Arial Narrow" w:hAnsi="Arial Narrow" w:cs="Arial"/>
                <w:b/>
                <w:snapToGrid w:val="0"/>
                <w:sz w:val="20"/>
              </w:rPr>
              <w:t xml:space="preserve">2. Aprovisionamientos </w:t>
            </w:r>
          </w:p>
        </w:tc>
        <w:tc>
          <w:tcPr>
            <w:tcW w:w="1867" w:type="dxa"/>
            <w:tcBorders>
              <w:top w:val="single" w:sz="2" w:space="0" w:color="auto"/>
              <w:bottom w:val="single" w:sz="2" w:space="0" w:color="auto"/>
            </w:tcBorders>
            <w:vAlign w:val="center"/>
          </w:tcPr>
          <w:p w:rsidR="00497839" w:rsidRPr="00027645" w:rsidRDefault="00497839" w:rsidP="00BB1149">
            <w:pPr>
              <w:spacing w:after="0"/>
              <w:jc w:val="right"/>
              <w:rPr>
                <w:rFonts w:ascii="Arial Narrow" w:hAnsi="Arial Narrow" w:cs="Arial"/>
                <w:b/>
                <w:snapToGrid w:val="0"/>
                <w:color w:val="000000"/>
              </w:rPr>
            </w:pPr>
            <w:r w:rsidRPr="00027645">
              <w:rPr>
                <w:rFonts w:ascii="Arial Narrow" w:hAnsi="Arial Narrow" w:cs="Arial"/>
                <w:b/>
                <w:snapToGrid w:val="0"/>
                <w:color w:val="000000"/>
              </w:rPr>
              <w:t>247.074.642</w:t>
            </w:r>
          </w:p>
        </w:tc>
        <w:tc>
          <w:tcPr>
            <w:tcW w:w="1764" w:type="dxa"/>
            <w:tcBorders>
              <w:top w:val="single" w:sz="2" w:space="0" w:color="auto"/>
              <w:bottom w:val="single" w:sz="2" w:space="0" w:color="auto"/>
            </w:tcBorders>
            <w:vAlign w:val="center"/>
          </w:tcPr>
          <w:p w:rsidR="00497839" w:rsidRPr="00027645" w:rsidRDefault="00497839" w:rsidP="00BB1149">
            <w:pPr>
              <w:spacing w:after="0"/>
              <w:jc w:val="right"/>
              <w:rPr>
                <w:rFonts w:ascii="Arial Narrow" w:hAnsi="Arial Narrow" w:cs="Arial"/>
                <w:b/>
                <w:snapToGrid w:val="0"/>
                <w:color w:val="000000"/>
              </w:rPr>
            </w:pPr>
            <w:r w:rsidRPr="00027645">
              <w:rPr>
                <w:rFonts w:ascii="Arial Narrow" w:hAnsi="Arial Narrow" w:cs="Arial"/>
                <w:b/>
                <w:snapToGrid w:val="0"/>
                <w:color w:val="000000"/>
              </w:rPr>
              <w:t>229.744.071</w:t>
            </w:r>
          </w:p>
        </w:tc>
      </w:tr>
      <w:tr w:rsidR="00497839" w:rsidRPr="007404AE" w:rsidTr="0041655A">
        <w:trPr>
          <w:trHeight w:hRule="exact" w:val="340"/>
          <w:jc w:val="center"/>
        </w:trPr>
        <w:tc>
          <w:tcPr>
            <w:tcW w:w="5080" w:type="dxa"/>
            <w:tcBorders>
              <w:top w:val="single" w:sz="2" w:space="0" w:color="auto"/>
              <w:bottom w:val="single" w:sz="2" w:space="0" w:color="auto"/>
            </w:tcBorders>
            <w:vAlign w:val="center"/>
          </w:tcPr>
          <w:p w:rsidR="00497839" w:rsidRPr="007404AE" w:rsidRDefault="00497839" w:rsidP="00BB1149">
            <w:pPr>
              <w:pStyle w:val="Tabla"/>
              <w:spacing w:before="60" w:after="60"/>
              <w:rPr>
                <w:rFonts w:ascii="Arial Narrow" w:hAnsi="Arial Narrow" w:cs="Arial"/>
                <w:snapToGrid w:val="0"/>
                <w:sz w:val="20"/>
              </w:rPr>
            </w:pPr>
            <w:r w:rsidRPr="007404AE">
              <w:rPr>
                <w:rFonts w:ascii="Arial Narrow" w:hAnsi="Arial Narrow" w:cs="Arial"/>
                <w:snapToGrid w:val="0"/>
                <w:sz w:val="20"/>
              </w:rPr>
              <w:t xml:space="preserve">b) Consumos del ejercicio </w:t>
            </w:r>
          </w:p>
        </w:tc>
        <w:tc>
          <w:tcPr>
            <w:tcW w:w="1867"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sidRPr="00575EB7">
              <w:rPr>
                <w:rFonts w:ascii="Arial Narrow" w:hAnsi="Arial Narrow" w:cs="Arial"/>
                <w:snapToGrid w:val="0"/>
                <w:color w:val="000000"/>
              </w:rPr>
              <w:t>247.074.642</w:t>
            </w:r>
          </w:p>
        </w:tc>
        <w:tc>
          <w:tcPr>
            <w:tcW w:w="1764"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sidRPr="00575EB7">
              <w:rPr>
                <w:rFonts w:ascii="Arial Narrow" w:hAnsi="Arial Narrow" w:cs="Arial"/>
                <w:snapToGrid w:val="0"/>
                <w:color w:val="000000"/>
              </w:rPr>
              <w:t>229.744.071</w:t>
            </w:r>
          </w:p>
        </w:tc>
      </w:tr>
      <w:tr w:rsidR="00497839" w:rsidRPr="007404AE" w:rsidTr="0041655A">
        <w:trPr>
          <w:trHeight w:hRule="exact" w:val="340"/>
          <w:jc w:val="center"/>
        </w:trPr>
        <w:tc>
          <w:tcPr>
            <w:tcW w:w="5080" w:type="dxa"/>
            <w:tcBorders>
              <w:top w:val="single" w:sz="2" w:space="0" w:color="auto"/>
              <w:bottom w:val="single" w:sz="2" w:space="0" w:color="auto"/>
            </w:tcBorders>
            <w:vAlign w:val="center"/>
          </w:tcPr>
          <w:p w:rsidR="00497839" w:rsidRPr="007404AE" w:rsidRDefault="00497839" w:rsidP="00BB1149">
            <w:pPr>
              <w:spacing w:before="60" w:after="60"/>
              <w:ind w:firstLine="0"/>
              <w:rPr>
                <w:rFonts w:ascii="Arial Narrow" w:hAnsi="Arial Narrow" w:cs="Arial"/>
                <w:b/>
                <w:snapToGrid w:val="0"/>
              </w:rPr>
            </w:pPr>
            <w:r w:rsidRPr="007404AE">
              <w:rPr>
                <w:rFonts w:ascii="Arial Narrow" w:hAnsi="Arial Narrow" w:cs="Arial"/>
                <w:b/>
                <w:snapToGrid w:val="0"/>
              </w:rPr>
              <w:t>3. Otros gastos de gestión ordinaria</w:t>
            </w:r>
          </w:p>
        </w:tc>
        <w:tc>
          <w:tcPr>
            <w:tcW w:w="1867" w:type="dxa"/>
            <w:tcBorders>
              <w:top w:val="single" w:sz="2" w:space="0" w:color="auto"/>
              <w:bottom w:val="single" w:sz="2" w:space="0" w:color="auto"/>
            </w:tcBorders>
            <w:vAlign w:val="center"/>
          </w:tcPr>
          <w:p w:rsidR="00497839" w:rsidRPr="00027645" w:rsidRDefault="00497839" w:rsidP="00BB1149">
            <w:pPr>
              <w:spacing w:after="0"/>
              <w:jc w:val="right"/>
              <w:rPr>
                <w:rFonts w:ascii="Arial Narrow" w:hAnsi="Arial Narrow" w:cs="Arial"/>
                <w:b/>
                <w:snapToGrid w:val="0"/>
              </w:rPr>
            </w:pPr>
            <w:r w:rsidRPr="00027645">
              <w:rPr>
                <w:rFonts w:ascii="Arial Narrow" w:hAnsi="Arial Narrow" w:cs="Arial"/>
                <w:b/>
                <w:snapToGrid w:val="0"/>
                <w:color w:val="000000"/>
              </w:rPr>
              <w:t>1.528.109.374</w:t>
            </w:r>
          </w:p>
        </w:tc>
        <w:tc>
          <w:tcPr>
            <w:tcW w:w="1764" w:type="dxa"/>
            <w:tcBorders>
              <w:top w:val="single" w:sz="2" w:space="0" w:color="auto"/>
              <w:bottom w:val="single" w:sz="2" w:space="0" w:color="auto"/>
            </w:tcBorders>
            <w:vAlign w:val="center"/>
          </w:tcPr>
          <w:p w:rsidR="00497839" w:rsidRPr="00027645" w:rsidRDefault="00497839" w:rsidP="00BB1149">
            <w:pPr>
              <w:spacing w:after="0"/>
              <w:jc w:val="right"/>
              <w:rPr>
                <w:rFonts w:ascii="Arial Narrow" w:hAnsi="Arial Narrow" w:cs="Arial"/>
                <w:b/>
                <w:snapToGrid w:val="0"/>
              </w:rPr>
            </w:pPr>
            <w:r w:rsidRPr="00027645">
              <w:rPr>
                <w:rFonts w:ascii="Arial Narrow" w:hAnsi="Arial Narrow" w:cs="Arial"/>
                <w:b/>
                <w:snapToGrid w:val="0"/>
              </w:rPr>
              <w:t>1.498.671.580</w:t>
            </w:r>
          </w:p>
        </w:tc>
      </w:tr>
      <w:tr w:rsidR="00497839" w:rsidRPr="007404AE" w:rsidTr="0041655A">
        <w:trPr>
          <w:trHeight w:hRule="exact" w:val="340"/>
          <w:jc w:val="center"/>
        </w:trPr>
        <w:tc>
          <w:tcPr>
            <w:tcW w:w="5080" w:type="dxa"/>
            <w:tcBorders>
              <w:top w:val="single" w:sz="2" w:space="0" w:color="auto"/>
              <w:bottom w:val="single" w:sz="2" w:space="0" w:color="auto"/>
            </w:tcBorders>
            <w:vAlign w:val="center"/>
          </w:tcPr>
          <w:p w:rsidR="00497839" w:rsidRPr="007404AE" w:rsidRDefault="00497839" w:rsidP="00BB1149">
            <w:pPr>
              <w:spacing w:before="60" w:after="60"/>
              <w:ind w:firstLine="0"/>
              <w:rPr>
                <w:rFonts w:ascii="Arial Narrow" w:hAnsi="Arial Narrow" w:cs="Arial"/>
                <w:snapToGrid w:val="0"/>
              </w:rPr>
            </w:pPr>
            <w:r w:rsidRPr="007404AE">
              <w:rPr>
                <w:rFonts w:ascii="Arial Narrow" w:hAnsi="Arial Narrow" w:cs="Arial"/>
                <w:snapToGrid w:val="0"/>
              </w:rPr>
              <w:t>a) Gastos de personal.</w:t>
            </w:r>
          </w:p>
        </w:tc>
        <w:tc>
          <w:tcPr>
            <w:tcW w:w="1867"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sidRPr="00575EB7">
              <w:rPr>
                <w:rFonts w:ascii="Arial Narrow" w:hAnsi="Arial Narrow" w:cs="Arial"/>
                <w:snapToGrid w:val="0"/>
                <w:color w:val="000000"/>
              </w:rPr>
              <w:t>1.056.063.420</w:t>
            </w:r>
          </w:p>
        </w:tc>
        <w:tc>
          <w:tcPr>
            <w:tcW w:w="1764"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sidRPr="00575EB7">
              <w:rPr>
                <w:rFonts w:ascii="Arial Narrow" w:hAnsi="Arial Narrow" w:cs="Arial"/>
                <w:snapToGrid w:val="0"/>
                <w:color w:val="000000"/>
              </w:rPr>
              <w:t>1.032.977.096</w:t>
            </w:r>
          </w:p>
        </w:tc>
      </w:tr>
      <w:tr w:rsidR="00497839" w:rsidRPr="007404AE" w:rsidTr="0041655A">
        <w:trPr>
          <w:trHeight w:hRule="exact" w:val="340"/>
          <w:jc w:val="center"/>
        </w:trPr>
        <w:tc>
          <w:tcPr>
            <w:tcW w:w="5080" w:type="dxa"/>
            <w:tcBorders>
              <w:top w:val="single" w:sz="2" w:space="0" w:color="auto"/>
              <w:bottom w:val="single" w:sz="2" w:space="0" w:color="auto"/>
            </w:tcBorders>
            <w:vAlign w:val="center"/>
          </w:tcPr>
          <w:p w:rsidR="00497839" w:rsidRPr="007404AE" w:rsidRDefault="00497839" w:rsidP="00BB1149">
            <w:pPr>
              <w:spacing w:before="60" w:after="60"/>
              <w:ind w:firstLine="0"/>
              <w:rPr>
                <w:rFonts w:ascii="Arial Narrow" w:hAnsi="Arial Narrow" w:cs="Arial"/>
                <w:snapToGrid w:val="0"/>
              </w:rPr>
            </w:pPr>
            <w:r w:rsidRPr="007404AE">
              <w:rPr>
                <w:rFonts w:ascii="Arial Narrow" w:hAnsi="Arial Narrow" w:cs="Arial"/>
                <w:snapToGrid w:val="0"/>
              </w:rPr>
              <w:t xml:space="preserve">a.1) Sueldos y salarios </w:t>
            </w:r>
          </w:p>
        </w:tc>
        <w:tc>
          <w:tcPr>
            <w:tcW w:w="1867"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sidRPr="00575EB7">
              <w:rPr>
                <w:rFonts w:ascii="Arial Narrow" w:hAnsi="Arial Narrow" w:cs="Arial"/>
                <w:snapToGrid w:val="0"/>
                <w:color w:val="000000"/>
              </w:rPr>
              <w:t>893.838.026</w:t>
            </w:r>
          </w:p>
        </w:tc>
        <w:tc>
          <w:tcPr>
            <w:tcW w:w="1764"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sidRPr="00575EB7">
              <w:rPr>
                <w:rFonts w:ascii="Arial Narrow" w:hAnsi="Arial Narrow" w:cs="Arial"/>
                <w:snapToGrid w:val="0"/>
                <w:color w:val="000000"/>
              </w:rPr>
              <w:t>874.215.028</w:t>
            </w:r>
          </w:p>
        </w:tc>
      </w:tr>
      <w:tr w:rsidR="00497839" w:rsidRPr="007404AE" w:rsidTr="0041655A">
        <w:trPr>
          <w:trHeight w:hRule="exact" w:val="340"/>
          <w:jc w:val="center"/>
        </w:trPr>
        <w:tc>
          <w:tcPr>
            <w:tcW w:w="5080" w:type="dxa"/>
            <w:tcBorders>
              <w:top w:val="single" w:sz="2" w:space="0" w:color="auto"/>
              <w:bottom w:val="single" w:sz="2" w:space="0" w:color="auto"/>
            </w:tcBorders>
            <w:vAlign w:val="center"/>
          </w:tcPr>
          <w:p w:rsidR="00497839" w:rsidRPr="007404AE" w:rsidRDefault="00497839" w:rsidP="00BB1149">
            <w:pPr>
              <w:spacing w:before="60" w:after="60"/>
              <w:ind w:firstLine="0"/>
              <w:rPr>
                <w:rFonts w:ascii="Arial Narrow" w:hAnsi="Arial Narrow" w:cs="Arial"/>
                <w:snapToGrid w:val="0"/>
              </w:rPr>
            </w:pPr>
            <w:r w:rsidRPr="007404AE">
              <w:rPr>
                <w:rFonts w:ascii="Arial Narrow" w:hAnsi="Arial Narrow" w:cs="Arial"/>
                <w:snapToGrid w:val="0"/>
              </w:rPr>
              <w:t xml:space="preserve">a.2) Cargas sociales </w:t>
            </w:r>
          </w:p>
        </w:tc>
        <w:tc>
          <w:tcPr>
            <w:tcW w:w="1867"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sidRPr="00575EB7">
              <w:rPr>
                <w:rFonts w:ascii="Arial Narrow" w:hAnsi="Arial Narrow" w:cs="Arial"/>
                <w:snapToGrid w:val="0"/>
                <w:color w:val="000000"/>
              </w:rPr>
              <w:t>162.225.3</w:t>
            </w:r>
            <w:r>
              <w:rPr>
                <w:rFonts w:ascii="Arial Narrow" w:hAnsi="Arial Narrow" w:cs="Arial"/>
                <w:snapToGrid w:val="0"/>
                <w:color w:val="000000"/>
              </w:rPr>
              <w:t>94</w:t>
            </w:r>
          </w:p>
        </w:tc>
        <w:tc>
          <w:tcPr>
            <w:tcW w:w="1764"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sidRPr="00575EB7">
              <w:rPr>
                <w:rFonts w:ascii="Arial Narrow" w:hAnsi="Arial Narrow" w:cs="Arial"/>
                <w:snapToGrid w:val="0"/>
                <w:color w:val="000000"/>
              </w:rPr>
              <w:t>158.762.068</w:t>
            </w:r>
          </w:p>
        </w:tc>
      </w:tr>
      <w:tr w:rsidR="00497839" w:rsidRPr="007404AE" w:rsidTr="0041655A">
        <w:trPr>
          <w:trHeight w:hRule="exact" w:val="340"/>
          <w:jc w:val="center"/>
        </w:trPr>
        <w:tc>
          <w:tcPr>
            <w:tcW w:w="5080" w:type="dxa"/>
            <w:tcBorders>
              <w:top w:val="single" w:sz="2" w:space="0" w:color="auto"/>
              <w:bottom w:val="single" w:sz="2" w:space="0" w:color="auto"/>
            </w:tcBorders>
            <w:vAlign w:val="center"/>
          </w:tcPr>
          <w:p w:rsidR="00497839" w:rsidRPr="007404AE" w:rsidRDefault="00497839" w:rsidP="00BB1149">
            <w:pPr>
              <w:spacing w:before="60" w:after="60"/>
              <w:ind w:firstLine="0"/>
              <w:rPr>
                <w:rFonts w:ascii="Arial Narrow" w:hAnsi="Arial Narrow" w:cs="Arial"/>
                <w:snapToGrid w:val="0"/>
              </w:rPr>
            </w:pPr>
            <w:r w:rsidRPr="007404AE">
              <w:rPr>
                <w:rFonts w:ascii="Arial Narrow" w:hAnsi="Arial Narrow" w:cs="Arial"/>
                <w:snapToGrid w:val="0"/>
              </w:rPr>
              <w:t>b) Prestaciones sociales</w:t>
            </w:r>
          </w:p>
        </w:tc>
        <w:tc>
          <w:tcPr>
            <w:tcW w:w="1867"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sidRPr="00575EB7">
              <w:rPr>
                <w:rFonts w:ascii="Arial Narrow" w:hAnsi="Arial Narrow" w:cs="Arial"/>
                <w:snapToGrid w:val="0"/>
                <w:color w:val="000000"/>
              </w:rPr>
              <w:t>82.591.403</w:t>
            </w:r>
          </w:p>
        </w:tc>
        <w:tc>
          <w:tcPr>
            <w:tcW w:w="1764"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sidRPr="00575EB7">
              <w:rPr>
                <w:rFonts w:ascii="Arial Narrow" w:hAnsi="Arial Narrow" w:cs="Arial"/>
                <w:snapToGrid w:val="0"/>
                <w:color w:val="000000"/>
              </w:rPr>
              <w:t>78.959.114</w:t>
            </w:r>
          </w:p>
        </w:tc>
      </w:tr>
      <w:tr w:rsidR="00497839" w:rsidRPr="007404AE" w:rsidTr="0041655A">
        <w:trPr>
          <w:trHeight w:hRule="exact" w:val="340"/>
          <w:jc w:val="center"/>
        </w:trPr>
        <w:tc>
          <w:tcPr>
            <w:tcW w:w="5080" w:type="dxa"/>
            <w:tcBorders>
              <w:top w:val="single" w:sz="2" w:space="0" w:color="auto"/>
              <w:bottom w:val="single" w:sz="2" w:space="0" w:color="auto"/>
            </w:tcBorders>
            <w:vAlign w:val="center"/>
          </w:tcPr>
          <w:p w:rsidR="00497839" w:rsidRPr="007404AE" w:rsidRDefault="00497839" w:rsidP="00BB1149">
            <w:pPr>
              <w:spacing w:before="60" w:after="60"/>
              <w:ind w:firstLine="0"/>
              <w:rPr>
                <w:rFonts w:ascii="Arial Narrow" w:hAnsi="Arial Narrow" w:cs="Arial"/>
                <w:snapToGrid w:val="0"/>
              </w:rPr>
            </w:pPr>
            <w:r w:rsidRPr="007404AE">
              <w:rPr>
                <w:rFonts w:ascii="Arial Narrow" w:hAnsi="Arial Narrow" w:cs="Arial"/>
                <w:snapToGrid w:val="0"/>
              </w:rPr>
              <w:t>d) Variación de provisiones de tráfico</w:t>
            </w:r>
          </w:p>
        </w:tc>
        <w:tc>
          <w:tcPr>
            <w:tcW w:w="1867"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sidRPr="00575EB7">
              <w:rPr>
                <w:rFonts w:ascii="Arial Narrow" w:hAnsi="Arial Narrow" w:cs="Arial"/>
                <w:snapToGrid w:val="0"/>
                <w:color w:val="000000"/>
              </w:rPr>
              <w:t>-30.481.445</w:t>
            </w:r>
          </w:p>
        </w:tc>
        <w:tc>
          <w:tcPr>
            <w:tcW w:w="1764"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sidRPr="00575EB7">
              <w:rPr>
                <w:rFonts w:ascii="Arial Narrow" w:hAnsi="Arial Narrow" w:cs="Arial"/>
                <w:snapToGrid w:val="0"/>
                <w:color w:val="000000"/>
              </w:rPr>
              <w:t>32.636.822</w:t>
            </w:r>
          </w:p>
        </w:tc>
      </w:tr>
      <w:tr w:rsidR="00497839" w:rsidRPr="007404AE" w:rsidTr="0041655A">
        <w:trPr>
          <w:trHeight w:hRule="exact" w:val="399"/>
          <w:jc w:val="center"/>
        </w:trPr>
        <w:tc>
          <w:tcPr>
            <w:tcW w:w="5080" w:type="dxa"/>
            <w:tcBorders>
              <w:top w:val="single" w:sz="2" w:space="0" w:color="auto"/>
              <w:bottom w:val="single" w:sz="2" w:space="0" w:color="auto"/>
            </w:tcBorders>
            <w:vAlign w:val="center"/>
          </w:tcPr>
          <w:p w:rsidR="00497839" w:rsidRPr="007404AE" w:rsidRDefault="00497839" w:rsidP="00BB1149">
            <w:pPr>
              <w:spacing w:before="60" w:after="60"/>
              <w:ind w:right="-526" w:firstLine="0"/>
              <w:rPr>
                <w:rFonts w:ascii="Arial Narrow" w:hAnsi="Arial Narrow" w:cs="Arial"/>
                <w:snapToGrid w:val="0"/>
              </w:rPr>
            </w:pPr>
            <w:r w:rsidRPr="007404AE">
              <w:rPr>
                <w:rFonts w:ascii="Arial Narrow" w:hAnsi="Arial Narrow" w:cs="Arial"/>
                <w:snapToGrid w:val="0"/>
              </w:rPr>
              <w:t xml:space="preserve">d.1) Variación de provisiones y pérdidas de créditos incobrables </w:t>
            </w:r>
          </w:p>
        </w:tc>
        <w:tc>
          <w:tcPr>
            <w:tcW w:w="1867"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sidRPr="00575EB7">
              <w:rPr>
                <w:rFonts w:ascii="Arial Narrow" w:hAnsi="Arial Narrow" w:cs="Arial"/>
                <w:snapToGrid w:val="0"/>
                <w:color w:val="000000"/>
              </w:rPr>
              <w:t>-30.481.445</w:t>
            </w:r>
          </w:p>
        </w:tc>
        <w:tc>
          <w:tcPr>
            <w:tcW w:w="1764"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sidRPr="00575EB7">
              <w:rPr>
                <w:rFonts w:ascii="Arial Narrow" w:hAnsi="Arial Narrow" w:cs="Arial"/>
                <w:snapToGrid w:val="0"/>
                <w:color w:val="000000"/>
              </w:rPr>
              <w:t>32.636.822</w:t>
            </w:r>
          </w:p>
        </w:tc>
      </w:tr>
      <w:tr w:rsidR="00497839" w:rsidRPr="007404AE" w:rsidTr="0041655A">
        <w:trPr>
          <w:trHeight w:hRule="exact" w:val="340"/>
          <w:jc w:val="center"/>
        </w:trPr>
        <w:tc>
          <w:tcPr>
            <w:tcW w:w="5080" w:type="dxa"/>
            <w:tcBorders>
              <w:top w:val="single" w:sz="2" w:space="0" w:color="auto"/>
              <w:bottom w:val="single" w:sz="2" w:space="0" w:color="auto"/>
            </w:tcBorders>
            <w:vAlign w:val="center"/>
          </w:tcPr>
          <w:p w:rsidR="00497839" w:rsidRPr="007404AE" w:rsidRDefault="00497839" w:rsidP="00BB1149">
            <w:pPr>
              <w:spacing w:before="60" w:after="60"/>
              <w:ind w:firstLine="0"/>
              <w:rPr>
                <w:rFonts w:ascii="Arial Narrow" w:hAnsi="Arial Narrow" w:cs="Arial"/>
                <w:snapToGrid w:val="0"/>
              </w:rPr>
            </w:pPr>
            <w:r w:rsidRPr="007404AE">
              <w:rPr>
                <w:rFonts w:ascii="Arial Narrow" w:hAnsi="Arial Narrow" w:cs="Arial"/>
                <w:snapToGrid w:val="0"/>
              </w:rPr>
              <w:t>e) Otros gastos de gestión</w:t>
            </w:r>
          </w:p>
        </w:tc>
        <w:tc>
          <w:tcPr>
            <w:tcW w:w="1867"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sidRPr="00575EB7">
              <w:rPr>
                <w:rFonts w:ascii="Arial Narrow" w:hAnsi="Arial Narrow" w:cs="Arial"/>
                <w:snapToGrid w:val="0"/>
                <w:color w:val="000000"/>
              </w:rPr>
              <w:t>311.750.745</w:t>
            </w:r>
          </w:p>
        </w:tc>
        <w:tc>
          <w:tcPr>
            <w:tcW w:w="1764"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sidRPr="00575EB7">
              <w:rPr>
                <w:rFonts w:ascii="Arial Narrow" w:hAnsi="Arial Narrow" w:cs="Arial"/>
                <w:snapToGrid w:val="0"/>
                <w:color w:val="000000"/>
              </w:rPr>
              <w:t>309.470.188</w:t>
            </w:r>
          </w:p>
        </w:tc>
      </w:tr>
      <w:tr w:rsidR="00497839" w:rsidRPr="007404AE" w:rsidTr="0041655A">
        <w:trPr>
          <w:trHeight w:hRule="exact" w:val="340"/>
          <w:jc w:val="center"/>
        </w:trPr>
        <w:tc>
          <w:tcPr>
            <w:tcW w:w="5080" w:type="dxa"/>
            <w:tcBorders>
              <w:top w:val="single" w:sz="2" w:space="0" w:color="auto"/>
              <w:bottom w:val="single" w:sz="2" w:space="0" w:color="auto"/>
            </w:tcBorders>
            <w:vAlign w:val="center"/>
          </w:tcPr>
          <w:p w:rsidR="00497839" w:rsidRPr="007404AE" w:rsidRDefault="00497839" w:rsidP="00BB1149">
            <w:pPr>
              <w:spacing w:before="60" w:after="60"/>
              <w:ind w:firstLine="0"/>
              <w:rPr>
                <w:rFonts w:ascii="Arial Narrow" w:hAnsi="Arial Narrow" w:cs="Arial"/>
                <w:snapToGrid w:val="0"/>
              </w:rPr>
            </w:pPr>
            <w:r w:rsidRPr="007404AE">
              <w:rPr>
                <w:rFonts w:ascii="Arial Narrow" w:hAnsi="Arial Narrow" w:cs="Arial"/>
                <w:snapToGrid w:val="0"/>
              </w:rPr>
              <w:t>e.1) Servicios exteriores</w:t>
            </w:r>
          </w:p>
        </w:tc>
        <w:tc>
          <w:tcPr>
            <w:tcW w:w="1867"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sidRPr="00575EB7">
              <w:rPr>
                <w:rFonts w:ascii="Arial Narrow" w:hAnsi="Arial Narrow" w:cs="Arial"/>
                <w:snapToGrid w:val="0"/>
                <w:color w:val="000000"/>
              </w:rPr>
              <w:t>309.606.215</w:t>
            </w:r>
          </w:p>
        </w:tc>
        <w:tc>
          <w:tcPr>
            <w:tcW w:w="1764"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sidRPr="00575EB7">
              <w:rPr>
                <w:rFonts w:ascii="Arial Narrow" w:hAnsi="Arial Narrow" w:cs="Arial"/>
                <w:snapToGrid w:val="0"/>
                <w:color w:val="000000"/>
              </w:rPr>
              <w:t>307.481.325</w:t>
            </w:r>
          </w:p>
        </w:tc>
      </w:tr>
      <w:tr w:rsidR="00497839" w:rsidRPr="007404AE" w:rsidTr="0041655A">
        <w:trPr>
          <w:trHeight w:hRule="exact" w:val="340"/>
          <w:jc w:val="center"/>
        </w:trPr>
        <w:tc>
          <w:tcPr>
            <w:tcW w:w="5080" w:type="dxa"/>
            <w:tcBorders>
              <w:top w:val="single" w:sz="2" w:space="0" w:color="auto"/>
              <w:bottom w:val="single" w:sz="2" w:space="0" w:color="auto"/>
            </w:tcBorders>
            <w:vAlign w:val="center"/>
          </w:tcPr>
          <w:p w:rsidR="00497839" w:rsidRPr="007404AE" w:rsidRDefault="00497839" w:rsidP="00BB1149">
            <w:pPr>
              <w:spacing w:before="60" w:after="60"/>
              <w:ind w:firstLine="0"/>
              <w:rPr>
                <w:rFonts w:ascii="Arial Narrow" w:hAnsi="Arial Narrow" w:cs="Arial"/>
                <w:snapToGrid w:val="0"/>
              </w:rPr>
            </w:pPr>
            <w:r w:rsidRPr="007404AE">
              <w:rPr>
                <w:rFonts w:ascii="Arial Narrow" w:hAnsi="Arial Narrow" w:cs="Arial"/>
                <w:snapToGrid w:val="0"/>
              </w:rPr>
              <w:t xml:space="preserve">e.2) Tributos </w:t>
            </w:r>
          </w:p>
        </w:tc>
        <w:tc>
          <w:tcPr>
            <w:tcW w:w="1867"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sidRPr="00575EB7">
              <w:rPr>
                <w:rFonts w:ascii="Arial Narrow" w:hAnsi="Arial Narrow" w:cs="Arial"/>
                <w:snapToGrid w:val="0"/>
                <w:color w:val="000000"/>
              </w:rPr>
              <w:t>46.611</w:t>
            </w:r>
          </w:p>
        </w:tc>
        <w:tc>
          <w:tcPr>
            <w:tcW w:w="1764"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sidRPr="00575EB7">
              <w:rPr>
                <w:rFonts w:ascii="Arial Narrow" w:hAnsi="Arial Narrow" w:cs="Arial"/>
                <w:snapToGrid w:val="0"/>
                <w:color w:val="000000"/>
              </w:rPr>
              <w:t>47.980</w:t>
            </w:r>
          </w:p>
        </w:tc>
      </w:tr>
      <w:tr w:rsidR="00497839" w:rsidRPr="007404AE" w:rsidTr="0041655A">
        <w:trPr>
          <w:trHeight w:hRule="exact" w:val="340"/>
          <w:jc w:val="center"/>
        </w:trPr>
        <w:tc>
          <w:tcPr>
            <w:tcW w:w="5080" w:type="dxa"/>
            <w:tcBorders>
              <w:top w:val="single" w:sz="2" w:space="0" w:color="auto"/>
              <w:bottom w:val="single" w:sz="2" w:space="0" w:color="auto"/>
            </w:tcBorders>
            <w:vAlign w:val="center"/>
          </w:tcPr>
          <w:p w:rsidR="00497839" w:rsidRPr="007404AE" w:rsidRDefault="00497839" w:rsidP="00BB1149">
            <w:pPr>
              <w:spacing w:before="60" w:after="60"/>
              <w:ind w:firstLine="0"/>
              <w:rPr>
                <w:rFonts w:ascii="Arial Narrow" w:hAnsi="Arial Narrow" w:cs="Arial"/>
                <w:snapToGrid w:val="0"/>
              </w:rPr>
            </w:pPr>
            <w:r>
              <w:rPr>
                <w:rFonts w:ascii="Arial Narrow" w:hAnsi="Arial Narrow" w:cs="Arial"/>
                <w:snapToGrid w:val="0"/>
              </w:rPr>
              <w:t>2.3) Gastos diversos</w:t>
            </w:r>
          </w:p>
        </w:tc>
        <w:tc>
          <w:tcPr>
            <w:tcW w:w="1867"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sidRPr="00575EB7">
              <w:rPr>
                <w:rFonts w:ascii="Arial Narrow" w:hAnsi="Arial Narrow" w:cs="Arial"/>
                <w:snapToGrid w:val="0"/>
                <w:color w:val="000000"/>
              </w:rPr>
              <w:t>2.097.919</w:t>
            </w:r>
          </w:p>
        </w:tc>
        <w:tc>
          <w:tcPr>
            <w:tcW w:w="1764"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sidRPr="00575EB7">
              <w:rPr>
                <w:rFonts w:ascii="Arial Narrow" w:hAnsi="Arial Narrow" w:cs="Arial"/>
                <w:snapToGrid w:val="0"/>
                <w:color w:val="000000"/>
              </w:rPr>
              <w:t>1.988.864</w:t>
            </w:r>
          </w:p>
        </w:tc>
      </w:tr>
      <w:tr w:rsidR="00497839" w:rsidRPr="007404AE" w:rsidTr="0041655A">
        <w:trPr>
          <w:trHeight w:hRule="exact" w:val="340"/>
          <w:jc w:val="center"/>
        </w:trPr>
        <w:tc>
          <w:tcPr>
            <w:tcW w:w="5080" w:type="dxa"/>
            <w:tcBorders>
              <w:top w:val="single" w:sz="2" w:space="0" w:color="auto"/>
              <w:bottom w:val="single" w:sz="2" w:space="0" w:color="auto"/>
            </w:tcBorders>
            <w:vAlign w:val="center"/>
          </w:tcPr>
          <w:p w:rsidR="00497839" w:rsidRPr="007404AE" w:rsidRDefault="00497839" w:rsidP="00BB1149">
            <w:pPr>
              <w:spacing w:before="60" w:after="60"/>
              <w:ind w:firstLine="0"/>
              <w:rPr>
                <w:rFonts w:ascii="Arial Narrow" w:hAnsi="Arial Narrow" w:cs="Arial"/>
                <w:snapToGrid w:val="0"/>
              </w:rPr>
            </w:pPr>
            <w:r w:rsidRPr="007404AE">
              <w:rPr>
                <w:rFonts w:ascii="Arial Narrow" w:hAnsi="Arial Narrow" w:cs="Arial"/>
                <w:snapToGrid w:val="0"/>
              </w:rPr>
              <w:t>f) Gastos financieros y asimilables</w:t>
            </w:r>
          </w:p>
        </w:tc>
        <w:tc>
          <w:tcPr>
            <w:tcW w:w="1867"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sidRPr="00575EB7">
              <w:rPr>
                <w:rFonts w:ascii="Arial Narrow" w:hAnsi="Arial Narrow" w:cs="Arial"/>
                <w:snapToGrid w:val="0"/>
                <w:color w:val="000000"/>
              </w:rPr>
              <w:t>108.086.390</w:t>
            </w:r>
          </w:p>
        </w:tc>
        <w:tc>
          <w:tcPr>
            <w:tcW w:w="1764"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sidRPr="00575EB7">
              <w:rPr>
                <w:rFonts w:ascii="Arial Narrow" w:hAnsi="Arial Narrow" w:cs="Arial"/>
                <w:snapToGrid w:val="0"/>
                <w:color w:val="000000"/>
              </w:rPr>
              <w:t>115.237.099</w:t>
            </w:r>
          </w:p>
        </w:tc>
      </w:tr>
      <w:tr w:rsidR="00497839" w:rsidRPr="007404AE" w:rsidTr="0041655A">
        <w:trPr>
          <w:trHeight w:hRule="exact" w:val="340"/>
          <w:jc w:val="center"/>
        </w:trPr>
        <w:tc>
          <w:tcPr>
            <w:tcW w:w="5080" w:type="dxa"/>
            <w:tcBorders>
              <w:top w:val="single" w:sz="2" w:space="0" w:color="auto"/>
              <w:bottom w:val="single" w:sz="2" w:space="0" w:color="auto"/>
            </w:tcBorders>
            <w:vAlign w:val="center"/>
          </w:tcPr>
          <w:p w:rsidR="00497839" w:rsidRPr="007404AE" w:rsidRDefault="00497839" w:rsidP="00BB1149">
            <w:pPr>
              <w:spacing w:before="60" w:after="60"/>
              <w:ind w:firstLine="0"/>
              <w:rPr>
                <w:rFonts w:ascii="Arial Narrow" w:hAnsi="Arial Narrow" w:cs="Arial"/>
                <w:snapToGrid w:val="0"/>
              </w:rPr>
            </w:pPr>
            <w:r w:rsidRPr="007404AE">
              <w:rPr>
                <w:rFonts w:ascii="Arial Narrow" w:hAnsi="Arial Narrow" w:cs="Arial"/>
                <w:snapToGrid w:val="0"/>
              </w:rPr>
              <w:t xml:space="preserve">f.1) Por deudas </w:t>
            </w:r>
          </w:p>
        </w:tc>
        <w:tc>
          <w:tcPr>
            <w:tcW w:w="1867"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sidRPr="00575EB7">
              <w:rPr>
                <w:rFonts w:ascii="Arial Narrow" w:hAnsi="Arial Narrow" w:cs="Arial"/>
                <w:snapToGrid w:val="0"/>
                <w:color w:val="000000"/>
              </w:rPr>
              <w:t>108.086.390</w:t>
            </w:r>
          </w:p>
        </w:tc>
        <w:tc>
          <w:tcPr>
            <w:tcW w:w="1764"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sidRPr="00575EB7">
              <w:rPr>
                <w:rFonts w:ascii="Arial Narrow" w:hAnsi="Arial Narrow" w:cs="Arial"/>
                <w:snapToGrid w:val="0"/>
                <w:color w:val="000000"/>
              </w:rPr>
              <w:t>115.162.697</w:t>
            </w:r>
          </w:p>
        </w:tc>
      </w:tr>
      <w:tr w:rsidR="00497839" w:rsidRPr="007404AE" w:rsidTr="0041655A">
        <w:trPr>
          <w:trHeight w:hRule="exact" w:val="340"/>
          <w:jc w:val="center"/>
        </w:trPr>
        <w:tc>
          <w:tcPr>
            <w:tcW w:w="5080" w:type="dxa"/>
            <w:tcBorders>
              <w:top w:val="single" w:sz="2" w:space="0" w:color="auto"/>
              <w:bottom w:val="single" w:sz="2" w:space="0" w:color="auto"/>
            </w:tcBorders>
            <w:vAlign w:val="center"/>
          </w:tcPr>
          <w:p w:rsidR="00497839" w:rsidRPr="007404AE" w:rsidRDefault="00497839" w:rsidP="00BB1149">
            <w:pPr>
              <w:spacing w:before="60" w:after="60"/>
              <w:ind w:firstLine="0"/>
              <w:rPr>
                <w:rFonts w:ascii="Arial Narrow" w:hAnsi="Arial Narrow" w:cs="Arial"/>
                <w:snapToGrid w:val="0"/>
              </w:rPr>
            </w:pPr>
            <w:r>
              <w:rPr>
                <w:rFonts w:ascii="Arial Narrow" w:hAnsi="Arial Narrow" w:cs="Arial"/>
                <w:snapToGrid w:val="0"/>
              </w:rPr>
              <w:t>f.2) Por pérdidas de inversiones financieras (CER’s)</w:t>
            </w:r>
          </w:p>
        </w:tc>
        <w:tc>
          <w:tcPr>
            <w:tcW w:w="1867"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rPr>
            </w:pPr>
            <w:r>
              <w:rPr>
                <w:rFonts w:ascii="Arial Narrow" w:hAnsi="Arial Narrow" w:cs="Arial"/>
                <w:snapToGrid w:val="0"/>
              </w:rPr>
              <w:t>0</w:t>
            </w:r>
          </w:p>
        </w:tc>
        <w:tc>
          <w:tcPr>
            <w:tcW w:w="1764"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rPr>
            </w:pPr>
            <w:r w:rsidRPr="00575EB7">
              <w:rPr>
                <w:rFonts w:ascii="Arial Narrow" w:hAnsi="Arial Narrow" w:cs="Arial"/>
                <w:snapToGrid w:val="0"/>
              </w:rPr>
              <w:t>74.402</w:t>
            </w:r>
          </w:p>
        </w:tc>
      </w:tr>
      <w:tr w:rsidR="00497839" w:rsidRPr="007404AE" w:rsidTr="00BB1149">
        <w:trPr>
          <w:trHeight w:hRule="exact" w:val="340"/>
          <w:jc w:val="center"/>
        </w:trPr>
        <w:tc>
          <w:tcPr>
            <w:tcW w:w="5080" w:type="dxa"/>
            <w:tcBorders>
              <w:top w:val="nil"/>
              <w:bottom w:val="single" w:sz="2" w:space="0" w:color="auto"/>
            </w:tcBorders>
            <w:vAlign w:val="center"/>
          </w:tcPr>
          <w:p w:rsidR="00497839" w:rsidRPr="007404AE" w:rsidRDefault="00497839" w:rsidP="00BB1149">
            <w:pPr>
              <w:spacing w:before="60" w:after="60"/>
              <w:ind w:firstLine="0"/>
              <w:rPr>
                <w:rFonts w:ascii="Arial Narrow" w:hAnsi="Arial Narrow" w:cs="Arial"/>
                <w:snapToGrid w:val="0"/>
              </w:rPr>
            </w:pPr>
            <w:r w:rsidRPr="007404AE">
              <w:rPr>
                <w:rFonts w:ascii="Arial Narrow" w:hAnsi="Arial Narrow" w:cs="Arial"/>
                <w:snapToGrid w:val="0"/>
              </w:rPr>
              <w:t xml:space="preserve">g) Variación de las provisiones de inversiones financieras </w:t>
            </w:r>
          </w:p>
        </w:tc>
        <w:tc>
          <w:tcPr>
            <w:tcW w:w="1867" w:type="dxa"/>
            <w:tcBorders>
              <w:top w:val="nil"/>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sidRPr="00575EB7">
              <w:rPr>
                <w:rFonts w:ascii="Arial Narrow" w:hAnsi="Arial Narrow" w:cs="Arial"/>
                <w:snapToGrid w:val="0"/>
                <w:color w:val="000000"/>
              </w:rPr>
              <w:t>98.339</w:t>
            </w:r>
          </w:p>
        </w:tc>
        <w:tc>
          <w:tcPr>
            <w:tcW w:w="1764" w:type="dxa"/>
            <w:tcBorders>
              <w:top w:val="nil"/>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sidRPr="00575EB7">
              <w:rPr>
                <w:rFonts w:ascii="Arial Narrow" w:hAnsi="Arial Narrow" w:cs="Arial"/>
                <w:snapToGrid w:val="0"/>
                <w:color w:val="000000"/>
              </w:rPr>
              <w:t>-70.656.720</w:t>
            </w:r>
          </w:p>
        </w:tc>
      </w:tr>
      <w:tr w:rsidR="00497839" w:rsidRPr="007404AE" w:rsidTr="0041655A">
        <w:trPr>
          <w:trHeight w:hRule="exact" w:val="340"/>
          <w:jc w:val="center"/>
        </w:trPr>
        <w:tc>
          <w:tcPr>
            <w:tcW w:w="5080" w:type="dxa"/>
            <w:tcBorders>
              <w:top w:val="single" w:sz="2" w:space="0" w:color="auto"/>
              <w:bottom w:val="single" w:sz="2" w:space="0" w:color="auto"/>
            </w:tcBorders>
            <w:vAlign w:val="center"/>
          </w:tcPr>
          <w:p w:rsidR="00497839" w:rsidRPr="007404AE" w:rsidRDefault="00497839" w:rsidP="00BB1149">
            <w:pPr>
              <w:spacing w:before="60" w:after="60"/>
              <w:ind w:firstLine="0"/>
              <w:rPr>
                <w:rFonts w:ascii="Arial Narrow" w:hAnsi="Arial Narrow" w:cs="Arial"/>
                <w:b/>
                <w:snapToGrid w:val="0"/>
              </w:rPr>
            </w:pPr>
            <w:r w:rsidRPr="007404AE">
              <w:rPr>
                <w:rFonts w:ascii="Arial Narrow" w:hAnsi="Arial Narrow" w:cs="Arial"/>
                <w:b/>
                <w:snapToGrid w:val="0"/>
              </w:rPr>
              <w:t xml:space="preserve">4. Transferencias y subvenciones </w:t>
            </w:r>
          </w:p>
        </w:tc>
        <w:tc>
          <w:tcPr>
            <w:tcW w:w="1867" w:type="dxa"/>
            <w:tcBorders>
              <w:top w:val="single" w:sz="2" w:space="0" w:color="auto"/>
              <w:bottom w:val="single" w:sz="2" w:space="0" w:color="auto"/>
            </w:tcBorders>
            <w:vAlign w:val="center"/>
          </w:tcPr>
          <w:p w:rsidR="00497839" w:rsidRPr="00027645" w:rsidRDefault="00497839" w:rsidP="00BB1149">
            <w:pPr>
              <w:spacing w:after="0"/>
              <w:jc w:val="right"/>
              <w:rPr>
                <w:rFonts w:ascii="Arial Narrow" w:hAnsi="Arial Narrow" w:cs="Arial"/>
                <w:b/>
                <w:snapToGrid w:val="0"/>
                <w:color w:val="000000"/>
              </w:rPr>
            </w:pPr>
            <w:r w:rsidRPr="00027645">
              <w:rPr>
                <w:rFonts w:ascii="Arial Narrow" w:hAnsi="Arial Narrow" w:cs="Arial"/>
                <w:b/>
                <w:snapToGrid w:val="0"/>
                <w:color w:val="000000"/>
              </w:rPr>
              <w:t>1.588.472.931</w:t>
            </w:r>
          </w:p>
        </w:tc>
        <w:tc>
          <w:tcPr>
            <w:tcW w:w="1764" w:type="dxa"/>
            <w:tcBorders>
              <w:top w:val="single" w:sz="2" w:space="0" w:color="auto"/>
              <w:bottom w:val="single" w:sz="2" w:space="0" w:color="auto"/>
            </w:tcBorders>
            <w:vAlign w:val="center"/>
          </w:tcPr>
          <w:p w:rsidR="00497839" w:rsidRPr="00027645" w:rsidRDefault="00497839" w:rsidP="00BB1149">
            <w:pPr>
              <w:spacing w:after="0"/>
              <w:jc w:val="right"/>
              <w:rPr>
                <w:rFonts w:ascii="Arial Narrow" w:hAnsi="Arial Narrow" w:cs="Arial"/>
                <w:b/>
                <w:snapToGrid w:val="0"/>
                <w:color w:val="000000"/>
              </w:rPr>
            </w:pPr>
            <w:r w:rsidRPr="00027645">
              <w:rPr>
                <w:rFonts w:ascii="Arial Narrow" w:hAnsi="Arial Narrow" w:cs="Arial"/>
                <w:b/>
                <w:snapToGrid w:val="0"/>
                <w:color w:val="000000"/>
              </w:rPr>
              <w:t>1.510.607.103</w:t>
            </w:r>
          </w:p>
        </w:tc>
      </w:tr>
      <w:tr w:rsidR="00497839" w:rsidRPr="007404AE" w:rsidTr="0041655A">
        <w:trPr>
          <w:trHeight w:hRule="exact" w:val="340"/>
          <w:jc w:val="center"/>
        </w:trPr>
        <w:tc>
          <w:tcPr>
            <w:tcW w:w="5080" w:type="dxa"/>
            <w:tcBorders>
              <w:top w:val="single" w:sz="2" w:space="0" w:color="auto"/>
              <w:bottom w:val="single" w:sz="2" w:space="0" w:color="auto"/>
            </w:tcBorders>
            <w:vAlign w:val="center"/>
          </w:tcPr>
          <w:p w:rsidR="00497839" w:rsidRPr="007404AE" w:rsidRDefault="00497839" w:rsidP="00BB1149">
            <w:pPr>
              <w:spacing w:before="60" w:after="60"/>
              <w:ind w:firstLine="0"/>
              <w:rPr>
                <w:rFonts w:ascii="Arial Narrow" w:hAnsi="Arial Narrow" w:cs="Arial"/>
                <w:snapToGrid w:val="0"/>
              </w:rPr>
            </w:pPr>
            <w:r w:rsidRPr="007404AE">
              <w:rPr>
                <w:rFonts w:ascii="Arial Narrow" w:hAnsi="Arial Narrow" w:cs="Arial"/>
                <w:snapToGrid w:val="0"/>
              </w:rPr>
              <w:t xml:space="preserve">a) Transferencias corrientes </w:t>
            </w:r>
          </w:p>
        </w:tc>
        <w:tc>
          <w:tcPr>
            <w:tcW w:w="1867"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sidRPr="00575EB7">
              <w:rPr>
                <w:rFonts w:ascii="Arial Narrow" w:hAnsi="Arial Narrow" w:cs="Arial"/>
                <w:snapToGrid w:val="0"/>
                <w:color w:val="000000"/>
              </w:rPr>
              <w:t>1.471.055.589</w:t>
            </w:r>
          </w:p>
        </w:tc>
        <w:tc>
          <w:tcPr>
            <w:tcW w:w="1764"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sidRPr="00575EB7">
              <w:rPr>
                <w:rFonts w:ascii="Arial Narrow" w:hAnsi="Arial Narrow" w:cs="Arial"/>
                <w:snapToGrid w:val="0"/>
                <w:color w:val="000000"/>
              </w:rPr>
              <w:t>1.386.823.137</w:t>
            </w:r>
          </w:p>
        </w:tc>
      </w:tr>
      <w:tr w:rsidR="00497839" w:rsidRPr="007404AE" w:rsidTr="0041655A">
        <w:trPr>
          <w:trHeight w:hRule="exact" w:val="340"/>
          <w:jc w:val="center"/>
        </w:trPr>
        <w:tc>
          <w:tcPr>
            <w:tcW w:w="5080" w:type="dxa"/>
            <w:tcBorders>
              <w:top w:val="single" w:sz="2" w:space="0" w:color="auto"/>
              <w:bottom w:val="single" w:sz="2" w:space="0" w:color="auto"/>
            </w:tcBorders>
            <w:vAlign w:val="center"/>
          </w:tcPr>
          <w:p w:rsidR="00497839" w:rsidRPr="007404AE" w:rsidRDefault="00497839" w:rsidP="00BB1149">
            <w:pPr>
              <w:spacing w:before="60" w:after="60"/>
              <w:ind w:firstLine="0"/>
              <w:rPr>
                <w:rFonts w:ascii="Arial Narrow" w:hAnsi="Arial Narrow" w:cs="Arial"/>
                <w:snapToGrid w:val="0"/>
              </w:rPr>
            </w:pPr>
            <w:r w:rsidRPr="007404AE">
              <w:rPr>
                <w:rFonts w:ascii="Arial Narrow" w:hAnsi="Arial Narrow" w:cs="Arial"/>
                <w:snapToGrid w:val="0"/>
              </w:rPr>
              <w:t xml:space="preserve">c) Transferencias de capital </w:t>
            </w:r>
          </w:p>
        </w:tc>
        <w:tc>
          <w:tcPr>
            <w:tcW w:w="1867"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sidRPr="00575EB7">
              <w:rPr>
                <w:rFonts w:ascii="Arial Narrow" w:hAnsi="Arial Narrow" w:cs="Arial"/>
                <w:snapToGrid w:val="0"/>
                <w:color w:val="000000"/>
              </w:rPr>
              <w:t>117.417.341</w:t>
            </w:r>
          </w:p>
        </w:tc>
        <w:tc>
          <w:tcPr>
            <w:tcW w:w="1764"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sidRPr="00575EB7">
              <w:rPr>
                <w:rFonts w:ascii="Arial Narrow" w:hAnsi="Arial Narrow" w:cs="Arial"/>
                <w:snapToGrid w:val="0"/>
                <w:color w:val="000000"/>
              </w:rPr>
              <w:t>123.783.966</w:t>
            </w:r>
          </w:p>
        </w:tc>
      </w:tr>
      <w:tr w:rsidR="00497839" w:rsidRPr="007404AE" w:rsidTr="0041655A">
        <w:trPr>
          <w:trHeight w:hRule="exact" w:val="340"/>
          <w:jc w:val="center"/>
        </w:trPr>
        <w:tc>
          <w:tcPr>
            <w:tcW w:w="5080" w:type="dxa"/>
            <w:tcBorders>
              <w:top w:val="single" w:sz="2" w:space="0" w:color="auto"/>
              <w:bottom w:val="single" w:sz="2" w:space="0" w:color="auto"/>
            </w:tcBorders>
            <w:vAlign w:val="center"/>
          </w:tcPr>
          <w:p w:rsidR="00497839" w:rsidRPr="007404AE" w:rsidRDefault="00497839" w:rsidP="00BB1149">
            <w:pPr>
              <w:spacing w:before="60" w:after="60"/>
              <w:ind w:firstLine="0"/>
              <w:rPr>
                <w:rFonts w:ascii="Arial Narrow" w:hAnsi="Arial Narrow" w:cs="Arial"/>
                <w:b/>
                <w:snapToGrid w:val="0"/>
              </w:rPr>
            </w:pPr>
            <w:r w:rsidRPr="007404AE">
              <w:rPr>
                <w:rFonts w:ascii="Arial Narrow" w:hAnsi="Arial Narrow" w:cs="Arial"/>
                <w:b/>
                <w:snapToGrid w:val="0"/>
              </w:rPr>
              <w:t xml:space="preserve">5. Pérdidas y gastos extraordinarios </w:t>
            </w:r>
          </w:p>
        </w:tc>
        <w:tc>
          <w:tcPr>
            <w:tcW w:w="1867" w:type="dxa"/>
            <w:tcBorders>
              <w:top w:val="single" w:sz="2" w:space="0" w:color="auto"/>
              <w:bottom w:val="single" w:sz="2" w:space="0" w:color="auto"/>
            </w:tcBorders>
            <w:vAlign w:val="center"/>
          </w:tcPr>
          <w:p w:rsidR="00497839" w:rsidRPr="00027645" w:rsidRDefault="00497839" w:rsidP="00BB1149">
            <w:pPr>
              <w:spacing w:after="0"/>
              <w:jc w:val="right"/>
              <w:rPr>
                <w:rFonts w:ascii="Arial Narrow" w:hAnsi="Arial Narrow" w:cs="Arial"/>
                <w:b/>
                <w:snapToGrid w:val="0"/>
              </w:rPr>
            </w:pPr>
            <w:r w:rsidRPr="00027645">
              <w:rPr>
                <w:rFonts w:ascii="Arial Narrow" w:hAnsi="Arial Narrow" w:cs="Arial"/>
                <w:b/>
                <w:snapToGrid w:val="0"/>
              </w:rPr>
              <w:t>103.388.926</w:t>
            </w:r>
          </w:p>
        </w:tc>
        <w:tc>
          <w:tcPr>
            <w:tcW w:w="1764" w:type="dxa"/>
            <w:tcBorders>
              <w:top w:val="single" w:sz="2" w:space="0" w:color="auto"/>
              <w:bottom w:val="single" w:sz="2" w:space="0" w:color="auto"/>
            </w:tcBorders>
            <w:vAlign w:val="center"/>
          </w:tcPr>
          <w:p w:rsidR="00497839" w:rsidRPr="00027645" w:rsidRDefault="00497839" w:rsidP="00BB1149">
            <w:pPr>
              <w:spacing w:after="0"/>
              <w:jc w:val="right"/>
              <w:rPr>
                <w:rFonts w:ascii="Arial Narrow" w:hAnsi="Arial Narrow" w:cs="Arial"/>
                <w:b/>
                <w:snapToGrid w:val="0"/>
              </w:rPr>
            </w:pPr>
            <w:r w:rsidRPr="00027645">
              <w:rPr>
                <w:rFonts w:ascii="Arial Narrow" w:hAnsi="Arial Narrow" w:cs="Arial"/>
                <w:b/>
                <w:snapToGrid w:val="0"/>
              </w:rPr>
              <w:t>72.785.293</w:t>
            </w:r>
          </w:p>
        </w:tc>
      </w:tr>
      <w:tr w:rsidR="00497839" w:rsidRPr="007404AE" w:rsidTr="0041655A">
        <w:trPr>
          <w:trHeight w:hRule="exact" w:val="340"/>
          <w:jc w:val="center"/>
        </w:trPr>
        <w:tc>
          <w:tcPr>
            <w:tcW w:w="5080" w:type="dxa"/>
            <w:tcBorders>
              <w:top w:val="single" w:sz="2" w:space="0" w:color="auto"/>
              <w:bottom w:val="single" w:sz="2" w:space="0" w:color="auto"/>
            </w:tcBorders>
            <w:vAlign w:val="center"/>
          </w:tcPr>
          <w:p w:rsidR="00497839" w:rsidRPr="007404AE" w:rsidRDefault="00497839" w:rsidP="00BB1149">
            <w:pPr>
              <w:spacing w:before="60" w:after="60"/>
              <w:ind w:firstLine="0"/>
              <w:rPr>
                <w:rFonts w:ascii="Arial Narrow" w:hAnsi="Arial Narrow" w:cs="Arial"/>
                <w:snapToGrid w:val="0"/>
              </w:rPr>
            </w:pPr>
            <w:r w:rsidRPr="007404AE">
              <w:rPr>
                <w:rFonts w:ascii="Arial Narrow" w:hAnsi="Arial Narrow" w:cs="Arial"/>
                <w:snapToGrid w:val="0"/>
              </w:rPr>
              <w:t>a) Pérdidas procedentes del inmovilizado</w:t>
            </w:r>
          </w:p>
        </w:tc>
        <w:tc>
          <w:tcPr>
            <w:tcW w:w="1867"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rPr>
            </w:pPr>
            <w:r w:rsidRPr="00575EB7">
              <w:rPr>
                <w:rFonts w:ascii="Arial Narrow" w:hAnsi="Arial Narrow" w:cs="Arial"/>
                <w:snapToGrid w:val="0"/>
              </w:rPr>
              <w:t>0</w:t>
            </w:r>
          </w:p>
        </w:tc>
        <w:tc>
          <w:tcPr>
            <w:tcW w:w="1764"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rPr>
            </w:pPr>
            <w:r w:rsidRPr="00575EB7">
              <w:rPr>
                <w:rFonts w:ascii="Arial Narrow" w:hAnsi="Arial Narrow" w:cs="Arial"/>
                <w:snapToGrid w:val="0"/>
              </w:rPr>
              <w:t>57.243</w:t>
            </w:r>
          </w:p>
        </w:tc>
      </w:tr>
      <w:tr w:rsidR="00497839" w:rsidRPr="007404AE" w:rsidTr="0041655A">
        <w:trPr>
          <w:trHeight w:hRule="exact" w:val="340"/>
          <w:jc w:val="center"/>
        </w:trPr>
        <w:tc>
          <w:tcPr>
            <w:tcW w:w="5080" w:type="dxa"/>
            <w:tcBorders>
              <w:top w:val="single" w:sz="2" w:space="0" w:color="auto"/>
              <w:bottom w:val="single" w:sz="2" w:space="0" w:color="auto"/>
            </w:tcBorders>
            <w:vAlign w:val="center"/>
          </w:tcPr>
          <w:p w:rsidR="00497839" w:rsidRPr="007404AE" w:rsidRDefault="00497839" w:rsidP="00BB1149">
            <w:pPr>
              <w:spacing w:before="60" w:after="60"/>
              <w:ind w:firstLine="0"/>
              <w:rPr>
                <w:rFonts w:ascii="Arial Narrow" w:hAnsi="Arial Narrow" w:cs="Arial"/>
                <w:snapToGrid w:val="0"/>
              </w:rPr>
            </w:pPr>
            <w:r w:rsidRPr="007404AE">
              <w:rPr>
                <w:rFonts w:ascii="Arial Narrow" w:hAnsi="Arial Narrow" w:cs="Arial"/>
                <w:snapToGrid w:val="0"/>
              </w:rPr>
              <w:t xml:space="preserve">c) Gastos extraordinarios </w:t>
            </w:r>
          </w:p>
        </w:tc>
        <w:tc>
          <w:tcPr>
            <w:tcW w:w="1867"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rPr>
            </w:pPr>
            <w:r w:rsidRPr="00575EB7">
              <w:rPr>
                <w:rFonts w:ascii="Arial Narrow" w:hAnsi="Arial Narrow" w:cs="Arial"/>
                <w:snapToGrid w:val="0"/>
              </w:rPr>
              <w:t>50.241.371</w:t>
            </w:r>
          </w:p>
        </w:tc>
        <w:tc>
          <w:tcPr>
            <w:tcW w:w="1764"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rPr>
            </w:pPr>
            <w:r w:rsidRPr="00575EB7">
              <w:rPr>
                <w:rFonts w:ascii="Arial Narrow" w:hAnsi="Arial Narrow" w:cs="Arial"/>
                <w:snapToGrid w:val="0"/>
              </w:rPr>
              <w:t>48.884.129</w:t>
            </w:r>
          </w:p>
        </w:tc>
      </w:tr>
      <w:tr w:rsidR="00497839" w:rsidRPr="007404AE" w:rsidTr="0041655A">
        <w:trPr>
          <w:trHeight w:hRule="exact" w:val="340"/>
          <w:jc w:val="center"/>
        </w:trPr>
        <w:tc>
          <w:tcPr>
            <w:tcW w:w="5080" w:type="dxa"/>
            <w:tcBorders>
              <w:top w:val="single" w:sz="2" w:space="0" w:color="auto"/>
              <w:bottom w:val="single" w:sz="2" w:space="0" w:color="auto"/>
            </w:tcBorders>
            <w:vAlign w:val="center"/>
          </w:tcPr>
          <w:p w:rsidR="00497839" w:rsidRPr="007404AE" w:rsidRDefault="00497839" w:rsidP="00BB1149">
            <w:pPr>
              <w:spacing w:before="60" w:after="60"/>
              <w:ind w:firstLine="0"/>
              <w:rPr>
                <w:rFonts w:ascii="Arial Narrow" w:hAnsi="Arial Narrow" w:cs="Arial"/>
                <w:snapToGrid w:val="0"/>
              </w:rPr>
            </w:pPr>
            <w:r w:rsidRPr="007404AE">
              <w:rPr>
                <w:rFonts w:ascii="Arial Narrow" w:hAnsi="Arial Narrow" w:cs="Arial"/>
                <w:snapToGrid w:val="0"/>
              </w:rPr>
              <w:t>d) Gastos y pérdidas de otros ejercicios</w:t>
            </w:r>
          </w:p>
        </w:tc>
        <w:tc>
          <w:tcPr>
            <w:tcW w:w="1867"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rPr>
            </w:pPr>
            <w:r w:rsidRPr="00575EB7">
              <w:rPr>
                <w:rFonts w:ascii="Arial Narrow" w:hAnsi="Arial Narrow" w:cs="Arial"/>
                <w:snapToGrid w:val="0"/>
              </w:rPr>
              <w:t>53.147.555</w:t>
            </w:r>
          </w:p>
        </w:tc>
        <w:tc>
          <w:tcPr>
            <w:tcW w:w="1764"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rPr>
            </w:pPr>
            <w:r w:rsidRPr="00575EB7">
              <w:rPr>
                <w:rFonts w:ascii="Arial Narrow" w:hAnsi="Arial Narrow" w:cs="Arial"/>
                <w:snapToGrid w:val="0"/>
              </w:rPr>
              <w:t>23.843.921</w:t>
            </w:r>
          </w:p>
        </w:tc>
      </w:tr>
      <w:tr w:rsidR="00497839" w:rsidRPr="007404AE" w:rsidTr="00BB1149">
        <w:trPr>
          <w:trHeight w:hRule="exact" w:val="340"/>
          <w:jc w:val="center"/>
        </w:trPr>
        <w:tc>
          <w:tcPr>
            <w:tcW w:w="5080" w:type="dxa"/>
            <w:tcBorders>
              <w:top w:val="single" w:sz="2" w:space="0" w:color="auto"/>
              <w:bottom w:val="single" w:sz="4" w:space="0" w:color="auto"/>
            </w:tcBorders>
            <w:vAlign w:val="center"/>
          </w:tcPr>
          <w:p w:rsidR="00497839" w:rsidRPr="007404AE" w:rsidRDefault="00497839" w:rsidP="00BB1149">
            <w:pPr>
              <w:spacing w:before="60" w:after="60"/>
              <w:ind w:firstLine="0"/>
              <w:rPr>
                <w:rFonts w:ascii="Arial Narrow" w:hAnsi="Arial Narrow" w:cs="Arial"/>
                <w:snapToGrid w:val="0"/>
              </w:rPr>
            </w:pPr>
            <w:r w:rsidRPr="007404AE">
              <w:rPr>
                <w:rFonts w:ascii="Arial Narrow" w:hAnsi="Arial Narrow" w:cs="Arial"/>
                <w:snapToGrid w:val="0"/>
              </w:rPr>
              <w:t>Saldo Acreedor (Ahorro)</w:t>
            </w:r>
          </w:p>
        </w:tc>
        <w:tc>
          <w:tcPr>
            <w:tcW w:w="1867" w:type="dxa"/>
            <w:tcBorders>
              <w:top w:val="single" w:sz="2" w:space="0" w:color="auto"/>
              <w:bottom w:val="single" w:sz="4" w:space="0" w:color="auto"/>
            </w:tcBorders>
            <w:vAlign w:val="center"/>
          </w:tcPr>
          <w:p w:rsidR="00497839" w:rsidRPr="00027645" w:rsidRDefault="00497839" w:rsidP="00BB1149">
            <w:pPr>
              <w:spacing w:after="0"/>
              <w:ind w:firstLine="0"/>
              <w:jc w:val="right"/>
              <w:rPr>
                <w:rFonts w:ascii="Arial Narrow" w:hAnsi="Arial Narrow" w:cs="Arial"/>
                <w:snapToGrid w:val="0"/>
                <w:lang w:val="es-ES"/>
              </w:rPr>
            </w:pPr>
          </w:p>
        </w:tc>
        <w:tc>
          <w:tcPr>
            <w:tcW w:w="1764" w:type="dxa"/>
            <w:tcBorders>
              <w:top w:val="single" w:sz="2" w:space="0" w:color="auto"/>
              <w:bottom w:val="single" w:sz="4" w:space="0" w:color="auto"/>
            </w:tcBorders>
            <w:vAlign w:val="center"/>
          </w:tcPr>
          <w:p w:rsidR="00497839" w:rsidRPr="00027645" w:rsidRDefault="00497839" w:rsidP="00BB1149">
            <w:pPr>
              <w:spacing w:after="0"/>
              <w:ind w:firstLine="0"/>
              <w:jc w:val="right"/>
              <w:rPr>
                <w:rFonts w:ascii="Arial Narrow" w:hAnsi="Arial Narrow" w:cs="Arial"/>
                <w:snapToGrid w:val="0"/>
                <w:lang w:val="es-ES"/>
              </w:rPr>
            </w:pPr>
          </w:p>
        </w:tc>
      </w:tr>
      <w:tr w:rsidR="00497839" w:rsidRPr="003A0A1B" w:rsidTr="0041655A">
        <w:trPr>
          <w:trHeight w:hRule="exact" w:val="340"/>
          <w:jc w:val="center"/>
        </w:trPr>
        <w:tc>
          <w:tcPr>
            <w:tcW w:w="5080" w:type="dxa"/>
            <w:tcBorders>
              <w:top w:val="single" w:sz="4" w:space="0" w:color="auto"/>
              <w:bottom w:val="single" w:sz="4" w:space="0" w:color="auto"/>
            </w:tcBorders>
            <w:shd w:val="clear" w:color="auto" w:fill="A8CBEE" w:themeFill="accent2" w:themeFillTint="66"/>
            <w:vAlign w:val="center"/>
          </w:tcPr>
          <w:p w:rsidR="00497839" w:rsidRPr="003A0A1B" w:rsidRDefault="00497839" w:rsidP="00BB1149">
            <w:pPr>
              <w:pStyle w:val="cuadroCabe"/>
              <w:rPr>
                <w:snapToGrid w:val="0"/>
              </w:rPr>
            </w:pPr>
            <w:r w:rsidRPr="003A0A1B">
              <w:rPr>
                <w:snapToGrid w:val="0"/>
              </w:rPr>
              <w:t>T</w:t>
            </w:r>
            <w:r>
              <w:rPr>
                <w:snapToGrid w:val="0"/>
              </w:rPr>
              <w:t>otal Debe</w:t>
            </w:r>
          </w:p>
        </w:tc>
        <w:tc>
          <w:tcPr>
            <w:tcW w:w="1867" w:type="dxa"/>
            <w:tcBorders>
              <w:top w:val="single" w:sz="4" w:space="0" w:color="auto"/>
              <w:bottom w:val="single" w:sz="4" w:space="0" w:color="auto"/>
            </w:tcBorders>
            <w:shd w:val="clear" w:color="auto" w:fill="A8CBEE" w:themeFill="accent2" w:themeFillTint="66"/>
            <w:vAlign w:val="center"/>
          </w:tcPr>
          <w:p w:rsidR="00497839" w:rsidRPr="00027645" w:rsidRDefault="00497839" w:rsidP="00BB1149">
            <w:pPr>
              <w:pStyle w:val="cuadroCabe"/>
              <w:jc w:val="right"/>
              <w:rPr>
                <w:rFonts w:cs="Arial"/>
                <w:snapToGrid w:val="0"/>
                <w:szCs w:val="18"/>
                <w:lang w:val="es-ES"/>
              </w:rPr>
            </w:pPr>
            <w:r w:rsidRPr="00027645">
              <w:rPr>
                <w:rFonts w:cs="Arial"/>
                <w:snapToGrid w:val="0"/>
                <w:szCs w:val="18"/>
                <w:lang w:val="es-ES"/>
              </w:rPr>
              <w:t>3.467.045.873</w:t>
            </w:r>
          </w:p>
        </w:tc>
        <w:tc>
          <w:tcPr>
            <w:tcW w:w="1764" w:type="dxa"/>
            <w:tcBorders>
              <w:top w:val="single" w:sz="4" w:space="0" w:color="auto"/>
              <w:bottom w:val="single" w:sz="4" w:space="0" w:color="auto"/>
            </w:tcBorders>
            <w:shd w:val="clear" w:color="auto" w:fill="A8CBEE" w:themeFill="accent2" w:themeFillTint="66"/>
            <w:vAlign w:val="center"/>
          </w:tcPr>
          <w:p w:rsidR="00497839" w:rsidRPr="00027645" w:rsidRDefault="00497839" w:rsidP="00BB1149">
            <w:pPr>
              <w:pStyle w:val="cuadroCabe"/>
              <w:jc w:val="right"/>
              <w:rPr>
                <w:rFonts w:cs="Arial"/>
                <w:snapToGrid w:val="0"/>
                <w:szCs w:val="18"/>
                <w:lang w:val="es-ES"/>
              </w:rPr>
            </w:pPr>
            <w:r w:rsidRPr="00027645">
              <w:rPr>
                <w:rFonts w:cs="Arial"/>
                <w:snapToGrid w:val="0"/>
                <w:szCs w:val="18"/>
                <w:lang w:val="es-ES"/>
              </w:rPr>
              <w:t>3.311.808.046</w:t>
            </w:r>
          </w:p>
        </w:tc>
      </w:tr>
    </w:tbl>
    <w:p w:rsidR="00497839" w:rsidRDefault="00497839" w:rsidP="00497839">
      <w:pPr>
        <w:pStyle w:val="texto"/>
        <w:spacing w:before="120" w:after="0"/>
        <w:rPr>
          <w:rFonts w:ascii="Arial Narrow" w:hAnsi="Arial Narrow"/>
          <w:sz w:val="18"/>
          <w:szCs w:val="18"/>
        </w:rPr>
      </w:pPr>
    </w:p>
    <w:p w:rsidR="00497839" w:rsidRDefault="00497839" w:rsidP="00497839">
      <w:pPr>
        <w:pStyle w:val="texto"/>
        <w:spacing w:before="120" w:after="0"/>
        <w:rPr>
          <w:rFonts w:ascii="Arial Narrow" w:hAnsi="Arial Narrow"/>
          <w:sz w:val="18"/>
          <w:szCs w:val="18"/>
        </w:rPr>
      </w:pPr>
    </w:p>
    <w:p w:rsidR="00497839" w:rsidRDefault="00497839" w:rsidP="00497839">
      <w:pPr>
        <w:pStyle w:val="texto"/>
        <w:spacing w:before="120" w:after="0"/>
        <w:rPr>
          <w:rFonts w:ascii="Arial Narrow" w:hAnsi="Arial Narrow"/>
          <w:sz w:val="18"/>
          <w:szCs w:val="18"/>
        </w:rPr>
      </w:pPr>
    </w:p>
    <w:p w:rsidR="00497839" w:rsidRDefault="00497839" w:rsidP="00497839">
      <w:pPr>
        <w:pStyle w:val="texto"/>
        <w:spacing w:before="120" w:after="0"/>
        <w:rPr>
          <w:rFonts w:ascii="Arial Narrow" w:hAnsi="Arial Narrow"/>
          <w:sz w:val="18"/>
          <w:szCs w:val="18"/>
        </w:rPr>
      </w:pPr>
    </w:p>
    <w:p w:rsidR="00174F99" w:rsidRDefault="00174F99" w:rsidP="00497839">
      <w:pPr>
        <w:pStyle w:val="texto"/>
        <w:spacing w:before="120" w:after="0"/>
        <w:rPr>
          <w:rFonts w:ascii="Arial Narrow" w:hAnsi="Arial Narrow"/>
          <w:sz w:val="18"/>
          <w:szCs w:val="18"/>
        </w:rPr>
      </w:pPr>
    </w:p>
    <w:p w:rsidR="00174F99" w:rsidRDefault="00174F99" w:rsidP="00497839">
      <w:pPr>
        <w:pStyle w:val="texto"/>
        <w:spacing w:before="120" w:after="0"/>
        <w:rPr>
          <w:rFonts w:ascii="Arial Narrow" w:hAnsi="Arial Narrow"/>
          <w:sz w:val="18"/>
          <w:szCs w:val="18"/>
        </w:rPr>
      </w:pPr>
    </w:p>
    <w:p w:rsidR="00497839" w:rsidRDefault="00497839" w:rsidP="00497839">
      <w:pPr>
        <w:pStyle w:val="texto"/>
        <w:spacing w:before="120" w:after="0"/>
        <w:rPr>
          <w:rFonts w:ascii="Arial Narrow" w:hAnsi="Arial Narrow"/>
          <w:sz w:val="18"/>
          <w:szCs w:val="18"/>
        </w:rPr>
      </w:pPr>
    </w:p>
    <w:p w:rsidR="00174F99" w:rsidRDefault="00174F99">
      <w:pPr>
        <w:spacing w:after="0"/>
        <w:ind w:firstLine="0"/>
        <w:jc w:val="left"/>
        <w:rPr>
          <w:rFonts w:ascii="GillSans Light" w:hAnsi="GillSans Light"/>
          <w:spacing w:val="6"/>
          <w:sz w:val="18"/>
          <w:szCs w:val="18"/>
        </w:rPr>
      </w:pPr>
      <w:r>
        <w:rPr>
          <w:rFonts w:ascii="GillSans Light" w:hAnsi="GillSans Light"/>
          <w:sz w:val="18"/>
          <w:szCs w:val="18"/>
        </w:rPr>
        <w:br w:type="page"/>
      </w:r>
    </w:p>
    <w:p w:rsidR="00174F99" w:rsidRPr="003A0A1B" w:rsidRDefault="00174F99" w:rsidP="00174F99">
      <w:pPr>
        <w:pStyle w:val="texto"/>
        <w:spacing w:after="40"/>
        <w:jc w:val="right"/>
        <w:rPr>
          <w:rFonts w:ascii="GillSans Light" w:hAnsi="GillSans Light"/>
          <w:sz w:val="18"/>
          <w:szCs w:val="18"/>
        </w:rPr>
      </w:pPr>
      <w:r>
        <w:rPr>
          <w:rFonts w:ascii="GillSans Light" w:hAnsi="GillSans Light"/>
          <w:sz w:val="18"/>
          <w:szCs w:val="18"/>
        </w:rPr>
        <w:lastRenderedPageBreak/>
        <w:t>(</w:t>
      </w:r>
      <w:r w:rsidR="007E1C86">
        <w:rPr>
          <w:rFonts w:ascii="GillSans Light" w:hAnsi="GillSans Light"/>
          <w:sz w:val="18"/>
          <w:szCs w:val="18"/>
        </w:rPr>
        <w:t>E</w:t>
      </w:r>
      <w:r>
        <w:rPr>
          <w:rFonts w:ascii="GillSans Light" w:hAnsi="GillSans Light"/>
          <w:sz w:val="18"/>
          <w:szCs w:val="18"/>
        </w:rPr>
        <w:t>n euros)</w:t>
      </w:r>
    </w:p>
    <w:tbl>
      <w:tblPr>
        <w:tblW w:w="8852"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4818"/>
        <w:gridCol w:w="1957"/>
        <w:gridCol w:w="2077"/>
      </w:tblGrid>
      <w:tr w:rsidR="00497839" w:rsidRPr="00B15C89" w:rsidTr="0041655A">
        <w:trPr>
          <w:trHeight w:val="454"/>
          <w:jc w:val="center"/>
        </w:trPr>
        <w:tc>
          <w:tcPr>
            <w:tcW w:w="4818" w:type="dxa"/>
            <w:tcBorders>
              <w:top w:val="single" w:sz="4" w:space="0" w:color="auto"/>
              <w:bottom w:val="single" w:sz="2" w:space="0" w:color="auto"/>
            </w:tcBorders>
            <w:shd w:val="clear" w:color="auto" w:fill="A8CBEE" w:themeFill="accent2" w:themeFillTint="66"/>
            <w:vAlign w:val="center"/>
          </w:tcPr>
          <w:p w:rsidR="00497839" w:rsidRPr="00B15C89" w:rsidRDefault="00497839" w:rsidP="00BB1149">
            <w:pPr>
              <w:pStyle w:val="cuadroCabe"/>
              <w:rPr>
                <w:snapToGrid w:val="0"/>
              </w:rPr>
            </w:pPr>
            <w:r>
              <w:br w:type="page"/>
            </w:r>
            <w:r w:rsidRPr="00B15C89">
              <w:rPr>
                <w:snapToGrid w:val="0"/>
              </w:rPr>
              <w:t>Haber</w:t>
            </w:r>
          </w:p>
        </w:tc>
        <w:tc>
          <w:tcPr>
            <w:tcW w:w="1957" w:type="dxa"/>
            <w:tcBorders>
              <w:top w:val="single" w:sz="4" w:space="0" w:color="auto"/>
              <w:bottom w:val="single" w:sz="2" w:space="0" w:color="auto"/>
            </w:tcBorders>
            <w:shd w:val="clear" w:color="auto" w:fill="A8CBEE" w:themeFill="accent2" w:themeFillTint="66"/>
            <w:vAlign w:val="center"/>
          </w:tcPr>
          <w:p w:rsidR="00497839" w:rsidRPr="00B15C89" w:rsidRDefault="00497839" w:rsidP="00BB1149">
            <w:pPr>
              <w:pStyle w:val="cuadroCabe"/>
              <w:jc w:val="right"/>
              <w:rPr>
                <w:snapToGrid w:val="0"/>
              </w:rPr>
            </w:pPr>
            <w:r w:rsidRPr="00B15C89">
              <w:rPr>
                <w:snapToGrid w:val="0"/>
              </w:rPr>
              <w:t>Ejercicio 201</w:t>
            </w:r>
            <w:r>
              <w:rPr>
                <w:snapToGrid w:val="0"/>
              </w:rPr>
              <w:t>5</w:t>
            </w:r>
          </w:p>
        </w:tc>
        <w:tc>
          <w:tcPr>
            <w:tcW w:w="2077" w:type="dxa"/>
            <w:tcBorders>
              <w:top w:val="single" w:sz="4" w:space="0" w:color="auto"/>
              <w:bottom w:val="single" w:sz="2" w:space="0" w:color="auto"/>
            </w:tcBorders>
            <w:shd w:val="clear" w:color="auto" w:fill="A8CBEE" w:themeFill="accent2" w:themeFillTint="66"/>
            <w:vAlign w:val="center"/>
          </w:tcPr>
          <w:p w:rsidR="00497839" w:rsidRPr="00B15C89" w:rsidRDefault="00497839" w:rsidP="00BB1149">
            <w:pPr>
              <w:pStyle w:val="cuadroCabe"/>
              <w:jc w:val="right"/>
              <w:rPr>
                <w:snapToGrid w:val="0"/>
              </w:rPr>
            </w:pPr>
            <w:r w:rsidRPr="00B15C89">
              <w:rPr>
                <w:snapToGrid w:val="0"/>
              </w:rPr>
              <w:t>Ejercicio 201</w:t>
            </w:r>
            <w:r>
              <w:rPr>
                <w:snapToGrid w:val="0"/>
              </w:rPr>
              <w:t>4</w:t>
            </w:r>
          </w:p>
        </w:tc>
      </w:tr>
      <w:tr w:rsidR="00497839" w:rsidRPr="00B15C89" w:rsidTr="00BB1149">
        <w:trPr>
          <w:jc w:val="center"/>
        </w:trPr>
        <w:tc>
          <w:tcPr>
            <w:tcW w:w="4818" w:type="dxa"/>
            <w:tcBorders>
              <w:top w:val="single" w:sz="2" w:space="0" w:color="auto"/>
              <w:bottom w:val="single" w:sz="2" w:space="0" w:color="auto"/>
            </w:tcBorders>
            <w:vAlign w:val="center"/>
          </w:tcPr>
          <w:p w:rsidR="00497839" w:rsidRPr="00B15C89" w:rsidRDefault="00497839" w:rsidP="00BB1149">
            <w:pPr>
              <w:pStyle w:val="Tabla"/>
              <w:spacing w:before="60" w:after="60"/>
              <w:rPr>
                <w:rFonts w:ascii="Arial Narrow" w:hAnsi="Arial Narrow" w:cs="Arial"/>
                <w:snapToGrid w:val="0"/>
                <w:sz w:val="20"/>
              </w:rPr>
            </w:pPr>
            <w:r w:rsidRPr="00B15C89">
              <w:rPr>
                <w:rFonts w:ascii="Arial Narrow" w:hAnsi="Arial Narrow" w:cs="Arial"/>
                <w:snapToGrid w:val="0"/>
                <w:sz w:val="20"/>
              </w:rPr>
              <w:t>B) Ingresos</w:t>
            </w:r>
          </w:p>
        </w:tc>
        <w:tc>
          <w:tcPr>
            <w:tcW w:w="1957" w:type="dxa"/>
            <w:tcBorders>
              <w:top w:val="single" w:sz="2" w:space="0" w:color="auto"/>
              <w:bottom w:val="single" w:sz="2" w:space="0" w:color="auto"/>
            </w:tcBorders>
          </w:tcPr>
          <w:p w:rsidR="00497839" w:rsidRPr="00B15C89" w:rsidRDefault="00497839" w:rsidP="00BB1149">
            <w:pPr>
              <w:pStyle w:val="Tabla"/>
              <w:spacing w:before="60" w:after="60"/>
              <w:jc w:val="right"/>
              <w:rPr>
                <w:rFonts w:ascii="Arial Narrow" w:hAnsi="Arial Narrow" w:cs="Arial"/>
                <w:snapToGrid w:val="0"/>
                <w:sz w:val="20"/>
              </w:rPr>
            </w:pPr>
          </w:p>
        </w:tc>
        <w:tc>
          <w:tcPr>
            <w:tcW w:w="2077" w:type="dxa"/>
            <w:tcBorders>
              <w:top w:val="single" w:sz="2" w:space="0" w:color="auto"/>
              <w:bottom w:val="single" w:sz="2" w:space="0" w:color="auto"/>
            </w:tcBorders>
          </w:tcPr>
          <w:p w:rsidR="00497839" w:rsidRPr="00B15C89" w:rsidRDefault="00497839" w:rsidP="00BB1149">
            <w:pPr>
              <w:pStyle w:val="Tabla"/>
              <w:spacing w:before="60" w:after="60"/>
              <w:jc w:val="right"/>
              <w:rPr>
                <w:rFonts w:ascii="Arial Narrow" w:hAnsi="Arial Narrow" w:cs="Arial"/>
                <w:snapToGrid w:val="0"/>
                <w:sz w:val="20"/>
              </w:rPr>
            </w:pPr>
          </w:p>
        </w:tc>
      </w:tr>
      <w:tr w:rsidR="00497839" w:rsidRPr="00B15C89" w:rsidTr="0041655A">
        <w:trPr>
          <w:jc w:val="center"/>
        </w:trPr>
        <w:tc>
          <w:tcPr>
            <w:tcW w:w="4818" w:type="dxa"/>
            <w:tcBorders>
              <w:top w:val="single" w:sz="2" w:space="0" w:color="auto"/>
              <w:bottom w:val="single" w:sz="2" w:space="0" w:color="auto"/>
            </w:tcBorders>
            <w:vAlign w:val="center"/>
          </w:tcPr>
          <w:p w:rsidR="00497839" w:rsidRPr="00B15C89" w:rsidRDefault="00497839" w:rsidP="00BB1149">
            <w:pPr>
              <w:pStyle w:val="Tabla"/>
              <w:spacing w:before="60" w:after="60"/>
              <w:rPr>
                <w:rFonts w:ascii="Arial Narrow" w:hAnsi="Arial Narrow" w:cs="Arial"/>
                <w:b/>
                <w:snapToGrid w:val="0"/>
                <w:sz w:val="20"/>
              </w:rPr>
            </w:pPr>
            <w:r w:rsidRPr="00B15C89">
              <w:rPr>
                <w:rFonts w:ascii="Arial Narrow" w:hAnsi="Arial Narrow" w:cs="Arial"/>
                <w:b/>
                <w:snapToGrid w:val="0"/>
                <w:sz w:val="20"/>
              </w:rPr>
              <w:t>1. Ingresos de gestión ordinaria</w:t>
            </w:r>
          </w:p>
        </w:tc>
        <w:tc>
          <w:tcPr>
            <w:tcW w:w="1957" w:type="dxa"/>
            <w:tcBorders>
              <w:top w:val="single" w:sz="2" w:space="0" w:color="auto"/>
              <w:bottom w:val="single" w:sz="2" w:space="0" w:color="auto"/>
            </w:tcBorders>
            <w:vAlign w:val="center"/>
          </w:tcPr>
          <w:p w:rsidR="00497839" w:rsidRPr="00515CF9" w:rsidRDefault="00497839" w:rsidP="00BB1149">
            <w:pPr>
              <w:spacing w:after="0"/>
              <w:jc w:val="right"/>
              <w:rPr>
                <w:rFonts w:ascii="Arial Narrow" w:hAnsi="Arial Narrow" w:cs="Arial"/>
                <w:b/>
                <w:snapToGrid w:val="0"/>
                <w:color w:val="000000"/>
              </w:rPr>
            </w:pPr>
            <w:r w:rsidRPr="00515CF9">
              <w:rPr>
                <w:rFonts w:ascii="Arial Narrow" w:hAnsi="Arial Narrow" w:cs="Arial"/>
                <w:b/>
                <w:snapToGrid w:val="0"/>
                <w:color w:val="000000"/>
              </w:rPr>
              <w:t>3.138.435.748</w:t>
            </w:r>
          </w:p>
        </w:tc>
        <w:tc>
          <w:tcPr>
            <w:tcW w:w="2077" w:type="dxa"/>
            <w:tcBorders>
              <w:top w:val="single" w:sz="2" w:space="0" w:color="auto"/>
              <w:bottom w:val="single" w:sz="2" w:space="0" w:color="auto"/>
            </w:tcBorders>
            <w:vAlign w:val="center"/>
          </w:tcPr>
          <w:p w:rsidR="00497839" w:rsidRPr="00515CF9" w:rsidRDefault="00497839" w:rsidP="00BB1149">
            <w:pPr>
              <w:spacing w:after="0"/>
              <w:jc w:val="right"/>
              <w:rPr>
                <w:rFonts w:ascii="Arial Narrow" w:hAnsi="Arial Narrow" w:cs="Arial"/>
                <w:b/>
                <w:snapToGrid w:val="0"/>
                <w:color w:val="000000"/>
              </w:rPr>
            </w:pPr>
            <w:r w:rsidRPr="00515CF9">
              <w:rPr>
                <w:rFonts w:ascii="Arial Narrow" w:hAnsi="Arial Narrow" w:cs="Arial"/>
                <w:b/>
                <w:snapToGrid w:val="0"/>
                <w:color w:val="000000"/>
              </w:rPr>
              <w:t>3.044.641.229</w:t>
            </w:r>
          </w:p>
        </w:tc>
      </w:tr>
      <w:tr w:rsidR="00497839" w:rsidRPr="00B15C89" w:rsidTr="0041655A">
        <w:trPr>
          <w:jc w:val="center"/>
        </w:trPr>
        <w:tc>
          <w:tcPr>
            <w:tcW w:w="4818" w:type="dxa"/>
            <w:tcBorders>
              <w:top w:val="single" w:sz="2" w:space="0" w:color="auto"/>
              <w:bottom w:val="single" w:sz="2" w:space="0" w:color="auto"/>
            </w:tcBorders>
            <w:vAlign w:val="center"/>
          </w:tcPr>
          <w:p w:rsidR="00497839" w:rsidRPr="00F37D64" w:rsidRDefault="00497839" w:rsidP="00BB1149">
            <w:pPr>
              <w:pStyle w:val="Tabla"/>
              <w:spacing w:before="60" w:after="60"/>
              <w:rPr>
                <w:rFonts w:ascii="Arial Narrow" w:hAnsi="Arial Narrow" w:cs="Arial"/>
                <w:snapToGrid w:val="0"/>
                <w:sz w:val="20"/>
              </w:rPr>
            </w:pPr>
            <w:r w:rsidRPr="00F37D64">
              <w:rPr>
                <w:rFonts w:ascii="Arial Narrow" w:hAnsi="Arial Narrow" w:cs="Arial"/>
                <w:snapToGrid w:val="0"/>
                <w:sz w:val="20"/>
              </w:rPr>
              <w:t xml:space="preserve">a) Ingresos tributarios </w:t>
            </w:r>
          </w:p>
        </w:tc>
        <w:tc>
          <w:tcPr>
            <w:tcW w:w="1957" w:type="dxa"/>
            <w:tcBorders>
              <w:top w:val="single" w:sz="2" w:space="0" w:color="auto"/>
              <w:bottom w:val="single" w:sz="2" w:space="0" w:color="auto"/>
            </w:tcBorders>
            <w:vAlign w:val="center"/>
          </w:tcPr>
          <w:p w:rsidR="00497839" w:rsidRPr="00F37D64" w:rsidRDefault="00497839" w:rsidP="00BB1149">
            <w:pPr>
              <w:spacing w:after="0"/>
              <w:jc w:val="right"/>
              <w:rPr>
                <w:rFonts w:ascii="Arial Narrow" w:hAnsi="Arial Narrow" w:cs="Arial"/>
                <w:snapToGrid w:val="0"/>
              </w:rPr>
            </w:pPr>
            <w:r w:rsidRPr="00F37D64">
              <w:rPr>
                <w:rFonts w:ascii="Arial Narrow" w:hAnsi="Arial Narrow" w:cs="Arial"/>
                <w:snapToGrid w:val="0"/>
              </w:rPr>
              <w:t>3.121.188.269</w:t>
            </w:r>
          </w:p>
        </w:tc>
        <w:tc>
          <w:tcPr>
            <w:tcW w:w="2077" w:type="dxa"/>
            <w:tcBorders>
              <w:top w:val="single" w:sz="2" w:space="0" w:color="auto"/>
              <w:bottom w:val="single" w:sz="2" w:space="0" w:color="auto"/>
            </w:tcBorders>
            <w:vAlign w:val="center"/>
          </w:tcPr>
          <w:p w:rsidR="00497839" w:rsidRPr="00F37D64" w:rsidRDefault="00497839" w:rsidP="00BB1149">
            <w:pPr>
              <w:spacing w:after="0"/>
              <w:jc w:val="right"/>
              <w:rPr>
                <w:rFonts w:ascii="Arial Narrow" w:hAnsi="Arial Narrow" w:cs="Arial"/>
                <w:snapToGrid w:val="0"/>
              </w:rPr>
            </w:pPr>
            <w:r w:rsidRPr="00F37D64">
              <w:rPr>
                <w:rFonts w:ascii="Arial Narrow" w:hAnsi="Arial Narrow" w:cs="Arial"/>
                <w:snapToGrid w:val="0"/>
              </w:rPr>
              <w:t>3.028.665.258</w:t>
            </w:r>
          </w:p>
        </w:tc>
      </w:tr>
      <w:tr w:rsidR="00497839" w:rsidRPr="00B15C89" w:rsidTr="0041655A">
        <w:trPr>
          <w:jc w:val="center"/>
        </w:trPr>
        <w:tc>
          <w:tcPr>
            <w:tcW w:w="4818" w:type="dxa"/>
            <w:tcBorders>
              <w:top w:val="single" w:sz="2" w:space="0" w:color="auto"/>
              <w:bottom w:val="single" w:sz="2" w:space="0" w:color="auto"/>
            </w:tcBorders>
            <w:vAlign w:val="center"/>
          </w:tcPr>
          <w:p w:rsidR="00497839" w:rsidRPr="00B15C89" w:rsidRDefault="00497839" w:rsidP="00BB1149">
            <w:pPr>
              <w:pStyle w:val="Tabla"/>
              <w:spacing w:before="60" w:after="60"/>
              <w:rPr>
                <w:rFonts w:ascii="Arial Narrow" w:hAnsi="Arial Narrow" w:cs="Arial"/>
                <w:snapToGrid w:val="0"/>
                <w:sz w:val="20"/>
              </w:rPr>
            </w:pPr>
            <w:r w:rsidRPr="00B15C89">
              <w:rPr>
                <w:rFonts w:ascii="Arial Narrow" w:hAnsi="Arial Narrow" w:cs="Arial"/>
                <w:snapToGrid w:val="0"/>
                <w:sz w:val="20"/>
              </w:rPr>
              <w:t>a.1) Impuesto sobre la renta de las personas físicas</w:t>
            </w:r>
          </w:p>
        </w:tc>
        <w:tc>
          <w:tcPr>
            <w:tcW w:w="1957" w:type="dxa"/>
            <w:tcBorders>
              <w:top w:val="single" w:sz="2" w:space="0" w:color="auto"/>
              <w:bottom w:val="single" w:sz="2" w:space="0" w:color="auto"/>
            </w:tcBorders>
            <w:vAlign w:val="center"/>
          </w:tcPr>
          <w:p w:rsidR="00497839" w:rsidRPr="009F5D86" w:rsidRDefault="00497839" w:rsidP="00BB1149">
            <w:pPr>
              <w:spacing w:after="0"/>
              <w:jc w:val="right"/>
              <w:rPr>
                <w:rFonts w:ascii="Arial Narrow" w:hAnsi="Arial Narrow" w:cs="Arial"/>
                <w:snapToGrid w:val="0"/>
                <w:color w:val="000000"/>
              </w:rPr>
            </w:pPr>
            <w:r w:rsidRPr="009F5D86">
              <w:rPr>
                <w:rFonts w:ascii="Arial Narrow" w:hAnsi="Arial Narrow" w:cs="Arial"/>
                <w:snapToGrid w:val="0"/>
                <w:color w:val="000000"/>
              </w:rPr>
              <w:t>1.113.962.028</w:t>
            </w:r>
          </w:p>
        </w:tc>
        <w:tc>
          <w:tcPr>
            <w:tcW w:w="2077" w:type="dxa"/>
            <w:tcBorders>
              <w:top w:val="single" w:sz="2" w:space="0" w:color="auto"/>
              <w:bottom w:val="single" w:sz="2" w:space="0" w:color="auto"/>
            </w:tcBorders>
            <w:vAlign w:val="center"/>
          </w:tcPr>
          <w:p w:rsidR="00497839" w:rsidRPr="009F5D86" w:rsidRDefault="00497839" w:rsidP="00BB1149">
            <w:pPr>
              <w:spacing w:after="0"/>
              <w:jc w:val="right"/>
              <w:rPr>
                <w:rFonts w:ascii="Arial Narrow" w:hAnsi="Arial Narrow" w:cs="Arial"/>
                <w:snapToGrid w:val="0"/>
                <w:color w:val="000000"/>
              </w:rPr>
            </w:pPr>
            <w:r w:rsidRPr="009F5D86">
              <w:rPr>
                <w:rFonts w:ascii="Arial Narrow" w:hAnsi="Arial Narrow" w:cs="Arial"/>
                <w:snapToGrid w:val="0"/>
                <w:color w:val="000000"/>
              </w:rPr>
              <w:t>1.102.787.975</w:t>
            </w:r>
          </w:p>
        </w:tc>
      </w:tr>
      <w:tr w:rsidR="00497839" w:rsidRPr="00B15C89" w:rsidTr="0041655A">
        <w:trPr>
          <w:jc w:val="center"/>
        </w:trPr>
        <w:tc>
          <w:tcPr>
            <w:tcW w:w="4818" w:type="dxa"/>
            <w:tcBorders>
              <w:top w:val="single" w:sz="2" w:space="0" w:color="auto"/>
              <w:bottom w:val="single" w:sz="2" w:space="0" w:color="auto"/>
            </w:tcBorders>
            <w:vAlign w:val="center"/>
          </w:tcPr>
          <w:p w:rsidR="00497839" w:rsidRPr="00B15C89" w:rsidRDefault="00497839" w:rsidP="00BB1149">
            <w:pPr>
              <w:pStyle w:val="Tabla"/>
              <w:spacing w:before="60" w:after="60"/>
              <w:rPr>
                <w:rFonts w:ascii="Arial Narrow" w:hAnsi="Arial Narrow" w:cs="Arial"/>
                <w:snapToGrid w:val="0"/>
                <w:sz w:val="20"/>
              </w:rPr>
            </w:pPr>
            <w:r w:rsidRPr="00B15C89">
              <w:rPr>
                <w:rFonts w:ascii="Arial Narrow" w:hAnsi="Arial Narrow" w:cs="Arial"/>
                <w:snapToGrid w:val="0"/>
                <w:sz w:val="20"/>
              </w:rPr>
              <w:t>a.2) Impuesto sobre sociedades</w:t>
            </w:r>
          </w:p>
        </w:tc>
        <w:tc>
          <w:tcPr>
            <w:tcW w:w="1957" w:type="dxa"/>
            <w:tcBorders>
              <w:top w:val="single" w:sz="2" w:space="0" w:color="auto"/>
              <w:bottom w:val="single" w:sz="2" w:space="0" w:color="auto"/>
            </w:tcBorders>
            <w:vAlign w:val="center"/>
          </w:tcPr>
          <w:p w:rsidR="00497839" w:rsidRPr="009F5D86" w:rsidRDefault="00497839" w:rsidP="00BB1149">
            <w:pPr>
              <w:spacing w:after="0"/>
              <w:jc w:val="right"/>
              <w:rPr>
                <w:rFonts w:ascii="Arial Narrow" w:hAnsi="Arial Narrow" w:cs="Arial"/>
                <w:snapToGrid w:val="0"/>
                <w:color w:val="000000"/>
              </w:rPr>
            </w:pPr>
            <w:r w:rsidRPr="009F5D86">
              <w:rPr>
                <w:rFonts w:ascii="Arial Narrow" w:hAnsi="Arial Narrow" w:cs="Arial"/>
                <w:snapToGrid w:val="0"/>
                <w:color w:val="000000"/>
              </w:rPr>
              <w:t>213.556.532</w:t>
            </w:r>
          </w:p>
        </w:tc>
        <w:tc>
          <w:tcPr>
            <w:tcW w:w="2077" w:type="dxa"/>
            <w:tcBorders>
              <w:top w:val="single" w:sz="2" w:space="0" w:color="auto"/>
              <w:bottom w:val="single" w:sz="2" w:space="0" w:color="auto"/>
            </w:tcBorders>
            <w:vAlign w:val="center"/>
          </w:tcPr>
          <w:p w:rsidR="00497839" w:rsidRPr="009F5D86" w:rsidRDefault="00497839" w:rsidP="00BB1149">
            <w:pPr>
              <w:spacing w:after="0"/>
              <w:jc w:val="right"/>
              <w:rPr>
                <w:rFonts w:ascii="Arial Narrow" w:hAnsi="Arial Narrow" w:cs="Arial"/>
                <w:snapToGrid w:val="0"/>
                <w:color w:val="000000"/>
              </w:rPr>
            </w:pPr>
            <w:r w:rsidRPr="009F5D86">
              <w:rPr>
                <w:rFonts w:ascii="Arial Narrow" w:hAnsi="Arial Narrow" w:cs="Arial"/>
                <w:snapToGrid w:val="0"/>
                <w:color w:val="000000"/>
              </w:rPr>
              <w:t>207.896.688</w:t>
            </w:r>
          </w:p>
        </w:tc>
      </w:tr>
      <w:tr w:rsidR="00497839" w:rsidRPr="00B15C89" w:rsidTr="0041655A">
        <w:trPr>
          <w:jc w:val="center"/>
        </w:trPr>
        <w:tc>
          <w:tcPr>
            <w:tcW w:w="4818" w:type="dxa"/>
            <w:tcBorders>
              <w:top w:val="single" w:sz="2" w:space="0" w:color="auto"/>
              <w:bottom w:val="single" w:sz="2" w:space="0" w:color="auto"/>
            </w:tcBorders>
            <w:vAlign w:val="center"/>
          </w:tcPr>
          <w:p w:rsidR="00497839" w:rsidRPr="00B15C89" w:rsidRDefault="00497839" w:rsidP="00BB1149">
            <w:pPr>
              <w:pStyle w:val="Tabla"/>
              <w:spacing w:before="60" w:after="60"/>
              <w:rPr>
                <w:rFonts w:ascii="Arial Narrow" w:hAnsi="Arial Narrow" w:cs="Arial"/>
                <w:snapToGrid w:val="0"/>
                <w:sz w:val="20"/>
              </w:rPr>
            </w:pPr>
            <w:r w:rsidRPr="00B15C89">
              <w:rPr>
                <w:rFonts w:ascii="Arial Narrow" w:hAnsi="Arial Narrow" w:cs="Arial"/>
                <w:snapToGrid w:val="0"/>
                <w:sz w:val="20"/>
              </w:rPr>
              <w:t>a.3) Impuesto sobre sucesiones y donaciones</w:t>
            </w:r>
          </w:p>
        </w:tc>
        <w:tc>
          <w:tcPr>
            <w:tcW w:w="1957" w:type="dxa"/>
            <w:tcBorders>
              <w:top w:val="single" w:sz="2" w:space="0" w:color="auto"/>
              <w:bottom w:val="single" w:sz="2" w:space="0" w:color="auto"/>
            </w:tcBorders>
            <w:vAlign w:val="center"/>
          </w:tcPr>
          <w:p w:rsidR="00497839" w:rsidRPr="009F5D86" w:rsidRDefault="00497839" w:rsidP="00BB1149">
            <w:pPr>
              <w:spacing w:after="0"/>
              <w:jc w:val="right"/>
              <w:rPr>
                <w:rFonts w:ascii="Arial Narrow" w:hAnsi="Arial Narrow" w:cs="Arial"/>
                <w:snapToGrid w:val="0"/>
                <w:color w:val="000000"/>
              </w:rPr>
            </w:pPr>
            <w:r w:rsidRPr="009F5D86">
              <w:rPr>
                <w:rFonts w:ascii="Arial Narrow" w:hAnsi="Arial Narrow" w:cs="Arial"/>
                <w:snapToGrid w:val="0"/>
                <w:color w:val="000000"/>
              </w:rPr>
              <w:t>58.086.629</w:t>
            </w:r>
          </w:p>
        </w:tc>
        <w:tc>
          <w:tcPr>
            <w:tcW w:w="2077" w:type="dxa"/>
            <w:tcBorders>
              <w:top w:val="single" w:sz="2" w:space="0" w:color="auto"/>
              <w:bottom w:val="single" w:sz="2" w:space="0" w:color="auto"/>
            </w:tcBorders>
            <w:vAlign w:val="center"/>
          </w:tcPr>
          <w:p w:rsidR="00497839" w:rsidRPr="009F5D86" w:rsidRDefault="00497839" w:rsidP="00BB1149">
            <w:pPr>
              <w:spacing w:after="0"/>
              <w:jc w:val="right"/>
              <w:rPr>
                <w:rFonts w:ascii="Arial Narrow" w:hAnsi="Arial Narrow" w:cs="Arial"/>
                <w:snapToGrid w:val="0"/>
                <w:color w:val="000000"/>
              </w:rPr>
            </w:pPr>
            <w:r w:rsidRPr="009F5D86">
              <w:rPr>
                <w:rFonts w:ascii="Arial Narrow" w:hAnsi="Arial Narrow" w:cs="Arial"/>
                <w:snapToGrid w:val="0"/>
                <w:color w:val="000000"/>
              </w:rPr>
              <w:t>53.050.496</w:t>
            </w:r>
          </w:p>
        </w:tc>
      </w:tr>
      <w:tr w:rsidR="00497839" w:rsidRPr="00B15C89" w:rsidTr="0041655A">
        <w:trPr>
          <w:jc w:val="center"/>
        </w:trPr>
        <w:tc>
          <w:tcPr>
            <w:tcW w:w="4818" w:type="dxa"/>
            <w:tcBorders>
              <w:top w:val="single" w:sz="2" w:space="0" w:color="auto"/>
              <w:bottom w:val="single" w:sz="2" w:space="0" w:color="auto"/>
            </w:tcBorders>
            <w:vAlign w:val="center"/>
          </w:tcPr>
          <w:p w:rsidR="00497839" w:rsidRPr="00B15C89" w:rsidRDefault="00497839" w:rsidP="00BB1149">
            <w:pPr>
              <w:pStyle w:val="Tabla"/>
              <w:spacing w:before="60" w:after="60"/>
              <w:rPr>
                <w:rFonts w:ascii="Arial Narrow" w:hAnsi="Arial Narrow" w:cs="Arial"/>
                <w:snapToGrid w:val="0"/>
                <w:sz w:val="20"/>
              </w:rPr>
            </w:pPr>
            <w:r w:rsidRPr="00B15C89">
              <w:rPr>
                <w:rFonts w:ascii="Arial Narrow" w:hAnsi="Arial Narrow" w:cs="Arial"/>
                <w:snapToGrid w:val="0"/>
                <w:sz w:val="20"/>
              </w:rPr>
              <w:t xml:space="preserve">a.4) Impuesto sobre el patrimonio </w:t>
            </w:r>
          </w:p>
        </w:tc>
        <w:tc>
          <w:tcPr>
            <w:tcW w:w="1957" w:type="dxa"/>
            <w:tcBorders>
              <w:top w:val="single" w:sz="2" w:space="0" w:color="auto"/>
              <w:bottom w:val="single" w:sz="2" w:space="0" w:color="auto"/>
            </w:tcBorders>
            <w:vAlign w:val="center"/>
          </w:tcPr>
          <w:p w:rsidR="00497839" w:rsidRPr="009F5D86" w:rsidRDefault="00497839" w:rsidP="00BB1149">
            <w:pPr>
              <w:spacing w:after="0"/>
              <w:jc w:val="right"/>
              <w:rPr>
                <w:rFonts w:ascii="Arial Narrow" w:hAnsi="Arial Narrow" w:cs="Arial"/>
                <w:snapToGrid w:val="0"/>
                <w:color w:val="000000"/>
              </w:rPr>
            </w:pPr>
            <w:r w:rsidRPr="009F5D86">
              <w:rPr>
                <w:rFonts w:ascii="Arial Narrow" w:hAnsi="Arial Narrow" w:cs="Arial"/>
                <w:snapToGrid w:val="0"/>
                <w:color w:val="000000"/>
              </w:rPr>
              <w:t>44.741.032</w:t>
            </w:r>
          </w:p>
        </w:tc>
        <w:tc>
          <w:tcPr>
            <w:tcW w:w="2077" w:type="dxa"/>
            <w:tcBorders>
              <w:top w:val="single" w:sz="2" w:space="0" w:color="auto"/>
              <w:bottom w:val="single" w:sz="2" w:space="0" w:color="auto"/>
            </w:tcBorders>
            <w:vAlign w:val="center"/>
          </w:tcPr>
          <w:p w:rsidR="00497839" w:rsidRPr="009F5D86" w:rsidRDefault="00497839" w:rsidP="00BB1149">
            <w:pPr>
              <w:spacing w:after="0"/>
              <w:jc w:val="right"/>
              <w:rPr>
                <w:rFonts w:ascii="Arial Narrow" w:hAnsi="Arial Narrow" w:cs="Arial"/>
                <w:snapToGrid w:val="0"/>
                <w:color w:val="000000"/>
              </w:rPr>
            </w:pPr>
            <w:r w:rsidRPr="009F5D86">
              <w:rPr>
                <w:rFonts w:ascii="Arial Narrow" w:hAnsi="Arial Narrow" w:cs="Arial"/>
                <w:snapToGrid w:val="0"/>
                <w:color w:val="000000"/>
              </w:rPr>
              <w:t>48.626.830</w:t>
            </w:r>
          </w:p>
        </w:tc>
      </w:tr>
      <w:tr w:rsidR="00497839" w:rsidRPr="00B15C89" w:rsidTr="0041655A">
        <w:trPr>
          <w:jc w:val="center"/>
        </w:trPr>
        <w:tc>
          <w:tcPr>
            <w:tcW w:w="4818" w:type="dxa"/>
            <w:tcBorders>
              <w:top w:val="single" w:sz="2" w:space="0" w:color="auto"/>
              <w:bottom w:val="single" w:sz="2" w:space="0" w:color="auto"/>
            </w:tcBorders>
            <w:vAlign w:val="center"/>
          </w:tcPr>
          <w:p w:rsidR="00497839" w:rsidRPr="00B15C89" w:rsidRDefault="00497839" w:rsidP="00BB1149">
            <w:pPr>
              <w:pStyle w:val="Tabla"/>
              <w:spacing w:before="60" w:after="60"/>
              <w:rPr>
                <w:rFonts w:ascii="Arial Narrow" w:hAnsi="Arial Narrow" w:cs="Arial"/>
                <w:snapToGrid w:val="0"/>
                <w:sz w:val="20"/>
              </w:rPr>
            </w:pPr>
            <w:r w:rsidRPr="00B15C89">
              <w:rPr>
                <w:rFonts w:ascii="Arial Narrow" w:hAnsi="Arial Narrow" w:cs="Arial"/>
                <w:snapToGrid w:val="0"/>
                <w:sz w:val="20"/>
              </w:rPr>
              <w:t>a.</w:t>
            </w:r>
            <w:r>
              <w:rPr>
                <w:rFonts w:ascii="Arial Narrow" w:hAnsi="Arial Narrow" w:cs="Arial"/>
                <w:snapToGrid w:val="0"/>
                <w:sz w:val="20"/>
              </w:rPr>
              <w:t>8</w:t>
            </w:r>
            <w:r w:rsidRPr="00B15C89">
              <w:rPr>
                <w:rFonts w:ascii="Arial Narrow" w:hAnsi="Arial Narrow" w:cs="Arial"/>
                <w:snapToGrid w:val="0"/>
                <w:sz w:val="20"/>
              </w:rPr>
              <w:t xml:space="preserve">) </w:t>
            </w:r>
            <w:r>
              <w:rPr>
                <w:rFonts w:ascii="Arial Narrow" w:hAnsi="Arial Narrow" w:cs="Arial"/>
                <w:snapToGrid w:val="0"/>
                <w:sz w:val="20"/>
              </w:rPr>
              <w:t>Otros impuestos directos</w:t>
            </w:r>
          </w:p>
        </w:tc>
        <w:tc>
          <w:tcPr>
            <w:tcW w:w="1957" w:type="dxa"/>
            <w:tcBorders>
              <w:top w:val="single" w:sz="2" w:space="0" w:color="auto"/>
              <w:bottom w:val="single" w:sz="2" w:space="0" w:color="auto"/>
            </w:tcBorders>
            <w:vAlign w:val="center"/>
          </w:tcPr>
          <w:p w:rsidR="00497839" w:rsidRPr="009F5D86" w:rsidRDefault="00497839" w:rsidP="00BB1149">
            <w:pPr>
              <w:spacing w:after="0"/>
              <w:jc w:val="right"/>
              <w:rPr>
                <w:rFonts w:ascii="Arial Narrow" w:hAnsi="Arial Narrow" w:cs="Arial"/>
                <w:snapToGrid w:val="0"/>
                <w:color w:val="000000"/>
              </w:rPr>
            </w:pPr>
            <w:r w:rsidRPr="009F5D86">
              <w:rPr>
                <w:rFonts w:ascii="Arial Narrow" w:hAnsi="Arial Narrow" w:cs="Arial"/>
                <w:snapToGrid w:val="0"/>
                <w:color w:val="000000"/>
              </w:rPr>
              <w:t>37.405.785</w:t>
            </w:r>
          </w:p>
        </w:tc>
        <w:tc>
          <w:tcPr>
            <w:tcW w:w="2077" w:type="dxa"/>
            <w:tcBorders>
              <w:top w:val="single" w:sz="2" w:space="0" w:color="auto"/>
              <w:bottom w:val="single" w:sz="2" w:space="0" w:color="auto"/>
            </w:tcBorders>
            <w:vAlign w:val="center"/>
          </w:tcPr>
          <w:p w:rsidR="00497839" w:rsidRPr="009F5D86" w:rsidRDefault="00497839" w:rsidP="00BB1149">
            <w:pPr>
              <w:spacing w:after="0"/>
              <w:jc w:val="right"/>
              <w:rPr>
                <w:rFonts w:ascii="Arial Narrow" w:hAnsi="Arial Narrow" w:cs="Arial"/>
                <w:snapToGrid w:val="0"/>
                <w:color w:val="000000"/>
              </w:rPr>
            </w:pPr>
            <w:r w:rsidRPr="009F5D86">
              <w:rPr>
                <w:rFonts w:ascii="Arial Narrow" w:hAnsi="Arial Narrow" w:cs="Arial"/>
                <w:snapToGrid w:val="0"/>
                <w:color w:val="000000"/>
              </w:rPr>
              <w:t>15.613.999</w:t>
            </w:r>
          </w:p>
        </w:tc>
      </w:tr>
      <w:tr w:rsidR="00497839" w:rsidRPr="00B15C89" w:rsidTr="0041655A">
        <w:trPr>
          <w:jc w:val="center"/>
        </w:trPr>
        <w:tc>
          <w:tcPr>
            <w:tcW w:w="4818" w:type="dxa"/>
            <w:tcBorders>
              <w:top w:val="single" w:sz="2" w:space="0" w:color="auto"/>
              <w:bottom w:val="single" w:sz="2" w:space="0" w:color="auto"/>
            </w:tcBorders>
            <w:vAlign w:val="center"/>
          </w:tcPr>
          <w:p w:rsidR="00497839" w:rsidRPr="00B15C89" w:rsidRDefault="00497839" w:rsidP="00BB1149">
            <w:pPr>
              <w:pStyle w:val="Tabla"/>
              <w:spacing w:before="60" w:after="60"/>
              <w:rPr>
                <w:rFonts w:ascii="Arial Narrow" w:hAnsi="Arial Narrow" w:cs="Arial"/>
                <w:snapToGrid w:val="0"/>
                <w:sz w:val="20"/>
              </w:rPr>
            </w:pPr>
            <w:r w:rsidRPr="00B15C89">
              <w:rPr>
                <w:rFonts w:ascii="Arial Narrow" w:hAnsi="Arial Narrow" w:cs="Arial"/>
                <w:snapToGrid w:val="0"/>
                <w:sz w:val="20"/>
              </w:rPr>
              <w:t>a.</w:t>
            </w:r>
            <w:r>
              <w:rPr>
                <w:rFonts w:ascii="Arial Narrow" w:hAnsi="Arial Narrow" w:cs="Arial"/>
                <w:snapToGrid w:val="0"/>
                <w:sz w:val="20"/>
              </w:rPr>
              <w:t>9</w:t>
            </w:r>
            <w:r w:rsidRPr="00B15C89">
              <w:rPr>
                <w:rFonts w:ascii="Arial Narrow" w:hAnsi="Arial Narrow" w:cs="Arial"/>
                <w:snapToGrid w:val="0"/>
                <w:sz w:val="20"/>
              </w:rPr>
              <w:t xml:space="preserve">) Impuesto sobre </w:t>
            </w:r>
            <w:r>
              <w:rPr>
                <w:rFonts w:ascii="Arial Narrow" w:hAnsi="Arial Narrow" w:cs="Arial"/>
                <w:snapToGrid w:val="0"/>
                <w:sz w:val="20"/>
              </w:rPr>
              <w:t>transmisiones patrimoniales y AJD</w:t>
            </w:r>
            <w:r w:rsidRPr="00B15C89">
              <w:rPr>
                <w:rFonts w:ascii="Arial Narrow" w:hAnsi="Arial Narrow" w:cs="Arial"/>
                <w:snapToGrid w:val="0"/>
                <w:sz w:val="20"/>
              </w:rPr>
              <w:t xml:space="preserve"> </w:t>
            </w:r>
          </w:p>
        </w:tc>
        <w:tc>
          <w:tcPr>
            <w:tcW w:w="1957" w:type="dxa"/>
            <w:tcBorders>
              <w:top w:val="single" w:sz="2" w:space="0" w:color="auto"/>
              <w:bottom w:val="single" w:sz="2" w:space="0" w:color="auto"/>
            </w:tcBorders>
            <w:vAlign w:val="center"/>
          </w:tcPr>
          <w:p w:rsidR="00497839" w:rsidRPr="009F5D86" w:rsidRDefault="00497839" w:rsidP="00BB1149">
            <w:pPr>
              <w:spacing w:after="0"/>
              <w:jc w:val="right"/>
              <w:rPr>
                <w:rFonts w:ascii="Arial Narrow" w:hAnsi="Arial Narrow" w:cs="Arial"/>
                <w:snapToGrid w:val="0"/>
                <w:color w:val="000000"/>
              </w:rPr>
            </w:pPr>
            <w:r w:rsidRPr="009F5D86">
              <w:rPr>
                <w:rFonts w:ascii="Arial Narrow" w:hAnsi="Arial Narrow" w:cs="Arial"/>
                <w:snapToGrid w:val="0"/>
                <w:color w:val="000000"/>
              </w:rPr>
              <w:t>48.329.767</w:t>
            </w:r>
          </w:p>
        </w:tc>
        <w:tc>
          <w:tcPr>
            <w:tcW w:w="2077" w:type="dxa"/>
            <w:tcBorders>
              <w:top w:val="single" w:sz="2" w:space="0" w:color="auto"/>
              <w:bottom w:val="single" w:sz="2" w:space="0" w:color="auto"/>
            </w:tcBorders>
            <w:vAlign w:val="center"/>
          </w:tcPr>
          <w:p w:rsidR="00497839" w:rsidRPr="009F5D86" w:rsidRDefault="00497839" w:rsidP="00BB1149">
            <w:pPr>
              <w:spacing w:after="0"/>
              <w:jc w:val="right"/>
              <w:rPr>
                <w:rFonts w:ascii="Arial Narrow" w:hAnsi="Arial Narrow" w:cs="Arial"/>
                <w:snapToGrid w:val="0"/>
                <w:color w:val="000000"/>
              </w:rPr>
            </w:pPr>
            <w:r w:rsidRPr="009F5D86">
              <w:rPr>
                <w:rFonts w:ascii="Arial Narrow" w:hAnsi="Arial Narrow" w:cs="Arial"/>
                <w:snapToGrid w:val="0"/>
                <w:color w:val="000000"/>
              </w:rPr>
              <w:t>43.476.954</w:t>
            </w:r>
          </w:p>
        </w:tc>
      </w:tr>
      <w:tr w:rsidR="00497839" w:rsidRPr="00B15C89" w:rsidTr="0041655A">
        <w:trPr>
          <w:jc w:val="center"/>
        </w:trPr>
        <w:tc>
          <w:tcPr>
            <w:tcW w:w="4818" w:type="dxa"/>
            <w:tcBorders>
              <w:top w:val="single" w:sz="2" w:space="0" w:color="auto"/>
              <w:bottom w:val="single" w:sz="2" w:space="0" w:color="auto"/>
            </w:tcBorders>
            <w:vAlign w:val="center"/>
          </w:tcPr>
          <w:p w:rsidR="00497839" w:rsidRPr="00B15C89" w:rsidRDefault="00497839" w:rsidP="00BB1149">
            <w:pPr>
              <w:pStyle w:val="Tabla"/>
              <w:spacing w:before="60" w:after="60"/>
              <w:rPr>
                <w:rFonts w:ascii="Arial Narrow" w:hAnsi="Arial Narrow" w:cs="Arial"/>
                <w:snapToGrid w:val="0"/>
                <w:sz w:val="20"/>
              </w:rPr>
            </w:pPr>
            <w:r w:rsidRPr="00B15C89">
              <w:rPr>
                <w:rFonts w:ascii="Arial Narrow" w:hAnsi="Arial Narrow" w:cs="Arial"/>
                <w:snapToGrid w:val="0"/>
                <w:sz w:val="20"/>
              </w:rPr>
              <w:t>a.1</w:t>
            </w:r>
            <w:r>
              <w:rPr>
                <w:rFonts w:ascii="Arial Narrow" w:hAnsi="Arial Narrow" w:cs="Arial"/>
                <w:snapToGrid w:val="0"/>
                <w:sz w:val="20"/>
              </w:rPr>
              <w:t>0</w:t>
            </w:r>
            <w:r w:rsidRPr="00B15C89">
              <w:rPr>
                <w:rFonts w:ascii="Arial Narrow" w:hAnsi="Arial Narrow" w:cs="Arial"/>
                <w:snapToGrid w:val="0"/>
                <w:sz w:val="20"/>
              </w:rPr>
              <w:t>) Impuesto</w:t>
            </w:r>
            <w:r>
              <w:rPr>
                <w:rFonts w:ascii="Arial Narrow" w:hAnsi="Arial Narrow" w:cs="Arial"/>
                <w:snapToGrid w:val="0"/>
                <w:sz w:val="20"/>
              </w:rPr>
              <w:t xml:space="preserve"> sobre el valor añadido</w:t>
            </w:r>
            <w:r w:rsidRPr="00B15C89">
              <w:rPr>
                <w:rFonts w:ascii="Arial Narrow" w:hAnsi="Arial Narrow" w:cs="Arial"/>
                <w:snapToGrid w:val="0"/>
                <w:sz w:val="20"/>
              </w:rPr>
              <w:t xml:space="preserve"> </w:t>
            </w:r>
          </w:p>
        </w:tc>
        <w:tc>
          <w:tcPr>
            <w:tcW w:w="1957" w:type="dxa"/>
            <w:tcBorders>
              <w:top w:val="single" w:sz="2" w:space="0" w:color="auto"/>
              <w:bottom w:val="single" w:sz="2" w:space="0" w:color="auto"/>
            </w:tcBorders>
            <w:vAlign w:val="center"/>
          </w:tcPr>
          <w:p w:rsidR="00497839" w:rsidRPr="009F5D86" w:rsidRDefault="00497839" w:rsidP="00BB1149">
            <w:pPr>
              <w:spacing w:after="0"/>
              <w:jc w:val="right"/>
              <w:rPr>
                <w:rFonts w:ascii="Arial Narrow" w:hAnsi="Arial Narrow" w:cs="Arial"/>
                <w:snapToGrid w:val="0"/>
                <w:color w:val="000000"/>
              </w:rPr>
            </w:pPr>
            <w:r w:rsidRPr="009F5D86">
              <w:rPr>
                <w:rFonts w:ascii="Arial Narrow" w:hAnsi="Arial Narrow" w:cs="Arial"/>
                <w:snapToGrid w:val="0"/>
                <w:color w:val="000000"/>
              </w:rPr>
              <w:t>1.184.256.852</w:t>
            </w:r>
          </w:p>
        </w:tc>
        <w:tc>
          <w:tcPr>
            <w:tcW w:w="2077" w:type="dxa"/>
            <w:tcBorders>
              <w:top w:val="single" w:sz="2" w:space="0" w:color="auto"/>
              <w:bottom w:val="single" w:sz="2" w:space="0" w:color="auto"/>
            </w:tcBorders>
            <w:vAlign w:val="center"/>
          </w:tcPr>
          <w:p w:rsidR="00497839" w:rsidRPr="009F5D86" w:rsidRDefault="00497839" w:rsidP="00BB1149">
            <w:pPr>
              <w:spacing w:after="0"/>
              <w:jc w:val="right"/>
              <w:rPr>
                <w:rFonts w:ascii="Arial Narrow" w:hAnsi="Arial Narrow" w:cs="Arial"/>
                <w:snapToGrid w:val="0"/>
                <w:color w:val="000000"/>
              </w:rPr>
            </w:pPr>
            <w:r w:rsidRPr="009F5D86">
              <w:rPr>
                <w:rFonts w:ascii="Arial Narrow" w:hAnsi="Arial Narrow" w:cs="Arial"/>
                <w:snapToGrid w:val="0"/>
                <w:color w:val="000000"/>
              </w:rPr>
              <w:t>1.111.942.471</w:t>
            </w:r>
          </w:p>
        </w:tc>
      </w:tr>
      <w:tr w:rsidR="00497839" w:rsidRPr="00B15C89" w:rsidTr="0041655A">
        <w:trPr>
          <w:jc w:val="center"/>
        </w:trPr>
        <w:tc>
          <w:tcPr>
            <w:tcW w:w="4818" w:type="dxa"/>
            <w:tcBorders>
              <w:top w:val="single" w:sz="2" w:space="0" w:color="auto"/>
              <w:bottom w:val="single" w:sz="2" w:space="0" w:color="auto"/>
            </w:tcBorders>
            <w:vAlign w:val="center"/>
          </w:tcPr>
          <w:p w:rsidR="00497839" w:rsidRPr="00B15C89" w:rsidRDefault="00497839" w:rsidP="00BB1149">
            <w:pPr>
              <w:pStyle w:val="Tabla"/>
              <w:spacing w:before="60" w:after="60"/>
              <w:rPr>
                <w:rFonts w:ascii="Arial Narrow" w:hAnsi="Arial Narrow" w:cs="Arial"/>
                <w:snapToGrid w:val="0"/>
                <w:sz w:val="20"/>
              </w:rPr>
            </w:pPr>
            <w:r w:rsidRPr="00B15C89">
              <w:rPr>
                <w:rFonts w:ascii="Arial Narrow" w:hAnsi="Arial Narrow" w:cs="Arial"/>
                <w:snapToGrid w:val="0"/>
                <w:sz w:val="20"/>
              </w:rPr>
              <w:t>a.1</w:t>
            </w:r>
            <w:r>
              <w:rPr>
                <w:rFonts w:ascii="Arial Narrow" w:hAnsi="Arial Narrow" w:cs="Arial"/>
                <w:snapToGrid w:val="0"/>
                <w:sz w:val="20"/>
              </w:rPr>
              <w:t>1</w:t>
            </w:r>
            <w:r w:rsidRPr="00B15C89">
              <w:rPr>
                <w:rFonts w:ascii="Arial Narrow" w:hAnsi="Arial Narrow" w:cs="Arial"/>
                <w:snapToGrid w:val="0"/>
                <w:sz w:val="20"/>
              </w:rPr>
              <w:t xml:space="preserve">) Impuestos </w:t>
            </w:r>
            <w:r>
              <w:rPr>
                <w:rFonts w:ascii="Arial Narrow" w:hAnsi="Arial Narrow" w:cs="Arial"/>
                <w:snapToGrid w:val="0"/>
                <w:sz w:val="20"/>
              </w:rPr>
              <w:t>especiales</w:t>
            </w:r>
          </w:p>
        </w:tc>
        <w:tc>
          <w:tcPr>
            <w:tcW w:w="1957" w:type="dxa"/>
            <w:tcBorders>
              <w:top w:val="single" w:sz="2" w:space="0" w:color="auto"/>
              <w:bottom w:val="single" w:sz="2" w:space="0" w:color="auto"/>
            </w:tcBorders>
            <w:vAlign w:val="center"/>
          </w:tcPr>
          <w:p w:rsidR="00497839" w:rsidRPr="009F5D86" w:rsidRDefault="00497839" w:rsidP="00BB1149">
            <w:pPr>
              <w:spacing w:after="0"/>
              <w:jc w:val="right"/>
              <w:rPr>
                <w:rFonts w:ascii="Arial Narrow" w:hAnsi="Arial Narrow" w:cs="Arial"/>
                <w:snapToGrid w:val="0"/>
                <w:color w:val="000000"/>
              </w:rPr>
            </w:pPr>
            <w:r w:rsidRPr="009F5D86">
              <w:rPr>
                <w:rFonts w:ascii="Arial Narrow" w:hAnsi="Arial Narrow" w:cs="Arial"/>
                <w:snapToGrid w:val="0"/>
                <w:color w:val="000000"/>
              </w:rPr>
              <w:t>409.399.347</w:t>
            </w:r>
          </w:p>
        </w:tc>
        <w:tc>
          <w:tcPr>
            <w:tcW w:w="2077" w:type="dxa"/>
            <w:tcBorders>
              <w:top w:val="single" w:sz="2" w:space="0" w:color="auto"/>
              <w:bottom w:val="single" w:sz="2" w:space="0" w:color="auto"/>
            </w:tcBorders>
            <w:vAlign w:val="center"/>
          </w:tcPr>
          <w:p w:rsidR="00497839" w:rsidRPr="009F5D86" w:rsidRDefault="00497839" w:rsidP="00BB1149">
            <w:pPr>
              <w:spacing w:after="0"/>
              <w:jc w:val="right"/>
              <w:rPr>
                <w:rFonts w:ascii="Arial Narrow" w:hAnsi="Arial Narrow" w:cs="Arial"/>
                <w:snapToGrid w:val="0"/>
                <w:color w:val="000000"/>
              </w:rPr>
            </w:pPr>
            <w:r w:rsidRPr="009F5D86">
              <w:rPr>
                <w:rFonts w:ascii="Arial Narrow" w:hAnsi="Arial Narrow" w:cs="Arial"/>
                <w:snapToGrid w:val="0"/>
                <w:color w:val="000000"/>
              </w:rPr>
              <w:t>431.087.136</w:t>
            </w:r>
          </w:p>
        </w:tc>
      </w:tr>
      <w:tr w:rsidR="00A053EB" w:rsidRPr="00B15C89" w:rsidTr="0041655A">
        <w:trPr>
          <w:jc w:val="center"/>
        </w:trPr>
        <w:tc>
          <w:tcPr>
            <w:tcW w:w="4818" w:type="dxa"/>
            <w:tcBorders>
              <w:top w:val="single" w:sz="2" w:space="0" w:color="auto"/>
              <w:bottom w:val="single" w:sz="2" w:space="0" w:color="auto"/>
            </w:tcBorders>
            <w:vAlign w:val="center"/>
          </w:tcPr>
          <w:p w:rsidR="00A053EB" w:rsidRPr="00B15C89" w:rsidRDefault="00A053EB" w:rsidP="00BB1149">
            <w:pPr>
              <w:pStyle w:val="Tabla"/>
              <w:spacing w:before="60" w:after="60"/>
              <w:rPr>
                <w:rFonts w:ascii="Arial Narrow" w:hAnsi="Arial Narrow" w:cs="Arial"/>
                <w:snapToGrid w:val="0"/>
                <w:sz w:val="20"/>
              </w:rPr>
            </w:pPr>
            <w:r>
              <w:rPr>
                <w:rFonts w:ascii="Arial Narrow" w:hAnsi="Arial Narrow" w:cs="Arial"/>
                <w:snapToGrid w:val="0"/>
                <w:sz w:val="20"/>
              </w:rPr>
              <w:t>a.12) Impuestos directos extinguidos</w:t>
            </w:r>
          </w:p>
        </w:tc>
        <w:tc>
          <w:tcPr>
            <w:tcW w:w="1957" w:type="dxa"/>
            <w:tcBorders>
              <w:top w:val="single" w:sz="2" w:space="0" w:color="auto"/>
              <w:bottom w:val="single" w:sz="2" w:space="0" w:color="auto"/>
            </w:tcBorders>
            <w:vAlign w:val="center"/>
          </w:tcPr>
          <w:p w:rsidR="00A053EB" w:rsidRPr="009F5D86" w:rsidRDefault="00A053EB" w:rsidP="006F0129">
            <w:pPr>
              <w:spacing w:after="0"/>
              <w:jc w:val="right"/>
              <w:rPr>
                <w:rFonts w:ascii="Arial Narrow" w:hAnsi="Arial Narrow" w:cs="Arial"/>
                <w:snapToGrid w:val="0"/>
                <w:color w:val="000000"/>
              </w:rPr>
            </w:pPr>
            <w:r w:rsidRPr="009F5D86">
              <w:rPr>
                <w:rFonts w:ascii="Arial Narrow" w:hAnsi="Arial Narrow" w:cs="Arial"/>
                <w:snapToGrid w:val="0"/>
                <w:color w:val="000000"/>
              </w:rPr>
              <w:t>19.755</w:t>
            </w:r>
          </w:p>
        </w:tc>
        <w:tc>
          <w:tcPr>
            <w:tcW w:w="2077" w:type="dxa"/>
            <w:tcBorders>
              <w:top w:val="single" w:sz="2" w:space="0" w:color="auto"/>
              <w:bottom w:val="single" w:sz="2" w:space="0" w:color="auto"/>
            </w:tcBorders>
            <w:vAlign w:val="center"/>
          </w:tcPr>
          <w:p w:rsidR="00A053EB" w:rsidRPr="009F5D86" w:rsidRDefault="00A053EB" w:rsidP="006F0129">
            <w:pPr>
              <w:spacing w:after="0"/>
              <w:jc w:val="right"/>
              <w:rPr>
                <w:rFonts w:ascii="Arial Narrow" w:hAnsi="Arial Narrow" w:cs="Arial"/>
                <w:snapToGrid w:val="0"/>
                <w:color w:val="000000"/>
              </w:rPr>
            </w:pPr>
            <w:r w:rsidRPr="009F5D86">
              <w:rPr>
                <w:rFonts w:ascii="Arial Narrow" w:hAnsi="Arial Narrow" w:cs="Arial"/>
                <w:snapToGrid w:val="0"/>
                <w:color w:val="000000"/>
              </w:rPr>
              <w:t>0</w:t>
            </w:r>
          </w:p>
        </w:tc>
      </w:tr>
      <w:tr w:rsidR="00A053EB" w:rsidRPr="00B15C89" w:rsidTr="0041655A">
        <w:trPr>
          <w:jc w:val="center"/>
        </w:trPr>
        <w:tc>
          <w:tcPr>
            <w:tcW w:w="4818" w:type="dxa"/>
            <w:tcBorders>
              <w:top w:val="single" w:sz="2" w:space="0" w:color="auto"/>
              <w:bottom w:val="single" w:sz="2" w:space="0" w:color="auto"/>
            </w:tcBorders>
            <w:vAlign w:val="center"/>
          </w:tcPr>
          <w:p w:rsidR="00A053EB" w:rsidRPr="00B15C89" w:rsidRDefault="00A053EB" w:rsidP="00BB1149">
            <w:pPr>
              <w:pStyle w:val="Tabla"/>
              <w:spacing w:before="60" w:after="60"/>
              <w:rPr>
                <w:rFonts w:ascii="Arial Narrow" w:hAnsi="Arial Narrow" w:cs="Arial"/>
                <w:snapToGrid w:val="0"/>
                <w:sz w:val="20"/>
              </w:rPr>
            </w:pPr>
            <w:r>
              <w:rPr>
                <w:rFonts w:ascii="Arial Narrow" w:hAnsi="Arial Narrow" w:cs="Arial"/>
                <w:snapToGrid w:val="0"/>
                <w:sz w:val="20"/>
              </w:rPr>
              <w:t>a.15) Tasas por prestación de servicios</w:t>
            </w:r>
          </w:p>
        </w:tc>
        <w:tc>
          <w:tcPr>
            <w:tcW w:w="1957" w:type="dxa"/>
            <w:tcBorders>
              <w:top w:val="single" w:sz="2" w:space="0" w:color="auto"/>
              <w:bottom w:val="single" w:sz="2" w:space="0" w:color="auto"/>
            </w:tcBorders>
            <w:vAlign w:val="center"/>
          </w:tcPr>
          <w:p w:rsidR="00A053EB" w:rsidRPr="009F5D86" w:rsidRDefault="00A053EB" w:rsidP="006F0129">
            <w:pPr>
              <w:spacing w:after="0"/>
              <w:jc w:val="right"/>
              <w:rPr>
                <w:rFonts w:ascii="Arial Narrow" w:hAnsi="Arial Narrow" w:cs="Arial"/>
                <w:snapToGrid w:val="0"/>
                <w:color w:val="000000"/>
              </w:rPr>
            </w:pPr>
            <w:r w:rsidRPr="009F5D86">
              <w:rPr>
                <w:rFonts w:ascii="Arial Narrow" w:hAnsi="Arial Narrow" w:cs="Arial"/>
                <w:snapToGrid w:val="0"/>
                <w:color w:val="000000"/>
              </w:rPr>
              <w:t>11.430.541</w:t>
            </w:r>
          </w:p>
        </w:tc>
        <w:tc>
          <w:tcPr>
            <w:tcW w:w="2077" w:type="dxa"/>
            <w:tcBorders>
              <w:top w:val="single" w:sz="2" w:space="0" w:color="auto"/>
              <w:bottom w:val="single" w:sz="2" w:space="0" w:color="auto"/>
            </w:tcBorders>
            <w:vAlign w:val="center"/>
          </w:tcPr>
          <w:p w:rsidR="00A053EB" w:rsidRPr="009F5D86" w:rsidRDefault="00A053EB" w:rsidP="006F0129">
            <w:pPr>
              <w:spacing w:after="0"/>
              <w:jc w:val="right"/>
              <w:rPr>
                <w:rFonts w:ascii="Arial Narrow" w:hAnsi="Arial Narrow" w:cs="Arial"/>
                <w:snapToGrid w:val="0"/>
                <w:color w:val="000000"/>
              </w:rPr>
            </w:pPr>
            <w:r w:rsidRPr="009F5D86">
              <w:rPr>
                <w:rFonts w:ascii="Arial Narrow" w:hAnsi="Arial Narrow" w:cs="Arial"/>
                <w:snapToGrid w:val="0"/>
                <w:color w:val="000000"/>
              </w:rPr>
              <w:t>14.182.709</w:t>
            </w:r>
          </w:p>
        </w:tc>
      </w:tr>
      <w:tr w:rsidR="00A053EB" w:rsidRPr="00B15C89" w:rsidTr="0041655A">
        <w:trPr>
          <w:jc w:val="center"/>
        </w:trPr>
        <w:tc>
          <w:tcPr>
            <w:tcW w:w="4818" w:type="dxa"/>
            <w:tcBorders>
              <w:top w:val="single" w:sz="2" w:space="0" w:color="auto"/>
              <w:bottom w:val="single" w:sz="2" w:space="0" w:color="auto"/>
            </w:tcBorders>
            <w:vAlign w:val="center"/>
          </w:tcPr>
          <w:p w:rsidR="00A053EB" w:rsidRPr="00F37D64" w:rsidRDefault="00A053EB" w:rsidP="00BB1149">
            <w:pPr>
              <w:pStyle w:val="Tabla"/>
              <w:spacing w:before="60" w:after="60"/>
              <w:rPr>
                <w:rFonts w:ascii="Arial Narrow" w:hAnsi="Arial Narrow" w:cs="Arial"/>
                <w:snapToGrid w:val="0"/>
                <w:sz w:val="20"/>
              </w:rPr>
            </w:pPr>
            <w:r w:rsidRPr="00F37D64">
              <w:rPr>
                <w:rFonts w:ascii="Arial Narrow" w:hAnsi="Arial Narrow" w:cs="Arial"/>
                <w:snapToGrid w:val="0"/>
                <w:sz w:val="20"/>
              </w:rPr>
              <w:t xml:space="preserve">b) Cotizaciones sociales </w:t>
            </w:r>
          </w:p>
        </w:tc>
        <w:tc>
          <w:tcPr>
            <w:tcW w:w="1957" w:type="dxa"/>
            <w:tcBorders>
              <w:top w:val="single" w:sz="2" w:space="0" w:color="auto"/>
              <w:bottom w:val="single" w:sz="2" w:space="0" w:color="auto"/>
            </w:tcBorders>
            <w:vAlign w:val="center"/>
          </w:tcPr>
          <w:p w:rsidR="00A053EB" w:rsidRPr="00F37D64" w:rsidRDefault="00A053EB" w:rsidP="006F0129">
            <w:pPr>
              <w:spacing w:after="0"/>
              <w:jc w:val="right"/>
              <w:rPr>
                <w:rFonts w:ascii="Arial Narrow" w:hAnsi="Arial Narrow" w:cs="Arial"/>
                <w:snapToGrid w:val="0"/>
                <w:color w:val="000000"/>
              </w:rPr>
            </w:pPr>
            <w:r w:rsidRPr="00F37D64">
              <w:rPr>
                <w:rFonts w:ascii="Arial Narrow" w:hAnsi="Arial Narrow" w:cs="Arial"/>
                <w:snapToGrid w:val="0"/>
                <w:color w:val="000000"/>
              </w:rPr>
              <w:t>2.405.916</w:t>
            </w:r>
          </w:p>
        </w:tc>
        <w:tc>
          <w:tcPr>
            <w:tcW w:w="2077" w:type="dxa"/>
            <w:tcBorders>
              <w:top w:val="single" w:sz="2" w:space="0" w:color="auto"/>
              <w:bottom w:val="single" w:sz="2" w:space="0" w:color="auto"/>
            </w:tcBorders>
            <w:vAlign w:val="center"/>
          </w:tcPr>
          <w:p w:rsidR="00A053EB" w:rsidRPr="00F37D64" w:rsidRDefault="00A053EB" w:rsidP="006F0129">
            <w:pPr>
              <w:spacing w:after="0"/>
              <w:jc w:val="right"/>
              <w:rPr>
                <w:rFonts w:ascii="Arial Narrow" w:hAnsi="Arial Narrow" w:cs="Arial"/>
                <w:snapToGrid w:val="0"/>
                <w:color w:val="000000"/>
              </w:rPr>
            </w:pPr>
            <w:r w:rsidRPr="00F37D64">
              <w:rPr>
                <w:rFonts w:ascii="Arial Narrow" w:hAnsi="Arial Narrow" w:cs="Arial"/>
                <w:snapToGrid w:val="0"/>
                <w:color w:val="000000"/>
              </w:rPr>
              <w:t>2.722.245</w:t>
            </w:r>
          </w:p>
        </w:tc>
      </w:tr>
      <w:tr w:rsidR="00A053EB" w:rsidRPr="00B15C89" w:rsidTr="0041655A">
        <w:trPr>
          <w:jc w:val="center"/>
        </w:trPr>
        <w:tc>
          <w:tcPr>
            <w:tcW w:w="4818" w:type="dxa"/>
            <w:tcBorders>
              <w:top w:val="single" w:sz="2" w:space="0" w:color="auto"/>
              <w:bottom w:val="single" w:sz="2" w:space="0" w:color="auto"/>
            </w:tcBorders>
            <w:vAlign w:val="center"/>
          </w:tcPr>
          <w:p w:rsidR="00A053EB" w:rsidRPr="00F37D64" w:rsidRDefault="00A053EB" w:rsidP="00BB1149">
            <w:pPr>
              <w:pStyle w:val="Tabla"/>
              <w:spacing w:before="60" w:after="60"/>
              <w:rPr>
                <w:rFonts w:ascii="Arial Narrow" w:hAnsi="Arial Narrow" w:cs="Arial"/>
                <w:snapToGrid w:val="0"/>
                <w:sz w:val="20"/>
              </w:rPr>
            </w:pPr>
            <w:r w:rsidRPr="00F37D64">
              <w:rPr>
                <w:rFonts w:ascii="Arial Narrow" w:hAnsi="Arial Narrow" w:cs="Arial"/>
                <w:snapToGrid w:val="0"/>
                <w:sz w:val="20"/>
              </w:rPr>
              <w:t>c) Prestaciones de servicios.</w:t>
            </w:r>
          </w:p>
        </w:tc>
        <w:tc>
          <w:tcPr>
            <w:tcW w:w="1957" w:type="dxa"/>
            <w:tcBorders>
              <w:top w:val="single" w:sz="2" w:space="0" w:color="auto"/>
              <w:bottom w:val="single" w:sz="2" w:space="0" w:color="auto"/>
            </w:tcBorders>
            <w:vAlign w:val="center"/>
          </w:tcPr>
          <w:p w:rsidR="00A053EB" w:rsidRPr="00F37D64" w:rsidRDefault="00A053EB" w:rsidP="006F0129">
            <w:pPr>
              <w:spacing w:after="0"/>
              <w:jc w:val="right"/>
              <w:rPr>
                <w:rFonts w:ascii="Arial Narrow" w:hAnsi="Arial Narrow" w:cs="Arial"/>
                <w:snapToGrid w:val="0"/>
                <w:color w:val="000000"/>
              </w:rPr>
            </w:pPr>
            <w:r w:rsidRPr="00F37D64">
              <w:rPr>
                <w:rFonts w:ascii="Arial Narrow" w:hAnsi="Arial Narrow" w:cs="Arial"/>
                <w:snapToGrid w:val="0"/>
                <w:color w:val="000000"/>
              </w:rPr>
              <w:t>14.841.563</w:t>
            </w:r>
          </w:p>
        </w:tc>
        <w:tc>
          <w:tcPr>
            <w:tcW w:w="2077" w:type="dxa"/>
            <w:tcBorders>
              <w:top w:val="single" w:sz="2" w:space="0" w:color="auto"/>
              <w:bottom w:val="single" w:sz="2" w:space="0" w:color="auto"/>
            </w:tcBorders>
            <w:vAlign w:val="center"/>
          </w:tcPr>
          <w:p w:rsidR="00A053EB" w:rsidRPr="00F37D64" w:rsidRDefault="00A053EB" w:rsidP="006F0129">
            <w:pPr>
              <w:spacing w:after="0"/>
              <w:jc w:val="right"/>
              <w:rPr>
                <w:rFonts w:ascii="Arial Narrow" w:hAnsi="Arial Narrow" w:cs="Arial"/>
                <w:snapToGrid w:val="0"/>
                <w:color w:val="000000"/>
              </w:rPr>
            </w:pPr>
            <w:r w:rsidRPr="00F37D64">
              <w:rPr>
                <w:rFonts w:ascii="Arial Narrow" w:hAnsi="Arial Narrow" w:cs="Arial"/>
                <w:snapToGrid w:val="0"/>
                <w:color w:val="000000"/>
              </w:rPr>
              <w:t>13.253.726</w:t>
            </w:r>
          </w:p>
        </w:tc>
      </w:tr>
      <w:tr w:rsidR="00A053EB" w:rsidRPr="00B15C89" w:rsidTr="0041655A">
        <w:trPr>
          <w:jc w:val="center"/>
        </w:trPr>
        <w:tc>
          <w:tcPr>
            <w:tcW w:w="4818" w:type="dxa"/>
            <w:tcBorders>
              <w:top w:val="single" w:sz="2" w:space="0" w:color="auto"/>
              <w:bottom w:val="single" w:sz="2" w:space="0" w:color="auto"/>
            </w:tcBorders>
            <w:vAlign w:val="center"/>
          </w:tcPr>
          <w:p w:rsidR="00A053EB" w:rsidRPr="00B15C89" w:rsidRDefault="00A053EB" w:rsidP="00BB1149">
            <w:pPr>
              <w:pStyle w:val="Tabla"/>
              <w:spacing w:before="60" w:after="60"/>
              <w:rPr>
                <w:rFonts w:ascii="Arial Narrow" w:hAnsi="Arial Narrow" w:cs="Arial"/>
                <w:snapToGrid w:val="0"/>
                <w:sz w:val="20"/>
              </w:rPr>
            </w:pPr>
            <w:r w:rsidRPr="00B15C89">
              <w:rPr>
                <w:rFonts w:ascii="Arial Narrow" w:hAnsi="Arial Narrow" w:cs="Arial"/>
                <w:snapToGrid w:val="0"/>
                <w:sz w:val="20"/>
              </w:rPr>
              <w:t>c.1)Precios públicos por prestación de servicios</w:t>
            </w:r>
          </w:p>
        </w:tc>
        <w:tc>
          <w:tcPr>
            <w:tcW w:w="1957" w:type="dxa"/>
            <w:tcBorders>
              <w:top w:val="single" w:sz="2" w:space="0" w:color="auto"/>
              <w:bottom w:val="single" w:sz="2" w:space="0" w:color="auto"/>
            </w:tcBorders>
            <w:vAlign w:val="center"/>
          </w:tcPr>
          <w:p w:rsidR="00A053EB" w:rsidRPr="009F5D86" w:rsidRDefault="00A053EB" w:rsidP="00BB1149">
            <w:pPr>
              <w:spacing w:after="0"/>
              <w:jc w:val="right"/>
              <w:rPr>
                <w:rFonts w:ascii="Arial Narrow" w:hAnsi="Arial Narrow" w:cs="Arial"/>
                <w:snapToGrid w:val="0"/>
                <w:color w:val="000000"/>
              </w:rPr>
            </w:pPr>
            <w:r w:rsidRPr="009F5D86">
              <w:rPr>
                <w:rFonts w:ascii="Arial Narrow" w:hAnsi="Arial Narrow" w:cs="Arial"/>
                <w:snapToGrid w:val="0"/>
                <w:color w:val="000000"/>
              </w:rPr>
              <w:t>14.841.563</w:t>
            </w:r>
          </w:p>
        </w:tc>
        <w:tc>
          <w:tcPr>
            <w:tcW w:w="2077" w:type="dxa"/>
            <w:tcBorders>
              <w:top w:val="single" w:sz="2" w:space="0" w:color="auto"/>
              <w:bottom w:val="single" w:sz="2" w:space="0" w:color="auto"/>
            </w:tcBorders>
            <w:vAlign w:val="center"/>
          </w:tcPr>
          <w:p w:rsidR="00A053EB" w:rsidRPr="009F5D86" w:rsidRDefault="00A053EB" w:rsidP="00BB1149">
            <w:pPr>
              <w:spacing w:after="0"/>
              <w:jc w:val="right"/>
              <w:rPr>
                <w:rFonts w:ascii="Arial Narrow" w:hAnsi="Arial Narrow" w:cs="Arial"/>
                <w:snapToGrid w:val="0"/>
                <w:color w:val="000000"/>
              </w:rPr>
            </w:pPr>
            <w:r w:rsidRPr="009F5D86">
              <w:rPr>
                <w:rFonts w:ascii="Arial Narrow" w:hAnsi="Arial Narrow" w:cs="Arial"/>
                <w:snapToGrid w:val="0"/>
                <w:color w:val="000000"/>
              </w:rPr>
              <w:t>13.253.726</w:t>
            </w:r>
          </w:p>
        </w:tc>
      </w:tr>
      <w:tr w:rsidR="00A053EB" w:rsidRPr="00B15C89" w:rsidTr="0041655A">
        <w:trPr>
          <w:jc w:val="center"/>
        </w:trPr>
        <w:tc>
          <w:tcPr>
            <w:tcW w:w="4818" w:type="dxa"/>
            <w:tcBorders>
              <w:top w:val="single" w:sz="2" w:space="0" w:color="auto"/>
              <w:bottom w:val="single" w:sz="2" w:space="0" w:color="auto"/>
            </w:tcBorders>
            <w:vAlign w:val="center"/>
          </w:tcPr>
          <w:p w:rsidR="00A053EB" w:rsidRPr="00B15C89" w:rsidRDefault="00A053EB" w:rsidP="00BB1149">
            <w:pPr>
              <w:pStyle w:val="Tabla"/>
              <w:spacing w:before="60" w:after="60"/>
              <w:rPr>
                <w:rFonts w:ascii="Arial Narrow" w:hAnsi="Arial Narrow" w:cs="Arial"/>
                <w:b/>
                <w:snapToGrid w:val="0"/>
                <w:sz w:val="20"/>
              </w:rPr>
            </w:pPr>
            <w:r w:rsidRPr="00B15C89">
              <w:rPr>
                <w:rFonts w:ascii="Arial Narrow" w:hAnsi="Arial Narrow" w:cs="Arial"/>
                <w:b/>
                <w:snapToGrid w:val="0"/>
                <w:sz w:val="20"/>
              </w:rPr>
              <w:t>2. Otros ingresos de gestión ordinaria</w:t>
            </w:r>
          </w:p>
        </w:tc>
        <w:tc>
          <w:tcPr>
            <w:tcW w:w="1957" w:type="dxa"/>
            <w:tcBorders>
              <w:top w:val="single" w:sz="2" w:space="0" w:color="auto"/>
              <w:bottom w:val="single" w:sz="2" w:space="0" w:color="auto"/>
            </w:tcBorders>
            <w:vAlign w:val="center"/>
          </w:tcPr>
          <w:p w:rsidR="00A053EB" w:rsidRPr="00A053EB" w:rsidRDefault="00A053EB" w:rsidP="006F0129">
            <w:pPr>
              <w:spacing w:after="0"/>
              <w:jc w:val="right"/>
              <w:rPr>
                <w:rFonts w:ascii="Arial Narrow" w:hAnsi="Arial Narrow" w:cs="Arial"/>
                <w:b/>
                <w:snapToGrid w:val="0"/>
                <w:color w:val="000000"/>
              </w:rPr>
            </w:pPr>
            <w:r w:rsidRPr="00A053EB">
              <w:rPr>
                <w:rFonts w:ascii="Arial Narrow" w:hAnsi="Arial Narrow" w:cs="Arial"/>
                <w:b/>
                <w:snapToGrid w:val="0"/>
                <w:color w:val="000000"/>
              </w:rPr>
              <w:t>108.622.530</w:t>
            </w:r>
          </w:p>
        </w:tc>
        <w:tc>
          <w:tcPr>
            <w:tcW w:w="2077" w:type="dxa"/>
            <w:tcBorders>
              <w:top w:val="single" w:sz="2" w:space="0" w:color="auto"/>
              <w:bottom w:val="single" w:sz="2" w:space="0" w:color="auto"/>
            </w:tcBorders>
            <w:vAlign w:val="center"/>
          </w:tcPr>
          <w:p w:rsidR="00A053EB" w:rsidRPr="00A053EB" w:rsidRDefault="00A053EB" w:rsidP="006F0129">
            <w:pPr>
              <w:spacing w:after="0"/>
              <w:jc w:val="right"/>
              <w:rPr>
                <w:rFonts w:ascii="Arial Narrow" w:hAnsi="Arial Narrow" w:cs="Arial"/>
                <w:b/>
                <w:snapToGrid w:val="0"/>
                <w:color w:val="000000"/>
              </w:rPr>
            </w:pPr>
            <w:r w:rsidRPr="00A053EB">
              <w:rPr>
                <w:rFonts w:ascii="Arial Narrow" w:hAnsi="Arial Narrow" w:cs="Arial"/>
                <w:b/>
                <w:snapToGrid w:val="0"/>
                <w:color w:val="000000"/>
              </w:rPr>
              <w:t>127.676.667</w:t>
            </w:r>
          </w:p>
        </w:tc>
      </w:tr>
      <w:tr w:rsidR="00A053EB" w:rsidRPr="00B15C89" w:rsidTr="0041655A">
        <w:trPr>
          <w:jc w:val="center"/>
        </w:trPr>
        <w:tc>
          <w:tcPr>
            <w:tcW w:w="4818" w:type="dxa"/>
            <w:tcBorders>
              <w:top w:val="single" w:sz="2" w:space="0" w:color="auto"/>
              <w:bottom w:val="single" w:sz="2" w:space="0" w:color="auto"/>
            </w:tcBorders>
            <w:vAlign w:val="center"/>
          </w:tcPr>
          <w:p w:rsidR="00A053EB" w:rsidRPr="00B15C89" w:rsidRDefault="00A053EB" w:rsidP="00BB1149">
            <w:pPr>
              <w:pStyle w:val="Tabla"/>
              <w:spacing w:before="60" w:after="60"/>
              <w:rPr>
                <w:rFonts w:ascii="Arial Narrow" w:hAnsi="Arial Narrow" w:cs="Arial"/>
                <w:snapToGrid w:val="0"/>
                <w:sz w:val="20"/>
              </w:rPr>
            </w:pPr>
            <w:r w:rsidRPr="00B15C89">
              <w:rPr>
                <w:rFonts w:ascii="Arial Narrow" w:hAnsi="Arial Narrow" w:cs="Arial"/>
                <w:snapToGrid w:val="0"/>
                <w:sz w:val="20"/>
              </w:rPr>
              <w:t>a) Reintegros</w:t>
            </w:r>
          </w:p>
        </w:tc>
        <w:tc>
          <w:tcPr>
            <w:tcW w:w="1957" w:type="dxa"/>
            <w:tcBorders>
              <w:top w:val="single" w:sz="2" w:space="0" w:color="auto"/>
              <w:bottom w:val="single" w:sz="2" w:space="0" w:color="auto"/>
            </w:tcBorders>
            <w:vAlign w:val="center"/>
          </w:tcPr>
          <w:p w:rsidR="00A053EB" w:rsidRPr="009F5D86" w:rsidRDefault="00A053EB" w:rsidP="006F0129">
            <w:pPr>
              <w:spacing w:after="0"/>
              <w:jc w:val="right"/>
              <w:rPr>
                <w:rFonts w:ascii="Arial Narrow" w:hAnsi="Arial Narrow" w:cs="Arial"/>
                <w:snapToGrid w:val="0"/>
                <w:color w:val="000000"/>
              </w:rPr>
            </w:pPr>
            <w:r w:rsidRPr="009F5D86">
              <w:rPr>
                <w:rFonts w:ascii="Arial Narrow" w:hAnsi="Arial Narrow" w:cs="Arial"/>
                <w:snapToGrid w:val="0"/>
                <w:color w:val="000000"/>
              </w:rPr>
              <w:t>7.793.182</w:t>
            </w:r>
          </w:p>
        </w:tc>
        <w:tc>
          <w:tcPr>
            <w:tcW w:w="2077" w:type="dxa"/>
            <w:tcBorders>
              <w:top w:val="single" w:sz="2" w:space="0" w:color="auto"/>
              <w:bottom w:val="single" w:sz="2" w:space="0" w:color="auto"/>
            </w:tcBorders>
            <w:vAlign w:val="center"/>
          </w:tcPr>
          <w:p w:rsidR="00A053EB" w:rsidRPr="009F5D86" w:rsidRDefault="00A053EB" w:rsidP="006F0129">
            <w:pPr>
              <w:spacing w:after="0"/>
              <w:jc w:val="right"/>
              <w:rPr>
                <w:rFonts w:ascii="Arial Narrow" w:hAnsi="Arial Narrow" w:cs="Arial"/>
                <w:snapToGrid w:val="0"/>
                <w:color w:val="000000"/>
              </w:rPr>
            </w:pPr>
            <w:r w:rsidRPr="009F5D86">
              <w:rPr>
                <w:rFonts w:ascii="Arial Narrow" w:hAnsi="Arial Narrow" w:cs="Arial"/>
                <w:snapToGrid w:val="0"/>
                <w:color w:val="000000"/>
              </w:rPr>
              <w:t>27.173.525</w:t>
            </w:r>
          </w:p>
        </w:tc>
      </w:tr>
      <w:tr w:rsidR="00A053EB" w:rsidRPr="00B15C89" w:rsidTr="0041655A">
        <w:trPr>
          <w:jc w:val="center"/>
        </w:trPr>
        <w:tc>
          <w:tcPr>
            <w:tcW w:w="4818" w:type="dxa"/>
            <w:tcBorders>
              <w:top w:val="single" w:sz="2" w:space="0" w:color="auto"/>
              <w:bottom w:val="single" w:sz="2" w:space="0" w:color="auto"/>
            </w:tcBorders>
            <w:vAlign w:val="center"/>
          </w:tcPr>
          <w:p w:rsidR="00A053EB" w:rsidRPr="00B15C89" w:rsidRDefault="00A053EB" w:rsidP="00BB1149">
            <w:pPr>
              <w:pStyle w:val="Tabla"/>
              <w:spacing w:before="60" w:after="60"/>
              <w:rPr>
                <w:rFonts w:ascii="Arial Narrow" w:hAnsi="Arial Narrow" w:cs="Arial"/>
                <w:snapToGrid w:val="0"/>
                <w:sz w:val="20"/>
              </w:rPr>
            </w:pPr>
            <w:r w:rsidRPr="00B15C89">
              <w:rPr>
                <w:rFonts w:ascii="Arial Narrow" w:hAnsi="Arial Narrow" w:cs="Arial"/>
                <w:snapToGrid w:val="0"/>
                <w:sz w:val="20"/>
              </w:rPr>
              <w:t xml:space="preserve">b) Ventas y prestaciones de servicios </w:t>
            </w:r>
          </w:p>
        </w:tc>
        <w:tc>
          <w:tcPr>
            <w:tcW w:w="1957" w:type="dxa"/>
            <w:tcBorders>
              <w:top w:val="single" w:sz="2" w:space="0" w:color="auto"/>
              <w:bottom w:val="single" w:sz="2" w:space="0" w:color="auto"/>
            </w:tcBorders>
            <w:vAlign w:val="center"/>
          </w:tcPr>
          <w:p w:rsidR="00A053EB" w:rsidRPr="009F5D86" w:rsidRDefault="00A053EB" w:rsidP="006F0129">
            <w:pPr>
              <w:spacing w:after="0"/>
              <w:jc w:val="right"/>
              <w:rPr>
                <w:rFonts w:ascii="Arial Narrow" w:hAnsi="Arial Narrow" w:cs="Arial"/>
                <w:snapToGrid w:val="0"/>
                <w:color w:val="000000"/>
              </w:rPr>
            </w:pPr>
            <w:r w:rsidRPr="009F5D86">
              <w:rPr>
                <w:rFonts w:ascii="Arial Narrow" w:hAnsi="Arial Narrow" w:cs="Arial"/>
                <w:snapToGrid w:val="0"/>
                <w:color w:val="000000"/>
              </w:rPr>
              <w:t>40.280.194</w:t>
            </w:r>
          </w:p>
        </w:tc>
        <w:tc>
          <w:tcPr>
            <w:tcW w:w="2077" w:type="dxa"/>
            <w:tcBorders>
              <w:top w:val="single" w:sz="2" w:space="0" w:color="auto"/>
              <w:bottom w:val="single" w:sz="2" w:space="0" w:color="auto"/>
            </w:tcBorders>
            <w:vAlign w:val="center"/>
          </w:tcPr>
          <w:p w:rsidR="00A053EB" w:rsidRPr="009F5D86" w:rsidRDefault="00A053EB" w:rsidP="006F0129">
            <w:pPr>
              <w:spacing w:after="0"/>
              <w:jc w:val="right"/>
              <w:rPr>
                <w:rFonts w:ascii="Arial Narrow" w:hAnsi="Arial Narrow" w:cs="Arial"/>
                <w:snapToGrid w:val="0"/>
                <w:color w:val="000000"/>
              </w:rPr>
            </w:pPr>
            <w:r w:rsidRPr="009F5D86">
              <w:rPr>
                <w:rFonts w:ascii="Arial Narrow" w:hAnsi="Arial Narrow" w:cs="Arial"/>
                <w:snapToGrid w:val="0"/>
                <w:color w:val="000000"/>
              </w:rPr>
              <w:t>35.914.974</w:t>
            </w:r>
          </w:p>
        </w:tc>
      </w:tr>
      <w:tr w:rsidR="00A053EB" w:rsidRPr="00B15C89" w:rsidTr="0041655A">
        <w:trPr>
          <w:jc w:val="center"/>
        </w:trPr>
        <w:tc>
          <w:tcPr>
            <w:tcW w:w="4818" w:type="dxa"/>
            <w:tcBorders>
              <w:top w:val="single" w:sz="2" w:space="0" w:color="auto"/>
              <w:bottom w:val="single" w:sz="2" w:space="0" w:color="auto"/>
            </w:tcBorders>
            <w:vAlign w:val="center"/>
          </w:tcPr>
          <w:p w:rsidR="00A053EB" w:rsidRPr="00B15C89" w:rsidRDefault="00A053EB" w:rsidP="00BB1149">
            <w:pPr>
              <w:pStyle w:val="Tabla"/>
              <w:spacing w:before="60" w:after="60"/>
              <w:rPr>
                <w:rFonts w:ascii="Arial Narrow" w:hAnsi="Arial Narrow" w:cs="Arial"/>
                <w:snapToGrid w:val="0"/>
                <w:sz w:val="20"/>
              </w:rPr>
            </w:pPr>
            <w:r w:rsidRPr="00B15C89">
              <w:rPr>
                <w:rFonts w:ascii="Arial Narrow" w:hAnsi="Arial Narrow" w:cs="Arial"/>
                <w:snapToGrid w:val="0"/>
                <w:sz w:val="20"/>
              </w:rPr>
              <w:t>c)</w:t>
            </w:r>
            <w:r>
              <w:rPr>
                <w:rFonts w:ascii="Arial Narrow" w:hAnsi="Arial Narrow" w:cs="Arial"/>
                <w:snapToGrid w:val="0"/>
                <w:sz w:val="20"/>
              </w:rPr>
              <w:t xml:space="preserve"> </w:t>
            </w:r>
            <w:r w:rsidRPr="00B15C89">
              <w:rPr>
                <w:rFonts w:ascii="Arial Narrow" w:hAnsi="Arial Narrow" w:cs="Arial"/>
                <w:snapToGrid w:val="0"/>
                <w:sz w:val="20"/>
              </w:rPr>
              <w:t xml:space="preserve">Otros ingresos de gestión </w:t>
            </w:r>
          </w:p>
        </w:tc>
        <w:tc>
          <w:tcPr>
            <w:tcW w:w="1957" w:type="dxa"/>
            <w:tcBorders>
              <w:top w:val="single" w:sz="2" w:space="0" w:color="auto"/>
              <w:bottom w:val="single" w:sz="2" w:space="0" w:color="auto"/>
            </w:tcBorders>
            <w:vAlign w:val="center"/>
          </w:tcPr>
          <w:p w:rsidR="00A053EB" w:rsidRPr="009F5D86" w:rsidRDefault="00A053EB" w:rsidP="006F0129">
            <w:pPr>
              <w:spacing w:after="0"/>
              <w:jc w:val="right"/>
              <w:rPr>
                <w:rFonts w:ascii="Arial Narrow" w:hAnsi="Arial Narrow" w:cs="Arial"/>
                <w:snapToGrid w:val="0"/>
                <w:color w:val="000000"/>
              </w:rPr>
            </w:pPr>
            <w:r w:rsidRPr="009F5D86">
              <w:rPr>
                <w:rFonts w:ascii="Arial Narrow" w:hAnsi="Arial Narrow" w:cs="Arial"/>
                <w:snapToGrid w:val="0"/>
                <w:color w:val="000000"/>
              </w:rPr>
              <w:t>39.033.096</w:t>
            </w:r>
          </w:p>
        </w:tc>
        <w:tc>
          <w:tcPr>
            <w:tcW w:w="2077" w:type="dxa"/>
            <w:tcBorders>
              <w:top w:val="single" w:sz="2" w:space="0" w:color="auto"/>
              <w:bottom w:val="single" w:sz="2" w:space="0" w:color="auto"/>
            </w:tcBorders>
            <w:vAlign w:val="center"/>
          </w:tcPr>
          <w:p w:rsidR="00A053EB" w:rsidRPr="009F5D86" w:rsidRDefault="00A053EB" w:rsidP="006F0129">
            <w:pPr>
              <w:spacing w:after="0"/>
              <w:jc w:val="right"/>
              <w:rPr>
                <w:rFonts w:ascii="Arial Narrow" w:hAnsi="Arial Narrow" w:cs="Arial"/>
                <w:snapToGrid w:val="0"/>
                <w:color w:val="000000"/>
              </w:rPr>
            </w:pPr>
            <w:r w:rsidRPr="009F5D86">
              <w:rPr>
                <w:rFonts w:ascii="Arial Narrow" w:hAnsi="Arial Narrow" w:cs="Arial"/>
                <w:snapToGrid w:val="0"/>
                <w:color w:val="000000"/>
              </w:rPr>
              <w:t>44.173.738</w:t>
            </w:r>
          </w:p>
        </w:tc>
      </w:tr>
      <w:tr w:rsidR="00A053EB" w:rsidRPr="00B15C89" w:rsidTr="0041655A">
        <w:trPr>
          <w:jc w:val="center"/>
        </w:trPr>
        <w:tc>
          <w:tcPr>
            <w:tcW w:w="4818" w:type="dxa"/>
            <w:tcBorders>
              <w:top w:val="single" w:sz="2" w:space="0" w:color="auto"/>
              <w:bottom w:val="single" w:sz="2" w:space="0" w:color="auto"/>
            </w:tcBorders>
            <w:vAlign w:val="center"/>
          </w:tcPr>
          <w:p w:rsidR="00A053EB" w:rsidRPr="00B15C89" w:rsidRDefault="00A053EB" w:rsidP="00BB1149">
            <w:pPr>
              <w:pStyle w:val="Tabla"/>
              <w:spacing w:before="60" w:after="60"/>
              <w:rPr>
                <w:rFonts w:ascii="Arial Narrow" w:hAnsi="Arial Narrow" w:cs="Arial"/>
                <w:snapToGrid w:val="0"/>
                <w:sz w:val="20"/>
              </w:rPr>
            </w:pPr>
            <w:r w:rsidRPr="00B15C89">
              <w:rPr>
                <w:rFonts w:ascii="Arial Narrow" w:hAnsi="Arial Narrow" w:cs="Arial"/>
                <w:snapToGrid w:val="0"/>
                <w:sz w:val="20"/>
              </w:rPr>
              <w:t>c.1) Ingresos accesorios y otros de gestión corriente</w:t>
            </w:r>
          </w:p>
        </w:tc>
        <w:tc>
          <w:tcPr>
            <w:tcW w:w="1957" w:type="dxa"/>
            <w:tcBorders>
              <w:top w:val="single" w:sz="2" w:space="0" w:color="auto"/>
              <w:bottom w:val="single" w:sz="2" w:space="0" w:color="auto"/>
            </w:tcBorders>
            <w:vAlign w:val="center"/>
          </w:tcPr>
          <w:p w:rsidR="00A053EB" w:rsidRPr="009F5D86" w:rsidRDefault="00A053EB" w:rsidP="006F0129">
            <w:pPr>
              <w:spacing w:after="0"/>
              <w:jc w:val="right"/>
              <w:rPr>
                <w:rFonts w:ascii="Arial Narrow" w:hAnsi="Arial Narrow" w:cs="Arial"/>
                <w:snapToGrid w:val="0"/>
                <w:color w:val="000000"/>
              </w:rPr>
            </w:pPr>
            <w:r w:rsidRPr="009F5D86">
              <w:rPr>
                <w:rFonts w:ascii="Arial Narrow" w:hAnsi="Arial Narrow" w:cs="Arial"/>
                <w:snapToGrid w:val="0"/>
                <w:color w:val="000000"/>
              </w:rPr>
              <w:t>39.033.096</w:t>
            </w:r>
          </w:p>
        </w:tc>
        <w:tc>
          <w:tcPr>
            <w:tcW w:w="2077" w:type="dxa"/>
            <w:tcBorders>
              <w:top w:val="single" w:sz="2" w:space="0" w:color="auto"/>
              <w:bottom w:val="single" w:sz="2" w:space="0" w:color="auto"/>
            </w:tcBorders>
            <w:vAlign w:val="center"/>
          </w:tcPr>
          <w:p w:rsidR="00A053EB" w:rsidRPr="009F5D86" w:rsidRDefault="00A053EB" w:rsidP="006F0129">
            <w:pPr>
              <w:spacing w:after="0"/>
              <w:jc w:val="right"/>
              <w:rPr>
                <w:rFonts w:ascii="Arial Narrow" w:hAnsi="Arial Narrow" w:cs="Arial"/>
                <w:snapToGrid w:val="0"/>
                <w:color w:val="000000"/>
              </w:rPr>
            </w:pPr>
            <w:r w:rsidRPr="009F5D86">
              <w:rPr>
                <w:rFonts w:ascii="Arial Narrow" w:hAnsi="Arial Narrow" w:cs="Arial"/>
                <w:snapToGrid w:val="0"/>
                <w:color w:val="000000"/>
              </w:rPr>
              <w:t>44.173.738</w:t>
            </w:r>
          </w:p>
        </w:tc>
      </w:tr>
      <w:tr w:rsidR="00A053EB" w:rsidRPr="00B15C89" w:rsidTr="0041655A">
        <w:trPr>
          <w:jc w:val="center"/>
        </w:trPr>
        <w:tc>
          <w:tcPr>
            <w:tcW w:w="4818" w:type="dxa"/>
            <w:tcBorders>
              <w:top w:val="single" w:sz="2" w:space="0" w:color="auto"/>
              <w:bottom w:val="single" w:sz="2" w:space="0" w:color="auto"/>
            </w:tcBorders>
            <w:vAlign w:val="center"/>
          </w:tcPr>
          <w:p w:rsidR="00A053EB" w:rsidRPr="00B15C89" w:rsidRDefault="00A053EB" w:rsidP="00BB1149">
            <w:pPr>
              <w:pStyle w:val="Tabla"/>
              <w:spacing w:before="60" w:after="60"/>
              <w:rPr>
                <w:rFonts w:ascii="Arial Narrow" w:hAnsi="Arial Narrow" w:cs="Arial"/>
                <w:snapToGrid w:val="0"/>
                <w:sz w:val="20"/>
              </w:rPr>
            </w:pPr>
            <w:r w:rsidRPr="00B15C89">
              <w:rPr>
                <w:rFonts w:ascii="Arial Narrow" w:hAnsi="Arial Narrow" w:cs="Arial"/>
                <w:snapToGrid w:val="0"/>
                <w:sz w:val="20"/>
              </w:rPr>
              <w:t>f) Otros ingresos financieros</w:t>
            </w:r>
          </w:p>
        </w:tc>
        <w:tc>
          <w:tcPr>
            <w:tcW w:w="1957" w:type="dxa"/>
            <w:tcBorders>
              <w:top w:val="single" w:sz="2" w:space="0" w:color="auto"/>
              <w:bottom w:val="single" w:sz="2" w:space="0" w:color="auto"/>
            </w:tcBorders>
            <w:vAlign w:val="center"/>
          </w:tcPr>
          <w:p w:rsidR="00A053EB" w:rsidRPr="009F5D86" w:rsidRDefault="00A053EB" w:rsidP="00BB1149">
            <w:pPr>
              <w:spacing w:after="0"/>
              <w:jc w:val="right"/>
              <w:rPr>
                <w:rFonts w:ascii="Arial Narrow" w:hAnsi="Arial Narrow" w:cs="Arial"/>
                <w:snapToGrid w:val="0"/>
                <w:color w:val="000000"/>
              </w:rPr>
            </w:pPr>
            <w:r w:rsidRPr="009F5D86">
              <w:rPr>
                <w:rFonts w:ascii="Arial Narrow" w:hAnsi="Arial Narrow" w:cs="Arial"/>
                <w:snapToGrid w:val="0"/>
                <w:color w:val="000000"/>
              </w:rPr>
              <w:t>21.515.878</w:t>
            </w:r>
          </w:p>
        </w:tc>
        <w:tc>
          <w:tcPr>
            <w:tcW w:w="2077" w:type="dxa"/>
            <w:tcBorders>
              <w:top w:val="single" w:sz="2" w:space="0" w:color="auto"/>
              <w:bottom w:val="single" w:sz="2" w:space="0" w:color="auto"/>
            </w:tcBorders>
            <w:vAlign w:val="center"/>
          </w:tcPr>
          <w:p w:rsidR="00A053EB" w:rsidRPr="009F5D86" w:rsidRDefault="00A053EB" w:rsidP="00BB1149">
            <w:pPr>
              <w:spacing w:after="0"/>
              <w:jc w:val="right"/>
              <w:rPr>
                <w:rFonts w:ascii="Arial Narrow" w:hAnsi="Arial Narrow" w:cs="Arial"/>
                <w:snapToGrid w:val="0"/>
                <w:color w:val="000000"/>
              </w:rPr>
            </w:pPr>
            <w:r w:rsidRPr="009F5D86">
              <w:rPr>
                <w:rFonts w:ascii="Arial Narrow" w:hAnsi="Arial Narrow" w:cs="Arial"/>
                <w:snapToGrid w:val="0"/>
                <w:color w:val="000000"/>
              </w:rPr>
              <w:t>20.414.430</w:t>
            </w:r>
          </w:p>
        </w:tc>
      </w:tr>
      <w:tr w:rsidR="00A053EB" w:rsidRPr="00B15C89" w:rsidTr="0041655A">
        <w:trPr>
          <w:jc w:val="center"/>
        </w:trPr>
        <w:tc>
          <w:tcPr>
            <w:tcW w:w="4818" w:type="dxa"/>
            <w:tcBorders>
              <w:top w:val="single" w:sz="2" w:space="0" w:color="auto"/>
              <w:bottom w:val="single" w:sz="2" w:space="0" w:color="auto"/>
            </w:tcBorders>
            <w:vAlign w:val="center"/>
          </w:tcPr>
          <w:p w:rsidR="00A053EB" w:rsidRPr="00B15C89" w:rsidRDefault="00A053EB" w:rsidP="00BB1149">
            <w:pPr>
              <w:pStyle w:val="Tabla"/>
              <w:spacing w:before="60" w:after="60"/>
              <w:rPr>
                <w:rFonts w:ascii="Arial Narrow" w:hAnsi="Arial Narrow" w:cs="Arial"/>
                <w:snapToGrid w:val="0"/>
                <w:sz w:val="20"/>
              </w:rPr>
            </w:pPr>
            <w:r w:rsidRPr="00B15C89">
              <w:rPr>
                <w:rFonts w:ascii="Arial Narrow" w:hAnsi="Arial Narrow" w:cs="Arial"/>
                <w:snapToGrid w:val="0"/>
                <w:sz w:val="20"/>
              </w:rPr>
              <w:t xml:space="preserve">f.1) Otros intereses </w:t>
            </w:r>
          </w:p>
        </w:tc>
        <w:tc>
          <w:tcPr>
            <w:tcW w:w="1957" w:type="dxa"/>
            <w:tcBorders>
              <w:top w:val="single" w:sz="2" w:space="0" w:color="auto"/>
              <w:bottom w:val="single" w:sz="2" w:space="0" w:color="auto"/>
            </w:tcBorders>
            <w:vAlign w:val="center"/>
          </w:tcPr>
          <w:p w:rsidR="00A053EB" w:rsidRPr="009F5D86" w:rsidRDefault="00A053EB" w:rsidP="00BB1149">
            <w:pPr>
              <w:spacing w:after="0"/>
              <w:jc w:val="right"/>
              <w:rPr>
                <w:rFonts w:ascii="Arial Narrow" w:hAnsi="Arial Narrow" w:cs="Arial"/>
                <w:snapToGrid w:val="0"/>
                <w:color w:val="000000"/>
              </w:rPr>
            </w:pPr>
            <w:r w:rsidRPr="009F5D86">
              <w:rPr>
                <w:rFonts w:ascii="Arial Narrow" w:hAnsi="Arial Narrow" w:cs="Arial"/>
                <w:snapToGrid w:val="0"/>
                <w:color w:val="000000"/>
              </w:rPr>
              <w:t>21.515.878</w:t>
            </w:r>
          </w:p>
        </w:tc>
        <w:tc>
          <w:tcPr>
            <w:tcW w:w="2077" w:type="dxa"/>
            <w:tcBorders>
              <w:top w:val="single" w:sz="2" w:space="0" w:color="auto"/>
              <w:bottom w:val="single" w:sz="2" w:space="0" w:color="auto"/>
            </w:tcBorders>
            <w:vAlign w:val="center"/>
          </w:tcPr>
          <w:p w:rsidR="00A053EB" w:rsidRPr="009F5D86" w:rsidRDefault="00A053EB" w:rsidP="00BB1149">
            <w:pPr>
              <w:spacing w:after="0"/>
              <w:jc w:val="right"/>
              <w:rPr>
                <w:rFonts w:ascii="Arial Narrow" w:hAnsi="Arial Narrow" w:cs="Arial"/>
                <w:snapToGrid w:val="0"/>
                <w:color w:val="000000"/>
              </w:rPr>
            </w:pPr>
            <w:r w:rsidRPr="009F5D86">
              <w:rPr>
                <w:rFonts w:ascii="Arial Narrow" w:hAnsi="Arial Narrow" w:cs="Arial"/>
                <w:snapToGrid w:val="0"/>
                <w:color w:val="000000"/>
              </w:rPr>
              <w:t>20.414.430</w:t>
            </w:r>
          </w:p>
        </w:tc>
      </w:tr>
      <w:tr w:rsidR="00A053EB" w:rsidRPr="00B15C89" w:rsidTr="0041655A">
        <w:trPr>
          <w:jc w:val="center"/>
        </w:trPr>
        <w:tc>
          <w:tcPr>
            <w:tcW w:w="4818" w:type="dxa"/>
            <w:tcBorders>
              <w:top w:val="single" w:sz="2" w:space="0" w:color="auto"/>
              <w:bottom w:val="single" w:sz="2" w:space="0" w:color="auto"/>
            </w:tcBorders>
            <w:vAlign w:val="center"/>
          </w:tcPr>
          <w:p w:rsidR="00A053EB" w:rsidRPr="00B15C89" w:rsidRDefault="00A053EB" w:rsidP="00BB1149">
            <w:pPr>
              <w:pStyle w:val="Tabla"/>
              <w:spacing w:before="60" w:after="60"/>
              <w:rPr>
                <w:rFonts w:ascii="Arial Narrow" w:hAnsi="Arial Narrow" w:cs="Arial"/>
                <w:b/>
                <w:snapToGrid w:val="0"/>
                <w:sz w:val="20"/>
              </w:rPr>
            </w:pPr>
            <w:r w:rsidRPr="00B15C89">
              <w:rPr>
                <w:rFonts w:ascii="Arial Narrow" w:hAnsi="Arial Narrow" w:cs="Arial"/>
                <w:b/>
                <w:snapToGrid w:val="0"/>
                <w:sz w:val="20"/>
              </w:rPr>
              <w:t xml:space="preserve">3. Transferencias y subvenciones </w:t>
            </w:r>
          </w:p>
        </w:tc>
        <w:tc>
          <w:tcPr>
            <w:tcW w:w="1957" w:type="dxa"/>
            <w:tcBorders>
              <w:top w:val="single" w:sz="2" w:space="0" w:color="auto"/>
              <w:bottom w:val="single" w:sz="2" w:space="0" w:color="auto"/>
            </w:tcBorders>
            <w:vAlign w:val="center"/>
          </w:tcPr>
          <w:p w:rsidR="00A053EB" w:rsidRPr="00515CF9" w:rsidRDefault="00A053EB" w:rsidP="00BB1149">
            <w:pPr>
              <w:spacing w:after="0"/>
              <w:jc w:val="right"/>
              <w:rPr>
                <w:rFonts w:ascii="Arial Narrow" w:hAnsi="Arial Narrow" w:cs="Arial"/>
                <w:b/>
                <w:snapToGrid w:val="0"/>
                <w:color w:val="000000"/>
              </w:rPr>
            </w:pPr>
            <w:r w:rsidRPr="00515CF9">
              <w:rPr>
                <w:rFonts w:ascii="Arial Narrow" w:hAnsi="Arial Narrow" w:cs="Arial"/>
                <w:b/>
                <w:snapToGrid w:val="0"/>
                <w:color w:val="000000"/>
              </w:rPr>
              <w:t>48.614.883</w:t>
            </w:r>
          </w:p>
        </w:tc>
        <w:tc>
          <w:tcPr>
            <w:tcW w:w="2077" w:type="dxa"/>
            <w:tcBorders>
              <w:top w:val="single" w:sz="2" w:space="0" w:color="auto"/>
              <w:bottom w:val="single" w:sz="2" w:space="0" w:color="auto"/>
            </w:tcBorders>
            <w:vAlign w:val="center"/>
          </w:tcPr>
          <w:p w:rsidR="00A053EB" w:rsidRPr="00515CF9" w:rsidRDefault="00A053EB" w:rsidP="00BB1149">
            <w:pPr>
              <w:spacing w:after="0"/>
              <w:jc w:val="right"/>
              <w:rPr>
                <w:rFonts w:ascii="Arial Narrow" w:hAnsi="Arial Narrow" w:cs="Arial"/>
                <w:b/>
                <w:snapToGrid w:val="0"/>
                <w:color w:val="000000"/>
              </w:rPr>
            </w:pPr>
            <w:r w:rsidRPr="00515CF9">
              <w:rPr>
                <w:rFonts w:ascii="Arial Narrow" w:hAnsi="Arial Narrow" w:cs="Arial"/>
                <w:b/>
                <w:snapToGrid w:val="0"/>
                <w:color w:val="000000"/>
              </w:rPr>
              <w:t>44.429.734</w:t>
            </w:r>
          </w:p>
        </w:tc>
      </w:tr>
      <w:tr w:rsidR="00A053EB" w:rsidRPr="00B15C89" w:rsidTr="0041655A">
        <w:trPr>
          <w:jc w:val="center"/>
        </w:trPr>
        <w:tc>
          <w:tcPr>
            <w:tcW w:w="4818" w:type="dxa"/>
            <w:tcBorders>
              <w:top w:val="single" w:sz="2" w:space="0" w:color="auto"/>
              <w:bottom w:val="single" w:sz="2" w:space="0" w:color="auto"/>
            </w:tcBorders>
            <w:vAlign w:val="center"/>
          </w:tcPr>
          <w:p w:rsidR="00A053EB" w:rsidRPr="00B15C89" w:rsidRDefault="00A053EB" w:rsidP="00BB1149">
            <w:pPr>
              <w:pStyle w:val="Tabla"/>
              <w:spacing w:before="60" w:after="60"/>
              <w:rPr>
                <w:rFonts w:ascii="Arial Narrow" w:hAnsi="Arial Narrow" w:cs="Arial"/>
                <w:snapToGrid w:val="0"/>
                <w:sz w:val="20"/>
              </w:rPr>
            </w:pPr>
            <w:r w:rsidRPr="00B15C89">
              <w:rPr>
                <w:rFonts w:ascii="Arial Narrow" w:hAnsi="Arial Narrow" w:cs="Arial"/>
                <w:snapToGrid w:val="0"/>
                <w:sz w:val="20"/>
              </w:rPr>
              <w:t xml:space="preserve">a) Transferencias corrientes </w:t>
            </w:r>
          </w:p>
        </w:tc>
        <w:tc>
          <w:tcPr>
            <w:tcW w:w="1957" w:type="dxa"/>
            <w:tcBorders>
              <w:top w:val="single" w:sz="2" w:space="0" w:color="auto"/>
              <w:bottom w:val="single" w:sz="2" w:space="0" w:color="auto"/>
            </w:tcBorders>
            <w:vAlign w:val="center"/>
          </w:tcPr>
          <w:p w:rsidR="00A053EB" w:rsidRPr="009F5D86" w:rsidRDefault="00A053EB" w:rsidP="00BB1149">
            <w:pPr>
              <w:spacing w:after="0"/>
              <w:jc w:val="right"/>
              <w:rPr>
                <w:rFonts w:ascii="Arial Narrow" w:hAnsi="Arial Narrow" w:cs="Arial"/>
                <w:snapToGrid w:val="0"/>
                <w:color w:val="000000"/>
              </w:rPr>
            </w:pPr>
            <w:r w:rsidRPr="009F5D86">
              <w:rPr>
                <w:rFonts w:ascii="Arial Narrow" w:hAnsi="Arial Narrow" w:cs="Arial"/>
                <w:snapToGrid w:val="0"/>
                <w:color w:val="000000"/>
              </w:rPr>
              <w:t>36.931.359</w:t>
            </w:r>
          </w:p>
        </w:tc>
        <w:tc>
          <w:tcPr>
            <w:tcW w:w="2077" w:type="dxa"/>
            <w:tcBorders>
              <w:top w:val="single" w:sz="2" w:space="0" w:color="auto"/>
              <w:bottom w:val="single" w:sz="2" w:space="0" w:color="auto"/>
            </w:tcBorders>
            <w:vAlign w:val="center"/>
          </w:tcPr>
          <w:p w:rsidR="00A053EB" w:rsidRPr="009F5D86" w:rsidRDefault="00A053EB" w:rsidP="00BB1149">
            <w:pPr>
              <w:spacing w:after="0"/>
              <w:jc w:val="right"/>
              <w:rPr>
                <w:rFonts w:ascii="Arial Narrow" w:hAnsi="Arial Narrow" w:cs="Arial"/>
                <w:snapToGrid w:val="0"/>
                <w:color w:val="000000"/>
              </w:rPr>
            </w:pPr>
            <w:r w:rsidRPr="009F5D86">
              <w:rPr>
                <w:rFonts w:ascii="Arial Narrow" w:hAnsi="Arial Narrow" w:cs="Arial"/>
                <w:snapToGrid w:val="0"/>
                <w:color w:val="000000"/>
              </w:rPr>
              <w:t>32.434.907</w:t>
            </w:r>
          </w:p>
        </w:tc>
      </w:tr>
      <w:tr w:rsidR="00A053EB" w:rsidRPr="00B15C89" w:rsidTr="0041655A">
        <w:trPr>
          <w:jc w:val="center"/>
        </w:trPr>
        <w:tc>
          <w:tcPr>
            <w:tcW w:w="4818" w:type="dxa"/>
            <w:tcBorders>
              <w:top w:val="single" w:sz="2" w:space="0" w:color="auto"/>
              <w:bottom w:val="single" w:sz="2" w:space="0" w:color="auto"/>
            </w:tcBorders>
            <w:vAlign w:val="center"/>
          </w:tcPr>
          <w:p w:rsidR="00A053EB" w:rsidRPr="00B15C89" w:rsidRDefault="00A053EB" w:rsidP="00BB1149">
            <w:pPr>
              <w:pStyle w:val="Tabla"/>
              <w:spacing w:before="60" w:after="60"/>
              <w:rPr>
                <w:rFonts w:ascii="Arial Narrow" w:hAnsi="Arial Narrow" w:cs="Arial"/>
                <w:snapToGrid w:val="0"/>
                <w:sz w:val="20"/>
              </w:rPr>
            </w:pPr>
            <w:r w:rsidRPr="00B15C89">
              <w:rPr>
                <w:rFonts w:ascii="Arial Narrow" w:hAnsi="Arial Narrow" w:cs="Arial"/>
                <w:snapToGrid w:val="0"/>
                <w:sz w:val="20"/>
              </w:rPr>
              <w:t xml:space="preserve">b) Transferencias de capital </w:t>
            </w:r>
          </w:p>
        </w:tc>
        <w:tc>
          <w:tcPr>
            <w:tcW w:w="1957" w:type="dxa"/>
            <w:tcBorders>
              <w:top w:val="single" w:sz="2" w:space="0" w:color="auto"/>
              <w:bottom w:val="single" w:sz="2" w:space="0" w:color="auto"/>
            </w:tcBorders>
            <w:vAlign w:val="center"/>
          </w:tcPr>
          <w:p w:rsidR="00A053EB" w:rsidRPr="009F5D86" w:rsidRDefault="00A053EB" w:rsidP="00BB1149">
            <w:pPr>
              <w:spacing w:after="0"/>
              <w:jc w:val="right"/>
              <w:rPr>
                <w:rFonts w:ascii="Arial Narrow" w:hAnsi="Arial Narrow" w:cs="Arial"/>
                <w:snapToGrid w:val="0"/>
                <w:color w:val="000000"/>
              </w:rPr>
            </w:pPr>
            <w:r w:rsidRPr="009F5D86">
              <w:rPr>
                <w:rFonts w:ascii="Arial Narrow" w:hAnsi="Arial Narrow" w:cs="Arial"/>
                <w:snapToGrid w:val="0"/>
                <w:color w:val="000000"/>
              </w:rPr>
              <w:t>11.683.523</w:t>
            </w:r>
          </w:p>
        </w:tc>
        <w:tc>
          <w:tcPr>
            <w:tcW w:w="2077" w:type="dxa"/>
            <w:tcBorders>
              <w:top w:val="single" w:sz="2" w:space="0" w:color="auto"/>
              <w:bottom w:val="single" w:sz="2" w:space="0" w:color="auto"/>
            </w:tcBorders>
            <w:vAlign w:val="center"/>
          </w:tcPr>
          <w:p w:rsidR="00A053EB" w:rsidRPr="009F5D86" w:rsidRDefault="00A053EB" w:rsidP="00BB1149">
            <w:pPr>
              <w:spacing w:after="0"/>
              <w:jc w:val="right"/>
              <w:rPr>
                <w:rFonts w:ascii="Arial Narrow" w:hAnsi="Arial Narrow" w:cs="Arial"/>
                <w:snapToGrid w:val="0"/>
                <w:color w:val="000000"/>
              </w:rPr>
            </w:pPr>
            <w:r w:rsidRPr="009F5D86">
              <w:rPr>
                <w:rFonts w:ascii="Arial Narrow" w:hAnsi="Arial Narrow" w:cs="Arial"/>
                <w:snapToGrid w:val="0"/>
                <w:color w:val="000000"/>
              </w:rPr>
              <w:t>11.994.827</w:t>
            </w:r>
          </w:p>
        </w:tc>
      </w:tr>
      <w:tr w:rsidR="00A053EB" w:rsidRPr="00B15C89" w:rsidTr="0041655A">
        <w:trPr>
          <w:jc w:val="center"/>
        </w:trPr>
        <w:tc>
          <w:tcPr>
            <w:tcW w:w="4818" w:type="dxa"/>
            <w:tcBorders>
              <w:top w:val="single" w:sz="2" w:space="0" w:color="auto"/>
              <w:bottom w:val="single" w:sz="2" w:space="0" w:color="auto"/>
            </w:tcBorders>
            <w:vAlign w:val="center"/>
          </w:tcPr>
          <w:p w:rsidR="00A053EB" w:rsidRPr="00B15C89" w:rsidRDefault="00A053EB" w:rsidP="00BB1149">
            <w:pPr>
              <w:pStyle w:val="Tabla"/>
              <w:spacing w:before="60" w:after="60"/>
              <w:rPr>
                <w:rFonts w:ascii="Arial Narrow" w:hAnsi="Arial Narrow" w:cs="Arial"/>
                <w:b/>
                <w:snapToGrid w:val="0"/>
                <w:sz w:val="20"/>
              </w:rPr>
            </w:pPr>
            <w:r w:rsidRPr="00B15C89">
              <w:rPr>
                <w:rFonts w:ascii="Arial Narrow" w:hAnsi="Arial Narrow" w:cs="Arial"/>
                <w:b/>
                <w:snapToGrid w:val="0"/>
                <w:sz w:val="20"/>
              </w:rPr>
              <w:t xml:space="preserve">5. Ganancias e ingresos extraordinarios </w:t>
            </w:r>
          </w:p>
        </w:tc>
        <w:tc>
          <w:tcPr>
            <w:tcW w:w="1957" w:type="dxa"/>
            <w:tcBorders>
              <w:top w:val="single" w:sz="2" w:space="0" w:color="auto"/>
              <w:bottom w:val="single" w:sz="2" w:space="0" w:color="auto"/>
            </w:tcBorders>
            <w:vAlign w:val="center"/>
          </w:tcPr>
          <w:p w:rsidR="00A053EB" w:rsidRPr="00515CF9" w:rsidRDefault="00A053EB" w:rsidP="00BB1149">
            <w:pPr>
              <w:spacing w:after="0"/>
              <w:jc w:val="right"/>
              <w:rPr>
                <w:rFonts w:ascii="Arial Narrow" w:hAnsi="Arial Narrow" w:cs="Arial"/>
                <w:b/>
                <w:snapToGrid w:val="0"/>
              </w:rPr>
            </w:pPr>
            <w:r w:rsidRPr="00515CF9">
              <w:rPr>
                <w:rFonts w:ascii="Arial Narrow" w:hAnsi="Arial Narrow" w:cs="Arial"/>
                <w:b/>
                <w:snapToGrid w:val="0"/>
              </w:rPr>
              <w:t>21.466.342</w:t>
            </w:r>
          </w:p>
        </w:tc>
        <w:tc>
          <w:tcPr>
            <w:tcW w:w="2077" w:type="dxa"/>
            <w:tcBorders>
              <w:top w:val="single" w:sz="2" w:space="0" w:color="auto"/>
              <w:bottom w:val="single" w:sz="2" w:space="0" w:color="auto"/>
            </w:tcBorders>
            <w:vAlign w:val="center"/>
          </w:tcPr>
          <w:p w:rsidR="00A053EB" w:rsidRPr="00515CF9" w:rsidRDefault="00A053EB" w:rsidP="00BB1149">
            <w:pPr>
              <w:spacing w:after="0"/>
              <w:jc w:val="right"/>
              <w:rPr>
                <w:rFonts w:ascii="Arial Narrow" w:hAnsi="Arial Narrow" w:cs="Arial"/>
                <w:b/>
                <w:snapToGrid w:val="0"/>
              </w:rPr>
            </w:pPr>
            <w:r w:rsidRPr="00515CF9">
              <w:rPr>
                <w:rFonts w:ascii="Arial Narrow" w:hAnsi="Arial Narrow" w:cs="Arial"/>
                <w:b/>
                <w:snapToGrid w:val="0"/>
              </w:rPr>
              <w:t>6.752.255</w:t>
            </w:r>
          </w:p>
        </w:tc>
      </w:tr>
      <w:tr w:rsidR="00A053EB" w:rsidRPr="00B15C89" w:rsidTr="0041655A">
        <w:trPr>
          <w:jc w:val="center"/>
        </w:trPr>
        <w:tc>
          <w:tcPr>
            <w:tcW w:w="4818" w:type="dxa"/>
            <w:tcBorders>
              <w:top w:val="single" w:sz="2" w:space="0" w:color="auto"/>
              <w:bottom w:val="single" w:sz="2" w:space="0" w:color="auto"/>
            </w:tcBorders>
            <w:vAlign w:val="center"/>
          </w:tcPr>
          <w:p w:rsidR="00A053EB" w:rsidRPr="00B15C89" w:rsidRDefault="00A053EB" w:rsidP="00BB1149">
            <w:pPr>
              <w:pStyle w:val="Tabla"/>
              <w:spacing w:before="60" w:after="60"/>
              <w:rPr>
                <w:rFonts w:ascii="Arial Narrow" w:hAnsi="Arial Narrow" w:cs="Arial"/>
                <w:snapToGrid w:val="0"/>
                <w:sz w:val="20"/>
              </w:rPr>
            </w:pPr>
            <w:r w:rsidRPr="00B15C89">
              <w:rPr>
                <w:rFonts w:ascii="Arial Narrow" w:hAnsi="Arial Narrow" w:cs="Arial"/>
                <w:snapToGrid w:val="0"/>
                <w:sz w:val="20"/>
              </w:rPr>
              <w:t xml:space="preserve">a) Beneficios procedentes del inmovilizado </w:t>
            </w:r>
          </w:p>
        </w:tc>
        <w:tc>
          <w:tcPr>
            <w:tcW w:w="1957" w:type="dxa"/>
            <w:tcBorders>
              <w:top w:val="single" w:sz="2" w:space="0" w:color="auto"/>
              <w:bottom w:val="single" w:sz="2" w:space="0" w:color="auto"/>
            </w:tcBorders>
            <w:vAlign w:val="center"/>
          </w:tcPr>
          <w:p w:rsidR="00A053EB" w:rsidRPr="009F5D86" w:rsidRDefault="00A053EB" w:rsidP="00BB1149">
            <w:pPr>
              <w:spacing w:after="0"/>
              <w:jc w:val="right"/>
              <w:rPr>
                <w:rFonts w:ascii="Arial Narrow" w:hAnsi="Arial Narrow" w:cs="Arial"/>
                <w:snapToGrid w:val="0"/>
              </w:rPr>
            </w:pPr>
            <w:r w:rsidRPr="009F5D86">
              <w:rPr>
                <w:rFonts w:ascii="Arial Narrow" w:hAnsi="Arial Narrow" w:cs="Arial"/>
                <w:snapToGrid w:val="0"/>
              </w:rPr>
              <w:t>78.631</w:t>
            </w:r>
          </w:p>
        </w:tc>
        <w:tc>
          <w:tcPr>
            <w:tcW w:w="2077" w:type="dxa"/>
            <w:tcBorders>
              <w:top w:val="single" w:sz="2" w:space="0" w:color="auto"/>
              <w:bottom w:val="single" w:sz="2" w:space="0" w:color="auto"/>
            </w:tcBorders>
            <w:vAlign w:val="center"/>
          </w:tcPr>
          <w:p w:rsidR="00A053EB" w:rsidRPr="009F5D86" w:rsidRDefault="00A053EB" w:rsidP="00BB1149">
            <w:pPr>
              <w:spacing w:after="0"/>
              <w:jc w:val="right"/>
              <w:rPr>
                <w:rFonts w:ascii="Arial Narrow" w:hAnsi="Arial Narrow" w:cs="Arial"/>
                <w:snapToGrid w:val="0"/>
              </w:rPr>
            </w:pPr>
            <w:r w:rsidRPr="009F5D86">
              <w:rPr>
                <w:rFonts w:ascii="Arial Narrow" w:hAnsi="Arial Narrow" w:cs="Arial"/>
                <w:snapToGrid w:val="0"/>
              </w:rPr>
              <w:t>434.576</w:t>
            </w:r>
          </w:p>
        </w:tc>
      </w:tr>
      <w:tr w:rsidR="00A053EB" w:rsidRPr="00B15C89" w:rsidTr="0041655A">
        <w:trPr>
          <w:jc w:val="center"/>
        </w:trPr>
        <w:tc>
          <w:tcPr>
            <w:tcW w:w="4818" w:type="dxa"/>
            <w:tcBorders>
              <w:top w:val="single" w:sz="2" w:space="0" w:color="auto"/>
              <w:bottom w:val="single" w:sz="2" w:space="0" w:color="auto"/>
            </w:tcBorders>
            <w:vAlign w:val="center"/>
          </w:tcPr>
          <w:p w:rsidR="00A053EB" w:rsidRPr="00B15C89" w:rsidRDefault="00A053EB" w:rsidP="00BB1149">
            <w:pPr>
              <w:pStyle w:val="Tabla"/>
              <w:spacing w:before="60" w:after="60"/>
              <w:rPr>
                <w:rFonts w:ascii="Arial Narrow" w:hAnsi="Arial Narrow" w:cs="Arial"/>
                <w:snapToGrid w:val="0"/>
                <w:sz w:val="20"/>
              </w:rPr>
            </w:pPr>
            <w:r w:rsidRPr="00B15C89">
              <w:rPr>
                <w:rFonts w:ascii="Arial Narrow" w:hAnsi="Arial Narrow" w:cs="Arial"/>
                <w:snapToGrid w:val="0"/>
                <w:sz w:val="20"/>
              </w:rPr>
              <w:t>c) Ingresos extraordinarios ejercicio corriente</w:t>
            </w:r>
          </w:p>
        </w:tc>
        <w:tc>
          <w:tcPr>
            <w:tcW w:w="1957" w:type="dxa"/>
            <w:tcBorders>
              <w:top w:val="single" w:sz="2" w:space="0" w:color="auto"/>
              <w:bottom w:val="single" w:sz="2" w:space="0" w:color="auto"/>
            </w:tcBorders>
            <w:vAlign w:val="center"/>
          </w:tcPr>
          <w:p w:rsidR="00A053EB" w:rsidRPr="009F5D86" w:rsidRDefault="00A053EB" w:rsidP="00BB1149">
            <w:pPr>
              <w:spacing w:after="0"/>
              <w:jc w:val="right"/>
              <w:rPr>
                <w:rFonts w:ascii="Arial Narrow" w:hAnsi="Arial Narrow" w:cs="Arial"/>
                <w:snapToGrid w:val="0"/>
              </w:rPr>
            </w:pPr>
            <w:r w:rsidRPr="009F5D86">
              <w:rPr>
                <w:rFonts w:ascii="Arial Narrow" w:hAnsi="Arial Narrow" w:cs="Arial"/>
                <w:snapToGrid w:val="0"/>
              </w:rPr>
              <w:t>66.598</w:t>
            </w:r>
          </w:p>
        </w:tc>
        <w:tc>
          <w:tcPr>
            <w:tcW w:w="2077" w:type="dxa"/>
            <w:tcBorders>
              <w:top w:val="single" w:sz="2" w:space="0" w:color="auto"/>
              <w:bottom w:val="single" w:sz="2" w:space="0" w:color="auto"/>
            </w:tcBorders>
            <w:vAlign w:val="center"/>
          </w:tcPr>
          <w:p w:rsidR="00A053EB" w:rsidRPr="009F5D86" w:rsidRDefault="00A053EB" w:rsidP="00BB1149">
            <w:pPr>
              <w:spacing w:after="0"/>
              <w:jc w:val="right"/>
              <w:rPr>
                <w:rFonts w:ascii="Arial Narrow" w:hAnsi="Arial Narrow" w:cs="Arial"/>
                <w:snapToGrid w:val="0"/>
              </w:rPr>
            </w:pPr>
            <w:r w:rsidRPr="009F5D86">
              <w:rPr>
                <w:rFonts w:ascii="Arial Narrow" w:hAnsi="Arial Narrow" w:cs="Arial"/>
                <w:snapToGrid w:val="0"/>
              </w:rPr>
              <w:t>1.897</w:t>
            </w:r>
          </w:p>
        </w:tc>
      </w:tr>
      <w:tr w:rsidR="00A053EB" w:rsidRPr="00B15C89" w:rsidTr="0041655A">
        <w:trPr>
          <w:jc w:val="center"/>
        </w:trPr>
        <w:tc>
          <w:tcPr>
            <w:tcW w:w="4818" w:type="dxa"/>
            <w:tcBorders>
              <w:top w:val="single" w:sz="2" w:space="0" w:color="auto"/>
              <w:bottom w:val="single" w:sz="2" w:space="0" w:color="auto"/>
            </w:tcBorders>
            <w:vAlign w:val="center"/>
          </w:tcPr>
          <w:p w:rsidR="00A053EB" w:rsidRPr="00B15C89" w:rsidRDefault="00A053EB" w:rsidP="00BB1149">
            <w:pPr>
              <w:pStyle w:val="Tabla"/>
              <w:spacing w:before="60" w:after="60"/>
              <w:rPr>
                <w:rFonts w:ascii="Arial Narrow" w:hAnsi="Arial Narrow" w:cs="Arial"/>
                <w:snapToGrid w:val="0"/>
                <w:sz w:val="20"/>
              </w:rPr>
            </w:pPr>
            <w:r w:rsidRPr="00B15C89">
              <w:rPr>
                <w:rFonts w:ascii="Arial Narrow" w:hAnsi="Arial Narrow" w:cs="Arial"/>
                <w:snapToGrid w:val="0"/>
                <w:sz w:val="20"/>
              </w:rPr>
              <w:t>d) Ingresos y beneficios de otros ejercicios</w:t>
            </w:r>
          </w:p>
        </w:tc>
        <w:tc>
          <w:tcPr>
            <w:tcW w:w="1957" w:type="dxa"/>
            <w:tcBorders>
              <w:top w:val="single" w:sz="2" w:space="0" w:color="auto"/>
              <w:bottom w:val="single" w:sz="2" w:space="0" w:color="auto"/>
            </w:tcBorders>
            <w:vAlign w:val="center"/>
          </w:tcPr>
          <w:p w:rsidR="00A053EB" w:rsidRPr="009F5D86" w:rsidRDefault="00A053EB" w:rsidP="00BB1149">
            <w:pPr>
              <w:spacing w:after="0"/>
              <w:jc w:val="right"/>
              <w:rPr>
                <w:rFonts w:ascii="Arial Narrow" w:hAnsi="Arial Narrow" w:cs="Arial"/>
              </w:rPr>
            </w:pPr>
            <w:r w:rsidRPr="009F5D86">
              <w:rPr>
                <w:rFonts w:ascii="Arial Narrow" w:hAnsi="Arial Narrow" w:cs="Arial"/>
              </w:rPr>
              <w:t>21.321.113</w:t>
            </w:r>
          </w:p>
        </w:tc>
        <w:tc>
          <w:tcPr>
            <w:tcW w:w="2077" w:type="dxa"/>
            <w:tcBorders>
              <w:top w:val="single" w:sz="2" w:space="0" w:color="auto"/>
              <w:bottom w:val="single" w:sz="2" w:space="0" w:color="auto"/>
            </w:tcBorders>
            <w:vAlign w:val="center"/>
          </w:tcPr>
          <w:p w:rsidR="00A053EB" w:rsidRPr="009F5D86" w:rsidRDefault="00A053EB" w:rsidP="00BB1149">
            <w:pPr>
              <w:spacing w:after="0"/>
              <w:jc w:val="right"/>
              <w:rPr>
                <w:rFonts w:ascii="Arial Narrow" w:hAnsi="Arial Narrow" w:cs="Arial"/>
                <w:snapToGrid w:val="0"/>
              </w:rPr>
            </w:pPr>
            <w:r w:rsidRPr="009F5D86">
              <w:rPr>
                <w:rFonts w:ascii="Arial Narrow" w:hAnsi="Arial Narrow" w:cs="Arial"/>
                <w:snapToGrid w:val="0"/>
              </w:rPr>
              <w:t>6.315.782</w:t>
            </w:r>
          </w:p>
        </w:tc>
      </w:tr>
      <w:tr w:rsidR="00A053EB" w:rsidRPr="007B170A" w:rsidTr="00BB1149">
        <w:trPr>
          <w:jc w:val="center"/>
        </w:trPr>
        <w:tc>
          <w:tcPr>
            <w:tcW w:w="4818" w:type="dxa"/>
            <w:tcBorders>
              <w:top w:val="single" w:sz="2" w:space="0" w:color="auto"/>
              <w:bottom w:val="single" w:sz="2" w:space="0" w:color="auto"/>
            </w:tcBorders>
            <w:vAlign w:val="center"/>
          </w:tcPr>
          <w:p w:rsidR="00A053EB" w:rsidRPr="007B170A" w:rsidRDefault="00A053EB" w:rsidP="00BB1149">
            <w:pPr>
              <w:spacing w:before="60" w:after="60"/>
              <w:ind w:firstLine="0"/>
              <w:rPr>
                <w:rFonts w:ascii="Arial Narrow" w:hAnsi="Arial Narrow" w:cs="Arial"/>
                <w:b/>
                <w:snapToGrid w:val="0"/>
              </w:rPr>
            </w:pPr>
            <w:r w:rsidRPr="007B170A">
              <w:rPr>
                <w:rFonts w:ascii="Arial Narrow" w:hAnsi="Arial Narrow" w:cs="Arial"/>
                <w:b/>
                <w:snapToGrid w:val="0"/>
              </w:rPr>
              <w:t>Saldo Deudor (Desahorro)</w:t>
            </w:r>
          </w:p>
        </w:tc>
        <w:tc>
          <w:tcPr>
            <w:tcW w:w="1957" w:type="dxa"/>
            <w:tcBorders>
              <w:top w:val="single" w:sz="2" w:space="0" w:color="auto"/>
              <w:bottom w:val="single" w:sz="2" w:space="0" w:color="auto"/>
            </w:tcBorders>
            <w:vAlign w:val="center"/>
          </w:tcPr>
          <w:p w:rsidR="00A053EB" w:rsidRPr="00515CF9" w:rsidRDefault="00A053EB" w:rsidP="00BB1149">
            <w:pPr>
              <w:spacing w:after="0"/>
              <w:jc w:val="right"/>
              <w:rPr>
                <w:rFonts w:ascii="Arial Narrow" w:hAnsi="Arial Narrow" w:cs="Arial"/>
                <w:b/>
                <w:snapToGrid w:val="0"/>
                <w:color w:val="000000"/>
              </w:rPr>
            </w:pPr>
            <w:r w:rsidRPr="00372BE5">
              <w:rPr>
                <w:rFonts w:ascii="Arial Narrow" w:hAnsi="Arial Narrow" w:cs="Arial"/>
                <w:b/>
                <w:snapToGrid w:val="0"/>
              </w:rPr>
              <w:t>149.906.370</w:t>
            </w:r>
          </w:p>
        </w:tc>
        <w:tc>
          <w:tcPr>
            <w:tcW w:w="2077" w:type="dxa"/>
            <w:tcBorders>
              <w:top w:val="single" w:sz="2" w:space="0" w:color="auto"/>
              <w:bottom w:val="single" w:sz="2" w:space="0" w:color="auto"/>
            </w:tcBorders>
            <w:vAlign w:val="center"/>
          </w:tcPr>
          <w:p w:rsidR="00A053EB" w:rsidRPr="00515CF9" w:rsidRDefault="00A053EB" w:rsidP="00BB1149">
            <w:pPr>
              <w:spacing w:after="0"/>
              <w:jc w:val="right"/>
              <w:rPr>
                <w:rFonts w:ascii="Arial Narrow" w:hAnsi="Arial Narrow" w:cs="Arial"/>
                <w:b/>
                <w:snapToGrid w:val="0"/>
              </w:rPr>
            </w:pPr>
            <w:r w:rsidRPr="00515CF9">
              <w:rPr>
                <w:rFonts w:ascii="Arial Narrow" w:hAnsi="Arial Narrow" w:cs="Arial"/>
                <w:b/>
                <w:snapToGrid w:val="0"/>
              </w:rPr>
              <w:t>88.308.161</w:t>
            </w:r>
          </w:p>
        </w:tc>
      </w:tr>
      <w:tr w:rsidR="00A053EB" w:rsidRPr="00B15C89" w:rsidTr="0041655A">
        <w:trPr>
          <w:trHeight w:val="454"/>
          <w:jc w:val="center"/>
        </w:trPr>
        <w:tc>
          <w:tcPr>
            <w:tcW w:w="4818" w:type="dxa"/>
            <w:tcBorders>
              <w:top w:val="single" w:sz="2" w:space="0" w:color="auto"/>
              <w:bottom w:val="single" w:sz="4" w:space="0" w:color="auto"/>
            </w:tcBorders>
            <w:shd w:val="clear" w:color="auto" w:fill="A8CBEE" w:themeFill="accent2" w:themeFillTint="66"/>
            <w:vAlign w:val="center"/>
          </w:tcPr>
          <w:p w:rsidR="00A053EB" w:rsidRPr="00B15C89" w:rsidRDefault="00A053EB" w:rsidP="00BB1149">
            <w:pPr>
              <w:pStyle w:val="cuadroCabe"/>
              <w:rPr>
                <w:snapToGrid w:val="0"/>
              </w:rPr>
            </w:pPr>
            <w:r w:rsidRPr="00B15C89">
              <w:rPr>
                <w:snapToGrid w:val="0"/>
              </w:rPr>
              <w:t>Total Haber</w:t>
            </w:r>
          </w:p>
        </w:tc>
        <w:tc>
          <w:tcPr>
            <w:tcW w:w="1957" w:type="dxa"/>
            <w:tcBorders>
              <w:top w:val="single" w:sz="2" w:space="0" w:color="auto"/>
              <w:bottom w:val="single" w:sz="4" w:space="0" w:color="auto"/>
            </w:tcBorders>
            <w:shd w:val="clear" w:color="auto" w:fill="A8CBEE" w:themeFill="accent2" w:themeFillTint="66"/>
            <w:vAlign w:val="center"/>
          </w:tcPr>
          <w:p w:rsidR="00A053EB" w:rsidRPr="009F5D86" w:rsidRDefault="00A053EB" w:rsidP="00BB1149">
            <w:pPr>
              <w:spacing w:after="0"/>
              <w:jc w:val="right"/>
              <w:rPr>
                <w:rFonts w:ascii="Arial Narrow" w:hAnsi="Arial Narrow" w:cs="Arial"/>
                <w:snapToGrid w:val="0"/>
                <w:color w:val="000000"/>
              </w:rPr>
            </w:pPr>
            <w:r w:rsidRPr="009F5D86">
              <w:rPr>
                <w:rFonts w:ascii="Arial Narrow" w:hAnsi="Arial Narrow" w:cs="Arial"/>
                <w:snapToGrid w:val="0"/>
                <w:color w:val="000000"/>
              </w:rPr>
              <w:t>3.467.045.873</w:t>
            </w:r>
          </w:p>
        </w:tc>
        <w:tc>
          <w:tcPr>
            <w:tcW w:w="2077" w:type="dxa"/>
            <w:tcBorders>
              <w:top w:val="single" w:sz="2" w:space="0" w:color="auto"/>
              <w:bottom w:val="single" w:sz="4" w:space="0" w:color="auto"/>
            </w:tcBorders>
            <w:shd w:val="clear" w:color="auto" w:fill="A8CBEE" w:themeFill="accent2" w:themeFillTint="66"/>
            <w:vAlign w:val="center"/>
          </w:tcPr>
          <w:p w:rsidR="00A053EB" w:rsidRPr="009F5D86" w:rsidRDefault="00A053EB" w:rsidP="00BB1149">
            <w:pPr>
              <w:spacing w:after="0"/>
              <w:jc w:val="right"/>
              <w:rPr>
                <w:rFonts w:ascii="Arial Narrow" w:hAnsi="Arial Narrow" w:cs="Arial"/>
                <w:snapToGrid w:val="0"/>
              </w:rPr>
            </w:pPr>
            <w:r w:rsidRPr="009F5D86">
              <w:rPr>
                <w:rFonts w:ascii="Arial Narrow" w:hAnsi="Arial Narrow" w:cs="Arial"/>
                <w:snapToGrid w:val="0"/>
              </w:rPr>
              <w:t>3.311.808.046</w:t>
            </w:r>
          </w:p>
        </w:tc>
      </w:tr>
    </w:tbl>
    <w:p w:rsidR="00497839" w:rsidRDefault="00497839" w:rsidP="00497839">
      <w:pPr>
        <w:pStyle w:val="texto"/>
        <w:spacing w:before="120" w:after="0"/>
        <w:ind w:left="360" w:firstLine="0"/>
        <w:rPr>
          <w:rFonts w:ascii="Arial Narrow" w:hAnsi="Arial Narrow"/>
          <w:sz w:val="18"/>
          <w:szCs w:val="18"/>
        </w:rPr>
      </w:pPr>
    </w:p>
    <w:p w:rsidR="006420DA" w:rsidRDefault="00066FA6" w:rsidP="00BC4F7A">
      <w:pPr>
        <w:pStyle w:val="atitulo1"/>
        <w:rPr>
          <w:rFonts w:ascii="Arial (W1)" w:hAnsi="Arial (W1)"/>
          <w:b w:val="0"/>
          <w:spacing w:val="-4"/>
        </w:rPr>
      </w:pPr>
      <w:r>
        <w:t xml:space="preserve"> </w:t>
      </w:r>
      <w:r w:rsidR="006420DA">
        <w:rPr>
          <w:rFonts w:ascii="Arial (W1)" w:hAnsi="Arial (W1)"/>
          <w:spacing w:val="-4"/>
        </w:rPr>
        <w:br w:type="page"/>
      </w:r>
    </w:p>
    <w:p w:rsidR="00882BEB" w:rsidRPr="00D97409" w:rsidRDefault="00703010" w:rsidP="00600704">
      <w:pPr>
        <w:pStyle w:val="atitulo1"/>
      </w:pPr>
      <w:bookmarkStart w:id="38" w:name="_Toc463350246"/>
      <w:r>
        <w:lastRenderedPageBreak/>
        <w:t>I</w:t>
      </w:r>
      <w:r w:rsidR="00074ECC" w:rsidRPr="00D97409">
        <w:t>V</w:t>
      </w:r>
      <w:r w:rsidR="00882BEB" w:rsidRPr="00D97409">
        <w:t xml:space="preserve">. </w:t>
      </w:r>
      <w:r w:rsidR="00840E3E">
        <w:t>O</w:t>
      </w:r>
      <w:r w:rsidR="000B7D3A" w:rsidRPr="00D97409">
        <w:t>bservaciones</w:t>
      </w:r>
      <w:r w:rsidR="00840E3E">
        <w:t xml:space="preserve"> que no afectan a la opinión</w:t>
      </w:r>
      <w:r w:rsidR="000B7D3A" w:rsidRPr="00D97409">
        <w:t xml:space="preserve"> </w:t>
      </w:r>
      <w:r w:rsidR="003370A3" w:rsidRPr="00D97409">
        <w:t>y recomendaciones</w:t>
      </w:r>
      <w:bookmarkEnd w:id="6"/>
      <w:bookmarkEnd w:id="7"/>
      <w:bookmarkEnd w:id="8"/>
      <w:bookmarkEnd w:id="38"/>
      <w:r w:rsidR="00882BEB" w:rsidRPr="00D97409">
        <w:t xml:space="preserve"> </w:t>
      </w:r>
      <w:bookmarkEnd w:id="9"/>
    </w:p>
    <w:p w:rsidR="00FD1DD0" w:rsidRDefault="00FD1DD0" w:rsidP="00E55C5B">
      <w:pPr>
        <w:pStyle w:val="texto"/>
        <w:tabs>
          <w:tab w:val="clear" w:pos="2835"/>
          <w:tab w:val="clear" w:pos="3969"/>
          <w:tab w:val="clear" w:pos="5103"/>
          <w:tab w:val="clear" w:pos="6237"/>
          <w:tab w:val="clear" w:pos="7371"/>
        </w:tabs>
        <w:rPr>
          <w:szCs w:val="26"/>
        </w:rPr>
      </w:pPr>
      <w:r>
        <w:rPr>
          <w:szCs w:val="26"/>
        </w:rPr>
        <w:t>Como parte de la fiscalización realizada, a continuación se incluyen aquellas observaciones</w:t>
      </w:r>
      <w:r w:rsidR="00446B46">
        <w:rPr>
          <w:szCs w:val="26"/>
        </w:rPr>
        <w:t xml:space="preserve">, </w:t>
      </w:r>
      <w:r>
        <w:rPr>
          <w:szCs w:val="26"/>
        </w:rPr>
        <w:t>comentarios</w:t>
      </w:r>
      <w:r w:rsidR="00446B46">
        <w:rPr>
          <w:szCs w:val="26"/>
        </w:rPr>
        <w:t xml:space="preserve"> y recomendaciones</w:t>
      </w:r>
      <w:r>
        <w:rPr>
          <w:szCs w:val="26"/>
        </w:rPr>
        <w:t xml:space="preserve"> que no afectan a la opinión</w:t>
      </w:r>
      <w:r w:rsidR="00E57F97">
        <w:rPr>
          <w:szCs w:val="26"/>
        </w:rPr>
        <w:t xml:space="preserve"> emitida</w:t>
      </w:r>
      <w:r>
        <w:rPr>
          <w:szCs w:val="26"/>
        </w:rPr>
        <w:t xml:space="preserve"> junto con determinada información adicional que esta Cámara consid</w:t>
      </w:r>
      <w:r>
        <w:rPr>
          <w:szCs w:val="26"/>
        </w:rPr>
        <w:t>e</w:t>
      </w:r>
      <w:r>
        <w:rPr>
          <w:szCs w:val="26"/>
        </w:rPr>
        <w:t>ra que puede ser de interés a los destinatarios y usuarios del presente informe.</w:t>
      </w:r>
    </w:p>
    <w:p w:rsidR="00615496" w:rsidRDefault="00446B46" w:rsidP="00E55C5B">
      <w:pPr>
        <w:pStyle w:val="texto"/>
        <w:tabs>
          <w:tab w:val="clear" w:pos="2835"/>
          <w:tab w:val="clear" w:pos="3969"/>
          <w:tab w:val="clear" w:pos="5103"/>
          <w:tab w:val="clear" w:pos="6237"/>
          <w:tab w:val="clear" w:pos="7371"/>
        </w:tabs>
        <w:rPr>
          <w:szCs w:val="26"/>
        </w:rPr>
      </w:pPr>
      <w:r>
        <w:rPr>
          <w:szCs w:val="26"/>
        </w:rPr>
        <w:t>E</w:t>
      </w:r>
      <w:r w:rsidR="0080028B">
        <w:rPr>
          <w:szCs w:val="26"/>
        </w:rPr>
        <w:t>ste apartado</w:t>
      </w:r>
      <w:r w:rsidR="00615496">
        <w:rPr>
          <w:szCs w:val="26"/>
        </w:rPr>
        <w:t xml:space="preserve"> </w:t>
      </w:r>
      <w:r w:rsidR="0080028B">
        <w:rPr>
          <w:szCs w:val="26"/>
        </w:rPr>
        <w:t>contiene</w:t>
      </w:r>
      <w:r>
        <w:rPr>
          <w:szCs w:val="26"/>
        </w:rPr>
        <w:t xml:space="preserve"> igualmente</w:t>
      </w:r>
      <w:r w:rsidR="00615496">
        <w:rPr>
          <w:szCs w:val="26"/>
        </w:rPr>
        <w:t xml:space="preserve"> información </w:t>
      </w:r>
      <w:r w:rsidR="00D704FE">
        <w:rPr>
          <w:szCs w:val="26"/>
        </w:rPr>
        <w:t xml:space="preserve">adicional </w:t>
      </w:r>
      <w:r w:rsidR="00615496">
        <w:rPr>
          <w:szCs w:val="26"/>
        </w:rPr>
        <w:t>explicativa sobre las salvedades del informe.</w:t>
      </w:r>
    </w:p>
    <w:p w:rsidR="0083025E" w:rsidRDefault="0083025E" w:rsidP="0009411D">
      <w:pPr>
        <w:pStyle w:val="atitulo2"/>
        <w:spacing w:before="240"/>
      </w:pPr>
      <w:bookmarkStart w:id="39" w:name="_Toc463350247"/>
      <w:r>
        <w:t>IV.1. Delimitación del Sector Público Foral en 2015</w:t>
      </w:r>
      <w:bookmarkEnd w:id="39"/>
    </w:p>
    <w:p w:rsidR="00DE5536" w:rsidRDefault="00DE5536" w:rsidP="00DE5536">
      <w:pPr>
        <w:pStyle w:val="texto"/>
      </w:pPr>
      <w:r>
        <w:t xml:space="preserve">En este </w:t>
      </w:r>
      <w:r w:rsidRPr="00833CF1">
        <w:rPr>
          <w:spacing w:val="4"/>
        </w:rPr>
        <w:t>apartado</w:t>
      </w:r>
      <w:r>
        <w:t xml:space="preserve"> se presenta la delimitación del Sector Público Foral corre</w:t>
      </w:r>
      <w:r>
        <w:t>s</w:t>
      </w:r>
      <w:r>
        <w:t xml:space="preserve">pondiente a 2015 en una doble vertiente: </w:t>
      </w:r>
    </w:p>
    <w:p w:rsidR="00DE5536" w:rsidRPr="008840E2" w:rsidRDefault="00DE5536" w:rsidP="00DE5536">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sidRPr="008840E2">
        <w:rPr>
          <w:lang w:val="es-ES"/>
        </w:rPr>
        <w:t>A efectos de la Ley Foral de la Hacienda Pública de Navarra</w:t>
      </w:r>
      <w:r>
        <w:rPr>
          <w:lang w:val="es-ES"/>
        </w:rPr>
        <w:t xml:space="preserve">. </w:t>
      </w:r>
    </w:p>
    <w:p w:rsidR="00DE5536" w:rsidRPr="00833CF1" w:rsidRDefault="00DE5536" w:rsidP="0041655A">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360"/>
        <w:ind w:left="0" w:firstLine="289"/>
        <w:rPr>
          <w:rFonts w:ascii="Times New (W1)" w:hAnsi="Times New (W1)"/>
          <w:spacing w:val="0"/>
          <w:lang w:val="es-ES"/>
        </w:rPr>
      </w:pPr>
      <w:r w:rsidRPr="00833CF1">
        <w:rPr>
          <w:rFonts w:ascii="Times New (W1)" w:hAnsi="Times New (W1)"/>
          <w:spacing w:val="0"/>
          <w:lang w:val="es-ES"/>
        </w:rPr>
        <w:t>De acuerdo con las normas de estabilidad presupuestaria/contabilidad nacional.</w:t>
      </w:r>
    </w:p>
    <w:p w:rsidR="00DE5536" w:rsidRPr="00EA6A0C" w:rsidRDefault="00DE5536" w:rsidP="00C65307">
      <w:pPr>
        <w:pStyle w:val="atitulo3"/>
      </w:pPr>
      <w:bookmarkStart w:id="40" w:name="_Toc305415944"/>
      <w:bookmarkStart w:id="41" w:name="_Toc305480462"/>
      <w:bookmarkStart w:id="42" w:name="_Toc402180169"/>
      <w:r>
        <w:t>IV.1.1.</w:t>
      </w:r>
      <w:r w:rsidRPr="00EA6A0C">
        <w:t xml:space="preserve"> </w:t>
      </w:r>
      <w:r>
        <w:t>Sector Público Foral según la Ley Foral 13/2007, de 4 de abril, de la Hacienda Pública de Navarra</w:t>
      </w:r>
      <w:bookmarkEnd w:id="40"/>
      <w:bookmarkEnd w:id="41"/>
      <w:bookmarkEnd w:id="42"/>
    </w:p>
    <w:p w:rsidR="00DE5536" w:rsidRPr="00EA6A0C" w:rsidRDefault="00DE5536" w:rsidP="00DE5536">
      <w:pPr>
        <w:pStyle w:val="texto"/>
      </w:pPr>
      <w:r w:rsidRPr="00EA6A0C">
        <w:t xml:space="preserve">El Sector </w:t>
      </w:r>
      <w:r w:rsidRPr="00833CF1">
        <w:rPr>
          <w:spacing w:val="4"/>
        </w:rPr>
        <w:t>Público</w:t>
      </w:r>
      <w:r w:rsidRPr="00EA6A0C">
        <w:t xml:space="preserve"> Foral está integrado,</w:t>
      </w:r>
      <w:r w:rsidR="008254B8">
        <w:t xml:space="preserve"> en 2015,</w:t>
      </w:r>
      <w:r w:rsidRPr="00EA6A0C">
        <w:t xml:space="preserve"> a efectos de la </w:t>
      </w:r>
      <w:r>
        <w:t xml:space="preserve">citada </w:t>
      </w:r>
      <w:r w:rsidRPr="00EA6A0C">
        <w:t>Ley Foral</w:t>
      </w:r>
      <w:r>
        <w:t xml:space="preserve"> 13/2007, </w:t>
      </w:r>
      <w:r w:rsidRPr="00EA6A0C">
        <w:t>por:</w:t>
      </w:r>
    </w:p>
    <w:p w:rsidR="00DE5536" w:rsidRPr="00810D2C" w:rsidRDefault="00DE5536" w:rsidP="00DE5536">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sidRPr="00810D2C">
        <w:rPr>
          <w:lang w:val="es-ES"/>
        </w:rPr>
        <w:t>La Administración de la Comunidad Foral y sus</w:t>
      </w:r>
      <w:r>
        <w:rPr>
          <w:lang w:val="es-ES"/>
        </w:rPr>
        <w:t xml:space="preserve"> organismos autónomos adscritos. </w:t>
      </w:r>
    </w:p>
    <w:p w:rsidR="00DE5536" w:rsidRPr="00810D2C" w:rsidRDefault="00DE5536" w:rsidP="00DE5536">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sidRPr="00810D2C">
        <w:rPr>
          <w:lang w:val="es-ES"/>
        </w:rPr>
        <w:t>El Parlamento de Navarra y sus órganos dependientes, esto es, Cámara de Comptos y Defensor del Pueblo.</w:t>
      </w:r>
    </w:p>
    <w:p w:rsidR="00DE5536" w:rsidRPr="00810D2C" w:rsidRDefault="00DE5536" w:rsidP="00DE5536">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sidRPr="00810D2C">
        <w:rPr>
          <w:lang w:val="es-ES"/>
        </w:rPr>
        <w:t>El Consejo de Navarra.</w:t>
      </w:r>
    </w:p>
    <w:p w:rsidR="00DE5536" w:rsidRPr="009B15E5" w:rsidRDefault="00DE5536" w:rsidP="00DE5536">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89"/>
      </w:pPr>
      <w:r>
        <w:rPr>
          <w:rFonts w:cs="Arial"/>
          <w:lang w:val="es-ES"/>
        </w:rPr>
        <w:t>Las</w:t>
      </w:r>
      <w:r w:rsidRPr="002703EF">
        <w:rPr>
          <w:rFonts w:cs="Arial"/>
          <w:lang w:val="es-ES"/>
        </w:rPr>
        <w:t xml:space="preserve"> sociedades públicas de la Comunidad Foral de Navarra y </w:t>
      </w:r>
      <w:r w:rsidR="000A0AD6">
        <w:rPr>
          <w:rFonts w:cs="Arial"/>
          <w:lang w:val="es-ES"/>
        </w:rPr>
        <w:t xml:space="preserve">de </w:t>
      </w:r>
      <w:r w:rsidRPr="002703EF">
        <w:rPr>
          <w:rFonts w:cs="Arial"/>
          <w:lang w:val="es-ES"/>
        </w:rPr>
        <w:t xml:space="preserve">sus </w:t>
      </w:r>
      <w:r>
        <w:rPr>
          <w:rFonts w:cs="Arial"/>
          <w:lang w:val="es-ES"/>
        </w:rPr>
        <w:t>o</w:t>
      </w:r>
      <w:r w:rsidRPr="002703EF">
        <w:rPr>
          <w:rFonts w:cs="Arial"/>
          <w:lang w:val="es-ES"/>
        </w:rPr>
        <w:t>rg</w:t>
      </w:r>
      <w:r w:rsidRPr="002703EF">
        <w:rPr>
          <w:rFonts w:cs="Arial"/>
          <w:lang w:val="es-ES"/>
        </w:rPr>
        <w:t>a</w:t>
      </w:r>
      <w:r w:rsidRPr="002703EF">
        <w:rPr>
          <w:rFonts w:cs="Arial"/>
          <w:lang w:val="es-ES"/>
        </w:rPr>
        <w:t>nismos públicos</w:t>
      </w:r>
      <w:r w:rsidR="007C07B1">
        <w:rPr>
          <w:rFonts w:cs="Arial"/>
          <w:lang w:val="es-ES"/>
        </w:rPr>
        <w:t>, de acuerdo con lo establecido en la</w:t>
      </w:r>
      <w:r w:rsidRPr="002703EF">
        <w:rPr>
          <w:rFonts w:cs="Arial"/>
          <w:lang w:val="es-ES"/>
        </w:rPr>
        <w:t xml:space="preserve"> Ley Foral 14/2007, de 4 de abril, del Patrimonio de Navarra</w:t>
      </w:r>
      <w:r w:rsidR="007C07B1">
        <w:rPr>
          <w:rFonts w:cs="Arial"/>
          <w:lang w:val="es-ES"/>
        </w:rPr>
        <w:t>.</w:t>
      </w:r>
      <w:r w:rsidRPr="002703EF">
        <w:rPr>
          <w:rFonts w:cs="Arial"/>
          <w:lang w:val="es-ES"/>
        </w:rPr>
        <w:t xml:space="preserve"> </w:t>
      </w:r>
    </w:p>
    <w:p w:rsidR="003D6384" w:rsidRPr="00C567D3" w:rsidRDefault="00DE5536" w:rsidP="00DE5536">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89"/>
        <w:rPr>
          <w:rFonts w:cs="Arial"/>
          <w:lang w:val="es-ES"/>
        </w:rPr>
      </w:pPr>
      <w:r w:rsidRPr="00C567D3">
        <w:rPr>
          <w:rFonts w:cs="Arial"/>
          <w:lang w:val="es-ES"/>
        </w:rPr>
        <w:t>Las fundaciones públicas creadas por la Administración de la Comunidad Foral de Navarra y sus organismos públicos</w:t>
      </w:r>
      <w:r w:rsidR="00C567D3" w:rsidRPr="00C567D3">
        <w:rPr>
          <w:rFonts w:cs="Arial"/>
          <w:lang w:val="es-ES"/>
        </w:rPr>
        <w:t xml:space="preserve"> y las que siendo privadas, post</w:t>
      </w:r>
      <w:r w:rsidR="00C567D3" w:rsidRPr="00C567D3">
        <w:rPr>
          <w:rFonts w:cs="Arial"/>
          <w:lang w:val="es-ES"/>
        </w:rPr>
        <w:t>e</w:t>
      </w:r>
      <w:r w:rsidR="00C567D3" w:rsidRPr="00C567D3">
        <w:rPr>
          <w:rFonts w:cs="Arial"/>
          <w:lang w:val="es-ES"/>
        </w:rPr>
        <w:t>riormente</w:t>
      </w:r>
      <w:r w:rsidR="007F5F6E">
        <w:rPr>
          <w:rFonts w:cs="Arial"/>
          <w:lang w:val="es-ES"/>
        </w:rPr>
        <w:t>,</w:t>
      </w:r>
      <w:r w:rsidR="00C567D3" w:rsidRPr="00C567D3">
        <w:rPr>
          <w:rFonts w:cs="Arial"/>
          <w:lang w:val="es-ES"/>
        </w:rPr>
        <w:t xml:space="preserve"> reúnan los requisitos para </w:t>
      </w:r>
      <w:r w:rsidR="007F5F6E">
        <w:rPr>
          <w:rFonts w:cs="Arial"/>
          <w:lang w:val="es-ES"/>
        </w:rPr>
        <w:t xml:space="preserve">su </w:t>
      </w:r>
      <w:r w:rsidR="00C567D3" w:rsidRPr="00C567D3">
        <w:rPr>
          <w:rFonts w:cs="Arial"/>
          <w:lang w:val="es-ES"/>
        </w:rPr>
        <w:t>considera</w:t>
      </w:r>
      <w:r w:rsidR="007F5F6E">
        <w:rPr>
          <w:rFonts w:cs="Arial"/>
          <w:lang w:val="es-ES"/>
        </w:rPr>
        <w:t xml:space="preserve">ción como </w:t>
      </w:r>
      <w:r w:rsidR="00C567D3" w:rsidRPr="00C567D3">
        <w:rPr>
          <w:rFonts w:cs="Arial"/>
          <w:lang w:val="es-ES"/>
        </w:rPr>
        <w:t>públicas</w:t>
      </w:r>
      <w:r w:rsidR="000B526F">
        <w:rPr>
          <w:rFonts w:cs="Arial"/>
          <w:lang w:val="es-ES"/>
        </w:rPr>
        <w:t xml:space="preserve"> (artículo 125 </w:t>
      </w:r>
      <w:r w:rsidR="000B526F" w:rsidRPr="000B526F">
        <w:rPr>
          <w:rFonts w:cs="Arial"/>
          <w:lang w:val="es-ES"/>
        </w:rPr>
        <w:t>de la Ley Foral 15/2004, de 3 de diciembre, de la Administración de la Comu</w:t>
      </w:r>
      <w:r w:rsidR="000B526F">
        <w:rPr>
          <w:rFonts w:cs="Arial"/>
          <w:lang w:val="es-ES"/>
        </w:rPr>
        <w:t>nidad Fo</w:t>
      </w:r>
      <w:r w:rsidR="000B526F" w:rsidRPr="000B526F">
        <w:rPr>
          <w:rFonts w:cs="Arial"/>
          <w:lang w:val="es-ES"/>
        </w:rPr>
        <w:t>ral de Navarra</w:t>
      </w:r>
      <w:r w:rsidR="000B526F">
        <w:rPr>
          <w:rFonts w:cs="Arial"/>
          <w:lang w:val="es-ES"/>
        </w:rPr>
        <w:t>).</w:t>
      </w:r>
    </w:p>
    <w:p w:rsidR="00DE5536" w:rsidRDefault="00DE5536" w:rsidP="00DE5536">
      <w:pPr>
        <w:pStyle w:val="texto"/>
      </w:pPr>
      <w:r>
        <w:t>Como resultado de las elecciones al Parlamento de Navarra de mayo de 2015 y de la toma de posesión del nuevo Gobierno de Navarra, se modifica la</w:t>
      </w:r>
      <w:r w:rsidRPr="00F700A8">
        <w:t xml:space="preserve"> estru</w:t>
      </w:r>
      <w:r w:rsidRPr="00F700A8">
        <w:t>c</w:t>
      </w:r>
      <w:r>
        <w:t>t</w:t>
      </w:r>
      <w:r w:rsidRPr="00F700A8">
        <w:t>ura de</w:t>
      </w:r>
      <w:r>
        <w:t xml:space="preserve"> la Administración Foral por </w:t>
      </w:r>
      <w:r w:rsidRPr="00DE5536">
        <w:t xml:space="preserve">departamentos y OOAA. </w:t>
      </w:r>
      <w:r w:rsidRPr="0052440B">
        <w:t>Resultado de ello, en 2015 se presentan dos configuraciones</w:t>
      </w:r>
      <w:r>
        <w:t xml:space="preserve"> de la estructura del Gobierno:</w:t>
      </w:r>
    </w:p>
    <w:p w:rsidR="00853B51" w:rsidRDefault="00853B51" w:rsidP="00DE5536">
      <w:pPr>
        <w:pStyle w:val="texto"/>
      </w:pPr>
    </w:p>
    <w:p w:rsidR="00C3148F" w:rsidRPr="00C3148F" w:rsidRDefault="00DE5536" w:rsidP="00E578EF">
      <w:pPr>
        <w:pStyle w:val="recomen"/>
        <w:numPr>
          <w:ilvl w:val="0"/>
          <w:numId w:val="9"/>
        </w:numPr>
        <w:rPr>
          <w:i w:val="0"/>
        </w:rPr>
      </w:pPr>
      <w:r w:rsidRPr="00DE5536">
        <w:rPr>
          <w:i w:val="0"/>
        </w:rPr>
        <w:lastRenderedPageBreak/>
        <w:t>Hasta junio de 2015</w:t>
      </w:r>
    </w:p>
    <w:tbl>
      <w:tblPr>
        <w:tblW w:w="880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550"/>
      </w:tblGrid>
      <w:tr w:rsidR="00DE5536" w:rsidRPr="00E1195F" w:rsidTr="00D14FF4">
        <w:trPr>
          <w:trHeight w:val="284"/>
        </w:trPr>
        <w:tc>
          <w:tcPr>
            <w:tcW w:w="4253" w:type="dxa"/>
            <w:tcBorders>
              <w:left w:val="nil"/>
              <w:bottom w:val="single" w:sz="2" w:space="0" w:color="auto"/>
              <w:right w:val="nil"/>
            </w:tcBorders>
            <w:shd w:val="clear" w:color="auto" w:fill="A8CBEE" w:themeFill="accent2" w:themeFillTint="66"/>
            <w:vAlign w:val="center"/>
          </w:tcPr>
          <w:p w:rsidR="00DE5536" w:rsidRPr="00E1195F" w:rsidRDefault="00DE5536" w:rsidP="00EC07D7">
            <w:pPr>
              <w:spacing w:after="0"/>
              <w:ind w:left="50" w:firstLine="0"/>
              <w:jc w:val="left"/>
              <w:rPr>
                <w:rFonts w:ascii="Arial" w:hAnsi="Arial" w:cs="Arial"/>
                <w:bCs/>
                <w:color w:val="000000"/>
                <w:sz w:val="18"/>
                <w:szCs w:val="18"/>
                <w:lang w:val="es-ES" w:eastAsia="es-ES"/>
              </w:rPr>
            </w:pPr>
            <w:r w:rsidRPr="00E1195F">
              <w:rPr>
                <w:rFonts w:ascii="Arial" w:hAnsi="Arial" w:cs="Arial"/>
                <w:bCs/>
                <w:color w:val="000000"/>
                <w:sz w:val="18"/>
                <w:szCs w:val="18"/>
                <w:lang w:val="es-ES" w:eastAsia="es-ES"/>
              </w:rPr>
              <w:t>Departamentos</w:t>
            </w:r>
          </w:p>
        </w:tc>
        <w:tc>
          <w:tcPr>
            <w:tcW w:w="4550" w:type="dxa"/>
            <w:tcBorders>
              <w:left w:val="nil"/>
              <w:bottom w:val="single" w:sz="2" w:space="0" w:color="auto"/>
              <w:right w:val="nil"/>
            </w:tcBorders>
            <w:shd w:val="clear" w:color="auto" w:fill="A8CBEE" w:themeFill="accent2" w:themeFillTint="66"/>
            <w:vAlign w:val="center"/>
          </w:tcPr>
          <w:p w:rsidR="00DE5536" w:rsidRPr="00E1195F" w:rsidRDefault="006C55C8" w:rsidP="00EC07D7">
            <w:pPr>
              <w:spacing w:after="0"/>
              <w:ind w:left="50" w:firstLine="0"/>
              <w:jc w:val="left"/>
              <w:rPr>
                <w:rFonts w:ascii="Arial" w:hAnsi="Arial" w:cs="Arial"/>
                <w:bCs/>
                <w:color w:val="000000"/>
                <w:sz w:val="18"/>
                <w:szCs w:val="18"/>
                <w:lang w:val="es-ES" w:eastAsia="es-ES"/>
              </w:rPr>
            </w:pPr>
            <w:r>
              <w:rPr>
                <w:rFonts w:ascii="Arial" w:hAnsi="Arial" w:cs="Arial"/>
                <w:bCs/>
                <w:color w:val="000000"/>
                <w:sz w:val="18"/>
                <w:szCs w:val="18"/>
                <w:lang w:val="es-ES" w:eastAsia="es-ES"/>
              </w:rPr>
              <w:t>Organismos Autónomos</w:t>
            </w:r>
          </w:p>
        </w:tc>
      </w:tr>
      <w:tr w:rsidR="00DE5536" w:rsidRPr="00E1195F" w:rsidTr="00D14FF4">
        <w:trPr>
          <w:trHeight w:val="284"/>
        </w:trPr>
        <w:tc>
          <w:tcPr>
            <w:tcW w:w="4253" w:type="dxa"/>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lang w:val="es-ES" w:eastAsia="es-ES"/>
              </w:rPr>
            </w:pPr>
            <w:r w:rsidRPr="00E1195F">
              <w:rPr>
                <w:rFonts w:ascii="Arial Narrow" w:hAnsi="Arial Narrow"/>
                <w:lang w:val="es-ES" w:eastAsia="es-ES"/>
              </w:rPr>
              <w:t>Presidencia, Justicia  e Interior</w:t>
            </w:r>
          </w:p>
        </w:tc>
        <w:tc>
          <w:tcPr>
            <w:tcW w:w="4550" w:type="dxa"/>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lang w:val="es-ES" w:eastAsia="es-ES"/>
              </w:rPr>
            </w:pPr>
            <w:r w:rsidRPr="00E1195F">
              <w:rPr>
                <w:rFonts w:ascii="Arial Narrow" w:hAnsi="Arial Narrow"/>
                <w:lang w:val="es-ES" w:eastAsia="es-ES"/>
              </w:rPr>
              <w:t>Agencia Navarra de Emergencias</w:t>
            </w:r>
          </w:p>
        </w:tc>
      </w:tr>
      <w:tr w:rsidR="00DE5536" w:rsidRPr="00E1195F" w:rsidTr="00D14FF4">
        <w:trPr>
          <w:trHeight w:val="284"/>
        </w:trPr>
        <w:tc>
          <w:tcPr>
            <w:tcW w:w="4253" w:type="dxa"/>
            <w:vMerge w:val="restart"/>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lang w:val="es-ES" w:eastAsia="es-ES"/>
              </w:rPr>
            </w:pPr>
            <w:r w:rsidRPr="00E1195F">
              <w:rPr>
                <w:rFonts w:ascii="Arial Narrow" w:hAnsi="Arial Narrow"/>
                <w:lang w:val="es-ES" w:eastAsia="es-ES"/>
              </w:rPr>
              <w:t>Economía, Hacienda, Industria y Empleo</w:t>
            </w:r>
          </w:p>
        </w:tc>
        <w:tc>
          <w:tcPr>
            <w:tcW w:w="4550" w:type="dxa"/>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lang w:val="es-ES" w:eastAsia="es-ES"/>
              </w:rPr>
            </w:pPr>
            <w:r w:rsidRPr="00E1195F">
              <w:rPr>
                <w:rFonts w:ascii="Arial Narrow" w:hAnsi="Arial Narrow"/>
                <w:lang w:val="es-ES" w:eastAsia="es-ES"/>
              </w:rPr>
              <w:t>Servicio Navarro de Empleo</w:t>
            </w:r>
          </w:p>
        </w:tc>
      </w:tr>
      <w:tr w:rsidR="00DE5536" w:rsidRPr="00E1195F" w:rsidTr="00D14FF4">
        <w:trPr>
          <w:trHeight w:val="284"/>
        </w:trPr>
        <w:tc>
          <w:tcPr>
            <w:tcW w:w="4253" w:type="dxa"/>
            <w:vMerge/>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lang w:val="es-ES" w:eastAsia="es-ES"/>
              </w:rPr>
            </w:pPr>
          </w:p>
        </w:tc>
        <w:tc>
          <w:tcPr>
            <w:tcW w:w="4550" w:type="dxa"/>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lang w:val="es-ES" w:eastAsia="es-ES"/>
              </w:rPr>
            </w:pPr>
            <w:r w:rsidRPr="00E1195F">
              <w:rPr>
                <w:rFonts w:ascii="Arial Narrow" w:hAnsi="Arial Narrow"/>
                <w:lang w:val="es-ES" w:eastAsia="es-ES"/>
              </w:rPr>
              <w:t>Hacienda Tributaria de Navarra</w:t>
            </w:r>
          </w:p>
        </w:tc>
      </w:tr>
      <w:tr w:rsidR="00DE5536" w:rsidRPr="00E1195F" w:rsidTr="00D14FF4">
        <w:trPr>
          <w:trHeight w:val="284"/>
        </w:trPr>
        <w:tc>
          <w:tcPr>
            <w:tcW w:w="4253" w:type="dxa"/>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lang w:val="es-ES" w:eastAsia="es-ES"/>
              </w:rPr>
            </w:pPr>
            <w:r w:rsidRPr="00E1195F">
              <w:rPr>
                <w:rFonts w:ascii="Arial Narrow" w:hAnsi="Arial Narrow"/>
                <w:lang w:val="es-ES" w:eastAsia="es-ES"/>
              </w:rPr>
              <w:t>Cultura, Turismo y Relaciones Institucionales</w:t>
            </w:r>
          </w:p>
        </w:tc>
        <w:tc>
          <w:tcPr>
            <w:tcW w:w="4550" w:type="dxa"/>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lang w:val="es-ES" w:eastAsia="es-ES"/>
              </w:rPr>
            </w:pPr>
          </w:p>
        </w:tc>
      </w:tr>
      <w:tr w:rsidR="00DE5536" w:rsidRPr="00E1195F" w:rsidTr="00D14FF4">
        <w:trPr>
          <w:trHeight w:val="284"/>
        </w:trPr>
        <w:tc>
          <w:tcPr>
            <w:tcW w:w="4253" w:type="dxa"/>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lang w:val="es-ES" w:eastAsia="es-ES"/>
              </w:rPr>
            </w:pPr>
            <w:r w:rsidRPr="00E1195F">
              <w:rPr>
                <w:rFonts w:ascii="Arial Narrow" w:hAnsi="Arial Narrow"/>
                <w:lang w:val="es-ES" w:eastAsia="es-ES"/>
              </w:rPr>
              <w:t>Educación</w:t>
            </w:r>
          </w:p>
        </w:tc>
        <w:tc>
          <w:tcPr>
            <w:tcW w:w="4550" w:type="dxa"/>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lang w:val="es-ES" w:eastAsia="es-ES"/>
              </w:rPr>
            </w:pPr>
            <w:r w:rsidRPr="00E1195F">
              <w:rPr>
                <w:rFonts w:ascii="Arial Narrow" w:hAnsi="Arial Narrow"/>
                <w:lang w:val="es-ES" w:eastAsia="es-ES"/>
              </w:rPr>
              <w:t>Instituto Navarro del Vascuence</w:t>
            </w:r>
          </w:p>
        </w:tc>
      </w:tr>
      <w:tr w:rsidR="00DE5536" w:rsidRPr="00E1195F" w:rsidTr="00D14FF4">
        <w:trPr>
          <w:trHeight w:val="284"/>
        </w:trPr>
        <w:tc>
          <w:tcPr>
            <w:tcW w:w="4253" w:type="dxa"/>
            <w:vMerge w:val="restart"/>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lang w:val="es-ES" w:eastAsia="es-ES"/>
              </w:rPr>
            </w:pPr>
            <w:r w:rsidRPr="00E1195F">
              <w:rPr>
                <w:rFonts w:ascii="Arial Narrow" w:hAnsi="Arial Narrow"/>
                <w:lang w:val="es-ES" w:eastAsia="es-ES"/>
              </w:rPr>
              <w:t>Salud</w:t>
            </w:r>
          </w:p>
        </w:tc>
        <w:tc>
          <w:tcPr>
            <w:tcW w:w="4550" w:type="dxa"/>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lang w:val="es-ES" w:eastAsia="es-ES"/>
              </w:rPr>
            </w:pPr>
            <w:r w:rsidRPr="00E1195F">
              <w:rPr>
                <w:rFonts w:ascii="Arial Narrow" w:hAnsi="Arial Narrow"/>
                <w:lang w:val="es-ES" w:eastAsia="es-ES"/>
              </w:rPr>
              <w:t xml:space="preserve">Instituto de Salud Pública y Laboral de Navarra </w:t>
            </w:r>
          </w:p>
        </w:tc>
      </w:tr>
      <w:tr w:rsidR="00DE5536" w:rsidRPr="00E1195F" w:rsidTr="00D14FF4">
        <w:trPr>
          <w:trHeight w:val="284"/>
        </w:trPr>
        <w:tc>
          <w:tcPr>
            <w:tcW w:w="4253" w:type="dxa"/>
            <w:vMerge/>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lang w:val="es-ES" w:eastAsia="es-ES"/>
              </w:rPr>
            </w:pPr>
          </w:p>
        </w:tc>
        <w:tc>
          <w:tcPr>
            <w:tcW w:w="4550" w:type="dxa"/>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lang w:val="es-ES" w:eastAsia="es-ES"/>
              </w:rPr>
            </w:pPr>
            <w:r w:rsidRPr="00E1195F">
              <w:rPr>
                <w:rFonts w:ascii="Arial Narrow" w:hAnsi="Arial Narrow"/>
                <w:lang w:val="es-ES" w:eastAsia="es-ES"/>
              </w:rPr>
              <w:t>Servicio Navarro de Salud</w:t>
            </w:r>
            <w:r w:rsidR="00460357" w:rsidRPr="00E1195F">
              <w:rPr>
                <w:rFonts w:ascii="Arial Narrow" w:hAnsi="Arial Narrow"/>
                <w:lang w:val="es-ES" w:eastAsia="es-ES"/>
              </w:rPr>
              <w:t>-Osasunbidea</w:t>
            </w:r>
          </w:p>
        </w:tc>
      </w:tr>
      <w:tr w:rsidR="00DE5536" w:rsidRPr="00E1195F" w:rsidTr="00D14FF4">
        <w:trPr>
          <w:trHeight w:val="284"/>
        </w:trPr>
        <w:tc>
          <w:tcPr>
            <w:tcW w:w="4253" w:type="dxa"/>
            <w:vMerge w:val="restart"/>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lang w:val="es-ES" w:eastAsia="es-ES"/>
              </w:rPr>
            </w:pPr>
            <w:r w:rsidRPr="00E1195F">
              <w:rPr>
                <w:rFonts w:ascii="Arial Narrow" w:hAnsi="Arial Narrow"/>
                <w:lang w:val="es-ES" w:eastAsia="es-ES"/>
              </w:rPr>
              <w:t>Políticas Sociales</w:t>
            </w:r>
          </w:p>
        </w:tc>
        <w:tc>
          <w:tcPr>
            <w:tcW w:w="4550" w:type="dxa"/>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lang w:val="es-ES" w:eastAsia="es-ES"/>
              </w:rPr>
            </w:pPr>
            <w:r w:rsidRPr="00E1195F">
              <w:rPr>
                <w:rFonts w:ascii="Arial Narrow" w:hAnsi="Arial Narrow"/>
                <w:lang w:val="es-ES" w:eastAsia="es-ES"/>
              </w:rPr>
              <w:t>Instituto Navarro de</w:t>
            </w:r>
            <w:r w:rsidR="00305B4B" w:rsidRPr="00E1195F">
              <w:rPr>
                <w:rFonts w:ascii="Arial Narrow" w:hAnsi="Arial Narrow"/>
                <w:lang w:val="es-ES" w:eastAsia="es-ES"/>
              </w:rPr>
              <w:t>l</w:t>
            </w:r>
            <w:r w:rsidRPr="00E1195F">
              <w:rPr>
                <w:rFonts w:ascii="Arial Narrow" w:hAnsi="Arial Narrow"/>
                <w:lang w:val="es-ES" w:eastAsia="es-ES"/>
              </w:rPr>
              <w:t xml:space="preserve"> Deporte y Juventud</w:t>
            </w:r>
          </w:p>
        </w:tc>
      </w:tr>
      <w:tr w:rsidR="00DE5536" w:rsidRPr="00E1195F" w:rsidTr="00D14FF4">
        <w:trPr>
          <w:trHeight w:val="284"/>
        </w:trPr>
        <w:tc>
          <w:tcPr>
            <w:tcW w:w="4253" w:type="dxa"/>
            <w:vMerge/>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lang w:val="es-ES" w:eastAsia="es-ES"/>
              </w:rPr>
            </w:pPr>
          </w:p>
        </w:tc>
        <w:tc>
          <w:tcPr>
            <w:tcW w:w="4550" w:type="dxa"/>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lang w:val="es-ES" w:eastAsia="es-ES"/>
              </w:rPr>
            </w:pPr>
            <w:r w:rsidRPr="00E1195F">
              <w:rPr>
                <w:rFonts w:ascii="Arial Narrow" w:hAnsi="Arial Narrow"/>
                <w:lang w:val="es-ES" w:eastAsia="es-ES"/>
              </w:rPr>
              <w:t>Instituto Navarro para la Igualdad y Familia</w:t>
            </w:r>
          </w:p>
        </w:tc>
      </w:tr>
      <w:tr w:rsidR="00DE5536" w:rsidRPr="00E1195F" w:rsidTr="00D14FF4">
        <w:trPr>
          <w:trHeight w:val="284"/>
        </w:trPr>
        <w:tc>
          <w:tcPr>
            <w:tcW w:w="4253" w:type="dxa"/>
            <w:vMerge/>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lang w:val="es-ES" w:eastAsia="es-ES"/>
              </w:rPr>
            </w:pPr>
          </w:p>
        </w:tc>
        <w:tc>
          <w:tcPr>
            <w:tcW w:w="4550" w:type="dxa"/>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lang w:val="es-ES" w:eastAsia="es-ES"/>
              </w:rPr>
            </w:pPr>
            <w:r w:rsidRPr="00E1195F">
              <w:rPr>
                <w:rFonts w:ascii="Arial Narrow" w:hAnsi="Arial Narrow"/>
                <w:lang w:val="es-ES" w:eastAsia="es-ES"/>
              </w:rPr>
              <w:t>Agencia Navarra para la Dependencia</w:t>
            </w:r>
          </w:p>
        </w:tc>
      </w:tr>
      <w:tr w:rsidR="00DE5536" w:rsidRPr="00E1195F" w:rsidTr="00D14FF4">
        <w:trPr>
          <w:trHeight w:val="284"/>
        </w:trPr>
        <w:tc>
          <w:tcPr>
            <w:tcW w:w="4253" w:type="dxa"/>
            <w:tcBorders>
              <w:top w:val="single" w:sz="2" w:space="0" w:color="auto"/>
              <w:left w:val="nil"/>
              <w:bottom w:val="single" w:sz="2" w:space="0" w:color="auto"/>
              <w:right w:val="nil"/>
            </w:tcBorders>
            <w:shd w:val="clear" w:color="auto" w:fill="auto"/>
            <w:vAlign w:val="center"/>
          </w:tcPr>
          <w:p w:rsidR="00DE5536" w:rsidRPr="00E1195F" w:rsidRDefault="00DE5536" w:rsidP="00D14FF4">
            <w:pPr>
              <w:spacing w:after="0"/>
              <w:ind w:firstLine="0"/>
              <w:jc w:val="left"/>
              <w:rPr>
                <w:rFonts w:ascii="Arial Narrow" w:hAnsi="Arial Narrow"/>
                <w:lang w:val="es-ES" w:eastAsia="es-ES"/>
              </w:rPr>
            </w:pPr>
            <w:r w:rsidRPr="00E1195F">
              <w:rPr>
                <w:rFonts w:ascii="Arial Narrow" w:hAnsi="Arial Narrow"/>
                <w:lang w:val="es-ES" w:eastAsia="es-ES"/>
              </w:rPr>
              <w:t>Desarro</w:t>
            </w:r>
            <w:r w:rsidR="00D14FF4">
              <w:rPr>
                <w:rFonts w:ascii="Arial Narrow" w:hAnsi="Arial Narrow"/>
                <w:lang w:val="es-ES" w:eastAsia="es-ES"/>
              </w:rPr>
              <w:t>llo Rural, Medio Ambiente y Admón.</w:t>
            </w:r>
            <w:r w:rsidRPr="00E1195F">
              <w:rPr>
                <w:rFonts w:ascii="Arial Narrow" w:hAnsi="Arial Narrow"/>
                <w:lang w:val="es-ES" w:eastAsia="es-ES"/>
              </w:rPr>
              <w:t xml:space="preserve"> Local</w:t>
            </w:r>
          </w:p>
        </w:tc>
        <w:tc>
          <w:tcPr>
            <w:tcW w:w="4550" w:type="dxa"/>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lang w:val="es-ES" w:eastAsia="es-ES"/>
              </w:rPr>
            </w:pPr>
          </w:p>
        </w:tc>
      </w:tr>
      <w:tr w:rsidR="00DE5536" w:rsidRPr="00E1195F" w:rsidTr="00D14FF4">
        <w:trPr>
          <w:trHeight w:val="284"/>
        </w:trPr>
        <w:tc>
          <w:tcPr>
            <w:tcW w:w="4253" w:type="dxa"/>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lang w:val="es-ES" w:eastAsia="es-ES"/>
              </w:rPr>
            </w:pPr>
            <w:r w:rsidRPr="00E1195F">
              <w:rPr>
                <w:rFonts w:ascii="Arial Narrow" w:hAnsi="Arial Narrow"/>
                <w:lang w:val="es-ES" w:eastAsia="es-ES"/>
              </w:rPr>
              <w:t xml:space="preserve">Fomento </w:t>
            </w:r>
          </w:p>
        </w:tc>
        <w:tc>
          <w:tcPr>
            <w:tcW w:w="4550" w:type="dxa"/>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lang w:val="es-ES" w:eastAsia="es-ES"/>
              </w:rPr>
            </w:pPr>
          </w:p>
        </w:tc>
      </w:tr>
    </w:tbl>
    <w:p w:rsidR="00DE5536" w:rsidRDefault="00DE5536" w:rsidP="00DE5536">
      <w:pPr>
        <w:pStyle w:val="recomen"/>
        <w:numPr>
          <w:ilvl w:val="0"/>
          <w:numId w:val="0"/>
        </w:numPr>
        <w:ind w:left="284"/>
      </w:pPr>
    </w:p>
    <w:p w:rsidR="00DE5536" w:rsidRPr="00DE5536" w:rsidRDefault="00DE5536" w:rsidP="00DE5536">
      <w:pPr>
        <w:pStyle w:val="recomen"/>
        <w:numPr>
          <w:ilvl w:val="0"/>
          <w:numId w:val="0"/>
        </w:numPr>
        <w:ind w:left="284"/>
        <w:rPr>
          <w:i w:val="0"/>
        </w:rPr>
      </w:pPr>
      <w:r w:rsidRPr="00DE5536">
        <w:rPr>
          <w:i w:val="0"/>
        </w:rPr>
        <w:t>b) Des</w:t>
      </w:r>
      <w:r w:rsidR="000A0AD6">
        <w:rPr>
          <w:i w:val="0"/>
        </w:rPr>
        <w:t>de</w:t>
      </w:r>
      <w:r w:rsidRPr="00DE5536">
        <w:rPr>
          <w:i w:val="0"/>
        </w:rPr>
        <w:t xml:space="preserve"> julio de 2015</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395"/>
      </w:tblGrid>
      <w:tr w:rsidR="00DE5536" w:rsidRPr="00EC07D7" w:rsidTr="00D14FF4">
        <w:trPr>
          <w:trHeight w:val="284"/>
        </w:trPr>
        <w:tc>
          <w:tcPr>
            <w:tcW w:w="4394" w:type="dxa"/>
            <w:tcBorders>
              <w:left w:val="nil"/>
              <w:bottom w:val="single" w:sz="2" w:space="0" w:color="auto"/>
              <w:right w:val="nil"/>
            </w:tcBorders>
            <w:shd w:val="clear" w:color="auto" w:fill="A8CBEE" w:themeFill="accent2" w:themeFillTint="66"/>
            <w:vAlign w:val="center"/>
          </w:tcPr>
          <w:p w:rsidR="00DE5536" w:rsidRPr="00EC07D7" w:rsidRDefault="00DE5536" w:rsidP="00EC07D7">
            <w:pPr>
              <w:spacing w:after="0"/>
              <w:ind w:left="50" w:firstLine="0"/>
              <w:jc w:val="left"/>
              <w:rPr>
                <w:rFonts w:ascii="Arial" w:hAnsi="Arial" w:cs="Arial"/>
                <w:bCs/>
                <w:color w:val="000000"/>
                <w:sz w:val="18"/>
                <w:szCs w:val="18"/>
                <w:lang w:val="es-ES" w:eastAsia="es-ES"/>
              </w:rPr>
            </w:pPr>
            <w:r w:rsidRPr="00EC07D7">
              <w:rPr>
                <w:rFonts w:ascii="Arial" w:hAnsi="Arial" w:cs="Arial"/>
                <w:bCs/>
                <w:color w:val="000000"/>
                <w:sz w:val="18"/>
                <w:szCs w:val="18"/>
                <w:lang w:val="es-ES" w:eastAsia="es-ES"/>
              </w:rPr>
              <w:t>Departamentos</w:t>
            </w:r>
          </w:p>
        </w:tc>
        <w:tc>
          <w:tcPr>
            <w:tcW w:w="4395" w:type="dxa"/>
            <w:tcBorders>
              <w:left w:val="nil"/>
              <w:bottom w:val="single" w:sz="2" w:space="0" w:color="auto"/>
              <w:right w:val="nil"/>
            </w:tcBorders>
            <w:shd w:val="clear" w:color="auto" w:fill="A8CBEE" w:themeFill="accent2" w:themeFillTint="66"/>
            <w:vAlign w:val="center"/>
          </w:tcPr>
          <w:p w:rsidR="00DE5536" w:rsidRPr="00EC07D7" w:rsidRDefault="006C55C8" w:rsidP="00EC07D7">
            <w:pPr>
              <w:spacing w:after="0"/>
              <w:ind w:left="50" w:firstLine="0"/>
              <w:jc w:val="left"/>
              <w:rPr>
                <w:rFonts w:ascii="Arial" w:hAnsi="Arial" w:cs="Arial"/>
                <w:bCs/>
                <w:color w:val="000000"/>
                <w:sz w:val="18"/>
                <w:szCs w:val="18"/>
                <w:lang w:val="es-ES" w:eastAsia="es-ES"/>
              </w:rPr>
            </w:pPr>
            <w:r>
              <w:rPr>
                <w:rFonts w:ascii="Arial" w:hAnsi="Arial" w:cs="Arial"/>
                <w:bCs/>
                <w:color w:val="000000"/>
                <w:sz w:val="18"/>
                <w:szCs w:val="18"/>
                <w:lang w:val="es-ES" w:eastAsia="es-ES"/>
              </w:rPr>
              <w:t>Organismos Autónomos</w:t>
            </w:r>
          </w:p>
        </w:tc>
      </w:tr>
      <w:tr w:rsidR="00DE5536" w:rsidRPr="00EC07D7" w:rsidTr="00D14FF4">
        <w:trPr>
          <w:trHeight w:val="284"/>
        </w:trPr>
        <w:tc>
          <w:tcPr>
            <w:tcW w:w="4394" w:type="dxa"/>
            <w:tcBorders>
              <w:top w:val="single" w:sz="2" w:space="0" w:color="auto"/>
              <w:left w:val="nil"/>
              <w:bottom w:val="single" w:sz="2" w:space="0" w:color="auto"/>
              <w:right w:val="nil"/>
            </w:tcBorders>
            <w:shd w:val="clear" w:color="auto" w:fill="auto"/>
            <w:vAlign w:val="center"/>
          </w:tcPr>
          <w:p w:rsidR="00DE5536" w:rsidRPr="00EC07D7" w:rsidRDefault="00DE5536" w:rsidP="00DE5536">
            <w:pPr>
              <w:spacing w:after="0"/>
              <w:ind w:firstLine="0"/>
              <w:jc w:val="left"/>
              <w:rPr>
                <w:rFonts w:ascii="Arial Narrow" w:hAnsi="Arial Narrow"/>
                <w:lang w:val="es-ES" w:eastAsia="es-ES"/>
              </w:rPr>
            </w:pPr>
            <w:r w:rsidRPr="00EC07D7">
              <w:rPr>
                <w:rFonts w:ascii="Arial Narrow" w:hAnsi="Arial Narrow"/>
                <w:lang w:val="es-ES" w:eastAsia="es-ES"/>
              </w:rPr>
              <w:t>Desarrollo Económico</w:t>
            </w:r>
          </w:p>
        </w:tc>
        <w:tc>
          <w:tcPr>
            <w:tcW w:w="4395" w:type="dxa"/>
            <w:tcBorders>
              <w:top w:val="single" w:sz="2" w:space="0" w:color="auto"/>
              <w:left w:val="nil"/>
              <w:bottom w:val="single" w:sz="2" w:space="0" w:color="auto"/>
              <w:right w:val="nil"/>
            </w:tcBorders>
            <w:shd w:val="clear" w:color="auto" w:fill="auto"/>
            <w:vAlign w:val="center"/>
          </w:tcPr>
          <w:p w:rsidR="00DE5536" w:rsidRPr="00EC07D7" w:rsidRDefault="00DE5536" w:rsidP="004E1BD0">
            <w:pPr>
              <w:pStyle w:val="texto"/>
              <w:ind w:firstLine="0"/>
              <w:rPr>
                <w:rFonts w:ascii="Arial" w:hAnsi="Arial" w:cs="Arial"/>
                <w:sz w:val="20"/>
                <w:szCs w:val="20"/>
              </w:rPr>
            </w:pPr>
          </w:p>
        </w:tc>
      </w:tr>
      <w:tr w:rsidR="00DE5536" w:rsidRPr="00EC07D7" w:rsidTr="00D14FF4">
        <w:trPr>
          <w:trHeight w:val="284"/>
        </w:trPr>
        <w:tc>
          <w:tcPr>
            <w:tcW w:w="4394" w:type="dxa"/>
            <w:vMerge w:val="restart"/>
            <w:tcBorders>
              <w:top w:val="single" w:sz="2" w:space="0" w:color="auto"/>
              <w:left w:val="nil"/>
              <w:bottom w:val="single" w:sz="2" w:space="0" w:color="auto"/>
              <w:right w:val="nil"/>
            </w:tcBorders>
            <w:shd w:val="clear" w:color="auto" w:fill="auto"/>
            <w:vAlign w:val="center"/>
          </w:tcPr>
          <w:p w:rsidR="00DE5536" w:rsidRPr="00EC07D7" w:rsidRDefault="00DE5536" w:rsidP="00DE5536">
            <w:pPr>
              <w:spacing w:after="0"/>
              <w:ind w:firstLine="0"/>
              <w:jc w:val="left"/>
              <w:rPr>
                <w:rFonts w:ascii="Arial Narrow" w:hAnsi="Arial Narrow"/>
                <w:lang w:val="es-ES" w:eastAsia="es-ES"/>
              </w:rPr>
            </w:pPr>
            <w:r w:rsidRPr="00EC07D7">
              <w:rPr>
                <w:rFonts w:ascii="Arial Narrow" w:hAnsi="Arial Narrow"/>
                <w:lang w:val="es-ES" w:eastAsia="es-ES"/>
              </w:rPr>
              <w:t>Derechos Sociales</w:t>
            </w:r>
          </w:p>
        </w:tc>
        <w:tc>
          <w:tcPr>
            <w:tcW w:w="4395" w:type="dxa"/>
            <w:tcBorders>
              <w:top w:val="single" w:sz="2" w:space="0" w:color="auto"/>
              <w:left w:val="nil"/>
              <w:bottom w:val="single" w:sz="2" w:space="0" w:color="auto"/>
              <w:right w:val="nil"/>
            </w:tcBorders>
            <w:shd w:val="clear" w:color="auto" w:fill="auto"/>
            <w:vAlign w:val="center"/>
          </w:tcPr>
          <w:p w:rsidR="00DE5536" w:rsidRPr="00EC07D7" w:rsidRDefault="00DE5536" w:rsidP="00DE5536">
            <w:pPr>
              <w:spacing w:after="0"/>
              <w:ind w:firstLine="0"/>
              <w:jc w:val="left"/>
              <w:rPr>
                <w:rFonts w:ascii="Arial Narrow" w:hAnsi="Arial Narrow"/>
                <w:lang w:val="es-ES" w:eastAsia="es-ES"/>
              </w:rPr>
            </w:pPr>
            <w:r w:rsidRPr="00EC07D7">
              <w:rPr>
                <w:rFonts w:ascii="Arial Narrow" w:hAnsi="Arial Narrow"/>
                <w:lang w:val="es-ES" w:eastAsia="es-ES"/>
              </w:rPr>
              <w:t>Servicio Navarro de Empleo</w:t>
            </w:r>
          </w:p>
        </w:tc>
      </w:tr>
      <w:tr w:rsidR="00DE5536" w:rsidRPr="00EC07D7" w:rsidTr="00D14FF4">
        <w:trPr>
          <w:trHeight w:val="284"/>
        </w:trPr>
        <w:tc>
          <w:tcPr>
            <w:tcW w:w="4394" w:type="dxa"/>
            <w:vMerge/>
            <w:tcBorders>
              <w:top w:val="single" w:sz="2" w:space="0" w:color="auto"/>
              <w:left w:val="nil"/>
              <w:bottom w:val="single" w:sz="2" w:space="0" w:color="auto"/>
              <w:right w:val="nil"/>
            </w:tcBorders>
            <w:shd w:val="clear" w:color="auto" w:fill="auto"/>
            <w:vAlign w:val="center"/>
          </w:tcPr>
          <w:p w:rsidR="00DE5536" w:rsidRPr="00EC07D7" w:rsidRDefault="00DE5536" w:rsidP="00DE5536">
            <w:pPr>
              <w:spacing w:after="0"/>
              <w:ind w:firstLine="0"/>
              <w:jc w:val="left"/>
              <w:rPr>
                <w:rFonts w:ascii="Arial Narrow" w:hAnsi="Arial Narrow"/>
                <w:lang w:val="es-ES" w:eastAsia="es-ES"/>
              </w:rPr>
            </w:pPr>
          </w:p>
        </w:tc>
        <w:tc>
          <w:tcPr>
            <w:tcW w:w="4395" w:type="dxa"/>
            <w:tcBorders>
              <w:top w:val="single" w:sz="2" w:space="0" w:color="auto"/>
              <w:left w:val="nil"/>
              <w:bottom w:val="single" w:sz="2" w:space="0" w:color="auto"/>
              <w:right w:val="nil"/>
            </w:tcBorders>
            <w:shd w:val="clear" w:color="auto" w:fill="auto"/>
            <w:vAlign w:val="center"/>
          </w:tcPr>
          <w:p w:rsidR="00DE5536" w:rsidRPr="00EC07D7" w:rsidRDefault="00DE5536" w:rsidP="00305B4B">
            <w:pPr>
              <w:spacing w:after="0"/>
              <w:ind w:firstLine="0"/>
              <w:jc w:val="left"/>
              <w:rPr>
                <w:rFonts w:ascii="Arial Narrow" w:hAnsi="Arial Narrow"/>
                <w:lang w:val="es-ES" w:eastAsia="es-ES"/>
              </w:rPr>
            </w:pPr>
            <w:r w:rsidRPr="00EC07D7">
              <w:rPr>
                <w:rFonts w:ascii="Arial Narrow" w:hAnsi="Arial Narrow"/>
                <w:lang w:val="es-ES" w:eastAsia="es-ES"/>
              </w:rPr>
              <w:t xml:space="preserve">Agencia Navarra </w:t>
            </w:r>
            <w:r w:rsidR="00305B4B" w:rsidRPr="00EC07D7">
              <w:rPr>
                <w:rFonts w:ascii="Arial Narrow" w:hAnsi="Arial Narrow"/>
                <w:lang w:val="es-ES" w:eastAsia="es-ES"/>
              </w:rPr>
              <w:t>para la</w:t>
            </w:r>
            <w:r w:rsidRPr="00EC07D7">
              <w:rPr>
                <w:rFonts w:ascii="Arial Narrow" w:hAnsi="Arial Narrow"/>
                <w:lang w:val="es-ES" w:eastAsia="es-ES"/>
              </w:rPr>
              <w:t xml:space="preserve"> Autonomía de las Personas</w:t>
            </w:r>
          </w:p>
        </w:tc>
      </w:tr>
      <w:tr w:rsidR="00DE5536" w:rsidRPr="00EC07D7" w:rsidTr="00D14FF4">
        <w:trPr>
          <w:trHeight w:val="284"/>
        </w:trPr>
        <w:tc>
          <w:tcPr>
            <w:tcW w:w="4394" w:type="dxa"/>
            <w:tcBorders>
              <w:top w:val="single" w:sz="2" w:space="0" w:color="auto"/>
              <w:left w:val="nil"/>
              <w:bottom w:val="single" w:sz="2" w:space="0" w:color="auto"/>
              <w:right w:val="nil"/>
            </w:tcBorders>
            <w:shd w:val="clear" w:color="auto" w:fill="auto"/>
            <w:vAlign w:val="center"/>
          </w:tcPr>
          <w:p w:rsidR="00DE5536" w:rsidRPr="00EC07D7" w:rsidRDefault="00DE5536" w:rsidP="00DE5536">
            <w:pPr>
              <w:spacing w:after="0"/>
              <w:ind w:firstLine="0"/>
              <w:jc w:val="left"/>
              <w:rPr>
                <w:rFonts w:ascii="Arial Narrow" w:hAnsi="Arial Narrow"/>
                <w:lang w:val="es-ES" w:eastAsia="es-ES"/>
              </w:rPr>
            </w:pPr>
            <w:r w:rsidRPr="00EC07D7">
              <w:rPr>
                <w:rFonts w:ascii="Arial Narrow" w:hAnsi="Arial Narrow"/>
                <w:lang w:val="es-ES" w:eastAsia="es-ES"/>
              </w:rPr>
              <w:t>Hacienda y Política Financiera</w:t>
            </w:r>
          </w:p>
        </w:tc>
        <w:tc>
          <w:tcPr>
            <w:tcW w:w="4395" w:type="dxa"/>
            <w:tcBorders>
              <w:top w:val="single" w:sz="2" w:space="0" w:color="auto"/>
              <w:left w:val="nil"/>
              <w:bottom w:val="single" w:sz="2" w:space="0" w:color="auto"/>
              <w:right w:val="nil"/>
            </w:tcBorders>
            <w:shd w:val="clear" w:color="auto" w:fill="auto"/>
            <w:vAlign w:val="center"/>
          </w:tcPr>
          <w:p w:rsidR="00DE5536" w:rsidRPr="00EC07D7" w:rsidRDefault="00DE5536" w:rsidP="00DE5536">
            <w:pPr>
              <w:spacing w:after="0"/>
              <w:ind w:firstLine="0"/>
              <w:jc w:val="left"/>
              <w:rPr>
                <w:rFonts w:ascii="Arial Narrow" w:hAnsi="Arial Narrow"/>
                <w:lang w:val="es-ES" w:eastAsia="es-ES"/>
              </w:rPr>
            </w:pPr>
            <w:r w:rsidRPr="00EC07D7">
              <w:rPr>
                <w:rFonts w:ascii="Arial Narrow" w:hAnsi="Arial Narrow"/>
                <w:lang w:val="es-ES" w:eastAsia="es-ES"/>
              </w:rPr>
              <w:t>Hacienda Tributaria de Navarra</w:t>
            </w:r>
          </w:p>
        </w:tc>
      </w:tr>
      <w:tr w:rsidR="00DE5536" w:rsidRPr="00EC07D7" w:rsidTr="00D14FF4">
        <w:trPr>
          <w:trHeight w:val="284"/>
        </w:trPr>
        <w:tc>
          <w:tcPr>
            <w:tcW w:w="4394" w:type="dxa"/>
            <w:tcBorders>
              <w:top w:val="single" w:sz="2" w:space="0" w:color="auto"/>
              <w:left w:val="nil"/>
              <w:bottom w:val="single" w:sz="2" w:space="0" w:color="auto"/>
              <w:right w:val="nil"/>
            </w:tcBorders>
            <w:shd w:val="clear" w:color="auto" w:fill="auto"/>
            <w:vAlign w:val="center"/>
          </w:tcPr>
          <w:p w:rsidR="00DE5536" w:rsidRPr="00EC07D7" w:rsidRDefault="00DE5536" w:rsidP="00DE5536">
            <w:pPr>
              <w:spacing w:after="0"/>
              <w:ind w:firstLine="0"/>
              <w:jc w:val="left"/>
              <w:rPr>
                <w:rFonts w:ascii="Arial Narrow" w:hAnsi="Arial Narrow"/>
                <w:lang w:val="es-ES" w:eastAsia="es-ES"/>
              </w:rPr>
            </w:pPr>
            <w:r w:rsidRPr="00EC07D7">
              <w:rPr>
                <w:rFonts w:ascii="Arial Narrow" w:hAnsi="Arial Narrow"/>
                <w:lang w:val="es-ES" w:eastAsia="es-ES"/>
              </w:rPr>
              <w:t>Presidencia, Función Pública, Interior y Justicia</w:t>
            </w:r>
          </w:p>
        </w:tc>
        <w:tc>
          <w:tcPr>
            <w:tcW w:w="4395" w:type="dxa"/>
            <w:tcBorders>
              <w:top w:val="single" w:sz="2" w:space="0" w:color="auto"/>
              <w:left w:val="nil"/>
              <w:bottom w:val="single" w:sz="2" w:space="0" w:color="auto"/>
              <w:right w:val="nil"/>
            </w:tcBorders>
            <w:shd w:val="clear" w:color="auto" w:fill="auto"/>
            <w:vAlign w:val="center"/>
          </w:tcPr>
          <w:p w:rsidR="00DE5536" w:rsidRPr="00EC07D7" w:rsidRDefault="00DE5536" w:rsidP="00DE5536">
            <w:pPr>
              <w:spacing w:after="0"/>
              <w:ind w:firstLine="0"/>
              <w:jc w:val="left"/>
              <w:rPr>
                <w:rFonts w:ascii="Arial Narrow" w:hAnsi="Arial Narrow"/>
                <w:lang w:val="es-ES" w:eastAsia="es-ES"/>
              </w:rPr>
            </w:pPr>
          </w:p>
        </w:tc>
      </w:tr>
      <w:tr w:rsidR="00DE5536" w:rsidRPr="00EC07D7" w:rsidTr="00D14FF4">
        <w:trPr>
          <w:trHeight w:val="284"/>
        </w:trPr>
        <w:tc>
          <w:tcPr>
            <w:tcW w:w="4394" w:type="dxa"/>
            <w:vMerge w:val="restart"/>
            <w:tcBorders>
              <w:top w:val="single" w:sz="2" w:space="0" w:color="auto"/>
              <w:left w:val="nil"/>
              <w:bottom w:val="single" w:sz="2" w:space="0" w:color="auto"/>
              <w:right w:val="nil"/>
            </w:tcBorders>
            <w:shd w:val="clear" w:color="auto" w:fill="auto"/>
            <w:vAlign w:val="center"/>
          </w:tcPr>
          <w:p w:rsidR="00DE5536" w:rsidRPr="00EC07D7" w:rsidRDefault="00DE5536" w:rsidP="00DE5536">
            <w:pPr>
              <w:spacing w:after="0"/>
              <w:ind w:firstLine="0"/>
              <w:jc w:val="left"/>
              <w:rPr>
                <w:rFonts w:ascii="Arial Narrow" w:hAnsi="Arial Narrow"/>
                <w:lang w:val="es-ES" w:eastAsia="es-ES"/>
              </w:rPr>
            </w:pPr>
            <w:r w:rsidRPr="00EC07D7">
              <w:rPr>
                <w:rFonts w:ascii="Arial Narrow" w:hAnsi="Arial Narrow"/>
                <w:lang w:val="es-ES" w:eastAsia="es-ES"/>
              </w:rPr>
              <w:t>Relaciones Ciudadanas e Institucionales</w:t>
            </w:r>
          </w:p>
        </w:tc>
        <w:tc>
          <w:tcPr>
            <w:tcW w:w="4395" w:type="dxa"/>
            <w:tcBorders>
              <w:top w:val="single" w:sz="2" w:space="0" w:color="auto"/>
              <w:left w:val="nil"/>
              <w:bottom w:val="single" w:sz="2" w:space="0" w:color="auto"/>
              <w:right w:val="nil"/>
            </w:tcBorders>
            <w:shd w:val="clear" w:color="auto" w:fill="auto"/>
            <w:vAlign w:val="center"/>
          </w:tcPr>
          <w:p w:rsidR="00DE5536" w:rsidRPr="00EC07D7" w:rsidRDefault="00DE5536" w:rsidP="00DE5536">
            <w:pPr>
              <w:spacing w:after="0"/>
              <w:ind w:firstLine="0"/>
              <w:jc w:val="left"/>
              <w:rPr>
                <w:rFonts w:ascii="Arial Narrow" w:hAnsi="Arial Narrow"/>
                <w:lang w:val="es-ES" w:eastAsia="es-ES"/>
              </w:rPr>
            </w:pPr>
            <w:r w:rsidRPr="00EC07D7">
              <w:rPr>
                <w:rFonts w:ascii="Arial Narrow" w:hAnsi="Arial Narrow"/>
                <w:lang w:val="es-ES" w:eastAsia="es-ES"/>
              </w:rPr>
              <w:t>Instituto Navarro para la Igualdad</w:t>
            </w:r>
            <w:r w:rsidR="00305B4B" w:rsidRPr="00EC07D7">
              <w:rPr>
                <w:rFonts w:ascii="Arial Narrow" w:hAnsi="Arial Narrow"/>
                <w:lang w:val="es-ES" w:eastAsia="es-ES"/>
              </w:rPr>
              <w:t>-Nafarroako Berdint</w:t>
            </w:r>
            <w:r w:rsidR="00305B4B" w:rsidRPr="00EC07D7">
              <w:rPr>
                <w:rFonts w:ascii="Arial Narrow" w:hAnsi="Arial Narrow"/>
                <w:lang w:val="es-ES" w:eastAsia="es-ES"/>
              </w:rPr>
              <w:t>a</w:t>
            </w:r>
            <w:r w:rsidR="00305B4B" w:rsidRPr="00EC07D7">
              <w:rPr>
                <w:rFonts w:ascii="Arial Narrow" w:hAnsi="Arial Narrow"/>
                <w:lang w:val="es-ES" w:eastAsia="es-ES"/>
              </w:rPr>
              <w:t>sunerako Institutua</w:t>
            </w:r>
          </w:p>
        </w:tc>
      </w:tr>
      <w:tr w:rsidR="00DE5536" w:rsidRPr="00EC07D7" w:rsidTr="00D14FF4">
        <w:trPr>
          <w:trHeight w:val="284"/>
        </w:trPr>
        <w:tc>
          <w:tcPr>
            <w:tcW w:w="4394" w:type="dxa"/>
            <w:vMerge/>
            <w:tcBorders>
              <w:top w:val="single" w:sz="2" w:space="0" w:color="auto"/>
              <w:left w:val="nil"/>
              <w:bottom w:val="single" w:sz="2" w:space="0" w:color="auto"/>
              <w:right w:val="nil"/>
            </w:tcBorders>
            <w:shd w:val="clear" w:color="auto" w:fill="auto"/>
            <w:vAlign w:val="center"/>
          </w:tcPr>
          <w:p w:rsidR="00DE5536" w:rsidRPr="00EC07D7" w:rsidRDefault="00DE5536" w:rsidP="00DE5536">
            <w:pPr>
              <w:spacing w:after="0"/>
              <w:ind w:firstLine="0"/>
              <w:jc w:val="left"/>
              <w:rPr>
                <w:rFonts w:ascii="Arial Narrow" w:hAnsi="Arial Narrow"/>
                <w:lang w:val="es-ES" w:eastAsia="es-ES"/>
              </w:rPr>
            </w:pPr>
          </w:p>
        </w:tc>
        <w:tc>
          <w:tcPr>
            <w:tcW w:w="4395" w:type="dxa"/>
            <w:tcBorders>
              <w:top w:val="single" w:sz="2" w:space="0" w:color="auto"/>
              <w:left w:val="nil"/>
              <w:bottom w:val="single" w:sz="2" w:space="0" w:color="auto"/>
              <w:right w:val="nil"/>
            </w:tcBorders>
            <w:shd w:val="clear" w:color="auto" w:fill="auto"/>
            <w:vAlign w:val="center"/>
          </w:tcPr>
          <w:p w:rsidR="00DE5536" w:rsidRPr="00EC07D7" w:rsidRDefault="00305B4B" w:rsidP="00DE5536">
            <w:pPr>
              <w:spacing w:after="0"/>
              <w:ind w:firstLine="0"/>
              <w:jc w:val="left"/>
              <w:rPr>
                <w:rFonts w:ascii="Arial Narrow" w:hAnsi="Arial Narrow"/>
                <w:lang w:val="es-ES" w:eastAsia="es-ES"/>
              </w:rPr>
            </w:pPr>
            <w:r w:rsidRPr="00EC07D7">
              <w:rPr>
                <w:rFonts w:ascii="Arial Narrow" w:hAnsi="Arial Narrow"/>
                <w:lang w:val="es-ES" w:eastAsia="es-ES"/>
              </w:rPr>
              <w:t>Euskarabidea-</w:t>
            </w:r>
            <w:r w:rsidR="00DE5536" w:rsidRPr="00EC07D7">
              <w:rPr>
                <w:rFonts w:ascii="Arial Narrow" w:hAnsi="Arial Narrow"/>
                <w:lang w:val="es-ES" w:eastAsia="es-ES"/>
              </w:rPr>
              <w:t>Instituto Navarro de</w:t>
            </w:r>
            <w:r w:rsidRPr="00EC07D7">
              <w:rPr>
                <w:rFonts w:ascii="Arial Narrow" w:hAnsi="Arial Narrow"/>
                <w:lang w:val="es-ES" w:eastAsia="es-ES"/>
              </w:rPr>
              <w:t>l</w:t>
            </w:r>
            <w:r w:rsidR="00DE5536" w:rsidRPr="00EC07D7">
              <w:rPr>
                <w:rFonts w:ascii="Arial Narrow" w:hAnsi="Arial Narrow"/>
                <w:lang w:val="es-ES" w:eastAsia="es-ES"/>
              </w:rPr>
              <w:t xml:space="preserve"> Euskera</w:t>
            </w:r>
          </w:p>
        </w:tc>
      </w:tr>
      <w:tr w:rsidR="00DE5536" w:rsidRPr="00EC07D7" w:rsidTr="00D14FF4">
        <w:trPr>
          <w:trHeight w:val="284"/>
        </w:trPr>
        <w:tc>
          <w:tcPr>
            <w:tcW w:w="4394" w:type="dxa"/>
            <w:tcBorders>
              <w:top w:val="single" w:sz="2" w:space="0" w:color="auto"/>
              <w:left w:val="nil"/>
              <w:bottom w:val="single" w:sz="2" w:space="0" w:color="auto"/>
              <w:right w:val="nil"/>
            </w:tcBorders>
            <w:shd w:val="clear" w:color="auto" w:fill="auto"/>
            <w:vAlign w:val="center"/>
          </w:tcPr>
          <w:p w:rsidR="00DE5536" w:rsidRPr="00EC07D7" w:rsidRDefault="00DE5536" w:rsidP="00DE5536">
            <w:pPr>
              <w:spacing w:after="0"/>
              <w:ind w:firstLine="0"/>
              <w:jc w:val="left"/>
              <w:rPr>
                <w:rFonts w:ascii="Arial Narrow" w:hAnsi="Arial Narrow"/>
                <w:lang w:val="es-ES" w:eastAsia="es-ES"/>
              </w:rPr>
            </w:pPr>
            <w:r w:rsidRPr="00EC07D7">
              <w:rPr>
                <w:rFonts w:ascii="Arial Narrow" w:hAnsi="Arial Narrow"/>
                <w:lang w:val="es-ES" w:eastAsia="es-ES"/>
              </w:rPr>
              <w:t>Educación</w:t>
            </w:r>
          </w:p>
        </w:tc>
        <w:tc>
          <w:tcPr>
            <w:tcW w:w="4395" w:type="dxa"/>
            <w:tcBorders>
              <w:top w:val="single" w:sz="2" w:space="0" w:color="auto"/>
              <w:left w:val="nil"/>
              <w:bottom w:val="single" w:sz="2" w:space="0" w:color="auto"/>
              <w:right w:val="nil"/>
            </w:tcBorders>
            <w:shd w:val="clear" w:color="auto" w:fill="auto"/>
            <w:vAlign w:val="center"/>
          </w:tcPr>
          <w:p w:rsidR="00DE5536" w:rsidRPr="00EC07D7" w:rsidRDefault="00DE5536" w:rsidP="00DE5536">
            <w:pPr>
              <w:spacing w:after="0"/>
              <w:ind w:firstLine="0"/>
              <w:jc w:val="left"/>
              <w:rPr>
                <w:rFonts w:ascii="Arial Narrow" w:hAnsi="Arial Narrow"/>
                <w:lang w:val="es-ES" w:eastAsia="es-ES"/>
              </w:rPr>
            </w:pPr>
          </w:p>
        </w:tc>
      </w:tr>
      <w:tr w:rsidR="00DE5536" w:rsidRPr="00EC07D7" w:rsidTr="00D14FF4">
        <w:trPr>
          <w:trHeight w:val="284"/>
        </w:trPr>
        <w:tc>
          <w:tcPr>
            <w:tcW w:w="4394" w:type="dxa"/>
            <w:vMerge w:val="restart"/>
            <w:tcBorders>
              <w:top w:val="single" w:sz="2" w:space="0" w:color="auto"/>
              <w:left w:val="nil"/>
              <w:bottom w:val="single" w:sz="2" w:space="0" w:color="auto"/>
              <w:right w:val="nil"/>
            </w:tcBorders>
            <w:shd w:val="clear" w:color="auto" w:fill="auto"/>
            <w:vAlign w:val="center"/>
          </w:tcPr>
          <w:p w:rsidR="00DE5536" w:rsidRPr="00EC07D7" w:rsidRDefault="00DE5536" w:rsidP="00DE5536">
            <w:pPr>
              <w:spacing w:after="0"/>
              <w:ind w:firstLine="0"/>
              <w:jc w:val="left"/>
              <w:rPr>
                <w:rFonts w:ascii="Arial Narrow" w:hAnsi="Arial Narrow"/>
                <w:lang w:val="es-ES" w:eastAsia="es-ES"/>
              </w:rPr>
            </w:pPr>
            <w:r w:rsidRPr="00EC07D7">
              <w:rPr>
                <w:rFonts w:ascii="Arial Narrow" w:hAnsi="Arial Narrow"/>
                <w:lang w:val="es-ES" w:eastAsia="es-ES"/>
              </w:rPr>
              <w:t>Salud</w:t>
            </w:r>
          </w:p>
        </w:tc>
        <w:tc>
          <w:tcPr>
            <w:tcW w:w="4395" w:type="dxa"/>
            <w:tcBorders>
              <w:top w:val="single" w:sz="2" w:space="0" w:color="auto"/>
              <w:left w:val="nil"/>
              <w:bottom w:val="single" w:sz="2" w:space="0" w:color="auto"/>
              <w:right w:val="nil"/>
            </w:tcBorders>
            <w:shd w:val="clear" w:color="auto" w:fill="auto"/>
            <w:vAlign w:val="center"/>
          </w:tcPr>
          <w:p w:rsidR="00DE5536" w:rsidRPr="00EC07D7" w:rsidRDefault="00DE5536" w:rsidP="00DE5536">
            <w:pPr>
              <w:spacing w:after="0"/>
              <w:ind w:firstLine="0"/>
              <w:jc w:val="left"/>
              <w:rPr>
                <w:rFonts w:ascii="Arial Narrow" w:hAnsi="Arial Narrow"/>
                <w:lang w:val="es-ES" w:eastAsia="es-ES"/>
              </w:rPr>
            </w:pPr>
            <w:r w:rsidRPr="00EC07D7">
              <w:rPr>
                <w:rFonts w:ascii="Arial Narrow" w:hAnsi="Arial Narrow"/>
                <w:lang w:val="es-ES" w:eastAsia="es-ES"/>
              </w:rPr>
              <w:t>Servicio Navarro de Salud</w:t>
            </w:r>
            <w:r w:rsidR="00460357" w:rsidRPr="00EC07D7">
              <w:rPr>
                <w:rFonts w:ascii="Arial Narrow" w:hAnsi="Arial Narrow"/>
                <w:lang w:val="es-ES" w:eastAsia="es-ES"/>
              </w:rPr>
              <w:t>-Osasunbidea</w:t>
            </w:r>
          </w:p>
        </w:tc>
      </w:tr>
      <w:tr w:rsidR="00DE5536" w:rsidRPr="00EC07D7" w:rsidTr="00D14FF4">
        <w:trPr>
          <w:trHeight w:val="284"/>
        </w:trPr>
        <w:tc>
          <w:tcPr>
            <w:tcW w:w="4394" w:type="dxa"/>
            <w:vMerge/>
            <w:tcBorders>
              <w:top w:val="single" w:sz="2" w:space="0" w:color="auto"/>
              <w:left w:val="nil"/>
              <w:bottom w:val="single" w:sz="2" w:space="0" w:color="auto"/>
              <w:right w:val="nil"/>
            </w:tcBorders>
            <w:shd w:val="clear" w:color="auto" w:fill="auto"/>
            <w:vAlign w:val="center"/>
          </w:tcPr>
          <w:p w:rsidR="00DE5536" w:rsidRPr="00EC07D7" w:rsidRDefault="00DE5536" w:rsidP="00DE5536">
            <w:pPr>
              <w:spacing w:after="0"/>
              <w:ind w:firstLine="0"/>
              <w:jc w:val="left"/>
              <w:rPr>
                <w:rFonts w:ascii="Arial Narrow" w:hAnsi="Arial Narrow"/>
                <w:lang w:val="es-ES" w:eastAsia="es-ES"/>
              </w:rPr>
            </w:pPr>
          </w:p>
        </w:tc>
        <w:tc>
          <w:tcPr>
            <w:tcW w:w="4395" w:type="dxa"/>
            <w:tcBorders>
              <w:top w:val="single" w:sz="2" w:space="0" w:color="auto"/>
              <w:left w:val="nil"/>
              <w:bottom w:val="single" w:sz="2" w:space="0" w:color="auto"/>
              <w:right w:val="nil"/>
            </w:tcBorders>
            <w:shd w:val="clear" w:color="auto" w:fill="auto"/>
            <w:vAlign w:val="center"/>
          </w:tcPr>
          <w:p w:rsidR="00DE5536" w:rsidRPr="00EC07D7" w:rsidRDefault="00DE5536" w:rsidP="00DE5536">
            <w:pPr>
              <w:spacing w:after="0"/>
              <w:ind w:firstLine="0"/>
              <w:jc w:val="left"/>
              <w:rPr>
                <w:rFonts w:ascii="Arial Narrow" w:hAnsi="Arial Narrow"/>
                <w:lang w:val="es-ES" w:eastAsia="es-ES"/>
              </w:rPr>
            </w:pPr>
            <w:r w:rsidRPr="00EC07D7">
              <w:rPr>
                <w:rFonts w:ascii="Arial Narrow" w:hAnsi="Arial Narrow"/>
                <w:lang w:val="es-ES" w:eastAsia="es-ES"/>
              </w:rPr>
              <w:t>Instituto de Salud Pública y Laboral de Navarra</w:t>
            </w:r>
          </w:p>
        </w:tc>
      </w:tr>
      <w:tr w:rsidR="00DE5536" w:rsidRPr="00EC07D7" w:rsidTr="00D14FF4">
        <w:trPr>
          <w:trHeight w:val="284"/>
        </w:trPr>
        <w:tc>
          <w:tcPr>
            <w:tcW w:w="4394" w:type="dxa"/>
            <w:tcBorders>
              <w:top w:val="single" w:sz="2" w:space="0" w:color="auto"/>
              <w:left w:val="nil"/>
              <w:bottom w:val="single" w:sz="2" w:space="0" w:color="auto"/>
              <w:right w:val="nil"/>
            </w:tcBorders>
            <w:shd w:val="clear" w:color="auto" w:fill="auto"/>
            <w:vAlign w:val="center"/>
          </w:tcPr>
          <w:p w:rsidR="00DE5536" w:rsidRPr="00EC07D7" w:rsidRDefault="00DE5536" w:rsidP="00DE5536">
            <w:pPr>
              <w:spacing w:after="0"/>
              <w:ind w:firstLine="0"/>
              <w:jc w:val="left"/>
              <w:rPr>
                <w:rFonts w:ascii="Arial Narrow" w:hAnsi="Arial Narrow"/>
                <w:lang w:val="es-ES" w:eastAsia="es-ES"/>
              </w:rPr>
            </w:pPr>
            <w:r w:rsidRPr="00EC07D7">
              <w:rPr>
                <w:rFonts w:ascii="Arial Narrow" w:hAnsi="Arial Narrow"/>
                <w:lang w:val="es-ES" w:eastAsia="es-ES"/>
              </w:rPr>
              <w:t>Cultura, Deporte y Juventud</w:t>
            </w:r>
          </w:p>
        </w:tc>
        <w:tc>
          <w:tcPr>
            <w:tcW w:w="4395" w:type="dxa"/>
            <w:tcBorders>
              <w:top w:val="single" w:sz="2" w:space="0" w:color="auto"/>
              <w:left w:val="nil"/>
              <w:bottom w:val="single" w:sz="2" w:space="0" w:color="auto"/>
              <w:right w:val="nil"/>
            </w:tcBorders>
            <w:shd w:val="clear" w:color="auto" w:fill="auto"/>
            <w:vAlign w:val="center"/>
          </w:tcPr>
          <w:p w:rsidR="00DE5536" w:rsidRPr="00EC07D7" w:rsidRDefault="00DE5536" w:rsidP="00DE5536">
            <w:pPr>
              <w:spacing w:after="0"/>
              <w:ind w:firstLine="0"/>
              <w:jc w:val="left"/>
              <w:rPr>
                <w:rFonts w:ascii="Arial Narrow" w:hAnsi="Arial Narrow"/>
                <w:lang w:val="es-ES" w:eastAsia="es-ES"/>
              </w:rPr>
            </w:pPr>
            <w:r w:rsidRPr="00EC07D7">
              <w:rPr>
                <w:rFonts w:ascii="Arial Narrow" w:hAnsi="Arial Narrow"/>
                <w:lang w:val="es-ES" w:eastAsia="es-ES"/>
              </w:rPr>
              <w:t>Instituto Navarro de</w:t>
            </w:r>
            <w:r w:rsidR="00305B4B" w:rsidRPr="00EC07D7">
              <w:rPr>
                <w:rFonts w:ascii="Arial Narrow" w:hAnsi="Arial Narrow"/>
                <w:lang w:val="es-ES" w:eastAsia="es-ES"/>
              </w:rPr>
              <w:t>l</w:t>
            </w:r>
            <w:r w:rsidRPr="00EC07D7">
              <w:rPr>
                <w:rFonts w:ascii="Arial Narrow" w:hAnsi="Arial Narrow"/>
                <w:lang w:val="es-ES" w:eastAsia="es-ES"/>
              </w:rPr>
              <w:t xml:space="preserve"> Deporte y Juventud</w:t>
            </w:r>
          </w:p>
        </w:tc>
      </w:tr>
      <w:tr w:rsidR="00DE5536" w:rsidRPr="00EC07D7" w:rsidTr="00D14FF4">
        <w:trPr>
          <w:trHeight w:val="284"/>
        </w:trPr>
        <w:tc>
          <w:tcPr>
            <w:tcW w:w="4394" w:type="dxa"/>
            <w:tcBorders>
              <w:top w:val="single" w:sz="2" w:space="0" w:color="auto"/>
              <w:left w:val="nil"/>
              <w:bottom w:val="single" w:sz="2" w:space="0" w:color="auto"/>
              <w:right w:val="nil"/>
            </w:tcBorders>
            <w:shd w:val="clear" w:color="auto" w:fill="auto"/>
            <w:vAlign w:val="center"/>
          </w:tcPr>
          <w:p w:rsidR="00DE5536" w:rsidRPr="00EC07D7" w:rsidRDefault="00DE5536" w:rsidP="00DE5536">
            <w:pPr>
              <w:spacing w:after="0"/>
              <w:ind w:firstLine="0"/>
              <w:jc w:val="left"/>
              <w:rPr>
                <w:rFonts w:ascii="Arial Narrow" w:hAnsi="Arial Narrow"/>
                <w:lang w:val="es-ES" w:eastAsia="es-ES"/>
              </w:rPr>
            </w:pPr>
            <w:r w:rsidRPr="00EC07D7">
              <w:rPr>
                <w:rFonts w:ascii="Arial Narrow" w:hAnsi="Arial Narrow"/>
                <w:lang w:val="es-ES" w:eastAsia="es-ES"/>
              </w:rPr>
              <w:t>Desarrollo Rural, Medio Ambiente y Administración Local</w:t>
            </w:r>
          </w:p>
        </w:tc>
        <w:tc>
          <w:tcPr>
            <w:tcW w:w="4395" w:type="dxa"/>
            <w:tcBorders>
              <w:top w:val="single" w:sz="2" w:space="0" w:color="auto"/>
              <w:left w:val="nil"/>
              <w:bottom w:val="single" w:sz="2" w:space="0" w:color="auto"/>
              <w:right w:val="nil"/>
            </w:tcBorders>
            <w:shd w:val="clear" w:color="auto" w:fill="auto"/>
            <w:vAlign w:val="center"/>
          </w:tcPr>
          <w:p w:rsidR="00DE5536" w:rsidRPr="00EC07D7" w:rsidRDefault="00DE5536" w:rsidP="00DE5536">
            <w:pPr>
              <w:spacing w:after="0"/>
              <w:ind w:firstLine="0"/>
              <w:jc w:val="left"/>
              <w:rPr>
                <w:rFonts w:ascii="Arial Narrow" w:hAnsi="Arial Narrow"/>
                <w:lang w:val="es-ES" w:eastAsia="es-ES"/>
              </w:rPr>
            </w:pPr>
          </w:p>
        </w:tc>
      </w:tr>
    </w:tbl>
    <w:p w:rsidR="00DE5536" w:rsidRDefault="00DE5536" w:rsidP="00EC07D7">
      <w:pPr>
        <w:pStyle w:val="recomen"/>
        <w:numPr>
          <w:ilvl w:val="0"/>
          <w:numId w:val="0"/>
        </w:numPr>
        <w:spacing w:after="0"/>
        <w:ind w:left="284"/>
      </w:pPr>
    </w:p>
    <w:p w:rsidR="00DE5536" w:rsidRDefault="00DE5536" w:rsidP="00DE5536">
      <w:pPr>
        <w:pStyle w:val="texto"/>
      </w:pPr>
      <w:r>
        <w:t>Como se observa, además de un reajuste de su ámbito competencial, se i</w:t>
      </w:r>
      <w:r>
        <w:t>n</w:t>
      </w:r>
      <w:r>
        <w:t xml:space="preserve">crementa </w:t>
      </w:r>
      <w:r w:rsidR="00305B4B">
        <w:t xml:space="preserve">en uno el número de departamentos </w:t>
      </w:r>
      <w:r>
        <w:t>y se reduce</w:t>
      </w:r>
      <w:r w:rsidR="00305B4B">
        <w:t>, igualmente,</w:t>
      </w:r>
      <w:r>
        <w:t xml:space="preserve"> en uno el de </w:t>
      </w:r>
      <w:r w:rsidR="006C55C8">
        <w:t>organismos autónomos</w:t>
      </w:r>
      <w:r w:rsidR="00E16EF4">
        <w:t>.</w:t>
      </w:r>
      <w:r>
        <w:t xml:space="preserve"> (se elimina</w:t>
      </w:r>
      <w:r w:rsidR="006C55C8">
        <w:t xml:space="preserve"> </w:t>
      </w:r>
      <w:r>
        <w:t>la Agencia Navarra de Emergencias).</w:t>
      </w:r>
    </w:p>
    <w:p w:rsidR="00590D7F" w:rsidRPr="00590D7F" w:rsidRDefault="006C55C8" w:rsidP="00590D7F">
      <w:pPr>
        <w:pStyle w:val="texto"/>
      </w:pPr>
      <w:r>
        <w:t xml:space="preserve">Hay 16 </w:t>
      </w:r>
      <w:r w:rsidR="00590D7F" w:rsidRPr="00590D7F">
        <w:t>empresas públicas</w:t>
      </w:r>
      <w:r w:rsidR="00761761">
        <w:t xml:space="preserve">, incluyendo la </w:t>
      </w:r>
      <w:r w:rsidR="00761761" w:rsidRPr="00590D7F">
        <w:t xml:space="preserve">Corporación </w:t>
      </w:r>
      <w:r w:rsidR="00761761">
        <w:t xml:space="preserve">Pública </w:t>
      </w:r>
      <w:r w:rsidR="00761761" w:rsidRPr="00590D7F">
        <w:t>Empresarial de Navarra</w:t>
      </w:r>
      <w:r w:rsidR="00C1646A">
        <w:t>, SLU</w:t>
      </w:r>
      <w:r w:rsidR="00761761">
        <w:t xml:space="preserve"> (CPEN), </w:t>
      </w:r>
      <w:r w:rsidR="00590D7F" w:rsidRPr="00590D7F">
        <w:t>igual número que el ejercicio ante</w:t>
      </w:r>
      <w:r w:rsidR="00C1646A">
        <w:t>rior; es</w:t>
      </w:r>
      <w:r w:rsidR="00590D7F" w:rsidRPr="00590D7F">
        <w:t xml:space="preserve">e número se desglosa en 11 sociedades dependientes directamente de la </w:t>
      </w:r>
      <w:r w:rsidR="00761761">
        <w:t>CPEN</w:t>
      </w:r>
      <w:r w:rsidR="00590D7F" w:rsidRPr="00590D7F">
        <w:t xml:space="preserve"> y en cuatro mayoritarias participadas indirectamente por dicha </w:t>
      </w:r>
      <w:r>
        <w:t>c</w:t>
      </w:r>
      <w:r w:rsidR="00590D7F" w:rsidRPr="00590D7F">
        <w:t>orporación. En el cuadro siguiente se muestra esta composición</w:t>
      </w:r>
      <w:r>
        <w:t>.</w:t>
      </w:r>
    </w:p>
    <w:p w:rsidR="004750A1" w:rsidRDefault="004750A1" w:rsidP="00590D7F">
      <w:pPr>
        <w:pStyle w:val="texto"/>
        <w:ind w:firstLine="0"/>
      </w:pPr>
    </w:p>
    <w:p w:rsidR="000C7B2B" w:rsidRDefault="000C7B2B" w:rsidP="00590D7F">
      <w:pPr>
        <w:pStyle w:val="texto"/>
        <w:ind w:firstLine="0"/>
      </w:pPr>
    </w:p>
    <w:tbl>
      <w:tblPr>
        <w:tblW w:w="8540" w:type="dxa"/>
        <w:jc w:val="center"/>
        <w:tblBorders>
          <w:top w:val="single" w:sz="2" w:space="0" w:color="000000"/>
          <w:bottom w:val="single" w:sz="2" w:space="0" w:color="000000"/>
        </w:tblBorders>
        <w:tblLook w:val="01E0" w:firstRow="1" w:lastRow="1" w:firstColumn="1" w:lastColumn="1" w:noHBand="0" w:noVBand="0"/>
      </w:tblPr>
      <w:tblGrid>
        <w:gridCol w:w="3756"/>
        <w:gridCol w:w="1150"/>
        <w:gridCol w:w="3634"/>
      </w:tblGrid>
      <w:tr w:rsidR="00590D7F" w:rsidRPr="00EC07D7" w:rsidTr="003639A8">
        <w:trPr>
          <w:trHeight w:val="409"/>
          <w:jc w:val="center"/>
        </w:trPr>
        <w:tc>
          <w:tcPr>
            <w:tcW w:w="3756" w:type="dxa"/>
            <w:tcBorders>
              <w:top w:val="single" w:sz="4" w:space="0" w:color="000000"/>
              <w:bottom w:val="single" w:sz="4" w:space="0" w:color="000000"/>
            </w:tcBorders>
            <w:shd w:val="clear" w:color="auto" w:fill="A8CBEE" w:themeFill="accent2" w:themeFillTint="66"/>
            <w:vAlign w:val="center"/>
          </w:tcPr>
          <w:p w:rsidR="00590D7F" w:rsidRPr="00EC07D7" w:rsidRDefault="00590D7F" w:rsidP="00EC07D7">
            <w:pPr>
              <w:spacing w:after="0"/>
              <w:ind w:left="50" w:firstLine="0"/>
              <w:jc w:val="left"/>
              <w:rPr>
                <w:rFonts w:ascii="Arial" w:hAnsi="Arial" w:cs="Arial"/>
                <w:bCs/>
                <w:color w:val="000000"/>
                <w:sz w:val="18"/>
                <w:szCs w:val="18"/>
                <w:lang w:val="es-ES" w:eastAsia="es-ES"/>
              </w:rPr>
            </w:pPr>
            <w:r w:rsidRPr="00EC07D7">
              <w:rPr>
                <w:rFonts w:ascii="Arial" w:hAnsi="Arial" w:cs="Arial"/>
                <w:bCs/>
                <w:color w:val="000000"/>
                <w:sz w:val="18"/>
                <w:szCs w:val="18"/>
                <w:lang w:val="es-ES" w:eastAsia="es-ES"/>
              </w:rPr>
              <w:lastRenderedPageBreak/>
              <w:t>Empresa Públicas</w:t>
            </w:r>
          </w:p>
        </w:tc>
        <w:tc>
          <w:tcPr>
            <w:tcW w:w="1150" w:type="dxa"/>
            <w:tcBorders>
              <w:top w:val="single" w:sz="4" w:space="0" w:color="000000"/>
              <w:bottom w:val="single" w:sz="4" w:space="0" w:color="000000"/>
            </w:tcBorders>
            <w:shd w:val="clear" w:color="auto" w:fill="A8CBEE" w:themeFill="accent2" w:themeFillTint="66"/>
            <w:vAlign w:val="center"/>
          </w:tcPr>
          <w:p w:rsidR="00E16EF4" w:rsidRDefault="00EC07D7" w:rsidP="00E16EF4">
            <w:pPr>
              <w:spacing w:after="0"/>
              <w:ind w:left="50" w:firstLine="0"/>
              <w:jc w:val="center"/>
              <w:rPr>
                <w:rFonts w:ascii="Arial" w:hAnsi="Arial" w:cs="Arial"/>
                <w:bCs/>
                <w:color w:val="000000"/>
                <w:sz w:val="18"/>
                <w:szCs w:val="18"/>
                <w:lang w:val="es-ES" w:eastAsia="es-ES"/>
              </w:rPr>
            </w:pPr>
            <w:r>
              <w:rPr>
                <w:rFonts w:ascii="Arial" w:hAnsi="Arial" w:cs="Arial"/>
                <w:bCs/>
                <w:color w:val="000000"/>
                <w:sz w:val="18"/>
                <w:szCs w:val="18"/>
                <w:lang w:val="es-ES" w:eastAsia="es-ES"/>
              </w:rPr>
              <w:t>% particip</w:t>
            </w:r>
            <w:r w:rsidR="003639A8">
              <w:rPr>
                <w:rFonts w:ascii="Arial" w:hAnsi="Arial" w:cs="Arial"/>
                <w:bCs/>
                <w:color w:val="000000"/>
                <w:sz w:val="18"/>
                <w:szCs w:val="18"/>
                <w:lang w:val="es-ES" w:eastAsia="es-ES"/>
              </w:rPr>
              <w:t>.</w:t>
            </w:r>
          </w:p>
          <w:p w:rsidR="00590D7F" w:rsidRPr="00EC07D7" w:rsidRDefault="00EC07D7" w:rsidP="00E16EF4">
            <w:pPr>
              <w:spacing w:after="0"/>
              <w:ind w:left="50" w:firstLine="0"/>
              <w:jc w:val="center"/>
              <w:rPr>
                <w:rFonts w:ascii="Arial" w:hAnsi="Arial" w:cs="Arial"/>
                <w:bCs/>
                <w:color w:val="000000"/>
                <w:sz w:val="18"/>
                <w:szCs w:val="18"/>
                <w:lang w:val="es-ES" w:eastAsia="es-ES"/>
              </w:rPr>
            </w:pPr>
            <w:r>
              <w:rPr>
                <w:rFonts w:ascii="Arial" w:hAnsi="Arial" w:cs="Arial"/>
                <w:bCs/>
                <w:color w:val="000000"/>
                <w:sz w:val="18"/>
                <w:szCs w:val="18"/>
                <w:lang w:val="es-ES" w:eastAsia="es-ES"/>
              </w:rPr>
              <w:t xml:space="preserve"> </w:t>
            </w:r>
            <w:r w:rsidR="00590D7F" w:rsidRPr="00EC07D7">
              <w:rPr>
                <w:rFonts w:ascii="Arial" w:hAnsi="Arial" w:cs="Arial"/>
                <w:bCs/>
                <w:color w:val="000000"/>
                <w:sz w:val="18"/>
                <w:szCs w:val="18"/>
                <w:lang w:val="es-ES" w:eastAsia="es-ES"/>
              </w:rPr>
              <w:t>CPEN</w:t>
            </w:r>
          </w:p>
        </w:tc>
        <w:tc>
          <w:tcPr>
            <w:tcW w:w="3634" w:type="dxa"/>
            <w:tcBorders>
              <w:top w:val="single" w:sz="4" w:space="0" w:color="000000"/>
              <w:bottom w:val="single" w:sz="4" w:space="0" w:color="000000"/>
            </w:tcBorders>
            <w:shd w:val="clear" w:color="auto" w:fill="A8CBEE" w:themeFill="accent2" w:themeFillTint="66"/>
            <w:vAlign w:val="center"/>
          </w:tcPr>
          <w:p w:rsidR="00590D7F" w:rsidRPr="00EC07D7" w:rsidRDefault="00590D7F" w:rsidP="00E16EF4">
            <w:pPr>
              <w:spacing w:after="0"/>
              <w:ind w:left="50" w:firstLine="0"/>
              <w:jc w:val="left"/>
              <w:rPr>
                <w:rFonts w:ascii="Arial" w:hAnsi="Arial" w:cs="Arial"/>
                <w:bCs/>
                <w:color w:val="000000"/>
                <w:sz w:val="18"/>
                <w:szCs w:val="18"/>
                <w:lang w:val="es-ES" w:eastAsia="es-ES"/>
              </w:rPr>
            </w:pPr>
            <w:r w:rsidRPr="00EC07D7">
              <w:rPr>
                <w:rFonts w:ascii="Arial" w:hAnsi="Arial" w:cs="Arial"/>
                <w:bCs/>
                <w:color w:val="000000"/>
                <w:sz w:val="18"/>
                <w:szCs w:val="18"/>
                <w:lang w:val="es-ES" w:eastAsia="es-ES"/>
              </w:rPr>
              <w:t>Actividad económica</w:t>
            </w:r>
          </w:p>
        </w:tc>
      </w:tr>
      <w:tr w:rsidR="00590D7F" w:rsidRPr="00E16EF4" w:rsidTr="003639A8">
        <w:trPr>
          <w:trHeight w:val="557"/>
          <w:jc w:val="center"/>
        </w:trPr>
        <w:tc>
          <w:tcPr>
            <w:tcW w:w="3756" w:type="dxa"/>
            <w:tcBorders>
              <w:top w:val="single" w:sz="4" w:space="0" w:color="000000"/>
              <w:bottom w:val="single" w:sz="2" w:space="0" w:color="000000"/>
            </w:tcBorders>
            <w:shd w:val="clear" w:color="auto" w:fill="auto"/>
            <w:vAlign w:val="center"/>
          </w:tcPr>
          <w:p w:rsidR="00590D7F" w:rsidRPr="00E16EF4" w:rsidRDefault="00590D7F" w:rsidP="003639A8">
            <w:pPr>
              <w:spacing w:after="0"/>
              <w:ind w:firstLine="0"/>
              <w:jc w:val="left"/>
              <w:rPr>
                <w:rFonts w:ascii="Arial" w:hAnsi="Arial" w:cs="Arial"/>
                <w:sz w:val="18"/>
                <w:szCs w:val="18"/>
                <w:lang w:val="es-ES" w:eastAsia="es-ES"/>
              </w:rPr>
            </w:pPr>
            <w:r w:rsidRPr="00E16EF4">
              <w:rPr>
                <w:rFonts w:ascii="Arial" w:hAnsi="Arial" w:cs="Arial"/>
                <w:sz w:val="18"/>
                <w:szCs w:val="18"/>
                <w:lang w:val="es-ES" w:eastAsia="es-ES"/>
              </w:rPr>
              <w:t>Corporación Púb</w:t>
            </w:r>
            <w:r w:rsidR="003639A8">
              <w:rPr>
                <w:rFonts w:ascii="Arial" w:hAnsi="Arial" w:cs="Arial"/>
                <w:sz w:val="18"/>
                <w:szCs w:val="18"/>
                <w:lang w:val="es-ES" w:eastAsia="es-ES"/>
              </w:rPr>
              <w:t>lica</w:t>
            </w:r>
            <w:r w:rsidRPr="00E16EF4">
              <w:rPr>
                <w:rFonts w:ascii="Arial" w:hAnsi="Arial" w:cs="Arial"/>
                <w:sz w:val="18"/>
                <w:szCs w:val="18"/>
                <w:lang w:val="es-ES" w:eastAsia="es-ES"/>
              </w:rPr>
              <w:t xml:space="preserve"> Empresarial Navarra, SLU</w:t>
            </w:r>
          </w:p>
        </w:tc>
        <w:tc>
          <w:tcPr>
            <w:tcW w:w="1150" w:type="dxa"/>
            <w:tcBorders>
              <w:top w:val="single" w:sz="4" w:space="0" w:color="000000"/>
              <w:bottom w:val="single" w:sz="2" w:space="0" w:color="000000"/>
            </w:tcBorders>
            <w:vAlign w:val="center"/>
          </w:tcPr>
          <w:p w:rsidR="00590D7F" w:rsidRPr="00E16EF4" w:rsidRDefault="00590D7F" w:rsidP="00E16EF4">
            <w:pPr>
              <w:spacing w:after="0"/>
              <w:ind w:left="50" w:firstLine="0"/>
              <w:jc w:val="center"/>
              <w:rPr>
                <w:rFonts w:ascii="Arial" w:hAnsi="Arial" w:cs="Arial"/>
                <w:sz w:val="18"/>
                <w:szCs w:val="18"/>
              </w:rPr>
            </w:pPr>
          </w:p>
        </w:tc>
        <w:tc>
          <w:tcPr>
            <w:tcW w:w="3634" w:type="dxa"/>
            <w:tcBorders>
              <w:top w:val="single" w:sz="4" w:space="0" w:color="000000"/>
              <w:bottom w:val="single" w:sz="2" w:space="0" w:color="000000"/>
            </w:tcBorders>
            <w:shd w:val="clear" w:color="auto" w:fill="auto"/>
            <w:vAlign w:val="center"/>
          </w:tcPr>
          <w:p w:rsidR="00590D7F" w:rsidRPr="00E16EF4" w:rsidRDefault="00590D7F" w:rsidP="003611D3">
            <w:pPr>
              <w:spacing w:after="0"/>
              <w:ind w:firstLine="0"/>
              <w:jc w:val="left"/>
              <w:rPr>
                <w:rFonts w:ascii="Arial" w:hAnsi="Arial" w:cs="Arial"/>
                <w:sz w:val="18"/>
                <w:szCs w:val="18"/>
                <w:lang w:val="es-ES" w:eastAsia="es-ES"/>
              </w:rPr>
            </w:pPr>
            <w:r w:rsidRPr="00E16EF4">
              <w:rPr>
                <w:rFonts w:ascii="Arial" w:hAnsi="Arial" w:cs="Arial"/>
                <w:sz w:val="18"/>
                <w:szCs w:val="18"/>
                <w:lang w:val="es-ES" w:eastAsia="es-ES"/>
              </w:rPr>
              <w:t>Sociedad dominante</w:t>
            </w:r>
            <w:r w:rsidR="00C1646A" w:rsidRPr="00E16EF4">
              <w:rPr>
                <w:rFonts w:ascii="Arial" w:hAnsi="Arial" w:cs="Arial"/>
                <w:sz w:val="18"/>
                <w:szCs w:val="18"/>
                <w:lang w:val="es-ES" w:eastAsia="es-ES"/>
              </w:rPr>
              <w:t>, 100% participada por el Gobierno de Navarra</w:t>
            </w:r>
          </w:p>
        </w:tc>
      </w:tr>
      <w:tr w:rsidR="00590D7F" w:rsidRPr="00EC07D7" w:rsidTr="00E16EF4">
        <w:trPr>
          <w:trHeight w:val="284"/>
          <w:jc w:val="center"/>
        </w:trPr>
        <w:tc>
          <w:tcPr>
            <w:tcW w:w="3756" w:type="dxa"/>
            <w:tcBorders>
              <w:top w:val="single" w:sz="2" w:space="0" w:color="000000"/>
              <w:bottom w:val="single" w:sz="2" w:space="0" w:color="000000"/>
            </w:tcBorders>
            <w:shd w:val="clear" w:color="auto" w:fill="auto"/>
            <w:vAlign w:val="center"/>
          </w:tcPr>
          <w:p w:rsidR="00590D7F" w:rsidRPr="00EC07D7" w:rsidRDefault="00EC07D7" w:rsidP="003611D3">
            <w:pPr>
              <w:pStyle w:val="Prrafodelista"/>
              <w:spacing w:after="0"/>
              <w:ind w:left="44" w:firstLine="0"/>
              <w:jc w:val="left"/>
              <w:rPr>
                <w:rFonts w:ascii="Arial Narrow" w:hAnsi="Arial Narrow"/>
                <w:b/>
                <w:sz w:val="18"/>
                <w:szCs w:val="18"/>
                <w:lang w:val="es-ES" w:eastAsia="es-ES"/>
              </w:rPr>
            </w:pPr>
            <w:r>
              <w:rPr>
                <w:rFonts w:ascii="Arial Narrow" w:hAnsi="Arial Narrow"/>
                <w:b/>
                <w:sz w:val="18"/>
                <w:szCs w:val="18"/>
                <w:lang w:val="es-ES" w:eastAsia="es-ES"/>
              </w:rPr>
              <w:t xml:space="preserve">A) </w:t>
            </w:r>
            <w:r w:rsidR="00C65307" w:rsidRPr="00EC07D7">
              <w:rPr>
                <w:rFonts w:ascii="Arial Narrow" w:hAnsi="Arial Narrow"/>
                <w:b/>
                <w:sz w:val="18"/>
                <w:szCs w:val="18"/>
                <w:lang w:val="es-ES" w:eastAsia="es-ES"/>
              </w:rPr>
              <w:t>Dependientes directamente</w:t>
            </w:r>
            <w:r w:rsidR="00761761" w:rsidRPr="00EC07D7">
              <w:rPr>
                <w:rFonts w:ascii="Arial Narrow" w:hAnsi="Arial Narrow"/>
                <w:b/>
                <w:sz w:val="18"/>
                <w:szCs w:val="18"/>
                <w:lang w:val="es-ES" w:eastAsia="es-ES"/>
              </w:rPr>
              <w:t xml:space="preserve"> de la CPEN</w:t>
            </w:r>
          </w:p>
        </w:tc>
        <w:tc>
          <w:tcPr>
            <w:tcW w:w="1150" w:type="dxa"/>
            <w:tcBorders>
              <w:top w:val="single" w:sz="2" w:space="0" w:color="000000"/>
              <w:bottom w:val="single" w:sz="2" w:space="0" w:color="000000"/>
            </w:tcBorders>
            <w:vAlign w:val="center"/>
          </w:tcPr>
          <w:p w:rsidR="00590D7F" w:rsidRPr="00EC07D7" w:rsidRDefault="00590D7F" w:rsidP="00E16EF4">
            <w:pPr>
              <w:spacing w:after="0"/>
              <w:ind w:left="50" w:firstLine="0"/>
              <w:jc w:val="center"/>
              <w:rPr>
                <w:rFonts w:ascii="Arial Narrow" w:hAnsi="Arial Narrow" w:cs="Arial"/>
                <w:b/>
              </w:rPr>
            </w:pPr>
          </w:p>
        </w:tc>
        <w:tc>
          <w:tcPr>
            <w:tcW w:w="3634" w:type="dxa"/>
            <w:tcBorders>
              <w:top w:val="single" w:sz="2" w:space="0" w:color="000000"/>
              <w:bottom w:val="single" w:sz="2" w:space="0" w:color="000000"/>
            </w:tcBorders>
            <w:shd w:val="clear" w:color="auto" w:fill="auto"/>
            <w:vAlign w:val="center"/>
          </w:tcPr>
          <w:p w:rsidR="00590D7F" w:rsidRPr="00EC07D7" w:rsidRDefault="00590D7F" w:rsidP="003611D3">
            <w:pPr>
              <w:spacing w:after="0"/>
              <w:ind w:firstLine="0"/>
              <w:jc w:val="left"/>
              <w:rPr>
                <w:rFonts w:ascii="Arial Narrow" w:hAnsi="Arial Narrow"/>
                <w:b/>
                <w:sz w:val="18"/>
                <w:szCs w:val="18"/>
                <w:lang w:val="es-ES" w:eastAsia="es-ES"/>
              </w:rPr>
            </w:pPr>
          </w:p>
        </w:tc>
      </w:tr>
      <w:tr w:rsidR="00590D7F" w:rsidRPr="007E1225" w:rsidTr="00E16EF4">
        <w:trPr>
          <w:trHeight w:val="284"/>
          <w:jc w:val="center"/>
        </w:trPr>
        <w:tc>
          <w:tcPr>
            <w:tcW w:w="3756"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lang w:val="es-ES" w:eastAsia="es-ES"/>
              </w:rPr>
            </w:pPr>
            <w:r w:rsidRPr="00590D7F">
              <w:rPr>
                <w:rFonts w:ascii="Arial Narrow" w:hAnsi="Arial Narrow"/>
                <w:sz w:val="18"/>
                <w:szCs w:val="18"/>
                <w:lang w:val="es-ES" w:eastAsia="es-ES"/>
              </w:rPr>
              <w:t>Navarra de Suelo y Vivienda, SA</w:t>
            </w:r>
            <w:r w:rsidRPr="003639A8">
              <w:rPr>
                <w:rFonts w:ascii="Arial Narrow" w:hAnsi="Arial Narrow"/>
                <w:sz w:val="16"/>
                <w:szCs w:val="16"/>
                <w:lang w:val="es-ES" w:eastAsia="es-ES"/>
              </w:rPr>
              <w:t xml:space="preserve"> (NASUVINSA)</w:t>
            </w:r>
          </w:p>
        </w:tc>
        <w:tc>
          <w:tcPr>
            <w:tcW w:w="1150" w:type="dxa"/>
            <w:tcBorders>
              <w:top w:val="single" w:sz="2" w:space="0" w:color="000000"/>
              <w:bottom w:val="single" w:sz="2" w:space="0" w:color="000000"/>
            </w:tcBorders>
            <w:vAlign w:val="center"/>
          </w:tcPr>
          <w:p w:rsidR="00590D7F" w:rsidRPr="00851497" w:rsidRDefault="00590D7F" w:rsidP="00E16EF4">
            <w:pPr>
              <w:spacing w:after="0"/>
              <w:ind w:left="50" w:firstLine="0"/>
              <w:jc w:val="center"/>
              <w:rPr>
                <w:rFonts w:ascii="Arial Narrow" w:hAnsi="Arial Narrow" w:cs="Arial"/>
              </w:rPr>
            </w:pPr>
            <w:r>
              <w:rPr>
                <w:rFonts w:ascii="Arial Narrow" w:hAnsi="Arial Narrow" w:cs="Arial"/>
              </w:rPr>
              <w:t>100</w:t>
            </w:r>
          </w:p>
        </w:tc>
        <w:tc>
          <w:tcPr>
            <w:tcW w:w="3634"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lang w:val="es-ES" w:eastAsia="es-ES"/>
              </w:rPr>
            </w:pPr>
            <w:r w:rsidRPr="00590D7F">
              <w:rPr>
                <w:rFonts w:ascii="Arial Narrow" w:hAnsi="Arial Narrow"/>
                <w:sz w:val="18"/>
                <w:szCs w:val="18"/>
                <w:lang w:val="es-ES" w:eastAsia="es-ES"/>
              </w:rPr>
              <w:t>Suelo y Vivienda</w:t>
            </w:r>
          </w:p>
        </w:tc>
      </w:tr>
      <w:tr w:rsidR="00590D7F" w:rsidRPr="007E1225" w:rsidTr="00E16EF4">
        <w:trPr>
          <w:trHeight w:val="284"/>
          <w:jc w:val="center"/>
        </w:trPr>
        <w:tc>
          <w:tcPr>
            <w:tcW w:w="3756"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lang w:val="es-ES" w:eastAsia="es-ES"/>
              </w:rPr>
            </w:pPr>
            <w:r w:rsidRPr="00590D7F">
              <w:rPr>
                <w:rFonts w:ascii="Arial Narrow" w:hAnsi="Arial Narrow"/>
                <w:sz w:val="18"/>
                <w:szCs w:val="18"/>
                <w:lang w:val="es-ES" w:eastAsia="es-ES"/>
              </w:rPr>
              <w:t>Ciudad Agroalimentaria de Tudela, SL</w:t>
            </w:r>
            <w:r w:rsidRPr="003639A8">
              <w:rPr>
                <w:rFonts w:ascii="Arial Narrow" w:hAnsi="Arial Narrow"/>
                <w:sz w:val="16"/>
                <w:szCs w:val="16"/>
                <w:lang w:val="es-ES" w:eastAsia="es-ES"/>
              </w:rPr>
              <w:t xml:space="preserve"> (CAT)</w:t>
            </w:r>
          </w:p>
        </w:tc>
        <w:tc>
          <w:tcPr>
            <w:tcW w:w="1150" w:type="dxa"/>
            <w:tcBorders>
              <w:top w:val="single" w:sz="2" w:space="0" w:color="000000"/>
              <w:bottom w:val="single" w:sz="2" w:space="0" w:color="000000"/>
            </w:tcBorders>
            <w:vAlign w:val="center"/>
          </w:tcPr>
          <w:p w:rsidR="00590D7F" w:rsidRPr="00851497" w:rsidRDefault="00590D7F" w:rsidP="00E16EF4">
            <w:pPr>
              <w:spacing w:after="0"/>
              <w:ind w:left="50" w:firstLine="0"/>
              <w:jc w:val="center"/>
              <w:rPr>
                <w:rFonts w:ascii="Arial Narrow" w:hAnsi="Arial Narrow" w:cs="Arial"/>
              </w:rPr>
            </w:pPr>
            <w:r>
              <w:rPr>
                <w:rFonts w:ascii="Arial Narrow" w:hAnsi="Arial Narrow" w:cs="Arial"/>
              </w:rPr>
              <w:t>100</w:t>
            </w:r>
          </w:p>
        </w:tc>
        <w:tc>
          <w:tcPr>
            <w:tcW w:w="3634"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lang w:val="es-ES" w:eastAsia="es-ES"/>
              </w:rPr>
            </w:pPr>
            <w:r w:rsidRPr="00590D7F">
              <w:rPr>
                <w:rFonts w:ascii="Arial Narrow" w:hAnsi="Arial Narrow"/>
                <w:sz w:val="18"/>
                <w:szCs w:val="18"/>
                <w:lang w:val="es-ES" w:eastAsia="es-ES"/>
              </w:rPr>
              <w:t>Agroalimentación</w:t>
            </w:r>
          </w:p>
        </w:tc>
      </w:tr>
      <w:tr w:rsidR="00590D7F" w:rsidRPr="007E1225" w:rsidTr="00E16EF4">
        <w:trPr>
          <w:trHeight w:val="284"/>
          <w:jc w:val="center"/>
        </w:trPr>
        <w:tc>
          <w:tcPr>
            <w:tcW w:w="3756"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lang w:val="es-ES" w:eastAsia="es-ES"/>
              </w:rPr>
            </w:pPr>
            <w:r w:rsidRPr="00590D7F">
              <w:rPr>
                <w:rFonts w:ascii="Arial Narrow" w:hAnsi="Arial Narrow"/>
                <w:sz w:val="18"/>
                <w:szCs w:val="18"/>
                <w:lang w:val="es-ES" w:eastAsia="es-ES"/>
              </w:rPr>
              <w:t xml:space="preserve">Instituto Navarro de Tecnologías e Infraestructuras Agroalimentarias, SA </w:t>
            </w:r>
            <w:r w:rsidRPr="003639A8">
              <w:rPr>
                <w:rFonts w:ascii="Arial Narrow" w:hAnsi="Arial Narrow"/>
                <w:sz w:val="16"/>
                <w:szCs w:val="16"/>
                <w:lang w:val="es-ES" w:eastAsia="es-ES"/>
              </w:rPr>
              <w:t>(INTIA)</w:t>
            </w:r>
          </w:p>
        </w:tc>
        <w:tc>
          <w:tcPr>
            <w:tcW w:w="1150" w:type="dxa"/>
            <w:tcBorders>
              <w:top w:val="single" w:sz="2" w:space="0" w:color="000000"/>
              <w:bottom w:val="single" w:sz="2" w:space="0" w:color="000000"/>
            </w:tcBorders>
            <w:vAlign w:val="center"/>
          </w:tcPr>
          <w:p w:rsidR="00590D7F" w:rsidRPr="00851497" w:rsidRDefault="00590D7F" w:rsidP="00E16EF4">
            <w:pPr>
              <w:spacing w:after="0"/>
              <w:ind w:left="50" w:firstLine="0"/>
              <w:jc w:val="center"/>
              <w:rPr>
                <w:rFonts w:ascii="Arial Narrow" w:hAnsi="Arial Narrow" w:cs="Arial"/>
              </w:rPr>
            </w:pPr>
            <w:r>
              <w:rPr>
                <w:rFonts w:ascii="Arial Narrow" w:hAnsi="Arial Narrow" w:cs="Arial"/>
              </w:rPr>
              <w:t>100</w:t>
            </w:r>
          </w:p>
        </w:tc>
        <w:tc>
          <w:tcPr>
            <w:tcW w:w="3634"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lang w:val="es-ES" w:eastAsia="es-ES"/>
              </w:rPr>
            </w:pPr>
            <w:r w:rsidRPr="00590D7F">
              <w:rPr>
                <w:rFonts w:ascii="Arial Narrow" w:hAnsi="Arial Narrow"/>
                <w:sz w:val="18"/>
                <w:szCs w:val="18"/>
                <w:lang w:val="es-ES" w:eastAsia="es-ES"/>
              </w:rPr>
              <w:t>Agroalimentación</w:t>
            </w:r>
          </w:p>
        </w:tc>
      </w:tr>
      <w:tr w:rsidR="00590D7F" w:rsidRPr="007E1225" w:rsidTr="00E16EF4">
        <w:trPr>
          <w:trHeight w:val="284"/>
          <w:jc w:val="center"/>
        </w:trPr>
        <w:tc>
          <w:tcPr>
            <w:tcW w:w="3756"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lang w:val="es-ES" w:eastAsia="es-ES"/>
              </w:rPr>
            </w:pPr>
            <w:r w:rsidRPr="00590D7F">
              <w:rPr>
                <w:rFonts w:ascii="Arial Narrow" w:hAnsi="Arial Narrow"/>
                <w:sz w:val="18"/>
                <w:szCs w:val="18"/>
                <w:lang w:val="es-ES" w:eastAsia="es-ES"/>
              </w:rPr>
              <w:t xml:space="preserve">Gestión Ambiental de Navarra, SA </w:t>
            </w:r>
            <w:r w:rsidRPr="003639A8">
              <w:rPr>
                <w:rFonts w:ascii="Arial Narrow" w:hAnsi="Arial Narrow"/>
                <w:sz w:val="16"/>
                <w:szCs w:val="16"/>
                <w:lang w:val="es-ES" w:eastAsia="es-ES"/>
              </w:rPr>
              <w:t>(GAN)</w:t>
            </w:r>
          </w:p>
        </w:tc>
        <w:tc>
          <w:tcPr>
            <w:tcW w:w="1150" w:type="dxa"/>
            <w:tcBorders>
              <w:top w:val="single" w:sz="2" w:space="0" w:color="000000"/>
              <w:bottom w:val="single" w:sz="2" w:space="0" w:color="000000"/>
            </w:tcBorders>
            <w:vAlign w:val="center"/>
          </w:tcPr>
          <w:p w:rsidR="00590D7F" w:rsidRPr="00851497" w:rsidRDefault="00590D7F" w:rsidP="00E16EF4">
            <w:pPr>
              <w:spacing w:after="0"/>
              <w:ind w:left="50" w:firstLine="0"/>
              <w:jc w:val="center"/>
              <w:rPr>
                <w:rFonts w:ascii="Arial Narrow" w:hAnsi="Arial Narrow" w:cs="Arial"/>
              </w:rPr>
            </w:pPr>
            <w:r>
              <w:rPr>
                <w:rFonts w:ascii="Arial Narrow" w:hAnsi="Arial Narrow" w:cs="Arial"/>
              </w:rPr>
              <w:t>100</w:t>
            </w:r>
          </w:p>
        </w:tc>
        <w:tc>
          <w:tcPr>
            <w:tcW w:w="3634"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lang w:val="es-ES" w:eastAsia="es-ES"/>
              </w:rPr>
            </w:pPr>
            <w:r w:rsidRPr="00590D7F">
              <w:rPr>
                <w:rFonts w:ascii="Arial Narrow" w:hAnsi="Arial Narrow"/>
                <w:sz w:val="18"/>
                <w:szCs w:val="18"/>
                <w:lang w:val="es-ES" w:eastAsia="es-ES"/>
              </w:rPr>
              <w:t>Medio Ambiente</w:t>
            </w:r>
          </w:p>
        </w:tc>
      </w:tr>
      <w:tr w:rsidR="00590D7F" w:rsidRPr="007E1225" w:rsidTr="00E16EF4">
        <w:trPr>
          <w:trHeight w:val="284"/>
          <w:jc w:val="center"/>
        </w:trPr>
        <w:tc>
          <w:tcPr>
            <w:tcW w:w="3756"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lang w:val="es-ES" w:eastAsia="es-ES"/>
              </w:rPr>
            </w:pPr>
            <w:r w:rsidRPr="00590D7F">
              <w:rPr>
                <w:rFonts w:ascii="Arial Narrow" w:hAnsi="Arial Narrow"/>
                <w:sz w:val="18"/>
                <w:szCs w:val="18"/>
                <w:lang w:val="es-ES" w:eastAsia="es-ES"/>
              </w:rPr>
              <w:t xml:space="preserve">Navarra de Infraestructuras Locales, SA </w:t>
            </w:r>
            <w:r w:rsidRPr="003639A8">
              <w:rPr>
                <w:rFonts w:ascii="Arial Narrow" w:hAnsi="Arial Narrow"/>
                <w:sz w:val="16"/>
                <w:szCs w:val="16"/>
                <w:lang w:val="es-ES" w:eastAsia="es-ES"/>
              </w:rPr>
              <w:t>(NILSA)</w:t>
            </w:r>
          </w:p>
        </w:tc>
        <w:tc>
          <w:tcPr>
            <w:tcW w:w="1150" w:type="dxa"/>
            <w:tcBorders>
              <w:top w:val="single" w:sz="2" w:space="0" w:color="000000"/>
              <w:bottom w:val="single" w:sz="2" w:space="0" w:color="000000"/>
            </w:tcBorders>
            <w:vAlign w:val="center"/>
          </w:tcPr>
          <w:p w:rsidR="00590D7F" w:rsidRPr="00851497" w:rsidRDefault="00590D7F" w:rsidP="00E16EF4">
            <w:pPr>
              <w:spacing w:after="0"/>
              <w:ind w:left="50" w:firstLine="0"/>
              <w:jc w:val="center"/>
              <w:rPr>
                <w:rFonts w:ascii="Arial Narrow" w:hAnsi="Arial Narrow" w:cs="Arial"/>
              </w:rPr>
            </w:pPr>
            <w:r>
              <w:rPr>
                <w:rFonts w:ascii="Arial Narrow" w:hAnsi="Arial Narrow" w:cs="Arial"/>
              </w:rPr>
              <w:t>100</w:t>
            </w:r>
          </w:p>
        </w:tc>
        <w:tc>
          <w:tcPr>
            <w:tcW w:w="3634"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lang w:val="es-ES" w:eastAsia="es-ES"/>
              </w:rPr>
            </w:pPr>
            <w:r w:rsidRPr="00590D7F">
              <w:rPr>
                <w:rFonts w:ascii="Arial Narrow" w:hAnsi="Arial Narrow"/>
                <w:sz w:val="18"/>
                <w:szCs w:val="18"/>
                <w:lang w:val="es-ES" w:eastAsia="es-ES"/>
              </w:rPr>
              <w:t>Infraestructuras Locales</w:t>
            </w:r>
          </w:p>
        </w:tc>
      </w:tr>
      <w:tr w:rsidR="00590D7F" w:rsidRPr="007E1225" w:rsidTr="00E16EF4">
        <w:trPr>
          <w:trHeight w:val="284"/>
          <w:jc w:val="center"/>
        </w:trPr>
        <w:tc>
          <w:tcPr>
            <w:tcW w:w="3756" w:type="dxa"/>
            <w:tcBorders>
              <w:top w:val="single" w:sz="2" w:space="0" w:color="000000"/>
              <w:bottom w:val="single" w:sz="2" w:space="0" w:color="000000"/>
            </w:tcBorders>
            <w:shd w:val="clear" w:color="auto" w:fill="auto"/>
            <w:vAlign w:val="center"/>
          </w:tcPr>
          <w:p w:rsidR="00590D7F" w:rsidRPr="00590D7F" w:rsidRDefault="00590D7F" w:rsidP="00E16EF4">
            <w:pPr>
              <w:spacing w:after="0"/>
              <w:ind w:firstLine="0"/>
              <w:jc w:val="left"/>
              <w:rPr>
                <w:rFonts w:ascii="Arial Narrow" w:hAnsi="Arial Narrow"/>
                <w:sz w:val="18"/>
                <w:szCs w:val="18"/>
                <w:lang w:val="es-ES" w:eastAsia="es-ES"/>
              </w:rPr>
            </w:pPr>
            <w:r w:rsidRPr="00590D7F">
              <w:rPr>
                <w:rFonts w:ascii="Arial Narrow" w:hAnsi="Arial Narrow"/>
                <w:sz w:val="18"/>
                <w:szCs w:val="18"/>
                <w:lang w:val="es-ES" w:eastAsia="es-ES"/>
              </w:rPr>
              <w:t>Navarra de Infraes</w:t>
            </w:r>
            <w:r w:rsidR="00E16EF4">
              <w:rPr>
                <w:rFonts w:ascii="Arial Narrow" w:hAnsi="Arial Narrow"/>
                <w:sz w:val="18"/>
                <w:szCs w:val="18"/>
                <w:lang w:val="es-ES" w:eastAsia="es-ES"/>
              </w:rPr>
              <w:t>.</w:t>
            </w:r>
            <w:r w:rsidRPr="00590D7F">
              <w:rPr>
                <w:rFonts w:ascii="Arial Narrow" w:hAnsi="Arial Narrow"/>
                <w:sz w:val="18"/>
                <w:szCs w:val="18"/>
                <w:lang w:val="es-ES" w:eastAsia="es-ES"/>
              </w:rPr>
              <w:t xml:space="preserve"> Cultura, Dep</w:t>
            </w:r>
            <w:r w:rsidR="00EC07D7">
              <w:rPr>
                <w:rFonts w:ascii="Arial Narrow" w:hAnsi="Arial Narrow"/>
                <w:sz w:val="18"/>
                <w:szCs w:val="18"/>
                <w:lang w:val="es-ES" w:eastAsia="es-ES"/>
              </w:rPr>
              <w:t>.</w:t>
            </w:r>
            <w:r w:rsidRPr="00590D7F">
              <w:rPr>
                <w:rFonts w:ascii="Arial Narrow" w:hAnsi="Arial Narrow"/>
                <w:sz w:val="18"/>
                <w:szCs w:val="18"/>
                <w:lang w:val="es-ES" w:eastAsia="es-ES"/>
              </w:rPr>
              <w:t xml:space="preserve"> y Ocio, SL </w:t>
            </w:r>
            <w:r w:rsidRPr="00E16EF4">
              <w:rPr>
                <w:rFonts w:ascii="Arial Narrow" w:hAnsi="Arial Narrow"/>
                <w:sz w:val="16"/>
                <w:szCs w:val="16"/>
                <w:lang w:val="es-ES" w:eastAsia="es-ES"/>
              </w:rPr>
              <w:t>(NICDO)</w:t>
            </w:r>
          </w:p>
        </w:tc>
        <w:tc>
          <w:tcPr>
            <w:tcW w:w="1150" w:type="dxa"/>
            <w:tcBorders>
              <w:top w:val="single" w:sz="2" w:space="0" w:color="000000"/>
              <w:bottom w:val="single" w:sz="2" w:space="0" w:color="000000"/>
            </w:tcBorders>
            <w:vAlign w:val="center"/>
          </w:tcPr>
          <w:p w:rsidR="00590D7F" w:rsidRPr="00851497" w:rsidRDefault="00590D7F" w:rsidP="00E16EF4">
            <w:pPr>
              <w:spacing w:after="0"/>
              <w:ind w:left="50" w:firstLine="0"/>
              <w:jc w:val="center"/>
              <w:rPr>
                <w:rFonts w:ascii="Arial Narrow" w:hAnsi="Arial Narrow" w:cs="Arial"/>
              </w:rPr>
            </w:pPr>
            <w:r>
              <w:rPr>
                <w:rFonts w:ascii="Arial Narrow" w:hAnsi="Arial Narrow" w:cs="Arial"/>
              </w:rPr>
              <w:t>100</w:t>
            </w:r>
          </w:p>
        </w:tc>
        <w:tc>
          <w:tcPr>
            <w:tcW w:w="3634"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lang w:val="es-ES" w:eastAsia="es-ES"/>
              </w:rPr>
            </w:pPr>
            <w:r w:rsidRPr="00590D7F">
              <w:rPr>
                <w:rFonts w:ascii="Arial Narrow" w:hAnsi="Arial Narrow"/>
                <w:sz w:val="18"/>
                <w:szCs w:val="18"/>
                <w:lang w:val="es-ES" w:eastAsia="es-ES"/>
              </w:rPr>
              <w:t>Infraestructuras Temáticas, de Ocio y de Deporte</w:t>
            </w:r>
          </w:p>
        </w:tc>
      </w:tr>
      <w:tr w:rsidR="00590D7F" w:rsidRPr="007E1225" w:rsidTr="00E16EF4">
        <w:trPr>
          <w:trHeight w:val="284"/>
          <w:jc w:val="center"/>
        </w:trPr>
        <w:tc>
          <w:tcPr>
            <w:tcW w:w="3756" w:type="dxa"/>
            <w:tcBorders>
              <w:top w:val="single" w:sz="2" w:space="0" w:color="000000"/>
              <w:bottom w:val="single" w:sz="2" w:space="0" w:color="000000"/>
            </w:tcBorders>
            <w:shd w:val="clear" w:color="auto" w:fill="auto"/>
            <w:vAlign w:val="center"/>
          </w:tcPr>
          <w:p w:rsidR="00590D7F" w:rsidRPr="00590D7F" w:rsidRDefault="00590D7F" w:rsidP="003639A8">
            <w:pPr>
              <w:spacing w:after="0"/>
              <w:ind w:firstLine="0"/>
              <w:jc w:val="left"/>
              <w:rPr>
                <w:rFonts w:ascii="Arial Narrow" w:hAnsi="Arial Narrow"/>
                <w:sz w:val="18"/>
                <w:szCs w:val="18"/>
                <w:lang w:val="es-ES" w:eastAsia="es-ES"/>
              </w:rPr>
            </w:pPr>
            <w:r w:rsidRPr="00590D7F">
              <w:rPr>
                <w:rFonts w:ascii="Arial Narrow" w:hAnsi="Arial Narrow"/>
                <w:sz w:val="18"/>
                <w:szCs w:val="18"/>
                <w:lang w:val="es-ES" w:eastAsia="es-ES"/>
              </w:rPr>
              <w:t>Centro Navarro  Aprendizaje de Idiomas, SA (CNAI)</w:t>
            </w:r>
          </w:p>
        </w:tc>
        <w:tc>
          <w:tcPr>
            <w:tcW w:w="1150" w:type="dxa"/>
            <w:tcBorders>
              <w:top w:val="single" w:sz="2" w:space="0" w:color="000000"/>
              <w:bottom w:val="single" w:sz="2" w:space="0" w:color="000000"/>
            </w:tcBorders>
            <w:vAlign w:val="center"/>
          </w:tcPr>
          <w:p w:rsidR="00590D7F" w:rsidRPr="00851497" w:rsidRDefault="00590D7F" w:rsidP="00E16EF4">
            <w:pPr>
              <w:spacing w:after="0"/>
              <w:ind w:left="50" w:firstLine="0"/>
              <w:jc w:val="center"/>
              <w:rPr>
                <w:rFonts w:ascii="Arial Narrow" w:hAnsi="Arial Narrow" w:cs="Arial"/>
              </w:rPr>
            </w:pPr>
            <w:r>
              <w:rPr>
                <w:rFonts w:ascii="Arial Narrow" w:hAnsi="Arial Narrow" w:cs="Arial"/>
              </w:rPr>
              <w:t>100</w:t>
            </w:r>
          </w:p>
        </w:tc>
        <w:tc>
          <w:tcPr>
            <w:tcW w:w="3634"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lang w:val="es-ES" w:eastAsia="es-ES"/>
              </w:rPr>
            </w:pPr>
            <w:r w:rsidRPr="00590D7F">
              <w:rPr>
                <w:rFonts w:ascii="Arial Narrow" w:hAnsi="Arial Narrow"/>
                <w:sz w:val="18"/>
                <w:szCs w:val="18"/>
                <w:lang w:val="es-ES" w:eastAsia="es-ES"/>
              </w:rPr>
              <w:t>Educación y Talento</w:t>
            </w:r>
          </w:p>
        </w:tc>
      </w:tr>
      <w:tr w:rsidR="00590D7F" w:rsidRPr="007E1225" w:rsidTr="00E16EF4">
        <w:trPr>
          <w:trHeight w:val="284"/>
          <w:jc w:val="center"/>
        </w:trPr>
        <w:tc>
          <w:tcPr>
            <w:tcW w:w="3756"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lang w:val="es-ES" w:eastAsia="es-ES"/>
              </w:rPr>
            </w:pPr>
            <w:r w:rsidRPr="00590D7F">
              <w:rPr>
                <w:rFonts w:ascii="Arial Narrow" w:hAnsi="Arial Narrow"/>
                <w:sz w:val="18"/>
                <w:szCs w:val="18"/>
                <w:lang w:val="es-ES" w:eastAsia="es-ES"/>
              </w:rPr>
              <w:t xml:space="preserve">Navarra de Servicios y Tecnologías, SA </w:t>
            </w:r>
            <w:r w:rsidRPr="00E16EF4">
              <w:rPr>
                <w:rFonts w:ascii="Arial Narrow" w:hAnsi="Arial Narrow"/>
                <w:sz w:val="16"/>
                <w:szCs w:val="16"/>
                <w:lang w:val="es-ES" w:eastAsia="es-ES"/>
              </w:rPr>
              <w:t>(NASERTIC)</w:t>
            </w:r>
          </w:p>
        </w:tc>
        <w:tc>
          <w:tcPr>
            <w:tcW w:w="1150" w:type="dxa"/>
            <w:tcBorders>
              <w:top w:val="single" w:sz="2" w:space="0" w:color="000000"/>
              <w:bottom w:val="single" w:sz="2" w:space="0" w:color="000000"/>
            </w:tcBorders>
            <w:vAlign w:val="center"/>
          </w:tcPr>
          <w:p w:rsidR="00590D7F" w:rsidRPr="00851497" w:rsidRDefault="00590D7F" w:rsidP="00E16EF4">
            <w:pPr>
              <w:spacing w:after="0"/>
              <w:ind w:left="50" w:firstLine="0"/>
              <w:jc w:val="center"/>
              <w:rPr>
                <w:rFonts w:ascii="Arial Narrow" w:hAnsi="Arial Narrow" w:cs="Arial"/>
              </w:rPr>
            </w:pPr>
            <w:r>
              <w:rPr>
                <w:rFonts w:ascii="Arial Narrow" w:hAnsi="Arial Narrow" w:cs="Arial"/>
              </w:rPr>
              <w:t>100</w:t>
            </w:r>
          </w:p>
        </w:tc>
        <w:tc>
          <w:tcPr>
            <w:tcW w:w="3634"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lang w:val="es-ES" w:eastAsia="es-ES"/>
              </w:rPr>
            </w:pPr>
            <w:r w:rsidRPr="00590D7F">
              <w:rPr>
                <w:rFonts w:ascii="Arial Narrow" w:hAnsi="Arial Narrow"/>
                <w:sz w:val="18"/>
                <w:szCs w:val="18"/>
                <w:lang w:val="es-ES" w:eastAsia="es-ES"/>
              </w:rPr>
              <w:t>Servicios y Tecnología para las AAPP</w:t>
            </w:r>
          </w:p>
        </w:tc>
      </w:tr>
      <w:tr w:rsidR="00590D7F" w:rsidRPr="007E1225" w:rsidTr="00E16EF4">
        <w:trPr>
          <w:trHeight w:val="284"/>
          <w:jc w:val="center"/>
        </w:trPr>
        <w:tc>
          <w:tcPr>
            <w:tcW w:w="3756"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lang w:val="es-ES" w:eastAsia="es-ES"/>
              </w:rPr>
            </w:pPr>
            <w:r w:rsidRPr="00590D7F">
              <w:rPr>
                <w:rFonts w:ascii="Arial Narrow" w:hAnsi="Arial Narrow"/>
                <w:sz w:val="18"/>
                <w:szCs w:val="18"/>
                <w:lang w:val="es-ES" w:eastAsia="es-ES"/>
              </w:rPr>
              <w:t xml:space="preserve">Centro Europeo de Empresas e Innovación, SL </w:t>
            </w:r>
            <w:r w:rsidRPr="00E16EF4">
              <w:rPr>
                <w:rFonts w:ascii="Arial Narrow" w:hAnsi="Arial Narrow"/>
                <w:sz w:val="16"/>
                <w:szCs w:val="16"/>
                <w:lang w:val="es-ES" w:eastAsia="es-ES"/>
              </w:rPr>
              <w:t>(CEIN)</w:t>
            </w:r>
          </w:p>
        </w:tc>
        <w:tc>
          <w:tcPr>
            <w:tcW w:w="1150" w:type="dxa"/>
            <w:tcBorders>
              <w:top w:val="single" w:sz="2" w:space="0" w:color="000000"/>
              <w:bottom w:val="single" w:sz="2" w:space="0" w:color="000000"/>
            </w:tcBorders>
            <w:vAlign w:val="center"/>
          </w:tcPr>
          <w:p w:rsidR="00590D7F" w:rsidRPr="00851497" w:rsidRDefault="00590D7F" w:rsidP="00E16EF4">
            <w:pPr>
              <w:spacing w:after="0"/>
              <w:ind w:left="50" w:firstLine="0"/>
              <w:jc w:val="center"/>
              <w:rPr>
                <w:rFonts w:ascii="Arial Narrow" w:hAnsi="Arial Narrow" w:cs="Arial"/>
              </w:rPr>
            </w:pPr>
            <w:r>
              <w:rPr>
                <w:rFonts w:ascii="Arial Narrow" w:hAnsi="Arial Narrow" w:cs="Arial"/>
              </w:rPr>
              <w:t>100</w:t>
            </w:r>
          </w:p>
        </w:tc>
        <w:tc>
          <w:tcPr>
            <w:tcW w:w="3634"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lang w:val="es-ES" w:eastAsia="es-ES"/>
              </w:rPr>
            </w:pPr>
            <w:r w:rsidRPr="00590D7F">
              <w:rPr>
                <w:rFonts w:ascii="Arial Narrow" w:hAnsi="Arial Narrow"/>
                <w:sz w:val="18"/>
                <w:szCs w:val="18"/>
                <w:lang w:val="es-ES" w:eastAsia="es-ES"/>
              </w:rPr>
              <w:t>Innovación y Emprendedores</w:t>
            </w:r>
          </w:p>
        </w:tc>
      </w:tr>
      <w:tr w:rsidR="00590D7F" w:rsidRPr="007E1225" w:rsidTr="00E16EF4">
        <w:trPr>
          <w:trHeight w:val="284"/>
          <w:jc w:val="center"/>
        </w:trPr>
        <w:tc>
          <w:tcPr>
            <w:tcW w:w="3756"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lang w:val="es-ES" w:eastAsia="es-ES"/>
              </w:rPr>
            </w:pPr>
            <w:r w:rsidRPr="00590D7F">
              <w:rPr>
                <w:rFonts w:ascii="Arial Narrow" w:hAnsi="Arial Narrow"/>
                <w:sz w:val="18"/>
                <w:szCs w:val="18"/>
                <w:lang w:val="es-ES" w:eastAsia="es-ES"/>
              </w:rPr>
              <w:t>Trabajos Catastrales, SA</w:t>
            </w:r>
            <w:r w:rsidRPr="002418AD">
              <w:rPr>
                <w:rFonts w:ascii="Arial Narrow" w:hAnsi="Arial Narrow"/>
                <w:sz w:val="16"/>
                <w:szCs w:val="16"/>
                <w:lang w:val="es-ES" w:eastAsia="es-ES"/>
              </w:rPr>
              <w:t xml:space="preserve"> (TRACASA)</w:t>
            </w:r>
          </w:p>
        </w:tc>
        <w:tc>
          <w:tcPr>
            <w:tcW w:w="1150" w:type="dxa"/>
            <w:tcBorders>
              <w:top w:val="single" w:sz="2" w:space="0" w:color="000000"/>
              <w:bottom w:val="single" w:sz="2" w:space="0" w:color="000000"/>
            </w:tcBorders>
            <w:vAlign w:val="center"/>
          </w:tcPr>
          <w:p w:rsidR="00590D7F" w:rsidRPr="00851497" w:rsidRDefault="00590D7F" w:rsidP="00E16EF4">
            <w:pPr>
              <w:spacing w:after="0"/>
              <w:ind w:left="50" w:firstLine="0"/>
              <w:jc w:val="center"/>
              <w:rPr>
                <w:rFonts w:ascii="Arial Narrow" w:hAnsi="Arial Narrow" w:cs="Arial"/>
              </w:rPr>
            </w:pPr>
            <w:r>
              <w:rPr>
                <w:rFonts w:ascii="Arial Narrow" w:hAnsi="Arial Narrow" w:cs="Arial"/>
              </w:rPr>
              <w:t>100</w:t>
            </w:r>
          </w:p>
        </w:tc>
        <w:tc>
          <w:tcPr>
            <w:tcW w:w="3634"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lang w:val="es-ES" w:eastAsia="es-ES"/>
              </w:rPr>
            </w:pPr>
            <w:r w:rsidRPr="00590D7F">
              <w:rPr>
                <w:rFonts w:ascii="Arial Narrow" w:hAnsi="Arial Narrow"/>
                <w:sz w:val="18"/>
                <w:szCs w:val="18"/>
                <w:lang w:val="es-ES" w:eastAsia="es-ES"/>
              </w:rPr>
              <w:t>Hacienda y Patrimonio</w:t>
            </w:r>
          </w:p>
        </w:tc>
      </w:tr>
      <w:tr w:rsidR="00590D7F" w:rsidRPr="007E1225" w:rsidTr="00E16EF4">
        <w:trPr>
          <w:trHeight w:val="284"/>
          <w:jc w:val="center"/>
        </w:trPr>
        <w:tc>
          <w:tcPr>
            <w:tcW w:w="3756"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lang w:val="es-ES" w:eastAsia="es-ES"/>
              </w:rPr>
            </w:pPr>
            <w:r w:rsidRPr="00590D7F">
              <w:rPr>
                <w:rFonts w:ascii="Arial Narrow" w:hAnsi="Arial Narrow"/>
                <w:sz w:val="18"/>
                <w:szCs w:val="18"/>
                <w:lang w:val="es-ES" w:eastAsia="es-ES"/>
              </w:rPr>
              <w:t>Sociedad de Desarrollo de Navarra, SL</w:t>
            </w:r>
            <w:r w:rsidRPr="002418AD">
              <w:rPr>
                <w:rFonts w:ascii="Arial Narrow" w:hAnsi="Arial Narrow"/>
                <w:sz w:val="16"/>
                <w:szCs w:val="16"/>
                <w:lang w:val="es-ES" w:eastAsia="es-ES"/>
              </w:rPr>
              <w:t xml:space="preserve"> (SODENA)</w:t>
            </w:r>
          </w:p>
        </w:tc>
        <w:tc>
          <w:tcPr>
            <w:tcW w:w="1150" w:type="dxa"/>
            <w:tcBorders>
              <w:top w:val="single" w:sz="2" w:space="0" w:color="000000"/>
              <w:bottom w:val="single" w:sz="2" w:space="0" w:color="000000"/>
            </w:tcBorders>
            <w:vAlign w:val="center"/>
          </w:tcPr>
          <w:p w:rsidR="00590D7F" w:rsidRPr="00851497" w:rsidRDefault="00590D7F" w:rsidP="00E16EF4">
            <w:pPr>
              <w:spacing w:after="0"/>
              <w:ind w:left="50" w:firstLine="0"/>
              <w:jc w:val="center"/>
              <w:rPr>
                <w:rFonts w:ascii="Arial Narrow" w:hAnsi="Arial Narrow" w:cs="Arial"/>
              </w:rPr>
            </w:pPr>
            <w:r>
              <w:rPr>
                <w:rFonts w:ascii="Arial Narrow" w:hAnsi="Arial Narrow" w:cs="Arial"/>
              </w:rPr>
              <w:t>100</w:t>
            </w:r>
          </w:p>
        </w:tc>
        <w:tc>
          <w:tcPr>
            <w:tcW w:w="3634"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lang w:val="es-ES" w:eastAsia="es-ES"/>
              </w:rPr>
            </w:pPr>
            <w:r w:rsidRPr="00590D7F">
              <w:rPr>
                <w:rFonts w:ascii="Arial Narrow" w:hAnsi="Arial Narrow"/>
                <w:sz w:val="18"/>
                <w:szCs w:val="18"/>
                <w:lang w:val="es-ES" w:eastAsia="es-ES"/>
              </w:rPr>
              <w:t>Promoción Económica y Financiación</w:t>
            </w:r>
          </w:p>
        </w:tc>
      </w:tr>
      <w:tr w:rsidR="00590D7F" w:rsidRPr="00EC07D7" w:rsidTr="00E16EF4">
        <w:trPr>
          <w:trHeight w:val="284"/>
          <w:jc w:val="center"/>
        </w:trPr>
        <w:tc>
          <w:tcPr>
            <w:tcW w:w="3756" w:type="dxa"/>
            <w:tcBorders>
              <w:top w:val="single" w:sz="2" w:space="0" w:color="000000"/>
              <w:bottom w:val="single" w:sz="2" w:space="0" w:color="000000"/>
            </w:tcBorders>
            <w:shd w:val="clear" w:color="auto" w:fill="auto"/>
            <w:vAlign w:val="center"/>
          </w:tcPr>
          <w:p w:rsidR="00590D7F" w:rsidRPr="00EC07D7" w:rsidRDefault="00EC07D7" w:rsidP="003611D3">
            <w:pPr>
              <w:pStyle w:val="Prrafodelista"/>
              <w:spacing w:after="0"/>
              <w:ind w:left="44" w:firstLine="0"/>
              <w:jc w:val="left"/>
              <w:rPr>
                <w:rFonts w:ascii="Arial Narrow" w:hAnsi="Arial Narrow"/>
                <w:b/>
                <w:sz w:val="18"/>
                <w:szCs w:val="18"/>
                <w:lang w:val="es-ES" w:eastAsia="es-ES"/>
              </w:rPr>
            </w:pPr>
            <w:r>
              <w:rPr>
                <w:rFonts w:ascii="Arial Narrow" w:hAnsi="Arial Narrow"/>
                <w:b/>
                <w:sz w:val="18"/>
                <w:szCs w:val="18"/>
                <w:lang w:val="es-ES" w:eastAsia="es-ES"/>
              </w:rPr>
              <w:t xml:space="preserve">B) </w:t>
            </w:r>
            <w:r w:rsidR="00C65307" w:rsidRPr="00EC07D7">
              <w:rPr>
                <w:rFonts w:ascii="Arial Narrow" w:hAnsi="Arial Narrow"/>
                <w:b/>
                <w:sz w:val="18"/>
                <w:szCs w:val="18"/>
                <w:lang w:val="es-ES" w:eastAsia="es-ES"/>
              </w:rPr>
              <w:t>Dependientes indirectamente</w:t>
            </w:r>
            <w:r w:rsidR="00761761" w:rsidRPr="00EC07D7">
              <w:rPr>
                <w:rFonts w:ascii="Arial Narrow" w:hAnsi="Arial Narrow"/>
                <w:b/>
                <w:sz w:val="18"/>
                <w:szCs w:val="18"/>
                <w:lang w:val="es-ES" w:eastAsia="es-ES"/>
              </w:rPr>
              <w:t xml:space="preserve"> de la CPEN</w:t>
            </w:r>
          </w:p>
        </w:tc>
        <w:tc>
          <w:tcPr>
            <w:tcW w:w="1150" w:type="dxa"/>
            <w:tcBorders>
              <w:top w:val="single" w:sz="2" w:space="0" w:color="000000"/>
              <w:bottom w:val="single" w:sz="2" w:space="0" w:color="000000"/>
            </w:tcBorders>
            <w:vAlign w:val="center"/>
          </w:tcPr>
          <w:p w:rsidR="00590D7F" w:rsidRPr="00EC07D7" w:rsidRDefault="00590D7F" w:rsidP="00E16EF4">
            <w:pPr>
              <w:pStyle w:val="Prrafodelista"/>
              <w:spacing w:after="0"/>
              <w:ind w:left="50" w:firstLine="0"/>
              <w:jc w:val="center"/>
              <w:rPr>
                <w:rFonts w:ascii="Arial Narrow" w:hAnsi="Arial Narrow"/>
                <w:b/>
                <w:sz w:val="18"/>
                <w:szCs w:val="18"/>
                <w:lang w:val="es-ES" w:eastAsia="es-ES"/>
              </w:rPr>
            </w:pPr>
          </w:p>
        </w:tc>
        <w:tc>
          <w:tcPr>
            <w:tcW w:w="3634" w:type="dxa"/>
            <w:tcBorders>
              <w:top w:val="single" w:sz="2" w:space="0" w:color="000000"/>
              <w:bottom w:val="single" w:sz="2" w:space="0" w:color="000000"/>
            </w:tcBorders>
            <w:shd w:val="clear" w:color="auto" w:fill="auto"/>
            <w:vAlign w:val="center"/>
          </w:tcPr>
          <w:p w:rsidR="00590D7F" w:rsidRPr="00EC07D7" w:rsidRDefault="00590D7F" w:rsidP="003611D3">
            <w:pPr>
              <w:pStyle w:val="Prrafodelista"/>
              <w:spacing w:after="0"/>
              <w:ind w:left="44" w:firstLine="0"/>
              <w:jc w:val="left"/>
              <w:rPr>
                <w:rFonts w:ascii="Arial Narrow" w:hAnsi="Arial Narrow"/>
                <w:b/>
                <w:sz w:val="18"/>
                <w:szCs w:val="18"/>
                <w:lang w:val="es-ES" w:eastAsia="es-ES"/>
              </w:rPr>
            </w:pPr>
          </w:p>
        </w:tc>
      </w:tr>
      <w:tr w:rsidR="00590D7F" w:rsidRPr="007E1225" w:rsidTr="00E16EF4">
        <w:trPr>
          <w:trHeight w:val="284"/>
          <w:jc w:val="center"/>
        </w:trPr>
        <w:tc>
          <w:tcPr>
            <w:tcW w:w="3756" w:type="dxa"/>
            <w:tcBorders>
              <w:top w:val="single" w:sz="2" w:space="0" w:color="000000"/>
              <w:bottom w:val="single" w:sz="2" w:space="0" w:color="000000"/>
            </w:tcBorders>
            <w:shd w:val="clear" w:color="auto" w:fill="auto"/>
            <w:vAlign w:val="center"/>
          </w:tcPr>
          <w:p w:rsidR="00590D7F" w:rsidRPr="00407EAE" w:rsidRDefault="00590D7F" w:rsidP="003611D3">
            <w:pPr>
              <w:spacing w:after="0"/>
              <w:ind w:firstLine="0"/>
              <w:jc w:val="left"/>
              <w:rPr>
                <w:rFonts w:ascii="Arial Narrow" w:hAnsi="Arial Narrow"/>
                <w:sz w:val="18"/>
                <w:szCs w:val="18"/>
                <w:lang w:val="en-US" w:eastAsia="es-ES"/>
              </w:rPr>
            </w:pPr>
            <w:r w:rsidRPr="00407EAE">
              <w:rPr>
                <w:rFonts w:ascii="Arial Narrow" w:hAnsi="Arial Narrow"/>
                <w:sz w:val="18"/>
                <w:szCs w:val="18"/>
                <w:lang w:val="en-US" w:eastAsia="es-ES"/>
              </w:rPr>
              <w:t>Start Up Capital Navarra, SA</w:t>
            </w:r>
          </w:p>
        </w:tc>
        <w:tc>
          <w:tcPr>
            <w:tcW w:w="1150" w:type="dxa"/>
            <w:tcBorders>
              <w:top w:val="single" w:sz="2" w:space="0" w:color="000000"/>
              <w:bottom w:val="single" w:sz="2" w:space="0" w:color="000000"/>
            </w:tcBorders>
            <w:vAlign w:val="center"/>
          </w:tcPr>
          <w:p w:rsidR="00590D7F" w:rsidRPr="00851497" w:rsidRDefault="00590D7F" w:rsidP="00E16EF4">
            <w:pPr>
              <w:spacing w:after="0"/>
              <w:ind w:left="50" w:firstLine="0"/>
              <w:jc w:val="center"/>
              <w:rPr>
                <w:rFonts w:ascii="Arial Narrow" w:hAnsi="Arial Narrow" w:cs="Arial"/>
              </w:rPr>
            </w:pPr>
            <w:r w:rsidRPr="00851497">
              <w:rPr>
                <w:rFonts w:ascii="Arial Narrow" w:hAnsi="Arial Narrow" w:cs="Arial"/>
              </w:rPr>
              <w:t>59,36</w:t>
            </w:r>
          </w:p>
        </w:tc>
        <w:tc>
          <w:tcPr>
            <w:tcW w:w="3634"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lang w:val="es-ES" w:eastAsia="es-ES"/>
              </w:rPr>
            </w:pPr>
            <w:r w:rsidRPr="00590D7F">
              <w:rPr>
                <w:rFonts w:ascii="Arial Narrow" w:hAnsi="Arial Narrow"/>
                <w:sz w:val="18"/>
                <w:szCs w:val="18"/>
                <w:lang w:val="es-ES" w:eastAsia="es-ES"/>
              </w:rPr>
              <w:t>Promoción y fomento de empresas</w:t>
            </w:r>
          </w:p>
        </w:tc>
      </w:tr>
      <w:tr w:rsidR="00590D7F" w:rsidRPr="007E1225" w:rsidTr="00E16EF4">
        <w:trPr>
          <w:trHeight w:val="284"/>
          <w:jc w:val="center"/>
        </w:trPr>
        <w:tc>
          <w:tcPr>
            <w:tcW w:w="3756"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lang w:val="es-ES" w:eastAsia="es-ES"/>
              </w:rPr>
            </w:pPr>
            <w:r w:rsidRPr="00590D7F">
              <w:rPr>
                <w:rFonts w:ascii="Arial Narrow" w:hAnsi="Arial Narrow"/>
                <w:sz w:val="18"/>
                <w:szCs w:val="18"/>
                <w:lang w:val="es-ES" w:eastAsia="es-ES"/>
              </w:rPr>
              <w:t>Salinas de Navarra, SA</w:t>
            </w:r>
          </w:p>
        </w:tc>
        <w:tc>
          <w:tcPr>
            <w:tcW w:w="1150" w:type="dxa"/>
            <w:tcBorders>
              <w:top w:val="single" w:sz="2" w:space="0" w:color="000000"/>
              <w:bottom w:val="single" w:sz="2" w:space="0" w:color="000000"/>
            </w:tcBorders>
            <w:vAlign w:val="center"/>
          </w:tcPr>
          <w:p w:rsidR="00590D7F" w:rsidRPr="00851497" w:rsidRDefault="00590D7F" w:rsidP="00E16EF4">
            <w:pPr>
              <w:spacing w:after="0"/>
              <w:ind w:left="50" w:firstLine="0"/>
              <w:jc w:val="center"/>
              <w:rPr>
                <w:rFonts w:ascii="Arial Narrow" w:hAnsi="Arial Narrow" w:cs="Arial"/>
              </w:rPr>
            </w:pPr>
            <w:r w:rsidRPr="00851497">
              <w:rPr>
                <w:rFonts w:ascii="Arial Narrow" w:hAnsi="Arial Narrow" w:cs="Arial"/>
              </w:rPr>
              <w:t>76</w:t>
            </w:r>
          </w:p>
        </w:tc>
        <w:tc>
          <w:tcPr>
            <w:tcW w:w="3634"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lang w:val="es-ES" w:eastAsia="es-ES"/>
              </w:rPr>
            </w:pPr>
            <w:r w:rsidRPr="00590D7F">
              <w:rPr>
                <w:rFonts w:ascii="Arial Narrow" w:hAnsi="Arial Narrow"/>
                <w:sz w:val="18"/>
                <w:szCs w:val="18"/>
                <w:lang w:val="es-ES" w:eastAsia="es-ES"/>
              </w:rPr>
              <w:t>Producción, elaboración y comerc</w:t>
            </w:r>
            <w:r w:rsidR="00EC07D7">
              <w:rPr>
                <w:rFonts w:ascii="Arial Narrow" w:hAnsi="Arial Narrow"/>
                <w:sz w:val="18"/>
                <w:szCs w:val="18"/>
                <w:lang w:val="es-ES" w:eastAsia="es-ES"/>
              </w:rPr>
              <w:t>.</w:t>
            </w:r>
            <w:r w:rsidRPr="00590D7F">
              <w:rPr>
                <w:rFonts w:ascii="Arial Narrow" w:hAnsi="Arial Narrow"/>
                <w:sz w:val="18"/>
                <w:szCs w:val="18"/>
                <w:lang w:val="es-ES" w:eastAsia="es-ES"/>
              </w:rPr>
              <w:t xml:space="preserve"> sal y</w:t>
            </w:r>
            <w:r w:rsidR="00EC07D7">
              <w:rPr>
                <w:rFonts w:ascii="Arial Narrow" w:hAnsi="Arial Narrow"/>
                <w:sz w:val="18"/>
                <w:szCs w:val="18"/>
                <w:lang w:val="es-ES" w:eastAsia="es-ES"/>
              </w:rPr>
              <w:t xml:space="preserve"> </w:t>
            </w:r>
            <w:r w:rsidRPr="00590D7F">
              <w:rPr>
                <w:rFonts w:ascii="Arial Narrow" w:hAnsi="Arial Narrow"/>
                <w:sz w:val="18"/>
                <w:szCs w:val="18"/>
                <w:lang w:val="es-ES" w:eastAsia="es-ES"/>
              </w:rPr>
              <w:t>derivados</w:t>
            </w:r>
          </w:p>
        </w:tc>
      </w:tr>
      <w:tr w:rsidR="00590D7F" w:rsidRPr="007E1225" w:rsidTr="00E16EF4">
        <w:trPr>
          <w:trHeight w:val="284"/>
          <w:jc w:val="center"/>
        </w:trPr>
        <w:tc>
          <w:tcPr>
            <w:tcW w:w="3756"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lang w:val="es-ES" w:eastAsia="es-ES"/>
              </w:rPr>
            </w:pPr>
            <w:r w:rsidRPr="00590D7F">
              <w:rPr>
                <w:rFonts w:ascii="Arial Narrow" w:hAnsi="Arial Narrow"/>
                <w:sz w:val="18"/>
                <w:szCs w:val="18"/>
                <w:lang w:val="es-ES" w:eastAsia="es-ES"/>
              </w:rPr>
              <w:t xml:space="preserve">Potasas de Subiza, SA </w:t>
            </w:r>
            <w:r w:rsidRPr="002418AD">
              <w:rPr>
                <w:rFonts w:ascii="Arial Narrow" w:hAnsi="Arial Narrow"/>
                <w:sz w:val="16"/>
                <w:szCs w:val="16"/>
                <w:lang w:val="es-ES" w:eastAsia="es-ES"/>
              </w:rPr>
              <w:t>(POSUSA)</w:t>
            </w:r>
          </w:p>
        </w:tc>
        <w:tc>
          <w:tcPr>
            <w:tcW w:w="1150" w:type="dxa"/>
            <w:tcBorders>
              <w:top w:val="single" w:sz="2" w:space="0" w:color="000000"/>
              <w:bottom w:val="single" w:sz="2" w:space="0" w:color="000000"/>
            </w:tcBorders>
            <w:vAlign w:val="center"/>
          </w:tcPr>
          <w:p w:rsidR="00590D7F" w:rsidRPr="00851497" w:rsidRDefault="00590D7F" w:rsidP="00E16EF4">
            <w:pPr>
              <w:spacing w:after="0"/>
              <w:ind w:left="50" w:firstLine="0"/>
              <w:jc w:val="center"/>
              <w:rPr>
                <w:rFonts w:ascii="Arial Narrow" w:hAnsi="Arial Narrow" w:cs="Arial"/>
              </w:rPr>
            </w:pPr>
            <w:r w:rsidRPr="00851497">
              <w:rPr>
                <w:rFonts w:ascii="Arial Narrow" w:hAnsi="Arial Narrow" w:cs="Arial"/>
              </w:rPr>
              <w:t>100</w:t>
            </w:r>
          </w:p>
        </w:tc>
        <w:tc>
          <w:tcPr>
            <w:tcW w:w="3634" w:type="dxa"/>
            <w:tcBorders>
              <w:top w:val="single" w:sz="2" w:space="0" w:color="000000"/>
              <w:bottom w:val="single" w:sz="2" w:space="0" w:color="000000"/>
            </w:tcBorders>
            <w:shd w:val="clear" w:color="auto" w:fill="auto"/>
            <w:vAlign w:val="center"/>
          </w:tcPr>
          <w:p w:rsidR="00590D7F" w:rsidRPr="00590D7F" w:rsidRDefault="00EC07D7" w:rsidP="003611D3">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Actividad medioamb.</w:t>
            </w:r>
            <w:r w:rsidR="00590D7F" w:rsidRPr="00590D7F">
              <w:rPr>
                <w:rFonts w:ascii="Arial Narrow" w:hAnsi="Arial Narrow"/>
                <w:sz w:val="18"/>
                <w:szCs w:val="18"/>
                <w:lang w:val="es-ES" w:eastAsia="es-ES"/>
              </w:rPr>
              <w:t xml:space="preserve"> y recompos</w:t>
            </w:r>
            <w:r>
              <w:rPr>
                <w:rFonts w:ascii="Arial Narrow" w:hAnsi="Arial Narrow"/>
                <w:sz w:val="18"/>
                <w:szCs w:val="18"/>
                <w:lang w:val="es-ES" w:eastAsia="es-ES"/>
              </w:rPr>
              <w:t>.</w:t>
            </w:r>
            <w:r w:rsidR="00590D7F" w:rsidRPr="00590D7F">
              <w:rPr>
                <w:rFonts w:ascii="Arial Narrow" w:hAnsi="Arial Narrow"/>
                <w:sz w:val="18"/>
                <w:szCs w:val="18"/>
                <w:lang w:val="es-ES" w:eastAsia="es-ES"/>
              </w:rPr>
              <w:t xml:space="preserve"> tejido industrial</w:t>
            </w:r>
          </w:p>
        </w:tc>
      </w:tr>
      <w:tr w:rsidR="00590D7F" w:rsidRPr="007E1225" w:rsidTr="00E16EF4">
        <w:trPr>
          <w:trHeight w:val="284"/>
          <w:jc w:val="center"/>
        </w:trPr>
        <w:tc>
          <w:tcPr>
            <w:tcW w:w="3756" w:type="dxa"/>
            <w:tcBorders>
              <w:top w:val="single" w:sz="2" w:space="0" w:color="000000"/>
              <w:bottom w:val="single" w:sz="2" w:space="0" w:color="000000"/>
            </w:tcBorders>
            <w:shd w:val="clear" w:color="auto" w:fill="auto"/>
            <w:vAlign w:val="center"/>
          </w:tcPr>
          <w:p w:rsidR="00590D7F" w:rsidRPr="00497839" w:rsidRDefault="00590D7F" w:rsidP="003611D3">
            <w:pPr>
              <w:spacing w:after="0"/>
              <w:ind w:firstLine="0"/>
              <w:jc w:val="left"/>
              <w:rPr>
                <w:rFonts w:ascii="Arial Narrow" w:hAnsi="Arial Narrow"/>
                <w:sz w:val="18"/>
                <w:szCs w:val="18"/>
                <w:lang w:val="en-US" w:eastAsia="es-ES"/>
              </w:rPr>
            </w:pPr>
            <w:r w:rsidRPr="00497839">
              <w:rPr>
                <w:rFonts w:ascii="Arial Narrow" w:hAnsi="Arial Narrow"/>
                <w:sz w:val="18"/>
                <w:szCs w:val="18"/>
                <w:lang w:val="en-US" w:eastAsia="es-ES"/>
              </w:rPr>
              <w:t xml:space="preserve">Natural Climate Systems, SA </w:t>
            </w:r>
            <w:r w:rsidRPr="002418AD">
              <w:rPr>
                <w:rFonts w:ascii="Arial Narrow" w:hAnsi="Arial Narrow"/>
                <w:sz w:val="16"/>
                <w:szCs w:val="16"/>
                <w:lang w:val="en-US" w:eastAsia="es-ES"/>
              </w:rPr>
              <w:t>(MIYABI)</w:t>
            </w:r>
          </w:p>
        </w:tc>
        <w:tc>
          <w:tcPr>
            <w:tcW w:w="1150" w:type="dxa"/>
            <w:tcBorders>
              <w:top w:val="single" w:sz="2" w:space="0" w:color="000000"/>
              <w:bottom w:val="single" w:sz="2" w:space="0" w:color="000000"/>
            </w:tcBorders>
            <w:vAlign w:val="bottom"/>
          </w:tcPr>
          <w:p w:rsidR="00590D7F" w:rsidRPr="00851497" w:rsidRDefault="00A57127" w:rsidP="00E16EF4">
            <w:pPr>
              <w:spacing w:after="0"/>
              <w:ind w:left="50" w:firstLine="0"/>
              <w:jc w:val="center"/>
              <w:rPr>
                <w:rFonts w:ascii="Arial Narrow" w:hAnsi="Arial Narrow" w:cs="Arial"/>
              </w:rPr>
            </w:pPr>
            <w:r>
              <w:rPr>
                <w:rFonts w:ascii="Arial Narrow" w:hAnsi="Arial Narrow" w:cs="Arial"/>
              </w:rPr>
              <w:t>100</w:t>
            </w:r>
          </w:p>
        </w:tc>
        <w:tc>
          <w:tcPr>
            <w:tcW w:w="3634"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lang w:val="es-ES" w:eastAsia="es-ES"/>
              </w:rPr>
            </w:pPr>
            <w:r w:rsidRPr="00590D7F">
              <w:rPr>
                <w:rFonts w:ascii="Arial Narrow" w:hAnsi="Arial Narrow"/>
                <w:sz w:val="18"/>
                <w:szCs w:val="18"/>
                <w:lang w:val="es-ES" w:eastAsia="es-ES"/>
              </w:rPr>
              <w:t>Promoción inmob</w:t>
            </w:r>
            <w:r w:rsidR="00EC07D7">
              <w:rPr>
                <w:rFonts w:ascii="Arial Narrow" w:hAnsi="Arial Narrow"/>
                <w:sz w:val="18"/>
                <w:szCs w:val="18"/>
                <w:lang w:val="es-ES" w:eastAsia="es-ES"/>
              </w:rPr>
              <w:t xml:space="preserve">. </w:t>
            </w:r>
            <w:r w:rsidRPr="00590D7F">
              <w:rPr>
                <w:rFonts w:ascii="Arial Narrow" w:hAnsi="Arial Narrow"/>
                <w:sz w:val="18"/>
                <w:szCs w:val="18"/>
                <w:lang w:val="es-ES" w:eastAsia="es-ES"/>
              </w:rPr>
              <w:t>criterios de eficiencia energética</w:t>
            </w:r>
          </w:p>
        </w:tc>
      </w:tr>
    </w:tbl>
    <w:p w:rsidR="00DC7F72" w:rsidRPr="003C402B" w:rsidRDefault="00DC7F72" w:rsidP="003611D3">
      <w:pPr>
        <w:pStyle w:val="texto"/>
        <w:spacing w:before="240"/>
        <w:rPr>
          <w:rFonts w:ascii="Times New (W1)" w:hAnsi="Times New (W1)"/>
          <w:spacing w:val="0"/>
        </w:rPr>
      </w:pPr>
      <w:r w:rsidRPr="003C402B">
        <w:rPr>
          <w:rFonts w:ascii="Times New (W1)" w:hAnsi="Times New (W1)"/>
          <w:spacing w:val="0"/>
        </w:rPr>
        <w:t>Además, en opinión de esta Cámara, la sociedad Parque de la Naturaleza de N</w:t>
      </w:r>
      <w:r w:rsidRPr="003C402B">
        <w:rPr>
          <w:rFonts w:ascii="Times New (W1)" w:hAnsi="Times New (W1)"/>
          <w:spacing w:val="0"/>
        </w:rPr>
        <w:t>a</w:t>
      </w:r>
      <w:r w:rsidRPr="003C402B">
        <w:rPr>
          <w:rFonts w:ascii="Times New (W1)" w:hAnsi="Times New (W1)"/>
          <w:spacing w:val="0"/>
        </w:rPr>
        <w:t>varra, SA (Parquenasa)</w:t>
      </w:r>
      <w:r w:rsidRPr="003C402B">
        <w:rPr>
          <w:rStyle w:val="Refdenotaalpie"/>
          <w:rFonts w:ascii="Times New (W1)" w:hAnsi="Times New (W1)"/>
          <w:spacing w:val="0"/>
        </w:rPr>
        <w:footnoteReference w:id="3"/>
      </w:r>
      <w:r w:rsidRPr="003C402B">
        <w:rPr>
          <w:rFonts w:ascii="Times New (W1)" w:hAnsi="Times New (W1)"/>
          <w:spacing w:val="0"/>
        </w:rPr>
        <w:t xml:space="preserve"> reúne los requisitos que señala la Ley Foral de Patrimonio para su consideración como empresa pública (ver epígrafe IV.</w:t>
      </w:r>
      <w:r w:rsidR="003C402B" w:rsidRPr="003C402B">
        <w:rPr>
          <w:rFonts w:ascii="Times New (W1)" w:hAnsi="Times New (W1)"/>
          <w:spacing w:val="0"/>
        </w:rPr>
        <w:t>1</w:t>
      </w:r>
      <w:r w:rsidR="00CE6000">
        <w:rPr>
          <w:rFonts w:ascii="Times New (W1)" w:hAnsi="Times New (W1)"/>
          <w:spacing w:val="0"/>
        </w:rPr>
        <w:t>2</w:t>
      </w:r>
      <w:r w:rsidRPr="003C402B">
        <w:rPr>
          <w:rFonts w:ascii="Times New (W1)" w:hAnsi="Times New (W1)"/>
          <w:spacing w:val="0"/>
        </w:rPr>
        <w:t xml:space="preserve"> de este informe).</w:t>
      </w:r>
    </w:p>
    <w:p w:rsidR="004E1BD0" w:rsidRPr="003C402B" w:rsidRDefault="00DC7F72" w:rsidP="00DC7F72">
      <w:pPr>
        <w:pStyle w:val="texto"/>
      </w:pPr>
      <w:r w:rsidRPr="003C402B">
        <w:t>Conviene precisar que el grupo consolidado de la CPEN, a efectos de la l</w:t>
      </w:r>
      <w:r w:rsidRPr="003C402B">
        <w:t>e</w:t>
      </w:r>
      <w:r w:rsidRPr="003C402B">
        <w:t xml:space="preserve">gislación </w:t>
      </w:r>
      <w:r w:rsidRPr="003C402B">
        <w:rPr>
          <w:spacing w:val="4"/>
        </w:rPr>
        <w:t>mercantil</w:t>
      </w:r>
      <w:r w:rsidRPr="003C402B">
        <w:t>, está formado tanto por empresas propiamente públicas c</w:t>
      </w:r>
      <w:r w:rsidRPr="003C402B">
        <w:t>o</w:t>
      </w:r>
      <w:r w:rsidRPr="003C402B">
        <w:t>mo por empresas privadas sobre las que la citada empresa dominante ejerce d</w:t>
      </w:r>
      <w:r w:rsidRPr="003C402B">
        <w:t>i</w:t>
      </w:r>
      <w:r w:rsidRPr="003C402B">
        <w:t>versos grados de influencia (ver epígrafe IV.</w:t>
      </w:r>
      <w:r w:rsidR="003C402B" w:rsidRPr="003C402B">
        <w:t>1</w:t>
      </w:r>
      <w:r w:rsidR="00CE6000">
        <w:t>2</w:t>
      </w:r>
      <w:r w:rsidR="003C402B" w:rsidRPr="003C402B">
        <w:t xml:space="preserve"> </w:t>
      </w:r>
      <w:r w:rsidRPr="003C402B">
        <w:t>de este informe).</w:t>
      </w:r>
    </w:p>
    <w:p w:rsidR="004E1BD0" w:rsidRDefault="004E1BD0" w:rsidP="003611D3">
      <w:pPr>
        <w:pStyle w:val="texto"/>
        <w:spacing w:after="240"/>
      </w:pPr>
      <w:r w:rsidRPr="004E1BD0">
        <w:t xml:space="preserve">En cuanto a las fundaciones públicas, </w:t>
      </w:r>
      <w:r w:rsidR="006C55C8">
        <w:t xml:space="preserve">a </w:t>
      </w:r>
      <w:r w:rsidRPr="004E1BD0">
        <w:t>31 de diciembre de 2015</w:t>
      </w:r>
      <w:r w:rsidR="007C07B1">
        <w:t>,</w:t>
      </w:r>
      <w:r w:rsidRPr="004E1BD0">
        <w:t xml:space="preserve"> </w:t>
      </w:r>
      <w:r w:rsidR="006C55C8">
        <w:t>hay</w:t>
      </w:r>
      <w:r w:rsidRPr="004E1BD0">
        <w:t xml:space="preserve"> </w:t>
      </w:r>
      <w:r w:rsidR="00D9704A">
        <w:t>cuatro</w:t>
      </w:r>
      <w:r w:rsidRPr="004E1BD0">
        <w:t>:</w:t>
      </w:r>
    </w:p>
    <w:tbl>
      <w:tblPr>
        <w:tblW w:w="8836" w:type="dxa"/>
        <w:jc w:val="center"/>
        <w:tblBorders>
          <w:top w:val="single" w:sz="4" w:space="0" w:color="auto"/>
          <w:bottom w:val="single" w:sz="4" w:space="0" w:color="auto"/>
        </w:tblBorders>
        <w:tblLook w:val="01E0" w:firstRow="1" w:lastRow="1" w:firstColumn="1" w:lastColumn="1" w:noHBand="0" w:noVBand="0"/>
      </w:tblPr>
      <w:tblGrid>
        <w:gridCol w:w="4156"/>
        <w:gridCol w:w="4680"/>
      </w:tblGrid>
      <w:tr w:rsidR="004E1BD0" w:rsidRPr="003611D3" w:rsidTr="003611D3">
        <w:trPr>
          <w:trHeight w:val="284"/>
          <w:jc w:val="center"/>
        </w:trPr>
        <w:tc>
          <w:tcPr>
            <w:tcW w:w="4156" w:type="dxa"/>
            <w:tcBorders>
              <w:top w:val="single" w:sz="4" w:space="0" w:color="auto"/>
              <w:bottom w:val="single" w:sz="4" w:space="0" w:color="auto"/>
            </w:tcBorders>
            <w:shd w:val="clear" w:color="auto" w:fill="A8CBEE" w:themeFill="accent2" w:themeFillTint="66"/>
            <w:vAlign w:val="center"/>
          </w:tcPr>
          <w:p w:rsidR="004E1BD0" w:rsidRPr="003611D3" w:rsidRDefault="004E1BD0" w:rsidP="003611D3">
            <w:pPr>
              <w:spacing w:after="0"/>
              <w:ind w:left="50" w:firstLine="0"/>
              <w:jc w:val="left"/>
              <w:rPr>
                <w:rFonts w:ascii="Arial" w:hAnsi="Arial" w:cs="Arial"/>
                <w:bCs/>
                <w:color w:val="000000"/>
                <w:sz w:val="18"/>
                <w:szCs w:val="18"/>
                <w:lang w:val="es-ES" w:eastAsia="es-ES"/>
              </w:rPr>
            </w:pPr>
            <w:r w:rsidRPr="003611D3">
              <w:rPr>
                <w:rFonts w:ascii="Arial" w:hAnsi="Arial" w:cs="Arial"/>
                <w:bCs/>
                <w:color w:val="000000"/>
                <w:sz w:val="18"/>
                <w:szCs w:val="18"/>
                <w:lang w:val="es-ES" w:eastAsia="es-ES"/>
              </w:rPr>
              <w:t>Fundaciones públicas</w:t>
            </w:r>
          </w:p>
        </w:tc>
        <w:tc>
          <w:tcPr>
            <w:tcW w:w="4680" w:type="dxa"/>
            <w:tcBorders>
              <w:top w:val="single" w:sz="4" w:space="0" w:color="auto"/>
              <w:bottom w:val="single" w:sz="4" w:space="0" w:color="auto"/>
            </w:tcBorders>
            <w:shd w:val="clear" w:color="auto" w:fill="A8CBEE" w:themeFill="accent2" w:themeFillTint="66"/>
            <w:vAlign w:val="center"/>
          </w:tcPr>
          <w:p w:rsidR="004E1BD0" w:rsidRPr="003611D3" w:rsidRDefault="004E1BD0" w:rsidP="003611D3">
            <w:pPr>
              <w:spacing w:after="0"/>
              <w:ind w:left="50" w:firstLine="0"/>
              <w:jc w:val="left"/>
              <w:rPr>
                <w:rFonts w:ascii="Arial" w:hAnsi="Arial" w:cs="Arial"/>
                <w:bCs/>
                <w:color w:val="000000"/>
                <w:sz w:val="18"/>
                <w:szCs w:val="18"/>
                <w:lang w:val="es-ES" w:eastAsia="es-ES"/>
              </w:rPr>
            </w:pPr>
            <w:r w:rsidRPr="003611D3">
              <w:rPr>
                <w:rFonts w:ascii="Arial" w:hAnsi="Arial" w:cs="Arial"/>
                <w:bCs/>
                <w:color w:val="000000"/>
                <w:sz w:val="18"/>
                <w:szCs w:val="18"/>
                <w:lang w:val="es-ES" w:eastAsia="es-ES"/>
              </w:rPr>
              <w:t>Objeto</w:t>
            </w:r>
          </w:p>
        </w:tc>
      </w:tr>
      <w:tr w:rsidR="004E1BD0" w:rsidRPr="00851497" w:rsidTr="003611D3">
        <w:trPr>
          <w:trHeight w:val="284"/>
          <w:jc w:val="center"/>
        </w:trPr>
        <w:tc>
          <w:tcPr>
            <w:tcW w:w="4156" w:type="dxa"/>
            <w:tcBorders>
              <w:top w:val="single" w:sz="4" w:space="0" w:color="auto"/>
              <w:bottom w:val="single" w:sz="4" w:space="0" w:color="auto"/>
            </w:tcBorders>
            <w:shd w:val="clear" w:color="auto" w:fill="auto"/>
            <w:vAlign w:val="center"/>
          </w:tcPr>
          <w:p w:rsidR="004E1BD0" w:rsidRPr="00851497" w:rsidRDefault="004E1BD0" w:rsidP="002418AD">
            <w:pPr>
              <w:spacing w:after="0"/>
              <w:ind w:firstLine="0"/>
              <w:rPr>
                <w:rFonts w:ascii="Arial Narrow" w:hAnsi="Arial Narrow" w:cs="Arial"/>
              </w:rPr>
            </w:pPr>
            <w:r w:rsidRPr="00851497">
              <w:rPr>
                <w:rFonts w:ascii="Arial Narrow" w:hAnsi="Arial Narrow" w:cs="Arial"/>
              </w:rPr>
              <w:t xml:space="preserve">Baluarte </w:t>
            </w:r>
          </w:p>
        </w:tc>
        <w:tc>
          <w:tcPr>
            <w:tcW w:w="4680" w:type="dxa"/>
            <w:tcBorders>
              <w:top w:val="single" w:sz="4" w:space="0" w:color="auto"/>
              <w:bottom w:val="single" w:sz="4" w:space="0" w:color="auto"/>
            </w:tcBorders>
            <w:shd w:val="clear" w:color="auto" w:fill="auto"/>
            <w:vAlign w:val="center"/>
          </w:tcPr>
          <w:p w:rsidR="004E1BD0" w:rsidRPr="00851497" w:rsidRDefault="004E1BD0" w:rsidP="003611D3">
            <w:pPr>
              <w:spacing w:after="0"/>
              <w:ind w:firstLine="13"/>
              <w:rPr>
                <w:rFonts w:ascii="Arial Narrow" w:hAnsi="Arial Narrow" w:cs="Arial"/>
              </w:rPr>
            </w:pPr>
            <w:r w:rsidRPr="00851497">
              <w:rPr>
                <w:rFonts w:ascii="Arial Narrow" w:hAnsi="Arial Narrow" w:cs="Arial"/>
              </w:rPr>
              <w:t>Promoción actividades culturales en Baluarte (*)</w:t>
            </w:r>
          </w:p>
        </w:tc>
      </w:tr>
      <w:tr w:rsidR="00FB1181" w:rsidRPr="00851497" w:rsidTr="003611D3">
        <w:trPr>
          <w:trHeight w:val="284"/>
          <w:jc w:val="center"/>
        </w:trPr>
        <w:tc>
          <w:tcPr>
            <w:tcW w:w="4156" w:type="dxa"/>
            <w:tcBorders>
              <w:top w:val="single" w:sz="4" w:space="0" w:color="auto"/>
              <w:bottom w:val="single" w:sz="2" w:space="0" w:color="auto"/>
            </w:tcBorders>
            <w:shd w:val="clear" w:color="auto" w:fill="auto"/>
            <w:vAlign w:val="center"/>
          </w:tcPr>
          <w:p w:rsidR="00FB1181" w:rsidRPr="00851497" w:rsidRDefault="00FB1181" w:rsidP="002418AD">
            <w:pPr>
              <w:spacing w:after="0"/>
              <w:ind w:firstLine="0"/>
              <w:rPr>
                <w:rFonts w:ascii="Arial Narrow" w:hAnsi="Arial Narrow" w:cs="Arial"/>
              </w:rPr>
            </w:pPr>
            <w:r>
              <w:rPr>
                <w:rFonts w:ascii="Arial Narrow" w:hAnsi="Arial Narrow" w:cs="Arial"/>
              </w:rPr>
              <w:t>Conservación del Patrimonio Histórico de Navarra</w:t>
            </w:r>
          </w:p>
        </w:tc>
        <w:tc>
          <w:tcPr>
            <w:tcW w:w="4680" w:type="dxa"/>
            <w:tcBorders>
              <w:top w:val="single" w:sz="4" w:space="0" w:color="auto"/>
              <w:bottom w:val="single" w:sz="2" w:space="0" w:color="auto"/>
            </w:tcBorders>
            <w:shd w:val="clear" w:color="auto" w:fill="auto"/>
            <w:vAlign w:val="center"/>
          </w:tcPr>
          <w:p w:rsidR="00FB1181" w:rsidRPr="00851497" w:rsidRDefault="00FB1181" w:rsidP="003611D3">
            <w:pPr>
              <w:spacing w:after="0"/>
              <w:ind w:firstLine="13"/>
              <w:rPr>
                <w:rFonts w:ascii="Arial Narrow" w:hAnsi="Arial Narrow" w:cs="Arial"/>
              </w:rPr>
            </w:pPr>
            <w:r w:rsidRPr="00FB1181">
              <w:rPr>
                <w:rFonts w:ascii="Arial Narrow" w:hAnsi="Arial Narrow" w:cs="Arial"/>
              </w:rPr>
              <w:t xml:space="preserve">Conservación y restauración de </w:t>
            </w:r>
            <w:r>
              <w:rPr>
                <w:rFonts w:ascii="Arial Narrow" w:hAnsi="Arial Narrow" w:cs="Arial"/>
              </w:rPr>
              <w:t>b</w:t>
            </w:r>
            <w:r w:rsidRPr="00FB1181">
              <w:rPr>
                <w:rFonts w:ascii="Arial Narrow" w:hAnsi="Arial Narrow" w:cs="Arial"/>
              </w:rPr>
              <w:t>ienes de interés cultural</w:t>
            </w:r>
          </w:p>
        </w:tc>
      </w:tr>
      <w:tr w:rsidR="004E1BD0" w:rsidRPr="00851497" w:rsidTr="003611D3">
        <w:trPr>
          <w:trHeight w:val="284"/>
          <w:jc w:val="center"/>
        </w:trPr>
        <w:tc>
          <w:tcPr>
            <w:tcW w:w="4156" w:type="dxa"/>
            <w:tcBorders>
              <w:top w:val="single" w:sz="2" w:space="0" w:color="auto"/>
              <w:bottom w:val="single" w:sz="2" w:space="0" w:color="auto"/>
            </w:tcBorders>
            <w:shd w:val="clear" w:color="auto" w:fill="auto"/>
            <w:vAlign w:val="center"/>
          </w:tcPr>
          <w:p w:rsidR="004E1BD0" w:rsidRPr="00851497" w:rsidRDefault="004E1BD0" w:rsidP="002418AD">
            <w:pPr>
              <w:spacing w:after="0"/>
              <w:ind w:firstLine="0"/>
              <w:rPr>
                <w:rFonts w:ascii="Arial Narrow" w:hAnsi="Arial Narrow" w:cs="Arial"/>
              </w:rPr>
            </w:pPr>
            <w:r w:rsidRPr="00851497">
              <w:rPr>
                <w:rFonts w:ascii="Arial Narrow" w:hAnsi="Arial Narrow" w:cs="Arial"/>
              </w:rPr>
              <w:t>Miguel Servet</w:t>
            </w:r>
          </w:p>
        </w:tc>
        <w:tc>
          <w:tcPr>
            <w:tcW w:w="4680" w:type="dxa"/>
            <w:tcBorders>
              <w:top w:val="single" w:sz="2" w:space="0" w:color="auto"/>
              <w:bottom w:val="single" w:sz="2" w:space="0" w:color="auto"/>
            </w:tcBorders>
            <w:shd w:val="clear" w:color="auto" w:fill="auto"/>
            <w:vAlign w:val="center"/>
          </w:tcPr>
          <w:p w:rsidR="004E1BD0" w:rsidRPr="00851497" w:rsidRDefault="004E1BD0" w:rsidP="003611D3">
            <w:pPr>
              <w:spacing w:after="0"/>
              <w:ind w:firstLine="13"/>
              <w:rPr>
                <w:rFonts w:ascii="Arial Narrow" w:hAnsi="Arial Narrow" w:cs="Arial"/>
              </w:rPr>
            </w:pPr>
            <w:r w:rsidRPr="00851497">
              <w:rPr>
                <w:rFonts w:ascii="Arial Narrow" w:hAnsi="Arial Narrow" w:cs="Arial"/>
              </w:rPr>
              <w:t>Fomento de la investigación sanitaria</w:t>
            </w:r>
          </w:p>
        </w:tc>
      </w:tr>
      <w:tr w:rsidR="004E1BD0" w:rsidRPr="00851497" w:rsidTr="003611D3">
        <w:trPr>
          <w:trHeight w:val="284"/>
          <w:jc w:val="center"/>
        </w:trPr>
        <w:tc>
          <w:tcPr>
            <w:tcW w:w="4156" w:type="dxa"/>
            <w:tcBorders>
              <w:top w:val="single" w:sz="2" w:space="0" w:color="auto"/>
              <w:bottom w:val="single" w:sz="2" w:space="0" w:color="auto"/>
            </w:tcBorders>
            <w:shd w:val="clear" w:color="auto" w:fill="auto"/>
            <w:vAlign w:val="center"/>
          </w:tcPr>
          <w:p w:rsidR="004E1BD0" w:rsidRPr="00851497" w:rsidRDefault="004E1BD0" w:rsidP="002418AD">
            <w:pPr>
              <w:spacing w:after="0"/>
              <w:ind w:firstLine="0"/>
              <w:rPr>
                <w:rFonts w:ascii="Arial Narrow" w:hAnsi="Arial Narrow" w:cs="Arial"/>
              </w:rPr>
            </w:pPr>
            <w:r w:rsidRPr="00851497">
              <w:rPr>
                <w:rFonts w:ascii="Arial Narrow" w:hAnsi="Arial Narrow" w:cs="Arial"/>
              </w:rPr>
              <w:t>Tutela de las Personas Mayores</w:t>
            </w:r>
          </w:p>
        </w:tc>
        <w:tc>
          <w:tcPr>
            <w:tcW w:w="4680" w:type="dxa"/>
            <w:tcBorders>
              <w:top w:val="single" w:sz="2" w:space="0" w:color="auto"/>
              <w:bottom w:val="single" w:sz="2" w:space="0" w:color="auto"/>
            </w:tcBorders>
            <w:shd w:val="clear" w:color="auto" w:fill="auto"/>
            <w:vAlign w:val="center"/>
          </w:tcPr>
          <w:p w:rsidR="004E1BD0" w:rsidRPr="00851497" w:rsidRDefault="004E1BD0" w:rsidP="003611D3">
            <w:pPr>
              <w:spacing w:after="0"/>
              <w:ind w:firstLine="13"/>
              <w:rPr>
                <w:rFonts w:ascii="Arial Narrow" w:hAnsi="Arial Narrow" w:cs="Arial"/>
              </w:rPr>
            </w:pPr>
            <w:r w:rsidRPr="00851497">
              <w:rPr>
                <w:rFonts w:ascii="Arial Narrow" w:hAnsi="Arial Narrow" w:cs="Arial"/>
              </w:rPr>
              <w:t>Atención y tutela personas mayores de edad e incapacitadas</w:t>
            </w:r>
          </w:p>
        </w:tc>
      </w:tr>
    </w:tbl>
    <w:p w:rsidR="004E1BD0" w:rsidRPr="00E16EF4" w:rsidRDefault="004E1BD0" w:rsidP="003611D3">
      <w:pPr>
        <w:spacing w:before="60" w:after="60"/>
        <w:ind w:firstLine="142"/>
        <w:rPr>
          <w:rFonts w:ascii="Arial Narrow" w:hAnsi="Arial Narrow" w:cs="Arial"/>
          <w:sz w:val="16"/>
          <w:szCs w:val="16"/>
        </w:rPr>
      </w:pPr>
      <w:r w:rsidRPr="00E16EF4">
        <w:rPr>
          <w:rFonts w:ascii="Arial Narrow" w:hAnsi="Arial Narrow" w:cs="Arial"/>
          <w:sz w:val="16"/>
          <w:szCs w:val="16"/>
        </w:rPr>
        <w:t>(*) Próximamente asumirá también la gestión de la Orquesta Sinfónica de Navarra</w:t>
      </w:r>
    </w:p>
    <w:p w:rsidR="003611D3" w:rsidRDefault="003611D3" w:rsidP="003D6668">
      <w:pPr>
        <w:pStyle w:val="texto"/>
      </w:pPr>
    </w:p>
    <w:p w:rsidR="006C55C8" w:rsidRDefault="006C55C8" w:rsidP="003D6668">
      <w:pPr>
        <w:pStyle w:val="texto"/>
      </w:pPr>
    </w:p>
    <w:p w:rsidR="003611D3" w:rsidRDefault="003611D3" w:rsidP="003D6668">
      <w:pPr>
        <w:pStyle w:val="texto"/>
      </w:pPr>
    </w:p>
    <w:p w:rsidR="00FB1181" w:rsidRDefault="003D6668" w:rsidP="003D6668">
      <w:pPr>
        <w:pStyle w:val="texto"/>
      </w:pPr>
      <w:r w:rsidRPr="003611D3">
        <w:rPr>
          <w:spacing w:val="0"/>
        </w:rPr>
        <w:lastRenderedPageBreak/>
        <w:t xml:space="preserve">Sobre el ejercicio anterior, su número se ha reducido en </w:t>
      </w:r>
      <w:r w:rsidR="00FB1181" w:rsidRPr="003611D3">
        <w:rPr>
          <w:spacing w:val="0"/>
        </w:rPr>
        <w:t>tres</w:t>
      </w:r>
      <w:r w:rsidRPr="003611D3">
        <w:rPr>
          <w:spacing w:val="0"/>
        </w:rPr>
        <w:t xml:space="preserve"> como </w:t>
      </w:r>
      <w:r w:rsidR="008C32D9" w:rsidRPr="003611D3">
        <w:rPr>
          <w:spacing w:val="0"/>
        </w:rPr>
        <w:t xml:space="preserve">resultado </w:t>
      </w:r>
      <w:r w:rsidR="00FB1181" w:rsidRPr="003611D3">
        <w:rPr>
          <w:spacing w:val="0"/>
        </w:rPr>
        <w:t>de</w:t>
      </w:r>
      <w:r w:rsidR="00FB1181">
        <w:t>:</w:t>
      </w:r>
    </w:p>
    <w:p w:rsidR="00FB1181" w:rsidRDefault="00FB1181" w:rsidP="00FB1181">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89"/>
      </w:pPr>
      <w:r>
        <w:t xml:space="preserve">Instituto Navarro de Artes Audiovisuales y Cinematografía, se extinguió en junio de 2014. </w:t>
      </w:r>
    </w:p>
    <w:p w:rsidR="00FB1181" w:rsidRDefault="00FB1181" w:rsidP="00FB1181">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89"/>
      </w:pPr>
      <w:r>
        <w:t xml:space="preserve">Fundación Navarra para la Excelencia, ha pasado a </w:t>
      </w:r>
      <w:r w:rsidR="000A0AD6">
        <w:t>gestión</w:t>
      </w:r>
      <w:r>
        <w:t xml:space="preserve"> privada en n</w:t>
      </w:r>
      <w:r>
        <w:t>o</w:t>
      </w:r>
      <w:r>
        <w:t>viembre de 201</w:t>
      </w:r>
      <w:r w:rsidR="002B67E6">
        <w:t>4</w:t>
      </w:r>
      <w:r>
        <w:t>.</w:t>
      </w:r>
    </w:p>
    <w:p w:rsidR="00473DDE" w:rsidRDefault="00FB1181" w:rsidP="00C65307">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89"/>
      </w:pPr>
      <w:r>
        <w:t>Fundación de Formación en Energías Renovables, ha sido extinguida en junio de 2015.</w:t>
      </w:r>
    </w:p>
    <w:p w:rsidR="0046712B" w:rsidRDefault="0046712B" w:rsidP="003611D3">
      <w:pPr>
        <w:pStyle w:val="texto"/>
        <w:spacing w:after="240"/>
      </w:pPr>
      <w:r w:rsidRPr="00177FFA">
        <w:t>Por otra parte, y en opinión de esta Cámara, la Fundación Miguel Induráin reúne las condiciones para su consideración como fundación pública dado que fue creada, entre otros, por el Gobierno de Navarra, la financiación de sus act</w:t>
      </w:r>
      <w:r w:rsidRPr="00177FFA">
        <w:t>i</w:t>
      </w:r>
      <w:r w:rsidRPr="00177FFA">
        <w:t>vidades depende en gran medida de las subvenciones públicas y el control efe</w:t>
      </w:r>
      <w:r w:rsidRPr="00177FFA">
        <w:t>c</w:t>
      </w:r>
      <w:r w:rsidRPr="00177FFA">
        <w:t>tivo de sus órganos de gestión y dirección corresponde a representantes del propio Gobierno.</w:t>
      </w:r>
    </w:p>
    <w:p w:rsidR="0069274F" w:rsidRPr="00EA6A0C" w:rsidRDefault="0069274F" w:rsidP="00C65307">
      <w:pPr>
        <w:pStyle w:val="atitulo3"/>
      </w:pPr>
      <w:r>
        <w:t>IV.1.2.</w:t>
      </w:r>
      <w:r w:rsidRPr="00EA6A0C">
        <w:t xml:space="preserve"> </w:t>
      </w:r>
      <w:r>
        <w:t xml:space="preserve">Sector </w:t>
      </w:r>
      <w:r w:rsidR="00FA5A71">
        <w:t>Administración Pública de Navarra,</w:t>
      </w:r>
      <w:r>
        <w:t xml:space="preserve"> </w:t>
      </w:r>
      <w:r w:rsidR="001D3E8D">
        <w:t>según la</w:t>
      </w:r>
      <w:r>
        <w:t xml:space="preserve"> Ley Orgánica 2/2012, de 27 de abril, de Estabilidad Presupuestaria y Sostenibilidad Financiera.</w:t>
      </w:r>
    </w:p>
    <w:p w:rsidR="000C6F3D" w:rsidRDefault="000C6F3D" w:rsidP="000C6F3D">
      <w:pPr>
        <w:pStyle w:val="texto"/>
      </w:pPr>
      <w:r w:rsidRPr="0015159F">
        <w:t>La de</w:t>
      </w:r>
      <w:r>
        <w:t>limitación</w:t>
      </w:r>
      <w:r w:rsidRPr="0015159F">
        <w:t xml:space="preserve"> del </w:t>
      </w:r>
      <w:r>
        <w:t>S</w:t>
      </w:r>
      <w:r w:rsidRPr="0015159F">
        <w:t xml:space="preserve">ector </w:t>
      </w:r>
      <w:r w:rsidR="00FA5A71">
        <w:t>Administración Pública de Navarra</w:t>
      </w:r>
      <w:r w:rsidRPr="0015159F">
        <w:t xml:space="preserve"> </w:t>
      </w:r>
      <w:r>
        <w:t xml:space="preserve">o perímetro de consolidación fiscal es determinante para verificar el cumplimiento de los escenarios de déficit y deuda pública asumidos por el Gobierno de Navarra para el ejercicio de 2015, dentro del objetivo de garantizar </w:t>
      </w:r>
      <w:r w:rsidR="001E2871">
        <w:t>el cumpl</w:t>
      </w:r>
      <w:r w:rsidR="000E2E9B">
        <w:t>i</w:t>
      </w:r>
      <w:r w:rsidR="001E2871">
        <w:t>miento</w:t>
      </w:r>
      <w:r>
        <w:t xml:space="preserve"> de los requisitos de estabilidad presupuestaria en el conjunto de las administraciones públicas españolas. Todo ello medido en términos de contabilidad nacional (SEC´2010).</w:t>
      </w:r>
    </w:p>
    <w:p w:rsidR="000C6F3D" w:rsidRDefault="000C6F3D" w:rsidP="000C6F3D">
      <w:pPr>
        <w:pStyle w:val="texto"/>
      </w:pPr>
      <w:r>
        <w:t xml:space="preserve">En concreto y </w:t>
      </w:r>
      <w:r w:rsidRPr="00833CF1">
        <w:rPr>
          <w:spacing w:val="4"/>
        </w:rPr>
        <w:t>para</w:t>
      </w:r>
      <w:r>
        <w:t xml:space="preserve"> 2015, se consideran Sector Administración Pública de Navarra a efectos de contabilidad nacional:</w:t>
      </w:r>
    </w:p>
    <w:p w:rsidR="000C6F3D" w:rsidRPr="00540DB7" w:rsidRDefault="000C6F3D" w:rsidP="000C6F3D">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sidRPr="00540DB7">
        <w:rPr>
          <w:lang w:val="es-ES"/>
        </w:rPr>
        <w:t xml:space="preserve">La Administración de la Comunidad Foral y sus </w:t>
      </w:r>
      <w:r>
        <w:rPr>
          <w:lang w:val="es-ES"/>
        </w:rPr>
        <w:t>o</w:t>
      </w:r>
      <w:r w:rsidRPr="00540DB7">
        <w:rPr>
          <w:lang w:val="es-ES"/>
        </w:rPr>
        <w:t xml:space="preserve">rganismos </w:t>
      </w:r>
      <w:r>
        <w:rPr>
          <w:lang w:val="es-ES"/>
        </w:rPr>
        <w:t>a</w:t>
      </w:r>
      <w:r w:rsidRPr="00540DB7">
        <w:rPr>
          <w:lang w:val="es-ES"/>
        </w:rPr>
        <w:t>utónomos</w:t>
      </w:r>
      <w:r>
        <w:rPr>
          <w:lang w:val="es-ES"/>
        </w:rPr>
        <w:t>.</w:t>
      </w:r>
    </w:p>
    <w:p w:rsidR="000C6F3D" w:rsidRPr="00540DB7" w:rsidRDefault="000C6F3D" w:rsidP="000C6F3D">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sidRPr="00540DB7">
        <w:rPr>
          <w:lang w:val="es-ES"/>
        </w:rPr>
        <w:t xml:space="preserve">El Parlamento de Navarra y sus </w:t>
      </w:r>
      <w:r>
        <w:rPr>
          <w:lang w:val="es-ES"/>
        </w:rPr>
        <w:t>e</w:t>
      </w:r>
      <w:r w:rsidRPr="00540DB7">
        <w:rPr>
          <w:lang w:val="es-ES"/>
        </w:rPr>
        <w:t xml:space="preserve">ntes </w:t>
      </w:r>
      <w:r>
        <w:rPr>
          <w:lang w:val="es-ES"/>
        </w:rPr>
        <w:t>d</w:t>
      </w:r>
      <w:r w:rsidRPr="00540DB7">
        <w:rPr>
          <w:lang w:val="es-ES"/>
        </w:rPr>
        <w:t>ependientes</w:t>
      </w:r>
      <w:r>
        <w:rPr>
          <w:lang w:val="es-ES"/>
        </w:rPr>
        <w:t>.</w:t>
      </w:r>
    </w:p>
    <w:p w:rsidR="000C6F3D" w:rsidRPr="00540DB7" w:rsidRDefault="000C6F3D" w:rsidP="000C6F3D">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sidRPr="00540DB7">
        <w:rPr>
          <w:lang w:val="es-ES"/>
        </w:rPr>
        <w:t xml:space="preserve">La Universidad Pública </w:t>
      </w:r>
      <w:r>
        <w:rPr>
          <w:lang w:val="es-ES"/>
        </w:rPr>
        <w:t>de Navarra.</w:t>
      </w:r>
    </w:p>
    <w:p w:rsidR="000C6F3D" w:rsidRPr="00EE314C" w:rsidRDefault="000C6F3D" w:rsidP="000C6F3D">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sidRPr="00EE314C">
        <w:rPr>
          <w:lang w:val="es-ES"/>
        </w:rPr>
        <w:t>Las sociedades públicas de la Comunidad Foral que prestan servicios o produzcan bienes que no se financian mayoritariamente con ingresos comerci</w:t>
      </w:r>
      <w:r w:rsidRPr="00EE314C">
        <w:rPr>
          <w:lang w:val="es-ES"/>
        </w:rPr>
        <w:t>a</w:t>
      </w:r>
      <w:r w:rsidRPr="00EE314C">
        <w:rPr>
          <w:lang w:val="es-ES"/>
        </w:rPr>
        <w:t>les. En concreto, para 2015 se consideran administraciones públicas las 11 s</w:t>
      </w:r>
      <w:r w:rsidRPr="00EE314C">
        <w:rPr>
          <w:lang w:val="es-ES"/>
        </w:rPr>
        <w:t>o</w:t>
      </w:r>
      <w:r w:rsidRPr="00EE314C">
        <w:rPr>
          <w:lang w:val="es-ES"/>
        </w:rPr>
        <w:t>ciedades siguientes: Corporación Pública Empresarial de Navarra, SLU (CPEN); Centro Navarro de Autoaprendizaje de Idiomas; Centro Europeo de Empresa e Innovación, SL; Ciudad Agroalimentaria de Tudela, SL; Gestión Ambiental de Navarra, SA; Instituto Navarro de Tecnologías e Infraestructuras Agroalimentarias, SA; Navarra Infraestructuras de Cultura, Deporte y Ocio, SL; Navarra de Servicios y Tecnologías, SA; Sodena; Tracasa y Start Up.</w:t>
      </w:r>
    </w:p>
    <w:p w:rsidR="000C6F3D" w:rsidRDefault="000C6F3D" w:rsidP="000C6F3D">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sidRPr="005C26CC">
        <w:rPr>
          <w:lang w:val="es-ES"/>
        </w:rPr>
        <w:lastRenderedPageBreak/>
        <w:t>Las fundaciones públicas y privadas de la Comunidad Foral que se cons</w:t>
      </w:r>
      <w:r w:rsidRPr="005C26CC">
        <w:rPr>
          <w:lang w:val="es-ES"/>
        </w:rPr>
        <w:t>i</w:t>
      </w:r>
      <w:r w:rsidRPr="005C26CC">
        <w:rPr>
          <w:lang w:val="es-ES"/>
        </w:rPr>
        <w:t xml:space="preserve">deran </w:t>
      </w:r>
      <w:r>
        <w:rPr>
          <w:lang w:val="es-ES"/>
        </w:rPr>
        <w:t>a</w:t>
      </w:r>
      <w:r w:rsidRPr="005C26CC">
        <w:rPr>
          <w:lang w:val="es-ES"/>
        </w:rPr>
        <w:t xml:space="preserve">dministraciones </w:t>
      </w:r>
      <w:r>
        <w:rPr>
          <w:lang w:val="es-ES"/>
        </w:rPr>
        <w:t>p</w:t>
      </w:r>
      <w:r w:rsidR="00DD51B4">
        <w:rPr>
          <w:lang w:val="es-ES"/>
        </w:rPr>
        <w:t xml:space="preserve">úblicas son un total de </w:t>
      </w:r>
      <w:r w:rsidR="006F79DC">
        <w:rPr>
          <w:lang w:val="es-ES"/>
        </w:rPr>
        <w:t>siete</w:t>
      </w:r>
      <w:r w:rsidRPr="005C26CC">
        <w:rPr>
          <w:lang w:val="es-ES"/>
        </w:rPr>
        <w:t>:</w:t>
      </w:r>
    </w:p>
    <w:p w:rsidR="000C6F3D" w:rsidRPr="004E748A" w:rsidRDefault="000C6F3D" w:rsidP="000C6F3D">
      <w:pPr>
        <w:pStyle w:val="texto"/>
      </w:pPr>
      <w:r w:rsidRPr="000667AA">
        <w:t>a)</w:t>
      </w:r>
      <w:r w:rsidRPr="000667AA">
        <w:rPr>
          <w:rFonts w:ascii="Times New (W1)" w:hAnsi="Times New (W1)"/>
          <w:spacing w:val="4"/>
        </w:rPr>
        <w:t xml:space="preserve"> Las </w:t>
      </w:r>
      <w:r w:rsidR="00FB1181">
        <w:rPr>
          <w:rFonts w:ascii="Times New (W1)" w:hAnsi="Times New (W1)"/>
          <w:spacing w:val="4"/>
        </w:rPr>
        <w:t xml:space="preserve">cuatro </w:t>
      </w:r>
      <w:r w:rsidRPr="000667AA">
        <w:rPr>
          <w:rFonts w:ascii="Times New (W1)" w:hAnsi="Times New (W1)"/>
          <w:spacing w:val="4"/>
        </w:rPr>
        <w:t xml:space="preserve">fundaciones propiamente públicas, detalladas en el apartado </w:t>
      </w:r>
      <w:r w:rsidRPr="004E748A">
        <w:rPr>
          <w:rFonts w:ascii="Times New (W1)" w:hAnsi="Times New (W1)"/>
          <w:spacing w:val="4"/>
        </w:rPr>
        <w:t>a</w:t>
      </w:r>
      <w:r w:rsidRPr="004E748A">
        <w:rPr>
          <w:rFonts w:ascii="Times New (W1)" w:hAnsi="Times New (W1)"/>
          <w:spacing w:val="4"/>
        </w:rPr>
        <w:t>n</w:t>
      </w:r>
      <w:r w:rsidRPr="004E748A">
        <w:rPr>
          <w:rFonts w:ascii="Times New (W1)" w:hAnsi="Times New (W1)"/>
          <w:spacing w:val="4"/>
        </w:rPr>
        <w:t xml:space="preserve">terior </w:t>
      </w:r>
      <w:r w:rsidR="00FA5A71">
        <w:rPr>
          <w:rFonts w:ascii="Times New (W1)" w:hAnsi="Times New (W1)"/>
          <w:spacing w:val="4"/>
        </w:rPr>
        <w:t>IV.1.1.</w:t>
      </w:r>
    </w:p>
    <w:p w:rsidR="00DD51B4" w:rsidRDefault="000C6F3D" w:rsidP="003611D3">
      <w:pPr>
        <w:pStyle w:val="texto"/>
        <w:spacing w:after="0"/>
      </w:pPr>
      <w:r w:rsidRPr="000D3E76">
        <w:t>b) Otras fundaciones con dependencia económica</w:t>
      </w:r>
      <w:r w:rsidR="000D3E76" w:rsidRPr="000D3E76">
        <w:t>:</w:t>
      </w:r>
      <w:r w:rsidRPr="000D3E76">
        <w:t xml:space="preserve"> Fundación Ce</w:t>
      </w:r>
      <w:r w:rsidR="00FA5A71" w:rsidRPr="000D3E76">
        <w:t>ner-Ciemat</w:t>
      </w:r>
      <w:r w:rsidR="000D3E76" w:rsidRPr="000D3E76">
        <w:t>, Fundación Amado Alonso</w:t>
      </w:r>
      <w:r w:rsidR="006F79DC">
        <w:t xml:space="preserve"> </w:t>
      </w:r>
      <w:r w:rsidRPr="000D3E76">
        <w:t xml:space="preserve">y Fundación Pablo Sarasate. </w:t>
      </w:r>
    </w:p>
    <w:p w:rsidR="003611D3" w:rsidRPr="000D3E76" w:rsidRDefault="003611D3" w:rsidP="007E1C86">
      <w:pPr>
        <w:pStyle w:val="texto"/>
        <w:spacing w:after="0"/>
      </w:pPr>
    </w:p>
    <w:p w:rsidR="00015585" w:rsidRDefault="00015585" w:rsidP="0009411D">
      <w:pPr>
        <w:pStyle w:val="atitulo2"/>
        <w:spacing w:before="240"/>
      </w:pPr>
      <w:bookmarkStart w:id="43" w:name="_Toc463350248"/>
      <w:r>
        <w:t>IV.2. Presupuesto</w:t>
      </w:r>
      <w:r w:rsidR="00B31AA4">
        <w:t>s generales de Navarra ejercicio de</w:t>
      </w:r>
      <w:r>
        <w:t xml:space="preserve"> 2015</w:t>
      </w:r>
      <w:bookmarkEnd w:id="43"/>
    </w:p>
    <w:p w:rsidR="00B31AA4" w:rsidRDefault="00B31AA4" w:rsidP="0007453D">
      <w:pPr>
        <w:pStyle w:val="texto"/>
        <w:rPr>
          <w:rFonts w:ascii="Arial" w:hAnsi="Arial" w:cs="Arial"/>
        </w:rPr>
      </w:pPr>
      <w:r w:rsidRPr="00D948FA">
        <w:t>En septiembre de 2014, el Gobierno aprueba el límite de gasto no financiero para 2015 que se fija en 3.420,30 millones, un 0,43 por ciento superior al del ejercicio anterior (</w:t>
      </w:r>
      <w:r w:rsidR="00D948FA">
        <w:t xml:space="preserve">esto es, </w:t>
      </w:r>
      <w:r w:rsidRPr="00D948FA">
        <w:t>14</w:t>
      </w:r>
      <w:r w:rsidR="0066463C">
        <w:t>,</w:t>
      </w:r>
      <w:r w:rsidRPr="00D948FA">
        <w:t xml:space="preserve">74 millones). </w:t>
      </w:r>
    </w:p>
    <w:p w:rsidR="00B31AA4" w:rsidRPr="00D948FA" w:rsidRDefault="00B31AA4" w:rsidP="00B31AA4">
      <w:pPr>
        <w:pStyle w:val="texto"/>
      </w:pPr>
      <w:r w:rsidRPr="00D948FA">
        <w:t>El 3 de noviembre de 2014, el Gobierno presenta al Parlamento de Navarra el proyecto de ley de Presupuestos Generales de 2015, cuyo volumen total a</w:t>
      </w:r>
      <w:r w:rsidRPr="00D948FA">
        <w:t>s</w:t>
      </w:r>
      <w:r w:rsidRPr="00D948FA">
        <w:t xml:space="preserve">cendía a 3.797,26 millones. </w:t>
      </w:r>
    </w:p>
    <w:p w:rsidR="00B31AA4" w:rsidRPr="00D948FA" w:rsidRDefault="00B31AA4" w:rsidP="00B31AA4">
      <w:pPr>
        <w:pStyle w:val="texto"/>
      </w:pPr>
      <w:r w:rsidRPr="00D948FA">
        <w:t>Mediante la aprobación de una enmienda a la totalidad por el Parlamento, se rechaza en noviembre de 2014 tal proyecto de presupuestos. En consecuencia, se prorroga automáticamente</w:t>
      </w:r>
      <w:r w:rsidR="001E2871" w:rsidRPr="001E2871">
        <w:t xml:space="preserve"> </w:t>
      </w:r>
      <w:r w:rsidR="001E2871" w:rsidRPr="00D948FA">
        <w:t>el presupuesto de 2012</w:t>
      </w:r>
      <w:r w:rsidRPr="00D948FA">
        <w:t>, de acuerdo con el art. 37 de la Ley Foral de Ha</w:t>
      </w:r>
      <w:r w:rsidR="001E2871">
        <w:t>cienda Pública</w:t>
      </w:r>
      <w:r w:rsidRPr="00D948FA">
        <w:t>.</w:t>
      </w:r>
    </w:p>
    <w:p w:rsidR="00B31AA4" w:rsidRPr="00D948FA" w:rsidRDefault="00B31AA4" w:rsidP="00B31AA4">
      <w:pPr>
        <w:pStyle w:val="texto"/>
      </w:pPr>
      <w:r w:rsidRPr="00D948FA">
        <w:t>El Gobierno, mediante acuerdo del 29 de diciembre de 2014, aprueba unas directrices o normas para la ejecución del presupuesto de 2015. Dichas normas en resumen son las siguientes:</w:t>
      </w:r>
    </w:p>
    <w:p w:rsidR="00B31AA4" w:rsidRPr="00D948FA" w:rsidRDefault="00B31AA4" w:rsidP="00D948FA">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rsidRPr="00D948FA">
        <w:t>Como objetivo, se fija, dentro de criterios de austeridad, apostar por la reactivación económica, la generación de empleo y los proyectos estratégicos y de garantizar todos los servicios esenciales en materia de salud, educación y políticas sociales.</w:t>
      </w:r>
    </w:p>
    <w:p w:rsidR="00B31AA4" w:rsidRPr="00D948FA" w:rsidRDefault="00B31AA4" w:rsidP="00D948FA">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rsidRPr="00D948FA">
        <w:t xml:space="preserve">La relación de créditos de ingresos y gastos ascienden a una cuantía global de 3.837,72 millones, importe que coincide con el presupuesto inicial de 2012. </w:t>
      </w:r>
    </w:p>
    <w:p w:rsidR="00B31AA4" w:rsidRPr="00D948FA" w:rsidRDefault="00B31AA4" w:rsidP="00D948FA">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rsidRPr="00D948FA">
        <w:t>Se mantiene</w:t>
      </w:r>
      <w:r w:rsidR="00BA2452">
        <w:t>n</w:t>
      </w:r>
      <w:r w:rsidRPr="00D948FA">
        <w:t xml:space="preserve"> unas necesidades de financiación del 0,7 por ciento del PIB.</w:t>
      </w:r>
    </w:p>
    <w:p w:rsidR="00B31AA4" w:rsidRPr="00D948FA" w:rsidRDefault="00B31AA4" w:rsidP="00D948FA">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rsidRPr="00D948FA">
        <w:t xml:space="preserve">El gasto no financiero previsto para 2015 es de 3.413,40 millones. </w:t>
      </w:r>
    </w:p>
    <w:p w:rsidR="00B31AA4" w:rsidRPr="00D948FA" w:rsidRDefault="00B31AA4" w:rsidP="00D948FA">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rsidRPr="00D948FA">
        <w:t xml:space="preserve">El gasto financiero </w:t>
      </w:r>
      <w:r w:rsidR="0061665A">
        <w:t>estimado asciende a</w:t>
      </w:r>
      <w:r w:rsidRPr="00D948FA">
        <w:t xml:space="preserve"> 379,40 millones.</w:t>
      </w:r>
    </w:p>
    <w:p w:rsidR="00B31AA4" w:rsidRDefault="00B31AA4" w:rsidP="00BA2452">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rsidRPr="00D948FA">
        <w:t xml:space="preserve">Se constituye un </w:t>
      </w:r>
      <w:r w:rsidR="0034780B">
        <w:t>F</w:t>
      </w:r>
      <w:r w:rsidRPr="00D948FA">
        <w:t xml:space="preserve">ondo de </w:t>
      </w:r>
      <w:r w:rsidR="0034780B">
        <w:t>P</w:t>
      </w:r>
      <w:r w:rsidRPr="00D948FA">
        <w:t>rórroga de 44,91 millones</w:t>
      </w:r>
      <w:r w:rsidR="0061665A">
        <w:t xml:space="preserve"> y un </w:t>
      </w:r>
      <w:r w:rsidR="0061665A" w:rsidRPr="00D948FA">
        <w:t>Fondo de Co</w:t>
      </w:r>
      <w:r w:rsidR="0061665A" w:rsidRPr="00D948FA">
        <w:t>n</w:t>
      </w:r>
      <w:r w:rsidR="0061665A" w:rsidRPr="00D948FA">
        <w:t>tingencia de un millón, atendiendo a los requerimientos de la LOEPySF.</w:t>
      </w:r>
    </w:p>
    <w:p w:rsidR="00E336AB" w:rsidRDefault="00736B32" w:rsidP="006C55C8">
      <w:pPr>
        <w:pStyle w:val="texto"/>
        <w:spacing w:after="120"/>
      </w:pPr>
      <w:r>
        <w:t xml:space="preserve">Al igual que se indicaba en el informe </w:t>
      </w:r>
      <w:r w:rsidR="00BA2452">
        <w:t xml:space="preserve">de las cuentas generales </w:t>
      </w:r>
      <w:r>
        <w:t xml:space="preserve">de 2014, el Fondo de Prorroga no se determinó exactamente </w:t>
      </w:r>
      <w:r w:rsidR="006A62C0">
        <w:t>de acuerdo con</w:t>
      </w:r>
      <w:r>
        <w:t xml:space="preserve"> lo regulado en </w:t>
      </w:r>
      <w:r>
        <w:lastRenderedPageBreak/>
        <w:t>el art. 37 de la Ley Foral de la Hacienda Pública</w:t>
      </w:r>
      <w:r w:rsidR="00932A3E">
        <w:rPr>
          <w:rStyle w:val="Refdenotaalpie"/>
        </w:rPr>
        <w:footnoteReference w:id="4"/>
      </w:r>
      <w:r>
        <w:t xml:space="preserve"> (LFHP) sino que se consid</w:t>
      </w:r>
      <w:r>
        <w:t>e</w:t>
      </w:r>
      <w:r>
        <w:t>r</w:t>
      </w:r>
      <w:r w:rsidR="00BA2452">
        <w:t>ar</w:t>
      </w:r>
      <w:r w:rsidR="00012A8F">
        <w:t>on</w:t>
      </w:r>
      <w:r>
        <w:t xml:space="preserve"> también las exigencias derivadas de la normativa de estabilidad pres</w:t>
      </w:r>
      <w:r>
        <w:t>u</w:t>
      </w:r>
      <w:r>
        <w:t>puestaria (LOE</w:t>
      </w:r>
      <w:r w:rsidR="00F145E4">
        <w:t>P</w:t>
      </w:r>
      <w:r>
        <w:t>ySF)</w:t>
      </w:r>
      <w:r w:rsidR="00932A3E">
        <w:t>,</w:t>
      </w:r>
      <w:r w:rsidR="00F145E4">
        <w:t xml:space="preserve"> en cumpl</w:t>
      </w:r>
      <w:r w:rsidR="00932A3E">
        <w:t>i</w:t>
      </w:r>
      <w:r w:rsidR="00F145E4">
        <w:t>miento del objetivo de déficit pactado con el Estado</w:t>
      </w:r>
      <w:r>
        <w:t>. Así, el Fondo de 44,91 millones se calculó</w:t>
      </w:r>
      <w:r w:rsidR="00E336AB">
        <w:t xml:space="preserve"> según el siguiente cuadro:</w:t>
      </w:r>
      <w:r w:rsidR="003611D3">
        <w:t xml:space="preserve"> </w:t>
      </w:r>
    </w:p>
    <w:p w:rsidR="006C55C8" w:rsidRDefault="006C55C8" w:rsidP="006C55C8">
      <w:pPr>
        <w:pStyle w:val="texto"/>
        <w:tabs>
          <w:tab w:val="clear" w:pos="2835"/>
          <w:tab w:val="clear" w:pos="3969"/>
          <w:tab w:val="left" w:pos="480"/>
          <w:tab w:val="num" w:pos="4920"/>
        </w:tabs>
        <w:spacing w:after="40"/>
        <w:jc w:val="right"/>
        <w:rPr>
          <w:rFonts w:ascii="Arial Narrow" w:hAnsi="Arial Narrow"/>
          <w:sz w:val="18"/>
          <w:szCs w:val="18"/>
          <w:lang w:val="es-ES"/>
        </w:rPr>
      </w:pPr>
      <w:r>
        <w:rPr>
          <w:rFonts w:ascii="Arial Narrow" w:hAnsi="Arial Narrow"/>
          <w:sz w:val="18"/>
          <w:szCs w:val="18"/>
          <w:lang w:val="es-ES"/>
        </w:rPr>
        <w:t>(Miles de euros)</w:t>
      </w:r>
    </w:p>
    <w:tbl>
      <w:tblPr>
        <w:tblW w:w="8757" w:type="dxa"/>
        <w:jc w:val="center"/>
        <w:tblCellMar>
          <w:left w:w="70" w:type="dxa"/>
          <w:right w:w="70" w:type="dxa"/>
        </w:tblCellMar>
        <w:tblLook w:val="04A0" w:firstRow="1" w:lastRow="0" w:firstColumn="1" w:lastColumn="0" w:noHBand="0" w:noVBand="1"/>
      </w:tblPr>
      <w:tblGrid>
        <w:gridCol w:w="6172"/>
        <w:gridCol w:w="1276"/>
        <w:gridCol w:w="1309"/>
      </w:tblGrid>
      <w:tr w:rsidR="004C5BE7" w:rsidRPr="00A47D18" w:rsidTr="006C55C8">
        <w:trPr>
          <w:trHeight w:val="284"/>
          <w:jc w:val="center"/>
        </w:trPr>
        <w:tc>
          <w:tcPr>
            <w:tcW w:w="6172" w:type="dxa"/>
            <w:tcBorders>
              <w:top w:val="single" w:sz="4" w:space="0" w:color="auto"/>
              <w:bottom w:val="single" w:sz="4" w:space="0" w:color="auto"/>
            </w:tcBorders>
            <w:shd w:val="clear" w:color="auto" w:fill="A8CBEE" w:themeFill="accent2" w:themeFillTint="66"/>
            <w:vAlign w:val="center"/>
            <w:hideMark/>
          </w:tcPr>
          <w:p w:rsidR="004C5BE7" w:rsidRPr="00A47D18" w:rsidRDefault="004C5BE7" w:rsidP="00A47D18">
            <w:pPr>
              <w:spacing w:after="0"/>
              <w:ind w:left="50" w:firstLine="0"/>
              <w:jc w:val="left"/>
              <w:rPr>
                <w:rFonts w:ascii="Arial" w:hAnsi="Arial" w:cs="Arial"/>
                <w:bCs/>
                <w:color w:val="000000"/>
                <w:sz w:val="18"/>
                <w:szCs w:val="18"/>
                <w:lang w:val="es-ES" w:eastAsia="es-ES"/>
              </w:rPr>
            </w:pPr>
            <w:r w:rsidRPr="00A47D18">
              <w:rPr>
                <w:rFonts w:ascii="Arial" w:hAnsi="Arial" w:cs="Arial"/>
                <w:bCs/>
                <w:color w:val="000000"/>
                <w:sz w:val="18"/>
                <w:szCs w:val="18"/>
                <w:lang w:val="es-ES" w:eastAsia="es-ES"/>
              </w:rPr>
              <w:t xml:space="preserve">Fondo Prórroga total </w:t>
            </w:r>
          </w:p>
        </w:tc>
        <w:tc>
          <w:tcPr>
            <w:tcW w:w="1276" w:type="dxa"/>
            <w:tcBorders>
              <w:top w:val="single" w:sz="4" w:space="0" w:color="auto"/>
              <w:bottom w:val="single" w:sz="4" w:space="0" w:color="auto"/>
            </w:tcBorders>
            <w:shd w:val="clear" w:color="auto" w:fill="A8CBEE" w:themeFill="accent2" w:themeFillTint="66"/>
            <w:vAlign w:val="center"/>
            <w:hideMark/>
          </w:tcPr>
          <w:p w:rsidR="004C5BE7" w:rsidRPr="00A47D18" w:rsidRDefault="004C5BE7" w:rsidP="00A47D18">
            <w:pPr>
              <w:spacing w:after="0"/>
              <w:ind w:left="50" w:firstLine="0"/>
              <w:jc w:val="left"/>
              <w:rPr>
                <w:rFonts w:ascii="Arial" w:hAnsi="Arial" w:cs="Arial"/>
                <w:bCs/>
                <w:color w:val="000000"/>
                <w:sz w:val="18"/>
                <w:szCs w:val="18"/>
                <w:lang w:val="es-ES" w:eastAsia="es-ES"/>
              </w:rPr>
            </w:pPr>
          </w:p>
        </w:tc>
        <w:tc>
          <w:tcPr>
            <w:tcW w:w="1309" w:type="dxa"/>
            <w:tcBorders>
              <w:top w:val="single" w:sz="4" w:space="0" w:color="auto"/>
              <w:bottom w:val="single" w:sz="4" w:space="0" w:color="auto"/>
            </w:tcBorders>
            <w:shd w:val="clear" w:color="auto" w:fill="A8CBEE" w:themeFill="accent2" w:themeFillTint="66"/>
            <w:vAlign w:val="center"/>
          </w:tcPr>
          <w:p w:rsidR="004C5BE7" w:rsidRPr="00A47D18" w:rsidRDefault="00E770AE" w:rsidP="00A47D18">
            <w:pPr>
              <w:spacing w:after="0"/>
              <w:ind w:left="50" w:firstLine="0"/>
              <w:jc w:val="right"/>
              <w:rPr>
                <w:rFonts w:ascii="Arial" w:hAnsi="Arial" w:cs="Arial"/>
                <w:bCs/>
                <w:color w:val="000000"/>
                <w:sz w:val="18"/>
                <w:szCs w:val="18"/>
                <w:lang w:val="es-ES" w:eastAsia="es-ES"/>
              </w:rPr>
            </w:pPr>
            <w:r w:rsidRPr="00A47D18">
              <w:rPr>
                <w:rFonts w:ascii="Arial" w:hAnsi="Arial" w:cs="Arial"/>
                <w:bCs/>
                <w:color w:val="000000"/>
                <w:sz w:val="18"/>
                <w:szCs w:val="18"/>
                <w:lang w:val="es-ES" w:eastAsia="es-ES"/>
              </w:rPr>
              <w:t>Fondo</w:t>
            </w:r>
          </w:p>
        </w:tc>
      </w:tr>
      <w:tr w:rsidR="00E770AE" w:rsidRPr="00657A5A" w:rsidTr="006C55C8">
        <w:trPr>
          <w:trHeight w:val="284"/>
          <w:jc w:val="center"/>
        </w:trPr>
        <w:tc>
          <w:tcPr>
            <w:tcW w:w="6172" w:type="dxa"/>
            <w:tcBorders>
              <w:top w:val="single" w:sz="4" w:space="0" w:color="auto"/>
              <w:bottom w:val="single" w:sz="2" w:space="0" w:color="auto"/>
            </w:tcBorders>
            <w:vAlign w:val="center"/>
          </w:tcPr>
          <w:p w:rsidR="00E770AE" w:rsidRPr="00657A5A" w:rsidRDefault="00E770AE" w:rsidP="00A47D18">
            <w:pPr>
              <w:spacing w:after="0"/>
              <w:ind w:left="50" w:firstLine="0"/>
              <w:jc w:val="left"/>
              <w:rPr>
                <w:rFonts w:ascii="Arial Narrow" w:hAnsi="Arial Narrow" w:cs="Arial"/>
                <w:lang w:val="es-ES" w:eastAsia="es-ES"/>
              </w:rPr>
            </w:pPr>
            <w:r w:rsidRPr="00E336AB">
              <w:rPr>
                <w:rFonts w:ascii="Arial Narrow" w:hAnsi="Arial Narrow" w:cs="Arial"/>
                <w:lang w:val="es-ES" w:eastAsia="es-ES"/>
              </w:rPr>
              <w:t>Proyecto Presupuesto Ingresos 2015</w:t>
            </w:r>
            <w:r w:rsidRPr="00A47D18">
              <w:rPr>
                <w:rFonts w:ascii="Arial Narrow" w:hAnsi="Arial Narrow" w:cs="Arial"/>
                <w:vertAlign w:val="superscript"/>
                <w:lang w:val="es-ES" w:eastAsia="es-ES"/>
              </w:rPr>
              <w:t xml:space="preserve"> (1)</w:t>
            </w:r>
          </w:p>
        </w:tc>
        <w:tc>
          <w:tcPr>
            <w:tcW w:w="1276" w:type="dxa"/>
            <w:tcBorders>
              <w:top w:val="single" w:sz="4" w:space="0" w:color="auto"/>
              <w:bottom w:val="single" w:sz="2" w:space="0" w:color="auto"/>
            </w:tcBorders>
            <w:vAlign w:val="center"/>
          </w:tcPr>
          <w:p w:rsidR="00E770AE" w:rsidRPr="00657A5A" w:rsidRDefault="00E770AE" w:rsidP="00E770AE">
            <w:pPr>
              <w:spacing w:after="0"/>
              <w:ind w:firstLine="0"/>
              <w:jc w:val="right"/>
              <w:rPr>
                <w:rFonts w:ascii="Arial Narrow" w:hAnsi="Arial Narrow" w:cs="Arial"/>
                <w:lang w:val="es-ES" w:eastAsia="es-ES"/>
              </w:rPr>
            </w:pPr>
            <w:r>
              <w:rPr>
                <w:rFonts w:ascii="Arial Narrow" w:hAnsi="Arial Narrow" w:cs="Arial"/>
                <w:lang w:val="es-ES" w:eastAsia="es-ES"/>
              </w:rPr>
              <w:t>3.797.258</w:t>
            </w:r>
          </w:p>
        </w:tc>
        <w:tc>
          <w:tcPr>
            <w:tcW w:w="1309" w:type="dxa"/>
            <w:tcBorders>
              <w:top w:val="single" w:sz="4" w:space="0" w:color="auto"/>
              <w:bottom w:val="single" w:sz="2" w:space="0" w:color="auto"/>
            </w:tcBorders>
            <w:vAlign w:val="center"/>
          </w:tcPr>
          <w:p w:rsidR="00E770AE" w:rsidRDefault="00E770AE" w:rsidP="00E336AB">
            <w:pPr>
              <w:spacing w:after="0"/>
              <w:ind w:firstLine="0"/>
              <w:jc w:val="right"/>
              <w:rPr>
                <w:rFonts w:ascii="Arial Narrow" w:hAnsi="Arial Narrow" w:cs="Arial"/>
                <w:lang w:val="es-ES" w:eastAsia="es-ES"/>
              </w:rPr>
            </w:pPr>
          </w:p>
        </w:tc>
      </w:tr>
      <w:tr w:rsidR="00E770AE" w:rsidRPr="00657A5A" w:rsidTr="006C55C8">
        <w:trPr>
          <w:trHeight w:val="284"/>
          <w:jc w:val="center"/>
        </w:trPr>
        <w:tc>
          <w:tcPr>
            <w:tcW w:w="6172" w:type="dxa"/>
            <w:tcBorders>
              <w:top w:val="single" w:sz="2" w:space="0" w:color="auto"/>
              <w:bottom w:val="single" w:sz="2" w:space="0" w:color="auto"/>
            </w:tcBorders>
            <w:vAlign w:val="center"/>
          </w:tcPr>
          <w:p w:rsidR="00E770AE" w:rsidRPr="00E336AB" w:rsidRDefault="00E770AE" w:rsidP="00A47D18">
            <w:pPr>
              <w:spacing w:after="0"/>
              <w:ind w:left="50" w:firstLine="0"/>
              <w:jc w:val="left"/>
              <w:rPr>
                <w:rFonts w:ascii="Arial Narrow" w:hAnsi="Arial Narrow" w:cs="Arial"/>
                <w:lang w:val="es-ES" w:eastAsia="es-ES"/>
              </w:rPr>
            </w:pPr>
            <w:r w:rsidRPr="00E336AB">
              <w:rPr>
                <w:rFonts w:ascii="Arial Narrow" w:hAnsi="Arial Narrow" w:cs="Arial"/>
                <w:lang w:val="es-ES" w:eastAsia="es-ES"/>
              </w:rPr>
              <w:t>Presupuesto de Gastos 2012 prorrogado</w:t>
            </w:r>
            <w:r>
              <w:rPr>
                <w:rFonts w:ascii="Arial Narrow" w:hAnsi="Arial Narrow" w:cs="Arial"/>
                <w:lang w:val="es-ES" w:eastAsia="es-ES"/>
              </w:rPr>
              <w:t xml:space="preserve"> para 2015</w:t>
            </w:r>
          </w:p>
        </w:tc>
        <w:tc>
          <w:tcPr>
            <w:tcW w:w="1276" w:type="dxa"/>
            <w:tcBorders>
              <w:top w:val="single" w:sz="2" w:space="0" w:color="auto"/>
              <w:bottom w:val="single" w:sz="2" w:space="0" w:color="auto"/>
            </w:tcBorders>
            <w:vAlign w:val="center"/>
          </w:tcPr>
          <w:p w:rsidR="00E770AE" w:rsidRDefault="00E770AE" w:rsidP="00E336AB">
            <w:pPr>
              <w:spacing w:after="0"/>
              <w:ind w:firstLine="0"/>
              <w:jc w:val="right"/>
              <w:rPr>
                <w:rFonts w:ascii="Arial Narrow" w:hAnsi="Arial Narrow" w:cs="Arial"/>
                <w:lang w:val="es-ES" w:eastAsia="es-ES"/>
              </w:rPr>
            </w:pPr>
            <w:r>
              <w:rPr>
                <w:rFonts w:ascii="Arial Narrow" w:hAnsi="Arial Narrow" w:cs="Arial"/>
                <w:lang w:val="es-ES" w:eastAsia="es-ES"/>
              </w:rPr>
              <w:t>3.837.717</w:t>
            </w:r>
          </w:p>
        </w:tc>
        <w:tc>
          <w:tcPr>
            <w:tcW w:w="1309" w:type="dxa"/>
            <w:tcBorders>
              <w:top w:val="single" w:sz="2" w:space="0" w:color="auto"/>
              <w:bottom w:val="single" w:sz="2" w:space="0" w:color="auto"/>
            </w:tcBorders>
            <w:vAlign w:val="center"/>
          </w:tcPr>
          <w:p w:rsidR="00E770AE" w:rsidRDefault="00E770AE" w:rsidP="00E336AB">
            <w:pPr>
              <w:spacing w:after="0"/>
              <w:ind w:firstLine="0"/>
              <w:jc w:val="right"/>
              <w:rPr>
                <w:rFonts w:ascii="Arial Narrow" w:hAnsi="Arial Narrow" w:cs="Arial"/>
                <w:lang w:val="es-ES" w:eastAsia="es-ES"/>
              </w:rPr>
            </w:pPr>
          </w:p>
        </w:tc>
      </w:tr>
      <w:tr w:rsidR="00E770AE" w:rsidRPr="00657A5A" w:rsidTr="006C55C8">
        <w:trPr>
          <w:trHeight w:val="284"/>
          <w:jc w:val="center"/>
        </w:trPr>
        <w:tc>
          <w:tcPr>
            <w:tcW w:w="6172" w:type="dxa"/>
            <w:tcBorders>
              <w:top w:val="single" w:sz="2" w:space="0" w:color="auto"/>
              <w:bottom w:val="single" w:sz="2" w:space="0" w:color="auto"/>
            </w:tcBorders>
            <w:vAlign w:val="center"/>
          </w:tcPr>
          <w:p w:rsidR="00E770AE" w:rsidRPr="00657A5A" w:rsidRDefault="00E770AE" w:rsidP="00A47D18">
            <w:pPr>
              <w:spacing w:after="0"/>
              <w:ind w:left="50" w:firstLine="0"/>
              <w:jc w:val="left"/>
              <w:rPr>
                <w:rFonts w:ascii="Arial Narrow" w:hAnsi="Arial Narrow" w:cs="Arial"/>
                <w:lang w:val="es-ES" w:eastAsia="es-ES"/>
              </w:rPr>
            </w:pPr>
            <w:r>
              <w:rPr>
                <w:rFonts w:ascii="Arial Narrow" w:hAnsi="Arial Narrow" w:cs="Arial"/>
                <w:lang w:val="es-ES" w:eastAsia="es-ES"/>
              </w:rPr>
              <w:t xml:space="preserve">Diferencia Ingresos 2015 sobre 2012 </w:t>
            </w:r>
            <w:r w:rsidRPr="00A47D18">
              <w:rPr>
                <w:rFonts w:ascii="Arial Narrow" w:hAnsi="Arial Narrow" w:cs="Arial"/>
                <w:vertAlign w:val="superscript"/>
                <w:lang w:val="es-ES" w:eastAsia="es-ES"/>
              </w:rPr>
              <w:t xml:space="preserve">(2) </w:t>
            </w:r>
            <w:r>
              <w:rPr>
                <w:rFonts w:ascii="Arial Narrow" w:hAnsi="Arial Narrow" w:cs="Arial"/>
                <w:lang w:val="es-ES" w:eastAsia="es-ES"/>
              </w:rPr>
              <w:t>según</w:t>
            </w:r>
            <w:r w:rsidR="00A47D18">
              <w:rPr>
                <w:rFonts w:ascii="Arial Narrow" w:hAnsi="Arial Narrow" w:cs="Arial"/>
                <w:lang w:val="es-ES" w:eastAsia="es-ES"/>
              </w:rPr>
              <w:t xml:space="preserve"> </w:t>
            </w:r>
            <w:r>
              <w:rPr>
                <w:rFonts w:ascii="Arial Narrow" w:hAnsi="Arial Narrow" w:cs="Arial"/>
                <w:lang w:val="es-ES" w:eastAsia="es-ES"/>
              </w:rPr>
              <w:t>LOEP</w:t>
            </w:r>
            <w:r w:rsidR="00A47D18">
              <w:rPr>
                <w:rFonts w:ascii="Arial Narrow" w:hAnsi="Arial Narrow" w:cs="Arial"/>
                <w:lang w:val="es-ES" w:eastAsia="es-ES"/>
              </w:rPr>
              <w:t xml:space="preserve"> </w:t>
            </w:r>
            <w:r>
              <w:rPr>
                <w:rFonts w:ascii="Arial Narrow" w:hAnsi="Arial Narrow" w:cs="Arial"/>
                <w:lang w:val="es-ES" w:eastAsia="es-ES"/>
              </w:rPr>
              <w:t>y</w:t>
            </w:r>
            <w:r w:rsidR="00A47D18">
              <w:rPr>
                <w:rFonts w:ascii="Arial Narrow" w:hAnsi="Arial Narrow" w:cs="Arial"/>
                <w:lang w:val="es-ES" w:eastAsia="es-ES"/>
              </w:rPr>
              <w:t xml:space="preserve"> </w:t>
            </w:r>
            <w:r>
              <w:rPr>
                <w:rFonts w:ascii="Arial Narrow" w:hAnsi="Arial Narrow" w:cs="Arial"/>
                <w:lang w:val="es-ES" w:eastAsia="es-ES"/>
              </w:rPr>
              <w:t>SF</w:t>
            </w:r>
          </w:p>
        </w:tc>
        <w:tc>
          <w:tcPr>
            <w:tcW w:w="1276" w:type="dxa"/>
            <w:tcBorders>
              <w:top w:val="single" w:sz="2" w:space="0" w:color="auto"/>
              <w:bottom w:val="single" w:sz="2" w:space="0" w:color="auto"/>
            </w:tcBorders>
            <w:vAlign w:val="center"/>
          </w:tcPr>
          <w:p w:rsidR="00E770AE" w:rsidRPr="00657A5A" w:rsidRDefault="00E770AE" w:rsidP="00E336AB">
            <w:pPr>
              <w:spacing w:after="0"/>
              <w:ind w:firstLine="0"/>
              <w:jc w:val="right"/>
              <w:rPr>
                <w:rFonts w:ascii="Arial Narrow" w:hAnsi="Arial Narrow" w:cs="Arial"/>
                <w:lang w:val="es-ES" w:eastAsia="es-ES"/>
              </w:rPr>
            </w:pPr>
          </w:p>
        </w:tc>
        <w:tc>
          <w:tcPr>
            <w:tcW w:w="1309" w:type="dxa"/>
            <w:tcBorders>
              <w:top w:val="single" w:sz="2" w:space="0" w:color="auto"/>
              <w:bottom w:val="single" w:sz="2" w:space="0" w:color="auto"/>
            </w:tcBorders>
            <w:vAlign w:val="center"/>
          </w:tcPr>
          <w:p w:rsidR="00E770AE" w:rsidRPr="00657A5A" w:rsidRDefault="00E770AE" w:rsidP="00022B43">
            <w:pPr>
              <w:spacing w:after="0"/>
              <w:ind w:firstLine="0"/>
              <w:jc w:val="right"/>
              <w:rPr>
                <w:rFonts w:ascii="Arial Narrow" w:hAnsi="Arial Narrow" w:cs="Arial"/>
                <w:lang w:val="es-ES" w:eastAsia="es-ES"/>
              </w:rPr>
            </w:pPr>
            <w:r>
              <w:rPr>
                <w:rFonts w:ascii="Arial Narrow" w:hAnsi="Arial Narrow" w:cs="Arial"/>
                <w:lang w:val="es-ES" w:eastAsia="es-ES"/>
              </w:rPr>
              <w:t>40.458</w:t>
            </w:r>
          </w:p>
        </w:tc>
      </w:tr>
      <w:tr w:rsidR="00E770AE" w:rsidRPr="00657A5A" w:rsidTr="006C55C8">
        <w:trPr>
          <w:trHeight w:val="284"/>
          <w:jc w:val="center"/>
        </w:trPr>
        <w:tc>
          <w:tcPr>
            <w:tcW w:w="6172" w:type="dxa"/>
            <w:tcBorders>
              <w:top w:val="single" w:sz="2" w:space="0" w:color="auto"/>
              <w:bottom w:val="single" w:sz="4" w:space="0" w:color="auto"/>
            </w:tcBorders>
            <w:vAlign w:val="center"/>
          </w:tcPr>
          <w:p w:rsidR="00E770AE" w:rsidRPr="00657A5A" w:rsidRDefault="00E770AE" w:rsidP="00A47D18">
            <w:pPr>
              <w:spacing w:after="0"/>
              <w:ind w:left="50" w:firstLine="0"/>
              <w:jc w:val="left"/>
              <w:rPr>
                <w:rFonts w:ascii="Arial Narrow" w:hAnsi="Arial Narrow" w:cs="Arial"/>
                <w:lang w:val="es-ES" w:eastAsia="es-ES"/>
              </w:rPr>
            </w:pPr>
            <w:r w:rsidRPr="00E336AB">
              <w:rPr>
                <w:rFonts w:ascii="Arial Narrow" w:hAnsi="Arial Narrow" w:cs="Arial"/>
                <w:lang w:val="es-ES" w:eastAsia="es-ES"/>
              </w:rPr>
              <w:t>Fondo prórroga</w:t>
            </w:r>
            <w:r>
              <w:rPr>
                <w:rFonts w:ascii="Arial Narrow" w:hAnsi="Arial Narrow" w:cs="Arial"/>
                <w:lang w:val="es-ES" w:eastAsia="es-ES"/>
              </w:rPr>
              <w:t xml:space="preserve"> según </w:t>
            </w:r>
            <w:r w:rsidRPr="00E336AB">
              <w:rPr>
                <w:rFonts w:ascii="Arial Narrow" w:hAnsi="Arial Narrow" w:cs="Arial"/>
                <w:lang w:val="es-ES" w:eastAsia="es-ES"/>
              </w:rPr>
              <w:t>LFHPN art. 37</w:t>
            </w:r>
          </w:p>
        </w:tc>
        <w:tc>
          <w:tcPr>
            <w:tcW w:w="1276" w:type="dxa"/>
            <w:tcBorders>
              <w:top w:val="single" w:sz="2" w:space="0" w:color="auto"/>
              <w:bottom w:val="single" w:sz="4" w:space="0" w:color="auto"/>
            </w:tcBorders>
            <w:vAlign w:val="center"/>
          </w:tcPr>
          <w:p w:rsidR="00E770AE" w:rsidRPr="00657A5A" w:rsidRDefault="00E770AE" w:rsidP="00E336AB">
            <w:pPr>
              <w:spacing w:after="0"/>
              <w:ind w:firstLine="0"/>
              <w:jc w:val="right"/>
              <w:rPr>
                <w:rFonts w:ascii="Arial Narrow" w:hAnsi="Arial Narrow" w:cs="Arial"/>
                <w:lang w:val="es-ES" w:eastAsia="es-ES"/>
              </w:rPr>
            </w:pPr>
          </w:p>
        </w:tc>
        <w:tc>
          <w:tcPr>
            <w:tcW w:w="1309" w:type="dxa"/>
            <w:tcBorders>
              <w:top w:val="single" w:sz="2" w:space="0" w:color="auto"/>
              <w:bottom w:val="single" w:sz="4" w:space="0" w:color="auto"/>
            </w:tcBorders>
            <w:vAlign w:val="center"/>
          </w:tcPr>
          <w:p w:rsidR="00E770AE" w:rsidRPr="00657A5A" w:rsidRDefault="00E770AE" w:rsidP="00022B43">
            <w:pPr>
              <w:spacing w:after="0"/>
              <w:ind w:firstLine="0"/>
              <w:jc w:val="right"/>
              <w:rPr>
                <w:rFonts w:ascii="Arial Narrow" w:hAnsi="Arial Narrow" w:cs="Arial"/>
                <w:lang w:val="es-ES" w:eastAsia="es-ES"/>
              </w:rPr>
            </w:pPr>
            <w:r>
              <w:rPr>
                <w:rFonts w:ascii="Arial Narrow" w:hAnsi="Arial Narrow" w:cs="Arial"/>
                <w:lang w:val="es-ES" w:eastAsia="es-ES"/>
              </w:rPr>
              <w:t>4.450</w:t>
            </w:r>
          </w:p>
        </w:tc>
      </w:tr>
      <w:tr w:rsidR="00E770AE" w:rsidRPr="00A47D18" w:rsidTr="006C55C8">
        <w:trPr>
          <w:trHeight w:val="284"/>
          <w:jc w:val="center"/>
        </w:trPr>
        <w:tc>
          <w:tcPr>
            <w:tcW w:w="6172" w:type="dxa"/>
            <w:tcBorders>
              <w:top w:val="single" w:sz="4" w:space="0" w:color="auto"/>
              <w:bottom w:val="single" w:sz="4" w:space="0" w:color="auto"/>
            </w:tcBorders>
            <w:shd w:val="clear" w:color="auto" w:fill="A8CBEE" w:themeFill="accent2" w:themeFillTint="66"/>
            <w:vAlign w:val="center"/>
            <w:hideMark/>
          </w:tcPr>
          <w:p w:rsidR="00E770AE" w:rsidRPr="00A47D18" w:rsidRDefault="00E770AE" w:rsidP="00A47D18">
            <w:pPr>
              <w:spacing w:after="0"/>
              <w:ind w:left="50" w:firstLine="0"/>
              <w:jc w:val="left"/>
              <w:rPr>
                <w:rFonts w:ascii="Arial" w:hAnsi="Arial" w:cs="Arial"/>
                <w:bCs/>
                <w:color w:val="000000"/>
                <w:sz w:val="18"/>
                <w:szCs w:val="18"/>
                <w:lang w:val="es-ES" w:eastAsia="es-ES"/>
              </w:rPr>
            </w:pPr>
            <w:r w:rsidRPr="00A47D18">
              <w:rPr>
                <w:rFonts w:ascii="Arial" w:hAnsi="Arial" w:cs="Arial"/>
                <w:bCs/>
                <w:color w:val="000000"/>
                <w:sz w:val="18"/>
                <w:szCs w:val="18"/>
                <w:lang w:val="es-ES" w:eastAsia="es-ES"/>
              </w:rPr>
              <w:t>Total Fondo Prórroga</w:t>
            </w:r>
          </w:p>
        </w:tc>
        <w:tc>
          <w:tcPr>
            <w:tcW w:w="1276" w:type="dxa"/>
            <w:tcBorders>
              <w:top w:val="single" w:sz="4" w:space="0" w:color="auto"/>
              <w:bottom w:val="single" w:sz="4" w:space="0" w:color="auto"/>
            </w:tcBorders>
            <w:shd w:val="clear" w:color="auto" w:fill="A8CBEE" w:themeFill="accent2" w:themeFillTint="66"/>
            <w:noWrap/>
            <w:vAlign w:val="center"/>
          </w:tcPr>
          <w:p w:rsidR="00E770AE" w:rsidRPr="00A47D18" w:rsidRDefault="00E770AE" w:rsidP="00E336AB">
            <w:pPr>
              <w:spacing w:after="0"/>
              <w:ind w:left="50" w:firstLine="0"/>
              <w:jc w:val="right"/>
              <w:rPr>
                <w:rFonts w:ascii="Arial" w:hAnsi="Arial" w:cs="Arial"/>
                <w:bCs/>
                <w:color w:val="000000"/>
                <w:sz w:val="18"/>
                <w:szCs w:val="18"/>
                <w:lang w:val="es-ES" w:eastAsia="es-ES"/>
              </w:rPr>
            </w:pPr>
          </w:p>
        </w:tc>
        <w:tc>
          <w:tcPr>
            <w:tcW w:w="1309" w:type="dxa"/>
            <w:tcBorders>
              <w:top w:val="single" w:sz="4" w:space="0" w:color="auto"/>
              <w:bottom w:val="single" w:sz="4" w:space="0" w:color="auto"/>
            </w:tcBorders>
            <w:shd w:val="clear" w:color="auto" w:fill="A8CBEE" w:themeFill="accent2" w:themeFillTint="66"/>
            <w:vAlign w:val="center"/>
          </w:tcPr>
          <w:p w:rsidR="00E770AE" w:rsidRPr="00A47D18" w:rsidRDefault="00E770AE" w:rsidP="00022B43">
            <w:pPr>
              <w:spacing w:after="0"/>
              <w:ind w:left="50" w:firstLine="0"/>
              <w:jc w:val="right"/>
              <w:rPr>
                <w:rFonts w:ascii="Arial" w:hAnsi="Arial" w:cs="Arial"/>
                <w:bCs/>
                <w:color w:val="000000"/>
                <w:sz w:val="18"/>
                <w:szCs w:val="18"/>
                <w:lang w:val="es-ES" w:eastAsia="es-ES"/>
              </w:rPr>
            </w:pPr>
            <w:r w:rsidRPr="00A47D18">
              <w:rPr>
                <w:rFonts w:ascii="Arial" w:hAnsi="Arial" w:cs="Arial"/>
                <w:bCs/>
                <w:color w:val="000000"/>
                <w:sz w:val="18"/>
                <w:szCs w:val="18"/>
                <w:lang w:val="es-ES" w:eastAsia="es-ES"/>
              </w:rPr>
              <w:t>44.908</w:t>
            </w:r>
          </w:p>
        </w:tc>
      </w:tr>
    </w:tbl>
    <w:p w:rsidR="00E336AB" w:rsidRPr="00D14FF4" w:rsidRDefault="00A47D18" w:rsidP="00A47D18">
      <w:pPr>
        <w:spacing w:before="60" w:after="60"/>
        <w:ind w:firstLine="0"/>
        <w:rPr>
          <w:rFonts w:ascii="Arial Narrow" w:hAnsi="Arial Narrow" w:cs="Arial"/>
          <w:sz w:val="18"/>
          <w:szCs w:val="18"/>
        </w:rPr>
      </w:pPr>
      <w:r w:rsidRPr="00D14FF4">
        <w:rPr>
          <w:rFonts w:ascii="Arial Narrow" w:hAnsi="Arial Narrow" w:cs="Arial"/>
          <w:sz w:val="18"/>
          <w:szCs w:val="18"/>
          <w:vertAlign w:val="superscript"/>
        </w:rPr>
        <w:t>(1)</w:t>
      </w:r>
      <w:r w:rsidRPr="00D14FF4">
        <w:rPr>
          <w:rFonts w:ascii="Arial Narrow" w:hAnsi="Arial Narrow" w:cs="Arial"/>
          <w:sz w:val="18"/>
          <w:szCs w:val="18"/>
        </w:rPr>
        <w:t xml:space="preserve"> </w:t>
      </w:r>
      <w:r w:rsidR="004C5BE7" w:rsidRPr="00D14FF4">
        <w:rPr>
          <w:rFonts w:ascii="Arial Narrow" w:hAnsi="Arial Narrow" w:cs="Arial"/>
          <w:sz w:val="18"/>
          <w:szCs w:val="18"/>
        </w:rPr>
        <w:t>Incluye el objetivo de déficit del 0,7 por ciento del PIB.</w:t>
      </w:r>
    </w:p>
    <w:p w:rsidR="00E336AB" w:rsidRPr="00D14FF4" w:rsidRDefault="00A47D18" w:rsidP="00A47D18">
      <w:pPr>
        <w:spacing w:before="60" w:after="60"/>
        <w:ind w:firstLine="0"/>
        <w:rPr>
          <w:rFonts w:ascii="Arial Narrow" w:hAnsi="Arial Narrow" w:cs="Arial"/>
          <w:sz w:val="18"/>
          <w:szCs w:val="18"/>
        </w:rPr>
      </w:pPr>
      <w:r w:rsidRPr="00D14FF4">
        <w:rPr>
          <w:rFonts w:ascii="Arial Narrow" w:hAnsi="Arial Narrow" w:cs="Arial"/>
          <w:sz w:val="18"/>
          <w:szCs w:val="18"/>
          <w:vertAlign w:val="superscript"/>
        </w:rPr>
        <w:t>(2)</w:t>
      </w:r>
      <w:r w:rsidRPr="00D14FF4">
        <w:rPr>
          <w:rFonts w:ascii="Arial Narrow" w:hAnsi="Arial Narrow" w:cs="Arial"/>
          <w:sz w:val="18"/>
          <w:szCs w:val="18"/>
        </w:rPr>
        <w:t xml:space="preserve"> </w:t>
      </w:r>
      <w:r w:rsidR="00EC0880" w:rsidRPr="00D14FF4">
        <w:rPr>
          <w:rFonts w:ascii="Arial Narrow" w:hAnsi="Arial Narrow" w:cs="Arial"/>
          <w:sz w:val="18"/>
          <w:szCs w:val="18"/>
        </w:rPr>
        <w:t>Necesidad de ingresos en el</w:t>
      </w:r>
      <w:r w:rsidR="004C5BE7" w:rsidRPr="00D14FF4">
        <w:rPr>
          <w:rFonts w:ascii="Arial Narrow" w:hAnsi="Arial Narrow" w:cs="Arial"/>
          <w:sz w:val="18"/>
          <w:szCs w:val="18"/>
        </w:rPr>
        <w:t xml:space="preserve"> </w:t>
      </w:r>
      <w:r w:rsidR="00B10FC2" w:rsidRPr="00D14FF4">
        <w:rPr>
          <w:rFonts w:ascii="Arial Narrow" w:hAnsi="Arial Narrow" w:cs="Arial"/>
          <w:sz w:val="18"/>
          <w:szCs w:val="18"/>
        </w:rPr>
        <w:t>p</w:t>
      </w:r>
      <w:r w:rsidR="00C9023B">
        <w:rPr>
          <w:rFonts w:ascii="Arial Narrow" w:hAnsi="Arial Narrow" w:cs="Arial"/>
          <w:sz w:val="18"/>
          <w:szCs w:val="18"/>
        </w:rPr>
        <w:t>resupuesto</w:t>
      </w:r>
      <w:r w:rsidR="004C5BE7" w:rsidRPr="00D14FF4">
        <w:rPr>
          <w:rFonts w:ascii="Arial Narrow" w:hAnsi="Arial Narrow" w:cs="Arial"/>
          <w:sz w:val="18"/>
          <w:szCs w:val="18"/>
        </w:rPr>
        <w:t xml:space="preserve"> </w:t>
      </w:r>
      <w:r w:rsidR="00D14FF4">
        <w:rPr>
          <w:rFonts w:ascii="Arial Narrow" w:hAnsi="Arial Narrow" w:cs="Arial"/>
          <w:sz w:val="18"/>
          <w:szCs w:val="18"/>
        </w:rPr>
        <w:t>p</w:t>
      </w:r>
      <w:r w:rsidR="00D14FF4" w:rsidRPr="00D14FF4">
        <w:rPr>
          <w:rFonts w:ascii="Arial Narrow" w:hAnsi="Arial Narrow" w:cs="Arial"/>
          <w:sz w:val="18"/>
          <w:szCs w:val="18"/>
        </w:rPr>
        <w:t>rorrogado</w:t>
      </w:r>
      <w:r w:rsidR="004C5BE7" w:rsidRPr="00D14FF4">
        <w:rPr>
          <w:rFonts w:ascii="Arial Narrow" w:hAnsi="Arial Narrow" w:cs="Arial"/>
          <w:sz w:val="18"/>
          <w:szCs w:val="18"/>
        </w:rPr>
        <w:t xml:space="preserve"> de 2015 al objeto de prorrogar la cifra global de los ingresos de 2012.</w:t>
      </w:r>
    </w:p>
    <w:p w:rsidR="007369E8" w:rsidRDefault="0061665A" w:rsidP="00AD0614">
      <w:pPr>
        <w:pStyle w:val="texto"/>
        <w:spacing w:before="240"/>
        <w:rPr>
          <w:lang w:val="es-ES"/>
        </w:rPr>
      </w:pPr>
      <w:r>
        <w:t>E</w:t>
      </w:r>
      <w:r w:rsidR="007369E8" w:rsidRPr="007369E8">
        <w:rPr>
          <w:lang w:val="es-ES"/>
        </w:rPr>
        <w:t>l pres</w:t>
      </w:r>
      <w:r w:rsidR="006B1C05">
        <w:rPr>
          <w:lang w:val="es-ES"/>
        </w:rPr>
        <w:t xml:space="preserve">upuesto prorrogado de 2015 </w:t>
      </w:r>
      <w:r w:rsidR="007369E8" w:rsidRPr="007369E8">
        <w:rPr>
          <w:lang w:val="es-ES"/>
        </w:rPr>
        <w:t>incluye, entre sus par</w:t>
      </w:r>
      <w:r w:rsidR="007369E8">
        <w:rPr>
          <w:lang w:val="es-ES"/>
        </w:rPr>
        <w:t>tidas</w:t>
      </w:r>
      <w:r>
        <w:rPr>
          <w:lang w:val="es-ES"/>
        </w:rPr>
        <w:t xml:space="preserve"> de gastos</w:t>
      </w:r>
      <w:r w:rsidR="007369E8">
        <w:rPr>
          <w:lang w:val="es-ES"/>
        </w:rPr>
        <w:t xml:space="preserve">, un Fondo de Contingencia, de acuerdo con </w:t>
      </w:r>
      <w:r w:rsidR="003B699E">
        <w:rPr>
          <w:lang w:val="es-ES"/>
        </w:rPr>
        <w:t xml:space="preserve">las exigencias de la LOEPySF, </w:t>
      </w:r>
      <w:r w:rsidR="007369E8">
        <w:rPr>
          <w:lang w:val="es-ES"/>
        </w:rPr>
        <w:t>dotado con un millón de euros para hacer frente a necesidades inaplazables de carácter no discrecional que no hubieran podido preverse en los presupuestos. La reg</w:t>
      </w:r>
      <w:r w:rsidR="007369E8">
        <w:rPr>
          <w:lang w:val="es-ES"/>
        </w:rPr>
        <w:t>u</w:t>
      </w:r>
      <w:r w:rsidR="007369E8">
        <w:rPr>
          <w:lang w:val="es-ES"/>
        </w:rPr>
        <w:t>lación concreta de este Fondo se realiza a través de la Ley Foral de Presupue</w:t>
      </w:r>
      <w:r w:rsidR="007369E8">
        <w:rPr>
          <w:lang w:val="es-ES"/>
        </w:rPr>
        <w:t>s</w:t>
      </w:r>
      <w:r w:rsidR="007369E8">
        <w:rPr>
          <w:lang w:val="es-ES"/>
        </w:rPr>
        <w:t>tos de 2016, que modifica el contenido del art. 42 de la LFHP que hacía ref</w:t>
      </w:r>
      <w:r w:rsidR="007369E8">
        <w:rPr>
          <w:lang w:val="es-ES"/>
        </w:rPr>
        <w:t>e</w:t>
      </w:r>
      <w:r w:rsidR="007369E8">
        <w:rPr>
          <w:lang w:val="es-ES"/>
        </w:rPr>
        <w:t>rencia al Crédito Global.</w:t>
      </w:r>
    </w:p>
    <w:p w:rsidR="007369E8" w:rsidRDefault="00767E08" w:rsidP="005E7621">
      <w:pPr>
        <w:pStyle w:val="texto"/>
        <w:rPr>
          <w:lang w:val="es-ES"/>
        </w:rPr>
      </w:pPr>
      <w:r>
        <w:rPr>
          <w:lang w:val="es-ES"/>
        </w:rPr>
        <w:t>Tanto el Fondo de Prórroga como el de Contingencia se registran</w:t>
      </w:r>
      <w:r w:rsidR="00EC0880">
        <w:rPr>
          <w:lang w:val="es-ES"/>
        </w:rPr>
        <w:t xml:space="preserve"> </w:t>
      </w:r>
      <w:r>
        <w:rPr>
          <w:lang w:val="es-ES"/>
        </w:rPr>
        <w:t>en el est</w:t>
      </w:r>
      <w:r>
        <w:rPr>
          <w:lang w:val="es-ES"/>
        </w:rPr>
        <w:t>a</w:t>
      </w:r>
      <w:r>
        <w:rPr>
          <w:lang w:val="es-ES"/>
        </w:rPr>
        <w:t>do de gastos</w:t>
      </w:r>
      <w:r w:rsidR="00EC0880">
        <w:rPr>
          <w:lang w:val="es-ES"/>
        </w:rPr>
        <w:t xml:space="preserve"> del presupuesto prorrogado</w:t>
      </w:r>
      <w:r>
        <w:rPr>
          <w:lang w:val="es-ES"/>
        </w:rPr>
        <w:t xml:space="preserve"> dentro del capítulo 5 “Crédito Gl</w:t>
      </w:r>
      <w:r>
        <w:rPr>
          <w:lang w:val="es-ES"/>
        </w:rPr>
        <w:t>o</w:t>
      </w:r>
      <w:r>
        <w:rPr>
          <w:lang w:val="es-ES"/>
        </w:rPr>
        <w:t>bal”</w:t>
      </w:r>
      <w:r w:rsidR="00EC0880">
        <w:rPr>
          <w:lang w:val="es-ES"/>
        </w:rPr>
        <w:t>; en</w:t>
      </w:r>
      <w:r w:rsidR="00E40D9B">
        <w:rPr>
          <w:lang w:val="es-ES"/>
        </w:rPr>
        <w:t xml:space="preserve"> ingresos y dentro del</w:t>
      </w:r>
      <w:r w:rsidR="00EC0880">
        <w:rPr>
          <w:lang w:val="es-ES"/>
        </w:rPr>
        <w:t xml:space="preserve"> capítulo 8 Activos Financieros</w:t>
      </w:r>
      <w:r w:rsidR="00177FFA">
        <w:rPr>
          <w:lang w:val="es-ES"/>
        </w:rPr>
        <w:t>,</w:t>
      </w:r>
      <w:r w:rsidR="00EC0880">
        <w:rPr>
          <w:lang w:val="es-ES"/>
        </w:rPr>
        <w:t xml:space="preserve"> se imputa la dif</w:t>
      </w:r>
      <w:r w:rsidR="00EC0880">
        <w:rPr>
          <w:lang w:val="es-ES"/>
        </w:rPr>
        <w:t>e</w:t>
      </w:r>
      <w:r w:rsidR="00EC0880">
        <w:rPr>
          <w:lang w:val="es-ES"/>
        </w:rPr>
        <w:t>rencia de ingresos necesarios para prorrogar la cifra global de ingresos de 2012.</w:t>
      </w:r>
    </w:p>
    <w:p w:rsidR="00EE314C" w:rsidRPr="00144A36" w:rsidRDefault="00BA2452" w:rsidP="00012A8F">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rFonts w:ascii="Arial" w:hAnsi="Arial"/>
          <w:i/>
          <w:iCs/>
          <w:color w:val="000000"/>
          <w:spacing w:val="10"/>
          <w:kern w:val="28"/>
          <w:sz w:val="25"/>
          <w:szCs w:val="26"/>
        </w:rPr>
      </w:pPr>
      <w:r w:rsidRPr="00D948FA">
        <w:t>Se establece igualmente que el volumen de endeudamiento no podrá s</w:t>
      </w:r>
      <w:r w:rsidRPr="00D948FA">
        <w:t>u</w:t>
      </w:r>
      <w:r w:rsidRPr="00D948FA">
        <w:t>perar en más de 158,34 millones el correspondiente al saldo vivo a 1 de enero de 2015; dentro de este volumen se contempl</w:t>
      </w:r>
      <w:r>
        <w:t xml:space="preserve">an 18,68 para las obras del TAV, </w:t>
      </w:r>
      <w:r w:rsidRPr="00D948FA">
        <w:t>11,40 millones para la refinanciación de deuda de las empresas públi</w:t>
      </w:r>
      <w:r>
        <w:t>cas y 128,26 millones para financiar el déficit previsto (el 0,7 por ciento del PIB).</w:t>
      </w:r>
    </w:p>
    <w:p w:rsidR="0011458F" w:rsidRDefault="0011458F">
      <w:pPr>
        <w:spacing w:after="0"/>
        <w:ind w:firstLine="0"/>
        <w:jc w:val="left"/>
        <w:rPr>
          <w:rFonts w:ascii="Arial" w:hAnsi="Arial"/>
          <w:i/>
          <w:iCs/>
          <w:color w:val="000000"/>
          <w:spacing w:val="10"/>
          <w:kern w:val="28"/>
          <w:sz w:val="25"/>
          <w:szCs w:val="26"/>
        </w:rPr>
      </w:pPr>
      <w:r>
        <w:br w:type="page"/>
      </w:r>
    </w:p>
    <w:p w:rsidR="005406FC" w:rsidRPr="00012A8F" w:rsidRDefault="005406FC" w:rsidP="00012A8F">
      <w:pPr>
        <w:pStyle w:val="atitulo3"/>
      </w:pPr>
      <w:r w:rsidRPr="00012A8F">
        <w:lastRenderedPageBreak/>
        <w:t>Modificaciones presupuestarias</w:t>
      </w:r>
    </w:p>
    <w:p w:rsidR="00657A5A" w:rsidRDefault="005406FC" w:rsidP="0011458F">
      <w:pPr>
        <w:pStyle w:val="texto"/>
        <w:spacing w:after="0"/>
        <w:rPr>
          <w:lang w:val="es-ES"/>
        </w:rPr>
      </w:pPr>
      <w:r w:rsidRPr="0032532A">
        <w:rPr>
          <w:lang w:val="es-ES"/>
        </w:rPr>
        <w:t>Las modificaciones presupuestarias de gastos aprobadas durante el año 201</w:t>
      </w:r>
      <w:r w:rsidR="004A1F85" w:rsidRPr="0032532A">
        <w:rPr>
          <w:lang w:val="es-ES"/>
        </w:rPr>
        <w:t>5</w:t>
      </w:r>
      <w:r w:rsidR="006C55C8">
        <w:rPr>
          <w:lang w:val="es-ES"/>
        </w:rPr>
        <w:t xml:space="preserve"> </w:t>
      </w:r>
      <w:r w:rsidR="00657A5A">
        <w:rPr>
          <w:lang w:val="es-ES"/>
        </w:rPr>
        <w:t>se reflejan en el siguiente cuadro</w:t>
      </w:r>
      <w:r w:rsidR="00AD0614">
        <w:rPr>
          <w:lang w:val="es-ES"/>
        </w:rPr>
        <w:t>:</w:t>
      </w:r>
    </w:p>
    <w:p w:rsidR="006C55C8" w:rsidRDefault="006C55C8" w:rsidP="006C55C8">
      <w:pPr>
        <w:pStyle w:val="texto"/>
        <w:tabs>
          <w:tab w:val="clear" w:pos="2835"/>
          <w:tab w:val="clear" w:pos="3969"/>
          <w:tab w:val="left" w:pos="480"/>
          <w:tab w:val="num" w:pos="4920"/>
        </w:tabs>
        <w:spacing w:after="40"/>
        <w:jc w:val="right"/>
        <w:rPr>
          <w:rFonts w:ascii="Arial Narrow" w:hAnsi="Arial Narrow"/>
          <w:sz w:val="18"/>
          <w:szCs w:val="18"/>
          <w:lang w:val="es-ES"/>
        </w:rPr>
      </w:pPr>
      <w:r>
        <w:rPr>
          <w:rFonts w:ascii="Arial Narrow" w:hAnsi="Arial Narrow"/>
          <w:sz w:val="18"/>
          <w:szCs w:val="18"/>
          <w:lang w:val="es-ES"/>
        </w:rPr>
        <w:t>Miles de euros)</w:t>
      </w:r>
    </w:p>
    <w:tbl>
      <w:tblPr>
        <w:tblW w:w="8744" w:type="dxa"/>
        <w:jc w:val="center"/>
        <w:tblBorders>
          <w:top w:val="single" w:sz="8" w:space="0" w:color="auto"/>
          <w:bottom w:val="single" w:sz="8" w:space="0" w:color="auto"/>
          <w:insideH w:val="single" w:sz="4" w:space="0" w:color="auto"/>
        </w:tblBorders>
        <w:tblCellMar>
          <w:left w:w="70" w:type="dxa"/>
          <w:right w:w="70" w:type="dxa"/>
        </w:tblCellMar>
        <w:tblLook w:val="04A0" w:firstRow="1" w:lastRow="0" w:firstColumn="1" w:lastColumn="0" w:noHBand="0" w:noVBand="1"/>
      </w:tblPr>
      <w:tblGrid>
        <w:gridCol w:w="4588"/>
        <w:gridCol w:w="2251"/>
        <w:gridCol w:w="1905"/>
      </w:tblGrid>
      <w:tr w:rsidR="00657A5A" w:rsidRPr="00AD0614" w:rsidTr="002418AD">
        <w:trPr>
          <w:trHeight w:val="284"/>
          <w:jc w:val="center"/>
        </w:trPr>
        <w:tc>
          <w:tcPr>
            <w:tcW w:w="4588" w:type="dxa"/>
            <w:tcBorders>
              <w:top w:val="single" w:sz="4" w:space="0" w:color="auto"/>
              <w:bottom w:val="single" w:sz="4" w:space="0" w:color="auto"/>
            </w:tcBorders>
            <w:shd w:val="clear" w:color="auto" w:fill="A8CBEE" w:themeFill="accent2" w:themeFillTint="66"/>
            <w:vAlign w:val="center"/>
            <w:hideMark/>
          </w:tcPr>
          <w:p w:rsidR="00657A5A" w:rsidRPr="00AD0614" w:rsidRDefault="00657A5A" w:rsidP="00AD0614">
            <w:pPr>
              <w:spacing w:after="0"/>
              <w:ind w:left="50" w:firstLine="0"/>
              <w:jc w:val="left"/>
              <w:rPr>
                <w:rFonts w:ascii="Arial" w:hAnsi="Arial" w:cs="Arial"/>
                <w:bCs/>
                <w:color w:val="000000"/>
                <w:sz w:val="18"/>
                <w:szCs w:val="18"/>
                <w:lang w:val="es-ES" w:eastAsia="es-ES"/>
              </w:rPr>
            </w:pPr>
            <w:r w:rsidRPr="00AD0614">
              <w:rPr>
                <w:rFonts w:ascii="Arial" w:hAnsi="Arial" w:cs="Arial"/>
                <w:bCs/>
                <w:color w:val="000000"/>
                <w:sz w:val="18"/>
                <w:szCs w:val="18"/>
                <w:lang w:val="es-ES" w:eastAsia="es-ES"/>
              </w:rPr>
              <w:t>Modificaciones Presupuestarias</w:t>
            </w:r>
          </w:p>
        </w:tc>
        <w:tc>
          <w:tcPr>
            <w:tcW w:w="2251" w:type="dxa"/>
            <w:tcBorders>
              <w:top w:val="single" w:sz="4" w:space="0" w:color="auto"/>
              <w:bottom w:val="single" w:sz="4" w:space="0" w:color="auto"/>
            </w:tcBorders>
            <w:shd w:val="clear" w:color="auto" w:fill="A8CBEE" w:themeFill="accent2" w:themeFillTint="66"/>
            <w:vAlign w:val="center"/>
            <w:hideMark/>
          </w:tcPr>
          <w:p w:rsidR="00657A5A" w:rsidRPr="00AD0614" w:rsidRDefault="00657A5A" w:rsidP="00AD0614">
            <w:pPr>
              <w:spacing w:after="0"/>
              <w:ind w:left="50" w:firstLine="0"/>
              <w:jc w:val="right"/>
              <w:rPr>
                <w:rFonts w:ascii="Arial" w:hAnsi="Arial" w:cs="Arial"/>
                <w:bCs/>
                <w:color w:val="000000"/>
                <w:sz w:val="18"/>
                <w:szCs w:val="18"/>
                <w:lang w:val="es-ES" w:eastAsia="es-ES"/>
              </w:rPr>
            </w:pPr>
            <w:r w:rsidRPr="00AD0614">
              <w:rPr>
                <w:rFonts w:ascii="Arial" w:hAnsi="Arial" w:cs="Arial"/>
                <w:bCs/>
                <w:color w:val="000000"/>
                <w:sz w:val="18"/>
                <w:szCs w:val="18"/>
                <w:lang w:val="es-ES" w:eastAsia="es-ES"/>
              </w:rPr>
              <w:t xml:space="preserve">Financiadas </w:t>
            </w:r>
          </w:p>
          <w:p w:rsidR="00657A5A" w:rsidRPr="00AD0614" w:rsidRDefault="00657A5A" w:rsidP="00AD0614">
            <w:pPr>
              <w:spacing w:after="0"/>
              <w:ind w:left="50" w:firstLine="0"/>
              <w:jc w:val="right"/>
              <w:rPr>
                <w:rFonts w:ascii="Arial" w:hAnsi="Arial" w:cs="Arial"/>
                <w:bCs/>
                <w:color w:val="000000"/>
                <w:sz w:val="18"/>
                <w:szCs w:val="18"/>
                <w:lang w:val="es-ES" w:eastAsia="es-ES"/>
              </w:rPr>
            </w:pPr>
            <w:r w:rsidRPr="00AD0614">
              <w:rPr>
                <w:rFonts w:ascii="Arial" w:hAnsi="Arial" w:cs="Arial"/>
                <w:bCs/>
                <w:color w:val="000000"/>
                <w:sz w:val="18"/>
                <w:szCs w:val="18"/>
                <w:lang w:val="es-ES" w:eastAsia="es-ES"/>
              </w:rPr>
              <w:t>con mayores ingresos</w:t>
            </w:r>
          </w:p>
        </w:tc>
        <w:tc>
          <w:tcPr>
            <w:tcW w:w="1905" w:type="dxa"/>
            <w:tcBorders>
              <w:top w:val="single" w:sz="4" w:space="0" w:color="auto"/>
              <w:bottom w:val="single" w:sz="4" w:space="0" w:color="auto"/>
            </w:tcBorders>
            <w:shd w:val="clear" w:color="auto" w:fill="A8CBEE" w:themeFill="accent2" w:themeFillTint="66"/>
            <w:vAlign w:val="center"/>
            <w:hideMark/>
          </w:tcPr>
          <w:p w:rsidR="00D14FF4" w:rsidRDefault="00657A5A" w:rsidP="00D14FF4">
            <w:pPr>
              <w:spacing w:after="0"/>
              <w:ind w:left="50" w:firstLine="0"/>
              <w:jc w:val="right"/>
              <w:rPr>
                <w:rFonts w:ascii="Arial" w:hAnsi="Arial" w:cs="Arial"/>
                <w:bCs/>
                <w:color w:val="000000"/>
                <w:sz w:val="18"/>
                <w:szCs w:val="18"/>
                <w:lang w:val="es-ES" w:eastAsia="es-ES"/>
              </w:rPr>
            </w:pPr>
            <w:r w:rsidRPr="00AD0614">
              <w:rPr>
                <w:rFonts w:ascii="Arial" w:hAnsi="Arial" w:cs="Arial"/>
                <w:bCs/>
                <w:color w:val="000000"/>
                <w:sz w:val="18"/>
                <w:szCs w:val="18"/>
                <w:lang w:val="es-ES" w:eastAsia="es-ES"/>
              </w:rPr>
              <w:t>Financiadas</w:t>
            </w:r>
            <w:r w:rsidR="00D14FF4">
              <w:rPr>
                <w:rFonts w:ascii="Arial" w:hAnsi="Arial" w:cs="Arial"/>
                <w:bCs/>
                <w:color w:val="000000"/>
                <w:sz w:val="18"/>
                <w:szCs w:val="18"/>
                <w:lang w:val="es-ES" w:eastAsia="es-ES"/>
              </w:rPr>
              <w:t xml:space="preserve"> </w:t>
            </w:r>
            <w:r w:rsidRPr="00AD0614">
              <w:rPr>
                <w:rFonts w:ascii="Arial" w:hAnsi="Arial" w:cs="Arial"/>
                <w:bCs/>
                <w:color w:val="000000"/>
                <w:sz w:val="18"/>
                <w:szCs w:val="18"/>
                <w:lang w:val="es-ES" w:eastAsia="es-ES"/>
              </w:rPr>
              <w:t xml:space="preserve">con </w:t>
            </w:r>
          </w:p>
          <w:p w:rsidR="00657A5A" w:rsidRPr="00AD0614" w:rsidRDefault="00BA2452" w:rsidP="00D14FF4">
            <w:pPr>
              <w:spacing w:after="0"/>
              <w:ind w:left="50"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minor</w:t>
            </w:r>
            <w:r w:rsidR="00D14FF4">
              <w:rPr>
                <w:rFonts w:ascii="Arial" w:hAnsi="Arial" w:cs="Arial"/>
                <w:bCs/>
                <w:color w:val="000000"/>
                <w:sz w:val="18"/>
                <w:szCs w:val="18"/>
                <w:lang w:val="es-ES" w:eastAsia="es-ES"/>
              </w:rPr>
              <w:t>.</w:t>
            </w:r>
            <w:r>
              <w:rPr>
                <w:rFonts w:ascii="Arial" w:hAnsi="Arial" w:cs="Arial"/>
                <w:bCs/>
                <w:color w:val="000000"/>
                <w:sz w:val="18"/>
                <w:szCs w:val="18"/>
                <w:lang w:val="es-ES" w:eastAsia="es-ES"/>
              </w:rPr>
              <w:t xml:space="preserve"> </w:t>
            </w:r>
            <w:r w:rsidR="00657A5A" w:rsidRPr="00AD0614">
              <w:rPr>
                <w:rFonts w:ascii="Arial" w:hAnsi="Arial" w:cs="Arial"/>
                <w:bCs/>
                <w:color w:val="000000"/>
                <w:sz w:val="18"/>
                <w:szCs w:val="18"/>
                <w:lang w:val="es-ES" w:eastAsia="es-ES"/>
              </w:rPr>
              <w:t>otros gastos</w:t>
            </w:r>
          </w:p>
        </w:tc>
      </w:tr>
      <w:tr w:rsidR="00657A5A" w:rsidTr="002418AD">
        <w:trPr>
          <w:trHeight w:val="284"/>
          <w:jc w:val="center"/>
        </w:trPr>
        <w:tc>
          <w:tcPr>
            <w:tcW w:w="4588" w:type="dxa"/>
            <w:tcBorders>
              <w:top w:val="single" w:sz="4" w:space="0" w:color="auto"/>
            </w:tcBorders>
            <w:vAlign w:val="center"/>
            <w:hideMark/>
          </w:tcPr>
          <w:p w:rsidR="00657A5A" w:rsidRPr="00657A5A" w:rsidRDefault="00657A5A" w:rsidP="00AD0614">
            <w:pPr>
              <w:spacing w:after="0"/>
              <w:ind w:firstLine="0"/>
              <w:jc w:val="left"/>
              <w:rPr>
                <w:rFonts w:ascii="Arial Narrow" w:hAnsi="Arial Narrow" w:cs="Arial"/>
                <w:lang w:val="es-ES" w:eastAsia="es-ES"/>
              </w:rPr>
            </w:pPr>
            <w:r w:rsidRPr="00657A5A">
              <w:rPr>
                <w:rFonts w:ascii="Arial Narrow" w:hAnsi="Arial Narrow" w:cs="Arial"/>
                <w:lang w:val="es-ES" w:eastAsia="es-ES"/>
              </w:rPr>
              <w:t>Ampliaciones de crédito</w:t>
            </w:r>
          </w:p>
        </w:tc>
        <w:tc>
          <w:tcPr>
            <w:tcW w:w="2251" w:type="dxa"/>
            <w:tcBorders>
              <w:top w:val="single" w:sz="4" w:space="0" w:color="auto"/>
            </w:tcBorders>
            <w:vAlign w:val="center"/>
            <w:hideMark/>
          </w:tcPr>
          <w:p w:rsidR="00657A5A" w:rsidRPr="00657A5A" w:rsidRDefault="00657A5A" w:rsidP="00AD0614">
            <w:pPr>
              <w:spacing w:after="0"/>
              <w:ind w:firstLine="0"/>
              <w:jc w:val="right"/>
              <w:rPr>
                <w:rFonts w:ascii="Arial Narrow" w:hAnsi="Arial Narrow" w:cs="Arial"/>
                <w:lang w:val="es-ES" w:eastAsia="es-ES"/>
              </w:rPr>
            </w:pPr>
            <w:r w:rsidRPr="00657A5A">
              <w:rPr>
                <w:rFonts w:ascii="Arial Narrow" w:hAnsi="Arial Narrow" w:cs="Arial"/>
                <w:lang w:val="es-ES" w:eastAsia="es-ES"/>
              </w:rPr>
              <w:t>24.580</w:t>
            </w:r>
          </w:p>
        </w:tc>
        <w:tc>
          <w:tcPr>
            <w:tcW w:w="1905" w:type="dxa"/>
            <w:tcBorders>
              <w:top w:val="single" w:sz="4" w:space="0" w:color="auto"/>
            </w:tcBorders>
            <w:vAlign w:val="center"/>
            <w:hideMark/>
          </w:tcPr>
          <w:p w:rsidR="00657A5A" w:rsidRPr="00657A5A" w:rsidRDefault="00657A5A" w:rsidP="00AD0614">
            <w:pPr>
              <w:spacing w:after="0"/>
              <w:ind w:firstLine="0"/>
              <w:jc w:val="right"/>
              <w:rPr>
                <w:rFonts w:ascii="Arial Narrow" w:hAnsi="Arial Narrow" w:cs="Arial"/>
                <w:lang w:val="es-ES" w:eastAsia="es-ES"/>
              </w:rPr>
            </w:pPr>
            <w:r w:rsidRPr="00657A5A">
              <w:rPr>
                <w:rFonts w:ascii="Arial Narrow" w:hAnsi="Arial Narrow" w:cs="Arial"/>
                <w:lang w:val="es-ES" w:eastAsia="es-ES"/>
              </w:rPr>
              <w:t>69.396</w:t>
            </w:r>
          </w:p>
        </w:tc>
      </w:tr>
      <w:tr w:rsidR="00657A5A" w:rsidTr="00D14FF4">
        <w:trPr>
          <w:trHeight w:val="284"/>
          <w:jc w:val="center"/>
        </w:trPr>
        <w:tc>
          <w:tcPr>
            <w:tcW w:w="4588" w:type="dxa"/>
            <w:vAlign w:val="center"/>
            <w:hideMark/>
          </w:tcPr>
          <w:p w:rsidR="00657A5A" w:rsidRPr="00657A5A" w:rsidRDefault="00657A5A" w:rsidP="00AD0614">
            <w:pPr>
              <w:spacing w:after="0"/>
              <w:ind w:firstLine="0"/>
              <w:jc w:val="left"/>
              <w:rPr>
                <w:rFonts w:ascii="Arial Narrow" w:hAnsi="Arial Narrow" w:cs="Arial"/>
                <w:lang w:val="es-ES" w:eastAsia="es-ES"/>
              </w:rPr>
            </w:pPr>
            <w:r w:rsidRPr="00657A5A">
              <w:rPr>
                <w:rFonts w:ascii="Arial Narrow" w:hAnsi="Arial Narrow" w:cs="Arial"/>
                <w:lang w:val="es-ES" w:eastAsia="es-ES"/>
              </w:rPr>
              <w:t>Generaciones de crédito</w:t>
            </w:r>
          </w:p>
        </w:tc>
        <w:tc>
          <w:tcPr>
            <w:tcW w:w="2251" w:type="dxa"/>
            <w:vAlign w:val="center"/>
            <w:hideMark/>
          </w:tcPr>
          <w:p w:rsidR="00657A5A" w:rsidRPr="00657A5A" w:rsidRDefault="00657A5A" w:rsidP="00AD0614">
            <w:pPr>
              <w:spacing w:after="0"/>
              <w:ind w:firstLine="0"/>
              <w:jc w:val="right"/>
              <w:rPr>
                <w:rFonts w:ascii="Arial Narrow" w:hAnsi="Arial Narrow" w:cs="Arial"/>
                <w:lang w:val="es-ES" w:eastAsia="es-ES"/>
              </w:rPr>
            </w:pPr>
            <w:r w:rsidRPr="00657A5A">
              <w:rPr>
                <w:rFonts w:ascii="Arial Narrow" w:hAnsi="Arial Narrow" w:cs="Arial"/>
                <w:lang w:val="es-ES" w:eastAsia="es-ES"/>
              </w:rPr>
              <w:t>102.101</w:t>
            </w:r>
          </w:p>
        </w:tc>
        <w:tc>
          <w:tcPr>
            <w:tcW w:w="1905" w:type="dxa"/>
            <w:vAlign w:val="center"/>
            <w:hideMark/>
          </w:tcPr>
          <w:p w:rsidR="00657A5A" w:rsidRPr="00657A5A" w:rsidRDefault="00657A5A" w:rsidP="00AD0614">
            <w:pPr>
              <w:spacing w:after="0"/>
              <w:ind w:firstLine="0"/>
              <w:jc w:val="right"/>
              <w:rPr>
                <w:rFonts w:ascii="Arial Narrow" w:hAnsi="Arial Narrow" w:cs="Arial"/>
                <w:lang w:val="es-ES" w:eastAsia="es-ES"/>
              </w:rPr>
            </w:pPr>
            <w:r w:rsidRPr="00657A5A">
              <w:rPr>
                <w:rFonts w:ascii="Arial Narrow" w:hAnsi="Arial Narrow" w:cs="Arial"/>
                <w:lang w:val="es-ES" w:eastAsia="es-ES"/>
              </w:rPr>
              <w:t> </w:t>
            </w:r>
          </w:p>
        </w:tc>
      </w:tr>
      <w:tr w:rsidR="00657A5A" w:rsidTr="00D14FF4">
        <w:trPr>
          <w:trHeight w:val="284"/>
          <w:jc w:val="center"/>
        </w:trPr>
        <w:tc>
          <w:tcPr>
            <w:tcW w:w="4588" w:type="dxa"/>
            <w:vAlign w:val="center"/>
            <w:hideMark/>
          </w:tcPr>
          <w:p w:rsidR="00657A5A" w:rsidRPr="00657A5A" w:rsidRDefault="00657A5A" w:rsidP="00AD0614">
            <w:pPr>
              <w:spacing w:after="0"/>
              <w:ind w:firstLine="0"/>
              <w:jc w:val="left"/>
              <w:rPr>
                <w:rFonts w:ascii="Arial Narrow" w:hAnsi="Arial Narrow" w:cs="Arial"/>
                <w:lang w:val="es-ES" w:eastAsia="es-ES"/>
              </w:rPr>
            </w:pPr>
            <w:r w:rsidRPr="00657A5A">
              <w:rPr>
                <w:rFonts w:ascii="Arial Narrow" w:hAnsi="Arial Narrow" w:cs="Arial"/>
                <w:lang w:val="es-ES" w:eastAsia="es-ES"/>
              </w:rPr>
              <w:t>Incorporaciones de crédito</w:t>
            </w:r>
          </w:p>
        </w:tc>
        <w:tc>
          <w:tcPr>
            <w:tcW w:w="2251" w:type="dxa"/>
            <w:vAlign w:val="center"/>
            <w:hideMark/>
          </w:tcPr>
          <w:p w:rsidR="00657A5A" w:rsidRPr="00657A5A" w:rsidRDefault="00657A5A" w:rsidP="00AD0614">
            <w:pPr>
              <w:spacing w:after="0"/>
              <w:ind w:firstLine="0"/>
              <w:jc w:val="right"/>
              <w:rPr>
                <w:rFonts w:ascii="Arial Narrow" w:hAnsi="Arial Narrow" w:cs="Arial"/>
                <w:lang w:val="es-ES" w:eastAsia="es-ES"/>
              </w:rPr>
            </w:pPr>
            <w:r w:rsidRPr="00657A5A">
              <w:rPr>
                <w:rFonts w:ascii="Arial Narrow" w:hAnsi="Arial Narrow" w:cs="Arial"/>
                <w:lang w:val="es-ES" w:eastAsia="es-ES"/>
              </w:rPr>
              <w:t>639</w:t>
            </w:r>
          </w:p>
        </w:tc>
        <w:tc>
          <w:tcPr>
            <w:tcW w:w="1905" w:type="dxa"/>
            <w:vAlign w:val="center"/>
            <w:hideMark/>
          </w:tcPr>
          <w:p w:rsidR="00657A5A" w:rsidRPr="00657A5A" w:rsidRDefault="00657A5A" w:rsidP="00AD0614">
            <w:pPr>
              <w:spacing w:after="0"/>
              <w:ind w:firstLine="0"/>
              <w:jc w:val="right"/>
              <w:rPr>
                <w:rFonts w:ascii="Arial Narrow" w:hAnsi="Arial Narrow" w:cs="Arial"/>
                <w:lang w:val="es-ES" w:eastAsia="es-ES"/>
              </w:rPr>
            </w:pPr>
            <w:r w:rsidRPr="00657A5A">
              <w:rPr>
                <w:rFonts w:ascii="Arial Narrow" w:hAnsi="Arial Narrow" w:cs="Arial"/>
                <w:lang w:val="es-ES" w:eastAsia="es-ES"/>
              </w:rPr>
              <w:t>127</w:t>
            </w:r>
          </w:p>
        </w:tc>
      </w:tr>
      <w:tr w:rsidR="00657A5A" w:rsidTr="00D14FF4">
        <w:trPr>
          <w:trHeight w:val="284"/>
          <w:jc w:val="center"/>
        </w:trPr>
        <w:tc>
          <w:tcPr>
            <w:tcW w:w="4588" w:type="dxa"/>
            <w:vAlign w:val="center"/>
            <w:hideMark/>
          </w:tcPr>
          <w:p w:rsidR="00657A5A" w:rsidRPr="00657A5A" w:rsidRDefault="00657A5A" w:rsidP="00AD0614">
            <w:pPr>
              <w:spacing w:after="0"/>
              <w:ind w:firstLine="0"/>
              <w:jc w:val="left"/>
              <w:rPr>
                <w:rFonts w:ascii="Arial Narrow" w:hAnsi="Arial Narrow" w:cs="Arial"/>
                <w:lang w:val="es-ES" w:eastAsia="es-ES"/>
              </w:rPr>
            </w:pPr>
            <w:r w:rsidRPr="00657A5A">
              <w:rPr>
                <w:rFonts w:ascii="Arial Narrow" w:hAnsi="Arial Narrow" w:cs="Arial"/>
                <w:lang w:val="es-ES" w:eastAsia="es-ES"/>
              </w:rPr>
              <w:t>Suplementos de crédito</w:t>
            </w:r>
          </w:p>
        </w:tc>
        <w:tc>
          <w:tcPr>
            <w:tcW w:w="2251" w:type="dxa"/>
            <w:vAlign w:val="center"/>
            <w:hideMark/>
          </w:tcPr>
          <w:p w:rsidR="00657A5A" w:rsidRPr="00657A5A" w:rsidRDefault="00657A5A" w:rsidP="00AD0614">
            <w:pPr>
              <w:spacing w:after="0"/>
              <w:ind w:firstLine="0"/>
              <w:jc w:val="right"/>
              <w:rPr>
                <w:rFonts w:ascii="Arial Narrow" w:hAnsi="Arial Narrow" w:cs="Arial"/>
                <w:lang w:val="es-ES" w:eastAsia="es-ES"/>
              </w:rPr>
            </w:pPr>
            <w:r w:rsidRPr="00657A5A">
              <w:rPr>
                <w:rFonts w:ascii="Arial Narrow" w:hAnsi="Arial Narrow" w:cs="Arial"/>
                <w:lang w:val="es-ES" w:eastAsia="es-ES"/>
              </w:rPr>
              <w:t> </w:t>
            </w:r>
          </w:p>
        </w:tc>
        <w:tc>
          <w:tcPr>
            <w:tcW w:w="1905" w:type="dxa"/>
            <w:vAlign w:val="center"/>
            <w:hideMark/>
          </w:tcPr>
          <w:p w:rsidR="00657A5A" w:rsidRPr="00657A5A" w:rsidRDefault="00657A5A" w:rsidP="00AD0614">
            <w:pPr>
              <w:spacing w:after="0"/>
              <w:ind w:firstLine="0"/>
              <w:jc w:val="right"/>
              <w:rPr>
                <w:rFonts w:ascii="Arial Narrow" w:hAnsi="Arial Narrow" w:cs="Arial"/>
                <w:lang w:val="es-ES" w:eastAsia="es-ES"/>
              </w:rPr>
            </w:pPr>
            <w:r w:rsidRPr="00657A5A">
              <w:rPr>
                <w:rFonts w:ascii="Arial Narrow" w:hAnsi="Arial Narrow" w:cs="Arial"/>
                <w:lang w:val="es-ES" w:eastAsia="es-ES"/>
              </w:rPr>
              <w:t>4.964</w:t>
            </w:r>
          </w:p>
        </w:tc>
      </w:tr>
      <w:tr w:rsidR="00657A5A" w:rsidTr="002418AD">
        <w:trPr>
          <w:trHeight w:val="284"/>
          <w:jc w:val="center"/>
        </w:trPr>
        <w:tc>
          <w:tcPr>
            <w:tcW w:w="4588" w:type="dxa"/>
            <w:tcBorders>
              <w:bottom w:val="single" w:sz="4" w:space="0" w:color="auto"/>
            </w:tcBorders>
            <w:vAlign w:val="center"/>
            <w:hideMark/>
          </w:tcPr>
          <w:p w:rsidR="00657A5A" w:rsidRPr="00657A5A" w:rsidRDefault="00657A5A" w:rsidP="00AD0614">
            <w:pPr>
              <w:spacing w:after="0"/>
              <w:ind w:firstLine="0"/>
              <w:jc w:val="left"/>
              <w:rPr>
                <w:rFonts w:ascii="Arial Narrow" w:hAnsi="Arial Narrow" w:cs="Arial"/>
                <w:lang w:val="es-ES" w:eastAsia="es-ES"/>
              </w:rPr>
            </w:pPr>
            <w:r w:rsidRPr="00657A5A">
              <w:rPr>
                <w:rFonts w:ascii="Arial Narrow" w:hAnsi="Arial Narrow" w:cs="Arial"/>
                <w:lang w:val="es-ES" w:eastAsia="es-ES"/>
              </w:rPr>
              <w:t>Crédito Extraordinario</w:t>
            </w:r>
          </w:p>
        </w:tc>
        <w:tc>
          <w:tcPr>
            <w:tcW w:w="2251" w:type="dxa"/>
            <w:tcBorders>
              <w:bottom w:val="single" w:sz="4" w:space="0" w:color="auto"/>
            </w:tcBorders>
            <w:noWrap/>
            <w:vAlign w:val="center"/>
            <w:hideMark/>
          </w:tcPr>
          <w:p w:rsidR="00657A5A" w:rsidRPr="00657A5A" w:rsidRDefault="00657A5A" w:rsidP="00AD0614">
            <w:pPr>
              <w:spacing w:after="0"/>
              <w:ind w:firstLine="0"/>
              <w:jc w:val="right"/>
              <w:rPr>
                <w:rFonts w:ascii="Arial Narrow" w:hAnsi="Arial Narrow" w:cs="Arial"/>
                <w:lang w:val="es-ES" w:eastAsia="es-ES"/>
              </w:rPr>
            </w:pPr>
            <w:r w:rsidRPr="00657A5A">
              <w:rPr>
                <w:rFonts w:ascii="Arial Narrow" w:hAnsi="Arial Narrow" w:cs="Arial"/>
                <w:lang w:val="es-ES" w:eastAsia="es-ES"/>
              </w:rPr>
              <w:t> </w:t>
            </w:r>
          </w:p>
        </w:tc>
        <w:tc>
          <w:tcPr>
            <w:tcW w:w="1905" w:type="dxa"/>
            <w:tcBorders>
              <w:bottom w:val="single" w:sz="4" w:space="0" w:color="auto"/>
            </w:tcBorders>
            <w:noWrap/>
            <w:vAlign w:val="center"/>
            <w:hideMark/>
          </w:tcPr>
          <w:p w:rsidR="00657A5A" w:rsidRPr="00657A5A" w:rsidRDefault="00657A5A" w:rsidP="00AD0614">
            <w:pPr>
              <w:spacing w:after="0"/>
              <w:ind w:firstLine="0"/>
              <w:jc w:val="right"/>
              <w:rPr>
                <w:rFonts w:ascii="Arial Narrow" w:hAnsi="Arial Narrow" w:cs="Arial"/>
                <w:lang w:val="es-ES" w:eastAsia="es-ES"/>
              </w:rPr>
            </w:pPr>
            <w:r w:rsidRPr="00657A5A">
              <w:rPr>
                <w:rFonts w:ascii="Arial Narrow" w:hAnsi="Arial Narrow" w:cs="Arial"/>
                <w:lang w:val="es-ES" w:eastAsia="es-ES"/>
              </w:rPr>
              <w:t>5.811</w:t>
            </w:r>
          </w:p>
        </w:tc>
      </w:tr>
      <w:tr w:rsidR="00657A5A" w:rsidRPr="00AD0614" w:rsidTr="002418AD">
        <w:trPr>
          <w:trHeight w:val="284"/>
          <w:jc w:val="center"/>
        </w:trPr>
        <w:tc>
          <w:tcPr>
            <w:tcW w:w="4588" w:type="dxa"/>
            <w:tcBorders>
              <w:top w:val="single" w:sz="4" w:space="0" w:color="auto"/>
              <w:bottom w:val="single" w:sz="4" w:space="0" w:color="auto"/>
            </w:tcBorders>
            <w:shd w:val="clear" w:color="auto" w:fill="A8CBEE" w:themeFill="accent2" w:themeFillTint="66"/>
            <w:vAlign w:val="center"/>
            <w:hideMark/>
          </w:tcPr>
          <w:p w:rsidR="00657A5A" w:rsidRPr="00AD0614" w:rsidRDefault="00657A5A" w:rsidP="00AD0614">
            <w:pPr>
              <w:spacing w:after="0"/>
              <w:ind w:left="50" w:firstLine="0"/>
              <w:jc w:val="left"/>
              <w:rPr>
                <w:rFonts w:ascii="Arial" w:hAnsi="Arial" w:cs="Arial"/>
                <w:bCs/>
                <w:color w:val="000000"/>
                <w:sz w:val="18"/>
                <w:szCs w:val="18"/>
                <w:lang w:val="es-ES" w:eastAsia="es-ES"/>
              </w:rPr>
            </w:pPr>
            <w:r w:rsidRPr="00AD0614">
              <w:rPr>
                <w:rFonts w:ascii="Arial" w:hAnsi="Arial" w:cs="Arial"/>
                <w:bCs/>
                <w:color w:val="000000"/>
                <w:sz w:val="18"/>
                <w:szCs w:val="18"/>
                <w:lang w:val="es-ES" w:eastAsia="es-ES"/>
              </w:rPr>
              <w:t>Total 2015</w:t>
            </w:r>
          </w:p>
        </w:tc>
        <w:tc>
          <w:tcPr>
            <w:tcW w:w="2251" w:type="dxa"/>
            <w:tcBorders>
              <w:top w:val="single" w:sz="4" w:space="0" w:color="auto"/>
              <w:bottom w:val="single" w:sz="4" w:space="0" w:color="auto"/>
            </w:tcBorders>
            <w:shd w:val="clear" w:color="auto" w:fill="A8CBEE" w:themeFill="accent2" w:themeFillTint="66"/>
            <w:noWrap/>
            <w:vAlign w:val="center"/>
            <w:hideMark/>
          </w:tcPr>
          <w:p w:rsidR="00657A5A" w:rsidRPr="00AD0614" w:rsidRDefault="00657A5A" w:rsidP="00AD0614">
            <w:pPr>
              <w:spacing w:after="0"/>
              <w:ind w:left="50" w:firstLine="0"/>
              <w:jc w:val="right"/>
              <w:rPr>
                <w:rFonts w:ascii="Arial" w:hAnsi="Arial" w:cs="Arial"/>
                <w:bCs/>
                <w:color w:val="000000"/>
                <w:sz w:val="18"/>
                <w:szCs w:val="18"/>
                <w:lang w:val="es-ES" w:eastAsia="es-ES"/>
              </w:rPr>
            </w:pPr>
            <w:r w:rsidRPr="00AD0614">
              <w:rPr>
                <w:rFonts w:ascii="Arial" w:hAnsi="Arial" w:cs="Arial"/>
                <w:bCs/>
                <w:color w:val="000000"/>
                <w:sz w:val="18"/>
                <w:szCs w:val="18"/>
                <w:lang w:val="es-ES" w:eastAsia="es-ES"/>
              </w:rPr>
              <w:t>127.320</w:t>
            </w:r>
          </w:p>
        </w:tc>
        <w:tc>
          <w:tcPr>
            <w:tcW w:w="1905" w:type="dxa"/>
            <w:tcBorders>
              <w:top w:val="single" w:sz="4" w:space="0" w:color="auto"/>
              <w:bottom w:val="single" w:sz="4" w:space="0" w:color="auto"/>
            </w:tcBorders>
            <w:shd w:val="clear" w:color="auto" w:fill="A8CBEE" w:themeFill="accent2" w:themeFillTint="66"/>
            <w:noWrap/>
            <w:vAlign w:val="center"/>
            <w:hideMark/>
          </w:tcPr>
          <w:p w:rsidR="00657A5A" w:rsidRPr="00AD0614" w:rsidRDefault="00657A5A" w:rsidP="00AD0614">
            <w:pPr>
              <w:spacing w:after="0"/>
              <w:ind w:left="50" w:firstLine="0"/>
              <w:jc w:val="right"/>
              <w:rPr>
                <w:rFonts w:ascii="Arial" w:hAnsi="Arial" w:cs="Arial"/>
                <w:bCs/>
                <w:color w:val="000000"/>
                <w:sz w:val="18"/>
                <w:szCs w:val="18"/>
                <w:lang w:val="es-ES" w:eastAsia="es-ES"/>
              </w:rPr>
            </w:pPr>
            <w:r w:rsidRPr="00AD0614">
              <w:rPr>
                <w:rFonts w:ascii="Arial" w:hAnsi="Arial" w:cs="Arial"/>
                <w:bCs/>
                <w:color w:val="000000"/>
                <w:sz w:val="18"/>
                <w:szCs w:val="18"/>
                <w:lang w:val="es-ES" w:eastAsia="es-ES"/>
              </w:rPr>
              <w:t>80.298</w:t>
            </w:r>
          </w:p>
        </w:tc>
      </w:tr>
    </w:tbl>
    <w:p w:rsidR="00657A5A" w:rsidRDefault="00657A5A" w:rsidP="003C3AD4">
      <w:pPr>
        <w:pStyle w:val="texto"/>
        <w:spacing w:before="180"/>
        <w:rPr>
          <w:lang w:val="es-ES"/>
        </w:rPr>
      </w:pPr>
      <w:r>
        <w:rPr>
          <w:lang w:val="es-ES"/>
        </w:rPr>
        <w:t xml:space="preserve">A efectos presupuestarios, solo las </w:t>
      </w:r>
      <w:r w:rsidR="0080028B">
        <w:rPr>
          <w:lang w:val="es-ES"/>
        </w:rPr>
        <w:t xml:space="preserve">modificaciones </w:t>
      </w:r>
      <w:r>
        <w:rPr>
          <w:lang w:val="es-ES"/>
        </w:rPr>
        <w:t xml:space="preserve">financiadas con mayores ingresos implican una modificación del total de </w:t>
      </w:r>
      <w:r w:rsidR="003D6089">
        <w:rPr>
          <w:lang w:val="es-ES"/>
        </w:rPr>
        <w:t>cr</w:t>
      </w:r>
      <w:r w:rsidR="00AA7F87">
        <w:rPr>
          <w:lang w:val="es-ES"/>
        </w:rPr>
        <w:t xml:space="preserve">éditos </w:t>
      </w:r>
      <w:r>
        <w:rPr>
          <w:lang w:val="es-ES"/>
        </w:rPr>
        <w:t>del presupuesto.</w:t>
      </w:r>
    </w:p>
    <w:p w:rsidR="003D6089" w:rsidRDefault="003D6089" w:rsidP="005406FC">
      <w:pPr>
        <w:pStyle w:val="texto"/>
        <w:spacing w:after="100"/>
        <w:rPr>
          <w:lang w:val="es-ES"/>
        </w:rPr>
      </w:pPr>
      <w:r>
        <w:rPr>
          <w:lang w:val="es-ES"/>
        </w:rPr>
        <w:t xml:space="preserve">Así mismo, en el cuadro anterior no se incluyen las transferencias de créditos ni </w:t>
      </w:r>
      <w:r w:rsidR="00BA2452">
        <w:rPr>
          <w:lang w:val="es-ES"/>
        </w:rPr>
        <w:t>los movimientos de fondos</w:t>
      </w:r>
      <w:r>
        <w:rPr>
          <w:lang w:val="es-ES"/>
        </w:rPr>
        <w:t>. Estas operaciones tampoco tienen efecto pres</w:t>
      </w:r>
      <w:r>
        <w:rPr>
          <w:lang w:val="es-ES"/>
        </w:rPr>
        <w:t>u</w:t>
      </w:r>
      <w:r>
        <w:rPr>
          <w:lang w:val="es-ES"/>
        </w:rPr>
        <w:t xml:space="preserve">puestario sobre el </w:t>
      </w:r>
      <w:r w:rsidR="0061665A">
        <w:rPr>
          <w:lang w:val="es-ES"/>
        </w:rPr>
        <w:t xml:space="preserve">importe </w:t>
      </w:r>
      <w:r>
        <w:rPr>
          <w:lang w:val="es-ES"/>
        </w:rPr>
        <w:t>total de créditos.</w:t>
      </w:r>
    </w:p>
    <w:p w:rsidR="0007453D" w:rsidRDefault="000D4F72" w:rsidP="0011458F">
      <w:pPr>
        <w:pStyle w:val="texto"/>
        <w:spacing w:after="0"/>
        <w:rPr>
          <w:lang w:val="es-ES"/>
        </w:rPr>
      </w:pPr>
      <w:r>
        <w:rPr>
          <w:lang w:val="es-ES"/>
        </w:rPr>
        <w:t>E</w:t>
      </w:r>
      <w:r w:rsidR="003C3609" w:rsidRPr="000D4F72">
        <w:rPr>
          <w:lang w:val="es-ES"/>
        </w:rPr>
        <w:t>l Fondo de Prórroga se destinó</w:t>
      </w:r>
      <w:r w:rsidR="003E17EE">
        <w:rPr>
          <w:lang w:val="es-ES"/>
        </w:rPr>
        <w:t>, mediante las oportunas modificaciones,</w:t>
      </w:r>
      <w:r w:rsidR="003C3609" w:rsidRPr="000D4F72">
        <w:rPr>
          <w:lang w:val="es-ES"/>
        </w:rPr>
        <w:t xml:space="preserve"> a financiar la</w:t>
      </w:r>
      <w:r w:rsidR="005E7621" w:rsidRPr="000D4F72">
        <w:rPr>
          <w:lang w:val="es-ES"/>
        </w:rPr>
        <w:t>s</w:t>
      </w:r>
      <w:r w:rsidR="003C3609" w:rsidRPr="000D4F72">
        <w:rPr>
          <w:lang w:val="es-ES"/>
        </w:rPr>
        <w:t xml:space="preserve"> siguientes partidas</w:t>
      </w:r>
      <w:r w:rsidR="0007453D" w:rsidRPr="000D4F72">
        <w:rPr>
          <w:lang w:val="es-ES"/>
        </w:rPr>
        <w:t>:</w:t>
      </w:r>
    </w:p>
    <w:p w:rsidR="002418AD" w:rsidRPr="002418AD" w:rsidRDefault="002418AD" w:rsidP="002418AD">
      <w:pPr>
        <w:pStyle w:val="texto"/>
        <w:spacing w:after="40"/>
        <w:jc w:val="right"/>
        <w:rPr>
          <w:rFonts w:ascii="Arial Narrow" w:hAnsi="Arial Narrow"/>
          <w:sz w:val="18"/>
          <w:szCs w:val="18"/>
          <w:lang w:val="es-ES"/>
        </w:rPr>
      </w:pPr>
      <w:r w:rsidRPr="002418AD">
        <w:rPr>
          <w:rFonts w:ascii="Arial Narrow" w:hAnsi="Arial Narrow"/>
          <w:sz w:val="18"/>
          <w:szCs w:val="18"/>
          <w:lang w:val="es-ES"/>
        </w:rPr>
        <w:t>Miles de euros</w:t>
      </w:r>
    </w:p>
    <w:tbl>
      <w:tblPr>
        <w:tblW w:w="8829" w:type="dxa"/>
        <w:jc w:val="center"/>
        <w:tblLayout w:type="fixed"/>
        <w:tblLook w:val="01E0" w:firstRow="1" w:lastRow="1" w:firstColumn="1" w:lastColumn="1" w:noHBand="0" w:noVBand="0"/>
      </w:tblPr>
      <w:tblGrid>
        <w:gridCol w:w="6355"/>
        <w:gridCol w:w="2474"/>
      </w:tblGrid>
      <w:tr w:rsidR="0007453D" w:rsidRPr="00AD0614" w:rsidTr="00AD0614">
        <w:trPr>
          <w:trHeight w:val="284"/>
          <w:jc w:val="center"/>
        </w:trPr>
        <w:tc>
          <w:tcPr>
            <w:tcW w:w="6355" w:type="dxa"/>
            <w:tcBorders>
              <w:top w:val="single" w:sz="4" w:space="0" w:color="auto"/>
              <w:bottom w:val="single" w:sz="4" w:space="0" w:color="auto"/>
            </w:tcBorders>
            <w:shd w:val="clear" w:color="auto" w:fill="A8CBEE" w:themeFill="accent2" w:themeFillTint="66"/>
            <w:vAlign w:val="center"/>
          </w:tcPr>
          <w:p w:rsidR="0007453D" w:rsidRPr="00AD0614" w:rsidRDefault="0007453D" w:rsidP="00AD0614">
            <w:pPr>
              <w:spacing w:after="0"/>
              <w:ind w:left="50" w:firstLine="0"/>
              <w:jc w:val="left"/>
              <w:rPr>
                <w:rFonts w:ascii="Arial" w:hAnsi="Arial" w:cs="Arial"/>
                <w:bCs/>
                <w:color w:val="000000"/>
                <w:sz w:val="18"/>
                <w:szCs w:val="18"/>
                <w:lang w:val="es-ES" w:eastAsia="es-ES"/>
              </w:rPr>
            </w:pPr>
            <w:r w:rsidRPr="00AD0614">
              <w:rPr>
                <w:rFonts w:ascii="Arial" w:hAnsi="Arial" w:cs="Arial"/>
                <w:bCs/>
                <w:color w:val="000000"/>
                <w:sz w:val="18"/>
                <w:szCs w:val="18"/>
                <w:lang w:val="es-ES" w:eastAsia="es-ES"/>
              </w:rPr>
              <w:t>Partidas</w:t>
            </w:r>
          </w:p>
        </w:tc>
        <w:tc>
          <w:tcPr>
            <w:tcW w:w="2474" w:type="dxa"/>
            <w:tcBorders>
              <w:top w:val="single" w:sz="4" w:space="0" w:color="auto"/>
              <w:bottom w:val="single" w:sz="4" w:space="0" w:color="auto"/>
            </w:tcBorders>
            <w:shd w:val="clear" w:color="auto" w:fill="A8CBEE" w:themeFill="accent2" w:themeFillTint="66"/>
            <w:vAlign w:val="center"/>
          </w:tcPr>
          <w:p w:rsidR="0007453D" w:rsidRPr="00AD0614" w:rsidRDefault="0007453D" w:rsidP="00AD0614">
            <w:pPr>
              <w:spacing w:after="0"/>
              <w:ind w:left="50" w:firstLine="0"/>
              <w:jc w:val="right"/>
              <w:rPr>
                <w:rFonts w:ascii="Arial" w:hAnsi="Arial" w:cs="Arial"/>
                <w:bCs/>
                <w:color w:val="000000"/>
                <w:sz w:val="18"/>
                <w:szCs w:val="18"/>
                <w:lang w:val="es-ES" w:eastAsia="es-ES"/>
              </w:rPr>
            </w:pPr>
            <w:r w:rsidRPr="00AD0614">
              <w:rPr>
                <w:rFonts w:ascii="Arial" w:hAnsi="Arial" w:cs="Arial"/>
                <w:bCs/>
                <w:color w:val="000000"/>
                <w:sz w:val="18"/>
                <w:szCs w:val="18"/>
                <w:lang w:val="es-ES" w:eastAsia="es-ES"/>
              </w:rPr>
              <w:t>Importe</w:t>
            </w:r>
          </w:p>
        </w:tc>
      </w:tr>
      <w:tr w:rsidR="0007453D" w:rsidRPr="00D948FA" w:rsidTr="00AD0614">
        <w:trPr>
          <w:trHeight w:val="284"/>
          <w:jc w:val="center"/>
        </w:trPr>
        <w:tc>
          <w:tcPr>
            <w:tcW w:w="6355" w:type="dxa"/>
            <w:tcBorders>
              <w:top w:val="single" w:sz="4" w:space="0" w:color="auto"/>
              <w:bottom w:val="single" w:sz="4" w:space="0" w:color="auto"/>
            </w:tcBorders>
            <w:vAlign w:val="center"/>
          </w:tcPr>
          <w:p w:rsidR="0007453D" w:rsidRPr="00D948FA" w:rsidRDefault="0007453D" w:rsidP="00AD0614">
            <w:pPr>
              <w:spacing w:after="0"/>
              <w:ind w:firstLine="0"/>
              <w:jc w:val="left"/>
              <w:rPr>
                <w:rFonts w:ascii="Arial Narrow" w:hAnsi="Arial Narrow" w:cs="Arial"/>
                <w:lang w:val="es-ES" w:eastAsia="es-ES"/>
              </w:rPr>
            </w:pPr>
            <w:r>
              <w:rPr>
                <w:rFonts w:ascii="Arial Narrow" w:hAnsi="Arial Narrow" w:cs="Arial"/>
                <w:lang w:val="es-ES" w:eastAsia="es-ES"/>
              </w:rPr>
              <w:t>Prestaciones económicas a familias</w:t>
            </w:r>
          </w:p>
        </w:tc>
        <w:tc>
          <w:tcPr>
            <w:tcW w:w="2474" w:type="dxa"/>
            <w:tcBorders>
              <w:top w:val="single" w:sz="4" w:space="0" w:color="auto"/>
              <w:bottom w:val="single" w:sz="4" w:space="0" w:color="auto"/>
            </w:tcBorders>
            <w:vAlign w:val="center"/>
          </w:tcPr>
          <w:p w:rsidR="0007453D" w:rsidRPr="00D948FA" w:rsidRDefault="0007453D" w:rsidP="002B0232">
            <w:pPr>
              <w:spacing w:after="0"/>
              <w:ind w:firstLine="0"/>
              <w:jc w:val="right"/>
              <w:rPr>
                <w:rFonts w:ascii="Arial Narrow" w:hAnsi="Arial Narrow" w:cs="Arial"/>
                <w:lang w:val="es-ES" w:eastAsia="es-ES"/>
              </w:rPr>
            </w:pPr>
            <w:r>
              <w:rPr>
                <w:rFonts w:ascii="Arial Narrow" w:hAnsi="Arial Narrow" w:cs="Arial"/>
                <w:lang w:val="es-ES" w:eastAsia="es-ES"/>
              </w:rPr>
              <w:t>50</w:t>
            </w:r>
          </w:p>
        </w:tc>
      </w:tr>
      <w:tr w:rsidR="0007453D" w:rsidRPr="00D948FA" w:rsidTr="00AD0614">
        <w:trPr>
          <w:trHeight w:val="284"/>
          <w:jc w:val="center"/>
        </w:trPr>
        <w:tc>
          <w:tcPr>
            <w:tcW w:w="6355" w:type="dxa"/>
            <w:tcBorders>
              <w:top w:val="single" w:sz="4" w:space="0" w:color="auto"/>
              <w:bottom w:val="single" w:sz="2" w:space="0" w:color="auto"/>
            </w:tcBorders>
            <w:vAlign w:val="center"/>
          </w:tcPr>
          <w:p w:rsidR="0007453D" w:rsidRPr="00D948FA" w:rsidRDefault="0007453D" w:rsidP="00AD0614">
            <w:pPr>
              <w:spacing w:after="0"/>
              <w:ind w:firstLine="0"/>
              <w:jc w:val="left"/>
              <w:rPr>
                <w:rFonts w:ascii="Arial Narrow" w:hAnsi="Arial Narrow" w:cs="Arial"/>
                <w:lang w:val="es-ES" w:eastAsia="es-ES"/>
              </w:rPr>
            </w:pPr>
            <w:r>
              <w:rPr>
                <w:rFonts w:ascii="Arial Narrow" w:hAnsi="Arial Narrow" w:cs="Arial"/>
                <w:lang w:val="es-ES" w:eastAsia="es-ES"/>
              </w:rPr>
              <w:t>Ayudas a familias navarras sin medios de subsistencia</w:t>
            </w:r>
          </w:p>
        </w:tc>
        <w:tc>
          <w:tcPr>
            <w:tcW w:w="2474" w:type="dxa"/>
            <w:tcBorders>
              <w:top w:val="single" w:sz="4" w:space="0" w:color="auto"/>
              <w:bottom w:val="single" w:sz="2" w:space="0" w:color="auto"/>
            </w:tcBorders>
            <w:vAlign w:val="center"/>
          </w:tcPr>
          <w:p w:rsidR="0007453D" w:rsidRPr="00D948FA" w:rsidRDefault="0007453D" w:rsidP="002B0232">
            <w:pPr>
              <w:spacing w:after="0"/>
              <w:ind w:firstLine="0"/>
              <w:jc w:val="right"/>
              <w:rPr>
                <w:rFonts w:ascii="Arial Narrow" w:hAnsi="Arial Narrow" w:cs="Arial"/>
                <w:lang w:val="es-ES" w:eastAsia="es-ES"/>
              </w:rPr>
            </w:pPr>
            <w:r>
              <w:rPr>
                <w:rFonts w:ascii="Arial Narrow" w:hAnsi="Arial Narrow" w:cs="Arial"/>
                <w:lang w:val="es-ES" w:eastAsia="es-ES"/>
              </w:rPr>
              <w:t>4.217</w:t>
            </w:r>
          </w:p>
        </w:tc>
      </w:tr>
      <w:tr w:rsidR="0007453D" w:rsidRPr="00D948FA" w:rsidTr="00AD0614">
        <w:trPr>
          <w:trHeight w:val="284"/>
          <w:jc w:val="center"/>
        </w:trPr>
        <w:tc>
          <w:tcPr>
            <w:tcW w:w="6355" w:type="dxa"/>
            <w:tcBorders>
              <w:top w:val="single" w:sz="2" w:space="0" w:color="auto"/>
              <w:bottom w:val="single" w:sz="2" w:space="0" w:color="auto"/>
            </w:tcBorders>
            <w:vAlign w:val="center"/>
          </w:tcPr>
          <w:p w:rsidR="0007453D" w:rsidRPr="00D948FA" w:rsidRDefault="0007453D" w:rsidP="00AD0614">
            <w:pPr>
              <w:spacing w:after="0"/>
              <w:ind w:firstLine="0"/>
              <w:jc w:val="left"/>
              <w:rPr>
                <w:rFonts w:ascii="Arial Narrow" w:hAnsi="Arial Narrow" w:cs="Arial"/>
                <w:lang w:val="es-ES" w:eastAsia="es-ES"/>
              </w:rPr>
            </w:pPr>
            <w:r>
              <w:rPr>
                <w:rFonts w:ascii="Arial Narrow" w:hAnsi="Arial Narrow" w:cs="Arial"/>
                <w:lang w:val="es-ES" w:eastAsia="es-ES"/>
              </w:rPr>
              <w:t>Aportación Fundación Cener-CIEMAT para amortización de préstamos</w:t>
            </w:r>
          </w:p>
        </w:tc>
        <w:tc>
          <w:tcPr>
            <w:tcW w:w="2474" w:type="dxa"/>
            <w:tcBorders>
              <w:top w:val="single" w:sz="2" w:space="0" w:color="auto"/>
              <w:bottom w:val="single" w:sz="2" w:space="0" w:color="auto"/>
            </w:tcBorders>
            <w:vAlign w:val="center"/>
          </w:tcPr>
          <w:p w:rsidR="0007453D" w:rsidRPr="00D948FA" w:rsidRDefault="0007453D" w:rsidP="002B0232">
            <w:pPr>
              <w:spacing w:after="0"/>
              <w:ind w:firstLine="0"/>
              <w:jc w:val="right"/>
              <w:rPr>
                <w:rFonts w:ascii="Arial Narrow" w:hAnsi="Arial Narrow" w:cs="Arial"/>
                <w:lang w:val="es-ES" w:eastAsia="es-ES"/>
              </w:rPr>
            </w:pPr>
            <w:r>
              <w:rPr>
                <w:rFonts w:ascii="Arial Narrow" w:hAnsi="Arial Narrow" w:cs="Arial"/>
                <w:lang w:val="es-ES" w:eastAsia="es-ES"/>
              </w:rPr>
              <w:t>2.461</w:t>
            </w:r>
          </w:p>
        </w:tc>
      </w:tr>
      <w:tr w:rsidR="0007453D" w:rsidRPr="00932A3E" w:rsidTr="00AD0614">
        <w:trPr>
          <w:trHeight w:val="284"/>
          <w:jc w:val="center"/>
        </w:trPr>
        <w:tc>
          <w:tcPr>
            <w:tcW w:w="6355" w:type="dxa"/>
            <w:tcBorders>
              <w:top w:val="single" w:sz="2" w:space="0" w:color="auto"/>
              <w:bottom w:val="single" w:sz="2" w:space="0" w:color="auto"/>
            </w:tcBorders>
            <w:vAlign w:val="center"/>
          </w:tcPr>
          <w:p w:rsidR="0007453D" w:rsidRPr="00932A3E" w:rsidRDefault="0007453D" w:rsidP="00AD0614">
            <w:pPr>
              <w:spacing w:after="0"/>
              <w:ind w:firstLine="0"/>
              <w:jc w:val="left"/>
              <w:rPr>
                <w:rFonts w:ascii="Arial Narrow" w:hAnsi="Arial Narrow" w:cs="Arial"/>
                <w:lang w:val="es-ES" w:eastAsia="es-ES"/>
              </w:rPr>
            </w:pPr>
            <w:r>
              <w:rPr>
                <w:rFonts w:ascii="Arial Narrow" w:hAnsi="Arial Narrow" w:cs="Arial"/>
                <w:lang w:val="es-ES" w:eastAsia="es-ES"/>
              </w:rPr>
              <w:t>Aportación Convenio Económico con el Estado</w:t>
            </w:r>
          </w:p>
        </w:tc>
        <w:tc>
          <w:tcPr>
            <w:tcW w:w="2474" w:type="dxa"/>
            <w:tcBorders>
              <w:top w:val="single" w:sz="2" w:space="0" w:color="auto"/>
              <w:bottom w:val="single" w:sz="2" w:space="0" w:color="auto"/>
            </w:tcBorders>
            <w:vAlign w:val="center"/>
          </w:tcPr>
          <w:p w:rsidR="0007453D" w:rsidRPr="00932A3E" w:rsidRDefault="0007453D" w:rsidP="002B0232">
            <w:pPr>
              <w:spacing w:after="0"/>
              <w:ind w:firstLine="0"/>
              <w:jc w:val="right"/>
              <w:rPr>
                <w:rFonts w:ascii="Arial Narrow" w:hAnsi="Arial Narrow" w:cs="Arial"/>
                <w:lang w:val="es-ES" w:eastAsia="es-ES"/>
              </w:rPr>
            </w:pPr>
            <w:r>
              <w:rPr>
                <w:rFonts w:ascii="Arial Narrow" w:hAnsi="Arial Narrow" w:cs="Arial"/>
                <w:lang w:val="es-ES" w:eastAsia="es-ES"/>
              </w:rPr>
              <w:t>32.487</w:t>
            </w:r>
          </w:p>
        </w:tc>
      </w:tr>
      <w:tr w:rsidR="0007453D" w:rsidRPr="00D948FA" w:rsidTr="00AD0614">
        <w:trPr>
          <w:trHeight w:val="284"/>
          <w:jc w:val="center"/>
        </w:trPr>
        <w:tc>
          <w:tcPr>
            <w:tcW w:w="6355" w:type="dxa"/>
            <w:tcBorders>
              <w:top w:val="single" w:sz="2" w:space="0" w:color="auto"/>
              <w:bottom w:val="single" w:sz="2" w:space="0" w:color="auto"/>
            </w:tcBorders>
            <w:vAlign w:val="center"/>
          </w:tcPr>
          <w:p w:rsidR="0007453D" w:rsidRPr="00D948FA" w:rsidRDefault="0007453D" w:rsidP="00AD0614">
            <w:pPr>
              <w:spacing w:after="0"/>
              <w:ind w:firstLine="0"/>
              <w:jc w:val="left"/>
              <w:rPr>
                <w:rFonts w:ascii="Arial Narrow" w:hAnsi="Arial Narrow" w:cs="Arial"/>
                <w:lang w:val="es-ES" w:eastAsia="es-ES"/>
              </w:rPr>
            </w:pPr>
            <w:r>
              <w:rPr>
                <w:rFonts w:ascii="Arial Narrow" w:hAnsi="Arial Narrow" w:cs="Arial"/>
                <w:lang w:val="es-ES" w:eastAsia="es-ES"/>
              </w:rPr>
              <w:t>Fondo general transferencias corrientes EELL</w:t>
            </w:r>
          </w:p>
        </w:tc>
        <w:tc>
          <w:tcPr>
            <w:tcW w:w="2474" w:type="dxa"/>
            <w:tcBorders>
              <w:top w:val="single" w:sz="2" w:space="0" w:color="auto"/>
              <w:bottom w:val="single" w:sz="2" w:space="0" w:color="auto"/>
            </w:tcBorders>
            <w:vAlign w:val="center"/>
          </w:tcPr>
          <w:p w:rsidR="0007453D" w:rsidRPr="00D948FA" w:rsidRDefault="0007453D" w:rsidP="002B0232">
            <w:pPr>
              <w:spacing w:after="0"/>
              <w:ind w:firstLine="0"/>
              <w:jc w:val="right"/>
              <w:rPr>
                <w:rFonts w:ascii="Arial Narrow" w:hAnsi="Arial Narrow" w:cs="Arial"/>
                <w:lang w:val="es-ES" w:eastAsia="es-ES"/>
              </w:rPr>
            </w:pPr>
            <w:r>
              <w:rPr>
                <w:rFonts w:ascii="Arial Narrow" w:hAnsi="Arial Narrow" w:cs="Arial"/>
                <w:lang w:val="es-ES" w:eastAsia="es-ES"/>
              </w:rPr>
              <w:t>5.031</w:t>
            </w:r>
          </w:p>
        </w:tc>
      </w:tr>
      <w:tr w:rsidR="0007453D" w:rsidRPr="00D948FA" w:rsidTr="002418AD">
        <w:trPr>
          <w:trHeight w:val="284"/>
          <w:jc w:val="center"/>
        </w:trPr>
        <w:tc>
          <w:tcPr>
            <w:tcW w:w="6355" w:type="dxa"/>
            <w:tcBorders>
              <w:top w:val="single" w:sz="2" w:space="0" w:color="auto"/>
              <w:bottom w:val="single" w:sz="4" w:space="0" w:color="auto"/>
            </w:tcBorders>
            <w:vAlign w:val="center"/>
          </w:tcPr>
          <w:p w:rsidR="0007453D" w:rsidRPr="00D948FA" w:rsidRDefault="0007453D" w:rsidP="00AD0614">
            <w:pPr>
              <w:spacing w:after="0"/>
              <w:ind w:firstLine="0"/>
              <w:jc w:val="left"/>
              <w:rPr>
                <w:rFonts w:ascii="Arial Narrow" w:hAnsi="Arial Narrow" w:cs="Arial"/>
                <w:lang w:val="es-ES" w:eastAsia="es-ES"/>
              </w:rPr>
            </w:pPr>
            <w:r>
              <w:rPr>
                <w:rFonts w:ascii="Arial Narrow" w:hAnsi="Arial Narrow" w:cs="Arial"/>
                <w:lang w:val="es-ES" w:eastAsia="es-ES"/>
              </w:rPr>
              <w:t>Carta de capitalidad de Pamplona</w:t>
            </w:r>
          </w:p>
        </w:tc>
        <w:tc>
          <w:tcPr>
            <w:tcW w:w="2474" w:type="dxa"/>
            <w:tcBorders>
              <w:top w:val="single" w:sz="2" w:space="0" w:color="auto"/>
              <w:bottom w:val="single" w:sz="4" w:space="0" w:color="auto"/>
            </w:tcBorders>
            <w:vAlign w:val="center"/>
          </w:tcPr>
          <w:p w:rsidR="0007453D" w:rsidRPr="00D948FA" w:rsidRDefault="0007453D" w:rsidP="002B0232">
            <w:pPr>
              <w:spacing w:after="0"/>
              <w:ind w:firstLine="0"/>
              <w:jc w:val="right"/>
              <w:rPr>
                <w:rFonts w:ascii="Arial Narrow" w:hAnsi="Arial Narrow" w:cs="Arial"/>
                <w:lang w:val="es-ES" w:eastAsia="es-ES"/>
              </w:rPr>
            </w:pPr>
            <w:r>
              <w:rPr>
                <w:rFonts w:ascii="Arial Narrow" w:hAnsi="Arial Narrow" w:cs="Arial"/>
                <w:lang w:val="es-ES" w:eastAsia="es-ES"/>
              </w:rPr>
              <w:t>662</w:t>
            </w:r>
          </w:p>
        </w:tc>
      </w:tr>
      <w:tr w:rsidR="0007453D" w:rsidRPr="00AD0614" w:rsidTr="002418AD">
        <w:trPr>
          <w:trHeight w:val="284"/>
          <w:jc w:val="center"/>
        </w:trPr>
        <w:tc>
          <w:tcPr>
            <w:tcW w:w="6355" w:type="dxa"/>
            <w:tcBorders>
              <w:top w:val="single" w:sz="4" w:space="0" w:color="auto"/>
              <w:bottom w:val="single" w:sz="4" w:space="0" w:color="auto"/>
            </w:tcBorders>
            <w:shd w:val="clear" w:color="auto" w:fill="A8CBEE" w:themeFill="accent2" w:themeFillTint="66"/>
            <w:vAlign w:val="center"/>
          </w:tcPr>
          <w:p w:rsidR="0007453D" w:rsidRPr="00AD0614" w:rsidRDefault="0007453D" w:rsidP="00AD0614">
            <w:pPr>
              <w:spacing w:after="0"/>
              <w:ind w:left="50" w:firstLine="0"/>
              <w:jc w:val="left"/>
              <w:rPr>
                <w:rFonts w:ascii="Arial" w:hAnsi="Arial" w:cs="Arial"/>
                <w:bCs/>
                <w:color w:val="000000"/>
                <w:sz w:val="18"/>
                <w:szCs w:val="18"/>
                <w:lang w:val="es-ES" w:eastAsia="es-ES"/>
              </w:rPr>
            </w:pPr>
            <w:r w:rsidRPr="00AD0614">
              <w:rPr>
                <w:rFonts w:ascii="Arial" w:hAnsi="Arial" w:cs="Arial"/>
                <w:bCs/>
                <w:color w:val="000000"/>
                <w:sz w:val="18"/>
                <w:szCs w:val="18"/>
                <w:lang w:val="es-ES" w:eastAsia="es-ES"/>
              </w:rPr>
              <w:t>Total Fondo Prórroga</w:t>
            </w:r>
          </w:p>
        </w:tc>
        <w:tc>
          <w:tcPr>
            <w:tcW w:w="2474" w:type="dxa"/>
            <w:tcBorders>
              <w:top w:val="single" w:sz="4" w:space="0" w:color="auto"/>
              <w:bottom w:val="single" w:sz="4" w:space="0" w:color="auto"/>
            </w:tcBorders>
            <w:shd w:val="clear" w:color="auto" w:fill="A8CBEE" w:themeFill="accent2" w:themeFillTint="66"/>
            <w:vAlign w:val="center"/>
          </w:tcPr>
          <w:p w:rsidR="0007453D" w:rsidRPr="00AD0614" w:rsidRDefault="0007453D" w:rsidP="002B0232">
            <w:pPr>
              <w:spacing w:after="0"/>
              <w:ind w:left="50" w:firstLine="0"/>
              <w:jc w:val="right"/>
              <w:rPr>
                <w:rFonts w:ascii="Arial" w:hAnsi="Arial" w:cs="Arial"/>
                <w:bCs/>
                <w:color w:val="000000"/>
                <w:sz w:val="18"/>
                <w:szCs w:val="18"/>
                <w:lang w:val="es-ES" w:eastAsia="es-ES"/>
              </w:rPr>
            </w:pPr>
            <w:r w:rsidRPr="00AD0614">
              <w:rPr>
                <w:rFonts w:ascii="Arial" w:hAnsi="Arial" w:cs="Arial"/>
                <w:bCs/>
                <w:color w:val="000000"/>
                <w:sz w:val="18"/>
                <w:szCs w:val="18"/>
                <w:lang w:val="es-ES" w:eastAsia="es-ES"/>
              </w:rPr>
              <w:t>44.908</w:t>
            </w:r>
          </w:p>
        </w:tc>
      </w:tr>
    </w:tbl>
    <w:p w:rsidR="0007453D" w:rsidRDefault="003C3609" w:rsidP="003C3AD4">
      <w:pPr>
        <w:pStyle w:val="texto"/>
        <w:spacing w:before="180"/>
        <w:rPr>
          <w:lang w:val="es-ES"/>
        </w:rPr>
      </w:pPr>
      <w:r>
        <w:rPr>
          <w:lang w:val="es-ES"/>
        </w:rPr>
        <w:t>Por su parte, el Fondo de Contingencia se destin</w:t>
      </w:r>
      <w:r w:rsidR="000D4F72">
        <w:rPr>
          <w:lang w:val="es-ES"/>
        </w:rPr>
        <w:t>ó</w:t>
      </w:r>
      <w:r>
        <w:rPr>
          <w:lang w:val="es-ES"/>
        </w:rPr>
        <w:t>, por</w:t>
      </w:r>
      <w:r w:rsidR="0007453D">
        <w:rPr>
          <w:lang w:val="es-ES"/>
        </w:rPr>
        <w:t xml:space="preserve"> acuerdo del Gobierno de Nava</w:t>
      </w:r>
      <w:r>
        <w:rPr>
          <w:lang w:val="es-ES"/>
        </w:rPr>
        <w:t xml:space="preserve">rra, </w:t>
      </w:r>
      <w:r w:rsidR="0007453D">
        <w:rPr>
          <w:lang w:val="es-ES"/>
        </w:rPr>
        <w:t>a financiar, conjuntamente con otras fuentes de financiación, dive</w:t>
      </w:r>
      <w:r w:rsidR="0007453D">
        <w:rPr>
          <w:lang w:val="es-ES"/>
        </w:rPr>
        <w:t>r</w:t>
      </w:r>
      <w:r w:rsidR="0007453D">
        <w:rPr>
          <w:lang w:val="es-ES"/>
        </w:rPr>
        <w:t>sas partidas de gastos del capítulo 1.</w:t>
      </w:r>
    </w:p>
    <w:p w:rsidR="005406FC" w:rsidRPr="0032532A" w:rsidRDefault="005406FC" w:rsidP="005406FC">
      <w:pPr>
        <w:pStyle w:val="texto"/>
        <w:spacing w:after="100"/>
        <w:rPr>
          <w:lang w:val="es-ES"/>
        </w:rPr>
      </w:pPr>
      <w:r w:rsidRPr="0032532A">
        <w:rPr>
          <w:lang w:val="es-ES"/>
        </w:rPr>
        <w:t xml:space="preserve">La Cámara de Comptos </w:t>
      </w:r>
      <w:r w:rsidR="0066463C">
        <w:rPr>
          <w:lang w:val="es-ES"/>
        </w:rPr>
        <w:t>ha emitido</w:t>
      </w:r>
      <w:r w:rsidRPr="0032532A">
        <w:rPr>
          <w:lang w:val="es-ES"/>
        </w:rPr>
        <w:t>, a solicitud del Parlamento</w:t>
      </w:r>
      <w:r w:rsidR="00335EF7">
        <w:rPr>
          <w:lang w:val="es-ES"/>
        </w:rPr>
        <w:t xml:space="preserve"> y de acuerdo con la normativa vigente</w:t>
      </w:r>
      <w:r w:rsidRPr="0032532A">
        <w:rPr>
          <w:lang w:val="es-ES"/>
        </w:rPr>
        <w:t>, informes de legalidad sobre las modificaciones pr</w:t>
      </w:r>
      <w:r w:rsidRPr="0032532A">
        <w:rPr>
          <w:lang w:val="es-ES"/>
        </w:rPr>
        <w:t>e</w:t>
      </w:r>
      <w:r w:rsidRPr="0032532A">
        <w:rPr>
          <w:lang w:val="es-ES"/>
        </w:rPr>
        <w:t>supuestarias del ejercicio</w:t>
      </w:r>
      <w:r w:rsidR="003D6089">
        <w:rPr>
          <w:lang w:val="es-ES"/>
        </w:rPr>
        <w:t xml:space="preserve"> cuya competencia corresponde al </w:t>
      </w:r>
      <w:r w:rsidR="008E1787">
        <w:rPr>
          <w:lang w:val="es-ES"/>
        </w:rPr>
        <w:t>c</w:t>
      </w:r>
      <w:r w:rsidR="003D6089">
        <w:rPr>
          <w:lang w:val="es-ES"/>
        </w:rPr>
        <w:t>onsejero de H</w:t>
      </w:r>
      <w:r w:rsidR="003D6089">
        <w:rPr>
          <w:lang w:val="es-ES"/>
        </w:rPr>
        <w:t>a</w:t>
      </w:r>
      <w:r w:rsidR="003D6089">
        <w:rPr>
          <w:lang w:val="es-ES"/>
        </w:rPr>
        <w:t>cienda</w:t>
      </w:r>
      <w:r w:rsidRPr="0032532A">
        <w:rPr>
          <w:lang w:val="es-ES"/>
        </w:rPr>
        <w:t xml:space="preserve"> concluyendo que fueron aprobadas por el órgano competente y se resp</w:t>
      </w:r>
      <w:r w:rsidRPr="0032532A">
        <w:rPr>
          <w:lang w:val="es-ES"/>
        </w:rPr>
        <w:t>e</w:t>
      </w:r>
      <w:r w:rsidRPr="0032532A">
        <w:rPr>
          <w:lang w:val="es-ES"/>
        </w:rPr>
        <w:t>taron las limitaciones legales establecidas en la normativa presupuestaria apr</w:t>
      </w:r>
      <w:r w:rsidRPr="0032532A">
        <w:rPr>
          <w:lang w:val="es-ES"/>
        </w:rPr>
        <w:t>o</w:t>
      </w:r>
      <w:r w:rsidRPr="0032532A">
        <w:rPr>
          <w:lang w:val="es-ES"/>
        </w:rPr>
        <w:t xml:space="preserve">bada, entre ellas, la pertinencia de las fuentes de financiación. </w:t>
      </w:r>
      <w:r w:rsidR="003D6089">
        <w:rPr>
          <w:lang w:val="es-ES"/>
        </w:rPr>
        <w:t>El importe total de modificaciones informadas por esta Cámara asciende a 285,22 millones.</w:t>
      </w:r>
    </w:p>
    <w:p w:rsidR="0032532A" w:rsidRDefault="001460F6" w:rsidP="003D36F8">
      <w:pPr>
        <w:pStyle w:val="texto"/>
        <w:spacing w:after="100"/>
        <w:rPr>
          <w:lang w:val="es-ES"/>
        </w:rPr>
      </w:pPr>
      <w:r>
        <w:rPr>
          <w:lang w:val="es-ES"/>
        </w:rPr>
        <w:t xml:space="preserve">En 2015, no constan específicamente bloqueos de partidas. Sólo constan </w:t>
      </w:r>
      <w:r>
        <w:t>r</w:t>
      </w:r>
      <w:r>
        <w:t>e</w:t>
      </w:r>
      <w:r>
        <w:t>tenciones de crédito para financiar posteriormente modificaciones presupuest</w:t>
      </w:r>
      <w:r>
        <w:t>a</w:t>
      </w:r>
      <w:r>
        <w:t>rias</w:t>
      </w:r>
      <w:r w:rsidR="00BA2452">
        <w:t>.</w:t>
      </w:r>
      <w:r>
        <w:t xml:space="preserve"> </w:t>
      </w:r>
      <w:r w:rsidR="00AA7F87" w:rsidRPr="000E2288">
        <w:rPr>
          <w:lang w:val="es-ES"/>
        </w:rPr>
        <w:t xml:space="preserve">Los créditos </w:t>
      </w:r>
      <w:r w:rsidR="00AA7F87">
        <w:rPr>
          <w:lang w:val="es-ES"/>
        </w:rPr>
        <w:t xml:space="preserve">en </w:t>
      </w:r>
      <w:r w:rsidR="00AA7F87">
        <w:t>situación de no disponibilidad</w:t>
      </w:r>
      <w:r>
        <w:t xml:space="preserve"> a final del ejercicio</w:t>
      </w:r>
      <w:r w:rsidR="00AA7F87">
        <w:t xml:space="preserve"> </w:t>
      </w:r>
      <w:r w:rsidR="00335EF7">
        <w:t xml:space="preserve">suponen </w:t>
      </w:r>
      <w:r w:rsidR="00335EF7">
        <w:lastRenderedPageBreak/>
        <w:t>un total de</w:t>
      </w:r>
      <w:r w:rsidR="00AA7F87">
        <w:t xml:space="preserve"> 5,88 millones del Departamento de Desarrollo Rural, Medio A</w:t>
      </w:r>
      <w:r w:rsidR="00AA7F87">
        <w:t>m</w:t>
      </w:r>
      <w:r w:rsidR="00AA7F87">
        <w:t>biente y Administración Local</w:t>
      </w:r>
      <w:r>
        <w:t xml:space="preserve"> y </w:t>
      </w:r>
      <w:r w:rsidR="00482FB0">
        <w:t>corresponden a</w:t>
      </w:r>
      <w:r w:rsidR="00DD5216">
        <w:t>l Plan de Infraestructuras Loc</w:t>
      </w:r>
      <w:r w:rsidR="00DD5216">
        <w:t>a</w:t>
      </w:r>
      <w:r w:rsidR="00DD5216">
        <w:t>les que se</w:t>
      </w:r>
      <w:r w:rsidR="00AA7F87">
        <w:t xml:space="preserve"> financia con Remanente de Tesorería</w:t>
      </w:r>
      <w:r w:rsidR="00DD5216">
        <w:t xml:space="preserve"> afectado.</w:t>
      </w:r>
      <w:r w:rsidR="00AA7F87" w:rsidRPr="000E2288">
        <w:rPr>
          <w:lang w:val="es-ES"/>
        </w:rPr>
        <w:t xml:space="preserve"> </w:t>
      </w:r>
    </w:p>
    <w:p w:rsidR="00311B39" w:rsidRPr="00A25F2D" w:rsidRDefault="00311B39" w:rsidP="00311B39">
      <w:pPr>
        <w:pStyle w:val="texto"/>
        <w:spacing w:after="100"/>
        <w:rPr>
          <w:lang w:val="es-ES"/>
        </w:rPr>
      </w:pPr>
      <w:r w:rsidRPr="00A25F2D">
        <w:rPr>
          <w:lang w:val="es-ES"/>
        </w:rPr>
        <w:t>Así mismo, y tal como se indicaba en el informe de</w:t>
      </w:r>
      <w:r w:rsidR="00012A8F">
        <w:rPr>
          <w:lang w:val="es-ES"/>
        </w:rPr>
        <w:t xml:space="preserve"> cuentas generales de</w:t>
      </w:r>
      <w:r w:rsidRPr="00A25F2D">
        <w:rPr>
          <w:lang w:val="es-ES"/>
        </w:rPr>
        <w:t xml:space="preserve"> 2014, el presupuesto inicial </w:t>
      </w:r>
      <w:r>
        <w:rPr>
          <w:lang w:val="es-ES"/>
        </w:rPr>
        <w:t xml:space="preserve">de gastos </w:t>
      </w:r>
      <w:r w:rsidRPr="00A25F2D">
        <w:rPr>
          <w:lang w:val="es-ES"/>
        </w:rPr>
        <w:t>de 2015 incluye un crédito de 20 mill</w:t>
      </w:r>
      <w:r w:rsidRPr="00A25F2D">
        <w:rPr>
          <w:lang w:val="es-ES"/>
        </w:rPr>
        <w:t>o</w:t>
      </w:r>
      <w:r w:rsidRPr="00A25F2D">
        <w:rPr>
          <w:lang w:val="es-ES"/>
        </w:rPr>
        <w:t>nes para el citado Plan</w:t>
      </w:r>
      <w:r w:rsidR="00853B51">
        <w:rPr>
          <w:lang w:val="es-ES"/>
        </w:rPr>
        <w:t xml:space="preserve"> de Infraestructuras</w:t>
      </w:r>
      <w:r w:rsidRPr="00A25F2D">
        <w:rPr>
          <w:lang w:val="es-ES"/>
        </w:rPr>
        <w:t xml:space="preserve"> que se financia con </w:t>
      </w:r>
      <w:r>
        <w:rPr>
          <w:lang w:val="es-ES"/>
        </w:rPr>
        <w:t>remanente de t</w:t>
      </w:r>
      <w:r>
        <w:rPr>
          <w:lang w:val="es-ES"/>
        </w:rPr>
        <w:t>e</w:t>
      </w:r>
      <w:r>
        <w:rPr>
          <w:lang w:val="es-ES"/>
        </w:rPr>
        <w:t>sorería afectado; e</w:t>
      </w:r>
      <w:r w:rsidRPr="00A25F2D">
        <w:rPr>
          <w:lang w:val="es-ES"/>
        </w:rPr>
        <w:t>n nuestra opinión, tal operación debía haberse incorporado a ese presupuesto inicial mediante la oportuna modificación presupuestaria.</w:t>
      </w:r>
      <w:r>
        <w:rPr>
          <w:lang w:val="es-ES"/>
        </w:rPr>
        <w:t xml:space="preserve"> No obstante, </w:t>
      </w:r>
      <w:r w:rsidR="0086146F">
        <w:rPr>
          <w:lang w:val="es-ES"/>
        </w:rPr>
        <w:t>s</w:t>
      </w:r>
      <w:r w:rsidR="00BA2452">
        <w:rPr>
          <w:lang w:val="es-ES"/>
        </w:rPr>
        <w:t>í</w:t>
      </w:r>
      <w:r w:rsidR="0086146F">
        <w:rPr>
          <w:lang w:val="es-ES"/>
        </w:rPr>
        <w:t xml:space="preserve"> </w:t>
      </w:r>
      <w:r>
        <w:rPr>
          <w:lang w:val="es-ES"/>
        </w:rPr>
        <w:t>se ajusta el resultado presupuestario del ejercicio con las operaci</w:t>
      </w:r>
      <w:r>
        <w:rPr>
          <w:lang w:val="es-ES"/>
        </w:rPr>
        <w:t>o</w:t>
      </w:r>
      <w:r>
        <w:rPr>
          <w:lang w:val="es-ES"/>
        </w:rPr>
        <w:t xml:space="preserve">nes financiadas </w:t>
      </w:r>
      <w:r w:rsidR="007F3292">
        <w:rPr>
          <w:lang w:val="es-ES"/>
        </w:rPr>
        <w:t>con es</w:t>
      </w:r>
      <w:r>
        <w:rPr>
          <w:lang w:val="es-ES"/>
        </w:rPr>
        <w:t>e remanente afectado.</w:t>
      </w:r>
    </w:p>
    <w:p w:rsidR="00311B39" w:rsidRPr="00311B39" w:rsidRDefault="003D36F8" w:rsidP="003D36F8">
      <w:pPr>
        <w:pStyle w:val="texto"/>
        <w:spacing w:after="100"/>
        <w:rPr>
          <w:i/>
        </w:rPr>
      </w:pPr>
      <w:r w:rsidRPr="00311B39">
        <w:t>Recomendamos</w:t>
      </w:r>
      <w:r w:rsidR="00311B39">
        <w:t>:</w:t>
      </w:r>
      <w:r w:rsidRPr="00311B39">
        <w:rPr>
          <w:i/>
        </w:rPr>
        <w:t xml:space="preserve"> </w:t>
      </w:r>
    </w:p>
    <w:p w:rsidR="005406FC" w:rsidRPr="00311B39" w:rsidRDefault="00311B39" w:rsidP="00311B39">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i/>
        </w:rPr>
      </w:pPr>
      <w:r>
        <w:rPr>
          <w:i/>
        </w:rPr>
        <w:t>Completar</w:t>
      </w:r>
      <w:r w:rsidR="005406FC" w:rsidRPr="003D36F8">
        <w:rPr>
          <w:rFonts w:cs="Arial"/>
          <w:i/>
        </w:rPr>
        <w:t xml:space="preserve"> la regulación del procedimiento de prórroga presupuestaria en la Ley de Hacienda Pública,</w:t>
      </w:r>
      <w:r w:rsidR="003D36F8" w:rsidRPr="003D36F8">
        <w:rPr>
          <w:rFonts w:cs="Arial"/>
          <w:i/>
        </w:rPr>
        <w:t xml:space="preserve"> teniendo en cuenta</w:t>
      </w:r>
      <w:r w:rsidR="005406FC" w:rsidRPr="003D36F8">
        <w:rPr>
          <w:rFonts w:cs="Arial"/>
          <w:i/>
        </w:rPr>
        <w:t xml:space="preserve"> las exigencias de la Ley</w:t>
      </w:r>
      <w:r>
        <w:rPr>
          <w:rFonts w:cs="Arial"/>
          <w:i/>
        </w:rPr>
        <w:t xml:space="preserve"> Org</w:t>
      </w:r>
      <w:r>
        <w:rPr>
          <w:rFonts w:cs="Arial"/>
          <w:i/>
        </w:rPr>
        <w:t>á</w:t>
      </w:r>
      <w:r>
        <w:rPr>
          <w:rFonts w:cs="Arial"/>
          <w:i/>
        </w:rPr>
        <w:t>nica</w:t>
      </w:r>
      <w:r w:rsidR="005406FC" w:rsidRPr="003D36F8">
        <w:rPr>
          <w:rFonts w:cs="Arial"/>
          <w:i/>
        </w:rPr>
        <w:t xml:space="preserve"> de Estabilidad Presupuestaria y Sostenibilidad Financiera.</w:t>
      </w:r>
    </w:p>
    <w:p w:rsidR="00311B39" w:rsidRPr="003D36F8" w:rsidRDefault="00311B39" w:rsidP="00D14FF4">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360"/>
        <w:ind w:left="0" w:firstLine="289"/>
        <w:rPr>
          <w:i/>
        </w:rPr>
      </w:pPr>
      <w:r>
        <w:rPr>
          <w:i/>
        </w:rPr>
        <w:t>Los créditos inic</w:t>
      </w:r>
      <w:r w:rsidR="00D14FF4">
        <w:rPr>
          <w:i/>
        </w:rPr>
        <w:t>iales del presupuesto de gastos</w:t>
      </w:r>
      <w:r>
        <w:rPr>
          <w:i/>
        </w:rPr>
        <w:t xml:space="preserve"> no deben incluir aquellos gastos financiados con remanente de tesorería afectado.</w:t>
      </w:r>
    </w:p>
    <w:p w:rsidR="00D03E5F" w:rsidRDefault="00D03E5F" w:rsidP="0009411D">
      <w:pPr>
        <w:pStyle w:val="atitulo2"/>
        <w:spacing w:before="240"/>
      </w:pPr>
      <w:bookmarkStart w:id="44" w:name="_Toc463350249"/>
      <w:r>
        <w:t>IV.</w:t>
      </w:r>
      <w:r w:rsidR="00B31AA4">
        <w:t>3</w:t>
      </w:r>
      <w:r>
        <w:t xml:space="preserve">. Situación </w:t>
      </w:r>
      <w:r w:rsidR="00343CE7">
        <w:t>económico-financiera</w:t>
      </w:r>
      <w:r>
        <w:t xml:space="preserve"> </w:t>
      </w:r>
      <w:r w:rsidR="00450F0C">
        <w:t xml:space="preserve">del Gobierno de Navarra </w:t>
      </w:r>
      <w:r w:rsidR="00F91ADE">
        <w:t>y sus o</w:t>
      </w:r>
      <w:r w:rsidR="00F91ADE">
        <w:t>r</w:t>
      </w:r>
      <w:r w:rsidR="00F91ADE">
        <w:t xml:space="preserve">ganismos autónomos </w:t>
      </w:r>
      <w:r>
        <w:t>a 31 de diciembre de 201</w:t>
      </w:r>
      <w:r w:rsidR="00343CE7">
        <w:t>5.</w:t>
      </w:r>
      <w:bookmarkEnd w:id="44"/>
    </w:p>
    <w:p w:rsidR="00E44596" w:rsidRPr="001122DF" w:rsidRDefault="00E44596" w:rsidP="001122DF">
      <w:pPr>
        <w:pStyle w:val="texto"/>
        <w:tabs>
          <w:tab w:val="clear" w:pos="2835"/>
          <w:tab w:val="clear" w:pos="3969"/>
          <w:tab w:val="clear" w:pos="5103"/>
          <w:tab w:val="clear" w:pos="6237"/>
          <w:tab w:val="clear" w:pos="7371"/>
          <w:tab w:val="left" w:pos="480"/>
        </w:tabs>
        <w:rPr>
          <w:lang w:val="es-ES"/>
        </w:rPr>
      </w:pPr>
      <w:r w:rsidRPr="001122DF">
        <w:rPr>
          <w:lang w:val="es-ES"/>
        </w:rPr>
        <w:t>Los presupuestos prorrogados de 2015 parten de una dotación inicial de cr</w:t>
      </w:r>
      <w:r w:rsidRPr="001122DF">
        <w:rPr>
          <w:lang w:val="es-ES"/>
        </w:rPr>
        <w:t>é</w:t>
      </w:r>
      <w:r w:rsidRPr="001122DF">
        <w:rPr>
          <w:lang w:val="es-ES"/>
        </w:rPr>
        <w:t>ditos para gastos e ingresos de 3.837,72 millones de euros, importe idéntico al contemplado en los presupuestos de 2012.</w:t>
      </w:r>
    </w:p>
    <w:p w:rsidR="00D2533B" w:rsidRPr="001122DF" w:rsidRDefault="00D2533B" w:rsidP="001122DF">
      <w:pPr>
        <w:pStyle w:val="texto"/>
        <w:tabs>
          <w:tab w:val="clear" w:pos="2835"/>
          <w:tab w:val="clear" w:pos="3969"/>
          <w:tab w:val="clear" w:pos="5103"/>
          <w:tab w:val="clear" w:pos="6237"/>
          <w:tab w:val="clear" w:pos="7371"/>
          <w:tab w:val="left" w:pos="480"/>
        </w:tabs>
        <w:rPr>
          <w:lang w:val="es-ES"/>
        </w:rPr>
      </w:pPr>
      <w:r w:rsidRPr="001122DF">
        <w:rPr>
          <w:lang w:val="es-ES"/>
        </w:rPr>
        <w:t>Dentro de estos créditos iniciales se contempla</w:t>
      </w:r>
      <w:r w:rsidR="008F5B37">
        <w:rPr>
          <w:lang w:val="es-ES"/>
        </w:rPr>
        <w:t>n</w:t>
      </w:r>
      <w:r w:rsidR="00514548">
        <w:rPr>
          <w:lang w:val="es-ES"/>
        </w:rPr>
        <w:t xml:space="preserve"> en el capítulo 5 del Estado de Gastos</w:t>
      </w:r>
      <w:r w:rsidR="008F5B37">
        <w:rPr>
          <w:lang w:val="es-ES"/>
        </w:rPr>
        <w:t xml:space="preserve"> los ya citados </w:t>
      </w:r>
      <w:r w:rsidRPr="001122DF">
        <w:rPr>
          <w:lang w:val="es-ES"/>
        </w:rPr>
        <w:t>Fondo de Prórro</w:t>
      </w:r>
      <w:r w:rsidR="008F5B37">
        <w:rPr>
          <w:lang w:val="es-ES"/>
        </w:rPr>
        <w:t xml:space="preserve">ga –dotado con </w:t>
      </w:r>
      <w:r w:rsidRPr="001122DF">
        <w:rPr>
          <w:lang w:val="es-ES"/>
        </w:rPr>
        <w:t>44,91 millo</w:t>
      </w:r>
      <w:r w:rsidR="008F5B37">
        <w:rPr>
          <w:lang w:val="es-ES"/>
        </w:rPr>
        <w:t>nes</w:t>
      </w:r>
      <w:r w:rsidR="00AD0614">
        <w:rPr>
          <w:lang w:val="es-ES"/>
        </w:rPr>
        <w:t>–</w:t>
      </w:r>
      <w:r w:rsidR="008F5B37">
        <w:rPr>
          <w:lang w:val="es-ES"/>
        </w:rPr>
        <w:t xml:space="preserve"> y </w:t>
      </w:r>
      <w:r w:rsidR="00E35AC2">
        <w:rPr>
          <w:lang w:val="es-ES"/>
        </w:rPr>
        <w:t>Fondo de Contingencia</w:t>
      </w:r>
      <w:r w:rsidR="00AD0614">
        <w:rPr>
          <w:lang w:val="es-ES"/>
        </w:rPr>
        <w:t xml:space="preserve"> –dotado con un millón– y</w:t>
      </w:r>
      <w:r w:rsidR="005B70AB">
        <w:rPr>
          <w:lang w:val="es-ES"/>
        </w:rPr>
        <w:t xml:space="preserve"> en el capítulo 8 de Activos financieros de Ingresos, los ingresos de prórroga por 40,46 millones. </w:t>
      </w:r>
    </w:p>
    <w:p w:rsidR="00E44596" w:rsidRPr="001122DF" w:rsidRDefault="00E44596" w:rsidP="001122DF">
      <w:pPr>
        <w:pStyle w:val="texto"/>
        <w:tabs>
          <w:tab w:val="clear" w:pos="2835"/>
          <w:tab w:val="clear" w:pos="3969"/>
          <w:tab w:val="clear" w:pos="5103"/>
          <w:tab w:val="clear" w:pos="6237"/>
          <w:tab w:val="clear" w:pos="7371"/>
          <w:tab w:val="left" w:pos="480"/>
        </w:tabs>
        <w:rPr>
          <w:lang w:val="es-ES"/>
        </w:rPr>
      </w:pPr>
      <w:r w:rsidRPr="001122DF">
        <w:rPr>
          <w:lang w:val="es-ES"/>
        </w:rPr>
        <w:t>Los créditos iniciales para gastos experimentan vía modificaciones un i</w:t>
      </w:r>
      <w:r w:rsidRPr="001122DF">
        <w:rPr>
          <w:lang w:val="es-ES"/>
        </w:rPr>
        <w:t>n</w:t>
      </w:r>
      <w:r w:rsidRPr="001122DF">
        <w:rPr>
          <w:lang w:val="es-ES"/>
        </w:rPr>
        <w:t>cremento neto del 3,32 por ciento, es decir, de 127,</w:t>
      </w:r>
      <w:r w:rsidR="00657A5A">
        <w:rPr>
          <w:lang w:val="es-ES"/>
        </w:rPr>
        <w:t>32</w:t>
      </w:r>
      <w:r w:rsidRPr="001122DF">
        <w:rPr>
          <w:lang w:val="es-ES"/>
        </w:rPr>
        <w:t xml:space="preserve"> millones, alcanzando los créditos consolidados un importe de 3.965 millones. </w:t>
      </w:r>
    </w:p>
    <w:p w:rsidR="00EA71A7" w:rsidRDefault="00E44596" w:rsidP="001122DF">
      <w:pPr>
        <w:pStyle w:val="texto"/>
        <w:tabs>
          <w:tab w:val="clear" w:pos="2835"/>
          <w:tab w:val="clear" w:pos="3969"/>
          <w:tab w:val="clear" w:pos="5103"/>
          <w:tab w:val="clear" w:pos="6237"/>
          <w:tab w:val="clear" w:pos="7371"/>
          <w:tab w:val="left" w:pos="480"/>
        </w:tabs>
        <w:rPr>
          <w:lang w:val="es-ES"/>
        </w:rPr>
      </w:pPr>
      <w:r w:rsidRPr="001122DF">
        <w:rPr>
          <w:lang w:val="es-ES"/>
        </w:rPr>
        <w:t>Las obligaciones reconocidas en 201</w:t>
      </w:r>
      <w:r w:rsidR="0093411D" w:rsidRPr="001122DF">
        <w:rPr>
          <w:lang w:val="es-ES"/>
        </w:rPr>
        <w:t>5</w:t>
      </w:r>
      <w:r w:rsidRPr="001122DF">
        <w:rPr>
          <w:lang w:val="es-ES"/>
        </w:rPr>
        <w:t xml:space="preserve"> suponen un importe de 3.</w:t>
      </w:r>
      <w:r w:rsidR="0093411D" w:rsidRPr="001122DF">
        <w:rPr>
          <w:lang w:val="es-ES"/>
        </w:rPr>
        <w:t>913,96</w:t>
      </w:r>
      <w:r w:rsidRPr="001122DF">
        <w:rPr>
          <w:lang w:val="es-ES"/>
        </w:rPr>
        <w:t xml:space="preserve"> m</w:t>
      </w:r>
      <w:r w:rsidRPr="001122DF">
        <w:rPr>
          <w:lang w:val="es-ES"/>
        </w:rPr>
        <w:t>i</w:t>
      </w:r>
      <w:r w:rsidRPr="001122DF">
        <w:rPr>
          <w:lang w:val="es-ES"/>
        </w:rPr>
        <w:t>llones, con un grado de ejecución del 9</w:t>
      </w:r>
      <w:r w:rsidR="0093411D" w:rsidRPr="001122DF">
        <w:rPr>
          <w:lang w:val="es-ES"/>
        </w:rPr>
        <w:t>9</w:t>
      </w:r>
      <w:r w:rsidRPr="001122DF">
        <w:rPr>
          <w:lang w:val="es-ES"/>
        </w:rPr>
        <w:t xml:space="preserve"> por ciento.</w:t>
      </w:r>
      <w:r w:rsidR="00EA71A7">
        <w:rPr>
          <w:lang w:val="es-ES"/>
        </w:rPr>
        <w:t xml:space="preserve"> Se ha pagado el 95 por ciento de </w:t>
      </w:r>
      <w:r w:rsidR="004A3BA2">
        <w:rPr>
          <w:lang w:val="es-ES"/>
        </w:rPr>
        <w:t>esas obligaciones.</w:t>
      </w:r>
      <w:r w:rsidRPr="001122DF">
        <w:rPr>
          <w:lang w:val="es-ES"/>
        </w:rPr>
        <w:t xml:space="preserve"> </w:t>
      </w:r>
    </w:p>
    <w:p w:rsidR="00E44596" w:rsidRPr="001122DF" w:rsidRDefault="00E44596" w:rsidP="001122DF">
      <w:pPr>
        <w:pStyle w:val="texto"/>
        <w:tabs>
          <w:tab w:val="clear" w:pos="2835"/>
          <w:tab w:val="clear" w:pos="3969"/>
          <w:tab w:val="clear" w:pos="5103"/>
          <w:tab w:val="clear" w:pos="6237"/>
          <w:tab w:val="clear" w:pos="7371"/>
          <w:tab w:val="left" w:pos="480"/>
        </w:tabs>
        <w:rPr>
          <w:lang w:val="es-ES"/>
        </w:rPr>
      </w:pPr>
      <w:r w:rsidRPr="001122DF">
        <w:rPr>
          <w:lang w:val="es-ES"/>
        </w:rPr>
        <w:t xml:space="preserve">Los derechos reconocidos netos </w:t>
      </w:r>
      <w:r w:rsidR="0093411D" w:rsidRPr="001122DF">
        <w:rPr>
          <w:lang w:val="es-ES"/>
        </w:rPr>
        <w:t>ascienden a</w:t>
      </w:r>
      <w:r w:rsidRPr="001122DF">
        <w:rPr>
          <w:lang w:val="es-ES"/>
        </w:rPr>
        <w:t xml:space="preserve"> un total de 3.</w:t>
      </w:r>
      <w:r w:rsidR="0093411D" w:rsidRPr="001122DF">
        <w:rPr>
          <w:lang w:val="es-ES"/>
        </w:rPr>
        <w:t>876,56</w:t>
      </w:r>
      <w:r w:rsidRPr="001122DF">
        <w:rPr>
          <w:lang w:val="es-ES"/>
        </w:rPr>
        <w:t xml:space="preserve"> millones, con un grado de cumplimiento del 9</w:t>
      </w:r>
      <w:r w:rsidR="0093411D" w:rsidRPr="001122DF">
        <w:rPr>
          <w:lang w:val="es-ES"/>
        </w:rPr>
        <w:t>8</w:t>
      </w:r>
      <w:r w:rsidRPr="001122DF">
        <w:rPr>
          <w:lang w:val="es-ES"/>
        </w:rPr>
        <w:t xml:space="preserve"> por ciento</w:t>
      </w:r>
      <w:r w:rsidR="00EA71A7">
        <w:rPr>
          <w:lang w:val="es-ES"/>
        </w:rPr>
        <w:t xml:space="preserve"> y un porcentaje de recaudación neta del 97 por ciento</w:t>
      </w:r>
      <w:r w:rsidRPr="001122DF">
        <w:rPr>
          <w:lang w:val="es-ES"/>
        </w:rPr>
        <w:t xml:space="preserve">. </w:t>
      </w:r>
    </w:p>
    <w:p w:rsidR="0011458F" w:rsidRDefault="0011458F" w:rsidP="00AD0614">
      <w:pPr>
        <w:pStyle w:val="texto"/>
      </w:pPr>
    </w:p>
    <w:p w:rsidR="0011458F" w:rsidRDefault="0011458F" w:rsidP="00AD0614">
      <w:pPr>
        <w:pStyle w:val="texto"/>
      </w:pPr>
    </w:p>
    <w:p w:rsidR="0011458F" w:rsidRDefault="0011458F" w:rsidP="00AD0614">
      <w:pPr>
        <w:pStyle w:val="texto"/>
      </w:pPr>
    </w:p>
    <w:p w:rsidR="00E44596" w:rsidRPr="00D064AB" w:rsidRDefault="00E44596" w:rsidP="00AD0614">
      <w:pPr>
        <w:pStyle w:val="texto"/>
      </w:pPr>
      <w:r w:rsidRPr="00D064AB">
        <w:lastRenderedPageBreak/>
        <w:t>Sobre la ejecución general de 201</w:t>
      </w:r>
      <w:r w:rsidR="0093411D">
        <w:t>5</w:t>
      </w:r>
      <w:r w:rsidRPr="00D064AB">
        <w:t>, señalamos:</w:t>
      </w:r>
    </w:p>
    <w:p w:rsidR="00E44596" w:rsidRDefault="00E44596" w:rsidP="00AD0614">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120"/>
        <w:ind w:left="0" w:firstLine="289"/>
      </w:pPr>
      <w:r w:rsidRPr="00D064AB">
        <w:t>La financiación del gasto total se ha realizado en un 86 por ciento con i</w:t>
      </w:r>
      <w:r w:rsidRPr="00D064AB">
        <w:t>n</w:t>
      </w:r>
      <w:r w:rsidRPr="00D064AB">
        <w:t xml:space="preserve">gresos propios, un </w:t>
      </w:r>
      <w:r w:rsidR="001D02D9">
        <w:t>dos</w:t>
      </w:r>
      <w:r w:rsidRPr="00D064AB">
        <w:t xml:space="preserve"> por ciento por transferencias recibidas y un 12 por cie</w:t>
      </w:r>
      <w:r w:rsidRPr="00D064AB">
        <w:t>n</w:t>
      </w:r>
      <w:r w:rsidRPr="00D064AB">
        <w:t xml:space="preserve">to mediante endeudamiento. </w:t>
      </w:r>
    </w:p>
    <w:p w:rsidR="003409EF" w:rsidRDefault="00E44596" w:rsidP="00BF549C">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240"/>
        <w:ind w:left="0" w:firstLine="289"/>
      </w:pPr>
      <w:r w:rsidRPr="00CC53B7">
        <w:t>Cada 100 euros gastados por el Gobierno de Navarra en 201</w:t>
      </w:r>
      <w:r w:rsidR="0093411D">
        <w:t>5</w:t>
      </w:r>
      <w:r>
        <w:t xml:space="preserve"> </w:t>
      </w:r>
      <w:r w:rsidRPr="00CC53B7">
        <w:t>se han dest</w:t>
      </w:r>
      <w:r w:rsidRPr="00CC53B7">
        <w:t>i</w:t>
      </w:r>
      <w:r w:rsidRPr="00CC53B7">
        <w:t>nado y financiado de la siguiente mane</w:t>
      </w:r>
      <w:r>
        <w:t>ra:</w:t>
      </w:r>
    </w:p>
    <w:tbl>
      <w:tblPr>
        <w:tblW w:w="8846"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268"/>
        <w:gridCol w:w="960"/>
        <w:gridCol w:w="1152"/>
        <w:gridCol w:w="2280"/>
        <w:gridCol w:w="1164"/>
        <w:gridCol w:w="1022"/>
      </w:tblGrid>
      <w:tr w:rsidR="00E44596" w:rsidRPr="007B043B" w:rsidTr="00174F99">
        <w:trPr>
          <w:trHeight w:hRule="exact" w:val="413"/>
          <w:jc w:val="center"/>
        </w:trPr>
        <w:tc>
          <w:tcPr>
            <w:tcW w:w="2268" w:type="dxa"/>
            <w:shd w:val="clear" w:color="auto" w:fill="A8CBEE" w:themeFill="accent2" w:themeFillTint="66"/>
            <w:vAlign w:val="center"/>
          </w:tcPr>
          <w:p w:rsidR="00E44596" w:rsidRPr="007B043B" w:rsidRDefault="00E44596" w:rsidP="0099419F">
            <w:pPr>
              <w:pStyle w:val="cuadroCabe"/>
              <w:rPr>
                <w:rFonts w:cs="Arial"/>
              </w:rPr>
            </w:pPr>
            <w:r w:rsidRPr="007B043B">
              <w:rPr>
                <w:rFonts w:cs="Arial"/>
              </w:rPr>
              <w:t>Naturaleza del gasto</w:t>
            </w:r>
          </w:p>
        </w:tc>
        <w:tc>
          <w:tcPr>
            <w:tcW w:w="960" w:type="dxa"/>
            <w:tcBorders>
              <w:right w:val="nil"/>
            </w:tcBorders>
            <w:shd w:val="clear" w:color="auto" w:fill="A8CBEE" w:themeFill="accent2" w:themeFillTint="66"/>
            <w:vAlign w:val="center"/>
          </w:tcPr>
          <w:p w:rsidR="00174F99" w:rsidRDefault="00E44596" w:rsidP="00174F99">
            <w:pPr>
              <w:pStyle w:val="cuadroCabe"/>
              <w:tabs>
                <w:tab w:val="left" w:pos="1212"/>
              </w:tabs>
              <w:jc w:val="right"/>
              <w:rPr>
                <w:rFonts w:cs="Arial"/>
              </w:rPr>
            </w:pPr>
            <w:r w:rsidRPr="007B043B">
              <w:rPr>
                <w:rFonts w:cs="Arial"/>
              </w:rPr>
              <w:t>Importe</w:t>
            </w:r>
          </w:p>
          <w:p w:rsidR="00E44596" w:rsidRPr="007B043B" w:rsidRDefault="00E44596" w:rsidP="00174F99">
            <w:pPr>
              <w:pStyle w:val="cuadroCabe"/>
              <w:tabs>
                <w:tab w:val="left" w:pos="1212"/>
              </w:tabs>
              <w:jc w:val="right"/>
              <w:rPr>
                <w:rFonts w:cs="Arial"/>
              </w:rPr>
            </w:pPr>
            <w:r w:rsidRPr="007B043B">
              <w:rPr>
                <w:rFonts w:cs="Arial"/>
              </w:rPr>
              <w:t xml:space="preserve"> 201</w:t>
            </w:r>
            <w:r w:rsidR="0093411D">
              <w:rPr>
                <w:rFonts w:cs="Arial"/>
              </w:rPr>
              <w:t>4</w:t>
            </w:r>
          </w:p>
        </w:tc>
        <w:tc>
          <w:tcPr>
            <w:tcW w:w="1152" w:type="dxa"/>
            <w:tcBorders>
              <w:left w:val="nil"/>
              <w:right w:val="nil"/>
            </w:tcBorders>
            <w:shd w:val="clear" w:color="auto" w:fill="A8CBEE" w:themeFill="accent2" w:themeFillTint="66"/>
            <w:vAlign w:val="center"/>
          </w:tcPr>
          <w:p w:rsidR="00174F99" w:rsidRDefault="00E44596" w:rsidP="00D14FF4">
            <w:pPr>
              <w:pStyle w:val="cuadroCabe"/>
              <w:ind w:right="132"/>
              <w:jc w:val="right"/>
              <w:rPr>
                <w:rFonts w:cs="Arial"/>
              </w:rPr>
            </w:pPr>
            <w:r w:rsidRPr="007B043B">
              <w:rPr>
                <w:rFonts w:cs="Arial"/>
              </w:rPr>
              <w:t>Importe</w:t>
            </w:r>
          </w:p>
          <w:p w:rsidR="00E44596" w:rsidRPr="007B043B" w:rsidRDefault="00D14FF4" w:rsidP="00D14FF4">
            <w:pPr>
              <w:pStyle w:val="cuadroCabe"/>
              <w:ind w:right="132"/>
              <w:jc w:val="right"/>
              <w:rPr>
                <w:rFonts w:cs="Arial"/>
              </w:rPr>
            </w:pPr>
            <w:r>
              <w:rPr>
                <w:rFonts w:cs="Arial"/>
              </w:rPr>
              <w:t xml:space="preserve"> </w:t>
            </w:r>
            <w:r w:rsidR="00E44596" w:rsidRPr="007B043B">
              <w:rPr>
                <w:rFonts w:cs="Arial"/>
              </w:rPr>
              <w:t>201</w:t>
            </w:r>
            <w:r w:rsidR="0093411D">
              <w:rPr>
                <w:rFonts w:cs="Arial"/>
              </w:rPr>
              <w:t>5</w:t>
            </w:r>
          </w:p>
        </w:tc>
        <w:tc>
          <w:tcPr>
            <w:tcW w:w="2280" w:type="dxa"/>
            <w:tcBorders>
              <w:left w:val="nil"/>
            </w:tcBorders>
            <w:shd w:val="clear" w:color="auto" w:fill="A8CBEE" w:themeFill="accent2" w:themeFillTint="66"/>
            <w:vAlign w:val="center"/>
          </w:tcPr>
          <w:p w:rsidR="00E44596" w:rsidRPr="007B043B" w:rsidRDefault="00E44596" w:rsidP="0099419F">
            <w:pPr>
              <w:pStyle w:val="cuadroCabe"/>
              <w:jc w:val="left"/>
              <w:rPr>
                <w:rFonts w:cs="Arial"/>
              </w:rPr>
            </w:pPr>
            <w:r w:rsidRPr="007B043B">
              <w:rPr>
                <w:rFonts w:cs="Arial"/>
              </w:rPr>
              <w:t>Fuente de financiación</w:t>
            </w:r>
          </w:p>
        </w:tc>
        <w:tc>
          <w:tcPr>
            <w:tcW w:w="1164" w:type="dxa"/>
            <w:shd w:val="clear" w:color="auto" w:fill="A8CBEE" w:themeFill="accent2" w:themeFillTint="66"/>
            <w:vAlign w:val="center"/>
          </w:tcPr>
          <w:p w:rsidR="00174F99" w:rsidRDefault="00E44596" w:rsidP="00D14FF4">
            <w:pPr>
              <w:pStyle w:val="cuadroCabe"/>
              <w:jc w:val="right"/>
              <w:rPr>
                <w:rFonts w:cs="Arial"/>
              </w:rPr>
            </w:pPr>
            <w:r w:rsidRPr="007B043B">
              <w:rPr>
                <w:rFonts w:cs="Arial"/>
              </w:rPr>
              <w:t>Importe</w:t>
            </w:r>
          </w:p>
          <w:p w:rsidR="00E44596" w:rsidRPr="007B043B" w:rsidRDefault="00E44596" w:rsidP="00D14FF4">
            <w:pPr>
              <w:pStyle w:val="cuadroCabe"/>
              <w:jc w:val="right"/>
              <w:rPr>
                <w:rFonts w:cs="Arial"/>
              </w:rPr>
            </w:pPr>
            <w:r w:rsidRPr="007B043B">
              <w:rPr>
                <w:rFonts w:cs="Arial"/>
              </w:rPr>
              <w:t xml:space="preserve"> 201</w:t>
            </w:r>
            <w:r w:rsidR="0093411D">
              <w:rPr>
                <w:rFonts w:cs="Arial"/>
              </w:rPr>
              <w:t>4</w:t>
            </w:r>
          </w:p>
        </w:tc>
        <w:tc>
          <w:tcPr>
            <w:tcW w:w="1022" w:type="dxa"/>
            <w:shd w:val="clear" w:color="auto" w:fill="A8CBEE" w:themeFill="accent2" w:themeFillTint="66"/>
            <w:vAlign w:val="center"/>
          </w:tcPr>
          <w:p w:rsidR="00174F99" w:rsidRDefault="00E44596" w:rsidP="00D14FF4">
            <w:pPr>
              <w:pStyle w:val="cuadroCabe"/>
              <w:jc w:val="right"/>
              <w:rPr>
                <w:rFonts w:cs="Arial"/>
              </w:rPr>
            </w:pPr>
            <w:r w:rsidRPr="007B043B">
              <w:rPr>
                <w:rFonts w:cs="Arial"/>
              </w:rPr>
              <w:t>Importe</w:t>
            </w:r>
          </w:p>
          <w:p w:rsidR="00E44596" w:rsidRPr="007B043B" w:rsidRDefault="00D14FF4" w:rsidP="00D14FF4">
            <w:pPr>
              <w:pStyle w:val="cuadroCabe"/>
              <w:jc w:val="right"/>
              <w:rPr>
                <w:rFonts w:cs="Arial"/>
              </w:rPr>
            </w:pPr>
            <w:r>
              <w:rPr>
                <w:rFonts w:cs="Arial"/>
              </w:rPr>
              <w:t xml:space="preserve"> </w:t>
            </w:r>
            <w:r w:rsidR="00E44596" w:rsidRPr="007B043B">
              <w:rPr>
                <w:rFonts w:cs="Arial"/>
              </w:rPr>
              <w:t>201</w:t>
            </w:r>
            <w:r w:rsidR="0093411D">
              <w:rPr>
                <w:rFonts w:cs="Arial"/>
              </w:rPr>
              <w:t>5</w:t>
            </w:r>
          </w:p>
        </w:tc>
      </w:tr>
      <w:tr w:rsidR="0093411D" w:rsidRPr="007B043B" w:rsidTr="00D14FF4">
        <w:trPr>
          <w:trHeight w:hRule="exact" w:val="227"/>
          <w:jc w:val="center"/>
        </w:trPr>
        <w:tc>
          <w:tcPr>
            <w:tcW w:w="2268" w:type="dxa"/>
            <w:tcBorders>
              <w:bottom w:val="single" w:sz="2" w:space="0" w:color="auto"/>
            </w:tcBorders>
            <w:shd w:val="clear" w:color="auto" w:fill="auto"/>
            <w:vAlign w:val="center"/>
          </w:tcPr>
          <w:p w:rsidR="0093411D" w:rsidRPr="007B043B" w:rsidRDefault="0093411D" w:rsidP="0099419F">
            <w:pPr>
              <w:spacing w:after="0"/>
              <w:ind w:firstLine="0"/>
              <w:jc w:val="left"/>
              <w:rPr>
                <w:rFonts w:ascii="Arial Narrow" w:hAnsi="Arial Narrow" w:cs="Arial"/>
                <w:lang w:val="es-ES" w:eastAsia="es-ES"/>
              </w:rPr>
            </w:pPr>
            <w:r w:rsidRPr="007B043B">
              <w:rPr>
                <w:rFonts w:ascii="Arial Narrow" w:hAnsi="Arial Narrow" w:cs="Arial"/>
                <w:lang w:val="es-ES" w:eastAsia="es-ES"/>
              </w:rPr>
              <w:t>Personal</w:t>
            </w:r>
          </w:p>
        </w:tc>
        <w:tc>
          <w:tcPr>
            <w:tcW w:w="960" w:type="dxa"/>
            <w:tcBorders>
              <w:bottom w:val="single" w:sz="2" w:space="0" w:color="auto"/>
              <w:right w:val="nil"/>
            </w:tcBorders>
            <w:shd w:val="clear" w:color="auto" w:fill="auto"/>
            <w:vAlign w:val="bottom"/>
          </w:tcPr>
          <w:p w:rsidR="0093411D" w:rsidRPr="0093411D" w:rsidRDefault="0093411D" w:rsidP="00174F99">
            <w:pPr>
              <w:tabs>
                <w:tab w:val="left" w:pos="1212"/>
                <w:tab w:val="left" w:pos="1296"/>
              </w:tabs>
              <w:spacing w:after="0"/>
              <w:ind w:firstLine="0"/>
              <w:jc w:val="right"/>
              <w:rPr>
                <w:rFonts w:ascii="Arial Narrow" w:hAnsi="Arial Narrow" w:cs="Arial"/>
                <w:lang w:val="es-ES" w:eastAsia="es-ES"/>
              </w:rPr>
            </w:pPr>
            <w:r w:rsidRPr="0093411D">
              <w:rPr>
                <w:rFonts w:ascii="Arial Narrow" w:hAnsi="Arial Narrow" w:cs="Arial"/>
                <w:lang w:val="es-ES" w:eastAsia="es-ES"/>
              </w:rPr>
              <w:t>29</w:t>
            </w:r>
          </w:p>
          <w:p w:rsidR="0093411D" w:rsidRPr="0093411D" w:rsidRDefault="0093411D" w:rsidP="00174F99">
            <w:pPr>
              <w:tabs>
                <w:tab w:val="left" w:pos="1212"/>
                <w:tab w:val="left" w:pos="1296"/>
              </w:tabs>
              <w:spacing w:after="0"/>
              <w:ind w:firstLine="0"/>
              <w:jc w:val="right"/>
              <w:rPr>
                <w:rFonts w:ascii="Arial Narrow" w:hAnsi="Arial Narrow" w:cs="Arial"/>
                <w:lang w:val="es-ES" w:eastAsia="es-ES"/>
              </w:rPr>
            </w:pPr>
            <w:r w:rsidRPr="0093411D">
              <w:rPr>
                <w:rFonts w:ascii="Arial Narrow" w:hAnsi="Arial Narrow" w:cs="Arial"/>
                <w:lang w:val="es-ES" w:eastAsia="es-ES"/>
              </w:rPr>
              <w:t>14</w:t>
            </w:r>
          </w:p>
          <w:p w:rsidR="0093411D" w:rsidRPr="0093411D" w:rsidRDefault="0093411D" w:rsidP="00174F99">
            <w:pPr>
              <w:tabs>
                <w:tab w:val="left" w:pos="1212"/>
                <w:tab w:val="left" w:pos="1296"/>
              </w:tabs>
              <w:spacing w:after="0"/>
              <w:ind w:firstLine="0"/>
              <w:jc w:val="right"/>
              <w:rPr>
                <w:rFonts w:ascii="Arial Narrow" w:hAnsi="Arial Narrow" w:cs="Arial"/>
                <w:lang w:val="es-ES" w:eastAsia="es-ES"/>
              </w:rPr>
            </w:pPr>
            <w:r w:rsidRPr="0093411D">
              <w:rPr>
                <w:rFonts w:ascii="Arial Narrow" w:hAnsi="Arial Narrow" w:cs="Arial"/>
                <w:lang w:val="es-ES" w:eastAsia="es-ES"/>
              </w:rPr>
              <w:t>40</w:t>
            </w:r>
          </w:p>
          <w:p w:rsidR="0093411D" w:rsidRPr="0093411D" w:rsidRDefault="0093411D" w:rsidP="00174F99">
            <w:pPr>
              <w:tabs>
                <w:tab w:val="left" w:pos="1212"/>
                <w:tab w:val="left" w:pos="1296"/>
              </w:tabs>
              <w:spacing w:after="0"/>
              <w:ind w:firstLine="0"/>
              <w:jc w:val="right"/>
              <w:rPr>
                <w:rFonts w:ascii="Arial Narrow" w:hAnsi="Arial Narrow" w:cs="Arial"/>
                <w:lang w:val="es-ES" w:eastAsia="es-ES"/>
              </w:rPr>
            </w:pPr>
            <w:r w:rsidRPr="0093411D">
              <w:rPr>
                <w:rFonts w:ascii="Arial Narrow" w:hAnsi="Arial Narrow" w:cs="Arial"/>
                <w:lang w:val="es-ES" w:eastAsia="es-ES"/>
              </w:rPr>
              <w:t>2</w:t>
            </w:r>
          </w:p>
          <w:p w:rsidR="0093411D" w:rsidRPr="0093411D" w:rsidRDefault="0093411D" w:rsidP="00174F99">
            <w:pPr>
              <w:tabs>
                <w:tab w:val="left" w:pos="1212"/>
                <w:tab w:val="left" w:pos="1296"/>
              </w:tabs>
              <w:spacing w:after="0"/>
              <w:ind w:firstLine="0"/>
              <w:jc w:val="right"/>
              <w:rPr>
                <w:rFonts w:ascii="Arial Narrow" w:hAnsi="Arial Narrow" w:cs="Arial"/>
                <w:lang w:val="es-ES" w:eastAsia="es-ES"/>
              </w:rPr>
            </w:pPr>
            <w:r w:rsidRPr="0093411D">
              <w:rPr>
                <w:rFonts w:ascii="Arial Narrow" w:hAnsi="Arial Narrow" w:cs="Arial"/>
                <w:lang w:val="es-ES" w:eastAsia="es-ES"/>
              </w:rPr>
              <w:t>11</w:t>
            </w:r>
          </w:p>
          <w:p w:rsidR="0093411D" w:rsidRPr="007B043B" w:rsidRDefault="0093411D" w:rsidP="00174F99">
            <w:pPr>
              <w:tabs>
                <w:tab w:val="left" w:pos="1212"/>
                <w:tab w:val="left" w:pos="1296"/>
              </w:tabs>
              <w:spacing w:after="0"/>
              <w:ind w:firstLine="0"/>
              <w:jc w:val="right"/>
              <w:rPr>
                <w:rFonts w:ascii="Arial Narrow" w:hAnsi="Arial Narrow" w:cs="Arial"/>
                <w:lang w:val="es-ES" w:eastAsia="es-ES"/>
              </w:rPr>
            </w:pPr>
            <w:r w:rsidRPr="0093411D">
              <w:rPr>
                <w:rFonts w:ascii="Arial Narrow" w:hAnsi="Arial Narrow" w:cs="Arial"/>
                <w:lang w:val="es-ES" w:eastAsia="es-ES"/>
              </w:rPr>
              <w:t>4</w:t>
            </w:r>
          </w:p>
        </w:tc>
        <w:tc>
          <w:tcPr>
            <w:tcW w:w="1152" w:type="dxa"/>
            <w:tcBorders>
              <w:left w:val="nil"/>
              <w:bottom w:val="single" w:sz="2" w:space="0" w:color="auto"/>
              <w:right w:val="nil"/>
            </w:tcBorders>
            <w:shd w:val="clear" w:color="auto" w:fill="auto"/>
            <w:vAlign w:val="center"/>
          </w:tcPr>
          <w:p w:rsidR="0093411D" w:rsidRPr="0093411D" w:rsidRDefault="0093411D" w:rsidP="0093411D">
            <w:pPr>
              <w:tabs>
                <w:tab w:val="left" w:pos="1212"/>
                <w:tab w:val="left" w:pos="1296"/>
              </w:tabs>
              <w:spacing w:after="0"/>
              <w:ind w:firstLine="0"/>
              <w:jc w:val="right"/>
              <w:rPr>
                <w:rFonts w:ascii="Arial Narrow" w:hAnsi="Arial Narrow" w:cs="Arial"/>
                <w:lang w:val="es-ES" w:eastAsia="es-ES"/>
              </w:rPr>
            </w:pPr>
            <w:r w:rsidRPr="0093411D">
              <w:rPr>
                <w:rFonts w:ascii="Arial Narrow" w:hAnsi="Arial Narrow" w:cs="Arial"/>
                <w:lang w:val="es-ES" w:eastAsia="es-ES"/>
              </w:rPr>
              <w:t>29</w:t>
            </w:r>
          </w:p>
        </w:tc>
        <w:tc>
          <w:tcPr>
            <w:tcW w:w="2280" w:type="dxa"/>
            <w:tcBorders>
              <w:left w:val="nil"/>
              <w:bottom w:val="single" w:sz="2" w:space="0" w:color="auto"/>
            </w:tcBorders>
            <w:shd w:val="clear" w:color="auto" w:fill="auto"/>
            <w:vAlign w:val="center"/>
          </w:tcPr>
          <w:p w:rsidR="0093411D" w:rsidRPr="007B043B" w:rsidRDefault="0093411D" w:rsidP="0099419F">
            <w:pPr>
              <w:spacing w:after="0"/>
              <w:ind w:firstLine="0"/>
              <w:jc w:val="left"/>
              <w:rPr>
                <w:rFonts w:ascii="Arial Narrow" w:hAnsi="Arial Narrow" w:cs="Arial"/>
                <w:lang w:val="es-ES" w:eastAsia="es-ES"/>
              </w:rPr>
            </w:pPr>
            <w:r w:rsidRPr="007B043B">
              <w:rPr>
                <w:rFonts w:ascii="Arial Narrow" w:hAnsi="Arial Narrow" w:cs="Arial"/>
                <w:lang w:val="es-ES" w:eastAsia="es-ES"/>
              </w:rPr>
              <w:t>Ingresos tributarios</w:t>
            </w:r>
          </w:p>
        </w:tc>
        <w:tc>
          <w:tcPr>
            <w:tcW w:w="1164" w:type="dxa"/>
            <w:tcBorders>
              <w:bottom w:val="single" w:sz="2" w:space="0" w:color="auto"/>
            </w:tcBorders>
            <w:shd w:val="clear" w:color="auto" w:fill="auto"/>
            <w:vAlign w:val="center"/>
          </w:tcPr>
          <w:p w:rsidR="0093411D" w:rsidRPr="0093411D" w:rsidRDefault="0093411D" w:rsidP="0093411D">
            <w:pPr>
              <w:tabs>
                <w:tab w:val="left" w:pos="1212"/>
                <w:tab w:val="left" w:pos="1296"/>
              </w:tabs>
              <w:spacing w:after="0"/>
              <w:ind w:firstLine="0"/>
              <w:jc w:val="right"/>
              <w:rPr>
                <w:rFonts w:ascii="Arial Narrow" w:hAnsi="Arial Narrow" w:cs="Arial"/>
                <w:lang w:val="es-ES" w:eastAsia="es-ES"/>
              </w:rPr>
            </w:pPr>
            <w:r w:rsidRPr="0093411D">
              <w:rPr>
                <w:rFonts w:ascii="Arial Narrow" w:hAnsi="Arial Narrow" w:cs="Arial"/>
                <w:lang w:val="es-ES" w:eastAsia="es-ES"/>
              </w:rPr>
              <w:t>82</w:t>
            </w:r>
          </w:p>
        </w:tc>
        <w:tc>
          <w:tcPr>
            <w:tcW w:w="1022" w:type="dxa"/>
            <w:tcBorders>
              <w:bottom w:val="single" w:sz="2" w:space="0" w:color="auto"/>
            </w:tcBorders>
            <w:shd w:val="clear" w:color="auto" w:fill="auto"/>
            <w:vAlign w:val="center"/>
          </w:tcPr>
          <w:p w:rsidR="0093411D" w:rsidRPr="0093411D" w:rsidRDefault="0093411D" w:rsidP="0093411D">
            <w:pPr>
              <w:tabs>
                <w:tab w:val="left" w:pos="1212"/>
                <w:tab w:val="left" w:pos="1296"/>
              </w:tabs>
              <w:spacing w:after="0"/>
              <w:ind w:firstLine="0"/>
              <w:jc w:val="right"/>
              <w:rPr>
                <w:rFonts w:ascii="Arial Narrow" w:hAnsi="Arial Narrow" w:cs="Arial"/>
                <w:lang w:val="es-ES" w:eastAsia="es-ES"/>
              </w:rPr>
            </w:pPr>
            <w:r w:rsidRPr="0093411D">
              <w:rPr>
                <w:rFonts w:ascii="Arial Narrow" w:hAnsi="Arial Narrow" w:cs="Arial"/>
                <w:lang w:val="es-ES" w:eastAsia="es-ES"/>
              </w:rPr>
              <w:t>83</w:t>
            </w:r>
          </w:p>
        </w:tc>
      </w:tr>
      <w:tr w:rsidR="0093411D" w:rsidRPr="007B043B" w:rsidTr="00D14FF4">
        <w:trPr>
          <w:trHeight w:hRule="exact" w:val="227"/>
          <w:jc w:val="center"/>
        </w:trPr>
        <w:tc>
          <w:tcPr>
            <w:tcW w:w="2268" w:type="dxa"/>
            <w:tcBorders>
              <w:top w:val="single" w:sz="2" w:space="0" w:color="auto"/>
              <w:bottom w:val="single" w:sz="2" w:space="0" w:color="auto"/>
            </w:tcBorders>
            <w:shd w:val="clear" w:color="auto" w:fill="auto"/>
            <w:vAlign w:val="center"/>
          </w:tcPr>
          <w:p w:rsidR="0093411D" w:rsidRPr="007B043B" w:rsidRDefault="0093411D" w:rsidP="0099419F">
            <w:pPr>
              <w:spacing w:after="0"/>
              <w:ind w:firstLine="0"/>
              <w:jc w:val="left"/>
              <w:rPr>
                <w:rFonts w:ascii="Arial Narrow" w:hAnsi="Arial Narrow" w:cs="Arial"/>
                <w:lang w:val="es-ES" w:eastAsia="es-ES"/>
              </w:rPr>
            </w:pPr>
            <w:r w:rsidRPr="007B043B">
              <w:rPr>
                <w:rFonts w:ascii="Arial Narrow" w:hAnsi="Arial Narrow" w:cs="Arial"/>
                <w:lang w:val="es-ES" w:eastAsia="es-ES"/>
              </w:rPr>
              <w:t>Bienes corrientes y serv.</w:t>
            </w:r>
          </w:p>
        </w:tc>
        <w:tc>
          <w:tcPr>
            <w:tcW w:w="960" w:type="dxa"/>
            <w:tcBorders>
              <w:top w:val="single" w:sz="2" w:space="0" w:color="auto"/>
              <w:bottom w:val="single" w:sz="2" w:space="0" w:color="auto"/>
              <w:right w:val="nil"/>
            </w:tcBorders>
            <w:shd w:val="clear" w:color="auto" w:fill="auto"/>
            <w:vAlign w:val="bottom"/>
          </w:tcPr>
          <w:p w:rsidR="0093411D" w:rsidRPr="0093411D" w:rsidRDefault="0093411D" w:rsidP="00174F99">
            <w:pPr>
              <w:tabs>
                <w:tab w:val="left" w:pos="1212"/>
                <w:tab w:val="left" w:pos="1296"/>
              </w:tabs>
              <w:spacing w:after="0"/>
              <w:ind w:firstLine="0"/>
              <w:jc w:val="right"/>
              <w:rPr>
                <w:rFonts w:ascii="Arial Narrow" w:hAnsi="Arial Narrow" w:cs="Arial"/>
                <w:lang w:val="es-ES" w:eastAsia="es-ES"/>
              </w:rPr>
            </w:pPr>
            <w:r w:rsidRPr="0093411D">
              <w:rPr>
                <w:rFonts w:ascii="Arial Narrow" w:hAnsi="Arial Narrow" w:cs="Arial"/>
                <w:lang w:val="es-ES" w:eastAsia="es-ES"/>
              </w:rPr>
              <w:t>14</w:t>
            </w:r>
          </w:p>
          <w:p w:rsidR="0093411D" w:rsidRPr="0093411D" w:rsidRDefault="0093411D" w:rsidP="00174F99">
            <w:pPr>
              <w:tabs>
                <w:tab w:val="left" w:pos="1212"/>
                <w:tab w:val="left" w:pos="1296"/>
              </w:tabs>
              <w:spacing w:after="0"/>
              <w:ind w:firstLine="0"/>
              <w:jc w:val="right"/>
              <w:rPr>
                <w:rFonts w:ascii="Arial Narrow" w:hAnsi="Arial Narrow" w:cs="Arial"/>
                <w:lang w:val="es-ES" w:eastAsia="es-ES"/>
              </w:rPr>
            </w:pPr>
            <w:r w:rsidRPr="0093411D">
              <w:rPr>
                <w:rFonts w:ascii="Arial Narrow" w:hAnsi="Arial Narrow" w:cs="Arial"/>
                <w:lang w:val="es-ES" w:eastAsia="es-ES"/>
              </w:rPr>
              <w:t>40</w:t>
            </w:r>
          </w:p>
          <w:p w:rsidR="0093411D" w:rsidRPr="0093411D" w:rsidRDefault="0093411D" w:rsidP="00174F99">
            <w:pPr>
              <w:tabs>
                <w:tab w:val="left" w:pos="1212"/>
                <w:tab w:val="left" w:pos="1296"/>
              </w:tabs>
              <w:spacing w:after="0"/>
              <w:ind w:firstLine="0"/>
              <w:jc w:val="right"/>
              <w:rPr>
                <w:rFonts w:ascii="Arial Narrow" w:hAnsi="Arial Narrow" w:cs="Arial"/>
                <w:lang w:val="es-ES" w:eastAsia="es-ES"/>
              </w:rPr>
            </w:pPr>
            <w:r w:rsidRPr="0093411D">
              <w:rPr>
                <w:rFonts w:ascii="Arial Narrow" w:hAnsi="Arial Narrow" w:cs="Arial"/>
                <w:lang w:val="es-ES" w:eastAsia="es-ES"/>
              </w:rPr>
              <w:t>2</w:t>
            </w:r>
          </w:p>
          <w:p w:rsidR="0093411D" w:rsidRPr="0093411D" w:rsidRDefault="0093411D" w:rsidP="00174F99">
            <w:pPr>
              <w:tabs>
                <w:tab w:val="left" w:pos="1212"/>
                <w:tab w:val="left" w:pos="1296"/>
              </w:tabs>
              <w:spacing w:after="0"/>
              <w:ind w:firstLine="0"/>
              <w:jc w:val="right"/>
              <w:rPr>
                <w:rFonts w:ascii="Arial Narrow" w:hAnsi="Arial Narrow" w:cs="Arial"/>
                <w:lang w:val="es-ES" w:eastAsia="es-ES"/>
              </w:rPr>
            </w:pPr>
            <w:r w:rsidRPr="0093411D">
              <w:rPr>
                <w:rFonts w:ascii="Arial Narrow" w:hAnsi="Arial Narrow" w:cs="Arial"/>
                <w:lang w:val="es-ES" w:eastAsia="es-ES"/>
              </w:rPr>
              <w:t>11</w:t>
            </w:r>
          </w:p>
          <w:p w:rsidR="0093411D" w:rsidRPr="007B043B" w:rsidRDefault="0093411D" w:rsidP="00174F99">
            <w:pPr>
              <w:tabs>
                <w:tab w:val="left" w:pos="1212"/>
                <w:tab w:val="left" w:pos="1296"/>
              </w:tabs>
              <w:spacing w:after="0"/>
              <w:ind w:firstLine="0"/>
              <w:jc w:val="right"/>
              <w:rPr>
                <w:rFonts w:ascii="Arial Narrow" w:hAnsi="Arial Narrow" w:cs="Arial"/>
                <w:lang w:val="es-ES" w:eastAsia="es-ES"/>
              </w:rPr>
            </w:pPr>
            <w:r w:rsidRPr="0093411D">
              <w:rPr>
                <w:rFonts w:ascii="Arial Narrow" w:hAnsi="Arial Narrow" w:cs="Arial"/>
                <w:lang w:val="es-ES" w:eastAsia="es-ES"/>
              </w:rPr>
              <w:t>4</w:t>
            </w:r>
          </w:p>
        </w:tc>
        <w:tc>
          <w:tcPr>
            <w:tcW w:w="1152" w:type="dxa"/>
            <w:tcBorders>
              <w:top w:val="single" w:sz="2" w:space="0" w:color="auto"/>
              <w:left w:val="nil"/>
              <w:bottom w:val="single" w:sz="2" w:space="0" w:color="auto"/>
              <w:right w:val="nil"/>
            </w:tcBorders>
            <w:shd w:val="clear" w:color="auto" w:fill="auto"/>
            <w:vAlign w:val="center"/>
          </w:tcPr>
          <w:p w:rsidR="0093411D" w:rsidRPr="0093411D" w:rsidRDefault="0093411D" w:rsidP="0093411D">
            <w:pPr>
              <w:tabs>
                <w:tab w:val="left" w:pos="1212"/>
                <w:tab w:val="left" w:pos="1296"/>
              </w:tabs>
              <w:spacing w:after="0"/>
              <w:ind w:firstLine="0"/>
              <w:jc w:val="right"/>
              <w:rPr>
                <w:rFonts w:ascii="Arial Narrow" w:hAnsi="Arial Narrow" w:cs="Arial"/>
                <w:lang w:val="es-ES" w:eastAsia="es-ES"/>
              </w:rPr>
            </w:pPr>
            <w:r w:rsidRPr="0093411D">
              <w:rPr>
                <w:rFonts w:ascii="Arial Narrow" w:hAnsi="Arial Narrow" w:cs="Arial"/>
                <w:lang w:val="es-ES" w:eastAsia="es-ES"/>
              </w:rPr>
              <w:t>14</w:t>
            </w:r>
          </w:p>
        </w:tc>
        <w:tc>
          <w:tcPr>
            <w:tcW w:w="2280" w:type="dxa"/>
            <w:tcBorders>
              <w:top w:val="single" w:sz="2" w:space="0" w:color="auto"/>
              <w:left w:val="nil"/>
              <w:bottom w:val="single" w:sz="2" w:space="0" w:color="auto"/>
            </w:tcBorders>
            <w:shd w:val="clear" w:color="auto" w:fill="auto"/>
            <w:vAlign w:val="center"/>
          </w:tcPr>
          <w:p w:rsidR="0093411D" w:rsidRPr="007B043B" w:rsidRDefault="0093411D" w:rsidP="0099419F">
            <w:pPr>
              <w:spacing w:after="0"/>
              <w:ind w:firstLine="0"/>
              <w:jc w:val="left"/>
              <w:rPr>
                <w:rFonts w:ascii="Arial Narrow" w:hAnsi="Arial Narrow" w:cs="Arial"/>
                <w:lang w:val="es-ES" w:eastAsia="es-ES"/>
              </w:rPr>
            </w:pPr>
            <w:r w:rsidRPr="007B043B">
              <w:rPr>
                <w:rFonts w:ascii="Arial Narrow" w:hAnsi="Arial Narrow" w:cs="Arial"/>
                <w:lang w:val="es-ES" w:eastAsia="es-ES"/>
              </w:rPr>
              <w:t>Ingresos por transferencias</w:t>
            </w:r>
          </w:p>
        </w:tc>
        <w:tc>
          <w:tcPr>
            <w:tcW w:w="1164" w:type="dxa"/>
            <w:tcBorders>
              <w:top w:val="single" w:sz="2" w:space="0" w:color="auto"/>
              <w:bottom w:val="single" w:sz="2" w:space="0" w:color="auto"/>
            </w:tcBorders>
            <w:shd w:val="clear" w:color="auto" w:fill="auto"/>
            <w:vAlign w:val="center"/>
          </w:tcPr>
          <w:p w:rsidR="0093411D" w:rsidRPr="0093411D" w:rsidRDefault="0093411D" w:rsidP="0093411D">
            <w:pPr>
              <w:tabs>
                <w:tab w:val="left" w:pos="1212"/>
                <w:tab w:val="left" w:pos="1296"/>
              </w:tabs>
              <w:spacing w:after="0"/>
              <w:ind w:firstLine="0"/>
              <w:jc w:val="right"/>
              <w:rPr>
                <w:rFonts w:ascii="Arial Narrow" w:hAnsi="Arial Narrow" w:cs="Arial"/>
                <w:lang w:val="es-ES" w:eastAsia="es-ES"/>
              </w:rPr>
            </w:pPr>
            <w:r w:rsidRPr="0093411D">
              <w:rPr>
                <w:rFonts w:ascii="Arial Narrow" w:hAnsi="Arial Narrow" w:cs="Arial"/>
                <w:lang w:val="es-ES" w:eastAsia="es-ES"/>
              </w:rPr>
              <w:t>2</w:t>
            </w:r>
          </w:p>
        </w:tc>
        <w:tc>
          <w:tcPr>
            <w:tcW w:w="1022" w:type="dxa"/>
            <w:tcBorders>
              <w:top w:val="single" w:sz="2" w:space="0" w:color="auto"/>
              <w:bottom w:val="single" w:sz="2" w:space="0" w:color="auto"/>
            </w:tcBorders>
            <w:shd w:val="clear" w:color="auto" w:fill="auto"/>
            <w:vAlign w:val="center"/>
          </w:tcPr>
          <w:p w:rsidR="0093411D" w:rsidRPr="0093411D" w:rsidRDefault="0093411D" w:rsidP="0093411D">
            <w:pPr>
              <w:tabs>
                <w:tab w:val="left" w:pos="1212"/>
                <w:tab w:val="left" w:pos="1296"/>
              </w:tabs>
              <w:spacing w:after="0"/>
              <w:ind w:firstLine="0"/>
              <w:jc w:val="right"/>
              <w:rPr>
                <w:rFonts w:ascii="Arial Narrow" w:hAnsi="Arial Narrow" w:cs="Arial"/>
                <w:lang w:val="es-ES" w:eastAsia="es-ES"/>
              </w:rPr>
            </w:pPr>
            <w:r w:rsidRPr="0093411D">
              <w:rPr>
                <w:rFonts w:ascii="Arial Narrow" w:hAnsi="Arial Narrow" w:cs="Arial"/>
                <w:lang w:val="es-ES" w:eastAsia="es-ES"/>
              </w:rPr>
              <w:t>2</w:t>
            </w:r>
          </w:p>
        </w:tc>
      </w:tr>
      <w:tr w:rsidR="0093411D" w:rsidRPr="007B043B" w:rsidTr="00D14FF4">
        <w:trPr>
          <w:trHeight w:hRule="exact" w:val="227"/>
          <w:jc w:val="center"/>
        </w:trPr>
        <w:tc>
          <w:tcPr>
            <w:tcW w:w="2268" w:type="dxa"/>
            <w:tcBorders>
              <w:top w:val="single" w:sz="2" w:space="0" w:color="auto"/>
              <w:bottom w:val="single" w:sz="2" w:space="0" w:color="auto"/>
            </w:tcBorders>
            <w:shd w:val="clear" w:color="auto" w:fill="auto"/>
            <w:vAlign w:val="center"/>
          </w:tcPr>
          <w:p w:rsidR="0093411D" w:rsidRPr="007B043B" w:rsidRDefault="0093411D" w:rsidP="0099419F">
            <w:pPr>
              <w:spacing w:after="0"/>
              <w:ind w:firstLine="0"/>
              <w:jc w:val="left"/>
              <w:rPr>
                <w:rFonts w:ascii="Arial Narrow" w:hAnsi="Arial Narrow" w:cs="Arial"/>
                <w:lang w:val="es-ES" w:eastAsia="es-ES"/>
              </w:rPr>
            </w:pPr>
            <w:r w:rsidRPr="007B043B">
              <w:rPr>
                <w:rFonts w:ascii="Arial Narrow" w:hAnsi="Arial Narrow" w:cs="Arial"/>
                <w:lang w:val="es-ES" w:eastAsia="es-ES"/>
              </w:rPr>
              <w:t>Gastos transferencias</w:t>
            </w:r>
          </w:p>
        </w:tc>
        <w:tc>
          <w:tcPr>
            <w:tcW w:w="960" w:type="dxa"/>
            <w:tcBorders>
              <w:top w:val="single" w:sz="2" w:space="0" w:color="auto"/>
              <w:bottom w:val="single" w:sz="2" w:space="0" w:color="auto"/>
              <w:right w:val="nil"/>
            </w:tcBorders>
            <w:shd w:val="clear" w:color="auto" w:fill="auto"/>
            <w:vAlign w:val="center"/>
          </w:tcPr>
          <w:p w:rsidR="0093411D" w:rsidRPr="0093411D" w:rsidRDefault="0093411D" w:rsidP="00174F99">
            <w:pPr>
              <w:tabs>
                <w:tab w:val="left" w:pos="1212"/>
                <w:tab w:val="left" w:pos="1296"/>
              </w:tabs>
              <w:spacing w:after="0"/>
              <w:ind w:firstLine="0"/>
              <w:jc w:val="right"/>
              <w:rPr>
                <w:rFonts w:ascii="Arial Narrow" w:hAnsi="Arial Narrow" w:cs="Arial"/>
                <w:lang w:val="es-ES" w:eastAsia="es-ES"/>
              </w:rPr>
            </w:pPr>
            <w:r w:rsidRPr="0093411D">
              <w:rPr>
                <w:rFonts w:ascii="Arial Narrow" w:hAnsi="Arial Narrow" w:cs="Arial"/>
                <w:lang w:val="es-ES" w:eastAsia="es-ES"/>
              </w:rPr>
              <w:t>40</w:t>
            </w:r>
          </w:p>
        </w:tc>
        <w:tc>
          <w:tcPr>
            <w:tcW w:w="1152" w:type="dxa"/>
            <w:tcBorders>
              <w:top w:val="single" w:sz="2" w:space="0" w:color="auto"/>
              <w:left w:val="nil"/>
              <w:bottom w:val="single" w:sz="2" w:space="0" w:color="auto"/>
              <w:right w:val="nil"/>
            </w:tcBorders>
            <w:shd w:val="clear" w:color="auto" w:fill="auto"/>
            <w:vAlign w:val="center"/>
          </w:tcPr>
          <w:p w:rsidR="0093411D" w:rsidRPr="0093411D" w:rsidRDefault="0093411D" w:rsidP="0093411D">
            <w:pPr>
              <w:tabs>
                <w:tab w:val="left" w:pos="1212"/>
                <w:tab w:val="left" w:pos="1296"/>
              </w:tabs>
              <w:spacing w:after="0"/>
              <w:ind w:firstLine="0"/>
              <w:jc w:val="right"/>
              <w:rPr>
                <w:rFonts w:ascii="Arial Narrow" w:hAnsi="Arial Narrow" w:cs="Arial"/>
                <w:lang w:val="es-ES" w:eastAsia="es-ES"/>
              </w:rPr>
            </w:pPr>
            <w:r w:rsidRPr="0093411D">
              <w:rPr>
                <w:rFonts w:ascii="Arial Narrow" w:hAnsi="Arial Narrow" w:cs="Arial"/>
                <w:lang w:val="es-ES" w:eastAsia="es-ES"/>
              </w:rPr>
              <w:t>41</w:t>
            </w:r>
          </w:p>
        </w:tc>
        <w:tc>
          <w:tcPr>
            <w:tcW w:w="2280" w:type="dxa"/>
            <w:tcBorders>
              <w:top w:val="single" w:sz="2" w:space="0" w:color="auto"/>
              <w:left w:val="nil"/>
              <w:bottom w:val="single" w:sz="2" w:space="0" w:color="auto"/>
            </w:tcBorders>
            <w:shd w:val="clear" w:color="auto" w:fill="auto"/>
            <w:vAlign w:val="center"/>
          </w:tcPr>
          <w:p w:rsidR="0093411D" w:rsidRPr="007B043B" w:rsidRDefault="0093411D" w:rsidP="0099419F">
            <w:pPr>
              <w:spacing w:after="0"/>
              <w:ind w:firstLine="0"/>
              <w:jc w:val="left"/>
              <w:rPr>
                <w:rFonts w:ascii="Arial Narrow" w:hAnsi="Arial Narrow" w:cs="Arial"/>
                <w:lang w:val="es-ES" w:eastAsia="es-ES"/>
              </w:rPr>
            </w:pPr>
            <w:r w:rsidRPr="007B043B">
              <w:rPr>
                <w:rFonts w:ascii="Arial Narrow" w:hAnsi="Arial Narrow" w:cs="Arial"/>
                <w:lang w:val="es-ES" w:eastAsia="es-ES"/>
              </w:rPr>
              <w:t>Ing. patrimoniales y otros</w:t>
            </w:r>
          </w:p>
        </w:tc>
        <w:tc>
          <w:tcPr>
            <w:tcW w:w="1164" w:type="dxa"/>
            <w:tcBorders>
              <w:top w:val="single" w:sz="2" w:space="0" w:color="auto"/>
              <w:bottom w:val="single" w:sz="2" w:space="0" w:color="auto"/>
            </w:tcBorders>
            <w:shd w:val="clear" w:color="auto" w:fill="auto"/>
            <w:vAlign w:val="center"/>
          </w:tcPr>
          <w:p w:rsidR="0093411D" w:rsidRPr="0093411D" w:rsidRDefault="0093411D" w:rsidP="0093411D">
            <w:pPr>
              <w:tabs>
                <w:tab w:val="left" w:pos="1212"/>
                <w:tab w:val="left" w:pos="1296"/>
              </w:tabs>
              <w:spacing w:after="0"/>
              <w:ind w:firstLine="0"/>
              <w:jc w:val="right"/>
              <w:rPr>
                <w:rFonts w:ascii="Arial Narrow" w:hAnsi="Arial Narrow" w:cs="Arial"/>
                <w:lang w:val="es-ES" w:eastAsia="es-ES"/>
              </w:rPr>
            </w:pPr>
            <w:r w:rsidRPr="0093411D">
              <w:rPr>
                <w:rFonts w:ascii="Arial Narrow" w:hAnsi="Arial Narrow" w:cs="Arial"/>
                <w:lang w:val="es-ES" w:eastAsia="es-ES"/>
              </w:rPr>
              <w:t>3</w:t>
            </w:r>
          </w:p>
        </w:tc>
        <w:tc>
          <w:tcPr>
            <w:tcW w:w="1022" w:type="dxa"/>
            <w:tcBorders>
              <w:top w:val="single" w:sz="2" w:space="0" w:color="auto"/>
              <w:bottom w:val="single" w:sz="2" w:space="0" w:color="auto"/>
            </w:tcBorders>
            <w:shd w:val="clear" w:color="auto" w:fill="auto"/>
            <w:vAlign w:val="center"/>
          </w:tcPr>
          <w:p w:rsidR="0093411D" w:rsidRPr="0093411D" w:rsidRDefault="0093411D" w:rsidP="0093411D">
            <w:pPr>
              <w:tabs>
                <w:tab w:val="left" w:pos="1212"/>
                <w:tab w:val="left" w:pos="1296"/>
              </w:tabs>
              <w:spacing w:after="0"/>
              <w:ind w:firstLine="0"/>
              <w:jc w:val="right"/>
              <w:rPr>
                <w:rFonts w:ascii="Arial Narrow" w:hAnsi="Arial Narrow" w:cs="Arial"/>
                <w:lang w:val="es-ES" w:eastAsia="es-ES"/>
              </w:rPr>
            </w:pPr>
            <w:r w:rsidRPr="0093411D">
              <w:rPr>
                <w:rFonts w:ascii="Arial Narrow" w:hAnsi="Arial Narrow" w:cs="Arial"/>
                <w:lang w:val="es-ES" w:eastAsia="es-ES"/>
              </w:rPr>
              <w:t>3</w:t>
            </w:r>
          </w:p>
        </w:tc>
      </w:tr>
      <w:tr w:rsidR="0093411D" w:rsidRPr="007B043B" w:rsidTr="00D14FF4">
        <w:trPr>
          <w:trHeight w:hRule="exact" w:val="227"/>
          <w:jc w:val="center"/>
        </w:trPr>
        <w:tc>
          <w:tcPr>
            <w:tcW w:w="2268" w:type="dxa"/>
            <w:tcBorders>
              <w:top w:val="single" w:sz="2" w:space="0" w:color="auto"/>
              <w:bottom w:val="single" w:sz="2" w:space="0" w:color="auto"/>
            </w:tcBorders>
            <w:shd w:val="clear" w:color="auto" w:fill="auto"/>
            <w:vAlign w:val="center"/>
          </w:tcPr>
          <w:p w:rsidR="0093411D" w:rsidRPr="007B043B" w:rsidRDefault="0093411D" w:rsidP="0099419F">
            <w:pPr>
              <w:spacing w:after="0"/>
              <w:ind w:firstLine="0"/>
              <w:jc w:val="left"/>
              <w:rPr>
                <w:rFonts w:ascii="Arial Narrow" w:hAnsi="Arial Narrow" w:cs="Arial"/>
                <w:lang w:val="es-ES" w:eastAsia="es-ES"/>
              </w:rPr>
            </w:pPr>
            <w:r w:rsidRPr="007B043B">
              <w:rPr>
                <w:rFonts w:ascii="Arial Narrow" w:hAnsi="Arial Narrow" w:cs="Arial"/>
                <w:lang w:val="es-ES" w:eastAsia="es-ES"/>
              </w:rPr>
              <w:t>Inversiones reales</w:t>
            </w:r>
          </w:p>
        </w:tc>
        <w:tc>
          <w:tcPr>
            <w:tcW w:w="960" w:type="dxa"/>
            <w:tcBorders>
              <w:top w:val="single" w:sz="2" w:space="0" w:color="auto"/>
              <w:bottom w:val="single" w:sz="2" w:space="0" w:color="auto"/>
              <w:right w:val="nil"/>
            </w:tcBorders>
            <w:shd w:val="clear" w:color="auto" w:fill="auto"/>
            <w:vAlign w:val="center"/>
          </w:tcPr>
          <w:p w:rsidR="0093411D" w:rsidRPr="0093411D" w:rsidRDefault="0093411D" w:rsidP="00174F99">
            <w:pPr>
              <w:tabs>
                <w:tab w:val="left" w:pos="1212"/>
                <w:tab w:val="left" w:pos="1296"/>
              </w:tabs>
              <w:spacing w:after="0"/>
              <w:ind w:firstLine="0"/>
              <w:jc w:val="right"/>
              <w:rPr>
                <w:rFonts w:ascii="Arial Narrow" w:hAnsi="Arial Narrow" w:cs="Arial"/>
                <w:lang w:val="es-ES" w:eastAsia="es-ES"/>
              </w:rPr>
            </w:pPr>
            <w:r w:rsidRPr="0093411D">
              <w:rPr>
                <w:rFonts w:ascii="Arial Narrow" w:hAnsi="Arial Narrow" w:cs="Arial"/>
                <w:lang w:val="es-ES" w:eastAsia="es-ES"/>
              </w:rPr>
              <w:t>2</w:t>
            </w:r>
          </w:p>
        </w:tc>
        <w:tc>
          <w:tcPr>
            <w:tcW w:w="1152" w:type="dxa"/>
            <w:tcBorders>
              <w:top w:val="single" w:sz="2" w:space="0" w:color="auto"/>
              <w:left w:val="nil"/>
              <w:bottom w:val="single" w:sz="2" w:space="0" w:color="auto"/>
              <w:right w:val="nil"/>
            </w:tcBorders>
            <w:shd w:val="clear" w:color="auto" w:fill="auto"/>
            <w:vAlign w:val="center"/>
          </w:tcPr>
          <w:p w:rsidR="0093411D" w:rsidRPr="0093411D" w:rsidRDefault="0093411D" w:rsidP="0093411D">
            <w:pPr>
              <w:tabs>
                <w:tab w:val="left" w:pos="1212"/>
                <w:tab w:val="left" w:pos="1296"/>
              </w:tabs>
              <w:spacing w:after="0"/>
              <w:ind w:firstLine="0"/>
              <w:jc w:val="right"/>
              <w:rPr>
                <w:rFonts w:ascii="Arial Narrow" w:hAnsi="Arial Narrow" w:cs="Arial"/>
                <w:lang w:val="es-ES" w:eastAsia="es-ES"/>
              </w:rPr>
            </w:pPr>
            <w:r w:rsidRPr="0093411D">
              <w:rPr>
                <w:rFonts w:ascii="Arial Narrow" w:hAnsi="Arial Narrow" w:cs="Arial"/>
                <w:lang w:val="es-ES" w:eastAsia="es-ES"/>
              </w:rPr>
              <w:t>2</w:t>
            </w:r>
          </w:p>
        </w:tc>
        <w:tc>
          <w:tcPr>
            <w:tcW w:w="2280" w:type="dxa"/>
            <w:tcBorders>
              <w:top w:val="single" w:sz="2" w:space="0" w:color="auto"/>
              <w:left w:val="nil"/>
              <w:bottom w:val="single" w:sz="2" w:space="0" w:color="auto"/>
            </w:tcBorders>
            <w:shd w:val="clear" w:color="auto" w:fill="auto"/>
            <w:vAlign w:val="center"/>
          </w:tcPr>
          <w:p w:rsidR="0093411D" w:rsidRPr="007B043B" w:rsidRDefault="0093411D" w:rsidP="0099419F">
            <w:pPr>
              <w:spacing w:after="0"/>
              <w:ind w:firstLine="0"/>
              <w:jc w:val="left"/>
              <w:rPr>
                <w:rFonts w:ascii="Arial Narrow" w:hAnsi="Arial Narrow" w:cs="Arial"/>
                <w:lang w:val="es-ES" w:eastAsia="es-ES"/>
              </w:rPr>
            </w:pPr>
            <w:r w:rsidRPr="007B043B">
              <w:rPr>
                <w:rFonts w:ascii="Arial Narrow" w:hAnsi="Arial Narrow" w:cs="Arial"/>
                <w:lang w:val="es-ES" w:eastAsia="es-ES"/>
              </w:rPr>
              <w:t>Endeudamiento</w:t>
            </w:r>
          </w:p>
        </w:tc>
        <w:tc>
          <w:tcPr>
            <w:tcW w:w="1164" w:type="dxa"/>
            <w:tcBorders>
              <w:top w:val="single" w:sz="2" w:space="0" w:color="auto"/>
              <w:bottom w:val="single" w:sz="2" w:space="0" w:color="auto"/>
            </w:tcBorders>
            <w:shd w:val="clear" w:color="auto" w:fill="auto"/>
            <w:vAlign w:val="center"/>
          </w:tcPr>
          <w:p w:rsidR="0093411D" w:rsidRPr="0093411D" w:rsidRDefault="0093411D" w:rsidP="0093411D">
            <w:pPr>
              <w:tabs>
                <w:tab w:val="left" w:pos="1212"/>
                <w:tab w:val="left" w:pos="1296"/>
              </w:tabs>
              <w:spacing w:after="0"/>
              <w:ind w:firstLine="0"/>
              <w:jc w:val="right"/>
              <w:rPr>
                <w:rFonts w:ascii="Arial Narrow" w:hAnsi="Arial Narrow" w:cs="Arial"/>
                <w:lang w:val="es-ES" w:eastAsia="es-ES"/>
              </w:rPr>
            </w:pPr>
            <w:r w:rsidRPr="0093411D">
              <w:rPr>
                <w:rFonts w:ascii="Arial Narrow" w:hAnsi="Arial Narrow" w:cs="Arial"/>
                <w:lang w:val="es-ES" w:eastAsia="es-ES"/>
              </w:rPr>
              <w:t>13</w:t>
            </w:r>
          </w:p>
        </w:tc>
        <w:tc>
          <w:tcPr>
            <w:tcW w:w="1022" w:type="dxa"/>
            <w:tcBorders>
              <w:top w:val="single" w:sz="2" w:space="0" w:color="auto"/>
              <w:bottom w:val="single" w:sz="2" w:space="0" w:color="auto"/>
            </w:tcBorders>
            <w:shd w:val="clear" w:color="auto" w:fill="auto"/>
            <w:vAlign w:val="center"/>
          </w:tcPr>
          <w:p w:rsidR="0093411D" w:rsidRPr="0093411D" w:rsidRDefault="0093411D" w:rsidP="0093411D">
            <w:pPr>
              <w:tabs>
                <w:tab w:val="left" w:pos="1212"/>
                <w:tab w:val="left" w:pos="1296"/>
              </w:tabs>
              <w:spacing w:after="0"/>
              <w:ind w:firstLine="0"/>
              <w:jc w:val="right"/>
              <w:rPr>
                <w:rFonts w:ascii="Arial Narrow" w:hAnsi="Arial Narrow" w:cs="Arial"/>
                <w:lang w:val="es-ES" w:eastAsia="es-ES"/>
              </w:rPr>
            </w:pPr>
            <w:r w:rsidRPr="0093411D">
              <w:rPr>
                <w:rFonts w:ascii="Arial Narrow" w:hAnsi="Arial Narrow" w:cs="Arial"/>
                <w:lang w:val="es-ES" w:eastAsia="es-ES"/>
              </w:rPr>
              <w:t>12</w:t>
            </w:r>
          </w:p>
        </w:tc>
      </w:tr>
      <w:tr w:rsidR="0093411D" w:rsidRPr="007B043B" w:rsidTr="00D14FF4">
        <w:trPr>
          <w:trHeight w:hRule="exact" w:val="227"/>
          <w:jc w:val="center"/>
        </w:trPr>
        <w:tc>
          <w:tcPr>
            <w:tcW w:w="2268" w:type="dxa"/>
            <w:tcBorders>
              <w:top w:val="single" w:sz="2" w:space="0" w:color="auto"/>
              <w:bottom w:val="single" w:sz="2" w:space="0" w:color="auto"/>
            </w:tcBorders>
            <w:shd w:val="clear" w:color="auto" w:fill="auto"/>
            <w:vAlign w:val="center"/>
          </w:tcPr>
          <w:p w:rsidR="0093411D" w:rsidRPr="007B043B" w:rsidRDefault="0093411D" w:rsidP="0099419F">
            <w:pPr>
              <w:spacing w:after="0"/>
              <w:ind w:firstLine="0"/>
              <w:jc w:val="left"/>
              <w:rPr>
                <w:rFonts w:ascii="Arial Narrow" w:hAnsi="Arial Narrow" w:cs="Arial"/>
                <w:lang w:val="es-ES" w:eastAsia="es-ES"/>
              </w:rPr>
            </w:pPr>
            <w:r w:rsidRPr="007B043B">
              <w:rPr>
                <w:rFonts w:ascii="Arial Narrow" w:hAnsi="Arial Narrow" w:cs="Arial"/>
                <w:lang w:val="es-ES" w:eastAsia="es-ES"/>
              </w:rPr>
              <w:t>Carga financiera</w:t>
            </w:r>
          </w:p>
        </w:tc>
        <w:tc>
          <w:tcPr>
            <w:tcW w:w="960" w:type="dxa"/>
            <w:tcBorders>
              <w:top w:val="single" w:sz="2" w:space="0" w:color="auto"/>
              <w:bottom w:val="single" w:sz="2" w:space="0" w:color="auto"/>
              <w:right w:val="nil"/>
            </w:tcBorders>
            <w:shd w:val="clear" w:color="auto" w:fill="auto"/>
            <w:vAlign w:val="center"/>
          </w:tcPr>
          <w:p w:rsidR="0093411D" w:rsidRPr="0093411D" w:rsidRDefault="0093411D" w:rsidP="00174F99">
            <w:pPr>
              <w:tabs>
                <w:tab w:val="left" w:pos="1212"/>
                <w:tab w:val="left" w:pos="1296"/>
              </w:tabs>
              <w:spacing w:after="0"/>
              <w:ind w:firstLine="0"/>
              <w:jc w:val="right"/>
              <w:rPr>
                <w:rFonts w:ascii="Arial Narrow" w:hAnsi="Arial Narrow" w:cs="Arial"/>
                <w:lang w:val="es-ES" w:eastAsia="es-ES"/>
              </w:rPr>
            </w:pPr>
            <w:r w:rsidRPr="0093411D">
              <w:rPr>
                <w:rFonts w:ascii="Arial Narrow" w:hAnsi="Arial Narrow" w:cs="Arial"/>
                <w:lang w:val="es-ES" w:eastAsia="es-ES"/>
              </w:rPr>
              <w:t>11</w:t>
            </w:r>
          </w:p>
        </w:tc>
        <w:tc>
          <w:tcPr>
            <w:tcW w:w="1152" w:type="dxa"/>
            <w:tcBorders>
              <w:top w:val="single" w:sz="2" w:space="0" w:color="auto"/>
              <w:left w:val="nil"/>
              <w:bottom w:val="single" w:sz="2" w:space="0" w:color="auto"/>
              <w:right w:val="nil"/>
            </w:tcBorders>
            <w:shd w:val="clear" w:color="auto" w:fill="auto"/>
            <w:vAlign w:val="center"/>
          </w:tcPr>
          <w:p w:rsidR="0093411D" w:rsidRPr="0093411D" w:rsidRDefault="0093411D" w:rsidP="0093411D">
            <w:pPr>
              <w:tabs>
                <w:tab w:val="left" w:pos="1212"/>
                <w:tab w:val="left" w:pos="1296"/>
              </w:tabs>
              <w:spacing w:after="0"/>
              <w:ind w:firstLine="0"/>
              <w:jc w:val="right"/>
              <w:rPr>
                <w:rFonts w:ascii="Arial Narrow" w:hAnsi="Arial Narrow" w:cs="Arial"/>
                <w:lang w:val="es-ES" w:eastAsia="es-ES"/>
              </w:rPr>
            </w:pPr>
            <w:r w:rsidRPr="0093411D">
              <w:rPr>
                <w:rFonts w:ascii="Arial Narrow" w:hAnsi="Arial Narrow" w:cs="Arial"/>
                <w:lang w:val="es-ES" w:eastAsia="es-ES"/>
              </w:rPr>
              <w:t>11</w:t>
            </w:r>
          </w:p>
        </w:tc>
        <w:tc>
          <w:tcPr>
            <w:tcW w:w="2280" w:type="dxa"/>
            <w:tcBorders>
              <w:top w:val="single" w:sz="2" w:space="0" w:color="auto"/>
              <w:left w:val="nil"/>
              <w:bottom w:val="single" w:sz="2" w:space="0" w:color="auto"/>
            </w:tcBorders>
            <w:shd w:val="clear" w:color="auto" w:fill="auto"/>
            <w:vAlign w:val="center"/>
          </w:tcPr>
          <w:p w:rsidR="0093411D" w:rsidRPr="007B043B" w:rsidRDefault="0093411D" w:rsidP="0099419F">
            <w:pPr>
              <w:spacing w:after="0"/>
              <w:ind w:firstLine="0"/>
              <w:jc w:val="left"/>
              <w:rPr>
                <w:rFonts w:ascii="Arial Narrow" w:hAnsi="Arial Narrow" w:cs="Arial"/>
                <w:lang w:val="es-ES" w:eastAsia="es-ES"/>
              </w:rPr>
            </w:pPr>
          </w:p>
        </w:tc>
        <w:tc>
          <w:tcPr>
            <w:tcW w:w="1164" w:type="dxa"/>
            <w:tcBorders>
              <w:top w:val="single" w:sz="2" w:space="0" w:color="auto"/>
              <w:bottom w:val="single" w:sz="2" w:space="0" w:color="auto"/>
            </w:tcBorders>
            <w:shd w:val="clear" w:color="auto" w:fill="auto"/>
            <w:vAlign w:val="center"/>
          </w:tcPr>
          <w:p w:rsidR="0093411D" w:rsidRPr="007B043B" w:rsidRDefault="0093411D" w:rsidP="0093411D">
            <w:pPr>
              <w:tabs>
                <w:tab w:val="left" w:pos="1212"/>
                <w:tab w:val="left" w:pos="1296"/>
              </w:tabs>
              <w:spacing w:after="0"/>
              <w:ind w:firstLine="0"/>
              <w:jc w:val="right"/>
              <w:rPr>
                <w:rFonts w:ascii="Arial Narrow" w:hAnsi="Arial Narrow" w:cs="Arial"/>
                <w:lang w:val="es-ES" w:eastAsia="es-ES"/>
              </w:rPr>
            </w:pPr>
          </w:p>
        </w:tc>
        <w:tc>
          <w:tcPr>
            <w:tcW w:w="1022" w:type="dxa"/>
            <w:tcBorders>
              <w:top w:val="single" w:sz="2" w:space="0" w:color="auto"/>
              <w:bottom w:val="single" w:sz="2" w:space="0" w:color="auto"/>
            </w:tcBorders>
            <w:shd w:val="clear" w:color="auto" w:fill="auto"/>
            <w:vAlign w:val="center"/>
          </w:tcPr>
          <w:p w:rsidR="0093411D" w:rsidRPr="007B043B" w:rsidRDefault="0093411D" w:rsidP="0093411D">
            <w:pPr>
              <w:tabs>
                <w:tab w:val="left" w:pos="1212"/>
                <w:tab w:val="left" w:pos="1296"/>
              </w:tabs>
              <w:spacing w:after="0"/>
              <w:ind w:firstLine="0"/>
              <w:jc w:val="right"/>
              <w:rPr>
                <w:rFonts w:ascii="Arial Narrow" w:hAnsi="Arial Narrow" w:cs="Arial"/>
                <w:lang w:val="es-ES" w:eastAsia="es-ES"/>
              </w:rPr>
            </w:pPr>
          </w:p>
        </w:tc>
      </w:tr>
      <w:tr w:rsidR="0093411D" w:rsidRPr="007B043B" w:rsidTr="00D14FF4">
        <w:trPr>
          <w:trHeight w:hRule="exact" w:val="227"/>
          <w:jc w:val="center"/>
        </w:trPr>
        <w:tc>
          <w:tcPr>
            <w:tcW w:w="2268" w:type="dxa"/>
            <w:tcBorders>
              <w:top w:val="single" w:sz="2" w:space="0" w:color="auto"/>
              <w:bottom w:val="single" w:sz="4" w:space="0" w:color="auto"/>
            </w:tcBorders>
            <w:shd w:val="clear" w:color="auto" w:fill="auto"/>
            <w:vAlign w:val="center"/>
          </w:tcPr>
          <w:p w:rsidR="0093411D" w:rsidRPr="007B043B" w:rsidRDefault="0093411D" w:rsidP="0099419F">
            <w:pPr>
              <w:spacing w:after="0"/>
              <w:ind w:firstLine="0"/>
              <w:jc w:val="left"/>
              <w:rPr>
                <w:rFonts w:ascii="Arial Narrow" w:hAnsi="Arial Narrow" w:cs="Arial"/>
                <w:lang w:val="es-ES" w:eastAsia="es-ES"/>
              </w:rPr>
            </w:pPr>
            <w:r w:rsidRPr="007B043B">
              <w:rPr>
                <w:rFonts w:ascii="Arial Narrow" w:hAnsi="Arial Narrow" w:cs="Arial"/>
                <w:lang w:val="es-ES" w:eastAsia="es-ES"/>
              </w:rPr>
              <w:t>Activos financieros</w:t>
            </w:r>
          </w:p>
        </w:tc>
        <w:tc>
          <w:tcPr>
            <w:tcW w:w="960" w:type="dxa"/>
            <w:tcBorders>
              <w:top w:val="single" w:sz="2" w:space="0" w:color="auto"/>
              <w:bottom w:val="single" w:sz="4" w:space="0" w:color="auto"/>
              <w:right w:val="nil"/>
            </w:tcBorders>
            <w:shd w:val="clear" w:color="auto" w:fill="auto"/>
            <w:vAlign w:val="center"/>
          </w:tcPr>
          <w:p w:rsidR="0093411D" w:rsidRPr="0093411D" w:rsidRDefault="0093411D" w:rsidP="00174F99">
            <w:pPr>
              <w:tabs>
                <w:tab w:val="left" w:pos="1212"/>
                <w:tab w:val="left" w:pos="1296"/>
              </w:tabs>
              <w:spacing w:after="0"/>
              <w:ind w:firstLine="0"/>
              <w:jc w:val="right"/>
              <w:rPr>
                <w:rFonts w:ascii="Arial Narrow" w:hAnsi="Arial Narrow" w:cs="Arial"/>
                <w:lang w:val="es-ES" w:eastAsia="es-ES"/>
              </w:rPr>
            </w:pPr>
            <w:r w:rsidRPr="0093411D">
              <w:rPr>
                <w:rFonts w:ascii="Arial Narrow" w:hAnsi="Arial Narrow" w:cs="Arial"/>
                <w:lang w:val="es-ES" w:eastAsia="es-ES"/>
              </w:rPr>
              <w:t>4</w:t>
            </w:r>
          </w:p>
        </w:tc>
        <w:tc>
          <w:tcPr>
            <w:tcW w:w="1152" w:type="dxa"/>
            <w:tcBorders>
              <w:top w:val="single" w:sz="2" w:space="0" w:color="auto"/>
              <w:left w:val="nil"/>
              <w:bottom w:val="single" w:sz="4" w:space="0" w:color="auto"/>
              <w:right w:val="nil"/>
            </w:tcBorders>
            <w:shd w:val="clear" w:color="auto" w:fill="auto"/>
            <w:vAlign w:val="center"/>
          </w:tcPr>
          <w:p w:rsidR="0093411D" w:rsidRPr="0093411D" w:rsidRDefault="0093411D" w:rsidP="0093411D">
            <w:pPr>
              <w:tabs>
                <w:tab w:val="left" w:pos="1212"/>
                <w:tab w:val="left" w:pos="1296"/>
              </w:tabs>
              <w:spacing w:after="0"/>
              <w:ind w:firstLine="0"/>
              <w:jc w:val="right"/>
              <w:rPr>
                <w:rFonts w:ascii="Arial Narrow" w:hAnsi="Arial Narrow" w:cs="Arial"/>
                <w:lang w:val="es-ES" w:eastAsia="es-ES"/>
              </w:rPr>
            </w:pPr>
            <w:r w:rsidRPr="0093411D">
              <w:rPr>
                <w:rFonts w:ascii="Arial Narrow" w:hAnsi="Arial Narrow" w:cs="Arial"/>
                <w:lang w:val="es-ES" w:eastAsia="es-ES"/>
              </w:rPr>
              <w:t>3</w:t>
            </w:r>
          </w:p>
        </w:tc>
        <w:tc>
          <w:tcPr>
            <w:tcW w:w="2280" w:type="dxa"/>
            <w:tcBorders>
              <w:top w:val="single" w:sz="2" w:space="0" w:color="auto"/>
              <w:left w:val="nil"/>
              <w:bottom w:val="single" w:sz="4" w:space="0" w:color="auto"/>
            </w:tcBorders>
            <w:shd w:val="clear" w:color="auto" w:fill="auto"/>
            <w:vAlign w:val="center"/>
          </w:tcPr>
          <w:p w:rsidR="0093411D" w:rsidRPr="007B043B" w:rsidRDefault="0093411D" w:rsidP="0099419F">
            <w:pPr>
              <w:spacing w:after="0"/>
              <w:ind w:firstLine="0"/>
              <w:jc w:val="left"/>
              <w:rPr>
                <w:rFonts w:ascii="Arial Narrow" w:hAnsi="Arial Narrow" w:cs="Arial"/>
                <w:lang w:val="es-ES" w:eastAsia="es-ES"/>
              </w:rPr>
            </w:pPr>
          </w:p>
        </w:tc>
        <w:tc>
          <w:tcPr>
            <w:tcW w:w="1164" w:type="dxa"/>
            <w:tcBorders>
              <w:top w:val="single" w:sz="2" w:space="0" w:color="auto"/>
              <w:bottom w:val="single" w:sz="4" w:space="0" w:color="auto"/>
            </w:tcBorders>
            <w:shd w:val="clear" w:color="auto" w:fill="auto"/>
            <w:vAlign w:val="center"/>
          </w:tcPr>
          <w:p w:rsidR="0093411D" w:rsidRPr="007B043B" w:rsidRDefault="0093411D" w:rsidP="0093411D">
            <w:pPr>
              <w:tabs>
                <w:tab w:val="left" w:pos="1212"/>
                <w:tab w:val="left" w:pos="1296"/>
              </w:tabs>
              <w:spacing w:after="0"/>
              <w:ind w:firstLine="0"/>
              <w:jc w:val="right"/>
              <w:rPr>
                <w:rFonts w:ascii="Arial Narrow" w:hAnsi="Arial Narrow" w:cs="Arial"/>
                <w:lang w:val="es-ES" w:eastAsia="es-ES"/>
              </w:rPr>
            </w:pPr>
          </w:p>
        </w:tc>
        <w:tc>
          <w:tcPr>
            <w:tcW w:w="1022" w:type="dxa"/>
            <w:tcBorders>
              <w:top w:val="single" w:sz="2" w:space="0" w:color="auto"/>
              <w:bottom w:val="single" w:sz="4" w:space="0" w:color="auto"/>
            </w:tcBorders>
            <w:shd w:val="clear" w:color="auto" w:fill="auto"/>
            <w:vAlign w:val="center"/>
          </w:tcPr>
          <w:p w:rsidR="0093411D" w:rsidRPr="007B043B" w:rsidRDefault="0093411D" w:rsidP="0093411D">
            <w:pPr>
              <w:tabs>
                <w:tab w:val="left" w:pos="1212"/>
                <w:tab w:val="left" w:pos="1296"/>
              </w:tabs>
              <w:spacing w:after="0"/>
              <w:ind w:firstLine="0"/>
              <w:jc w:val="right"/>
              <w:rPr>
                <w:rFonts w:ascii="Arial Narrow" w:hAnsi="Arial Narrow" w:cs="Arial"/>
                <w:lang w:val="es-ES" w:eastAsia="es-ES"/>
              </w:rPr>
            </w:pPr>
          </w:p>
        </w:tc>
      </w:tr>
      <w:tr w:rsidR="0093411D" w:rsidRPr="007B043B" w:rsidTr="00D14FF4">
        <w:trPr>
          <w:trHeight w:hRule="exact" w:val="227"/>
          <w:jc w:val="center"/>
        </w:trPr>
        <w:tc>
          <w:tcPr>
            <w:tcW w:w="2268" w:type="dxa"/>
            <w:tcBorders>
              <w:top w:val="single" w:sz="4" w:space="0" w:color="auto"/>
            </w:tcBorders>
            <w:shd w:val="clear" w:color="auto" w:fill="A8CBEE" w:themeFill="accent2" w:themeFillTint="66"/>
            <w:vAlign w:val="center"/>
          </w:tcPr>
          <w:p w:rsidR="0093411D" w:rsidRPr="007B043B" w:rsidRDefault="0093411D" w:rsidP="0099419F">
            <w:pPr>
              <w:pStyle w:val="cuadroCabe"/>
              <w:rPr>
                <w:lang w:val="es-ES" w:eastAsia="es-ES"/>
              </w:rPr>
            </w:pPr>
          </w:p>
        </w:tc>
        <w:tc>
          <w:tcPr>
            <w:tcW w:w="960" w:type="dxa"/>
            <w:tcBorders>
              <w:top w:val="single" w:sz="4" w:space="0" w:color="auto"/>
              <w:right w:val="nil"/>
            </w:tcBorders>
            <w:shd w:val="clear" w:color="auto" w:fill="A8CBEE" w:themeFill="accent2" w:themeFillTint="66"/>
            <w:vAlign w:val="center"/>
          </w:tcPr>
          <w:p w:rsidR="0093411D" w:rsidRPr="007B043B" w:rsidRDefault="0093411D" w:rsidP="00174F99">
            <w:pPr>
              <w:pStyle w:val="cuadroCabe"/>
              <w:tabs>
                <w:tab w:val="left" w:pos="1212"/>
              </w:tabs>
              <w:jc w:val="right"/>
              <w:rPr>
                <w:lang w:val="es-ES" w:eastAsia="es-ES"/>
              </w:rPr>
            </w:pPr>
            <w:r w:rsidRPr="007B043B">
              <w:rPr>
                <w:lang w:val="es-ES" w:eastAsia="es-ES"/>
              </w:rPr>
              <w:t>100</w:t>
            </w:r>
          </w:p>
        </w:tc>
        <w:tc>
          <w:tcPr>
            <w:tcW w:w="1152" w:type="dxa"/>
            <w:tcBorders>
              <w:top w:val="single" w:sz="4" w:space="0" w:color="auto"/>
              <w:left w:val="nil"/>
              <w:right w:val="nil"/>
            </w:tcBorders>
            <w:shd w:val="clear" w:color="auto" w:fill="A8CBEE" w:themeFill="accent2" w:themeFillTint="66"/>
            <w:vAlign w:val="center"/>
          </w:tcPr>
          <w:p w:rsidR="0093411D" w:rsidRPr="007B043B" w:rsidRDefault="0093411D" w:rsidP="00AD575C">
            <w:pPr>
              <w:pStyle w:val="cuadroCabe"/>
              <w:ind w:right="-10"/>
              <w:jc w:val="right"/>
              <w:rPr>
                <w:lang w:val="es-ES" w:eastAsia="es-ES"/>
              </w:rPr>
            </w:pPr>
            <w:r w:rsidRPr="007B043B">
              <w:rPr>
                <w:lang w:val="es-ES" w:eastAsia="es-ES"/>
              </w:rPr>
              <w:t>100</w:t>
            </w:r>
          </w:p>
        </w:tc>
        <w:tc>
          <w:tcPr>
            <w:tcW w:w="2280" w:type="dxa"/>
            <w:tcBorders>
              <w:top w:val="single" w:sz="4" w:space="0" w:color="auto"/>
              <w:left w:val="nil"/>
            </w:tcBorders>
            <w:shd w:val="clear" w:color="auto" w:fill="A8CBEE" w:themeFill="accent2" w:themeFillTint="66"/>
            <w:vAlign w:val="center"/>
          </w:tcPr>
          <w:p w:rsidR="0093411D" w:rsidRPr="007B043B" w:rsidRDefault="0093411D" w:rsidP="0099419F">
            <w:pPr>
              <w:pStyle w:val="cuadroCabe"/>
              <w:rPr>
                <w:lang w:val="es-ES" w:eastAsia="es-ES"/>
              </w:rPr>
            </w:pPr>
          </w:p>
        </w:tc>
        <w:tc>
          <w:tcPr>
            <w:tcW w:w="1164" w:type="dxa"/>
            <w:tcBorders>
              <w:top w:val="single" w:sz="4" w:space="0" w:color="auto"/>
            </w:tcBorders>
            <w:shd w:val="clear" w:color="auto" w:fill="A8CBEE" w:themeFill="accent2" w:themeFillTint="66"/>
            <w:vAlign w:val="center"/>
          </w:tcPr>
          <w:p w:rsidR="0093411D" w:rsidRPr="007B043B" w:rsidRDefault="0093411D" w:rsidP="0099419F">
            <w:pPr>
              <w:pStyle w:val="cuadroCabe"/>
              <w:jc w:val="right"/>
              <w:rPr>
                <w:lang w:val="es-ES" w:eastAsia="es-ES"/>
              </w:rPr>
            </w:pPr>
            <w:r w:rsidRPr="007B043B">
              <w:rPr>
                <w:lang w:val="es-ES" w:eastAsia="es-ES"/>
              </w:rPr>
              <w:t xml:space="preserve">100 </w:t>
            </w:r>
          </w:p>
        </w:tc>
        <w:tc>
          <w:tcPr>
            <w:tcW w:w="1022" w:type="dxa"/>
            <w:tcBorders>
              <w:top w:val="single" w:sz="4" w:space="0" w:color="auto"/>
            </w:tcBorders>
            <w:shd w:val="clear" w:color="auto" w:fill="A8CBEE" w:themeFill="accent2" w:themeFillTint="66"/>
            <w:vAlign w:val="center"/>
          </w:tcPr>
          <w:p w:rsidR="0093411D" w:rsidRPr="007B043B" w:rsidRDefault="0093411D" w:rsidP="0099419F">
            <w:pPr>
              <w:pStyle w:val="cuadroCabe"/>
              <w:jc w:val="right"/>
              <w:rPr>
                <w:lang w:val="es-ES" w:eastAsia="es-ES"/>
              </w:rPr>
            </w:pPr>
            <w:r w:rsidRPr="007B043B">
              <w:rPr>
                <w:lang w:val="es-ES" w:eastAsia="es-ES"/>
              </w:rPr>
              <w:t>100</w:t>
            </w:r>
          </w:p>
        </w:tc>
      </w:tr>
    </w:tbl>
    <w:p w:rsidR="00C3148F" w:rsidRDefault="00E44596" w:rsidP="00AD0614">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before="240" w:after="120"/>
        <w:ind w:left="0" w:firstLine="289"/>
      </w:pPr>
      <w:r w:rsidRPr="00AD0614">
        <w:rPr>
          <w:spacing w:val="0"/>
        </w:rPr>
        <w:t>Atendiendo a la finalidad o función del gasto presupuestario, en el cu</w:t>
      </w:r>
      <w:r w:rsidR="00E16AEA" w:rsidRPr="00AD0614">
        <w:rPr>
          <w:spacing w:val="0"/>
        </w:rPr>
        <w:t>adro se r</w:t>
      </w:r>
      <w:r w:rsidR="00E16AEA" w:rsidRPr="00AD0614">
        <w:rPr>
          <w:spacing w:val="0"/>
        </w:rPr>
        <w:t>e</w:t>
      </w:r>
      <w:r w:rsidR="00E16AEA" w:rsidRPr="00AD0614">
        <w:rPr>
          <w:spacing w:val="0"/>
        </w:rPr>
        <w:t xml:space="preserve">fleja </w:t>
      </w:r>
      <w:r w:rsidRPr="00AD0614">
        <w:rPr>
          <w:spacing w:val="0"/>
        </w:rPr>
        <w:t xml:space="preserve">el gasto </w:t>
      </w:r>
      <w:r w:rsidR="00252EB2" w:rsidRPr="00AD0614">
        <w:rPr>
          <w:spacing w:val="0"/>
        </w:rPr>
        <w:t>de 2015</w:t>
      </w:r>
      <w:r w:rsidR="00AD0614" w:rsidRPr="00AD0614">
        <w:rPr>
          <w:spacing w:val="0"/>
        </w:rPr>
        <w:t>, en miles de euros</w:t>
      </w:r>
      <w:r w:rsidR="00E16AEA" w:rsidRPr="00AD0614">
        <w:rPr>
          <w:spacing w:val="0"/>
        </w:rPr>
        <w:t xml:space="preserve"> y su comparación con el ejercicio</w:t>
      </w:r>
      <w:r w:rsidR="001E2871" w:rsidRPr="00AD0614">
        <w:rPr>
          <w:spacing w:val="0"/>
        </w:rPr>
        <w:t xml:space="preserve"> anterior</w:t>
      </w:r>
      <w:r w:rsidR="00E16AEA" w:rsidRPr="00AD0614">
        <w:rPr>
          <w:spacing w:val="0"/>
        </w:rPr>
        <w:t xml:space="preserve"> </w:t>
      </w:r>
      <w:r w:rsidRPr="00CC53B7">
        <w:t>:</w:t>
      </w:r>
      <w:r w:rsidR="00252EB2">
        <w:t xml:space="preserve"> </w:t>
      </w:r>
    </w:p>
    <w:tbl>
      <w:tblPr>
        <w:tblW w:w="8961" w:type="dxa"/>
        <w:jc w:val="center"/>
        <w:tblCellMar>
          <w:left w:w="70" w:type="dxa"/>
          <w:right w:w="70" w:type="dxa"/>
        </w:tblCellMar>
        <w:tblLook w:val="04A0" w:firstRow="1" w:lastRow="0" w:firstColumn="1" w:lastColumn="0" w:noHBand="0" w:noVBand="1"/>
      </w:tblPr>
      <w:tblGrid>
        <w:gridCol w:w="4709"/>
        <w:gridCol w:w="1417"/>
        <w:gridCol w:w="1418"/>
        <w:gridCol w:w="1417"/>
      </w:tblGrid>
      <w:tr w:rsidR="00823ADB" w:rsidRPr="00AD0614" w:rsidTr="00D14FF4">
        <w:trPr>
          <w:trHeight w:val="227"/>
          <w:jc w:val="center"/>
        </w:trPr>
        <w:tc>
          <w:tcPr>
            <w:tcW w:w="4709" w:type="dxa"/>
            <w:tcBorders>
              <w:top w:val="single" w:sz="4" w:space="0" w:color="auto"/>
              <w:left w:val="nil"/>
              <w:bottom w:val="single" w:sz="4" w:space="0" w:color="auto"/>
              <w:right w:val="nil"/>
            </w:tcBorders>
            <w:shd w:val="clear" w:color="auto" w:fill="A8CBEE" w:themeFill="accent2" w:themeFillTint="66"/>
            <w:noWrap/>
            <w:vAlign w:val="center"/>
            <w:hideMark/>
          </w:tcPr>
          <w:p w:rsidR="00823ADB" w:rsidRPr="00AD0614" w:rsidRDefault="00823ADB" w:rsidP="0099419F">
            <w:pPr>
              <w:pStyle w:val="cuadroCabe"/>
              <w:rPr>
                <w:rFonts w:cs="Arial"/>
              </w:rPr>
            </w:pPr>
            <w:r w:rsidRPr="00AD0614">
              <w:rPr>
                <w:rFonts w:cs="Arial"/>
              </w:rPr>
              <w:t>Política de gasto</w:t>
            </w:r>
          </w:p>
        </w:tc>
        <w:tc>
          <w:tcPr>
            <w:tcW w:w="1417" w:type="dxa"/>
            <w:tcBorders>
              <w:top w:val="single" w:sz="4" w:space="0" w:color="auto"/>
              <w:left w:val="nil"/>
              <w:bottom w:val="single" w:sz="4" w:space="0" w:color="auto"/>
              <w:right w:val="nil"/>
            </w:tcBorders>
            <w:shd w:val="clear" w:color="auto" w:fill="A8CBEE" w:themeFill="accent2" w:themeFillTint="66"/>
            <w:vAlign w:val="center"/>
          </w:tcPr>
          <w:p w:rsidR="00823ADB" w:rsidRPr="00AD0614" w:rsidRDefault="00823ADB" w:rsidP="003C3AD4">
            <w:pPr>
              <w:pStyle w:val="cuadroCabe"/>
              <w:jc w:val="right"/>
              <w:rPr>
                <w:rFonts w:cs="Arial"/>
              </w:rPr>
            </w:pPr>
            <w:r w:rsidRPr="00AD0614">
              <w:rPr>
                <w:rFonts w:cs="Arial"/>
              </w:rPr>
              <w:t>Obligaciones 2014</w:t>
            </w:r>
          </w:p>
        </w:tc>
        <w:tc>
          <w:tcPr>
            <w:tcW w:w="1418" w:type="dxa"/>
            <w:tcBorders>
              <w:top w:val="single" w:sz="4" w:space="0" w:color="auto"/>
              <w:left w:val="nil"/>
              <w:bottom w:val="single" w:sz="4" w:space="0" w:color="auto"/>
              <w:right w:val="nil"/>
            </w:tcBorders>
            <w:shd w:val="clear" w:color="auto" w:fill="A8CBEE" w:themeFill="accent2" w:themeFillTint="66"/>
            <w:vAlign w:val="center"/>
          </w:tcPr>
          <w:p w:rsidR="00823ADB" w:rsidRPr="00AD0614" w:rsidRDefault="00823ADB" w:rsidP="003C3AD4">
            <w:pPr>
              <w:pStyle w:val="cuadroCabe"/>
              <w:jc w:val="right"/>
              <w:rPr>
                <w:rFonts w:cs="Arial"/>
              </w:rPr>
            </w:pPr>
            <w:r w:rsidRPr="00AD0614">
              <w:rPr>
                <w:rFonts w:cs="Arial"/>
              </w:rPr>
              <w:t>Obligaciones 2015</w:t>
            </w:r>
          </w:p>
        </w:tc>
        <w:tc>
          <w:tcPr>
            <w:tcW w:w="1417" w:type="dxa"/>
            <w:tcBorders>
              <w:top w:val="single" w:sz="4" w:space="0" w:color="auto"/>
              <w:left w:val="nil"/>
              <w:bottom w:val="single" w:sz="4" w:space="0" w:color="auto"/>
              <w:right w:val="nil"/>
            </w:tcBorders>
            <w:shd w:val="clear" w:color="auto" w:fill="A8CBEE" w:themeFill="accent2" w:themeFillTint="66"/>
            <w:vAlign w:val="center"/>
          </w:tcPr>
          <w:p w:rsidR="00823ADB" w:rsidRPr="00AD0614" w:rsidRDefault="00823ADB" w:rsidP="003C3AD4">
            <w:pPr>
              <w:pStyle w:val="cuadroCabe"/>
              <w:jc w:val="right"/>
              <w:rPr>
                <w:rFonts w:cs="Arial"/>
              </w:rPr>
            </w:pPr>
            <w:r w:rsidRPr="00AD0614">
              <w:rPr>
                <w:rFonts w:cs="Arial"/>
              </w:rPr>
              <w:t>Porcentaje</w:t>
            </w:r>
          </w:p>
          <w:p w:rsidR="00823ADB" w:rsidRPr="00AD0614" w:rsidRDefault="00823ADB" w:rsidP="003C3AD4">
            <w:pPr>
              <w:pStyle w:val="cuadroCabe"/>
              <w:jc w:val="right"/>
              <w:rPr>
                <w:rFonts w:cs="Arial"/>
              </w:rPr>
            </w:pPr>
            <w:r w:rsidRPr="00AD0614">
              <w:rPr>
                <w:rFonts w:cs="Arial"/>
              </w:rPr>
              <w:t>Var. 15/14</w:t>
            </w:r>
          </w:p>
        </w:tc>
      </w:tr>
      <w:tr w:rsidR="00BA3629" w:rsidRPr="003C3AD4" w:rsidTr="00D14FF4">
        <w:trPr>
          <w:trHeight w:val="227"/>
          <w:jc w:val="center"/>
        </w:trPr>
        <w:tc>
          <w:tcPr>
            <w:tcW w:w="4709" w:type="dxa"/>
            <w:tcBorders>
              <w:top w:val="single" w:sz="4" w:space="0" w:color="auto"/>
              <w:left w:val="nil"/>
              <w:bottom w:val="single" w:sz="2" w:space="0" w:color="auto"/>
              <w:right w:val="nil"/>
            </w:tcBorders>
            <w:shd w:val="clear" w:color="auto" w:fill="auto"/>
            <w:noWrap/>
            <w:vAlign w:val="center"/>
            <w:hideMark/>
          </w:tcPr>
          <w:p w:rsidR="00BA3629" w:rsidRPr="003C3AD4" w:rsidRDefault="00BA3629" w:rsidP="0099419F">
            <w:pPr>
              <w:spacing w:after="0"/>
              <w:ind w:firstLine="0"/>
              <w:jc w:val="left"/>
              <w:rPr>
                <w:rFonts w:ascii="Arial Narrow" w:hAnsi="Arial Narrow" w:cs="Arial"/>
                <w:b/>
                <w:lang w:val="es-ES" w:eastAsia="es-ES"/>
              </w:rPr>
            </w:pPr>
            <w:r w:rsidRPr="003C3AD4">
              <w:rPr>
                <w:rFonts w:ascii="Arial Narrow" w:hAnsi="Arial Narrow" w:cs="Arial"/>
                <w:b/>
                <w:lang w:val="es-ES" w:eastAsia="es-ES"/>
              </w:rPr>
              <w:t>Servicios públicos básicos</w:t>
            </w:r>
          </w:p>
        </w:tc>
        <w:tc>
          <w:tcPr>
            <w:tcW w:w="1417" w:type="dxa"/>
            <w:tcBorders>
              <w:top w:val="single" w:sz="4" w:space="0" w:color="auto"/>
              <w:left w:val="nil"/>
              <w:bottom w:val="single" w:sz="2" w:space="0" w:color="auto"/>
              <w:right w:val="nil"/>
            </w:tcBorders>
            <w:vAlign w:val="center"/>
          </w:tcPr>
          <w:p w:rsidR="00BA3629" w:rsidRPr="003C3AD4" w:rsidRDefault="00BA3629" w:rsidP="00BA3629">
            <w:pPr>
              <w:tabs>
                <w:tab w:val="left" w:pos="1212"/>
                <w:tab w:val="left" w:pos="1296"/>
              </w:tabs>
              <w:spacing w:after="0"/>
              <w:ind w:firstLine="0"/>
              <w:jc w:val="right"/>
              <w:rPr>
                <w:rFonts w:ascii="Arial Narrow" w:hAnsi="Arial Narrow" w:cs="Arial"/>
                <w:b/>
                <w:lang w:val="es-ES" w:eastAsia="es-ES"/>
              </w:rPr>
            </w:pPr>
            <w:r w:rsidRPr="003C3AD4">
              <w:rPr>
                <w:rFonts w:ascii="Arial Narrow" w:hAnsi="Arial Narrow" w:cs="Arial"/>
                <w:b/>
                <w:lang w:val="es-ES" w:eastAsia="es-ES"/>
              </w:rPr>
              <w:t>115.300</w:t>
            </w:r>
          </w:p>
        </w:tc>
        <w:tc>
          <w:tcPr>
            <w:tcW w:w="1418" w:type="dxa"/>
            <w:tcBorders>
              <w:top w:val="single" w:sz="4" w:space="0" w:color="auto"/>
              <w:left w:val="nil"/>
              <w:bottom w:val="single" w:sz="2" w:space="0" w:color="auto"/>
              <w:right w:val="nil"/>
            </w:tcBorders>
            <w:vAlign w:val="center"/>
          </w:tcPr>
          <w:p w:rsidR="00BA3629" w:rsidRPr="003C3AD4" w:rsidRDefault="00BA3629" w:rsidP="0099419F">
            <w:pPr>
              <w:tabs>
                <w:tab w:val="left" w:pos="1212"/>
                <w:tab w:val="left" w:pos="1296"/>
              </w:tabs>
              <w:spacing w:after="0"/>
              <w:ind w:firstLine="0"/>
              <w:jc w:val="right"/>
              <w:rPr>
                <w:rFonts w:ascii="Arial Narrow" w:hAnsi="Arial Narrow" w:cs="Arial"/>
                <w:b/>
                <w:lang w:val="es-ES" w:eastAsia="es-ES"/>
              </w:rPr>
            </w:pPr>
            <w:r w:rsidRPr="003C3AD4">
              <w:rPr>
                <w:rFonts w:ascii="Arial Narrow" w:hAnsi="Arial Narrow" w:cs="Arial"/>
                <w:b/>
                <w:lang w:val="es-ES" w:eastAsia="es-ES"/>
              </w:rPr>
              <w:t>114.295</w:t>
            </w:r>
          </w:p>
        </w:tc>
        <w:tc>
          <w:tcPr>
            <w:tcW w:w="1417" w:type="dxa"/>
            <w:tcBorders>
              <w:top w:val="single" w:sz="4" w:space="0" w:color="auto"/>
              <w:left w:val="nil"/>
              <w:bottom w:val="single" w:sz="2" w:space="0" w:color="auto"/>
              <w:right w:val="nil"/>
            </w:tcBorders>
            <w:vAlign w:val="center"/>
          </w:tcPr>
          <w:p w:rsidR="00BA3629" w:rsidRPr="003C3AD4" w:rsidRDefault="00BA3629" w:rsidP="0099419F">
            <w:pPr>
              <w:tabs>
                <w:tab w:val="left" w:pos="1212"/>
                <w:tab w:val="left" w:pos="1296"/>
              </w:tabs>
              <w:spacing w:after="0"/>
              <w:ind w:firstLine="0"/>
              <w:jc w:val="right"/>
              <w:rPr>
                <w:rFonts w:ascii="Arial Narrow" w:hAnsi="Arial Narrow" w:cs="Arial"/>
                <w:b/>
                <w:lang w:val="es-ES" w:eastAsia="es-ES"/>
              </w:rPr>
            </w:pPr>
            <w:r w:rsidRPr="003C3AD4">
              <w:rPr>
                <w:rFonts w:ascii="Arial Narrow" w:hAnsi="Arial Narrow" w:cs="Arial"/>
                <w:b/>
                <w:lang w:val="es-ES" w:eastAsia="es-ES"/>
              </w:rPr>
              <w:t>-1</w:t>
            </w: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lang w:val="es-ES" w:eastAsia="es-ES"/>
              </w:rPr>
            </w:pPr>
            <w:r w:rsidRPr="0099419F">
              <w:rPr>
                <w:rFonts w:ascii="Arial Narrow" w:hAnsi="Arial Narrow" w:cs="Arial"/>
                <w:lang w:val="es-ES" w:eastAsia="es-ES"/>
              </w:rPr>
              <w:t>Justicia</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lang w:val="es-ES" w:eastAsia="es-ES"/>
              </w:rPr>
            </w:pPr>
            <w:r w:rsidRPr="00BA3629">
              <w:rPr>
                <w:rFonts w:ascii="Arial Narrow" w:hAnsi="Arial Narrow" w:cs="Arial"/>
                <w:lang w:val="es-ES" w:eastAsia="es-ES"/>
              </w:rPr>
              <w:t>27.558</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r w:rsidRPr="0099419F">
              <w:rPr>
                <w:rFonts w:ascii="Arial Narrow" w:hAnsi="Arial Narrow" w:cs="Arial"/>
                <w:lang w:val="es-ES" w:eastAsia="es-ES"/>
              </w:rPr>
              <w:t>25.837</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lang w:val="es-ES" w:eastAsia="es-ES"/>
              </w:rPr>
            </w:pPr>
            <w:r w:rsidRPr="0099419F">
              <w:rPr>
                <w:rFonts w:ascii="Arial Narrow" w:hAnsi="Arial Narrow" w:cs="Arial"/>
                <w:lang w:val="es-ES" w:eastAsia="es-ES"/>
              </w:rPr>
              <w:t>Seguridad ciudadana e instituciones penitenciarias</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lang w:val="es-ES" w:eastAsia="es-ES"/>
              </w:rPr>
            </w:pPr>
            <w:r w:rsidRPr="00BA3629">
              <w:rPr>
                <w:rFonts w:ascii="Arial Narrow" w:hAnsi="Arial Narrow" w:cs="Arial"/>
                <w:lang w:val="es-ES" w:eastAsia="es-ES"/>
              </w:rPr>
              <w:t>82.267</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r w:rsidRPr="0099419F">
              <w:rPr>
                <w:rFonts w:ascii="Arial Narrow" w:hAnsi="Arial Narrow" w:cs="Arial"/>
                <w:lang w:val="es-ES" w:eastAsia="es-ES"/>
              </w:rPr>
              <w:t>82.958</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lang w:val="es-ES" w:eastAsia="es-ES"/>
              </w:rPr>
            </w:pPr>
            <w:r w:rsidRPr="0099419F">
              <w:rPr>
                <w:rFonts w:ascii="Arial Narrow" w:hAnsi="Arial Narrow" w:cs="Arial"/>
                <w:lang w:val="es-ES" w:eastAsia="es-ES"/>
              </w:rPr>
              <w:t>Política exterior</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lang w:val="es-ES" w:eastAsia="es-ES"/>
              </w:rPr>
            </w:pPr>
            <w:r w:rsidRPr="00BA3629">
              <w:rPr>
                <w:rFonts w:ascii="Arial Narrow" w:hAnsi="Arial Narrow" w:cs="Arial"/>
                <w:lang w:val="es-ES" w:eastAsia="es-ES"/>
              </w:rPr>
              <w:t>5.476</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r w:rsidRPr="0099419F">
              <w:rPr>
                <w:rFonts w:ascii="Arial Narrow" w:hAnsi="Arial Narrow" w:cs="Arial"/>
                <w:lang w:val="es-ES" w:eastAsia="es-ES"/>
              </w:rPr>
              <w:t>5.499</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p>
        </w:tc>
      </w:tr>
      <w:tr w:rsidR="00BA3629" w:rsidRPr="003C3AD4"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3C3AD4" w:rsidRDefault="00BA3629" w:rsidP="0099419F">
            <w:pPr>
              <w:spacing w:after="0"/>
              <w:ind w:firstLine="0"/>
              <w:jc w:val="left"/>
              <w:rPr>
                <w:rFonts w:ascii="Arial Narrow" w:hAnsi="Arial Narrow" w:cs="Arial"/>
                <w:b/>
                <w:lang w:val="es-ES" w:eastAsia="es-ES"/>
              </w:rPr>
            </w:pPr>
            <w:r w:rsidRPr="003C3AD4">
              <w:rPr>
                <w:rFonts w:ascii="Arial Narrow" w:hAnsi="Arial Narrow" w:cs="Arial"/>
                <w:b/>
                <w:lang w:val="es-ES" w:eastAsia="es-ES"/>
              </w:rPr>
              <w:t>Actuaciones de protección y promoción social</w:t>
            </w:r>
          </w:p>
        </w:tc>
        <w:tc>
          <w:tcPr>
            <w:tcW w:w="1417" w:type="dxa"/>
            <w:tcBorders>
              <w:top w:val="single" w:sz="2" w:space="0" w:color="auto"/>
              <w:left w:val="nil"/>
              <w:bottom w:val="single" w:sz="2" w:space="0" w:color="auto"/>
              <w:right w:val="nil"/>
            </w:tcBorders>
            <w:vAlign w:val="center"/>
          </w:tcPr>
          <w:p w:rsidR="00BA3629" w:rsidRPr="003C3AD4" w:rsidRDefault="00BA3629" w:rsidP="00BA3629">
            <w:pPr>
              <w:tabs>
                <w:tab w:val="left" w:pos="1212"/>
                <w:tab w:val="left" w:pos="1296"/>
              </w:tabs>
              <w:spacing w:after="0"/>
              <w:ind w:firstLine="0"/>
              <w:jc w:val="right"/>
              <w:rPr>
                <w:rFonts w:ascii="Arial Narrow" w:hAnsi="Arial Narrow" w:cs="Arial"/>
                <w:b/>
                <w:lang w:val="es-ES" w:eastAsia="es-ES"/>
              </w:rPr>
            </w:pPr>
            <w:r w:rsidRPr="003C3AD4">
              <w:rPr>
                <w:rFonts w:ascii="Arial Narrow" w:hAnsi="Arial Narrow" w:cs="Arial"/>
                <w:b/>
                <w:lang w:val="es-ES" w:eastAsia="es-ES"/>
              </w:rPr>
              <w:t>442.424</w:t>
            </w:r>
          </w:p>
        </w:tc>
        <w:tc>
          <w:tcPr>
            <w:tcW w:w="1418" w:type="dxa"/>
            <w:tcBorders>
              <w:top w:val="single" w:sz="2" w:space="0" w:color="auto"/>
              <w:left w:val="nil"/>
              <w:bottom w:val="single" w:sz="2" w:space="0" w:color="auto"/>
              <w:right w:val="nil"/>
            </w:tcBorders>
            <w:vAlign w:val="center"/>
          </w:tcPr>
          <w:p w:rsidR="00BA3629" w:rsidRPr="003C3AD4" w:rsidRDefault="00BA3629" w:rsidP="0099419F">
            <w:pPr>
              <w:tabs>
                <w:tab w:val="left" w:pos="1212"/>
                <w:tab w:val="left" w:pos="1296"/>
              </w:tabs>
              <w:spacing w:after="0"/>
              <w:ind w:firstLine="0"/>
              <w:jc w:val="right"/>
              <w:rPr>
                <w:rFonts w:ascii="Arial Narrow" w:hAnsi="Arial Narrow" w:cs="Arial"/>
                <w:b/>
                <w:lang w:val="es-ES" w:eastAsia="es-ES"/>
              </w:rPr>
            </w:pPr>
            <w:r w:rsidRPr="003C3AD4">
              <w:rPr>
                <w:rFonts w:ascii="Arial Narrow" w:hAnsi="Arial Narrow" w:cs="Arial"/>
                <w:b/>
                <w:lang w:val="es-ES" w:eastAsia="es-ES"/>
              </w:rPr>
              <w:t>451.559</w:t>
            </w:r>
          </w:p>
        </w:tc>
        <w:tc>
          <w:tcPr>
            <w:tcW w:w="1417" w:type="dxa"/>
            <w:tcBorders>
              <w:top w:val="single" w:sz="2" w:space="0" w:color="auto"/>
              <w:left w:val="nil"/>
              <w:bottom w:val="single" w:sz="2" w:space="0" w:color="auto"/>
              <w:right w:val="nil"/>
            </w:tcBorders>
            <w:vAlign w:val="center"/>
          </w:tcPr>
          <w:p w:rsidR="00BA3629" w:rsidRPr="003C3AD4" w:rsidRDefault="00BA3629" w:rsidP="00252EB2">
            <w:pPr>
              <w:tabs>
                <w:tab w:val="left" w:pos="1212"/>
                <w:tab w:val="left" w:pos="1296"/>
              </w:tabs>
              <w:spacing w:after="0"/>
              <w:ind w:firstLine="0"/>
              <w:jc w:val="right"/>
              <w:rPr>
                <w:rFonts w:ascii="Arial Narrow" w:hAnsi="Arial Narrow" w:cs="Arial"/>
                <w:b/>
                <w:lang w:val="es-ES" w:eastAsia="es-ES"/>
              </w:rPr>
            </w:pPr>
            <w:r w:rsidRPr="003C3AD4">
              <w:rPr>
                <w:rFonts w:ascii="Arial Narrow" w:hAnsi="Arial Narrow" w:cs="Arial"/>
                <w:b/>
                <w:lang w:val="es-ES" w:eastAsia="es-ES"/>
              </w:rPr>
              <w:t>2</w:t>
            </w: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lang w:val="es-ES" w:eastAsia="es-ES"/>
              </w:rPr>
            </w:pPr>
            <w:r w:rsidRPr="0099419F">
              <w:rPr>
                <w:rFonts w:ascii="Arial Narrow" w:hAnsi="Arial Narrow" w:cs="Arial"/>
                <w:lang w:val="es-ES" w:eastAsia="es-ES"/>
              </w:rPr>
              <w:t>Pensiones</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lang w:val="es-ES" w:eastAsia="es-ES"/>
              </w:rPr>
            </w:pPr>
            <w:r w:rsidRPr="00BA3629">
              <w:rPr>
                <w:rFonts w:ascii="Arial Narrow" w:hAnsi="Arial Narrow" w:cs="Arial"/>
                <w:lang w:val="es-ES" w:eastAsia="es-ES"/>
              </w:rPr>
              <w:t>92.736</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r w:rsidRPr="0099419F">
              <w:rPr>
                <w:rFonts w:ascii="Arial Narrow" w:hAnsi="Arial Narrow" w:cs="Arial"/>
                <w:lang w:val="es-ES" w:eastAsia="es-ES"/>
              </w:rPr>
              <w:t>96.371</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lang w:val="es-ES" w:eastAsia="es-ES"/>
              </w:rPr>
            </w:pPr>
            <w:r w:rsidRPr="0099419F">
              <w:rPr>
                <w:rFonts w:ascii="Arial Narrow" w:hAnsi="Arial Narrow" w:cs="Arial"/>
                <w:lang w:val="es-ES" w:eastAsia="es-ES"/>
              </w:rPr>
              <w:t>Otras prestaciones económicas</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lang w:val="es-ES" w:eastAsia="es-ES"/>
              </w:rPr>
            </w:pPr>
            <w:r w:rsidRPr="00BA3629">
              <w:rPr>
                <w:rFonts w:ascii="Arial Narrow" w:hAnsi="Arial Narrow" w:cs="Arial"/>
                <w:lang w:val="es-ES" w:eastAsia="es-ES"/>
              </w:rPr>
              <w:t>8.061</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r w:rsidRPr="0099419F">
              <w:rPr>
                <w:rFonts w:ascii="Arial Narrow" w:hAnsi="Arial Narrow" w:cs="Arial"/>
                <w:lang w:val="es-ES" w:eastAsia="es-ES"/>
              </w:rPr>
              <w:t>6.733</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lang w:val="es-ES" w:eastAsia="es-ES"/>
              </w:rPr>
            </w:pPr>
            <w:r w:rsidRPr="0099419F">
              <w:rPr>
                <w:rFonts w:ascii="Arial Narrow" w:hAnsi="Arial Narrow" w:cs="Arial"/>
                <w:lang w:val="es-ES" w:eastAsia="es-ES"/>
              </w:rPr>
              <w:t>Servicios sociales y promoción social</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lang w:val="es-ES" w:eastAsia="es-ES"/>
              </w:rPr>
            </w:pPr>
            <w:r w:rsidRPr="00BA3629">
              <w:rPr>
                <w:rFonts w:ascii="Arial Narrow" w:hAnsi="Arial Narrow" w:cs="Arial"/>
                <w:lang w:val="es-ES" w:eastAsia="es-ES"/>
              </w:rPr>
              <w:t>234.456</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r w:rsidRPr="0099419F">
              <w:rPr>
                <w:rFonts w:ascii="Arial Narrow" w:hAnsi="Arial Narrow" w:cs="Arial"/>
                <w:lang w:val="es-ES" w:eastAsia="es-ES"/>
              </w:rPr>
              <w:t>256.686</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lang w:val="es-ES" w:eastAsia="es-ES"/>
              </w:rPr>
            </w:pPr>
            <w:r w:rsidRPr="0099419F">
              <w:rPr>
                <w:rFonts w:ascii="Arial Narrow" w:hAnsi="Arial Narrow" w:cs="Arial"/>
                <w:lang w:val="es-ES" w:eastAsia="es-ES"/>
              </w:rPr>
              <w:t>Fomento del empleo</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lang w:val="es-ES" w:eastAsia="es-ES"/>
              </w:rPr>
            </w:pPr>
            <w:r w:rsidRPr="00BA3629">
              <w:rPr>
                <w:rFonts w:ascii="Arial Narrow" w:hAnsi="Arial Narrow" w:cs="Arial"/>
                <w:lang w:val="es-ES" w:eastAsia="es-ES"/>
              </w:rPr>
              <w:t>48.796</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r w:rsidRPr="0099419F">
              <w:rPr>
                <w:rFonts w:ascii="Arial Narrow" w:hAnsi="Arial Narrow" w:cs="Arial"/>
                <w:lang w:val="es-ES" w:eastAsia="es-ES"/>
              </w:rPr>
              <w:t>45.456</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lang w:val="es-ES" w:eastAsia="es-ES"/>
              </w:rPr>
            </w:pPr>
            <w:r w:rsidRPr="0099419F">
              <w:rPr>
                <w:rFonts w:ascii="Arial Narrow" w:hAnsi="Arial Narrow" w:cs="Arial"/>
                <w:lang w:val="es-ES" w:eastAsia="es-ES"/>
              </w:rPr>
              <w:t>Acceso a la vivienda y fomento de la edificación</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lang w:val="es-ES" w:eastAsia="es-ES"/>
              </w:rPr>
            </w:pPr>
            <w:r w:rsidRPr="00BA3629">
              <w:rPr>
                <w:rFonts w:ascii="Arial Narrow" w:hAnsi="Arial Narrow" w:cs="Arial"/>
                <w:lang w:val="es-ES" w:eastAsia="es-ES"/>
              </w:rPr>
              <w:t>58.375</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r w:rsidRPr="0099419F">
              <w:rPr>
                <w:rFonts w:ascii="Arial Narrow" w:hAnsi="Arial Narrow" w:cs="Arial"/>
                <w:lang w:val="es-ES" w:eastAsia="es-ES"/>
              </w:rPr>
              <w:t>46.314</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p>
        </w:tc>
      </w:tr>
      <w:tr w:rsidR="00BA3629" w:rsidRPr="003C3AD4"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3C3AD4" w:rsidRDefault="00BA3629" w:rsidP="0099419F">
            <w:pPr>
              <w:spacing w:after="0"/>
              <w:ind w:firstLine="0"/>
              <w:jc w:val="left"/>
              <w:rPr>
                <w:rFonts w:ascii="Arial Narrow" w:hAnsi="Arial Narrow" w:cs="Arial"/>
                <w:b/>
                <w:lang w:val="es-ES" w:eastAsia="es-ES"/>
              </w:rPr>
            </w:pPr>
            <w:r w:rsidRPr="003C3AD4">
              <w:rPr>
                <w:rFonts w:ascii="Arial Narrow" w:hAnsi="Arial Narrow" w:cs="Arial"/>
                <w:b/>
                <w:lang w:val="es-ES" w:eastAsia="es-ES"/>
              </w:rPr>
              <w:t>Producción de bienes públicos de carácter preferente</w:t>
            </w:r>
          </w:p>
        </w:tc>
        <w:tc>
          <w:tcPr>
            <w:tcW w:w="1417" w:type="dxa"/>
            <w:tcBorders>
              <w:top w:val="single" w:sz="2" w:space="0" w:color="auto"/>
              <w:left w:val="nil"/>
              <w:bottom w:val="single" w:sz="2" w:space="0" w:color="auto"/>
              <w:right w:val="nil"/>
            </w:tcBorders>
            <w:vAlign w:val="center"/>
          </w:tcPr>
          <w:p w:rsidR="00BA3629" w:rsidRPr="003C3AD4" w:rsidRDefault="00BA3629" w:rsidP="00BA3629">
            <w:pPr>
              <w:tabs>
                <w:tab w:val="left" w:pos="1212"/>
                <w:tab w:val="left" w:pos="1296"/>
              </w:tabs>
              <w:spacing w:after="0"/>
              <w:ind w:firstLine="0"/>
              <w:jc w:val="right"/>
              <w:rPr>
                <w:rFonts w:ascii="Arial Narrow" w:hAnsi="Arial Narrow" w:cs="Arial"/>
                <w:b/>
                <w:lang w:val="es-ES" w:eastAsia="es-ES"/>
              </w:rPr>
            </w:pPr>
            <w:r w:rsidRPr="003C3AD4">
              <w:rPr>
                <w:rFonts w:ascii="Arial Narrow" w:hAnsi="Arial Narrow" w:cs="Arial"/>
                <w:b/>
                <w:lang w:val="es-ES" w:eastAsia="es-ES"/>
              </w:rPr>
              <w:t>1.525.082</w:t>
            </w:r>
          </w:p>
        </w:tc>
        <w:tc>
          <w:tcPr>
            <w:tcW w:w="1418" w:type="dxa"/>
            <w:tcBorders>
              <w:top w:val="single" w:sz="2" w:space="0" w:color="auto"/>
              <w:left w:val="nil"/>
              <w:bottom w:val="single" w:sz="2" w:space="0" w:color="auto"/>
              <w:right w:val="nil"/>
            </w:tcBorders>
            <w:vAlign w:val="center"/>
          </w:tcPr>
          <w:p w:rsidR="00BA3629" w:rsidRPr="003C3AD4" w:rsidRDefault="00BA3629" w:rsidP="0099419F">
            <w:pPr>
              <w:tabs>
                <w:tab w:val="left" w:pos="1212"/>
                <w:tab w:val="left" w:pos="1296"/>
              </w:tabs>
              <w:spacing w:after="0"/>
              <w:ind w:firstLine="0"/>
              <w:jc w:val="right"/>
              <w:rPr>
                <w:rFonts w:ascii="Arial Narrow" w:hAnsi="Arial Narrow" w:cs="Arial"/>
                <w:b/>
                <w:lang w:val="es-ES" w:eastAsia="es-ES"/>
              </w:rPr>
            </w:pPr>
            <w:r w:rsidRPr="003C3AD4">
              <w:rPr>
                <w:rFonts w:ascii="Arial Narrow" w:hAnsi="Arial Narrow" w:cs="Arial"/>
                <w:b/>
                <w:lang w:val="es-ES" w:eastAsia="es-ES"/>
              </w:rPr>
              <w:t>1.580.932</w:t>
            </w:r>
          </w:p>
        </w:tc>
        <w:tc>
          <w:tcPr>
            <w:tcW w:w="1417" w:type="dxa"/>
            <w:tcBorders>
              <w:top w:val="single" w:sz="2" w:space="0" w:color="auto"/>
              <w:left w:val="nil"/>
              <w:bottom w:val="single" w:sz="2" w:space="0" w:color="auto"/>
              <w:right w:val="nil"/>
            </w:tcBorders>
            <w:vAlign w:val="center"/>
          </w:tcPr>
          <w:p w:rsidR="00BA3629" w:rsidRPr="003C3AD4" w:rsidRDefault="00BA3629" w:rsidP="007754A0">
            <w:pPr>
              <w:tabs>
                <w:tab w:val="left" w:pos="1212"/>
                <w:tab w:val="left" w:pos="1296"/>
              </w:tabs>
              <w:spacing w:after="0"/>
              <w:ind w:firstLine="0"/>
              <w:jc w:val="right"/>
              <w:rPr>
                <w:rFonts w:ascii="Arial Narrow" w:hAnsi="Arial Narrow" w:cs="Arial"/>
                <w:b/>
                <w:lang w:val="es-ES" w:eastAsia="es-ES"/>
              </w:rPr>
            </w:pPr>
            <w:r w:rsidRPr="003C3AD4">
              <w:rPr>
                <w:rFonts w:ascii="Arial Narrow" w:hAnsi="Arial Narrow" w:cs="Arial"/>
                <w:b/>
                <w:lang w:val="es-ES" w:eastAsia="es-ES"/>
              </w:rPr>
              <w:t>4</w:t>
            </w: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lang w:val="es-ES" w:eastAsia="es-ES"/>
              </w:rPr>
            </w:pPr>
            <w:r w:rsidRPr="0099419F">
              <w:rPr>
                <w:rFonts w:ascii="Arial Narrow" w:hAnsi="Arial Narrow" w:cs="Arial"/>
                <w:lang w:val="es-ES" w:eastAsia="es-ES"/>
              </w:rPr>
              <w:t>Sanidad</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lang w:val="es-ES" w:eastAsia="es-ES"/>
              </w:rPr>
            </w:pPr>
            <w:r w:rsidRPr="00BA3629">
              <w:rPr>
                <w:rFonts w:ascii="Arial Narrow" w:hAnsi="Arial Narrow" w:cs="Arial"/>
                <w:lang w:val="es-ES" w:eastAsia="es-ES"/>
              </w:rPr>
              <w:t>916.240</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r w:rsidRPr="0099419F">
              <w:rPr>
                <w:rFonts w:ascii="Arial Narrow" w:hAnsi="Arial Narrow" w:cs="Arial"/>
                <w:lang w:val="es-ES" w:eastAsia="es-ES"/>
              </w:rPr>
              <w:t>958.343</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lang w:val="es-ES" w:eastAsia="es-ES"/>
              </w:rPr>
            </w:pPr>
            <w:r w:rsidRPr="0099419F">
              <w:rPr>
                <w:rFonts w:ascii="Arial Narrow" w:hAnsi="Arial Narrow" w:cs="Arial"/>
                <w:lang w:val="es-ES" w:eastAsia="es-ES"/>
              </w:rPr>
              <w:t>Educación</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lang w:val="es-ES" w:eastAsia="es-ES"/>
              </w:rPr>
            </w:pPr>
            <w:r w:rsidRPr="00BA3629">
              <w:rPr>
                <w:rFonts w:ascii="Arial Narrow" w:hAnsi="Arial Narrow" w:cs="Arial"/>
                <w:lang w:val="es-ES" w:eastAsia="es-ES"/>
              </w:rPr>
              <w:t>567.951</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r w:rsidRPr="0099419F">
              <w:rPr>
                <w:rFonts w:ascii="Arial Narrow" w:hAnsi="Arial Narrow" w:cs="Arial"/>
                <w:lang w:val="es-ES" w:eastAsia="es-ES"/>
              </w:rPr>
              <w:t>580.374</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lang w:val="es-ES" w:eastAsia="es-ES"/>
              </w:rPr>
            </w:pPr>
            <w:r w:rsidRPr="0099419F">
              <w:rPr>
                <w:rFonts w:ascii="Arial Narrow" w:hAnsi="Arial Narrow" w:cs="Arial"/>
                <w:lang w:val="es-ES" w:eastAsia="es-ES"/>
              </w:rPr>
              <w:t>Cultura</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lang w:val="es-ES" w:eastAsia="es-ES"/>
              </w:rPr>
            </w:pPr>
            <w:r w:rsidRPr="00BA3629">
              <w:rPr>
                <w:rFonts w:ascii="Arial Narrow" w:hAnsi="Arial Narrow" w:cs="Arial"/>
                <w:lang w:val="es-ES" w:eastAsia="es-ES"/>
              </w:rPr>
              <w:t>40.890</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r w:rsidRPr="0099419F">
              <w:rPr>
                <w:rFonts w:ascii="Arial Narrow" w:hAnsi="Arial Narrow" w:cs="Arial"/>
                <w:lang w:val="es-ES" w:eastAsia="es-ES"/>
              </w:rPr>
              <w:t>42.215</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p>
        </w:tc>
      </w:tr>
      <w:tr w:rsidR="00BA3629" w:rsidRPr="003C3AD4"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3C3AD4" w:rsidRDefault="00BA3629" w:rsidP="0099419F">
            <w:pPr>
              <w:spacing w:after="0"/>
              <w:ind w:firstLine="0"/>
              <w:jc w:val="left"/>
              <w:rPr>
                <w:rFonts w:ascii="Arial Narrow" w:hAnsi="Arial Narrow" w:cs="Arial"/>
                <w:b/>
                <w:lang w:val="es-ES" w:eastAsia="es-ES"/>
              </w:rPr>
            </w:pPr>
            <w:r w:rsidRPr="003C3AD4">
              <w:rPr>
                <w:rFonts w:ascii="Arial Narrow" w:hAnsi="Arial Narrow" w:cs="Arial"/>
                <w:b/>
                <w:lang w:val="es-ES" w:eastAsia="es-ES"/>
              </w:rPr>
              <w:t>Actuaciones de carácter económico</w:t>
            </w:r>
          </w:p>
        </w:tc>
        <w:tc>
          <w:tcPr>
            <w:tcW w:w="1417" w:type="dxa"/>
            <w:tcBorders>
              <w:top w:val="single" w:sz="2" w:space="0" w:color="auto"/>
              <w:left w:val="nil"/>
              <w:bottom w:val="single" w:sz="2" w:space="0" w:color="auto"/>
              <w:right w:val="nil"/>
            </w:tcBorders>
            <w:vAlign w:val="center"/>
          </w:tcPr>
          <w:p w:rsidR="00BA3629" w:rsidRPr="003C3AD4" w:rsidRDefault="00BA3629" w:rsidP="00BA3629">
            <w:pPr>
              <w:tabs>
                <w:tab w:val="left" w:pos="1212"/>
                <w:tab w:val="left" w:pos="1296"/>
              </w:tabs>
              <w:spacing w:after="0"/>
              <w:ind w:firstLine="0"/>
              <w:jc w:val="right"/>
              <w:rPr>
                <w:rFonts w:ascii="Arial Narrow" w:hAnsi="Arial Narrow" w:cs="Arial"/>
                <w:b/>
                <w:lang w:val="es-ES" w:eastAsia="es-ES"/>
              </w:rPr>
            </w:pPr>
            <w:r w:rsidRPr="003C3AD4">
              <w:rPr>
                <w:rFonts w:ascii="Arial Narrow" w:hAnsi="Arial Narrow" w:cs="Arial"/>
                <w:b/>
                <w:lang w:val="es-ES" w:eastAsia="es-ES"/>
              </w:rPr>
              <w:t>319.295</w:t>
            </w:r>
          </w:p>
        </w:tc>
        <w:tc>
          <w:tcPr>
            <w:tcW w:w="1418" w:type="dxa"/>
            <w:tcBorders>
              <w:top w:val="single" w:sz="2" w:space="0" w:color="auto"/>
              <w:left w:val="nil"/>
              <w:bottom w:val="single" w:sz="2" w:space="0" w:color="auto"/>
              <w:right w:val="nil"/>
            </w:tcBorders>
            <w:vAlign w:val="center"/>
          </w:tcPr>
          <w:p w:rsidR="00BA3629" w:rsidRPr="003C3AD4" w:rsidRDefault="00BA3629" w:rsidP="0099419F">
            <w:pPr>
              <w:tabs>
                <w:tab w:val="left" w:pos="1212"/>
                <w:tab w:val="left" w:pos="1296"/>
              </w:tabs>
              <w:spacing w:after="0"/>
              <w:ind w:firstLine="0"/>
              <w:jc w:val="right"/>
              <w:rPr>
                <w:rFonts w:ascii="Arial Narrow" w:hAnsi="Arial Narrow" w:cs="Arial"/>
                <w:b/>
                <w:lang w:val="es-ES" w:eastAsia="es-ES"/>
              </w:rPr>
            </w:pPr>
            <w:r w:rsidRPr="003C3AD4">
              <w:rPr>
                <w:rFonts w:ascii="Arial Narrow" w:hAnsi="Arial Narrow" w:cs="Arial"/>
                <w:b/>
                <w:lang w:val="es-ES" w:eastAsia="es-ES"/>
              </w:rPr>
              <w:t>319.641</w:t>
            </w:r>
          </w:p>
        </w:tc>
        <w:tc>
          <w:tcPr>
            <w:tcW w:w="1417" w:type="dxa"/>
            <w:tcBorders>
              <w:top w:val="single" w:sz="2" w:space="0" w:color="auto"/>
              <w:left w:val="nil"/>
              <w:bottom w:val="single" w:sz="2" w:space="0" w:color="auto"/>
              <w:right w:val="nil"/>
            </w:tcBorders>
            <w:vAlign w:val="center"/>
          </w:tcPr>
          <w:p w:rsidR="00BA3629" w:rsidRPr="003C3AD4" w:rsidRDefault="00BA3629" w:rsidP="007754A0">
            <w:pPr>
              <w:tabs>
                <w:tab w:val="left" w:pos="1212"/>
                <w:tab w:val="left" w:pos="1296"/>
              </w:tabs>
              <w:spacing w:after="0"/>
              <w:ind w:firstLine="0"/>
              <w:jc w:val="right"/>
              <w:rPr>
                <w:rFonts w:ascii="Arial Narrow" w:hAnsi="Arial Narrow" w:cs="Arial"/>
                <w:b/>
                <w:lang w:val="es-ES" w:eastAsia="es-ES"/>
              </w:rPr>
            </w:pPr>
            <w:r w:rsidRPr="003C3AD4">
              <w:rPr>
                <w:rFonts w:ascii="Arial Narrow" w:hAnsi="Arial Narrow" w:cs="Arial"/>
                <w:b/>
                <w:lang w:val="es-ES" w:eastAsia="es-ES"/>
              </w:rPr>
              <w:t>-</w:t>
            </w: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lang w:val="es-ES" w:eastAsia="es-ES"/>
              </w:rPr>
            </w:pPr>
            <w:r w:rsidRPr="0099419F">
              <w:rPr>
                <w:rFonts w:ascii="Arial Narrow" w:hAnsi="Arial Narrow" w:cs="Arial"/>
                <w:lang w:val="es-ES" w:eastAsia="es-ES"/>
              </w:rPr>
              <w:t>Agricultura, ganadería y alimentación</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lang w:val="es-ES" w:eastAsia="es-ES"/>
              </w:rPr>
            </w:pPr>
            <w:r w:rsidRPr="00BA3629">
              <w:rPr>
                <w:rFonts w:ascii="Arial Narrow" w:hAnsi="Arial Narrow" w:cs="Arial"/>
                <w:lang w:val="es-ES" w:eastAsia="es-ES"/>
              </w:rPr>
              <w:t>73.134</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r w:rsidRPr="0099419F">
              <w:rPr>
                <w:rFonts w:ascii="Arial Narrow" w:hAnsi="Arial Narrow" w:cs="Arial"/>
                <w:lang w:val="es-ES" w:eastAsia="es-ES"/>
              </w:rPr>
              <w:t>78.231</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lang w:val="es-ES" w:eastAsia="es-ES"/>
              </w:rPr>
            </w:pPr>
            <w:r w:rsidRPr="0099419F">
              <w:rPr>
                <w:rFonts w:ascii="Arial Narrow" w:hAnsi="Arial Narrow" w:cs="Arial"/>
                <w:lang w:val="es-ES" w:eastAsia="es-ES"/>
              </w:rPr>
              <w:t>Industria y energía</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lang w:val="es-ES" w:eastAsia="es-ES"/>
              </w:rPr>
            </w:pPr>
            <w:r w:rsidRPr="00BA3629">
              <w:rPr>
                <w:rFonts w:ascii="Arial Narrow" w:hAnsi="Arial Narrow" w:cs="Arial"/>
                <w:lang w:val="es-ES" w:eastAsia="es-ES"/>
              </w:rPr>
              <w:t>22.946</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r w:rsidRPr="0099419F">
              <w:rPr>
                <w:rFonts w:ascii="Arial Narrow" w:hAnsi="Arial Narrow" w:cs="Arial"/>
                <w:lang w:val="es-ES" w:eastAsia="es-ES"/>
              </w:rPr>
              <w:t>18.286</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lang w:val="es-ES" w:eastAsia="es-ES"/>
              </w:rPr>
            </w:pPr>
            <w:r w:rsidRPr="0099419F">
              <w:rPr>
                <w:rFonts w:ascii="Arial Narrow" w:hAnsi="Arial Narrow" w:cs="Arial"/>
                <w:lang w:val="es-ES" w:eastAsia="es-ES"/>
              </w:rPr>
              <w:t>Comercio, Turismo y Pymes</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lang w:val="es-ES" w:eastAsia="es-ES"/>
              </w:rPr>
            </w:pPr>
            <w:r w:rsidRPr="00BA3629">
              <w:rPr>
                <w:rFonts w:ascii="Arial Narrow" w:hAnsi="Arial Narrow" w:cs="Arial"/>
                <w:lang w:val="es-ES" w:eastAsia="es-ES"/>
              </w:rPr>
              <w:t>6.808</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r w:rsidRPr="0099419F">
              <w:rPr>
                <w:rFonts w:ascii="Arial Narrow" w:hAnsi="Arial Narrow" w:cs="Arial"/>
                <w:lang w:val="es-ES" w:eastAsia="es-ES"/>
              </w:rPr>
              <w:t>7.025</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lang w:val="es-ES" w:eastAsia="es-ES"/>
              </w:rPr>
            </w:pPr>
            <w:r w:rsidRPr="0099419F">
              <w:rPr>
                <w:rFonts w:ascii="Arial Narrow" w:hAnsi="Arial Narrow" w:cs="Arial"/>
                <w:lang w:val="es-ES" w:eastAsia="es-ES"/>
              </w:rPr>
              <w:t>Subvenciones al transporte</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lang w:val="es-ES" w:eastAsia="es-ES"/>
              </w:rPr>
            </w:pPr>
            <w:r w:rsidRPr="00BA3629">
              <w:rPr>
                <w:rFonts w:ascii="Arial Narrow" w:hAnsi="Arial Narrow" w:cs="Arial"/>
                <w:lang w:val="es-ES" w:eastAsia="es-ES"/>
              </w:rPr>
              <w:t>21.297</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r w:rsidRPr="0099419F">
              <w:rPr>
                <w:rFonts w:ascii="Arial Narrow" w:hAnsi="Arial Narrow" w:cs="Arial"/>
                <w:lang w:val="es-ES" w:eastAsia="es-ES"/>
              </w:rPr>
              <w:t>24.057</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lang w:val="es-ES" w:eastAsia="es-ES"/>
              </w:rPr>
            </w:pPr>
            <w:r w:rsidRPr="0099419F">
              <w:rPr>
                <w:rFonts w:ascii="Arial Narrow" w:hAnsi="Arial Narrow" w:cs="Arial"/>
                <w:lang w:val="es-ES" w:eastAsia="es-ES"/>
              </w:rPr>
              <w:t>Infraestructuras</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lang w:val="es-ES" w:eastAsia="es-ES"/>
              </w:rPr>
            </w:pPr>
            <w:r w:rsidRPr="00BA3629">
              <w:rPr>
                <w:rFonts w:ascii="Arial Narrow" w:hAnsi="Arial Narrow" w:cs="Arial"/>
                <w:lang w:val="es-ES" w:eastAsia="es-ES"/>
              </w:rPr>
              <w:t>144.300</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r w:rsidRPr="0099419F">
              <w:rPr>
                <w:rFonts w:ascii="Arial Narrow" w:hAnsi="Arial Narrow" w:cs="Arial"/>
                <w:lang w:val="es-ES" w:eastAsia="es-ES"/>
              </w:rPr>
              <w:t>134.863</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lang w:val="es-ES" w:eastAsia="es-ES"/>
              </w:rPr>
            </w:pPr>
            <w:r w:rsidRPr="0099419F">
              <w:rPr>
                <w:rFonts w:ascii="Arial Narrow" w:hAnsi="Arial Narrow" w:cs="Arial"/>
                <w:lang w:val="es-ES" w:eastAsia="es-ES"/>
              </w:rPr>
              <w:t>Investigación, desarrollo e innovación</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lang w:val="es-ES" w:eastAsia="es-ES"/>
              </w:rPr>
            </w:pPr>
            <w:r w:rsidRPr="00BA3629">
              <w:rPr>
                <w:rFonts w:ascii="Arial Narrow" w:hAnsi="Arial Narrow" w:cs="Arial"/>
                <w:lang w:val="es-ES" w:eastAsia="es-ES"/>
              </w:rPr>
              <w:t>46.639</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r w:rsidRPr="0099419F">
              <w:rPr>
                <w:rFonts w:ascii="Arial Narrow" w:hAnsi="Arial Narrow" w:cs="Arial"/>
                <w:lang w:val="es-ES" w:eastAsia="es-ES"/>
              </w:rPr>
              <w:t>51.614</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lang w:val="es-ES" w:eastAsia="es-ES"/>
              </w:rPr>
            </w:pPr>
            <w:r w:rsidRPr="0099419F">
              <w:rPr>
                <w:rFonts w:ascii="Arial Narrow" w:hAnsi="Arial Narrow" w:cs="Arial"/>
                <w:lang w:val="es-ES" w:eastAsia="es-ES"/>
              </w:rPr>
              <w:t>Otras actuaciones de carácter económico</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lang w:val="es-ES" w:eastAsia="es-ES"/>
              </w:rPr>
            </w:pPr>
            <w:r w:rsidRPr="00BA3629">
              <w:rPr>
                <w:rFonts w:ascii="Arial Narrow" w:hAnsi="Arial Narrow" w:cs="Arial"/>
                <w:lang w:val="es-ES" w:eastAsia="es-ES"/>
              </w:rPr>
              <w:t>4.171</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r w:rsidRPr="0099419F">
              <w:rPr>
                <w:rFonts w:ascii="Arial Narrow" w:hAnsi="Arial Narrow" w:cs="Arial"/>
                <w:lang w:val="es-ES" w:eastAsia="es-ES"/>
              </w:rPr>
              <w:t>5.565</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p>
        </w:tc>
      </w:tr>
      <w:tr w:rsidR="00BA3629" w:rsidRPr="003C3AD4"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3C3AD4" w:rsidRDefault="00BA3629" w:rsidP="0099419F">
            <w:pPr>
              <w:spacing w:after="0"/>
              <w:ind w:firstLine="0"/>
              <w:jc w:val="left"/>
              <w:rPr>
                <w:rFonts w:ascii="Arial Narrow" w:hAnsi="Arial Narrow" w:cs="Arial"/>
                <w:b/>
                <w:lang w:val="es-ES" w:eastAsia="es-ES"/>
              </w:rPr>
            </w:pPr>
            <w:r w:rsidRPr="003C3AD4">
              <w:rPr>
                <w:rFonts w:ascii="Arial Narrow" w:hAnsi="Arial Narrow" w:cs="Arial"/>
                <w:b/>
                <w:lang w:val="es-ES" w:eastAsia="es-ES"/>
              </w:rPr>
              <w:t>Actuaciones de carácter general</w:t>
            </w:r>
          </w:p>
        </w:tc>
        <w:tc>
          <w:tcPr>
            <w:tcW w:w="1417" w:type="dxa"/>
            <w:tcBorders>
              <w:top w:val="single" w:sz="2" w:space="0" w:color="auto"/>
              <w:left w:val="nil"/>
              <w:bottom w:val="single" w:sz="2" w:space="0" w:color="auto"/>
              <w:right w:val="nil"/>
            </w:tcBorders>
            <w:vAlign w:val="center"/>
          </w:tcPr>
          <w:p w:rsidR="00BA3629" w:rsidRPr="003C3AD4" w:rsidRDefault="00BA3629" w:rsidP="00BA3629">
            <w:pPr>
              <w:tabs>
                <w:tab w:val="left" w:pos="1212"/>
                <w:tab w:val="left" w:pos="1296"/>
              </w:tabs>
              <w:spacing w:after="0"/>
              <w:ind w:firstLine="0"/>
              <w:jc w:val="right"/>
              <w:rPr>
                <w:rFonts w:ascii="Arial Narrow" w:hAnsi="Arial Narrow" w:cs="Arial"/>
                <w:b/>
                <w:lang w:val="es-ES" w:eastAsia="es-ES"/>
              </w:rPr>
            </w:pPr>
            <w:r w:rsidRPr="003C3AD4">
              <w:rPr>
                <w:rFonts w:ascii="Arial Narrow" w:hAnsi="Arial Narrow" w:cs="Arial"/>
                <w:b/>
                <w:lang w:val="es-ES" w:eastAsia="es-ES"/>
              </w:rPr>
              <w:t>1.401.464</w:t>
            </w:r>
          </w:p>
        </w:tc>
        <w:tc>
          <w:tcPr>
            <w:tcW w:w="1418" w:type="dxa"/>
            <w:tcBorders>
              <w:top w:val="single" w:sz="2" w:space="0" w:color="auto"/>
              <w:left w:val="nil"/>
              <w:bottom w:val="single" w:sz="2" w:space="0" w:color="auto"/>
              <w:right w:val="nil"/>
            </w:tcBorders>
            <w:vAlign w:val="center"/>
          </w:tcPr>
          <w:p w:rsidR="00BA3629" w:rsidRPr="003C3AD4" w:rsidRDefault="00BA3629" w:rsidP="0099419F">
            <w:pPr>
              <w:tabs>
                <w:tab w:val="left" w:pos="1212"/>
                <w:tab w:val="left" w:pos="1296"/>
              </w:tabs>
              <w:spacing w:after="0"/>
              <w:ind w:firstLine="0"/>
              <w:jc w:val="right"/>
              <w:rPr>
                <w:rFonts w:ascii="Arial Narrow" w:hAnsi="Arial Narrow" w:cs="Arial"/>
                <w:b/>
                <w:lang w:val="es-ES" w:eastAsia="es-ES"/>
              </w:rPr>
            </w:pPr>
            <w:r w:rsidRPr="003C3AD4">
              <w:rPr>
                <w:rFonts w:ascii="Arial Narrow" w:hAnsi="Arial Narrow" w:cs="Arial"/>
                <w:b/>
                <w:lang w:val="es-ES" w:eastAsia="es-ES"/>
              </w:rPr>
              <w:t>1.447.535</w:t>
            </w:r>
          </w:p>
        </w:tc>
        <w:tc>
          <w:tcPr>
            <w:tcW w:w="1417" w:type="dxa"/>
            <w:tcBorders>
              <w:top w:val="single" w:sz="2" w:space="0" w:color="auto"/>
              <w:left w:val="nil"/>
              <w:bottom w:val="single" w:sz="2" w:space="0" w:color="auto"/>
              <w:right w:val="nil"/>
            </w:tcBorders>
            <w:vAlign w:val="center"/>
          </w:tcPr>
          <w:p w:rsidR="00BA3629" w:rsidRPr="003C3AD4" w:rsidRDefault="00BA3629" w:rsidP="007754A0">
            <w:pPr>
              <w:tabs>
                <w:tab w:val="left" w:pos="1212"/>
                <w:tab w:val="left" w:pos="1296"/>
              </w:tabs>
              <w:spacing w:after="0"/>
              <w:ind w:firstLine="0"/>
              <w:jc w:val="right"/>
              <w:rPr>
                <w:rFonts w:ascii="Arial Narrow" w:hAnsi="Arial Narrow" w:cs="Arial"/>
                <w:b/>
                <w:lang w:val="es-ES" w:eastAsia="es-ES"/>
              </w:rPr>
            </w:pPr>
            <w:r w:rsidRPr="003C3AD4">
              <w:rPr>
                <w:rFonts w:ascii="Arial Narrow" w:hAnsi="Arial Narrow" w:cs="Arial"/>
                <w:b/>
                <w:lang w:val="es-ES" w:eastAsia="es-ES"/>
              </w:rPr>
              <w:t>3</w:t>
            </w: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lang w:val="es-ES" w:eastAsia="es-ES"/>
              </w:rPr>
            </w:pPr>
            <w:r w:rsidRPr="0099419F">
              <w:rPr>
                <w:rFonts w:ascii="Arial Narrow" w:hAnsi="Arial Narrow" w:cs="Arial"/>
                <w:lang w:val="es-ES" w:eastAsia="es-ES"/>
              </w:rPr>
              <w:t>Alta dirección</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lang w:val="es-ES" w:eastAsia="es-ES"/>
              </w:rPr>
            </w:pPr>
            <w:r w:rsidRPr="00BA3629">
              <w:rPr>
                <w:rFonts w:ascii="Arial Narrow" w:hAnsi="Arial Narrow" w:cs="Arial"/>
                <w:lang w:val="es-ES" w:eastAsia="es-ES"/>
              </w:rPr>
              <w:t>17.318</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r w:rsidRPr="0099419F">
              <w:rPr>
                <w:rFonts w:ascii="Arial Narrow" w:hAnsi="Arial Narrow" w:cs="Arial"/>
                <w:lang w:val="es-ES" w:eastAsia="es-ES"/>
              </w:rPr>
              <w:t>18.893</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lang w:val="es-ES" w:eastAsia="es-ES"/>
              </w:rPr>
            </w:pPr>
            <w:r w:rsidRPr="0099419F">
              <w:rPr>
                <w:rFonts w:ascii="Arial Narrow" w:hAnsi="Arial Narrow" w:cs="Arial"/>
                <w:lang w:val="es-ES" w:eastAsia="es-ES"/>
              </w:rPr>
              <w:t>Servicios de carácter general</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lang w:val="es-ES" w:eastAsia="es-ES"/>
              </w:rPr>
            </w:pPr>
            <w:r w:rsidRPr="00BA3629">
              <w:rPr>
                <w:rFonts w:ascii="Arial Narrow" w:hAnsi="Arial Narrow" w:cs="Arial"/>
                <w:lang w:val="es-ES" w:eastAsia="es-ES"/>
              </w:rPr>
              <w:t>179.352</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r w:rsidRPr="0099419F">
              <w:rPr>
                <w:rFonts w:ascii="Arial Narrow" w:hAnsi="Arial Narrow" w:cs="Arial"/>
                <w:lang w:val="es-ES" w:eastAsia="es-ES"/>
              </w:rPr>
              <w:t>136.268</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lang w:val="es-ES" w:eastAsia="es-ES"/>
              </w:rPr>
            </w:pPr>
            <w:r w:rsidRPr="0099419F">
              <w:rPr>
                <w:rFonts w:ascii="Arial Narrow" w:hAnsi="Arial Narrow" w:cs="Arial"/>
                <w:lang w:val="es-ES" w:eastAsia="es-ES"/>
              </w:rPr>
              <w:t>Administración financiera y tributaria</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lang w:val="es-ES" w:eastAsia="es-ES"/>
              </w:rPr>
            </w:pPr>
            <w:r w:rsidRPr="00BA3629">
              <w:rPr>
                <w:rFonts w:ascii="Arial Narrow" w:hAnsi="Arial Narrow" w:cs="Arial"/>
                <w:lang w:val="es-ES" w:eastAsia="es-ES"/>
              </w:rPr>
              <w:t>18.972</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r w:rsidRPr="0099419F">
              <w:rPr>
                <w:rFonts w:ascii="Arial Narrow" w:hAnsi="Arial Narrow" w:cs="Arial"/>
                <w:lang w:val="es-ES" w:eastAsia="es-ES"/>
              </w:rPr>
              <w:t>15.354</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lang w:val="es-ES" w:eastAsia="es-ES"/>
              </w:rPr>
            </w:pPr>
            <w:r w:rsidRPr="0099419F">
              <w:rPr>
                <w:rFonts w:ascii="Arial Narrow" w:hAnsi="Arial Narrow" w:cs="Arial"/>
                <w:lang w:val="es-ES" w:eastAsia="es-ES"/>
              </w:rPr>
              <w:t>Convenio Económico con el Estado</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lang w:val="es-ES" w:eastAsia="es-ES"/>
              </w:rPr>
            </w:pPr>
            <w:r w:rsidRPr="00BA3629">
              <w:rPr>
                <w:rFonts w:ascii="Arial Narrow" w:hAnsi="Arial Narrow" w:cs="Arial"/>
                <w:lang w:val="es-ES" w:eastAsia="es-ES"/>
              </w:rPr>
              <w:t>555.835</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r w:rsidRPr="0099419F">
              <w:rPr>
                <w:rFonts w:ascii="Arial Narrow" w:hAnsi="Arial Narrow" w:cs="Arial"/>
                <w:lang w:val="es-ES" w:eastAsia="es-ES"/>
              </w:rPr>
              <w:t>617.975</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lang w:val="es-ES" w:eastAsia="es-ES"/>
              </w:rPr>
            </w:pPr>
            <w:r w:rsidRPr="0099419F">
              <w:rPr>
                <w:rFonts w:ascii="Arial Narrow" w:hAnsi="Arial Narrow" w:cs="Arial"/>
                <w:lang w:val="es-ES" w:eastAsia="es-ES"/>
              </w:rPr>
              <w:t>Otros Convenios con el Estado</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lang w:val="es-ES" w:eastAsia="es-ES"/>
              </w:rPr>
            </w:pPr>
            <w:r w:rsidRPr="00BA3629">
              <w:rPr>
                <w:rFonts w:ascii="Arial Narrow" w:hAnsi="Arial Narrow" w:cs="Arial"/>
                <w:lang w:val="es-ES" w:eastAsia="es-ES"/>
              </w:rPr>
              <w:t>8.500</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r w:rsidRPr="0099419F">
              <w:rPr>
                <w:rFonts w:ascii="Arial Narrow" w:hAnsi="Arial Narrow" w:cs="Arial"/>
                <w:lang w:val="es-ES" w:eastAsia="es-ES"/>
              </w:rPr>
              <w:t>8.500</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lang w:val="es-ES" w:eastAsia="es-ES"/>
              </w:rPr>
            </w:pPr>
            <w:r w:rsidRPr="0099419F">
              <w:rPr>
                <w:rFonts w:ascii="Arial Narrow" w:hAnsi="Arial Narrow" w:cs="Arial"/>
                <w:lang w:val="es-ES" w:eastAsia="es-ES"/>
              </w:rPr>
              <w:t>Transferencias a administraciones locales</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lang w:val="es-ES" w:eastAsia="es-ES"/>
              </w:rPr>
            </w:pPr>
            <w:r w:rsidRPr="00BA3629">
              <w:rPr>
                <w:rFonts w:ascii="Arial Narrow" w:hAnsi="Arial Narrow" w:cs="Arial"/>
                <w:lang w:val="es-ES" w:eastAsia="es-ES"/>
              </w:rPr>
              <w:t>237.045</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r w:rsidRPr="0099419F">
              <w:rPr>
                <w:rFonts w:ascii="Arial Narrow" w:hAnsi="Arial Narrow" w:cs="Arial"/>
                <w:lang w:val="es-ES" w:eastAsia="es-ES"/>
              </w:rPr>
              <w:t>236.144</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p>
        </w:tc>
      </w:tr>
      <w:tr w:rsidR="00BA3629" w:rsidRPr="0099419F" w:rsidTr="00D14FF4">
        <w:trPr>
          <w:trHeight w:val="227"/>
          <w:jc w:val="center"/>
        </w:trPr>
        <w:tc>
          <w:tcPr>
            <w:tcW w:w="4709" w:type="dxa"/>
            <w:tcBorders>
              <w:top w:val="single" w:sz="2" w:space="0" w:color="auto"/>
              <w:left w:val="nil"/>
              <w:bottom w:val="single" w:sz="4"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lang w:val="es-ES" w:eastAsia="es-ES"/>
              </w:rPr>
            </w:pPr>
            <w:r w:rsidRPr="0099419F">
              <w:rPr>
                <w:rFonts w:ascii="Arial Narrow" w:hAnsi="Arial Narrow" w:cs="Arial"/>
                <w:lang w:val="es-ES" w:eastAsia="es-ES"/>
              </w:rPr>
              <w:t>Deuda pública</w:t>
            </w:r>
          </w:p>
        </w:tc>
        <w:tc>
          <w:tcPr>
            <w:tcW w:w="1417" w:type="dxa"/>
            <w:tcBorders>
              <w:top w:val="single" w:sz="2" w:space="0" w:color="auto"/>
              <w:left w:val="nil"/>
              <w:bottom w:val="single" w:sz="4"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lang w:val="es-ES" w:eastAsia="es-ES"/>
              </w:rPr>
            </w:pPr>
            <w:r w:rsidRPr="00BA3629">
              <w:rPr>
                <w:rFonts w:ascii="Arial Narrow" w:hAnsi="Arial Narrow" w:cs="Arial"/>
                <w:lang w:val="es-ES" w:eastAsia="es-ES"/>
              </w:rPr>
              <w:t>384.443</w:t>
            </w:r>
          </w:p>
        </w:tc>
        <w:tc>
          <w:tcPr>
            <w:tcW w:w="1418" w:type="dxa"/>
            <w:tcBorders>
              <w:top w:val="single" w:sz="2" w:space="0" w:color="auto"/>
              <w:left w:val="nil"/>
              <w:bottom w:val="single" w:sz="4"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r w:rsidRPr="0099419F">
              <w:rPr>
                <w:rFonts w:ascii="Arial Narrow" w:hAnsi="Arial Narrow" w:cs="Arial"/>
                <w:lang w:val="es-ES" w:eastAsia="es-ES"/>
              </w:rPr>
              <w:t>414.402</w:t>
            </w:r>
          </w:p>
        </w:tc>
        <w:tc>
          <w:tcPr>
            <w:tcW w:w="1417" w:type="dxa"/>
            <w:tcBorders>
              <w:top w:val="single" w:sz="2" w:space="0" w:color="auto"/>
              <w:left w:val="nil"/>
              <w:bottom w:val="single" w:sz="4"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lang w:val="es-ES" w:eastAsia="es-ES"/>
              </w:rPr>
            </w:pPr>
          </w:p>
        </w:tc>
      </w:tr>
      <w:tr w:rsidR="00BA3629" w:rsidRPr="003C3AD4" w:rsidTr="002418AD">
        <w:trPr>
          <w:trHeight w:val="227"/>
          <w:jc w:val="center"/>
        </w:trPr>
        <w:tc>
          <w:tcPr>
            <w:tcW w:w="4709" w:type="dxa"/>
            <w:tcBorders>
              <w:top w:val="single" w:sz="4" w:space="0" w:color="auto"/>
              <w:left w:val="nil"/>
              <w:bottom w:val="single" w:sz="4" w:space="0" w:color="auto"/>
              <w:right w:val="nil"/>
            </w:tcBorders>
            <w:shd w:val="clear" w:color="auto" w:fill="A8CBEE" w:themeFill="accent2" w:themeFillTint="66"/>
            <w:noWrap/>
            <w:vAlign w:val="center"/>
            <w:hideMark/>
          </w:tcPr>
          <w:p w:rsidR="00BA3629" w:rsidRPr="003C3AD4" w:rsidRDefault="00BA3629" w:rsidP="0099419F">
            <w:pPr>
              <w:pStyle w:val="cuadroCabe"/>
              <w:rPr>
                <w:rFonts w:cs="Arial"/>
              </w:rPr>
            </w:pPr>
            <w:r w:rsidRPr="003C3AD4">
              <w:rPr>
                <w:rFonts w:cs="Arial"/>
              </w:rPr>
              <w:t>Total</w:t>
            </w:r>
          </w:p>
        </w:tc>
        <w:tc>
          <w:tcPr>
            <w:tcW w:w="1417" w:type="dxa"/>
            <w:tcBorders>
              <w:top w:val="single" w:sz="4" w:space="0" w:color="auto"/>
              <w:left w:val="nil"/>
              <w:bottom w:val="single" w:sz="4" w:space="0" w:color="auto"/>
              <w:right w:val="nil"/>
            </w:tcBorders>
            <w:shd w:val="clear" w:color="auto" w:fill="A8CBEE" w:themeFill="accent2" w:themeFillTint="66"/>
            <w:vAlign w:val="center"/>
          </w:tcPr>
          <w:p w:rsidR="00BA3629" w:rsidRPr="003C3AD4" w:rsidRDefault="00BA3629" w:rsidP="00BA3629">
            <w:pPr>
              <w:pStyle w:val="cuadroCabe"/>
              <w:jc w:val="right"/>
              <w:rPr>
                <w:rFonts w:cs="Arial"/>
              </w:rPr>
            </w:pPr>
            <w:r w:rsidRPr="003C3AD4">
              <w:rPr>
                <w:rFonts w:cs="Arial"/>
              </w:rPr>
              <w:t>3.803.564</w:t>
            </w:r>
          </w:p>
        </w:tc>
        <w:tc>
          <w:tcPr>
            <w:tcW w:w="1418" w:type="dxa"/>
            <w:tcBorders>
              <w:top w:val="single" w:sz="4" w:space="0" w:color="auto"/>
              <w:left w:val="nil"/>
              <w:bottom w:val="single" w:sz="4" w:space="0" w:color="auto"/>
              <w:right w:val="nil"/>
            </w:tcBorders>
            <w:shd w:val="clear" w:color="auto" w:fill="A8CBEE" w:themeFill="accent2" w:themeFillTint="66"/>
            <w:vAlign w:val="center"/>
          </w:tcPr>
          <w:p w:rsidR="00BA3629" w:rsidRPr="003C3AD4" w:rsidRDefault="00BA3629" w:rsidP="0099419F">
            <w:pPr>
              <w:pStyle w:val="cuadroCabe"/>
              <w:jc w:val="right"/>
              <w:rPr>
                <w:rFonts w:cs="Arial"/>
              </w:rPr>
            </w:pPr>
            <w:r w:rsidRPr="003C3AD4">
              <w:rPr>
                <w:rFonts w:cs="Arial"/>
              </w:rPr>
              <w:t>3.913.963</w:t>
            </w:r>
          </w:p>
        </w:tc>
        <w:tc>
          <w:tcPr>
            <w:tcW w:w="1417" w:type="dxa"/>
            <w:tcBorders>
              <w:top w:val="single" w:sz="4" w:space="0" w:color="auto"/>
              <w:left w:val="nil"/>
              <w:bottom w:val="single" w:sz="4" w:space="0" w:color="auto"/>
              <w:right w:val="nil"/>
            </w:tcBorders>
            <w:shd w:val="clear" w:color="auto" w:fill="A8CBEE" w:themeFill="accent2" w:themeFillTint="66"/>
            <w:vAlign w:val="center"/>
          </w:tcPr>
          <w:p w:rsidR="00BA3629" w:rsidRPr="003C3AD4" w:rsidRDefault="00BA3629" w:rsidP="0099419F">
            <w:pPr>
              <w:pStyle w:val="cuadroCabe"/>
              <w:jc w:val="right"/>
              <w:rPr>
                <w:rFonts w:cs="Arial"/>
              </w:rPr>
            </w:pPr>
            <w:r w:rsidRPr="003C3AD4">
              <w:rPr>
                <w:rFonts w:cs="Arial"/>
              </w:rPr>
              <w:t>3</w:t>
            </w:r>
          </w:p>
        </w:tc>
      </w:tr>
    </w:tbl>
    <w:p w:rsidR="00252EB2" w:rsidRDefault="00252EB2" w:rsidP="007754A0">
      <w:pPr>
        <w:pStyle w:val="texto"/>
        <w:tabs>
          <w:tab w:val="clear" w:pos="2835"/>
          <w:tab w:val="clear" w:pos="3969"/>
          <w:tab w:val="clear" w:pos="5103"/>
          <w:tab w:val="clear" w:pos="6237"/>
          <w:tab w:val="clear" w:pos="7371"/>
          <w:tab w:val="left" w:pos="480"/>
        </w:tabs>
        <w:rPr>
          <w:lang w:val="es-ES"/>
        </w:rPr>
      </w:pPr>
      <w:r w:rsidRPr="001122DF">
        <w:rPr>
          <w:lang w:val="es-ES"/>
        </w:rPr>
        <w:lastRenderedPageBreak/>
        <w:t xml:space="preserve">Es decir, </w:t>
      </w:r>
      <w:r w:rsidR="007754A0">
        <w:rPr>
          <w:lang w:val="es-ES"/>
        </w:rPr>
        <w:t xml:space="preserve">en 2015, </w:t>
      </w:r>
      <w:r w:rsidR="000B0EB1">
        <w:rPr>
          <w:lang w:val="es-ES"/>
        </w:rPr>
        <w:t>destaca el gasto en Sanidad</w:t>
      </w:r>
      <w:r w:rsidRPr="001122DF">
        <w:rPr>
          <w:lang w:val="es-ES"/>
        </w:rPr>
        <w:t xml:space="preserve"> y</w:t>
      </w:r>
      <w:r w:rsidR="000B0EB1">
        <w:rPr>
          <w:lang w:val="es-ES"/>
        </w:rPr>
        <w:t xml:space="preserve"> en</w:t>
      </w:r>
      <w:r w:rsidRPr="001122DF">
        <w:rPr>
          <w:lang w:val="es-ES"/>
        </w:rPr>
        <w:t xml:space="preserve"> Educación con el 24 y 15 por ciento, respectivamente del gasto total.</w:t>
      </w:r>
      <w:r w:rsidR="007754A0">
        <w:rPr>
          <w:lang w:val="es-ES"/>
        </w:rPr>
        <w:t xml:space="preserve"> </w:t>
      </w:r>
      <w:r w:rsidRPr="001122DF">
        <w:rPr>
          <w:lang w:val="es-ES"/>
        </w:rPr>
        <w:t xml:space="preserve">Así mismo </w:t>
      </w:r>
      <w:r w:rsidR="000B0EB1">
        <w:rPr>
          <w:lang w:val="es-ES"/>
        </w:rPr>
        <w:t>subrayamos</w:t>
      </w:r>
      <w:r w:rsidRPr="001122DF">
        <w:rPr>
          <w:lang w:val="es-ES"/>
        </w:rPr>
        <w:t xml:space="preserve"> el Convenio con el Estado, Deuda Pública y </w:t>
      </w:r>
      <w:r w:rsidR="000B0EB1">
        <w:rPr>
          <w:lang w:val="es-ES"/>
        </w:rPr>
        <w:t xml:space="preserve">Servicios sociales y promoción social </w:t>
      </w:r>
      <w:r w:rsidRPr="001122DF">
        <w:rPr>
          <w:lang w:val="es-ES"/>
        </w:rPr>
        <w:t>que as</w:t>
      </w:r>
      <w:r w:rsidRPr="001122DF">
        <w:rPr>
          <w:lang w:val="es-ES"/>
        </w:rPr>
        <w:t>u</w:t>
      </w:r>
      <w:r w:rsidRPr="001122DF">
        <w:rPr>
          <w:lang w:val="es-ES"/>
        </w:rPr>
        <w:t xml:space="preserve">men el 16, 11 y 6 por ciento, respectivamente. </w:t>
      </w:r>
    </w:p>
    <w:p w:rsidR="00823ADB" w:rsidRPr="001122DF" w:rsidRDefault="007754A0" w:rsidP="003C3AD4">
      <w:pPr>
        <w:pStyle w:val="texto"/>
        <w:tabs>
          <w:tab w:val="clear" w:pos="2835"/>
          <w:tab w:val="clear" w:pos="3969"/>
          <w:tab w:val="clear" w:pos="5103"/>
          <w:tab w:val="clear" w:pos="6237"/>
          <w:tab w:val="clear" w:pos="7371"/>
          <w:tab w:val="left" w:pos="480"/>
        </w:tabs>
        <w:spacing w:after="240"/>
        <w:rPr>
          <w:lang w:val="es-ES"/>
        </w:rPr>
      </w:pPr>
      <w:r>
        <w:rPr>
          <w:lang w:val="es-ES"/>
        </w:rPr>
        <w:t xml:space="preserve">Sobre 2014, </w:t>
      </w:r>
      <w:r w:rsidR="000B0EB1">
        <w:rPr>
          <w:lang w:val="es-ES"/>
        </w:rPr>
        <w:t>destacamos el incremento del nueve por ciento en Servicios s</w:t>
      </w:r>
      <w:r w:rsidR="000B0EB1">
        <w:rPr>
          <w:lang w:val="es-ES"/>
        </w:rPr>
        <w:t>o</w:t>
      </w:r>
      <w:r w:rsidR="00A649CF">
        <w:rPr>
          <w:lang w:val="es-ES"/>
        </w:rPr>
        <w:t>ciales y promoción social, del siete por ciento en la deuda pública y del</w:t>
      </w:r>
      <w:r w:rsidR="000B0EB1">
        <w:rPr>
          <w:lang w:val="es-ES"/>
        </w:rPr>
        <w:t xml:space="preserve"> cinco por ciento en Sanidad.</w:t>
      </w:r>
      <w:r w:rsidR="00E16AEA">
        <w:rPr>
          <w:lang w:val="es-ES"/>
        </w:rPr>
        <w:t xml:space="preserve"> </w:t>
      </w:r>
    </w:p>
    <w:p w:rsidR="00DD1A72" w:rsidRPr="00DD1A72" w:rsidRDefault="00DD1A72" w:rsidP="00071FC3">
      <w:pPr>
        <w:pStyle w:val="atitulo3"/>
        <w:rPr>
          <w:lang w:val="es-ES"/>
        </w:rPr>
      </w:pPr>
      <w:r w:rsidRPr="00DD1A72">
        <w:rPr>
          <w:lang w:val="es-ES"/>
        </w:rPr>
        <w:t>Indicadores</w:t>
      </w:r>
    </w:p>
    <w:p w:rsidR="00075DC5" w:rsidRPr="003C3AD4" w:rsidRDefault="003B6DCB" w:rsidP="003C3AD4">
      <w:pPr>
        <w:pStyle w:val="texto"/>
        <w:tabs>
          <w:tab w:val="clear" w:pos="2835"/>
          <w:tab w:val="clear" w:pos="3969"/>
          <w:tab w:val="clear" w:pos="5103"/>
          <w:tab w:val="clear" w:pos="6237"/>
          <w:tab w:val="clear" w:pos="7371"/>
          <w:tab w:val="left" w:pos="480"/>
        </w:tabs>
        <w:spacing w:after="240"/>
        <w:rPr>
          <w:spacing w:val="2"/>
        </w:rPr>
      </w:pPr>
      <w:r w:rsidRPr="003C3AD4">
        <w:rPr>
          <w:spacing w:val="2"/>
          <w:lang w:val="es-ES"/>
        </w:rPr>
        <w:t>E</w:t>
      </w:r>
      <w:r w:rsidR="00E44596" w:rsidRPr="003C3AD4">
        <w:rPr>
          <w:spacing w:val="2"/>
          <w:lang w:val="es-ES"/>
        </w:rPr>
        <w:t>n el cuadro siguiente</w:t>
      </w:r>
      <w:r w:rsidR="00F91ADE" w:rsidRPr="003C3AD4">
        <w:rPr>
          <w:spacing w:val="2"/>
          <w:lang w:val="es-ES"/>
        </w:rPr>
        <w:t>,</w:t>
      </w:r>
      <w:r w:rsidR="00E44596" w:rsidRPr="003C3AD4">
        <w:rPr>
          <w:spacing w:val="2"/>
          <w:lang w:val="es-ES"/>
        </w:rPr>
        <w:t xml:space="preserve"> se muestra</w:t>
      </w:r>
      <w:r w:rsidR="003C3AD4" w:rsidRPr="003C3AD4">
        <w:rPr>
          <w:spacing w:val="2"/>
          <w:lang w:val="es-ES"/>
        </w:rPr>
        <w:t>, en miles de euros,</w:t>
      </w:r>
      <w:r w:rsidR="00E44596" w:rsidRPr="003C3AD4">
        <w:rPr>
          <w:spacing w:val="2"/>
          <w:lang w:val="es-ES"/>
        </w:rPr>
        <w:t xml:space="preserve"> la evolución de un co</w:t>
      </w:r>
      <w:r w:rsidR="00E44596" w:rsidRPr="003C3AD4">
        <w:rPr>
          <w:spacing w:val="2"/>
          <w:lang w:val="es-ES"/>
        </w:rPr>
        <w:t>n</w:t>
      </w:r>
      <w:r w:rsidR="00E44596" w:rsidRPr="003C3AD4">
        <w:rPr>
          <w:spacing w:val="2"/>
          <w:lang w:val="es-ES"/>
        </w:rPr>
        <w:t xml:space="preserve">junto de indicadores </w:t>
      </w:r>
      <w:r w:rsidR="00F91ADE" w:rsidRPr="003C3AD4">
        <w:rPr>
          <w:spacing w:val="2"/>
          <w:lang w:val="es-ES"/>
        </w:rPr>
        <w:t xml:space="preserve">de la Administración de la Comunidad Foral </w:t>
      </w:r>
      <w:r w:rsidR="00C9023B">
        <w:rPr>
          <w:spacing w:val="2"/>
          <w:lang w:val="es-ES"/>
        </w:rPr>
        <w:t xml:space="preserve">y sus OOAA </w:t>
      </w:r>
      <w:r w:rsidR="00E44596" w:rsidRPr="003C3AD4">
        <w:rPr>
          <w:spacing w:val="2"/>
          <w:lang w:val="es-ES"/>
        </w:rPr>
        <w:t>en 201</w:t>
      </w:r>
      <w:r w:rsidR="000468D3" w:rsidRPr="003C3AD4">
        <w:rPr>
          <w:spacing w:val="2"/>
          <w:lang w:val="es-ES"/>
        </w:rPr>
        <w:t>4 y 2015</w:t>
      </w:r>
      <w:r w:rsidR="00E44596" w:rsidRPr="003C3AD4">
        <w:rPr>
          <w:spacing w:val="2"/>
          <w:lang w:val="es-ES"/>
        </w:rPr>
        <w:t>.</w:t>
      </w:r>
    </w:p>
    <w:tbl>
      <w:tblPr>
        <w:tblW w:w="8804" w:type="dxa"/>
        <w:tblInd w:w="55" w:type="dxa"/>
        <w:tblCellMar>
          <w:left w:w="70" w:type="dxa"/>
          <w:right w:w="70" w:type="dxa"/>
        </w:tblCellMar>
        <w:tblLook w:val="04A0" w:firstRow="1" w:lastRow="0" w:firstColumn="1" w:lastColumn="0" w:noHBand="0" w:noVBand="1"/>
      </w:tblPr>
      <w:tblGrid>
        <w:gridCol w:w="4540"/>
        <w:gridCol w:w="1660"/>
        <w:gridCol w:w="1580"/>
        <w:gridCol w:w="1024"/>
      </w:tblGrid>
      <w:tr w:rsidR="00D9704A" w:rsidRPr="003C3AD4" w:rsidTr="00E21CB3">
        <w:trPr>
          <w:trHeight w:val="284"/>
        </w:trPr>
        <w:tc>
          <w:tcPr>
            <w:tcW w:w="4540" w:type="dxa"/>
            <w:tcBorders>
              <w:top w:val="single" w:sz="4" w:space="0" w:color="auto"/>
              <w:left w:val="nil"/>
              <w:bottom w:val="single" w:sz="4" w:space="0" w:color="auto"/>
              <w:right w:val="nil"/>
            </w:tcBorders>
            <w:shd w:val="clear" w:color="auto" w:fill="A8CBEE" w:themeFill="accent2" w:themeFillTint="66"/>
            <w:noWrap/>
            <w:vAlign w:val="center"/>
            <w:hideMark/>
          </w:tcPr>
          <w:p w:rsidR="00D9704A" w:rsidRPr="003C3AD4" w:rsidRDefault="00D9704A" w:rsidP="00D9704A">
            <w:pPr>
              <w:spacing w:after="0"/>
              <w:ind w:firstLine="0"/>
              <w:rPr>
                <w:rFonts w:ascii="Arial" w:hAnsi="Arial" w:cs="Arial"/>
                <w:color w:val="000000"/>
                <w:sz w:val="18"/>
                <w:szCs w:val="18"/>
                <w:lang w:val="es-ES" w:eastAsia="es-ES"/>
              </w:rPr>
            </w:pPr>
            <w:r w:rsidRPr="003C3AD4">
              <w:rPr>
                <w:rFonts w:ascii="Arial" w:hAnsi="Arial" w:cs="Arial"/>
                <w:color w:val="000000"/>
                <w:sz w:val="18"/>
                <w:szCs w:val="18"/>
                <w:lang w:val="es-ES" w:eastAsia="es-ES"/>
              </w:rPr>
              <w:t xml:space="preserve">Indicador </w:t>
            </w:r>
          </w:p>
        </w:tc>
        <w:tc>
          <w:tcPr>
            <w:tcW w:w="1660" w:type="dxa"/>
            <w:tcBorders>
              <w:top w:val="single" w:sz="4" w:space="0" w:color="auto"/>
              <w:left w:val="nil"/>
              <w:bottom w:val="single" w:sz="4" w:space="0" w:color="auto"/>
              <w:right w:val="nil"/>
            </w:tcBorders>
            <w:shd w:val="clear" w:color="auto" w:fill="A8CBEE" w:themeFill="accent2" w:themeFillTint="66"/>
            <w:vAlign w:val="center"/>
            <w:hideMark/>
          </w:tcPr>
          <w:p w:rsidR="00D9704A" w:rsidRPr="003C3AD4" w:rsidRDefault="00D9704A" w:rsidP="00D9704A">
            <w:pPr>
              <w:spacing w:after="0"/>
              <w:ind w:firstLine="0"/>
              <w:jc w:val="right"/>
              <w:rPr>
                <w:rFonts w:ascii="Arial" w:hAnsi="Arial" w:cs="Arial"/>
                <w:color w:val="000000"/>
                <w:sz w:val="18"/>
                <w:szCs w:val="18"/>
                <w:lang w:val="es-ES" w:eastAsia="es-ES"/>
              </w:rPr>
            </w:pPr>
            <w:r w:rsidRPr="003C3AD4">
              <w:rPr>
                <w:rFonts w:ascii="Arial" w:hAnsi="Arial" w:cs="Arial"/>
                <w:color w:val="000000"/>
                <w:sz w:val="18"/>
                <w:szCs w:val="18"/>
                <w:lang w:val="es-ES" w:eastAsia="es-ES"/>
              </w:rPr>
              <w:t>2014</w:t>
            </w:r>
          </w:p>
        </w:tc>
        <w:tc>
          <w:tcPr>
            <w:tcW w:w="1580" w:type="dxa"/>
            <w:tcBorders>
              <w:top w:val="single" w:sz="4" w:space="0" w:color="auto"/>
              <w:left w:val="nil"/>
              <w:bottom w:val="single" w:sz="4" w:space="0" w:color="auto"/>
              <w:right w:val="nil"/>
            </w:tcBorders>
            <w:shd w:val="clear" w:color="auto" w:fill="A8CBEE" w:themeFill="accent2" w:themeFillTint="66"/>
            <w:noWrap/>
            <w:vAlign w:val="center"/>
            <w:hideMark/>
          </w:tcPr>
          <w:p w:rsidR="00D9704A" w:rsidRPr="003C3AD4" w:rsidRDefault="00D9704A" w:rsidP="00D9704A">
            <w:pPr>
              <w:spacing w:after="0"/>
              <w:ind w:firstLine="0"/>
              <w:jc w:val="right"/>
              <w:rPr>
                <w:rFonts w:ascii="Arial" w:hAnsi="Arial" w:cs="Arial"/>
                <w:color w:val="000000"/>
                <w:sz w:val="18"/>
                <w:szCs w:val="18"/>
                <w:lang w:val="es-ES" w:eastAsia="es-ES"/>
              </w:rPr>
            </w:pPr>
            <w:r w:rsidRPr="003C3AD4">
              <w:rPr>
                <w:rFonts w:ascii="Arial" w:hAnsi="Arial" w:cs="Arial"/>
                <w:color w:val="000000"/>
                <w:sz w:val="18"/>
                <w:szCs w:val="18"/>
                <w:lang w:val="es-ES" w:eastAsia="es-ES"/>
              </w:rPr>
              <w:t>2015</w:t>
            </w:r>
          </w:p>
        </w:tc>
        <w:tc>
          <w:tcPr>
            <w:tcW w:w="1024" w:type="dxa"/>
            <w:tcBorders>
              <w:top w:val="single" w:sz="4" w:space="0" w:color="auto"/>
              <w:left w:val="nil"/>
              <w:bottom w:val="single" w:sz="4" w:space="0" w:color="auto"/>
              <w:right w:val="nil"/>
            </w:tcBorders>
            <w:shd w:val="clear" w:color="auto" w:fill="A8CBEE" w:themeFill="accent2" w:themeFillTint="66"/>
            <w:noWrap/>
            <w:vAlign w:val="center"/>
            <w:hideMark/>
          </w:tcPr>
          <w:p w:rsidR="000468D3" w:rsidRPr="003C3AD4" w:rsidRDefault="00D9704A" w:rsidP="000468D3">
            <w:pPr>
              <w:spacing w:after="0"/>
              <w:ind w:firstLine="0"/>
              <w:jc w:val="right"/>
              <w:rPr>
                <w:rFonts w:ascii="Arial" w:hAnsi="Arial" w:cs="Arial"/>
                <w:color w:val="000000"/>
                <w:sz w:val="18"/>
                <w:szCs w:val="18"/>
                <w:lang w:val="es-ES" w:eastAsia="es-ES"/>
              </w:rPr>
            </w:pPr>
            <w:r w:rsidRPr="003C3AD4">
              <w:rPr>
                <w:rFonts w:ascii="Arial" w:hAnsi="Arial" w:cs="Arial"/>
                <w:color w:val="000000"/>
                <w:sz w:val="18"/>
                <w:szCs w:val="18"/>
                <w:lang w:val="es-ES" w:eastAsia="es-ES"/>
              </w:rPr>
              <w:t>Porcent</w:t>
            </w:r>
            <w:r w:rsidR="000468D3" w:rsidRPr="003C3AD4">
              <w:rPr>
                <w:rFonts w:ascii="Arial" w:hAnsi="Arial" w:cs="Arial"/>
                <w:color w:val="000000"/>
                <w:sz w:val="18"/>
                <w:szCs w:val="18"/>
                <w:lang w:val="es-ES" w:eastAsia="es-ES"/>
              </w:rPr>
              <w:t>aje</w:t>
            </w:r>
            <w:r w:rsidRPr="003C3AD4">
              <w:rPr>
                <w:rFonts w:ascii="Arial" w:hAnsi="Arial" w:cs="Arial"/>
                <w:color w:val="000000"/>
                <w:sz w:val="18"/>
                <w:szCs w:val="18"/>
                <w:lang w:val="es-ES" w:eastAsia="es-ES"/>
              </w:rPr>
              <w:t xml:space="preserve"> </w:t>
            </w:r>
          </w:p>
          <w:p w:rsidR="00D9704A" w:rsidRPr="003C3AD4" w:rsidRDefault="00D9704A" w:rsidP="000468D3">
            <w:pPr>
              <w:spacing w:after="0"/>
              <w:ind w:firstLine="0"/>
              <w:jc w:val="right"/>
              <w:rPr>
                <w:rFonts w:ascii="Arial" w:hAnsi="Arial" w:cs="Arial"/>
                <w:color w:val="000000"/>
                <w:sz w:val="18"/>
                <w:szCs w:val="18"/>
                <w:lang w:val="es-ES" w:eastAsia="es-ES"/>
              </w:rPr>
            </w:pPr>
            <w:r w:rsidRPr="003C3AD4">
              <w:rPr>
                <w:rFonts w:ascii="Arial" w:hAnsi="Arial" w:cs="Arial"/>
                <w:color w:val="000000"/>
                <w:sz w:val="18"/>
                <w:szCs w:val="18"/>
                <w:lang w:val="es-ES" w:eastAsia="es-ES"/>
              </w:rPr>
              <w:t>variación</w:t>
            </w:r>
          </w:p>
        </w:tc>
      </w:tr>
      <w:tr w:rsidR="00D9704A" w:rsidRPr="00D9704A" w:rsidTr="00E21CB3">
        <w:trPr>
          <w:trHeight w:val="284"/>
        </w:trPr>
        <w:tc>
          <w:tcPr>
            <w:tcW w:w="4540" w:type="dxa"/>
            <w:tcBorders>
              <w:top w:val="single" w:sz="4"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left"/>
              <w:rPr>
                <w:rFonts w:ascii="Arial Narrow" w:hAnsi="Arial Narrow"/>
                <w:color w:val="000000"/>
                <w:lang w:val="es-ES" w:eastAsia="es-ES"/>
              </w:rPr>
            </w:pPr>
            <w:r w:rsidRPr="00D9704A">
              <w:rPr>
                <w:rFonts w:ascii="Arial Narrow" w:hAnsi="Arial Narrow"/>
                <w:color w:val="000000"/>
                <w:lang w:val="es-ES" w:eastAsia="es-ES"/>
              </w:rPr>
              <w:t xml:space="preserve">Gasto total </w:t>
            </w:r>
          </w:p>
        </w:tc>
        <w:tc>
          <w:tcPr>
            <w:tcW w:w="1660" w:type="dxa"/>
            <w:tcBorders>
              <w:top w:val="single" w:sz="4" w:space="0" w:color="auto"/>
              <w:left w:val="nil"/>
              <w:bottom w:val="single" w:sz="2" w:space="0" w:color="auto"/>
              <w:right w:val="nil"/>
            </w:tcBorders>
            <w:shd w:val="clear" w:color="auto" w:fill="auto"/>
            <w:vAlign w:val="center"/>
            <w:hideMark/>
          </w:tcPr>
          <w:p w:rsidR="00D9704A" w:rsidRPr="00D9704A" w:rsidRDefault="00D9704A" w:rsidP="00D9704A">
            <w:pPr>
              <w:spacing w:after="0"/>
              <w:ind w:firstLine="0"/>
              <w:jc w:val="right"/>
              <w:rPr>
                <w:rFonts w:ascii="Arial Narrow" w:hAnsi="Arial Narrow"/>
                <w:color w:val="000000"/>
                <w:lang w:val="es-ES" w:eastAsia="es-ES"/>
              </w:rPr>
            </w:pPr>
            <w:r w:rsidRPr="00D9704A">
              <w:rPr>
                <w:rFonts w:ascii="Arial Narrow" w:hAnsi="Arial Narrow"/>
                <w:color w:val="000000"/>
                <w:lang w:val="es-ES" w:eastAsia="es-ES"/>
              </w:rPr>
              <w:t>3.803.564</w:t>
            </w:r>
          </w:p>
        </w:tc>
        <w:tc>
          <w:tcPr>
            <w:tcW w:w="1580" w:type="dxa"/>
            <w:tcBorders>
              <w:top w:val="single" w:sz="4" w:space="0" w:color="auto"/>
              <w:left w:val="nil"/>
              <w:bottom w:val="single" w:sz="2" w:space="0" w:color="auto"/>
              <w:right w:val="nil"/>
            </w:tcBorders>
            <w:shd w:val="clear" w:color="auto" w:fill="auto"/>
            <w:noWrap/>
            <w:vAlign w:val="center"/>
            <w:hideMark/>
          </w:tcPr>
          <w:p w:rsidR="00D9704A" w:rsidRPr="00D9704A" w:rsidRDefault="00D9704A" w:rsidP="00D84D63">
            <w:pPr>
              <w:spacing w:after="0"/>
              <w:ind w:firstLine="0"/>
              <w:jc w:val="right"/>
              <w:rPr>
                <w:rFonts w:ascii="Arial Narrow" w:hAnsi="Arial Narrow"/>
                <w:color w:val="000000"/>
                <w:lang w:val="es-ES" w:eastAsia="es-ES"/>
              </w:rPr>
            </w:pPr>
            <w:r w:rsidRPr="00D9704A">
              <w:rPr>
                <w:rFonts w:ascii="Arial Narrow" w:hAnsi="Arial Narrow"/>
                <w:color w:val="000000"/>
                <w:lang w:val="es-ES" w:eastAsia="es-ES"/>
              </w:rPr>
              <w:t>3.913.96</w:t>
            </w:r>
            <w:r w:rsidR="00D84D63">
              <w:rPr>
                <w:rFonts w:ascii="Arial Narrow" w:hAnsi="Arial Narrow"/>
                <w:color w:val="000000"/>
                <w:lang w:val="es-ES" w:eastAsia="es-ES"/>
              </w:rPr>
              <w:t>3</w:t>
            </w:r>
          </w:p>
        </w:tc>
        <w:tc>
          <w:tcPr>
            <w:tcW w:w="1024" w:type="dxa"/>
            <w:tcBorders>
              <w:top w:val="single" w:sz="4" w:space="0" w:color="auto"/>
              <w:left w:val="nil"/>
              <w:bottom w:val="single" w:sz="2" w:space="0" w:color="auto"/>
              <w:right w:val="nil"/>
            </w:tcBorders>
            <w:shd w:val="clear" w:color="auto" w:fill="auto"/>
            <w:noWrap/>
            <w:vAlign w:val="center"/>
            <w:hideMark/>
          </w:tcPr>
          <w:p w:rsidR="00D9704A" w:rsidRPr="00D9704A" w:rsidRDefault="00D9704A" w:rsidP="00D84D63">
            <w:pPr>
              <w:spacing w:after="0"/>
              <w:ind w:firstLine="0"/>
              <w:jc w:val="right"/>
              <w:rPr>
                <w:rFonts w:ascii="Arial Narrow" w:hAnsi="Arial Narrow"/>
                <w:color w:val="000000"/>
                <w:lang w:val="es-ES" w:eastAsia="es-ES"/>
              </w:rPr>
            </w:pPr>
            <w:r w:rsidRPr="00D9704A">
              <w:rPr>
                <w:rFonts w:ascii="Arial Narrow" w:hAnsi="Arial Narrow"/>
                <w:color w:val="000000"/>
                <w:lang w:val="es-ES" w:eastAsia="es-ES"/>
              </w:rPr>
              <w:t>3</w:t>
            </w: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left"/>
              <w:rPr>
                <w:rFonts w:ascii="Arial Narrow" w:hAnsi="Arial Narrow"/>
                <w:color w:val="000000"/>
                <w:lang w:val="es-ES" w:eastAsia="es-ES"/>
              </w:rPr>
            </w:pPr>
            <w:r w:rsidRPr="00D9704A">
              <w:rPr>
                <w:rFonts w:ascii="Arial Narrow" w:hAnsi="Arial Narrow"/>
                <w:color w:val="000000"/>
                <w:lang w:val="es-ES" w:eastAsia="es-ES"/>
              </w:rPr>
              <w:t>Gastos corrientes (cap. 1 a 4)</w:t>
            </w:r>
          </w:p>
        </w:tc>
        <w:tc>
          <w:tcPr>
            <w:tcW w:w="1660" w:type="dxa"/>
            <w:tcBorders>
              <w:top w:val="single" w:sz="2" w:space="0" w:color="auto"/>
              <w:left w:val="nil"/>
              <w:bottom w:val="single" w:sz="2" w:space="0" w:color="auto"/>
              <w:right w:val="nil"/>
            </w:tcBorders>
            <w:shd w:val="clear" w:color="auto" w:fill="auto"/>
            <w:vAlign w:val="center"/>
            <w:hideMark/>
          </w:tcPr>
          <w:p w:rsidR="00D9704A" w:rsidRPr="00D9704A" w:rsidRDefault="00D9704A" w:rsidP="00D9704A">
            <w:pPr>
              <w:spacing w:after="0"/>
              <w:ind w:firstLine="0"/>
              <w:jc w:val="right"/>
              <w:rPr>
                <w:rFonts w:ascii="Arial Narrow" w:hAnsi="Arial Narrow"/>
                <w:color w:val="000000"/>
                <w:lang w:val="es-ES" w:eastAsia="es-ES"/>
              </w:rPr>
            </w:pPr>
            <w:r w:rsidRPr="00D9704A">
              <w:rPr>
                <w:rFonts w:ascii="Arial Narrow" w:hAnsi="Arial Narrow"/>
                <w:color w:val="000000"/>
                <w:lang w:val="es-ES" w:eastAsia="es-ES"/>
              </w:rPr>
              <w:t>3.136.025</w:t>
            </w:r>
          </w:p>
        </w:tc>
        <w:tc>
          <w:tcPr>
            <w:tcW w:w="1580" w:type="dxa"/>
            <w:tcBorders>
              <w:top w:val="single" w:sz="2" w:space="0" w:color="auto"/>
              <w:left w:val="nil"/>
              <w:bottom w:val="single" w:sz="2" w:space="0" w:color="auto"/>
              <w:right w:val="nil"/>
            </w:tcBorders>
            <w:shd w:val="clear" w:color="auto" w:fill="auto"/>
            <w:vAlign w:val="center"/>
            <w:hideMark/>
          </w:tcPr>
          <w:p w:rsidR="00D9704A" w:rsidRPr="00D9704A" w:rsidRDefault="00D9704A" w:rsidP="00D9704A">
            <w:pPr>
              <w:spacing w:after="0"/>
              <w:ind w:firstLine="0"/>
              <w:jc w:val="right"/>
              <w:rPr>
                <w:rFonts w:ascii="Arial Narrow" w:hAnsi="Arial Narrow"/>
                <w:color w:val="000000"/>
                <w:lang w:val="es-ES" w:eastAsia="es-ES"/>
              </w:rPr>
            </w:pPr>
            <w:r w:rsidRPr="00D9704A">
              <w:rPr>
                <w:rFonts w:ascii="Arial Narrow" w:hAnsi="Arial Narrow"/>
                <w:color w:val="000000"/>
                <w:lang w:val="es-ES" w:eastAsia="es-ES"/>
              </w:rPr>
              <w:t>3.280.460</w:t>
            </w:r>
          </w:p>
        </w:tc>
        <w:tc>
          <w:tcPr>
            <w:tcW w:w="1024"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right"/>
              <w:rPr>
                <w:rFonts w:ascii="Arial Narrow" w:hAnsi="Arial Narrow"/>
                <w:color w:val="000000"/>
                <w:lang w:val="es-ES" w:eastAsia="es-ES"/>
              </w:rPr>
            </w:pPr>
            <w:r w:rsidRPr="00D9704A">
              <w:rPr>
                <w:rFonts w:ascii="Arial Narrow" w:hAnsi="Arial Narrow"/>
                <w:color w:val="000000"/>
                <w:lang w:val="es-ES" w:eastAsia="es-ES"/>
              </w:rPr>
              <w:t>5</w:t>
            </w: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left"/>
              <w:rPr>
                <w:rFonts w:ascii="Arial Narrow" w:hAnsi="Arial Narrow"/>
                <w:color w:val="000000"/>
                <w:lang w:val="es-ES" w:eastAsia="es-ES"/>
              </w:rPr>
            </w:pPr>
            <w:r w:rsidRPr="00D9704A">
              <w:rPr>
                <w:rFonts w:ascii="Arial Narrow" w:hAnsi="Arial Narrow"/>
                <w:color w:val="000000"/>
                <w:lang w:val="es-ES" w:eastAsia="es-ES"/>
              </w:rPr>
              <w:t>Gastos de funcionamiento (cap. 1,2 y 4)</w:t>
            </w:r>
          </w:p>
        </w:tc>
        <w:tc>
          <w:tcPr>
            <w:tcW w:w="1660" w:type="dxa"/>
            <w:tcBorders>
              <w:top w:val="single" w:sz="2" w:space="0" w:color="auto"/>
              <w:left w:val="nil"/>
              <w:bottom w:val="single" w:sz="2" w:space="0" w:color="auto"/>
              <w:right w:val="nil"/>
            </w:tcBorders>
            <w:shd w:val="clear" w:color="auto" w:fill="auto"/>
            <w:vAlign w:val="center"/>
            <w:hideMark/>
          </w:tcPr>
          <w:p w:rsidR="00D9704A" w:rsidRPr="00D9704A" w:rsidRDefault="00D9704A" w:rsidP="00D9704A">
            <w:pPr>
              <w:spacing w:after="0"/>
              <w:ind w:firstLine="0"/>
              <w:jc w:val="right"/>
              <w:rPr>
                <w:rFonts w:ascii="Arial Narrow" w:hAnsi="Arial Narrow"/>
                <w:color w:val="000000"/>
                <w:lang w:val="es-ES" w:eastAsia="es-ES"/>
              </w:rPr>
            </w:pPr>
            <w:r w:rsidRPr="00D9704A">
              <w:rPr>
                <w:rFonts w:ascii="Arial Narrow" w:hAnsi="Arial Narrow"/>
                <w:color w:val="000000"/>
                <w:lang w:val="es-ES" w:eastAsia="es-ES"/>
              </w:rPr>
              <w:t>3.031.080</w:t>
            </w:r>
          </w:p>
        </w:tc>
        <w:tc>
          <w:tcPr>
            <w:tcW w:w="1580" w:type="dxa"/>
            <w:tcBorders>
              <w:top w:val="single" w:sz="2" w:space="0" w:color="auto"/>
              <w:left w:val="nil"/>
              <w:bottom w:val="single" w:sz="2" w:space="0" w:color="auto"/>
              <w:right w:val="nil"/>
            </w:tcBorders>
            <w:shd w:val="clear" w:color="auto" w:fill="auto"/>
            <w:vAlign w:val="center"/>
            <w:hideMark/>
          </w:tcPr>
          <w:p w:rsidR="00D9704A" w:rsidRPr="00D9704A" w:rsidRDefault="00D9704A" w:rsidP="00D9704A">
            <w:pPr>
              <w:spacing w:after="0"/>
              <w:ind w:firstLine="0"/>
              <w:jc w:val="right"/>
              <w:rPr>
                <w:rFonts w:ascii="Arial Narrow" w:hAnsi="Arial Narrow"/>
                <w:color w:val="000000"/>
                <w:lang w:val="es-ES" w:eastAsia="es-ES"/>
              </w:rPr>
            </w:pPr>
            <w:r w:rsidRPr="00D9704A">
              <w:rPr>
                <w:rFonts w:ascii="Arial Narrow" w:hAnsi="Arial Narrow"/>
                <w:color w:val="000000"/>
                <w:lang w:val="es-ES" w:eastAsia="es-ES"/>
              </w:rPr>
              <w:t>3.171.947</w:t>
            </w:r>
          </w:p>
        </w:tc>
        <w:tc>
          <w:tcPr>
            <w:tcW w:w="1024"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right"/>
              <w:rPr>
                <w:rFonts w:ascii="Arial Narrow" w:hAnsi="Arial Narrow"/>
                <w:color w:val="000000"/>
                <w:lang w:val="es-ES" w:eastAsia="es-ES"/>
              </w:rPr>
            </w:pPr>
            <w:r w:rsidRPr="00D9704A">
              <w:rPr>
                <w:rFonts w:ascii="Arial Narrow" w:hAnsi="Arial Narrow"/>
                <w:color w:val="000000"/>
                <w:lang w:val="es-ES" w:eastAsia="es-ES"/>
              </w:rPr>
              <w:t>5</w:t>
            </w: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C70D5">
            <w:pPr>
              <w:spacing w:after="0"/>
              <w:ind w:firstLine="0"/>
              <w:jc w:val="left"/>
              <w:rPr>
                <w:rFonts w:ascii="Arial Narrow" w:hAnsi="Arial Narrow"/>
                <w:color w:val="000000"/>
                <w:lang w:val="es-ES" w:eastAsia="es-ES"/>
              </w:rPr>
            </w:pPr>
            <w:r w:rsidRPr="00D9704A">
              <w:rPr>
                <w:rFonts w:ascii="Arial Narrow" w:hAnsi="Arial Narrow"/>
                <w:color w:val="000000"/>
                <w:lang w:val="es-ES" w:eastAsia="es-ES"/>
              </w:rPr>
              <w:t xml:space="preserve">Gastos </w:t>
            </w:r>
            <w:r w:rsidR="00DC70D5">
              <w:rPr>
                <w:rFonts w:ascii="Arial Narrow" w:hAnsi="Arial Narrow"/>
                <w:color w:val="000000"/>
                <w:lang w:val="es-ES" w:eastAsia="es-ES"/>
              </w:rPr>
              <w:t>de capital</w:t>
            </w:r>
            <w:r w:rsidRPr="00D9704A">
              <w:rPr>
                <w:rFonts w:ascii="Arial Narrow" w:hAnsi="Arial Narrow"/>
                <w:color w:val="000000"/>
                <w:lang w:val="es-ES" w:eastAsia="es-ES"/>
              </w:rPr>
              <w:t xml:space="preserve"> (cap. 6 y 7)</w:t>
            </w:r>
          </w:p>
        </w:tc>
        <w:tc>
          <w:tcPr>
            <w:tcW w:w="1660" w:type="dxa"/>
            <w:tcBorders>
              <w:top w:val="single" w:sz="2" w:space="0" w:color="auto"/>
              <w:left w:val="nil"/>
              <w:bottom w:val="single" w:sz="2" w:space="0" w:color="auto"/>
              <w:right w:val="nil"/>
            </w:tcBorders>
            <w:shd w:val="clear" w:color="auto" w:fill="auto"/>
            <w:vAlign w:val="center"/>
            <w:hideMark/>
          </w:tcPr>
          <w:p w:rsidR="00D9704A" w:rsidRPr="00D9704A" w:rsidRDefault="00D9704A" w:rsidP="00D9704A">
            <w:pPr>
              <w:spacing w:after="0"/>
              <w:ind w:firstLine="0"/>
              <w:jc w:val="right"/>
              <w:rPr>
                <w:rFonts w:ascii="Arial Narrow" w:hAnsi="Arial Narrow"/>
                <w:color w:val="000000"/>
                <w:lang w:val="es-ES" w:eastAsia="es-ES"/>
              </w:rPr>
            </w:pPr>
            <w:r w:rsidRPr="00D9704A">
              <w:rPr>
                <w:rFonts w:ascii="Arial Narrow" w:hAnsi="Arial Narrow"/>
                <w:color w:val="000000"/>
                <w:lang w:val="es-ES" w:eastAsia="es-ES"/>
              </w:rPr>
              <w:t>217.902</w:t>
            </w:r>
          </w:p>
        </w:tc>
        <w:tc>
          <w:tcPr>
            <w:tcW w:w="1580" w:type="dxa"/>
            <w:tcBorders>
              <w:top w:val="single" w:sz="2" w:space="0" w:color="auto"/>
              <w:left w:val="nil"/>
              <w:bottom w:val="single" w:sz="2" w:space="0" w:color="auto"/>
              <w:right w:val="nil"/>
            </w:tcBorders>
            <w:shd w:val="clear" w:color="auto" w:fill="auto"/>
            <w:vAlign w:val="center"/>
            <w:hideMark/>
          </w:tcPr>
          <w:p w:rsidR="00D9704A" w:rsidRPr="00D9704A" w:rsidRDefault="00D9704A" w:rsidP="00D9704A">
            <w:pPr>
              <w:spacing w:after="0"/>
              <w:ind w:firstLine="0"/>
              <w:jc w:val="right"/>
              <w:rPr>
                <w:rFonts w:ascii="Arial Narrow" w:hAnsi="Arial Narrow"/>
                <w:color w:val="000000"/>
                <w:lang w:val="es-ES" w:eastAsia="es-ES"/>
              </w:rPr>
            </w:pPr>
            <w:r w:rsidRPr="00D9704A">
              <w:rPr>
                <w:rFonts w:ascii="Arial Narrow" w:hAnsi="Arial Narrow"/>
                <w:color w:val="000000"/>
                <w:lang w:val="es-ES" w:eastAsia="es-ES"/>
              </w:rPr>
              <w:t>209.278</w:t>
            </w:r>
          </w:p>
        </w:tc>
        <w:tc>
          <w:tcPr>
            <w:tcW w:w="1024"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right"/>
              <w:rPr>
                <w:rFonts w:ascii="Arial Narrow" w:hAnsi="Arial Narrow"/>
                <w:color w:val="000000"/>
                <w:lang w:val="es-ES" w:eastAsia="es-ES"/>
              </w:rPr>
            </w:pPr>
            <w:r w:rsidRPr="00D9704A">
              <w:rPr>
                <w:rFonts w:ascii="Arial Narrow" w:hAnsi="Arial Narrow"/>
                <w:color w:val="000000"/>
                <w:lang w:val="es-ES" w:eastAsia="es-ES"/>
              </w:rPr>
              <w:t>-4</w:t>
            </w: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left"/>
              <w:rPr>
                <w:rFonts w:ascii="Arial Narrow" w:hAnsi="Arial Narrow"/>
                <w:color w:val="000000"/>
                <w:lang w:val="es-ES" w:eastAsia="es-ES"/>
              </w:rPr>
            </w:pPr>
            <w:r w:rsidRPr="00D9704A">
              <w:rPr>
                <w:rFonts w:ascii="Arial Narrow" w:hAnsi="Arial Narrow"/>
                <w:color w:val="000000"/>
                <w:lang w:val="es-ES" w:eastAsia="es-ES"/>
              </w:rPr>
              <w:t>Gastos operaciones financieras (cap. 8 y 9)</w:t>
            </w:r>
          </w:p>
        </w:tc>
        <w:tc>
          <w:tcPr>
            <w:tcW w:w="1660" w:type="dxa"/>
            <w:tcBorders>
              <w:top w:val="single" w:sz="2" w:space="0" w:color="auto"/>
              <w:left w:val="nil"/>
              <w:bottom w:val="single" w:sz="2" w:space="0" w:color="auto"/>
              <w:right w:val="nil"/>
            </w:tcBorders>
            <w:shd w:val="clear" w:color="auto" w:fill="auto"/>
            <w:vAlign w:val="center"/>
            <w:hideMark/>
          </w:tcPr>
          <w:p w:rsidR="00D9704A" w:rsidRPr="00D9704A" w:rsidRDefault="00D9704A" w:rsidP="00D9704A">
            <w:pPr>
              <w:spacing w:after="0"/>
              <w:ind w:firstLine="0"/>
              <w:jc w:val="right"/>
              <w:rPr>
                <w:rFonts w:ascii="Arial Narrow" w:hAnsi="Arial Narrow"/>
                <w:color w:val="000000"/>
                <w:lang w:val="es-ES" w:eastAsia="es-ES"/>
              </w:rPr>
            </w:pPr>
            <w:r w:rsidRPr="00D9704A">
              <w:rPr>
                <w:rFonts w:ascii="Arial Narrow" w:hAnsi="Arial Narrow"/>
                <w:color w:val="000000"/>
                <w:lang w:val="es-ES" w:eastAsia="es-ES"/>
              </w:rPr>
              <w:t>449.637</w:t>
            </w:r>
          </w:p>
        </w:tc>
        <w:tc>
          <w:tcPr>
            <w:tcW w:w="1580" w:type="dxa"/>
            <w:tcBorders>
              <w:top w:val="single" w:sz="2" w:space="0" w:color="auto"/>
              <w:left w:val="nil"/>
              <w:bottom w:val="single" w:sz="2" w:space="0" w:color="auto"/>
              <w:right w:val="nil"/>
            </w:tcBorders>
            <w:shd w:val="clear" w:color="auto" w:fill="auto"/>
            <w:vAlign w:val="center"/>
            <w:hideMark/>
          </w:tcPr>
          <w:p w:rsidR="00D9704A" w:rsidRPr="00D9704A" w:rsidRDefault="00D9704A" w:rsidP="00D9704A">
            <w:pPr>
              <w:spacing w:after="0"/>
              <w:ind w:firstLine="0"/>
              <w:jc w:val="right"/>
              <w:rPr>
                <w:rFonts w:ascii="Arial Narrow" w:hAnsi="Arial Narrow"/>
                <w:color w:val="000000"/>
                <w:lang w:val="es-ES" w:eastAsia="es-ES"/>
              </w:rPr>
            </w:pPr>
            <w:r w:rsidRPr="00D9704A">
              <w:rPr>
                <w:rFonts w:ascii="Arial Narrow" w:hAnsi="Arial Narrow"/>
                <w:color w:val="000000"/>
                <w:lang w:val="es-ES" w:eastAsia="es-ES"/>
              </w:rPr>
              <w:t>424.224</w:t>
            </w:r>
          </w:p>
        </w:tc>
        <w:tc>
          <w:tcPr>
            <w:tcW w:w="1024"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right"/>
              <w:rPr>
                <w:rFonts w:ascii="Arial Narrow" w:hAnsi="Arial Narrow"/>
                <w:color w:val="000000"/>
                <w:lang w:val="es-ES" w:eastAsia="es-ES"/>
              </w:rPr>
            </w:pPr>
            <w:r w:rsidRPr="00D9704A">
              <w:rPr>
                <w:rFonts w:ascii="Arial Narrow" w:hAnsi="Arial Narrow"/>
                <w:color w:val="000000"/>
                <w:lang w:val="es-ES" w:eastAsia="es-ES"/>
              </w:rPr>
              <w:t>-6</w:t>
            </w: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left"/>
              <w:rPr>
                <w:rFonts w:ascii="Arial Narrow" w:hAnsi="Arial Narrow"/>
                <w:color w:val="000000"/>
                <w:lang w:val="es-ES" w:eastAsia="es-ES"/>
              </w:rPr>
            </w:pPr>
            <w:r w:rsidRPr="00D9704A">
              <w:rPr>
                <w:rFonts w:ascii="Arial Narrow" w:hAnsi="Arial Narrow"/>
                <w:color w:val="000000"/>
                <w:lang w:val="es-ES" w:eastAsia="es-ES"/>
              </w:rPr>
              <w:t>Ingreso total</w:t>
            </w:r>
          </w:p>
        </w:tc>
        <w:tc>
          <w:tcPr>
            <w:tcW w:w="1660" w:type="dxa"/>
            <w:tcBorders>
              <w:top w:val="single" w:sz="2" w:space="0" w:color="auto"/>
              <w:left w:val="nil"/>
              <w:bottom w:val="single" w:sz="2" w:space="0" w:color="auto"/>
              <w:right w:val="nil"/>
            </w:tcBorders>
            <w:shd w:val="clear" w:color="auto" w:fill="auto"/>
            <w:vAlign w:val="center"/>
            <w:hideMark/>
          </w:tcPr>
          <w:p w:rsidR="00D9704A" w:rsidRPr="00D9704A" w:rsidRDefault="00D9704A" w:rsidP="00D9704A">
            <w:pPr>
              <w:spacing w:after="0"/>
              <w:ind w:firstLine="0"/>
              <w:jc w:val="right"/>
              <w:rPr>
                <w:rFonts w:ascii="Arial Narrow" w:hAnsi="Arial Narrow"/>
                <w:color w:val="000000"/>
                <w:lang w:val="es-ES" w:eastAsia="es-ES"/>
              </w:rPr>
            </w:pPr>
            <w:r w:rsidRPr="00D9704A">
              <w:rPr>
                <w:rFonts w:ascii="Arial Narrow" w:hAnsi="Arial Narrow"/>
                <w:color w:val="000000"/>
                <w:lang w:val="es-ES" w:eastAsia="es-ES"/>
              </w:rPr>
              <w:t>3.855.984</w:t>
            </w:r>
          </w:p>
        </w:tc>
        <w:tc>
          <w:tcPr>
            <w:tcW w:w="1580" w:type="dxa"/>
            <w:tcBorders>
              <w:top w:val="single" w:sz="2" w:space="0" w:color="auto"/>
              <w:left w:val="nil"/>
              <w:bottom w:val="single" w:sz="2" w:space="0" w:color="auto"/>
              <w:right w:val="nil"/>
            </w:tcBorders>
            <w:shd w:val="clear" w:color="auto" w:fill="auto"/>
            <w:vAlign w:val="center"/>
            <w:hideMark/>
          </w:tcPr>
          <w:p w:rsidR="00D9704A" w:rsidRPr="00D9704A" w:rsidRDefault="00D9704A" w:rsidP="00D9704A">
            <w:pPr>
              <w:spacing w:after="0"/>
              <w:ind w:firstLine="0"/>
              <w:jc w:val="right"/>
              <w:rPr>
                <w:rFonts w:ascii="Arial Narrow" w:hAnsi="Arial Narrow"/>
                <w:color w:val="000000"/>
                <w:lang w:val="es-ES" w:eastAsia="es-ES"/>
              </w:rPr>
            </w:pPr>
            <w:r w:rsidRPr="00D9704A">
              <w:rPr>
                <w:rFonts w:ascii="Arial Narrow" w:hAnsi="Arial Narrow"/>
                <w:color w:val="000000"/>
                <w:lang w:val="es-ES" w:eastAsia="es-ES"/>
              </w:rPr>
              <w:t>3.876.565</w:t>
            </w:r>
          </w:p>
        </w:tc>
        <w:tc>
          <w:tcPr>
            <w:tcW w:w="1024"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right"/>
              <w:rPr>
                <w:rFonts w:ascii="Arial Narrow" w:hAnsi="Arial Narrow"/>
                <w:color w:val="000000"/>
                <w:lang w:val="es-ES" w:eastAsia="es-ES"/>
              </w:rPr>
            </w:pPr>
            <w:r w:rsidRPr="00D9704A">
              <w:rPr>
                <w:rFonts w:ascii="Arial Narrow" w:hAnsi="Arial Narrow"/>
                <w:color w:val="000000"/>
                <w:lang w:val="es-ES" w:eastAsia="es-ES"/>
              </w:rPr>
              <w:t>1</w:t>
            </w: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left"/>
              <w:rPr>
                <w:rFonts w:ascii="Arial Narrow" w:hAnsi="Arial Narrow"/>
                <w:color w:val="000000"/>
                <w:lang w:val="es-ES" w:eastAsia="es-ES"/>
              </w:rPr>
            </w:pPr>
            <w:r w:rsidRPr="00D9704A">
              <w:rPr>
                <w:rFonts w:ascii="Arial Narrow" w:hAnsi="Arial Narrow"/>
                <w:color w:val="000000"/>
                <w:lang w:val="es-ES" w:eastAsia="es-ES"/>
              </w:rPr>
              <w:t>Ingresos corrientes (cap.1 a 5)</w:t>
            </w:r>
          </w:p>
        </w:tc>
        <w:tc>
          <w:tcPr>
            <w:tcW w:w="1660" w:type="dxa"/>
            <w:tcBorders>
              <w:top w:val="single" w:sz="2" w:space="0" w:color="auto"/>
              <w:left w:val="nil"/>
              <w:bottom w:val="single" w:sz="2" w:space="0" w:color="auto"/>
              <w:right w:val="nil"/>
            </w:tcBorders>
            <w:shd w:val="clear" w:color="auto" w:fill="auto"/>
            <w:vAlign w:val="center"/>
            <w:hideMark/>
          </w:tcPr>
          <w:p w:rsidR="00D9704A" w:rsidRPr="00D9704A" w:rsidRDefault="00D9704A" w:rsidP="00D9704A">
            <w:pPr>
              <w:spacing w:after="0"/>
              <w:ind w:firstLine="0"/>
              <w:jc w:val="right"/>
              <w:rPr>
                <w:rFonts w:ascii="Arial Narrow" w:hAnsi="Arial Narrow"/>
                <w:color w:val="000000"/>
                <w:lang w:val="es-ES" w:eastAsia="es-ES"/>
              </w:rPr>
            </w:pPr>
            <w:r w:rsidRPr="00D9704A">
              <w:rPr>
                <w:rFonts w:ascii="Arial Narrow" w:hAnsi="Arial Narrow"/>
                <w:color w:val="000000"/>
                <w:lang w:val="es-ES" w:eastAsia="es-ES"/>
              </w:rPr>
              <w:t>3.200.085</w:t>
            </w:r>
          </w:p>
        </w:tc>
        <w:tc>
          <w:tcPr>
            <w:tcW w:w="1580" w:type="dxa"/>
            <w:tcBorders>
              <w:top w:val="single" w:sz="2" w:space="0" w:color="auto"/>
              <w:left w:val="nil"/>
              <w:bottom w:val="single" w:sz="2" w:space="0" w:color="auto"/>
              <w:right w:val="nil"/>
            </w:tcBorders>
            <w:shd w:val="clear" w:color="auto" w:fill="auto"/>
            <w:vAlign w:val="center"/>
            <w:hideMark/>
          </w:tcPr>
          <w:p w:rsidR="00D9704A" w:rsidRPr="00D9704A" w:rsidRDefault="00D9704A" w:rsidP="00D9704A">
            <w:pPr>
              <w:spacing w:after="0"/>
              <w:ind w:firstLine="0"/>
              <w:jc w:val="right"/>
              <w:rPr>
                <w:rFonts w:ascii="Arial Narrow" w:hAnsi="Arial Narrow"/>
                <w:color w:val="000000"/>
                <w:lang w:val="es-ES" w:eastAsia="es-ES"/>
              </w:rPr>
            </w:pPr>
            <w:r w:rsidRPr="00D9704A">
              <w:rPr>
                <w:rFonts w:ascii="Arial Narrow" w:hAnsi="Arial Narrow"/>
                <w:color w:val="000000"/>
                <w:lang w:val="es-ES" w:eastAsia="es-ES"/>
              </w:rPr>
              <w:t>3.283.447</w:t>
            </w:r>
          </w:p>
        </w:tc>
        <w:tc>
          <w:tcPr>
            <w:tcW w:w="1024"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right"/>
              <w:rPr>
                <w:rFonts w:ascii="Arial Narrow" w:hAnsi="Arial Narrow"/>
                <w:color w:val="000000"/>
                <w:lang w:val="es-ES" w:eastAsia="es-ES"/>
              </w:rPr>
            </w:pPr>
            <w:r w:rsidRPr="00D9704A">
              <w:rPr>
                <w:rFonts w:ascii="Arial Narrow" w:hAnsi="Arial Narrow"/>
                <w:color w:val="000000"/>
                <w:lang w:val="es-ES" w:eastAsia="es-ES"/>
              </w:rPr>
              <w:t>3</w:t>
            </w: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left"/>
              <w:rPr>
                <w:rFonts w:ascii="Arial Narrow" w:hAnsi="Arial Narrow"/>
                <w:color w:val="000000"/>
                <w:lang w:val="es-ES" w:eastAsia="es-ES"/>
              </w:rPr>
            </w:pPr>
            <w:r w:rsidRPr="00D9704A">
              <w:rPr>
                <w:rFonts w:ascii="Arial Narrow" w:hAnsi="Arial Narrow"/>
                <w:color w:val="000000"/>
                <w:lang w:val="es-ES" w:eastAsia="es-ES"/>
              </w:rPr>
              <w:t>Ingresos tributarios (cap.1 a 3)</w:t>
            </w:r>
          </w:p>
        </w:tc>
        <w:tc>
          <w:tcPr>
            <w:tcW w:w="1660" w:type="dxa"/>
            <w:tcBorders>
              <w:top w:val="single" w:sz="2" w:space="0" w:color="auto"/>
              <w:left w:val="nil"/>
              <w:bottom w:val="single" w:sz="2" w:space="0" w:color="auto"/>
              <w:right w:val="nil"/>
            </w:tcBorders>
            <w:shd w:val="clear" w:color="auto" w:fill="auto"/>
            <w:vAlign w:val="center"/>
            <w:hideMark/>
          </w:tcPr>
          <w:p w:rsidR="00D9704A" w:rsidRPr="00D9704A" w:rsidRDefault="00D9704A" w:rsidP="00D9704A">
            <w:pPr>
              <w:spacing w:after="0"/>
              <w:ind w:firstLine="0"/>
              <w:jc w:val="right"/>
              <w:rPr>
                <w:rFonts w:ascii="Arial Narrow" w:hAnsi="Arial Narrow"/>
                <w:color w:val="000000"/>
                <w:lang w:val="es-ES" w:eastAsia="es-ES"/>
              </w:rPr>
            </w:pPr>
            <w:r w:rsidRPr="00D9704A">
              <w:rPr>
                <w:rFonts w:ascii="Arial Narrow" w:hAnsi="Arial Narrow"/>
                <w:color w:val="000000"/>
                <w:lang w:val="es-ES" w:eastAsia="es-ES"/>
              </w:rPr>
              <w:t>3.153.161</w:t>
            </w:r>
          </w:p>
        </w:tc>
        <w:tc>
          <w:tcPr>
            <w:tcW w:w="1580" w:type="dxa"/>
            <w:tcBorders>
              <w:top w:val="single" w:sz="2" w:space="0" w:color="auto"/>
              <w:left w:val="nil"/>
              <w:bottom w:val="single" w:sz="2" w:space="0" w:color="auto"/>
              <w:right w:val="nil"/>
            </w:tcBorders>
            <w:shd w:val="clear" w:color="auto" w:fill="auto"/>
            <w:vAlign w:val="center"/>
            <w:hideMark/>
          </w:tcPr>
          <w:p w:rsidR="00D9704A" w:rsidRPr="00D9704A" w:rsidRDefault="00D9704A" w:rsidP="00D9704A">
            <w:pPr>
              <w:spacing w:after="0"/>
              <w:ind w:firstLine="0"/>
              <w:jc w:val="right"/>
              <w:rPr>
                <w:rFonts w:ascii="Arial Narrow" w:hAnsi="Arial Narrow"/>
                <w:color w:val="000000"/>
                <w:lang w:val="es-ES" w:eastAsia="es-ES"/>
              </w:rPr>
            </w:pPr>
            <w:r w:rsidRPr="00D9704A">
              <w:rPr>
                <w:rFonts w:ascii="Arial Narrow" w:hAnsi="Arial Narrow"/>
                <w:color w:val="000000"/>
                <w:lang w:val="es-ES" w:eastAsia="es-ES"/>
              </w:rPr>
              <w:t>3.234.909</w:t>
            </w:r>
          </w:p>
        </w:tc>
        <w:tc>
          <w:tcPr>
            <w:tcW w:w="1024"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right"/>
              <w:rPr>
                <w:rFonts w:ascii="Arial Narrow" w:hAnsi="Arial Narrow"/>
                <w:color w:val="000000"/>
                <w:lang w:val="es-ES" w:eastAsia="es-ES"/>
              </w:rPr>
            </w:pPr>
            <w:r w:rsidRPr="00D9704A">
              <w:rPr>
                <w:rFonts w:ascii="Arial Narrow" w:hAnsi="Arial Narrow"/>
                <w:color w:val="000000"/>
                <w:lang w:val="es-ES" w:eastAsia="es-ES"/>
              </w:rPr>
              <w:t>3</w:t>
            </w: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left"/>
              <w:rPr>
                <w:rFonts w:ascii="Arial Narrow" w:hAnsi="Arial Narrow"/>
                <w:color w:val="000000"/>
                <w:lang w:val="es-ES" w:eastAsia="es-ES"/>
              </w:rPr>
            </w:pPr>
            <w:r w:rsidRPr="00D9704A">
              <w:rPr>
                <w:rFonts w:ascii="Arial Narrow" w:hAnsi="Arial Narrow"/>
                <w:color w:val="000000"/>
                <w:lang w:val="es-ES" w:eastAsia="es-ES"/>
              </w:rPr>
              <w:t>Porcentaje ingresos tributarios sobre gastos corrientes</w:t>
            </w:r>
          </w:p>
        </w:tc>
        <w:tc>
          <w:tcPr>
            <w:tcW w:w="1660" w:type="dxa"/>
            <w:tcBorders>
              <w:top w:val="single" w:sz="2" w:space="0" w:color="auto"/>
              <w:left w:val="nil"/>
              <w:bottom w:val="single" w:sz="2" w:space="0" w:color="auto"/>
              <w:right w:val="nil"/>
            </w:tcBorders>
            <w:shd w:val="clear" w:color="auto" w:fill="auto"/>
            <w:vAlign w:val="center"/>
            <w:hideMark/>
          </w:tcPr>
          <w:p w:rsidR="00D9704A" w:rsidRPr="00D9704A" w:rsidRDefault="00D9704A" w:rsidP="0066463C">
            <w:pPr>
              <w:spacing w:after="0"/>
              <w:ind w:firstLine="0"/>
              <w:jc w:val="right"/>
              <w:rPr>
                <w:rFonts w:ascii="Arial Narrow" w:hAnsi="Arial Narrow"/>
                <w:color w:val="000000"/>
                <w:lang w:val="es-ES" w:eastAsia="es-ES"/>
              </w:rPr>
            </w:pPr>
            <w:r w:rsidRPr="00D9704A">
              <w:rPr>
                <w:rFonts w:ascii="Arial Narrow" w:hAnsi="Arial Narrow"/>
                <w:color w:val="000000"/>
                <w:lang w:val="es-ES" w:eastAsia="es-ES"/>
              </w:rPr>
              <w:t>101</w:t>
            </w:r>
          </w:p>
        </w:tc>
        <w:tc>
          <w:tcPr>
            <w:tcW w:w="1580" w:type="dxa"/>
            <w:tcBorders>
              <w:top w:val="single" w:sz="2" w:space="0" w:color="auto"/>
              <w:left w:val="nil"/>
              <w:bottom w:val="single" w:sz="2" w:space="0" w:color="auto"/>
              <w:right w:val="nil"/>
            </w:tcBorders>
            <w:shd w:val="clear" w:color="auto" w:fill="auto"/>
            <w:vAlign w:val="center"/>
            <w:hideMark/>
          </w:tcPr>
          <w:p w:rsidR="00D9704A" w:rsidRPr="00D9704A" w:rsidRDefault="00D9704A" w:rsidP="0066463C">
            <w:pPr>
              <w:spacing w:after="0"/>
              <w:ind w:firstLine="0"/>
              <w:jc w:val="right"/>
              <w:rPr>
                <w:rFonts w:ascii="Arial Narrow" w:hAnsi="Arial Narrow"/>
                <w:color w:val="000000"/>
                <w:lang w:val="es-ES" w:eastAsia="es-ES"/>
              </w:rPr>
            </w:pPr>
            <w:r w:rsidRPr="00D9704A">
              <w:rPr>
                <w:rFonts w:ascii="Arial Narrow" w:hAnsi="Arial Narrow"/>
                <w:color w:val="000000"/>
                <w:lang w:val="es-ES" w:eastAsia="es-ES"/>
              </w:rPr>
              <w:t>99</w:t>
            </w:r>
          </w:p>
        </w:tc>
        <w:tc>
          <w:tcPr>
            <w:tcW w:w="1024"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right"/>
              <w:rPr>
                <w:rFonts w:ascii="Arial Narrow" w:hAnsi="Arial Narrow"/>
                <w:color w:val="000000"/>
                <w:lang w:val="es-ES" w:eastAsia="es-ES"/>
              </w:rPr>
            </w:pP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left"/>
              <w:rPr>
                <w:rFonts w:ascii="Arial Narrow" w:hAnsi="Arial Narrow"/>
                <w:color w:val="000000"/>
                <w:lang w:val="es-ES" w:eastAsia="es-ES"/>
              </w:rPr>
            </w:pPr>
            <w:r w:rsidRPr="00D9704A">
              <w:rPr>
                <w:rFonts w:ascii="Arial Narrow" w:hAnsi="Arial Narrow"/>
                <w:color w:val="000000"/>
                <w:lang w:val="es-ES" w:eastAsia="es-ES"/>
              </w:rPr>
              <w:t>Recaudación líquida tributaria</w:t>
            </w:r>
          </w:p>
        </w:tc>
        <w:tc>
          <w:tcPr>
            <w:tcW w:w="1660" w:type="dxa"/>
            <w:tcBorders>
              <w:top w:val="single" w:sz="2" w:space="0" w:color="auto"/>
              <w:left w:val="nil"/>
              <w:bottom w:val="single" w:sz="2" w:space="0" w:color="auto"/>
              <w:right w:val="nil"/>
            </w:tcBorders>
            <w:shd w:val="clear" w:color="auto" w:fill="auto"/>
            <w:vAlign w:val="center"/>
            <w:hideMark/>
          </w:tcPr>
          <w:p w:rsidR="00D9704A" w:rsidRPr="00D9704A" w:rsidRDefault="00C06385" w:rsidP="00D9704A">
            <w:pPr>
              <w:spacing w:after="0"/>
              <w:ind w:firstLine="0"/>
              <w:jc w:val="right"/>
              <w:rPr>
                <w:rFonts w:ascii="Arial Narrow" w:hAnsi="Arial Narrow"/>
                <w:color w:val="000000"/>
                <w:lang w:val="es-ES" w:eastAsia="es-ES"/>
              </w:rPr>
            </w:pPr>
            <w:r>
              <w:rPr>
                <w:rFonts w:ascii="Arial Narrow" w:hAnsi="Arial Narrow"/>
                <w:color w:val="000000"/>
                <w:lang w:val="es-ES" w:eastAsia="es-ES"/>
              </w:rPr>
              <w:t>3.012.965</w:t>
            </w:r>
          </w:p>
        </w:tc>
        <w:tc>
          <w:tcPr>
            <w:tcW w:w="1580" w:type="dxa"/>
            <w:tcBorders>
              <w:top w:val="single" w:sz="2" w:space="0" w:color="auto"/>
              <w:left w:val="nil"/>
              <w:bottom w:val="single" w:sz="2" w:space="0" w:color="auto"/>
              <w:right w:val="nil"/>
            </w:tcBorders>
            <w:shd w:val="clear" w:color="auto" w:fill="auto"/>
            <w:noWrap/>
            <w:vAlign w:val="center"/>
            <w:hideMark/>
          </w:tcPr>
          <w:p w:rsidR="00D9704A" w:rsidRPr="00D9704A" w:rsidRDefault="00C06385" w:rsidP="00D9704A">
            <w:pPr>
              <w:spacing w:after="0"/>
              <w:ind w:firstLine="0"/>
              <w:jc w:val="right"/>
              <w:rPr>
                <w:rFonts w:ascii="Arial Narrow" w:hAnsi="Arial Narrow"/>
                <w:lang w:val="es-ES" w:eastAsia="es-ES"/>
              </w:rPr>
            </w:pPr>
            <w:r>
              <w:rPr>
                <w:rFonts w:ascii="Arial Narrow" w:hAnsi="Arial Narrow"/>
                <w:lang w:val="es-ES" w:eastAsia="es-ES"/>
              </w:rPr>
              <w:t>3.205.402</w:t>
            </w:r>
            <w:r w:rsidR="00D9704A" w:rsidRPr="00D9704A">
              <w:rPr>
                <w:rFonts w:ascii="Arial Narrow" w:hAnsi="Arial Narrow"/>
                <w:lang w:val="es-ES" w:eastAsia="es-ES"/>
              </w:rPr>
              <w:t xml:space="preserve"> </w:t>
            </w:r>
          </w:p>
        </w:tc>
        <w:tc>
          <w:tcPr>
            <w:tcW w:w="1024"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right"/>
              <w:rPr>
                <w:rFonts w:ascii="Arial Narrow" w:hAnsi="Arial Narrow"/>
                <w:color w:val="000000"/>
                <w:lang w:val="es-ES" w:eastAsia="es-ES"/>
              </w:rPr>
            </w:pPr>
            <w:r w:rsidRPr="00D9704A">
              <w:rPr>
                <w:rFonts w:ascii="Arial Narrow" w:hAnsi="Arial Narrow"/>
                <w:color w:val="000000"/>
                <w:lang w:val="es-ES" w:eastAsia="es-ES"/>
              </w:rPr>
              <w:t>6</w:t>
            </w: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left"/>
              <w:rPr>
                <w:rFonts w:ascii="Arial Narrow" w:hAnsi="Arial Narrow"/>
                <w:color w:val="000000"/>
                <w:lang w:val="es-ES" w:eastAsia="es-ES"/>
              </w:rPr>
            </w:pPr>
            <w:r w:rsidRPr="00D9704A">
              <w:rPr>
                <w:rFonts w:ascii="Arial Narrow" w:hAnsi="Arial Narrow"/>
                <w:color w:val="000000"/>
                <w:lang w:val="es-ES" w:eastAsia="es-ES"/>
              </w:rPr>
              <w:t xml:space="preserve">Porcentaje Recaudación líquida tributaria sobre el PIB </w:t>
            </w:r>
          </w:p>
        </w:tc>
        <w:tc>
          <w:tcPr>
            <w:tcW w:w="1660" w:type="dxa"/>
            <w:tcBorders>
              <w:top w:val="single" w:sz="2" w:space="0" w:color="auto"/>
              <w:left w:val="nil"/>
              <w:bottom w:val="single" w:sz="2" w:space="0" w:color="auto"/>
              <w:right w:val="nil"/>
            </w:tcBorders>
            <w:shd w:val="clear" w:color="auto" w:fill="auto"/>
            <w:noWrap/>
            <w:vAlign w:val="center"/>
            <w:hideMark/>
          </w:tcPr>
          <w:p w:rsidR="00D9704A" w:rsidRPr="00D9704A" w:rsidRDefault="00227161" w:rsidP="00DC70D5">
            <w:pPr>
              <w:spacing w:after="0"/>
              <w:ind w:firstLine="0"/>
              <w:jc w:val="right"/>
              <w:rPr>
                <w:rFonts w:ascii="Arial Narrow" w:hAnsi="Arial Narrow"/>
                <w:color w:val="000000"/>
                <w:lang w:val="es-ES" w:eastAsia="es-ES"/>
              </w:rPr>
            </w:pPr>
            <w:r>
              <w:rPr>
                <w:rFonts w:ascii="Arial Narrow" w:hAnsi="Arial Narrow"/>
                <w:color w:val="000000"/>
                <w:lang w:val="es-ES" w:eastAsia="es-ES"/>
              </w:rPr>
              <w:t>1</w:t>
            </w:r>
            <w:r w:rsidR="00DC70D5">
              <w:rPr>
                <w:rFonts w:ascii="Arial Narrow" w:hAnsi="Arial Narrow"/>
                <w:color w:val="000000"/>
                <w:lang w:val="es-ES" w:eastAsia="es-ES"/>
              </w:rPr>
              <w:t>7</w:t>
            </w:r>
          </w:p>
        </w:tc>
        <w:tc>
          <w:tcPr>
            <w:tcW w:w="1580"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0E3C4F">
            <w:pPr>
              <w:spacing w:after="0"/>
              <w:ind w:firstLine="0"/>
              <w:jc w:val="right"/>
              <w:rPr>
                <w:rFonts w:ascii="Arial Narrow" w:hAnsi="Arial Narrow"/>
                <w:color w:val="000000"/>
                <w:lang w:val="es-ES" w:eastAsia="es-ES"/>
              </w:rPr>
            </w:pPr>
            <w:r w:rsidRPr="00D9704A">
              <w:rPr>
                <w:rFonts w:ascii="Arial Narrow" w:hAnsi="Arial Narrow"/>
                <w:color w:val="000000"/>
                <w:lang w:val="es-ES" w:eastAsia="es-ES"/>
              </w:rPr>
              <w:t>1</w:t>
            </w:r>
            <w:r w:rsidR="000E3C4F">
              <w:rPr>
                <w:rFonts w:ascii="Arial Narrow" w:hAnsi="Arial Narrow"/>
                <w:color w:val="000000"/>
                <w:lang w:val="es-ES" w:eastAsia="es-ES"/>
              </w:rPr>
              <w:t>7</w:t>
            </w:r>
          </w:p>
        </w:tc>
        <w:tc>
          <w:tcPr>
            <w:tcW w:w="1024"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right"/>
              <w:rPr>
                <w:rFonts w:ascii="Arial Narrow" w:hAnsi="Arial Narrow"/>
                <w:color w:val="000000"/>
                <w:lang w:val="es-ES" w:eastAsia="es-ES"/>
              </w:rPr>
            </w:pP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left"/>
              <w:rPr>
                <w:rFonts w:ascii="Arial Narrow" w:hAnsi="Arial Narrow"/>
                <w:color w:val="000000"/>
                <w:lang w:val="es-ES" w:eastAsia="es-ES"/>
              </w:rPr>
            </w:pPr>
            <w:r w:rsidRPr="00D9704A">
              <w:rPr>
                <w:rFonts w:ascii="Arial Narrow" w:hAnsi="Arial Narrow"/>
                <w:color w:val="000000"/>
                <w:lang w:val="es-ES" w:eastAsia="es-ES"/>
              </w:rPr>
              <w:t>Ingresos de capital (cap.6 y 7)</w:t>
            </w:r>
          </w:p>
        </w:tc>
        <w:tc>
          <w:tcPr>
            <w:tcW w:w="1660" w:type="dxa"/>
            <w:tcBorders>
              <w:top w:val="single" w:sz="2" w:space="0" w:color="auto"/>
              <w:left w:val="nil"/>
              <w:bottom w:val="single" w:sz="2" w:space="0" w:color="auto"/>
              <w:right w:val="nil"/>
            </w:tcBorders>
            <w:shd w:val="clear" w:color="auto" w:fill="auto"/>
            <w:vAlign w:val="center"/>
            <w:hideMark/>
          </w:tcPr>
          <w:p w:rsidR="00D9704A" w:rsidRPr="00D9704A" w:rsidRDefault="00D9704A" w:rsidP="00D9704A">
            <w:pPr>
              <w:spacing w:after="0"/>
              <w:ind w:firstLine="0"/>
              <w:jc w:val="right"/>
              <w:rPr>
                <w:rFonts w:ascii="Arial Narrow" w:hAnsi="Arial Narrow"/>
                <w:color w:val="000000"/>
                <w:lang w:val="es-ES" w:eastAsia="es-ES"/>
              </w:rPr>
            </w:pPr>
            <w:r w:rsidRPr="00D9704A">
              <w:rPr>
                <w:rFonts w:ascii="Arial Narrow" w:hAnsi="Arial Narrow"/>
                <w:color w:val="000000"/>
                <w:lang w:val="es-ES" w:eastAsia="es-ES"/>
              </w:rPr>
              <w:t>49.612</w:t>
            </w:r>
          </w:p>
        </w:tc>
        <w:tc>
          <w:tcPr>
            <w:tcW w:w="1580" w:type="dxa"/>
            <w:tcBorders>
              <w:top w:val="single" w:sz="2" w:space="0" w:color="auto"/>
              <w:left w:val="nil"/>
              <w:bottom w:val="single" w:sz="2" w:space="0" w:color="auto"/>
              <w:right w:val="nil"/>
            </w:tcBorders>
            <w:shd w:val="clear" w:color="auto" w:fill="auto"/>
            <w:vAlign w:val="center"/>
            <w:hideMark/>
          </w:tcPr>
          <w:p w:rsidR="00D9704A" w:rsidRPr="00D9704A" w:rsidRDefault="00D9704A" w:rsidP="00D9704A">
            <w:pPr>
              <w:spacing w:after="0"/>
              <w:ind w:firstLine="0"/>
              <w:jc w:val="right"/>
              <w:rPr>
                <w:rFonts w:ascii="Arial Narrow" w:hAnsi="Arial Narrow"/>
                <w:color w:val="000000"/>
                <w:lang w:val="es-ES" w:eastAsia="es-ES"/>
              </w:rPr>
            </w:pPr>
            <w:r w:rsidRPr="00D9704A">
              <w:rPr>
                <w:rFonts w:ascii="Arial Narrow" w:hAnsi="Arial Narrow"/>
                <w:color w:val="000000"/>
                <w:lang w:val="es-ES" w:eastAsia="es-ES"/>
              </w:rPr>
              <w:t>43.075</w:t>
            </w:r>
          </w:p>
        </w:tc>
        <w:tc>
          <w:tcPr>
            <w:tcW w:w="1024"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right"/>
              <w:rPr>
                <w:rFonts w:ascii="Arial Narrow" w:hAnsi="Arial Narrow"/>
                <w:color w:val="000000"/>
                <w:lang w:val="es-ES" w:eastAsia="es-ES"/>
              </w:rPr>
            </w:pPr>
            <w:r w:rsidRPr="00D9704A">
              <w:rPr>
                <w:rFonts w:ascii="Arial Narrow" w:hAnsi="Arial Narrow"/>
                <w:color w:val="000000"/>
                <w:lang w:val="es-ES" w:eastAsia="es-ES"/>
              </w:rPr>
              <w:t>-13</w:t>
            </w: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left"/>
              <w:rPr>
                <w:rFonts w:ascii="Arial Narrow" w:hAnsi="Arial Narrow"/>
                <w:color w:val="000000"/>
                <w:lang w:val="es-ES" w:eastAsia="es-ES"/>
              </w:rPr>
            </w:pPr>
            <w:r w:rsidRPr="00D9704A">
              <w:rPr>
                <w:rFonts w:ascii="Arial Narrow" w:hAnsi="Arial Narrow"/>
                <w:color w:val="000000"/>
                <w:lang w:val="es-ES" w:eastAsia="es-ES"/>
              </w:rPr>
              <w:t>Ingresos operaciones financieras (cap.8 y 9)</w:t>
            </w:r>
          </w:p>
        </w:tc>
        <w:tc>
          <w:tcPr>
            <w:tcW w:w="1660" w:type="dxa"/>
            <w:tcBorders>
              <w:top w:val="single" w:sz="2" w:space="0" w:color="auto"/>
              <w:left w:val="nil"/>
              <w:bottom w:val="single" w:sz="2" w:space="0" w:color="auto"/>
              <w:right w:val="nil"/>
            </w:tcBorders>
            <w:shd w:val="clear" w:color="auto" w:fill="auto"/>
            <w:vAlign w:val="center"/>
            <w:hideMark/>
          </w:tcPr>
          <w:p w:rsidR="00D9704A" w:rsidRPr="00567DBA" w:rsidRDefault="00D9704A" w:rsidP="00D9704A">
            <w:pPr>
              <w:spacing w:after="0"/>
              <w:ind w:firstLine="0"/>
              <w:jc w:val="right"/>
              <w:rPr>
                <w:rFonts w:ascii="Arial Narrow" w:hAnsi="Arial Narrow"/>
                <w:lang w:val="es-ES" w:eastAsia="es-ES"/>
              </w:rPr>
            </w:pPr>
            <w:r w:rsidRPr="00567DBA">
              <w:rPr>
                <w:rFonts w:ascii="Arial Narrow" w:hAnsi="Arial Narrow"/>
                <w:lang w:val="es-ES" w:eastAsia="es-ES"/>
              </w:rPr>
              <w:t>606.287</w:t>
            </w:r>
          </w:p>
        </w:tc>
        <w:tc>
          <w:tcPr>
            <w:tcW w:w="1580" w:type="dxa"/>
            <w:tcBorders>
              <w:top w:val="single" w:sz="2" w:space="0" w:color="auto"/>
              <w:left w:val="nil"/>
              <w:bottom w:val="single" w:sz="2" w:space="0" w:color="auto"/>
              <w:right w:val="nil"/>
            </w:tcBorders>
            <w:shd w:val="clear" w:color="auto" w:fill="auto"/>
            <w:vAlign w:val="center"/>
            <w:hideMark/>
          </w:tcPr>
          <w:p w:rsidR="00D9704A" w:rsidRPr="00567DBA" w:rsidRDefault="00D9704A" w:rsidP="00D9704A">
            <w:pPr>
              <w:spacing w:after="0"/>
              <w:ind w:firstLine="0"/>
              <w:jc w:val="right"/>
              <w:rPr>
                <w:rFonts w:ascii="Arial Narrow" w:hAnsi="Arial Narrow"/>
                <w:lang w:val="es-ES" w:eastAsia="es-ES"/>
              </w:rPr>
            </w:pPr>
            <w:r w:rsidRPr="00567DBA">
              <w:rPr>
                <w:rFonts w:ascii="Arial Narrow" w:hAnsi="Arial Narrow"/>
                <w:lang w:val="es-ES" w:eastAsia="es-ES"/>
              </w:rPr>
              <w:t>550.043</w:t>
            </w:r>
          </w:p>
        </w:tc>
        <w:tc>
          <w:tcPr>
            <w:tcW w:w="1024"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right"/>
              <w:rPr>
                <w:rFonts w:ascii="Arial Narrow" w:hAnsi="Arial Narrow"/>
                <w:color w:val="000000"/>
                <w:lang w:val="es-ES" w:eastAsia="es-ES"/>
              </w:rPr>
            </w:pPr>
            <w:r w:rsidRPr="00D9704A">
              <w:rPr>
                <w:rFonts w:ascii="Arial Narrow" w:hAnsi="Arial Narrow"/>
                <w:color w:val="000000"/>
                <w:lang w:val="es-ES" w:eastAsia="es-ES"/>
              </w:rPr>
              <w:t>-9</w:t>
            </w: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left"/>
              <w:rPr>
                <w:rFonts w:ascii="Arial Narrow" w:hAnsi="Arial Narrow"/>
                <w:color w:val="000000"/>
                <w:lang w:val="es-ES" w:eastAsia="es-ES"/>
              </w:rPr>
            </w:pPr>
            <w:r w:rsidRPr="00D9704A">
              <w:rPr>
                <w:rFonts w:ascii="Arial Narrow" w:hAnsi="Arial Narrow"/>
                <w:color w:val="000000"/>
                <w:lang w:val="es-ES" w:eastAsia="es-ES"/>
              </w:rPr>
              <w:t xml:space="preserve">Saldo presupuestario no financiero </w:t>
            </w:r>
          </w:p>
        </w:tc>
        <w:tc>
          <w:tcPr>
            <w:tcW w:w="1660" w:type="dxa"/>
            <w:tcBorders>
              <w:top w:val="single" w:sz="2" w:space="0" w:color="auto"/>
              <w:left w:val="nil"/>
              <w:bottom w:val="single" w:sz="2" w:space="0" w:color="auto"/>
              <w:right w:val="nil"/>
            </w:tcBorders>
            <w:shd w:val="clear" w:color="auto" w:fill="auto"/>
            <w:vAlign w:val="center"/>
            <w:hideMark/>
          </w:tcPr>
          <w:p w:rsidR="00D9704A" w:rsidRPr="0066463C" w:rsidRDefault="00D9704A" w:rsidP="00D9704A">
            <w:pPr>
              <w:spacing w:after="0"/>
              <w:ind w:firstLine="0"/>
              <w:jc w:val="right"/>
              <w:rPr>
                <w:rFonts w:ascii="Arial Narrow" w:hAnsi="Arial Narrow"/>
                <w:lang w:val="es-ES" w:eastAsia="es-ES"/>
              </w:rPr>
            </w:pPr>
            <w:r w:rsidRPr="0066463C">
              <w:rPr>
                <w:rFonts w:ascii="Arial Narrow" w:hAnsi="Arial Narrow"/>
                <w:lang w:val="es-ES" w:eastAsia="es-ES"/>
              </w:rPr>
              <w:t>-104.230</w:t>
            </w:r>
          </w:p>
        </w:tc>
        <w:tc>
          <w:tcPr>
            <w:tcW w:w="1580" w:type="dxa"/>
            <w:tcBorders>
              <w:top w:val="single" w:sz="2" w:space="0" w:color="auto"/>
              <w:left w:val="nil"/>
              <w:bottom w:val="single" w:sz="2" w:space="0" w:color="auto"/>
              <w:right w:val="nil"/>
            </w:tcBorders>
            <w:shd w:val="clear" w:color="auto" w:fill="auto"/>
            <w:vAlign w:val="center"/>
            <w:hideMark/>
          </w:tcPr>
          <w:p w:rsidR="00D9704A" w:rsidRPr="0066463C" w:rsidRDefault="00D9704A" w:rsidP="00D9704A">
            <w:pPr>
              <w:spacing w:after="0"/>
              <w:ind w:firstLine="0"/>
              <w:jc w:val="right"/>
              <w:rPr>
                <w:rFonts w:ascii="Arial Narrow" w:hAnsi="Arial Narrow"/>
                <w:lang w:val="es-ES" w:eastAsia="es-ES"/>
              </w:rPr>
            </w:pPr>
            <w:r w:rsidRPr="0066463C">
              <w:rPr>
                <w:rFonts w:ascii="Arial Narrow" w:hAnsi="Arial Narrow"/>
                <w:lang w:val="es-ES" w:eastAsia="es-ES"/>
              </w:rPr>
              <w:t>-163.216</w:t>
            </w:r>
          </w:p>
        </w:tc>
        <w:tc>
          <w:tcPr>
            <w:tcW w:w="1024" w:type="dxa"/>
            <w:tcBorders>
              <w:top w:val="single" w:sz="2" w:space="0" w:color="auto"/>
              <w:left w:val="nil"/>
              <w:bottom w:val="single" w:sz="2" w:space="0" w:color="auto"/>
              <w:right w:val="nil"/>
            </w:tcBorders>
            <w:shd w:val="clear" w:color="auto" w:fill="auto"/>
            <w:noWrap/>
            <w:vAlign w:val="center"/>
            <w:hideMark/>
          </w:tcPr>
          <w:p w:rsidR="00D9704A" w:rsidRPr="0066463C" w:rsidRDefault="00D9704A" w:rsidP="00D9704A">
            <w:pPr>
              <w:spacing w:after="0"/>
              <w:ind w:firstLine="0"/>
              <w:jc w:val="right"/>
              <w:rPr>
                <w:rFonts w:ascii="Arial Narrow" w:hAnsi="Arial Narrow"/>
                <w:lang w:val="es-ES" w:eastAsia="es-ES"/>
              </w:rPr>
            </w:pPr>
            <w:r w:rsidRPr="0066463C">
              <w:rPr>
                <w:rFonts w:ascii="Arial Narrow" w:hAnsi="Arial Narrow"/>
                <w:lang w:val="es-ES" w:eastAsia="es-ES"/>
              </w:rPr>
              <w:t>57</w:t>
            </w: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66463C" w:rsidRDefault="00D9704A" w:rsidP="00D9704A">
            <w:pPr>
              <w:spacing w:after="0"/>
              <w:ind w:firstLine="0"/>
              <w:jc w:val="left"/>
              <w:rPr>
                <w:rFonts w:ascii="Arial Narrow" w:hAnsi="Arial Narrow"/>
                <w:lang w:val="es-ES" w:eastAsia="es-ES"/>
              </w:rPr>
            </w:pPr>
            <w:r w:rsidRPr="0066463C">
              <w:rPr>
                <w:rFonts w:ascii="Arial Narrow" w:hAnsi="Arial Narrow"/>
                <w:lang w:val="es-ES" w:eastAsia="es-ES"/>
              </w:rPr>
              <w:t>Resultado presupuestario ajustado</w:t>
            </w:r>
          </w:p>
        </w:tc>
        <w:tc>
          <w:tcPr>
            <w:tcW w:w="1660" w:type="dxa"/>
            <w:tcBorders>
              <w:top w:val="single" w:sz="2" w:space="0" w:color="auto"/>
              <w:left w:val="nil"/>
              <w:bottom w:val="single" w:sz="2" w:space="0" w:color="auto"/>
              <w:right w:val="nil"/>
            </w:tcBorders>
            <w:shd w:val="clear" w:color="auto" w:fill="auto"/>
            <w:noWrap/>
            <w:vAlign w:val="center"/>
            <w:hideMark/>
          </w:tcPr>
          <w:p w:rsidR="00D9704A" w:rsidRPr="0066463C" w:rsidRDefault="00D9704A" w:rsidP="00D9704A">
            <w:pPr>
              <w:spacing w:after="0"/>
              <w:ind w:firstLine="0"/>
              <w:jc w:val="right"/>
              <w:rPr>
                <w:rFonts w:ascii="Arial Narrow" w:hAnsi="Arial Narrow"/>
                <w:lang w:val="es-ES" w:eastAsia="es-ES"/>
              </w:rPr>
            </w:pPr>
            <w:r w:rsidRPr="0066463C">
              <w:rPr>
                <w:rFonts w:ascii="Arial Narrow" w:hAnsi="Arial Narrow"/>
                <w:lang w:val="es-ES" w:eastAsia="es-ES"/>
              </w:rPr>
              <w:t>71.607</w:t>
            </w:r>
          </w:p>
        </w:tc>
        <w:tc>
          <w:tcPr>
            <w:tcW w:w="1580" w:type="dxa"/>
            <w:tcBorders>
              <w:top w:val="single" w:sz="2" w:space="0" w:color="auto"/>
              <w:left w:val="nil"/>
              <w:bottom w:val="single" w:sz="2" w:space="0" w:color="auto"/>
              <w:right w:val="nil"/>
            </w:tcBorders>
            <w:shd w:val="clear" w:color="auto" w:fill="auto"/>
            <w:noWrap/>
            <w:vAlign w:val="center"/>
            <w:hideMark/>
          </w:tcPr>
          <w:p w:rsidR="00D9704A" w:rsidRPr="0066463C" w:rsidRDefault="00D9704A" w:rsidP="00D9704A">
            <w:pPr>
              <w:spacing w:after="0"/>
              <w:ind w:firstLine="0"/>
              <w:jc w:val="right"/>
              <w:rPr>
                <w:rFonts w:ascii="Arial Narrow" w:hAnsi="Arial Narrow"/>
                <w:lang w:val="es-ES" w:eastAsia="es-ES"/>
              </w:rPr>
            </w:pPr>
            <w:r w:rsidRPr="0066463C">
              <w:rPr>
                <w:rFonts w:ascii="Arial Narrow" w:hAnsi="Arial Narrow"/>
                <w:lang w:val="es-ES" w:eastAsia="es-ES"/>
              </w:rPr>
              <w:t>-23.066</w:t>
            </w:r>
          </w:p>
        </w:tc>
        <w:tc>
          <w:tcPr>
            <w:tcW w:w="1024" w:type="dxa"/>
            <w:tcBorders>
              <w:top w:val="single" w:sz="2" w:space="0" w:color="auto"/>
              <w:left w:val="nil"/>
              <w:bottom w:val="single" w:sz="2" w:space="0" w:color="auto"/>
              <w:right w:val="nil"/>
            </w:tcBorders>
            <w:shd w:val="clear" w:color="auto" w:fill="auto"/>
            <w:noWrap/>
            <w:vAlign w:val="center"/>
            <w:hideMark/>
          </w:tcPr>
          <w:p w:rsidR="00D9704A" w:rsidRPr="0066463C" w:rsidRDefault="00A54778" w:rsidP="00D9704A">
            <w:pPr>
              <w:spacing w:after="0"/>
              <w:ind w:firstLine="0"/>
              <w:jc w:val="right"/>
              <w:rPr>
                <w:rFonts w:ascii="Arial Narrow" w:hAnsi="Arial Narrow"/>
                <w:lang w:val="es-ES" w:eastAsia="es-ES"/>
              </w:rPr>
            </w:pPr>
            <w:r w:rsidRPr="0066463C">
              <w:rPr>
                <w:rFonts w:ascii="Arial Narrow" w:hAnsi="Arial Narrow"/>
                <w:lang w:val="es-ES" w:eastAsia="es-ES"/>
              </w:rPr>
              <w:t>-</w:t>
            </w:r>
            <w:r w:rsidR="00D9704A" w:rsidRPr="0066463C">
              <w:rPr>
                <w:rFonts w:ascii="Arial Narrow" w:hAnsi="Arial Narrow"/>
                <w:lang w:val="es-ES" w:eastAsia="es-ES"/>
              </w:rPr>
              <w:t>68</w:t>
            </w: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left"/>
              <w:rPr>
                <w:rFonts w:ascii="Arial Narrow" w:hAnsi="Arial Narrow"/>
                <w:color w:val="000000"/>
                <w:lang w:val="es-ES" w:eastAsia="es-ES"/>
              </w:rPr>
            </w:pPr>
            <w:r w:rsidRPr="00D9704A">
              <w:rPr>
                <w:rFonts w:ascii="Arial Narrow" w:hAnsi="Arial Narrow"/>
                <w:color w:val="000000"/>
                <w:lang w:val="es-ES" w:eastAsia="es-ES"/>
              </w:rPr>
              <w:t>Remanente de Tesorería para Gastos Generales</w:t>
            </w:r>
          </w:p>
        </w:tc>
        <w:tc>
          <w:tcPr>
            <w:tcW w:w="1660" w:type="dxa"/>
            <w:tcBorders>
              <w:top w:val="single" w:sz="2" w:space="0" w:color="auto"/>
              <w:left w:val="nil"/>
              <w:bottom w:val="single" w:sz="2" w:space="0" w:color="auto"/>
              <w:right w:val="nil"/>
            </w:tcBorders>
            <w:shd w:val="clear" w:color="auto" w:fill="auto"/>
            <w:noWrap/>
            <w:vAlign w:val="center"/>
            <w:hideMark/>
          </w:tcPr>
          <w:p w:rsidR="00D9704A" w:rsidRPr="00567DBA" w:rsidRDefault="00D9704A" w:rsidP="00227161">
            <w:pPr>
              <w:spacing w:after="0"/>
              <w:ind w:firstLine="0"/>
              <w:jc w:val="right"/>
              <w:rPr>
                <w:rFonts w:ascii="Arial Narrow" w:hAnsi="Arial Narrow"/>
                <w:lang w:val="es-ES" w:eastAsia="es-ES"/>
              </w:rPr>
            </w:pPr>
            <w:r w:rsidRPr="00567DBA">
              <w:rPr>
                <w:rFonts w:ascii="Arial Narrow" w:hAnsi="Arial Narrow"/>
                <w:lang w:val="es-ES" w:eastAsia="es-ES"/>
              </w:rPr>
              <w:t>-184.08</w:t>
            </w:r>
            <w:r w:rsidR="00227161" w:rsidRPr="00567DBA">
              <w:rPr>
                <w:rFonts w:ascii="Arial Narrow" w:hAnsi="Arial Narrow"/>
                <w:lang w:val="es-ES" w:eastAsia="es-ES"/>
              </w:rPr>
              <w:t>8</w:t>
            </w:r>
          </w:p>
        </w:tc>
        <w:tc>
          <w:tcPr>
            <w:tcW w:w="1580" w:type="dxa"/>
            <w:tcBorders>
              <w:top w:val="single" w:sz="2" w:space="0" w:color="auto"/>
              <w:left w:val="nil"/>
              <w:bottom w:val="single" w:sz="2" w:space="0" w:color="auto"/>
              <w:right w:val="nil"/>
            </w:tcBorders>
            <w:shd w:val="clear" w:color="auto" w:fill="auto"/>
            <w:noWrap/>
            <w:vAlign w:val="center"/>
            <w:hideMark/>
          </w:tcPr>
          <w:p w:rsidR="00D9704A" w:rsidRPr="00567DBA" w:rsidRDefault="00D9704A" w:rsidP="00BA53CB">
            <w:pPr>
              <w:spacing w:after="0"/>
              <w:ind w:firstLine="0"/>
              <w:jc w:val="right"/>
              <w:rPr>
                <w:rFonts w:ascii="Arial Narrow" w:hAnsi="Arial Narrow"/>
                <w:lang w:val="es-ES" w:eastAsia="es-ES"/>
              </w:rPr>
            </w:pPr>
            <w:r w:rsidRPr="00567DBA">
              <w:rPr>
                <w:rFonts w:ascii="Arial Narrow" w:hAnsi="Arial Narrow"/>
                <w:lang w:val="es-ES" w:eastAsia="es-ES"/>
              </w:rPr>
              <w:t>-238.</w:t>
            </w:r>
            <w:r w:rsidR="00BA53CB">
              <w:rPr>
                <w:rFonts w:ascii="Arial Narrow" w:hAnsi="Arial Narrow"/>
                <w:lang w:val="es-ES" w:eastAsia="es-ES"/>
              </w:rPr>
              <w:t>100</w:t>
            </w:r>
          </w:p>
        </w:tc>
        <w:tc>
          <w:tcPr>
            <w:tcW w:w="1024"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right"/>
              <w:rPr>
                <w:rFonts w:ascii="Arial Narrow" w:hAnsi="Arial Narrow"/>
                <w:color w:val="FF0000"/>
                <w:lang w:val="es-ES" w:eastAsia="es-ES"/>
              </w:rPr>
            </w:pPr>
            <w:r w:rsidRPr="00567DBA">
              <w:rPr>
                <w:rFonts w:ascii="Arial Narrow" w:hAnsi="Arial Narrow"/>
                <w:lang w:val="es-ES" w:eastAsia="es-ES"/>
              </w:rPr>
              <w:t>29</w:t>
            </w: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left"/>
              <w:rPr>
                <w:rFonts w:ascii="Arial Narrow" w:hAnsi="Arial Narrow"/>
                <w:color w:val="000000"/>
                <w:lang w:val="es-ES" w:eastAsia="es-ES"/>
              </w:rPr>
            </w:pPr>
            <w:r w:rsidRPr="00D9704A">
              <w:rPr>
                <w:rFonts w:ascii="Arial Narrow" w:hAnsi="Arial Narrow"/>
                <w:color w:val="000000"/>
                <w:lang w:val="es-ES" w:eastAsia="es-ES"/>
              </w:rPr>
              <w:t>Ahorro Bruto</w:t>
            </w:r>
          </w:p>
        </w:tc>
        <w:tc>
          <w:tcPr>
            <w:tcW w:w="1660" w:type="dxa"/>
            <w:tcBorders>
              <w:top w:val="single" w:sz="2" w:space="0" w:color="auto"/>
              <w:left w:val="nil"/>
              <w:bottom w:val="single" w:sz="2" w:space="0" w:color="auto"/>
              <w:right w:val="nil"/>
            </w:tcBorders>
            <w:shd w:val="clear" w:color="auto" w:fill="auto"/>
            <w:vAlign w:val="center"/>
          </w:tcPr>
          <w:p w:rsidR="00D9704A" w:rsidRPr="00D9704A" w:rsidRDefault="00C30833" w:rsidP="00D9704A">
            <w:pPr>
              <w:spacing w:after="0"/>
              <w:ind w:firstLine="0"/>
              <w:jc w:val="right"/>
              <w:rPr>
                <w:rFonts w:ascii="Arial Narrow" w:hAnsi="Arial Narrow"/>
                <w:color w:val="000000"/>
                <w:lang w:val="es-ES" w:eastAsia="es-ES"/>
              </w:rPr>
            </w:pPr>
            <w:r>
              <w:rPr>
                <w:rFonts w:ascii="Arial Narrow" w:hAnsi="Arial Narrow"/>
                <w:color w:val="000000"/>
                <w:lang w:val="es-ES" w:eastAsia="es-ES"/>
              </w:rPr>
              <w:t>169.005</w:t>
            </w:r>
          </w:p>
        </w:tc>
        <w:tc>
          <w:tcPr>
            <w:tcW w:w="1580" w:type="dxa"/>
            <w:tcBorders>
              <w:top w:val="single" w:sz="2" w:space="0" w:color="auto"/>
              <w:left w:val="nil"/>
              <w:bottom w:val="single" w:sz="2" w:space="0" w:color="auto"/>
              <w:right w:val="nil"/>
            </w:tcBorders>
            <w:shd w:val="clear" w:color="auto" w:fill="auto"/>
            <w:vAlign w:val="center"/>
          </w:tcPr>
          <w:p w:rsidR="00D9704A" w:rsidRPr="00D9704A" w:rsidRDefault="00C30833" w:rsidP="00D9704A">
            <w:pPr>
              <w:spacing w:after="0"/>
              <w:ind w:firstLine="0"/>
              <w:jc w:val="right"/>
              <w:rPr>
                <w:rFonts w:ascii="Arial Narrow" w:hAnsi="Arial Narrow"/>
                <w:color w:val="000000"/>
                <w:lang w:val="es-ES" w:eastAsia="es-ES"/>
              </w:rPr>
            </w:pPr>
            <w:r>
              <w:rPr>
                <w:rFonts w:ascii="Arial Narrow" w:hAnsi="Arial Narrow"/>
                <w:color w:val="000000"/>
                <w:lang w:val="es-ES" w:eastAsia="es-ES"/>
              </w:rPr>
              <w:t>111.500</w:t>
            </w:r>
          </w:p>
        </w:tc>
        <w:tc>
          <w:tcPr>
            <w:tcW w:w="1024" w:type="dxa"/>
            <w:tcBorders>
              <w:top w:val="single" w:sz="2" w:space="0" w:color="auto"/>
              <w:left w:val="nil"/>
              <w:bottom w:val="single" w:sz="2" w:space="0" w:color="auto"/>
              <w:right w:val="nil"/>
            </w:tcBorders>
            <w:shd w:val="clear" w:color="auto" w:fill="auto"/>
            <w:noWrap/>
            <w:vAlign w:val="center"/>
          </w:tcPr>
          <w:p w:rsidR="00D9704A" w:rsidRPr="00D9704A" w:rsidRDefault="00C30833" w:rsidP="00D9704A">
            <w:pPr>
              <w:spacing w:after="0"/>
              <w:ind w:firstLine="0"/>
              <w:jc w:val="right"/>
              <w:rPr>
                <w:rFonts w:ascii="Arial Narrow" w:hAnsi="Arial Narrow"/>
                <w:color w:val="000000"/>
                <w:lang w:val="es-ES" w:eastAsia="es-ES"/>
              </w:rPr>
            </w:pPr>
            <w:r>
              <w:rPr>
                <w:rFonts w:ascii="Arial Narrow" w:hAnsi="Arial Narrow"/>
                <w:color w:val="000000"/>
                <w:lang w:val="es-ES" w:eastAsia="es-ES"/>
              </w:rPr>
              <w:t>-34</w:t>
            </w: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left"/>
              <w:rPr>
                <w:rFonts w:ascii="Arial Narrow" w:hAnsi="Arial Narrow"/>
                <w:color w:val="000000"/>
                <w:lang w:val="es-ES" w:eastAsia="es-ES"/>
              </w:rPr>
            </w:pPr>
            <w:r w:rsidRPr="00D9704A">
              <w:rPr>
                <w:rFonts w:ascii="Arial Narrow" w:hAnsi="Arial Narrow"/>
                <w:color w:val="000000"/>
                <w:lang w:val="es-ES" w:eastAsia="es-ES"/>
              </w:rPr>
              <w:t>Carga financiera (cap.3 y 9)</w:t>
            </w:r>
          </w:p>
        </w:tc>
        <w:tc>
          <w:tcPr>
            <w:tcW w:w="1660" w:type="dxa"/>
            <w:tcBorders>
              <w:top w:val="single" w:sz="2" w:space="0" w:color="auto"/>
              <w:left w:val="nil"/>
              <w:bottom w:val="single" w:sz="2" w:space="0" w:color="auto"/>
              <w:right w:val="nil"/>
            </w:tcBorders>
            <w:shd w:val="clear" w:color="auto" w:fill="auto"/>
            <w:vAlign w:val="center"/>
            <w:hideMark/>
          </w:tcPr>
          <w:p w:rsidR="00D9704A" w:rsidRPr="00D9704A" w:rsidRDefault="00D9704A" w:rsidP="00D9704A">
            <w:pPr>
              <w:spacing w:after="0"/>
              <w:ind w:firstLine="0"/>
              <w:jc w:val="right"/>
              <w:rPr>
                <w:rFonts w:ascii="Arial Narrow" w:hAnsi="Arial Narrow"/>
                <w:color w:val="000000"/>
                <w:lang w:val="es-ES" w:eastAsia="es-ES"/>
              </w:rPr>
            </w:pPr>
            <w:r w:rsidRPr="00D9704A">
              <w:rPr>
                <w:rFonts w:ascii="Arial Narrow" w:hAnsi="Arial Narrow"/>
                <w:color w:val="000000"/>
                <w:lang w:val="es-ES" w:eastAsia="es-ES"/>
              </w:rPr>
              <w:t>401.477</w:t>
            </w:r>
          </w:p>
        </w:tc>
        <w:tc>
          <w:tcPr>
            <w:tcW w:w="1580" w:type="dxa"/>
            <w:tcBorders>
              <w:top w:val="single" w:sz="2" w:space="0" w:color="auto"/>
              <w:left w:val="nil"/>
              <w:bottom w:val="single" w:sz="2" w:space="0" w:color="auto"/>
              <w:right w:val="nil"/>
            </w:tcBorders>
            <w:shd w:val="clear" w:color="auto" w:fill="auto"/>
            <w:vAlign w:val="center"/>
            <w:hideMark/>
          </w:tcPr>
          <w:p w:rsidR="00D9704A" w:rsidRPr="00D9704A" w:rsidRDefault="00D9704A" w:rsidP="00D9704A">
            <w:pPr>
              <w:spacing w:after="0"/>
              <w:ind w:firstLine="0"/>
              <w:jc w:val="right"/>
              <w:rPr>
                <w:rFonts w:ascii="Arial Narrow" w:hAnsi="Arial Narrow"/>
                <w:color w:val="000000"/>
                <w:lang w:val="es-ES" w:eastAsia="es-ES"/>
              </w:rPr>
            </w:pPr>
            <w:r w:rsidRPr="00D9704A">
              <w:rPr>
                <w:rFonts w:ascii="Arial Narrow" w:hAnsi="Arial Narrow"/>
                <w:color w:val="000000"/>
                <w:lang w:val="es-ES" w:eastAsia="es-ES"/>
              </w:rPr>
              <w:t>415.741</w:t>
            </w:r>
          </w:p>
        </w:tc>
        <w:tc>
          <w:tcPr>
            <w:tcW w:w="1024"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right"/>
              <w:rPr>
                <w:rFonts w:ascii="Arial Narrow" w:hAnsi="Arial Narrow"/>
                <w:color w:val="000000"/>
                <w:lang w:val="es-ES" w:eastAsia="es-ES"/>
              </w:rPr>
            </w:pPr>
            <w:r w:rsidRPr="00D9704A">
              <w:rPr>
                <w:rFonts w:ascii="Arial Narrow" w:hAnsi="Arial Narrow"/>
                <w:color w:val="000000"/>
                <w:lang w:val="es-ES" w:eastAsia="es-ES"/>
              </w:rPr>
              <w:t>4</w:t>
            </w: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left"/>
              <w:rPr>
                <w:rFonts w:ascii="Arial Narrow" w:hAnsi="Arial Narrow"/>
                <w:color w:val="000000"/>
                <w:lang w:val="es-ES" w:eastAsia="es-ES"/>
              </w:rPr>
            </w:pPr>
            <w:r w:rsidRPr="00D9704A">
              <w:rPr>
                <w:rFonts w:ascii="Arial Narrow" w:hAnsi="Arial Narrow"/>
                <w:color w:val="000000"/>
                <w:lang w:val="es-ES" w:eastAsia="es-ES"/>
              </w:rPr>
              <w:t>Ahorro neto</w:t>
            </w:r>
          </w:p>
        </w:tc>
        <w:tc>
          <w:tcPr>
            <w:tcW w:w="1660" w:type="dxa"/>
            <w:tcBorders>
              <w:top w:val="single" w:sz="2" w:space="0" w:color="auto"/>
              <w:left w:val="nil"/>
              <w:bottom w:val="single" w:sz="2" w:space="0" w:color="auto"/>
              <w:right w:val="nil"/>
            </w:tcBorders>
            <w:shd w:val="clear" w:color="auto" w:fill="auto"/>
            <w:vAlign w:val="center"/>
          </w:tcPr>
          <w:p w:rsidR="00D9704A" w:rsidRPr="00567DBA" w:rsidRDefault="00C30833" w:rsidP="00D9704A">
            <w:pPr>
              <w:spacing w:after="0"/>
              <w:ind w:firstLine="0"/>
              <w:jc w:val="right"/>
              <w:rPr>
                <w:rFonts w:ascii="Arial Narrow" w:hAnsi="Arial Narrow"/>
                <w:lang w:val="es-ES" w:eastAsia="es-ES"/>
              </w:rPr>
            </w:pPr>
            <w:r>
              <w:rPr>
                <w:rFonts w:ascii="Arial Narrow" w:hAnsi="Arial Narrow"/>
                <w:lang w:val="es-ES" w:eastAsia="es-ES"/>
              </w:rPr>
              <w:t>-232.472</w:t>
            </w:r>
          </w:p>
        </w:tc>
        <w:tc>
          <w:tcPr>
            <w:tcW w:w="1580" w:type="dxa"/>
            <w:tcBorders>
              <w:top w:val="single" w:sz="2" w:space="0" w:color="auto"/>
              <w:left w:val="nil"/>
              <w:bottom w:val="single" w:sz="2" w:space="0" w:color="auto"/>
              <w:right w:val="nil"/>
            </w:tcBorders>
            <w:shd w:val="clear" w:color="auto" w:fill="auto"/>
            <w:vAlign w:val="center"/>
          </w:tcPr>
          <w:p w:rsidR="00D9704A" w:rsidRPr="00567DBA" w:rsidRDefault="00C30833" w:rsidP="00D9704A">
            <w:pPr>
              <w:spacing w:after="0"/>
              <w:ind w:firstLine="0"/>
              <w:jc w:val="right"/>
              <w:rPr>
                <w:rFonts w:ascii="Arial Narrow" w:hAnsi="Arial Narrow"/>
                <w:lang w:val="es-ES" w:eastAsia="es-ES"/>
              </w:rPr>
            </w:pPr>
            <w:r>
              <w:rPr>
                <w:rFonts w:ascii="Arial Narrow" w:hAnsi="Arial Narrow"/>
                <w:lang w:val="es-ES" w:eastAsia="es-ES"/>
              </w:rPr>
              <w:t>-304.241</w:t>
            </w:r>
          </w:p>
        </w:tc>
        <w:tc>
          <w:tcPr>
            <w:tcW w:w="1024" w:type="dxa"/>
            <w:tcBorders>
              <w:top w:val="single" w:sz="2" w:space="0" w:color="auto"/>
              <w:left w:val="nil"/>
              <w:bottom w:val="single" w:sz="2" w:space="0" w:color="auto"/>
              <w:right w:val="nil"/>
            </w:tcBorders>
            <w:shd w:val="clear" w:color="auto" w:fill="auto"/>
            <w:noWrap/>
            <w:vAlign w:val="center"/>
          </w:tcPr>
          <w:p w:rsidR="00D9704A" w:rsidRPr="00567DBA" w:rsidRDefault="00C30833" w:rsidP="00D9704A">
            <w:pPr>
              <w:spacing w:after="0"/>
              <w:ind w:firstLine="0"/>
              <w:jc w:val="right"/>
              <w:rPr>
                <w:rFonts w:ascii="Arial Narrow" w:hAnsi="Arial Narrow"/>
                <w:lang w:val="es-ES" w:eastAsia="es-ES"/>
              </w:rPr>
            </w:pPr>
            <w:r>
              <w:rPr>
                <w:rFonts w:ascii="Arial Narrow" w:hAnsi="Arial Narrow"/>
                <w:lang w:val="es-ES" w:eastAsia="es-ES"/>
              </w:rPr>
              <w:t>31</w:t>
            </w: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A8511A" w:rsidRDefault="00D9704A" w:rsidP="00D9704A">
            <w:pPr>
              <w:spacing w:after="0"/>
              <w:ind w:firstLine="0"/>
              <w:jc w:val="left"/>
              <w:rPr>
                <w:rFonts w:ascii="Arial Narrow" w:hAnsi="Arial Narrow"/>
                <w:lang w:val="es-ES" w:eastAsia="es-ES"/>
              </w:rPr>
            </w:pPr>
            <w:r w:rsidRPr="00A8511A">
              <w:rPr>
                <w:rFonts w:ascii="Arial Narrow" w:hAnsi="Arial Narrow"/>
                <w:lang w:val="es-ES" w:eastAsia="es-ES"/>
              </w:rPr>
              <w:t>Resultados del ejercicio (desahorro)</w:t>
            </w:r>
          </w:p>
        </w:tc>
        <w:tc>
          <w:tcPr>
            <w:tcW w:w="1660" w:type="dxa"/>
            <w:tcBorders>
              <w:top w:val="single" w:sz="2" w:space="0" w:color="auto"/>
              <w:left w:val="nil"/>
              <w:bottom w:val="single" w:sz="2" w:space="0" w:color="auto"/>
              <w:right w:val="nil"/>
            </w:tcBorders>
            <w:shd w:val="clear" w:color="auto" w:fill="auto"/>
            <w:noWrap/>
            <w:vAlign w:val="center"/>
            <w:hideMark/>
          </w:tcPr>
          <w:p w:rsidR="00D9704A" w:rsidRPr="00A8511A" w:rsidRDefault="00D9704A" w:rsidP="00D9704A">
            <w:pPr>
              <w:spacing w:after="0"/>
              <w:ind w:firstLine="0"/>
              <w:jc w:val="right"/>
              <w:rPr>
                <w:rFonts w:ascii="Arial Narrow" w:hAnsi="Arial Narrow"/>
                <w:lang w:val="es-ES" w:eastAsia="es-ES"/>
              </w:rPr>
            </w:pPr>
            <w:r w:rsidRPr="00A8511A">
              <w:rPr>
                <w:rFonts w:ascii="Arial Narrow" w:hAnsi="Arial Narrow"/>
                <w:lang w:val="es-ES" w:eastAsia="es-ES"/>
              </w:rPr>
              <w:t>-88.308</w:t>
            </w:r>
          </w:p>
        </w:tc>
        <w:tc>
          <w:tcPr>
            <w:tcW w:w="1580" w:type="dxa"/>
            <w:tcBorders>
              <w:top w:val="single" w:sz="2" w:space="0" w:color="auto"/>
              <w:left w:val="nil"/>
              <w:bottom w:val="single" w:sz="2" w:space="0" w:color="auto"/>
              <w:right w:val="nil"/>
            </w:tcBorders>
            <w:shd w:val="clear" w:color="auto" w:fill="auto"/>
            <w:noWrap/>
            <w:vAlign w:val="center"/>
            <w:hideMark/>
          </w:tcPr>
          <w:p w:rsidR="00D9704A" w:rsidRPr="00A8511A" w:rsidRDefault="00D9704A" w:rsidP="00D9704A">
            <w:pPr>
              <w:spacing w:after="0"/>
              <w:ind w:firstLine="0"/>
              <w:jc w:val="right"/>
              <w:rPr>
                <w:rFonts w:ascii="Arial Narrow" w:hAnsi="Arial Narrow"/>
                <w:lang w:val="es-ES" w:eastAsia="es-ES"/>
              </w:rPr>
            </w:pPr>
            <w:r w:rsidRPr="00A8511A">
              <w:rPr>
                <w:rFonts w:ascii="Arial Narrow" w:hAnsi="Arial Narrow"/>
                <w:lang w:val="es-ES" w:eastAsia="es-ES"/>
              </w:rPr>
              <w:t>-149.906</w:t>
            </w:r>
          </w:p>
        </w:tc>
        <w:tc>
          <w:tcPr>
            <w:tcW w:w="1024" w:type="dxa"/>
            <w:tcBorders>
              <w:top w:val="single" w:sz="2" w:space="0" w:color="auto"/>
              <w:left w:val="nil"/>
              <w:bottom w:val="single" w:sz="2" w:space="0" w:color="auto"/>
              <w:right w:val="nil"/>
            </w:tcBorders>
            <w:shd w:val="clear" w:color="auto" w:fill="auto"/>
            <w:noWrap/>
            <w:vAlign w:val="center"/>
            <w:hideMark/>
          </w:tcPr>
          <w:p w:rsidR="00D9704A" w:rsidRPr="00A8511A" w:rsidRDefault="00D9704A" w:rsidP="00D9704A">
            <w:pPr>
              <w:spacing w:after="0"/>
              <w:ind w:firstLine="0"/>
              <w:jc w:val="right"/>
              <w:rPr>
                <w:rFonts w:ascii="Arial Narrow" w:hAnsi="Arial Narrow"/>
                <w:lang w:val="es-ES" w:eastAsia="es-ES"/>
              </w:rPr>
            </w:pPr>
            <w:r w:rsidRPr="00A8511A">
              <w:rPr>
                <w:rFonts w:ascii="Arial Narrow" w:hAnsi="Arial Narrow"/>
                <w:lang w:val="es-ES" w:eastAsia="es-ES"/>
              </w:rPr>
              <w:t>70</w:t>
            </w: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A8511A" w:rsidRDefault="00D9704A" w:rsidP="00D9704A">
            <w:pPr>
              <w:spacing w:after="0"/>
              <w:ind w:firstLine="0"/>
              <w:jc w:val="left"/>
              <w:rPr>
                <w:rFonts w:ascii="Arial Narrow" w:hAnsi="Arial Narrow"/>
                <w:lang w:val="es-ES" w:eastAsia="es-ES"/>
              </w:rPr>
            </w:pPr>
            <w:r w:rsidRPr="00A8511A">
              <w:rPr>
                <w:rFonts w:ascii="Arial Narrow" w:hAnsi="Arial Narrow"/>
                <w:lang w:val="es-ES" w:eastAsia="es-ES"/>
              </w:rPr>
              <w:t>Fondos propios</w:t>
            </w:r>
          </w:p>
        </w:tc>
        <w:tc>
          <w:tcPr>
            <w:tcW w:w="1660" w:type="dxa"/>
            <w:tcBorders>
              <w:top w:val="single" w:sz="2" w:space="0" w:color="auto"/>
              <w:left w:val="nil"/>
              <w:bottom w:val="single" w:sz="2" w:space="0" w:color="auto"/>
              <w:right w:val="nil"/>
            </w:tcBorders>
            <w:shd w:val="clear" w:color="auto" w:fill="auto"/>
            <w:noWrap/>
            <w:vAlign w:val="center"/>
            <w:hideMark/>
          </w:tcPr>
          <w:p w:rsidR="00D9704A" w:rsidRPr="00A8511A" w:rsidRDefault="00D9704A" w:rsidP="00D9704A">
            <w:pPr>
              <w:spacing w:after="0"/>
              <w:ind w:firstLine="0"/>
              <w:jc w:val="right"/>
              <w:rPr>
                <w:rFonts w:ascii="Arial Narrow" w:hAnsi="Arial Narrow"/>
                <w:lang w:val="es-ES" w:eastAsia="es-ES"/>
              </w:rPr>
            </w:pPr>
            <w:r w:rsidRPr="00A8511A">
              <w:rPr>
                <w:rFonts w:ascii="Arial Narrow" w:hAnsi="Arial Narrow"/>
                <w:lang w:val="es-ES" w:eastAsia="es-ES"/>
              </w:rPr>
              <w:t>-97.860</w:t>
            </w:r>
          </w:p>
        </w:tc>
        <w:tc>
          <w:tcPr>
            <w:tcW w:w="1580" w:type="dxa"/>
            <w:tcBorders>
              <w:top w:val="single" w:sz="2" w:space="0" w:color="auto"/>
              <w:left w:val="nil"/>
              <w:bottom w:val="single" w:sz="2" w:space="0" w:color="auto"/>
              <w:right w:val="nil"/>
            </w:tcBorders>
            <w:shd w:val="clear" w:color="auto" w:fill="auto"/>
            <w:noWrap/>
            <w:vAlign w:val="center"/>
            <w:hideMark/>
          </w:tcPr>
          <w:p w:rsidR="00D9704A" w:rsidRPr="00A8511A" w:rsidRDefault="00D9704A" w:rsidP="00A8511A">
            <w:pPr>
              <w:spacing w:after="0"/>
              <w:ind w:firstLine="0"/>
              <w:jc w:val="right"/>
              <w:rPr>
                <w:rFonts w:ascii="Arial Narrow" w:hAnsi="Arial Narrow"/>
                <w:lang w:val="es-ES" w:eastAsia="es-ES"/>
              </w:rPr>
            </w:pPr>
            <w:r w:rsidRPr="00A8511A">
              <w:rPr>
                <w:rFonts w:ascii="Arial Narrow" w:hAnsi="Arial Narrow"/>
                <w:lang w:val="es-ES" w:eastAsia="es-ES"/>
              </w:rPr>
              <w:t>-247.</w:t>
            </w:r>
            <w:r w:rsidR="00A8511A" w:rsidRPr="00A8511A">
              <w:rPr>
                <w:rFonts w:ascii="Arial Narrow" w:hAnsi="Arial Narrow"/>
                <w:lang w:val="es-ES" w:eastAsia="es-ES"/>
              </w:rPr>
              <w:t>816</w:t>
            </w:r>
          </w:p>
        </w:tc>
        <w:tc>
          <w:tcPr>
            <w:tcW w:w="1024" w:type="dxa"/>
            <w:tcBorders>
              <w:top w:val="single" w:sz="2" w:space="0" w:color="auto"/>
              <w:left w:val="nil"/>
              <w:bottom w:val="single" w:sz="2" w:space="0" w:color="auto"/>
              <w:right w:val="nil"/>
            </w:tcBorders>
            <w:shd w:val="clear" w:color="auto" w:fill="auto"/>
            <w:noWrap/>
            <w:vAlign w:val="center"/>
            <w:hideMark/>
          </w:tcPr>
          <w:p w:rsidR="00D9704A" w:rsidRPr="00A8511A" w:rsidRDefault="00D9704A" w:rsidP="00D9704A">
            <w:pPr>
              <w:spacing w:after="0"/>
              <w:ind w:firstLine="0"/>
              <w:jc w:val="right"/>
              <w:rPr>
                <w:rFonts w:ascii="Arial Narrow" w:hAnsi="Arial Narrow"/>
                <w:lang w:val="es-ES" w:eastAsia="es-ES"/>
              </w:rPr>
            </w:pPr>
            <w:r w:rsidRPr="00A8511A">
              <w:rPr>
                <w:rFonts w:ascii="Arial Narrow" w:hAnsi="Arial Narrow"/>
                <w:lang w:val="es-ES" w:eastAsia="es-ES"/>
              </w:rPr>
              <w:t>153</w:t>
            </w: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F73CD9" w:rsidRDefault="00D9704A" w:rsidP="00D9704A">
            <w:pPr>
              <w:spacing w:after="0"/>
              <w:ind w:firstLine="0"/>
              <w:jc w:val="left"/>
              <w:rPr>
                <w:rFonts w:ascii="Arial Narrow" w:hAnsi="Arial Narrow"/>
                <w:lang w:val="es-ES" w:eastAsia="es-ES"/>
              </w:rPr>
            </w:pPr>
            <w:r w:rsidRPr="00F73CD9">
              <w:rPr>
                <w:rFonts w:ascii="Arial Narrow" w:hAnsi="Arial Narrow"/>
                <w:lang w:val="es-ES" w:eastAsia="es-ES"/>
              </w:rPr>
              <w:t xml:space="preserve">Deuda </w:t>
            </w:r>
            <w:r w:rsidR="00791CA3" w:rsidRPr="00F73CD9">
              <w:rPr>
                <w:rFonts w:ascii="Arial Narrow" w:hAnsi="Arial Narrow"/>
                <w:lang w:val="es-ES" w:eastAsia="es-ES"/>
              </w:rPr>
              <w:t xml:space="preserve">financiera </w:t>
            </w:r>
            <w:r w:rsidRPr="00F73CD9">
              <w:rPr>
                <w:rFonts w:ascii="Arial Narrow" w:hAnsi="Arial Narrow"/>
                <w:lang w:val="es-ES" w:eastAsia="es-ES"/>
              </w:rPr>
              <w:t>del Gobierno de Navarra</w:t>
            </w:r>
            <w:r w:rsidRPr="00F73CD9">
              <w:rPr>
                <w:rFonts w:ascii="Arial Narrow" w:hAnsi="Arial Narrow"/>
                <w:vertAlign w:val="superscript"/>
                <w:lang w:val="es-ES" w:eastAsia="es-ES"/>
              </w:rPr>
              <w:t xml:space="preserve"> </w:t>
            </w:r>
            <w:r w:rsidR="00000DD3" w:rsidRPr="00F73CD9">
              <w:rPr>
                <w:rFonts w:ascii="Arial Narrow" w:hAnsi="Arial Narrow"/>
                <w:vertAlign w:val="superscript"/>
                <w:lang w:val="es-ES" w:eastAsia="es-ES"/>
              </w:rPr>
              <w:t xml:space="preserve"> (1)</w:t>
            </w:r>
          </w:p>
        </w:tc>
        <w:tc>
          <w:tcPr>
            <w:tcW w:w="1660" w:type="dxa"/>
            <w:tcBorders>
              <w:top w:val="single" w:sz="2" w:space="0" w:color="auto"/>
              <w:left w:val="nil"/>
              <w:bottom w:val="single" w:sz="2" w:space="0" w:color="auto"/>
              <w:right w:val="nil"/>
            </w:tcBorders>
            <w:shd w:val="clear" w:color="auto" w:fill="auto"/>
            <w:vAlign w:val="center"/>
            <w:hideMark/>
          </w:tcPr>
          <w:p w:rsidR="00D9704A" w:rsidRPr="00F73CD9" w:rsidRDefault="00D9704A" w:rsidP="00D9704A">
            <w:pPr>
              <w:spacing w:after="0"/>
              <w:ind w:firstLine="0"/>
              <w:jc w:val="right"/>
              <w:rPr>
                <w:rFonts w:ascii="Arial Narrow" w:hAnsi="Arial Narrow"/>
                <w:lang w:val="es-ES" w:eastAsia="es-ES"/>
              </w:rPr>
            </w:pPr>
            <w:r w:rsidRPr="00F73CD9">
              <w:rPr>
                <w:rFonts w:ascii="Arial Narrow" w:hAnsi="Arial Narrow"/>
                <w:lang w:val="es-ES" w:eastAsia="es-ES"/>
              </w:rPr>
              <w:t>2.759.614</w:t>
            </w:r>
          </w:p>
        </w:tc>
        <w:tc>
          <w:tcPr>
            <w:tcW w:w="1580" w:type="dxa"/>
            <w:tcBorders>
              <w:top w:val="single" w:sz="2" w:space="0" w:color="auto"/>
              <w:left w:val="nil"/>
              <w:bottom w:val="single" w:sz="2" w:space="0" w:color="auto"/>
              <w:right w:val="nil"/>
            </w:tcBorders>
            <w:shd w:val="clear" w:color="auto" w:fill="auto"/>
            <w:vAlign w:val="center"/>
            <w:hideMark/>
          </w:tcPr>
          <w:p w:rsidR="00D9704A" w:rsidRPr="00F73CD9" w:rsidRDefault="0029699C" w:rsidP="00D9704A">
            <w:pPr>
              <w:spacing w:after="0"/>
              <w:ind w:firstLine="0"/>
              <w:jc w:val="right"/>
              <w:rPr>
                <w:rFonts w:ascii="Arial Narrow" w:hAnsi="Arial Narrow"/>
                <w:lang w:val="es-ES" w:eastAsia="es-ES"/>
              </w:rPr>
            </w:pPr>
            <w:r w:rsidRPr="00F73CD9">
              <w:rPr>
                <w:rFonts w:ascii="Arial Narrow" w:hAnsi="Arial Narrow"/>
                <w:lang w:val="es-ES" w:eastAsia="es-ES"/>
              </w:rPr>
              <w:t>2.898.861</w:t>
            </w:r>
          </w:p>
        </w:tc>
        <w:tc>
          <w:tcPr>
            <w:tcW w:w="1024"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right"/>
              <w:rPr>
                <w:rFonts w:ascii="Arial Narrow" w:hAnsi="Arial Narrow"/>
                <w:color w:val="000000"/>
                <w:lang w:val="es-ES" w:eastAsia="es-ES"/>
              </w:rPr>
            </w:pPr>
            <w:r w:rsidRPr="00D9704A">
              <w:rPr>
                <w:rFonts w:ascii="Arial Narrow" w:hAnsi="Arial Narrow"/>
                <w:color w:val="000000"/>
                <w:lang w:val="es-ES" w:eastAsia="es-ES"/>
              </w:rPr>
              <w:t>5</w:t>
            </w: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F73CD9" w:rsidRDefault="00D9704A" w:rsidP="00D9704A">
            <w:pPr>
              <w:spacing w:after="0"/>
              <w:ind w:firstLine="0"/>
              <w:jc w:val="left"/>
              <w:rPr>
                <w:rFonts w:ascii="Arial Narrow" w:hAnsi="Arial Narrow"/>
                <w:lang w:val="es-ES" w:eastAsia="es-ES"/>
              </w:rPr>
            </w:pPr>
            <w:r w:rsidRPr="00F73CD9">
              <w:rPr>
                <w:rFonts w:ascii="Arial Narrow" w:hAnsi="Arial Narrow"/>
                <w:lang w:val="es-ES" w:eastAsia="es-ES"/>
              </w:rPr>
              <w:t>Porcentaje de</w:t>
            </w:r>
            <w:r w:rsidR="00791CA3" w:rsidRPr="00F73CD9">
              <w:rPr>
                <w:rFonts w:ascii="Arial Narrow" w:hAnsi="Arial Narrow"/>
                <w:lang w:val="es-ES" w:eastAsia="es-ES"/>
              </w:rPr>
              <w:t xml:space="preserve"> la</w:t>
            </w:r>
            <w:r w:rsidRPr="00F73CD9">
              <w:rPr>
                <w:rFonts w:ascii="Arial Narrow" w:hAnsi="Arial Narrow"/>
                <w:lang w:val="es-ES" w:eastAsia="es-ES"/>
              </w:rPr>
              <w:t xml:space="preserve"> Deuda sobre ingresos corrientes</w:t>
            </w:r>
          </w:p>
        </w:tc>
        <w:tc>
          <w:tcPr>
            <w:tcW w:w="1660" w:type="dxa"/>
            <w:tcBorders>
              <w:top w:val="single" w:sz="2" w:space="0" w:color="auto"/>
              <w:left w:val="nil"/>
              <w:bottom w:val="single" w:sz="2" w:space="0" w:color="auto"/>
              <w:right w:val="nil"/>
            </w:tcBorders>
            <w:shd w:val="clear" w:color="auto" w:fill="auto"/>
            <w:vAlign w:val="center"/>
            <w:hideMark/>
          </w:tcPr>
          <w:p w:rsidR="00D9704A" w:rsidRPr="00F73CD9" w:rsidRDefault="00D9704A" w:rsidP="0066463C">
            <w:pPr>
              <w:spacing w:after="0"/>
              <w:ind w:firstLine="0"/>
              <w:jc w:val="right"/>
              <w:rPr>
                <w:rFonts w:ascii="Arial Narrow" w:hAnsi="Arial Narrow"/>
                <w:lang w:val="es-ES" w:eastAsia="es-ES"/>
              </w:rPr>
            </w:pPr>
            <w:r w:rsidRPr="00F73CD9">
              <w:rPr>
                <w:rFonts w:ascii="Arial Narrow" w:hAnsi="Arial Narrow"/>
                <w:lang w:val="es-ES" w:eastAsia="es-ES"/>
              </w:rPr>
              <w:t>86</w:t>
            </w:r>
          </w:p>
        </w:tc>
        <w:tc>
          <w:tcPr>
            <w:tcW w:w="1580" w:type="dxa"/>
            <w:tcBorders>
              <w:top w:val="single" w:sz="2" w:space="0" w:color="auto"/>
              <w:left w:val="nil"/>
              <w:bottom w:val="single" w:sz="2" w:space="0" w:color="auto"/>
              <w:right w:val="nil"/>
            </w:tcBorders>
            <w:shd w:val="clear" w:color="auto" w:fill="auto"/>
            <w:vAlign w:val="center"/>
            <w:hideMark/>
          </w:tcPr>
          <w:p w:rsidR="00D9704A" w:rsidRPr="00F73CD9" w:rsidRDefault="00D9704A" w:rsidP="0066463C">
            <w:pPr>
              <w:spacing w:after="0"/>
              <w:ind w:firstLine="0"/>
              <w:jc w:val="right"/>
              <w:rPr>
                <w:rFonts w:ascii="Arial Narrow" w:hAnsi="Arial Narrow"/>
                <w:lang w:val="es-ES" w:eastAsia="es-ES"/>
              </w:rPr>
            </w:pPr>
            <w:r w:rsidRPr="00F73CD9">
              <w:rPr>
                <w:rFonts w:ascii="Arial Narrow" w:hAnsi="Arial Narrow"/>
                <w:lang w:val="es-ES" w:eastAsia="es-ES"/>
              </w:rPr>
              <w:t>8</w:t>
            </w:r>
            <w:r w:rsidR="000E76BF" w:rsidRPr="00F73CD9">
              <w:rPr>
                <w:rFonts w:ascii="Arial Narrow" w:hAnsi="Arial Narrow"/>
                <w:lang w:val="es-ES" w:eastAsia="es-ES"/>
              </w:rPr>
              <w:t>8</w:t>
            </w:r>
          </w:p>
        </w:tc>
        <w:tc>
          <w:tcPr>
            <w:tcW w:w="1024"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right"/>
              <w:rPr>
                <w:rFonts w:ascii="Arial Narrow" w:hAnsi="Arial Narrow"/>
                <w:color w:val="000000"/>
                <w:lang w:val="es-ES" w:eastAsia="es-ES"/>
              </w:rPr>
            </w:pPr>
            <w:r w:rsidRPr="00D9704A">
              <w:rPr>
                <w:rFonts w:ascii="Arial Narrow" w:hAnsi="Arial Narrow"/>
                <w:color w:val="000000"/>
                <w:lang w:val="es-ES" w:eastAsia="es-ES"/>
              </w:rPr>
              <w:t>3</w:t>
            </w: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left"/>
              <w:rPr>
                <w:rFonts w:ascii="Arial Narrow" w:hAnsi="Arial Narrow"/>
                <w:color w:val="000000"/>
                <w:lang w:val="es-ES" w:eastAsia="es-ES"/>
              </w:rPr>
            </w:pPr>
            <w:r w:rsidRPr="00D9704A">
              <w:rPr>
                <w:rFonts w:ascii="Arial Narrow" w:hAnsi="Arial Narrow"/>
                <w:color w:val="000000"/>
                <w:lang w:val="es-ES" w:eastAsia="es-ES"/>
              </w:rPr>
              <w:t>Avales constituidos</w:t>
            </w:r>
            <w:r w:rsidR="0034263D">
              <w:rPr>
                <w:rFonts w:ascii="Arial Narrow" w:hAnsi="Arial Narrow"/>
                <w:color w:val="000000"/>
                <w:lang w:val="es-ES" w:eastAsia="es-ES"/>
              </w:rPr>
              <w:t xml:space="preserve"> Gobierno de Navarra</w:t>
            </w:r>
            <w:r w:rsidRPr="00D9704A">
              <w:rPr>
                <w:rFonts w:ascii="Arial Narrow" w:hAnsi="Arial Narrow"/>
                <w:color w:val="000000"/>
                <w:lang w:val="es-ES" w:eastAsia="es-ES"/>
              </w:rPr>
              <w:t xml:space="preserve"> (saldo vivo)</w:t>
            </w:r>
          </w:p>
        </w:tc>
        <w:tc>
          <w:tcPr>
            <w:tcW w:w="1660" w:type="dxa"/>
            <w:tcBorders>
              <w:top w:val="single" w:sz="2" w:space="0" w:color="auto"/>
              <w:left w:val="nil"/>
              <w:bottom w:val="single" w:sz="2" w:space="0" w:color="auto"/>
              <w:right w:val="nil"/>
            </w:tcBorders>
            <w:shd w:val="clear" w:color="auto" w:fill="auto"/>
            <w:vAlign w:val="center"/>
            <w:hideMark/>
          </w:tcPr>
          <w:p w:rsidR="00D9704A" w:rsidRPr="00D9704A" w:rsidRDefault="00D9704A" w:rsidP="00D9704A">
            <w:pPr>
              <w:spacing w:after="0"/>
              <w:ind w:firstLine="0"/>
              <w:jc w:val="right"/>
              <w:rPr>
                <w:rFonts w:ascii="Arial Narrow" w:hAnsi="Arial Narrow"/>
                <w:color w:val="000000"/>
                <w:lang w:val="es-ES" w:eastAsia="es-ES"/>
              </w:rPr>
            </w:pPr>
            <w:r w:rsidRPr="00D9704A">
              <w:rPr>
                <w:rFonts w:ascii="Arial Narrow" w:hAnsi="Arial Narrow"/>
                <w:color w:val="000000"/>
                <w:lang w:val="es-ES" w:eastAsia="es-ES"/>
              </w:rPr>
              <w:t>149.593</w:t>
            </w:r>
          </w:p>
        </w:tc>
        <w:tc>
          <w:tcPr>
            <w:tcW w:w="1580" w:type="dxa"/>
            <w:tcBorders>
              <w:top w:val="single" w:sz="2" w:space="0" w:color="auto"/>
              <w:left w:val="nil"/>
              <w:bottom w:val="single" w:sz="2" w:space="0" w:color="auto"/>
              <w:right w:val="nil"/>
            </w:tcBorders>
            <w:shd w:val="clear" w:color="auto" w:fill="auto"/>
            <w:vAlign w:val="center"/>
            <w:hideMark/>
          </w:tcPr>
          <w:p w:rsidR="00D9704A" w:rsidRPr="00D9704A" w:rsidRDefault="00D9704A" w:rsidP="00D9704A">
            <w:pPr>
              <w:spacing w:after="0"/>
              <w:ind w:firstLine="0"/>
              <w:jc w:val="right"/>
              <w:rPr>
                <w:rFonts w:ascii="Arial Narrow" w:hAnsi="Arial Narrow"/>
                <w:color w:val="000000"/>
                <w:lang w:val="es-ES" w:eastAsia="es-ES"/>
              </w:rPr>
            </w:pPr>
            <w:r w:rsidRPr="00D9704A">
              <w:rPr>
                <w:rFonts w:ascii="Arial Narrow" w:hAnsi="Arial Narrow"/>
                <w:color w:val="000000"/>
                <w:lang w:val="es-ES" w:eastAsia="es-ES"/>
              </w:rPr>
              <w:t>149.027</w:t>
            </w:r>
          </w:p>
        </w:tc>
        <w:tc>
          <w:tcPr>
            <w:tcW w:w="1024" w:type="dxa"/>
            <w:tcBorders>
              <w:top w:val="single" w:sz="2" w:space="0" w:color="auto"/>
              <w:left w:val="nil"/>
              <w:bottom w:val="single" w:sz="2" w:space="0" w:color="auto"/>
              <w:right w:val="nil"/>
            </w:tcBorders>
            <w:shd w:val="clear" w:color="auto" w:fill="auto"/>
            <w:noWrap/>
            <w:vAlign w:val="center"/>
            <w:hideMark/>
          </w:tcPr>
          <w:p w:rsidR="00D9704A" w:rsidRPr="00D9704A" w:rsidRDefault="0029699C" w:rsidP="00D9704A">
            <w:pPr>
              <w:spacing w:after="0"/>
              <w:ind w:firstLine="0"/>
              <w:jc w:val="right"/>
              <w:rPr>
                <w:rFonts w:ascii="Arial Narrow" w:hAnsi="Arial Narrow"/>
                <w:color w:val="000000"/>
                <w:lang w:val="es-ES" w:eastAsia="es-ES"/>
              </w:rPr>
            </w:pPr>
            <w:r>
              <w:rPr>
                <w:rFonts w:ascii="Arial Narrow" w:hAnsi="Arial Narrow"/>
                <w:color w:val="000000"/>
                <w:lang w:val="es-ES" w:eastAsia="es-ES"/>
              </w:rPr>
              <w:t>-</w:t>
            </w:r>
          </w:p>
        </w:tc>
      </w:tr>
      <w:tr w:rsidR="00D9704A" w:rsidRPr="00D9704A" w:rsidTr="00156E70">
        <w:trPr>
          <w:trHeight w:val="284"/>
        </w:trPr>
        <w:tc>
          <w:tcPr>
            <w:tcW w:w="4540" w:type="dxa"/>
            <w:tcBorders>
              <w:top w:val="single" w:sz="2" w:space="0" w:color="auto"/>
              <w:left w:val="nil"/>
              <w:bottom w:val="single" w:sz="4" w:space="0" w:color="auto"/>
              <w:right w:val="nil"/>
            </w:tcBorders>
            <w:shd w:val="clear" w:color="auto" w:fill="auto"/>
            <w:noWrap/>
            <w:vAlign w:val="center"/>
            <w:hideMark/>
          </w:tcPr>
          <w:p w:rsidR="00D9704A" w:rsidRPr="00D9704A" w:rsidRDefault="00D9704A" w:rsidP="00D9704A">
            <w:pPr>
              <w:spacing w:after="0"/>
              <w:ind w:firstLine="0"/>
              <w:jc w:val="left"/>
              <w:rPr>
                <w:rFonts w:ascii="Arial Narrow" w:hAnsi="Arial Narrow"/>
                <w:color w:val="000000"/>
                <w:lang w:val="es-ES" w:eastAsia="es-ES"/>
              </w:rPr>
            </w:pPr>
            <w:r w:rsidRPr="00D9704A">
              <w:rPr>
                <w:rFonts w:ascii="Arial Narrow" w:hAnsi="Arial Narrow"/>
                <w:color w:val="000000"/>
                <w:lang w:val="es-ES" w:eastAsia="es-ES"/>
              </w:rPr>
              <w:t>Compromisos de gastos presp. para ejercicios futuros</w:t>
            </w:r>
          </w:p>
        </w:tc>
        <w:tc>
          <w:tcPr>
            <w:tcW w:w="1660" w:type="dxa"/>
            <w:tcBorders>
              <w:top w:val="single" w:sz="2" w:space="0" w:color="auto"/>
              <w:left w:val="nil"/>
              <w:bottom w:val="single" w:sz="4" w:space="0" w:color="auto"/>
              <w:right w:val="nil"/>
            </w:tcBorders>
            <w:shd w:val="clear" w:color="auto" w:fill="auto"/>
            <w:vAlign w:val="center"/>
            <w:hideMark/>
          </w:tcPr>
          <w:p w:rsidR="00D9704A" w:rsidRPr="00D9704A" w:rsidRDefault="00092097" w:rsidP="002418AD">
            <w:pPr>
              <w:spacing w:after="0"/>
              <w:ind w:firstLine="0"/>
              <w:jc w:val="right"/>
              <w:rPr>
                <w:rFonts w:ascii="Arial Narrow" w:hAnsi="Arial Narrow"/>
                <w:color w:val="000000"/>
                <w:lang w:val="es-ES" w:eastAsia="es-ES"/>
              </w:rPr>
            </w:pPr>
            <w:r>
              <w:rPr>
                <w:rFonts w:ascii="Arial Narrow" w:hAnsi="Arial Narrow"/>
                <w:color w:val="000000"/>
                <w:lang w:val="es-ES" w:eastAsia="es-ES"/>
              </w:rPr>
              <w:t>3.725.247</w:t>
            </w:r>
          </w:p>
        </w:tc>
        <w:tc>
          <w:tcPr>
            <w:tcW w:w="1580" w:type="dxa"/>
            <w:tcBorders>
              <w:top w:val="single" w:sz="2" w:space="0" w:color="auto"/>
              <w:left w:val="nil"/>
              <w:bottom w:val="single" w:sz="4" w:space="0" w:color="auto"/>
              <w:right w:val="nil"/>
            </w:tcBorders>
            <w:shd w:val="clear" w:color="auto" w:fill="auto"/>
            <w:noWrap/>
            <w:vAlign w:val="center"/>
            <w:hideMark/>
          </w:tcPr>
          <w:p w:rsidR="00D9704A" w:rsidRPr="00D9704A" w:rsidRDefault="00750A30" w:rsidP="002418AD">
            <w:pPr>
              <w:spacing w:after="0"/>
              <w:ind w:firstLine="0"/>
              <w:jc w:val="right"/>
              <w:rPr>
                <w:rFonts w:ascii="Arial Narrow" w:hAnsi="Arial Narrow"/>
                <w:color w:val="000000"/>
                <w:lang w:val="es-ES" w:eastAsia="es-ES"/>
              </w:rPr>
            </w:pPr>
            <w:r>
              <w:rPr>
                <w:rFonts w:ascii="Arial Narrow" w:hAnsi="Arial Narrow"/>
                <w:color w:val="000000"/>
                <w:lang w:val="es-ES" w:eastAsia="es-ES"/>
              </w:rPr>
              <w:t>3.8</w:t>
            </w:r>
            <w:r w:rsidR="007B1F25">
              <w:rPr>
                <w:rFonts w:ascii="Arial Narrow" w:hAnsi="Arial Narrow"/>
                <w:color w:val="000000"/>
                <w:lang w:val="es-ES" w:eastAsia="es-ES"/>
              </w:rPr>
              <w:t>64</w:t>
            </w:r>
            <w:r w:rsidR="00092097">
              <w:rPr>
                <w:rFonts w:ascii="Arial Narrow" w:hAnsi="Arial Narrow"/>
                <w:color w:val="000000"/>
                <w:lang w:val="es-ES" w:eastAsia="es-ES"/>
              </w:rPr>
              <w:t>.253</w:t>
            </w:r>
          </w:p>
        </w:tc>
        <w:tc>
          <w:tcPr>
            <w:tcW w:w="1024" w:type="dxa"/>
            <w:tcBorders>
              <w:top w:val="single" w:sz="2" w:space="0" w:color="auto"/>
              <w:left w:val="nil"/>
              <w:bottom w:val="single" w:sz="4" w:space="0" w:color="auto"/>
              <w:right w:val="nil"/>
            </w:tcBorders>
            <w:shd w:val="clear" w:color="auto" w:fill="auto"/>
            <w:noWrap/>
            <w:vAlign w:val="center"/>
            <w:hideMark/>
          </w:tcPr>
          <w:p w:rsidR="00D9704A" w:rsidRPr="00D9704A" w:rsidRDefault="00D84D63" w:rsidP="00D9704A">
            <w:pPr>
              <w:spacing w:after="0"/>
              <w:ind w:firstLine="0"/>
              <w:jc w:val="right"/>
              <w:rPr>
                <w:rFonts w:ascii="Arial Narrow" w:hAnsi="Arial Narrow"/>
                <w:color w:val="000000"/>
                <w:lang w:val="es-ES" w:eastAsia="es-ES"/>
              </w:rPr>
            </w:pPr>
            <w:r>
              <w:rPr>
                <w:rFonts w:ascii="Arial Narrow" w:hAnsi="Arial Narrow"/>
                <w:color w:val="000000"/>
                <w:lang w:val="es-ES" w:eastAsia="es-ES"/>
              </w:rPr>
              <w:t>4</w:t>
            </w:r>
          </w:p>
        </w:tc>
      </w:tr>
    </w:tbl>
    <w:p w:rsidR="00D9704A" w:rsidRPr="00D14FF4" w:rsidRDefault="003C3AD4" w:rsidP="003C3AD4">
      <w:pPr>
        <w:pStyle w:val="Prrafodelista"/>
        <w:spacing w:before="60"/>
        <w:ind w:left="0" w:firstLine="0"/>
        <w:rPr>
          <w:rFonts w:ascii="Arial Narrow" w:hAnsi="Arial Narrow" w:cs="Arial"/>
          <w:sz w:val="18"/>
          <w:szCs w:val="18"/>
        </w:rPr>
      </w:pPr>
      <w:r w:rsidRPr="00D14FF4">
        <w:rPr>
          <w:rFonts w:ascii="Arial Narrow" w:hAnsi="Arial Narrow" w:cs="Arial"/>
          <w:sz w:val="18"/>
          <w:szCs w:val="18"/>
          <w:vertAlign w:val="superscript"/>
        </w:rPr>
        <w:t xml:space="preserve">(1) </w:t>
      </w:r>
      <w:r w:rsidR="00000DD3" w:rsidRPr="00D14FF4">
        <w:rPr>
          <w:rFonts w:ascii="Arial Narrow" w:hAnsi="Arial Narrow" w:cs="Arial"/>
          <w:sz w:val="18"/>
          <w:szCs w:val="18"/>
        </w:rPr>
        <w:t>A coste amortizado</w:t>
      </w:r>
    </w:p>
    <w:p w:rsidR="0011458F" w:rsidRDefault="0011458F" w:rsidP="003C3AD4">
      <w:pPr>
        <w:pStyle w:val="texto"/>
        <w:rPr>
          <w:rFonts w:ascii="Times New (W1)" w:hAnsi="Times New (W1)"/>
        </w:rPr>
      </w:pPr>
    </w:p>
    <w:p w:rsidR="0011458F" w:rsidRDefault="0011458F" w:rsidP="003C3AD4">
      <w:pPr>
        <w:pStyle w:val="texto"/>
        <w:rPr>
          <w:rFonts w:ascii="Times New (W1)" w:hAnsi="Times New (W1)"/>
        </w:rPr>
      </w:pPr>
    </w:p>
    <w:p w:rsidR="00A92B85" w:rsidRPr="00A92B85" w:rsidRDefault="00A92B85" w:rsidP="003C3AD4">
      <w:pPr>
        <w:pStyle w:val="texto"/>
        <w:rPr>
          <w:rFonts w:ascii="Times New (W1)" w:hAnsi="Times New (W1)"/>
        </w:rPr>
      </w:pPr>
      <w:r w:rsidRPr="00A92B85">
        <w:rPr>
          <w:rFonts w:ascii="Times New (W1)" w:hAnsi="Times New (W1)"/>
        </w:rPr>
        <w:lastRenderedPageBreak/>
        <w:t>De esta evolución destacamos:</w:t>
      </w:r>
    </w:p>
    <w:p w:rsidR="002712B3" w:rsidRDefault="00A92B85" w:rsidP="00156E70">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89"/>
      </w:pPr>
      <w:r w:rsidRPr="00A92B85">
        <w:t>En 201</w:t>
      </w:r>
      <w:r w:rsidR="00DC70D5">
        <w:t>5</w:t>
      </w:r>
      <w:r w:rsidRPr="00A92B85">
        <w:t xml:space="preserve">, los gastos totales han aumentado el </w:t>
      </w:r>
      <w:r w:rsidR="00DC70D5">
        <w:t>tres</w:t>
      </w:r>
      <w:r w:rsidRPr="00A92B85">
        <w:t xml:space="preserve"> por ciento respecto a 201</w:t>
      </w:r>
      <w:r w:rsidR="00DC70D5">
        <w:t>4</w:t>
      </w:r>
      <w:r w:rsidRPr="00A92B85">
        <w:t xml:space="preserve">. Atendiendo a su naturaleza, </w:t>
      </w:r>
      <w:r w:rsidR="00DC70D5">
        <w:t>los corrientes se han incrementado en un cinco por ciento, en tanto que los de capital y de operaciones financieras se han reducido en un cuatro y seis por ciento, respectivamente.</w:t>
      </w:r>
    </w:p>
    <w:p w:rsidR="00DC70D5" w:rsidRDefault="00A92B85" w:rsidP="00156E70">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89"/>
      </w:pPr>
      <w:r w:rsidRPr="00A92B85">
        <w:t>Los ingresos totales de 201</w:t>
      </w:r>
      <w:r w:rsidR="00DC70D5">
        <w:t>5</w:t>
      </w:r>
      <w:r w:rsidRPr="00A92B85">
        <w:t xml:space="preserve"> han aumentado respecto a los de 201</w:t>
      </w:r>
      <w:r w:rsidR="00DC70D5">
        <w:t>4</w:t>
      </w:r>
      <w:r w:rsidRPr="00A92B85">
        <w:t xml:space="preserve"> en un </w:t>
      </w:r>
      <w:r w:rsidR="00DC70D5">
        <w:t>uno por ciento</w:t>
      </w:r>
      <w:r w:rsidRPr="00A92B85">
        <w:t>. Los ingresos</w:t>
      </w:r>
      <w:r w:rsidR="00DC70D5">
        <w:t xml:space="preserve"> tributarios se han incrementado en un tres por ciento, reduciéndose los de capital y de operaciones financieras en un 13 y nueve por ciento, respectivamente.</w:t>
      </w:r>
    </w:p>
    <w:p w:rsidR="00DC70D5" w:rsidRDefault="00A92B85" w:rsidP="00156E70">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89"/>
      </w:pPr>
      <w:r w:rsidRPr="00A92B85">
        <w:t xml:space="preserve"> </w:t>
      </w:r>
      <w:r w:rsidRPr="00665D58">
        <w:t>En ambos ejercicios, los ingresos tributarios solo permiten financiar el v</w:t>
      </w:r>
      <w:r w:rsidRPr="00665D58">
        <w:t>o</w:t>
      </w:r>
      <w:r w:rsidRPr="00665D58">
        <w:t>lumen de gasto corriente de la administración.</w:t>
      </w:r>
    </w:p>
    <w:p w:rsidR="00DC70D5" w:rsidRDefault="00A92B85" w:rsidP="00156E70">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89"/>
      </w:pPr>
      <w:r w:rsidRPr="00A92B85">
        <w:t>La recaudación tributaria líquida</w:t>
      </w:r>
      <w:r w:rsidRPr="00E21CB3">
        <w:rPr>
          <w:vertAlign w:val="superscript"/>
        </w:rPr>
        <w:footnoteReference w:id="5"/>
      </w:r>
      <w:r w:rsidRPr="00A92B85">
        <w:t xml:space="preserve"> se ha </w:t>
      </w:r>
      <w:r w:rsidR="00DC70D5">
        <w:t>incrementado en un seis por ciento</w:t>
      </w:r>
      <w:r w:rsidRPr="00A92B85">
        <w:t xml:space="preserve">, </w:t>
      </w:r>
      <w:r w:rsidR="00BA53CB">
        <w:t>fijándose su peso relativo sobre el PIB de Navarra en un 17 por ciento.</w:t>
      </w:r>
      <w:r w:rsidRPr="00A92B85">
        <w:t xml:space="preserve"> </w:t>
      </w:r>
    </w:p>
    <w:p w:rsidR="00DC70D5" w:rsidRDefault="00A92B85" w:rsidP="00156E70">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89"/>
      </w:pPr>
      <w:r w:rsidRPr="00A92B85">
        <w:t xml:space="preserve">El saldo presupuestario no financiero </w:t>
      </w:r>
      <w:r w:rsidR="00DC70D5">
        <w:t>de 2015 ha sido negativo en 163,22 millones, incrementado su valor negativo respecto a 2014 en un 57 por ciento.</w:t>
      </w:r>
    </w:p>
    <w:p w:rsidR="00A92B85" w:rsidRDefault="00A92B85" w:rsidP="008E1787">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0"/>
        <w:ind w:left="0" w:firstLine="289"/>
      </w:pPr>
      <w:r w:rsidRPr="00A92B85">
        <w:t>El remanente de tesorería para gastos generales de 201</w:t>
      </w:r>
      <w:r w:rsidR="00DC70D5">
        <w:t>5</w:t>
      </w:r>
      <w:r w:rsidRPr="00A92B85">
        <w:t xml:space="preserve"> es negativo en 2</w:t>
      </w:r>
      <w:r w:rsidR="004319FA">
        <w:t>38,10 millones, es decir, ha aumentado dicho valor negativo sobre 2014 en un 29 por ciento.</w:t>
      </w:r>
      <w:r w:rsidRPr="00A92B85">
        <w:t xml:space="preserve"> La evolución de esta magnitud en el periodo de 2008 a 201</w:t>
      </w:r>
      <w:r w:rsidR="00BA0B67">
        <w:t>5</w:t>
      </w:r>
      <w:r w:rsidRPr="00A92B85">
        <w:t xml:space="preserve"> se muestra en el cuadro</w:t>
      </w:r>
      <w:r w:rsidR="00BA2452">
        <w:t xml:space="preserve"> siguiente:</w:t>
      </w:r>
    </w:p>
    <w:p w:rsidR="008E1787" w:rsidRPr="0011458F" w:rsidRDefault="008E1787" w:rsidP="008E1787">
      <w:pPr>
        <w:pStyle w:val="texto"/>
        <w:tabs>
          <w:tab w:val="clear" w:pos="2835"/>
          <w:tab w:val="clear" w:pos="3969"/>
          <w:tab w:val="left" w:pos="480"/>
          <w:tab w:val="num" w:pos="4920"/>
        </w:tabs>
        <w:spacing w:after="40"/>
        <w:jc w:val="right"/>
        <w:rPr>
          <w:rFonts w:ascii="Arial Narrow" w:hAnsi="Arial Narrow"/>
          <w:sz w:val="16"/>
          <w:szCs w:val="16"/>
          <w:lang w:val="es-ES"/>
        </w:rPr>
      </w:pPr>
      <w:r w:rsidRPr="0011458F">
        <w:rPr>
          <w:rFonts w:ascii="Arial Narrow" w:hAnsi="Arial Narrow"/>
          <w:sz w:val="16"/>
          <w:szCs w:val="16"/>
          <w:lang w:val="es-ES"/>
        </w:rPr>
        <w:t>(Miles de euros)</w:t>
      </w:r>
    </w:p>
    <w:tbl>
      <w:tblPr>
        <w:tblW w:w="8788" w:type="dxa"/>
        <w:tblInd w:w="70" w:type="dxa"/>
        <w:tblBorders>
          <w:top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1843"/>
        <w:gridCol w:w="994"/>
        <w:gridCol w:w="848"/>
        <w:gridCol w:w="851"/>
        <w:gridCol w:w="850"/>
        <w:gridCol w:w="851"/>
        <w:gridCol w:w="850"/>
        <w:gridCol w:w="851"/>
        <w:gridCol w:w="850"/>
      </w:tblGrid>
      <w:tr w:rsidR="007308F5" w:rsidRPr="003C3AD4" w:rsidTr="00156E70">
        <w:trPr>
          <w:trHeight w:val="340"/>
        </w:trPr>
        <w:tc>
          <w:tcPr>
            <w:tcW w:w="1843" w:type="dxa"/>
            <w:shd w:val="clear" w:color="auto" w:fill="A8CBEE" w:themeFill="accent2" w:themeFillTint="66"/>
            <w:noWrap/>
            <w:vAlign w:val="center"/>
          </w:tcPr>
          <w:p w:rsidR="007308F5" w:rsidRPr="003C3AD4" w:rsidRDefault="004750A1" w:rsidP="003C3AD4">
            <w:pPr>
              <w:pStyle w:val="cuadroCabe"/>
              <w:jc w:val="left"/>
              <w:rPr>
                <w:rFonts w:cs="Arial"/>
                <w:sz w:val="16"/>
                <w:szCs w:val="16"/>
              </w:rPr>
            </w:pPr>
            <w:r w:rsidRPr="003C3AD4">
              <w:rPr>
                <w:rFonts w:cs="Arial"/>
                <w:sz w:val="16"/>
                <w:szCs w:val="16"/>
              </w:rPr>
              <w:t>Magnitud</w:t>
            </w:r>
          </w:p>
        </w:tc>
        <w:tc>
          <w:tcPr>
            <w:tcW w:w="994" w:type="dxa"/>
            <w:shd w:val="clear" w:color="auto" w:fill="A8CBEE" w:themeFill="accent2" w:themeFillTint="66"/>
            <w:noWrap/>
            <w:vAlign w:val="center"/>
          </w:tcPr>
          <w:p w:rsidR="007308F5" w:rsidRPr="003C3AD4" w:rsidRDefault="007308F5" w:rsidP="003C3AD4">
            <w:pPr>
              <w:pStyle w:val="cuadroCabe"/>
              <w:jc w:val="right"/>
              <w:rPr>
                <w:rFonts w:cs="Arial"/>
                <w:sz w:val="16"/>
                <w:szCs w:val="16"/>
              </w:rPr>
            </w:pPr>
            <w:r w:rsidRPr="003C3AD4">
              <w:rPr>
                <w:rFonts w:cs="Arial"/>
                <w:sz w:val="16"/>
                <w:szCs w:val="16"/>
              </w:rPr>
              <w:t>2008</w:t>
            </w:r>
          </w:p>
        </w:tc>
        <w:tc>
          <w:tcPr>
            <w:tcW w:w="848" w:type="dxa"/>
            <w:shd w:val="clear" w:color="auto" w:fill="A8CBEE" w:themeFill="accent2" w:themeFillTint="66"/>
            <w:noWrap/>
            <w:vAlign w:val="center"/>
          </w:tcPr>
          <w:p w:rsidR="007308F5" w:rsidRPr="003C3AD4" w:rsidRDefault="007308F5" w:rsidP="003C3AD4">
            <w:pPr>
              <w:pStyle w:val="cuadroCabe"/>
              <w:jc w:val="right"/>
              <w:rPr>
                <w:rFonts w:cs="Arial"/>
                <w:sz w:val="16"/>
                <w:szCs w:val="16"/>
              </w:rPr>
            </w:pPr>
            <w:r w:rsidRPr="003C3AD4">
              <w:rPr>
                <w:rFonts w:cs="Arial"/>
                <w:sz w:val="16"/>
                <w:szCs w:val="16"/>
              </w:rPr>
              <w:t>2009</w:t>
            </w:r>
          </w:p>
        </w:tc>
        <w:tc>
          <w:tcPr>
            <w:tcW w:w="851" w:type="dxa"/>
            <w:shd w:val="clear" w:color="auto" w:fill="A8CBEE" w:themeFill="accent2" w:themeFillTint="66"/>
            <w:noWrap/>
            <w:vAlign w:val="center"/>
          </w:tcPr>
          <w:p w:rsidR="007308F5" w:rsidRPr="003C3AD4" w:rsidRDefault="007308F5" w:rsidP="003C3AD4">
            <w:pPr>
              <w:pStyle w:val="cuadroCabe"/>
              <w:jc w:val="right"/>
              <w:rPr>
                <w:rFonts w:cs="Arial"/>
                <w:sz w:val="16"/>
                <w:szCs w:val="16"/>
              </w:rPr>
            </w:pPr>
            <w:r w:rsidRPr="003C3AD4">
              <w:rPr>
                <w:rFonts w:cs="Arial"/>
                <w:sz w:val="16"/>
                <w:szCs w:val="16"/>
              </w:rPr>
              <w:t>2010</w:t>
            </w:r>
          </w:p>
        </w:tc>
        <w:tc>
          <w:tcPr>
            <w:tcW w:w="850" w:type="dxa"/>
            <w:shd w:val="clear" w:color="auto" w:fill="A8CBEE" w:themeFill="accent2" w:themeFillTint="66"/>
            <w:noWrap/>
            <w:vAlign w:val="center"/>
          </w:tcPr>
          <w:p w:rsidR="007308F5" w:rsidRPr="003C3AD4" w:rsidRDefault="007308F5" w:rsidP="003C3AD4">
            <w:pPr>
              <w:pStyle w:val="cuadroCabe"/>
              <w:jc w:val="right"/>
              <w:rPr>
                <w:rFonts w:cs="Arial"/>
                <w:sz w:val="16"/>
                <w:szCs w:val="16"/>
              </w:rPr>
            </w:pPr>
            <w:r w:rsidRPr="003C3AD4">
              <w:rPr>
                <w:rFonts w:cs="Arial"/>
                <w:sz w:val="16"/>
                <w:szCs w:val="16"/>
              </w:rPr>
              <w:t>2011</w:t>
            </w:r>
          </w:p>
        </w:tc>
        <w:tc>
          <w:tcPr>
            <w:tcW w:w="851" w:type="dxa"/>
            <w:shd w:val="clear" w:color="auto" w:fill="A8CBEE" w:themeFill="accent2" w:themeFillTint="66"/>
            <w:vAlign w:val="center"/>
          </w:tcPr>
          <w:p w:rsidR="007308F5" w:rsidRPr="003C3AD4" w:rsidRDefault="007308F5" w:rsidP="003C3AD4">
            <w:pPr>
              <w:pStyle w:val="cuadroCabe"/>
              <w:jc w:val="right"/>
              <w:rPr>
                <w:rFonts w:cs="Arial"/>
                <w:sz w:val="16"/>
                <w:szCs w:val="16"/>
              </w:rPr>
            </w:pPr>
            <w:r w:rsidRPr="003C3AD4">
              <w:rPr>
                <w:rFonts w:cs="Arial"/>
                <w:sz w:val="16"/>
                <w:szCs w:val="16"/>
              </w:rPr>
              <w:t>2012</w:t>
            </w:r>
          </w:p>
        </w:tc>
        <w:tc>
          <w:tcPr>
            <w:tcW w:w="850" w:type="dxa"/>
            <w:shd w:val="clear" w:color="auto" w:fill="A8CBEE" w:themeFill="accent2" w:themeFillTint="66"/>
            <w:vAlign w:val="center"/>
          </w:tcPr>
          <w:p w:rsidR="007308F5" w:rsidRPr="003C3AD4" w:rsidRDefault="007308F5" w:rsidP="003C3AD4">
            <w:pPr>
              <w:pStyle w:val="cuadroCabe"/>
              <w:jc w:val="right"/>
              <w:rPr>
                <w:rFonts w:cs="Arial"/>
                <w:sz w:val="16"/>
                <w:szCs w:val="16"/>
              </w:rPr>
            </w:pPr>
            <w:r w:rsidRPr="003C3AD4">
              <w:rPr>
                <w:rFonts w:cs="Arial"/>
                <w:sz w:val="16"/>
                <w:szCs w:val="16"/>
              </w:rPr>
              <w:t>2013</w:t>
            </w:r>
          </w:p>
        </w:tc>
        <w:tc>
          <w:tcPr>
            <w:tcW w:w="851" w:type="dxa"/>
            <w:shd w:val="clear" w:color="auto" w:fill="A8CBEE" w:themeFill="accent2" w:themeFillTint="66"/>
            <w:vAlign w:val="center"/>
          </w:tcPr>
          <w:p w:rsidR="007308F5" w:rsidRPr="003C3AD4" w:rsidRDefault="007308F5" w:rsidP="003C3AD4">
            <w:pPr>
              <w:pStyle w:val="cuadroCabe"/>
              <w:jc w:val="right"/>
              <w:rPr>
                <w:rFonts w:cs="Arial"/>
                <w:sz w:val="16"/>
                <w:szCs w:val="16"/>
              </w:rPr>
            </w:pPr>
            <w:r w:rsidRPr="003C3AD4">
              <w:rPr>
                <w:rFonts w:cs="Arial"/>
                <w:sz w:val="16"/>
                <w:szCs w:val="16"/>
              </w:rPr>
              <w:t>2014</w:t>
            </w:r>
          </w:p>
        </w:tc>
        <w:tc>
          <w:tcPr>
            <w:tcW w:w="850" w:type="dxa"/>
            <w:shd w:val="clear" w:color="auto" w:fill="A8CBEE" w:themeFill="accent2" w:themeFillTint="66"/>
            <w:vAlign w:val="center"/>
          </w:tcPr>
          <w:p w:rsidR="007308F5" w:rsidRPr="003C3AD4" w:rsidRDefault="007308F5" w:rsidP="003C3AD4">
            <w:pPr>
              <w:pStyle w:val="cuadroCabe"/>
              <w:jc w:val="right"/>
              <w:rPr>
                <w:rFonts w:cs="Arial"/>
                <w:sz w:val="16"/>
                <w:szCs w:val="16"/>
              </w:rPr>
            </w:pPr>
            <w:r w:rsidRPr="003C3AD4">
              <w:rPr>
                <w:rFonts w:cs="Arial"/>
                <w:sz w:val="16"/>
                <w:szCs w:val="16"/>
              </w:rPr>
              <w:t>2015</w:t>
            </w:r>
          </w:p>
        </w:tc>
      </w:tr>
      <w:tr w:rsidR="007308F5" w:rsidRPr="003C3AD4" w:rsidTr="003C3AD4">
        <w:trPr>
          <w:trHeight w:val="284"/>
        </w:trPr>
        <w:tc>
          <w:tcPr>
            <w:tcW w:w="1843" w:type="dxa"/>
            <w:shd w:val="clear" w:color="auto" w:fill="auto"/>
            <w:noWrap/>
            <w:vAlign w:val="center"/>
          </w:tcPr>
          <w:p w:rsidR="007308F5" w:rsidRPr="003C3AD4" w:rsidRDefault="007308F5" w:rsidP="003C3AD4">
            <w:pPr>
              <w:spacing w:after="0"/>
              <w:ind w:firstLine="0"/>
              <w:jc w:val="left"/>
              <w:rPr>
                <w:rFonts w:ascii="Arial Narrow" w:hAnsi="Arial Narrow" w:cs="Arial"/>
                <w:sz w:val="18"/>
                <w:szCs w:val="18"/>
                <w:lang w:val="es-ES" w:eastAsia="es-ES"/>
              </w:rPr>
            </w:pPr>
            <w:r w:rsidRPr="003C3AD4">
              <w:rPr>
                <w:rFonts w:ascii="Arial Narrow" w:hAnsi="Arial Narrow" w:cs="Arial"/>
                <w:sz w:val="18"/>
                <w:szCs w:val="18"/>
                <w:lang w:val="es-ES" w:eastAsia="es-ES"/>
              </w:rPr>
              <w:t xml:space="preserve">Remanente Tesorería </w:t>
            </w:r>
          </w:p>
          <w:p w:rsidR="007308F5" w:rsidRPr="003C3AD4" w:rsidRDefault="007308F5" w:rsidP="003C3AD4">
            <w:pPr>
              <w:spacing w:after="0"/>
              <w:ind w:firstLine="0"/>
              <w:jc w:val="left"/>
              <w:rPr>
                <w:rFonts w:ascii="Arial Narrow" w:hAnsi="Arial Narrow" w:cs="Arial"/>
                <w:sz w:val="18"/>
                <w:szCs w:val="18"/>
                <w:lang w:val="es-ES" w:eastAsia="es-ES"/>
              </w:rPr>
            </w:pPr>
            <w:r w:rsidRPr="003C3AD4">
              <w:rPr>
                <w:rFonts w:ascii="Arial Narrow" w:hAnsi="Arial Narrow" w:cs="Arial"/>
                <w:sz w:val="18"/>
                <w:szCs w:val="18"/>
                <w:lang w:val="es-ES" w:eastAsia="es-ES"/>
              </w:rPr>
              <w:t>gastos generales</w:t>
            </w:r>
          </w:p>
        </w:tc>
        <w:tc>
          <w:tcPr>
            <w:tcW w:w="994" w:type="dxa"/>
            <w:shd w:val="clear" w:color="auto" w:fill="auto"/>
            <w:noWrap/>
            <w:vAlign w:val="center"/>
          </w:tcPr>
          <w:p w:rsidR="007308F5" w:rsidRPr="003C3AD4" w:rsidRDefault="007308F5" w:rsidP="003C3AD4">
            <w:pPr>
              <w:spacing w:after="0"/>
              <w:ind w:firstLine="0"/>
              <w:jc w:val="right"/>
              <w:rPr>
                <w:rFonts w:ascii="Arial Narrow" w:hAnsi="Arial Narrow" w:cs="Arial"/>
                <w:sz w:val="18"/>
                <w:szCs w:val="18"/>
                <w:lang w:val="es-ES" w:eastAsia="es-ES"/>
              </w:rPr>
            </w:pPr>
            <w:r w:rsidRPr="003C3AD4">
              <w:rPr>
                <w:rFonts w:ascii="Arial Narrow" w:hAnsi="Arial Narrow" w:cs="Arial"/>
                <w:sz w:val="18"/>
                <w:szCs w:val="18"/>
                <w:lang w:val="es-ES" w:eastAsia="es-ES"/>
              </w:rPr>
              <w:t>100.504</w:t>
            </w:r>
          </w:p>
        </w:tc>
        <w:tc>
          <w:tcPr>
            <w:tcW w:w="848" w:type="dxa"/>
            <w:shd w:val="clear" w:color="auto" w:fill="auto"/>
            <w:noWrap/>
            <w:vAlign w:val="center"/>
          </w:tcPr>
          <w:p w:rsidR="007308F5" w:rsidRPr="003C3AD4" w:rsidRDefault="007308F5" w:rsidP="003C3AD4">
            <w:pPr>
              <w:spacing w:after="0"/>
              <w:ind w:firstLine="0"/>
              <w:jc w:val="right"/>
              <w:rPr>
                <w:rFonts w:ascii="Arial Narrow" w:hAnsi="Arial Narrow" w:cs="Arial"/>
                <w:sz w:val="18"/>
                <w:szCs w:val="18"/>
                <w:lang w:val="es-ES" w:eastAsia="es-ES"/>
              </w:rPr>
            </w:pPr>
            <w:r w:rsidRPr="003C3AD4">
              <w:rPr>
                <w:rFonts w:ascii="Arial Narrow" w:hAnsi="Arial Narrow" w:cs="Arial"/>
                <w:sz w:val="18"/>
                <w:szCs w:val="18"/>
                <w:lang w:val="es-ES" w:eastAsia="es-ES"/>
              </w:rPr>
              <w:t>-147.161</w:t>
            </w:r>
          </w:p>
        </w:tc>
        <w:tc>
          <w:tcPr>
            <w:tcW w:w="851" w:type="dxa"/>
            <w:shd w:val="clear" w:color="auto" w:fill="auto"/>
            <w:noWrap/>
            <w:vAlign w:val="center"/>
          </w:tcPr>
          <w:p w:rsidR="007308F5" w:rsidRPr="003C3AD4" w:rsidRDefault="007308F5" w:rsidP="003C3AD4">
            <w:pPr>
              <w:spacing w:after="0"/>
              <w:ind w:firstLine="0"/>
              <w:jc w:val="right"/>
              <w:rPr>
                <w:rFonts w:ascii="Arial Narrow" w:hAnsi="Arial Narrow" w:cs="Arial"/>
                <w:sz w:val="18"/>
                <w:szCs w:val="18"/>
                <w:lang w:val="es-ES" w:eastAsia="es-ES"/>
              </w:rPr>
            </w:pPr>
            <w:r w:rsidRPr="003C3AD4">
              <w:rPr>
                <w:rFonts w:ascii="Arial Narrow" w:hAnsi="Arial Narrow" w:cs="Arial"/>
                <w:sz w:val="18"/>
                <w:szCs w:val="18"/>
                <w:lang w:val="es-ES" w:eastAsia="es-ES"/>
              </w:rPr>
              <w:t>-126.369</w:t>
            </w:r>
          </w:p>
        </w:tc>
        <w:tc>
          <w:tcPr>
            <w:tcW w:w="850" w:type="dxa"/>
            <w:shd w:val="clear" w:color="auto" w:fill="auto"/>
            <w:noWrap/>
            <w:vAlign w:val="center"/>
          </w:tcPr>
          <w:p w:rsidR="007308F5" w:rsidRPr="003C3AD4" w:rsidRDefault="007308F5" w:rsidP="003C3AD4">
            <w:pPr>
              <w:spacing w:after="0"/>
              <w:ind w:firstLine="0"/>
              <w:jc w:val="right"/>
              <w:rPr>
                <w:rFonts w:ascii="Arial Narrow" w:hAnsi="Arial Narrow" w:cs="Arial"/>
                <w:sz w:val="18"/>
                <w:szCs w:val="18"/>
                <w:lang w:val="es-ES" w:eastAsia="es-ES"/>
              </w:rPr>
            </w:pPr>
            <w:r w:rsidRPr="003C3AD4">
              <w:rPr>
                <w:rFonts w:ascii="Arial Narrow" w:hAnsi="Arial Narrow" w:cs="Arial"/>
                <w:sz w:val="18"/>
                <w:szCs w:val="18"/>
                <w:lang w:val="es-ES" w:eastAsia="es-ES"/>
              </w:rPr>
              <w:t>-174.939</w:t>
            </w:r>
          </w:p>
        </w:tc>
        <w:tc>
          <w:tcPr>
            <w:tcW w:w="851" w:type="dxa"/>
            <w:vAlign w:val="center"/>
          </w:tcPr>
          <w:p w:rsidR="007308F5" w:rsidRPr="003C3AD4" w:rsidRDefault="007308F5" w:rsidP="003C3AD4">
            <w:pPr>
              <w:spacing w:after="0"/>
              <w:ind w:firstLine="0"/>
              <w:jc w:val="right"/>
              <w:rPr>
                <w:rFonts w:ascii="Arial Narrow" w:hAnsi="Arial Narrow" w:cs="Arial"/>
                <w:sz w:val="18"/>
                <w:szCs w:val="18"/>
                <w:lang w:val="es-ES" w:eastAsia="es-ES"/>
              </w:rPr>
            </w:pPr>
            <w:r w:rsidRPr="003C3AD4">
              <w:rPr>
                <w:rFonts w:ascii="Arial Narrow" w:hAnsi="Arial Narrow" w:cs="Arial"/>
                <w:sz w:val="18"/>
                <w:szCs w:val="18"/>
                <w:lang w:val="es-ES" w:eastAsia="es-ES"/>
              </w:rPr>
              <w:t>-239.750</w:t>
            </w:r>
          </w:p>
        </w:tc>
        <w:tc>
          <w:tcPr>
            <w:tcW w:w="850" w:type="dxa"/>
            <w:vAlign w:val="center"/>
          </w:tcPr>
          <w:p w:rsidR="007308F5" w:rsidRPr="003C3AD4" w:rsidRDefault="007308F5" w:rsidP="003C3AD4">
            <w:pPr>
              <w:spacing w:after="0"/>
              <w:ind w:firstLine="0"/>
              <w:jc w:val="right"/>
              <w:rPr>
                <w:rFonts w:ascii="Arial Narrow" w:hAnsi="Arial Narrow" w:cs="Arial"/>
                <w:sz w:val="18"/>
                <w:szCs w:val="18"/>
                <w:lang w:val="es-ES" w:eastAsia="es-ES"/>
              </w:rPr>
            </w:pPr>
            <w:r w:rsidRPr="003C3AD4">
              <w:rPr>
                <w:rFonts w:ascii="Arial Narrow" w:hAnsi="Arial Narrow" w:cs="Arial"/>
                <w:sz w:val="18"/>
                <w:szCs w:val="18"/>
                <w:lang w:val="es-ES" w:eastAsia="es-ES"/>
              </w:rPr>
              <w:t>-221.192</w:t>
            </w:r>
          </w:p>
        </w:tc>
        <w:tc>
          <w:tcPr>
            <w:tcW w:w="851" w:type="dxa"/>
            <w:vAlign w:val="center"/>
          </w:tcPr>
          <w:p w:rsidR="007308F5" w:rsidRPr="003C3AD4" w:rsidRDefault="007308F5" w:rsidP="003C3AD4">
            <w:pPr>
              <w:spacing w:after="0"/>
              <w:ind w:firstLine="0"/>
              <w:jc w:val="right"/>
              <w:rPr>
                <w:rFonts w:ascii="Arial Narrow" w:hAnsi="Arial Narrow"/>
                <w:color w:val="000000"/>
                <w:sz w:val="18"/>
                <w:szCs w:val="18"/>
                <w:lang w:val="es-ES" w:eastAsia="es-ES"/>
              </w:rPr>
            </w:pPr>
            <w:r w:rsidRPr="003C3AD4">
              <w:rPr>
                <w:rFonts w:ascii="Arial Narrow" w:hAnsi="Arial Narrow"/>
                <w:color w:val="000000"/>
                <w:sz w:val="18"/>
                <w:szCs w:val="18"/>
                <w:lang w:val="es-ES" w:eastAsia="es-ES"/>
              </w:rPr>
              <w:t>-184.088</w:t>
            </w:r>
          </w:p>
        </w:tc>
        <w:tc>
          <w:tcPr>
            <w:tcW w:w="850" w:type="dxa"/>
            <w:vAlign w:val="center"/>
          </w:tcPr>
          <w:p w:rsidR="007308F5" w:rsidRPr="003C3AD4" w:rsidRDefault="007308F5" w:rsidP="003C3AD4">
            <w:pPr>
              <w:spacing w:after="0"/>
              <w:ind w:firstLine="0"/>
              <w:jc w:val="right"/>
              <w:rPr>
                <w:rFonts w:ascii="Arial Narrow" w:hAnsi="Arial Narrow"/>
                <w:color w:val="000000"/>
                <w:sz w:val="18"/>
                <w:szCs w:val="18"/>
                <w:lang w:val="es-ES" w:eastAsia="es-ES"/>
              </w:rPr>
            </w:pPr>
            <w:r w:rsidRPr="003C3AD4">
              <w:rPr>
                <w:rFonts w:ascii="Arial Narrow" w:hAnsi="Arial Narrow"/>
                <w:color w:val="000000"/>
                <w:sz w:val="18"/>
                <w:szCs w:val="18"/>
                <w:lang w:val="es-ES" w:eastAsia="es-ES"/>
              </w:rPr>
              <w:t>-238.100</w:t>
            </w:r>
          </w:p>
        </w:tc>
      </w:tr>
    </w:tbl>
    <w:p w:rsidR="006716F0" w:rsidRDefault="006716F0" w:rsidP="006716F0">
      <w:pPr>
        <w:pStyle w:val="texto"/>
      </w:pPr>
    </w:p>
    <w:p w:rsidR="006716F0" w:rsidRDefault="00A92B85" w:rsidP="006716F0">
      <w:pPr>
        <w:pStyle w:val="texto"/>
      </w:pPr>
      <w:r w:rsidRPr="00A92B85">
        <w:t>Es decir, desde el inicio de la crisis</w:t>
      </w:r>
      <w:r w:rsidR="002F2DA7">
        <w:t xml:space="preserve"> económica</w:t>
      </w:r>
      <w:r w:rsidRPr="00A92B85">
        <w:t>, esta magnitud es negativ</w:t>
      </w:r>
      <w:r w:rsidR="006716F0">
        <w:t xml:space="preserve">a, lo que pone de relieve </w:t>
      </w:r>
      <w:r w:rsidRPr="00A92B85">
        <w:t>un déficit real de tesorería</w:t>
      </w:r>
      <w:r w:rsidR="006716F0">
        <w:t xml:space="preserve"> que implica que los gastos de un ejercicio son financiados con recursos del siguiente. </w:t>
      </w:r>
    </w:p>
    <w:p w:rsidR="00A92B85" w:rsidRDefault="006716F0" w:rsidP="006716F0">
      <w:pPr>
        <w:pStyle w:val="texto"/>
      </w:pPr>
      <w:r>
        <w:t>Por otra parte, la LFHP no contempla mecanismos legales para solventar esta situación de remanentes negativos.</w:t>
      </w:r>
      <w:r w:rsidR="00A92B85" w:rsidRPr="00A92B85">
        <w:t xml:space="preserve"> </w:t>
      </w:r>
    </w:p>
    <w:p w:rsidR="00922EFF" w:rsidRPr="000C0828" w:rsidRDefault="00BA2452" w:rsidP="00A92B85">
      <w:pPr>
        <w:pStyle w:val="texto"/>
        <w:tabs>
          <w:tab w:val="num" w:pos="4920"/>
        </w:tabs>
        <w:rPr>
          <w:i/>
        </w:rPr>
      </w:pPr>
      <w:r>
        <w:rPr>
          <w:i/>
        </w:rPr>
        <w:t>Recomendamos que se regule o se adopten las medidas precisas</w:t>
      </w:r>
      <w:r w:rsidR="00922EFF" w:rsidRPr="000C0828">
        <w:rPr>
          <w:i/>
        </w:rPr>
        <w:t xml:space="preserve"> para fina</w:t>
      </w:r>
      <w:r w:rsidR="00922EFF" w:rsidRPr="000C0828">
        <w:rPr>
          <w:i/>
        </w:rPr>
        <w:t>n</w:t>
      </w:r>
      <w:r w:rsidR="00922EFF" w:rsidRPr="000C0828">
        <w:rPr>
          <w:i/>
        </w:rPr>
        <w:t>ciar tal remanente negativo.</w:t>
      </w:r>
    </w:p>
    <w:p w:rsidR="00156E70" w:rsidRDefault="007308F5" w:rsidP="006716F0">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120"/>
        <w:ind w:left="0" w:firstLine="289"/>
      </w:pPr>
      <w:r>
        <w:t>E</w:t>
      </w:r>
      <w:r w:rsidR="00A92B85" w:rsidRPr="00A92B85">
        <w:t>l ahorro bruto</w:t>
      </w:r>
      <w:r w:rsidR="00A92B85" w:rsidRPr="001D02D9">
        <w:rPr>
          <w:rStyle w:val="Refdenotaalpie"/>
          <w:rFonts w:ascii="Times New (W1)" w:hAnsi="Times New (W1)"/>
          <w:spacing w:val="0"/>
        </w:rPr>
        <w:footnoteReference w:id="6"/>
      </w:r>
      <w:r w:rsidR="00A92B85" w:rsidRPr="001D02D9">
        <w:rPr>
          <w:rStyle w:val="Refdenotaalpie"/>
          <w:rFonts w:ascii="Times New (W1)" w:hAnsi="Times New (W1)"/>
          <w:spacing w:val="0"/>
        </w:rPr>
        <w:t xml:space="preserve"> </w:t>
      </w:r>
      <w:r w:rsidR="00A92B85" w:rsidRPr="00A92B85">
        <w:t xml:space="preserve">se ha </w:t>
      </w:r>
      <w:r>
        <w:t xml:space="preserve">reducido en un </w:t>
      </w:r>
      <w:r w:rsidR="00C30833">
        <w:t>34</w:t>
      </w:r>
      <w:r>
        <w:t xml:space="preserve"> por ciento hasta alcanzar</w:t>
      </w:r>
      <w:r w:rsidR="00C30833">
        <w:t xml:space="preserve"> </w:t>
      </w:r>
      <w:r>
        <w:t xml:space="preserve">los </w:t>
      </w:r>
      <w:r w:rsidR="00C30833">
        <w:t>111,5 millones</w:t>
      </w:r>
      <w:r>
        <w:t>;</w:t>
      </w:r>
      <w:r w:rsidR="00A92B85" w:rsidRPr="00A92B85">
        <w:t xml:space="preserve"> es</w:t>
      </w:r>
      <w:r>
        <w:t>t</w:t>
      </w:r>
      <w:r w:rsidR="00A92B85" w:rsidRPr="00A92B85">
        <w:t>a cuantía es</w:t>
      </w:r>
      <w:r>
        <w:t xml:space="preserve"> claramente</w:t>
      </w:r>
      <w:r w:rsidR="00A92B85" w:rsidRPr="00A92B85">
        <w:t xml:space="preserve"> insuficiente para hacer frente a la carga f</w:t>
      </w:r>
      <w:r w:rsidR="00A92B85" w:rsidRPr="00A92B85">
        <w:t>i</w:t>
      </w:r>
      <w:r w:rsidR="00A92B85" w:rsidRPr="00A92B85">
        <w:lastRenderedPageBreak/>
        <w:t>nanciera del endeudamiento, generándose un ahorro neto</w:t>
      </w:r>
      <w:r w:rsidR="00A92B85" w:rsidRPr="001D02D9">
        <w:rPr>
          <w:rStyle w:val="Refdenotaalpie"/>
          <w:rFonts w:ascii="Times New (W1)" w:hAnsi="Times New (W1)"/>
          <w:spacing w:val="0"/>
        </w:rPr>
        <w:footnoteReference w:id="7"/>
      </w:r>
      <w:r w:rsidR="00A92B85" w:rsidRPr="00A92B85">
        <w:t xml:space="preserve"> negativo de </w:t>
      </w:r>
      <w:r w:rsidR="00C30833">
        <w:t>304,24</w:t>
      </w:r>
      <w:r>
        <w:t xml:space="preserve"> m</w:t>
      </w:r>
      <w:r w:rsidR="00A92B85" w:rsidRPr="00A92B85">
        <w:t>illones</w:t>
      </w:r>
      <w:r>
        <w:t xml:space="preserve">, un </w:t>
      </w:r>
      <w:r w:rsidR="00C30833">
        <w:t>31</w:t>
      </w:r>
      <w:r>
        <w:t xml:space="preserve"> por ciento más</w:t>
      </w:r>
      <w:r w:rsidR="00C30833">
        <w:t xml:space="preserve"> de valor negativo</w:t>
      </w:r>
      <w:r>
        <w:t xml:space="preserve"> que en 2014.</w:t>
      </w:r>
    </w:p>
    <w:p w:rsidR="007308F5" w:rsidRDefault="00A92B85" w:rsidP="001D02D9">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120"/>
        <w:ind w:left="0" w:firstLine="289"/>
      </w:pPr>
      <w:r w:rsidRPr="00A92B85">
        <w:t xml:space="preserve">El </w:t>
      </w:r>
      <w:r w:rsidRPr="00A8511A">
        <w:t>resultado del ejercicio</w:t>
      </w:r>
      <w:r w:rsidR="00922EFF">
        <w:t xml:space="preserve">, </w:t>
      </w:r>
      <w:r w:rsidRPr="00A92B85">
        <w:t xml:space="preserve">sigue siendo negativo (desahorro) en </w:t>
      </w:r>
      <w:r w:rsidR="007308F5">
        <w:t>149,91</w:t>
      </w:r>
      <w:r w:rsidRPr="00A92B85">
        <w:t xml:space="preserve"> m</w:t>
      </w:r>
      <w:r w:rsidRPr="00A92B85">
        <w:t>i</w:t>
      </w:r>
      <w:r w:rsidRPr="00A92B85">
        <w:t>llones,</w:t>
      </w:r>
      <w:r w:rsidR="007308F5">
        <w:t xml:space="preserve"> aumentado dicho valor negativo sobre 2014 en un 70 por c</w:t>
      </w:r>
      <w:r w:rsidR="00922EFF">
        <w:t>ie</w:t>
      </w:r>
      <w:r w:rsidR="007308F5">
        <w:t>nto.</w:t>
      </w:r>
      <w:r w:rsidRPr="00A92B85">
        <w:t xml:space="preserve"> </w:t>
      </w:r>
    </w:p>
    <w:p w:rsidR="00922EFF" w:rsidRDefault="00A92B85" w:rsidP="001D02D9">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120"/>
        <w:ind w:left="0" w:firstLine="289"/>
      </w:pPr>
      <w:r w:rsidRPr="00A8511A">
        <w:t>Fondos propios</w:t>
      </w:r>
      <w:r w:rsidRPr="00A92B85">
        <w:t>. Como consecuencia de l</w:t>
      </w:r>
      <w:r w:rsidR="007308F5">
        <w:t xml:space="preserve">os </w:t>
      </w:r>
      <w:r w:rsidRPr="00A92B85">
        <w:t>valores negativos de los resu</w:t>
      </w:r>
      <w:r w:rsidRPr="00A92B85">
        <w:t>l</w:t>
      </w:r>
      <w:r w:rsidRPr="00A92B85">
        <w:t>tados del ejercicio desde 2008, los fondos propios del Gobierno de Navarra presentan, en 201</w:t>
      </w:r>
      <w:r w:rsidR="007308F5">
        <w:t>5</w:t>
      </w:r>
      <w:r w:rsidRPr="00A92B85">
        <w:t>, un saldo negativo de</w:t>
      </w:r>
      <w:r w:rsidR="007308F5">
        <w:t xml:space="preserve"> 247,</w:t>
      </w:r>
      <w:r w:rsidR="00A8511A">
        <w:t>82</w:t>
      </w:r>
      <w:r w:rsidR="007308F5">
        <w:t xml:space="preserve"> millones</w:t>
      </w:r>
      <w:r w:rsidRPr="00A92B85">
        <w:t>.</w:t>
      </w:r>
      <w:r w:rsidR="00922EFF">
        <w:t xml:space="preserve"> Sobre 2014, se ha incrementado ese valor negativo en un 153 por ciento.</w:t>
      </w:r>
    </w:p>
    <w:p w:rsidR="00842614" w:rsidRPr="00D14FF4" w:rsidRDefault="00A92B85" w:rsidP="001D02D9">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120"/>
        <w:ind w:left="0" w:firstLine="289"/>
        <w:rPr>
          <w:spacing w:val="-4"/>
        </w:rPr>
      </w:pPr>
      <w:r w:rsidRPr="00D14FF4">
        <w:rPr>
          <w:spacing w:val="-4"/>
        </w:rPr>
        <w:t xml:space="preserve">La deuda </w:t>
      </w:r>
      <w:r w:rsidR="00791CA3" w:rsidRPr="00D14FF4">
        <w:rPr>
          <w:spacing w:val="-4"/>
        </w:rPr>
        <w:t xml:space="preserve">financiera </w:t>
      </w:r>
      <w:r w:rsidRPr="00D14FF4">
        <w:rPr>
          <w:spacing w:val="-4"/>
        </w:rPr>
        <w:t>del Gobierno de Navarra a 31 de diciembre de 201</w:t>
      </w:r>
      <w:r w:rsidR="00922EFF" w:rsidRPr="00D14FF4">
        <w:rPr>
          <w:spacing w:val="-4"/>
        </w:rPr>
        <w:t>5</w:t>
      </w:r>
      <w:r w:rsidRPr="00D14FF4">
        <w:rPr>
          <w:spacing w:val="-4"/>
        </w:rPr>
        <w:t xml:space="preserve"> asciende a 2.</w:t>
      </w:r>
      <w:r w:rsidR="00922EFF" w:rsidRPr="00D14FF4">
        <w:rPr>
          <w:spacing w:val="-4"/>
        </w:rPr>
        <w:t>898,86</w:t>
      </w:r>
      <w:r w:rsidRPr="00D14FF4">
        <w:rPr>
          <w:spacing w:val="-4"/>
        </w:rPr>
        <w:t xml:space="preserve"> millones</w:t>
      </w:r>
      <w:r w:rsidRPr="00D14FF4">
        <w:rPr>
          <w:rStyle w:val="Refdenotaalpie"/>
          <w:rFonts w:ascii="Times New (W1)" w:hAnsi="Times New (W1)"/>
          <w:spacing w:val="-4"/>
        </w:rPr>
        <w:footnoteReference w:id="8"/>
      </w:r>
      <w:r w:rsidRPr="00D14FF4">
        <w:rPr>
          <w:spacing w:val="-4"/>
        </w:rPr>
        <w:t xml:space="preserve">, un </w:t>
      </w:r>
      <w:r w:rsidR="00922EFF" w:rsidRPr="00D14FF4">
        <w:rPr>
          <w:spacing w:val="-4"/>
        </w:rPr>
        <w:t>cinco</w:t>
      </w:r>
      <w:r w:rsidRPr="00D14FF4">
        <w:rPr>
          <w:spacing w:val="-4"/>
        </w:rPr>
        <w:t xml:space="preserve"> por ciento más que el año anterior; el 12 por ciento de la misma tiene un vencimiento a corto plazo. Sobre los ingresos corrientes representa el 8</w:t>
      </w:r>
      <w:r w:rsidR="00922EFF" w:rsidRPr="00D14FF4">
        <w:rPr>
          <w:spacing w:val="-4"/>
        </w:rPr>
        <w:t>8</w:t>
      </w:r>
      <w:r w:rsidRPr="00D14FF4">
        <w:rPr>
          <w:spacing w:val="-4"/>
        </w:rPr>
        <w:t xml:space="preserve"> por ciento, </w:t>
      </w:r>
      <w:r w:rsidR="00922EFF" w:rsidRPr="00D14FF4">
        <w:rPr>
          <w:spacing w:val="-4"/>
        </w:rPr>
        <w:t>dos</w:t>
      </w:r>
      <w:r w:rsidRPr="00D14FF4">
        <w:rPr>
          <w:spacing w:val="-4"/>
        </w:rPr>
        <w:t xml:space="preserve"> puntos porcentuales más que el ejercicio anterior. </w:t>
      </w:r>
    </w:p>
    <w:p w:rsidR="00BE1433" w:rsidRDefault="00BE1433" w:rsidP="003C3AD4">
      <w:pPr>
        <w:pStyle w:val="texto"/>
        <w:tabs>
          <w:tab w:val="num" w:pos="4920"/>
        </w:tabs>
        <w:spacing w:after="240"/>
      </w:pPr>
      <w:r>
        <w:t>La evolución</w:t>
      </w:r>
      <w:r w:rsidR="004750A1">
        <w:t xml:space="preserve"> presupuestaria</w:t>
      </w:r>
      <w:r>
        <w:t xml:space="preserve"> de la deuda neta –deuda concertada menos de</w:t>
      </w:r>
      <w:r>
        <w:t>u</w:t>
      </w:r>
      <w:r>
        <w:t>da amortizada</w:t>
      </w:r>
      <w:r w:rsidR="003C3AD4">
        <w:t>–</w:t>
      </w:r>
      <w:r>
        <w:t xml:space="preserve"> por ejercicio</w:t>
      </w:r>
      <w:r w:rsidR="005E15C7">
        <w:t xml:space="preserve"> y</w:t>
      </w:r>
      <w:r>
        <w:t xml:space="preserve"> para el periodo de 2008 a 2015</w:t>
      </w:r>
      <w:r w:rsidR="005E15C7">
        <w:t>,</w:t>
      </w:r>
      <w:r>
        <w:t xml:space="preserve"> se refleja en el siguiente cuadro</w:t>
      </w:r>
      <w:r w:rsidR="003C3AD4">
        <w:t xml:space="preserve"> en millones de euros</w:t>
      </w:r>
      <w:r>
        <w:t>:</w:t>
      </w:r>
    </w:p>
    <w:tbl>
      <w:tblPr>
        <w:tblW w:w="8861" w:type="dxa"/>
        <w:jc w:val="center"/>
        <w:tblBorders>
          <w:top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1630"/>
        <w:gridCol w:w="994"/>
        <w:gridCol w:w="992"/>
        <w:gridCol w:w="851"/>
        <w:gridCol w:w="850"/>
        <w:gridCol w:w="993"/>
        <w:gridCol w:w="850"/>
        <w:gridCol w:w="851"/>
        <w:gridCol w:w="850"/>
      </w:tblGrid>
      <w:tr w:rsidR="00BE1433" w:rsidRPr="00A12D44" w:rsidTr="00156E70">
        <w:trPr>
          <w:trHeight w:val="284"/>
          <w:jc w:val="center"/>
        </w:trPr>
        <w:tc>
          <w:tcPr>
            <w:tcW w:w="1630" w:type="dxa"/>
            <w:shd w:val="clear" w:color="auto" w:fill="A8CBEE" w:themeFill="accent2" w:themeFillTint="66"/>
            <w:noWrap/>
            <w:vAlign w:val="center"/>
          </w:tcPr>
          <w:p w:rsidR="00BE1433" w:rsidRPr="001F1040" w:rsidRDefault="00BE1433" w:rsidP="003C3AD4">
            <w:pPr>
              <w:pStyle w:val="cuadroCabe"/>
              <w:jc w:val="left"/>
              <w:rPr>
                <w:rFonts w:cs="Arial"/>
              </w:rPr>
            </w:pPr>
            <w:r>
              <w:rPr>
                <w:rFonts w:cs="Arial"/>
              </w:rPr>
              <w:t>Deuda Neta</w:t>
            </w:r>
          </w:p>
        </w:tc>
        <w:tc>
          <w:tcPr>
            <w:tcW w:w="994" w:type="dxa"/>
            <w:shd w:val="clear" w:color="auto" w:fill="A8CBEE" w:themeFill="accent2" w:themeFillTint="66"/>
            <w:noWrap/>
            <w:vAlign w:val="center"/>
          </w:tcPr>
          <w:p w:rsidR="00BE1433" w:rsidRPr="001F1040" w:rsidRDefault="00BE1433" w:rsidP="001D5B7A">
            <w:pPr>
              <w:pStyle w:val="cuadroCabe"/>
              <w:jc w:val="right"/>
              <w:rPr>
                <w:rFonts w:cs="Arial"/>
              </w:rPr>
            </w:pPr>
            <w:r w:rsidRPr="001F1040">
              <w:rPr>
                <w:rFonts w:cs="Arial"/>
              </w:rPr>
              <w:t>2008</w:t>
            </w:r>
          </w:p>
        </w:tc>
        <w:tc>
          <w:tcPr>
            <w:tcW w:w="992" w:type="dxa"/>
            <w:shd w:val="clear" w:color="auto" w:fill="A8CBEE" w:themeFill="accent2" w:themeFillTint="66"/>
            <w:noWrap/>
            <w:vAlign w:val="center"/>
          </w:tcPr>
          <w:p w:rsidR="00BE1433" w:rsidRPr="001F1040" w:rsidRDefault="00BE1433" w:rsidP="001D5B7A">
            <w:pPr>
              <w:pStyle w:val="cuadroCabe"/>
              <w:jc w:val="right"/>
              <w:rPr>
                <w:rFonts w:cs="Arial"/>
              </w:rPr>
            </w:pPr>
            <w:r w:rsidRPr="001F1040">
              <w:rPr>
                <w:rFonts w:cs="Arial"/>
              </w:rPr>
              <w:t>2009</w:t>
            </w:r>
          </w:p>
        </w:tc>
        <w:tc>
          <w:tcPr>
            <w:tcW w:w="851" w:type="dxa"/>
            <w:shd w:val="clear" w:color="auto" w:fill="A8CBEE" w:themeFill="accent2" w:themeFillTint="66"/>
            <w:noWrap/>
            <w:vAlign w:val="center"/>
          </w:tcPr>
          <w:p w:rsidR="00BE1433" w:rsidRPr="001F1040" w:rsidRDefault="00BE1433" w:rsidP="001D5B7A">
            <w:pPr>
              <w:pStyle w:val="cuadroCabe"/>
              <w:jc w:val="right"/>
              <w:rPr>
                <w:rFonts w:cs="Arial"/>
              </w:rPr>
            </w:pPr>
            <w:r w:rsidRPr="001F1040">
              <w:rPr>
                <w:rFonts w:cs="Arial"/>
              </w:rPr>
              <w:t>2010</w:t>
            </w:r>
          </w:p>
        </w:tc>
        <w:tc>
          <w:tcPr>
            <w:tcW w:w="850" w:type="dxa"/>
            <w:shd w:val="clear" w:color="auto" w:fill="A8CBEE" w:themeFill="accent2" w:themeFillTint="66"/>
            <w:noWrap/>
            <w:vAlign w:val="center"/>
          </w:tcPr>
          <w:p w:rsidR="00BE1433" w:rsidRPr="001F1040" w:rsidRDefault="00BE1433" w:rsidP="001D5B7A">
            <w:pPr>
              <w:pStyle w:val="cuadroCabe"/>
              <w:jc w:val="right"/>
              <w:rPr>
                <w:rFonts w:cs="Arial"/>
              </w:rPr>
            </w:pPr>
            <w:r w:rsidRPr="001F1040">
              <w:rPr>
                <w:rFonts w:cs="Arial"/>
              </w:rPr>
              <w:t>2011</w:t>
            </w:r>
          </w:p>
        </w:tc>
        <w:tc>
          <w:tcPr>
            <w:tcW w:w="993" w:type="dxa"/>
            <w:shd w:val="clear" w:color="auto" w:fill="A8CBEE" w:themeFill="accent2" w:themeFillTint="66"/>
            <w:vAlign w:val="center"/>
          </w:tcPr>
          <w:p w:rsidR="00BE1433" w:rsidRPr="001F1040" w:rsidRDefault="00BE1433" w:rsidP="001D5B7A">
            <w:pPr>
              <w:pStyle w:val="cuadroCabe"/>
              <w:jc w:val="right"/>
              <w:rPr>
                <w:rFonts w:cs="Arial"/>
              </w:rPr>
            </w:pPr>
            <w:r>
              <w:rPr>
                <w:rFonts w:cs="Arial"/>
              </w:rPr>
              <w:t>2012</w:t>
            </w:r>
          </w:p>
        </w:tc>
        <w:tc>
          <w:tcPr>
            <w:tcW w:w="850" w:type="dxa"/>
            <w:shd w:val="clear" w:color="auto" w:fill="A8CBEE" w:themeFill="accent2" w:themeFillTint="66"/>
            <w:vAlign w:val="center"/>
          </w:tcPr>
          <w:p w:rsidR="00BE1433" w:rsidRDefault="00BE1433" w:rsidP="001D5B7A">
            <w:pPr>
              <w:pStyle w:val="cuadroCabe"/>
              <w:jc w:val="right"/>
              <w:rPr>
                <w:rFonts w:cs="Arial"/>
              </w:rPr>
            </w:pPr>
            <w:r>
              <w:rPr>
                <w:rFonts w:cs="Arial"/>
              </w:rPr>
              <w:t>2013</w:t>
            </w:r>
          </w:p>
        </w:tc>
        <w:tc>
          <w:tcPr>
            <w:tcW w:w="851" w:type="dxa"/>
            <w:shd w:val="clear" w:color="auto" w:fill="A8CBEE" w:themeFill="accent2" w:themeFillTint="66"/>
            <w:vAlign w:val="center"/>
          </w:tcPr>
          <w:p w:rsidR="00BE1433" w:rsidRDefault="00BE1433" w:rsidP="001D5B7A">
            <w:pPr>
              <w:pStyle w:val="cuadroCabe"/>
              <w:jc w:val="right"/>
              <w:rPr>
                <w:rFonts w:cs="Arial"/>
              </w:rPr>
            </w:pPr>
            <w:r>
              <w:rPr>
                <w:rFonts w:cs="Arial"/>
              </w:rPr>
              <w:t>2014</w:t>
            </w:r>
          </w:p>
        </w:tc>
        <w:tc>
          <w:tcPr>
            <w:tcW w:w="850" w:type="dxa"/>
            <w:shd w:val="clear" w:color="auto" w:fill="A8CBEE" w:themeFill="accent2" w:themeFillTint="66"/>
            <w:vAlign w:val="center"/>
          </w:tcPr>
          <w:p w:rsidR="00BE1433" w:rsidRDefault="00BE1433" w:rsidP="001D5B7A">
            <w:pPr>
              <w:pStyle w:val="cuadroCabe"/>
              <w:jc w:val="right"/>
              <w:rPr>
                <w:rFonts w:cs="Arial"/>
              </w:rPr>
            </w:pPr>
            <w:r>
              <w:rPr>
                <w:rFonts w:cs="Arial"/>
              </w:rPr>
              <w:t>2015</w:t>
            </w:r>
          </w:p>
        </w:tc>
      </w:tr>
      <w:tr w:rsidR="00BE1433" w:rsidRPr="00A056B1" w:rsidTr="00156E70">
        <w:trPr>
          <w:trHeight w:val="284"/>
          <w:jc w:val="center"/>
        </w:trPr>
        <w:tc>
          <w:tcPr>
            <w:tcW w:w="1630" w:type="dxa"/>
            <w:shd w:val="clear" w:color="auto" w:fill="auto"/>
            <w:noWrap/>
            <w:vAlign w:val="center"/>
          </w:tcPr>
          <w:p w:rsidR="00BE1433" w:rsidRDefault="00BE1433" w:rsidP="003C3AD4">
            <w:pPr>
              <w:spacing w:after="0"/>
              <w:ind w:firstLine="0"/>
              <w:jc w:val="left"/>
              <w:rPr>
                <w:rFonts w:ascii="Arial Narrow" w:hAnsi="Arial Narrow" w:cs="Arial"/>
                <w:lang w:val="es-ES" w:eastAsia="es-ES"/>
              </w:rPr>
            </w:pPr>
            <w:r>
              <w:rPr>
                <w:rFonts w:ascii="Arial Narrow" w:hAnsi="Arial Narrow" w:cs="Arial"/>
                <w:lang w:val="es-ES" w:eastAsia="es-ES"/>
              </w:rPr>
              <w:t>Deuda concertada</w:t>
            </w:r>
          </w:p>
        </w:tc>
        <w:tc>
          <w:tcPr>
            <w:tcW w:w="994" w:type="dxa"/>
            <w:shd w:val="clear" w:color="auto" w:fill="auto"/>
            <w:noWrap/>
            <w:vAlign w:val="center"/>
          </w:tcPr>
          <w:p w:rsidR="00BE1433" w:rsidRPr="00BE1433" w:rsidRDefault="00BE1433" w:rsidP="00BE1433">
            <w:pPr>
              <w:spacing w:after="0"/>
              <w:ind w:firstLine="0"/>
              <w:jc w:val="right"/>
              <w:rPr>
                <w:rFonts w:ascii="Arial Narrow" w:hAnsi="Arial Narrow" w:cs="Arial"/>
                <w:lang w:val="es-ES" w:eastAsia="es-ES"/>
              </w:rPr>
            </w:pPr>
            <w:r w:rsidRPr="00BE1433">
              <w:rPr>
                <w:rFonts w:ascii="Arial Narrow" w:hAnsi="Arial Narrow" w:cs="Arial"/>
                <w:lang w:val="es-ES" w:eastAsia="es-ES"/>
              </w:rPr>
              <w:t>240,3</w:t>
            </w:r>
          </w:p>
        </w:tc>
        <w:tc>
          <w:tcPr>
            <w:tcW w:w="992" w:type="dxa"/>
            <w:shd w:val="clear" w:color="auto" w:fill="auto"/>
            <w:noWrap/>
            <w:vAlign w:val="center"/>
          </w:tcPr>
          <w:p w:rsidR="00BE1433" w:rsidRPr="00BE1433" w:rsidRDefault="00BE1433" w:rsidP="00BE1433">
            <w:pPr>
              <w:spacing w:after="0"/>
              <w:ind w:firstLine="0"/>
              <w:jc w:val="right"/>
              <w:rPr>
                <w:rFonts w:ascii="Arial Narrow" w:hAnsi="Arial Narrow" w:cs="Arial"/>
                <w:lang w:val="es-ES" w:eastAsia="es-ES"/>
              </w:rPr>
            </w:pPr>
            <w:r w:rsidRPr="00BE1433">
              <w:rPr>
                <w:rFonts w:ascii="Arial Narrow" w:hAnsi="Arial Narrow" w:cs="Arial"/>
                <w:lang w:val="es-ES" w:eastAsia="es-ES"/>
              </w:rPr>
              <w:t>214,7</w:t>
            </w:r>
          </w:p>
        </w:tc>
        <w:tc>
          <w:tcPr>
            <w:tcW w:w="851" w:type="dxa"/>
            <w:shd w:val="clear" w:color="auto" w:fill="auto"/>
            <w:noWrap/>
            <w:vAlign w:val="center"/>
          </w:tcPr>
          <w:p w:rsidR="00BE1433" w:rsidRPr="00BE1433" w:rsidRDefault="00BE1433" w:rsidP="00BE1433">
            <w:pPr>
              <w:spacing w:after="0"/>
              <w:ind w:firstLine="0"/>
              <w:jc w:val="right"/>
              <w:rPr>
                <w:rFonts w:ascii="Arial Narrow" w:hAnsi="Arial Narrow" w:cs="Arial"/>
                <w:lang w:val="es-ES" w:eastAsia="es-ES"/>
              </w:rPr>
            </w:pPr>
            <w:r w:rsidRPr="00BE1433">
              <w:rPr>
                <w:rFonts w:ascii="Arial Narrow" w:hAnsi="Arial Narrow" w:cs="Arial"/>
                <w:lang w:val="es-ES" w:eastAsia="es-ES"/>
              </w:rPr>
              <w:t>595,2</w:t>
            </w:r>
          </w:p>
        </w:tc>
        <w:tc>
          <w:tcPr>
            <w:tcW w:w="850" w:type="dxa"/>
            <w:shd w:val="clear" w:color="auto" w:fill="auto"/>
            <w:noWrap/>
            <w:vAlign w:val="center"/>
          </w:tcPr>
          <w:p w:rsidR="00BE1433" w:rsidRPr="00BE1433" w:rsidRDefault="00BE1433" w:rsidP="00BE1433">
            <w:pPr>
              <w:spacing w:after="0"/>
              <w:ind w:firstLine="0"/>
              <w:jc w:val="right"/>
              <w:rPr>
                <w:rFonts w:ascii="Arial Narrow" w:hAnsi="Arial Narrow" w:cs="Arial"/>
                <w:lang w:val="es-ES" w:eastAsia="es-ES"/>
              </w:rPr>
            </w:pPr>
            <w:r w:rsidRPr="00BE1433">
              <w:rPr>
                <w:rFonts w:ascii="Arial Narrow" w:hAnsi="Arial Narrow" w:cs="Arial"/>
                <w:lang w:val="es-ES" w:eastAsia="es-ES"/>
              </w:rPr>
              <w:t>483,2</w:t>
            </w:r>
          </w:p>
        </w:tc>
        <w:tc>
          <w:tcPr>
            <w:tcW w:w="993" w:type="dxa"/>
            <w:vAlign w:val="center"/>
          </w:tcPr>
          <w:p w:rsidR="00BE1433" w:rsidRPr="00BE1433" w:rsidRDefault="00BE1433" w:rsidP="00BE1433">
            <w:pPr>
              <w:spacing w:after="0"/>
              <w:ind w:firstLine="0"/>
              <w:jc w:val="right"/>
              <w:rPr>
                <w:rFonts w:ascii="Arial Narrow" w:hAnsi="Arial Narrow" w:cs="Arial"/>
                <w:lang w:val="es-ES" w:eastAsia="es-ES"/>
              </w:rPr>
            </w:pPr>
            <w:r w:rsidRPr="00BE1433">
              <w:rPr>
                <w:rFonts w:ascii="Arial Narrow" w:hAnsi="Arial Narrow" w:cs="Arial"/>
                <w:lang w:val="es-ES" w:eastAsia="es-ES"/>
              </w:rPr>
              <w:t>418,9</w:t>
            </w:r>
          </w:p>
        </w:tc>
        <w:tc>
          <w:tcPr>
            <w:tcW w:w="850" w:type="dxa"/>
            <w:vAlign w:val="center"/>
          </w:tcPr>
          <w:p w:rsidR="00BE1433" w:rsidRPr="00BE1433" w:rsidRDefault="00BE1433" w:rsidP="00BE1433">
            <w:pPr>
              <w:spacing w:after="0"/>
              <w:ind w:firstLine="0"/>
              <w:jc w:val="right"/>
              <w:rPr>
                <w:rFonts w:ascii="Arial Narrow" w:hAnsi="Arial Narrow" w:cs="Arial"/>
                <w:lang w:val="es-ES" w:eastAsia="es-ES"/>
              </w:rPr>
            </w:pPr>
            <w:r w:rsidRPr="00BE1433">
              <w:rPr>
                <w:rFonts w:ascii="Arial Narrow" w:hAnsi="Arial Narrow" w:cs="Arial"/>
                <w:lang w:val="es-ES" w:eastAsia="es-ES"/>
              </w:rPr>
              <w:t>463,7</w:t>
            </w:r>
          </w:p>
        </w:tc>
        <w:tc>
          <w:tcPr>
            <w:tcW w:w="851" w:type="dxa"/>
            <w:vAlign w:val="center"/>
          </w:tcPr>
          <w:p w:rsidR="00BE1433" w:rsidRPr="00BE1433" w:rsidRDefault="00BE1433" w:rsidP="00BE1433">
            <w:pPr>
              <w:spacing w:after="0"/>
              <w:ind w:firstLine="0"/>
              <w:jc w:val="right"/>
              <w:rPr>
                <w:rFonts w:ascii="Arial Narrow" w:hAnsi="Arial Narrow" w:cs="Arial"/>
                <w:lang w:val="es-ES" w:eastAsia="es-ES"/>
              </w:rPr>
            </w:pPr>
            <w:r w:rsidRPr="00BE1433">
              <w:rPr>
                <w:rFonts w:ascii="Arial Narrow" w:hAnsi="Arial Narrow" w:cs="Arial"/>
                <w:lang w:val="es-ES" w:eastAsia="es-ES"/>
              </w:rPr>
              <w:t>492,6</w:t>
            </w:r>
          </w:p>
        </w:tc>
        <w:tc>
          <w:tcPr>
            <w:tcW w:w="850" w:type="dxa"/>
            <w:vAlign w:val="center"/>
          </w:tcPr>
          <w:p w:rsidR="00BE1433" w:rsidRPr="00BE1433" w:rsidRDefault="00BE1433" w:rsidP="00BE1433">
            <w:pPr>
              <w:spacing w:after="0"/>
              <w:ind w:firstLine="0"/>
              <w:jc w:val="right"/>
              <w:rPr>
                <w:rFonts w:ascii="Arial Narrow" w:hAnsi="Arial Narrow" w:cs="Arial"/>
                <w:lang w:val="es-ES" w:eastAsia="es-ES"/>
              </w:rPr>
            </w:pPr>
            <w:r w:rsidRPr="00BE1433">
              <w:rPr>
                <w:rFonts w:ascii="Arial Narrow" w:hAnsi="Arial Narrow" w:cs="Arial"/>
                <w:lang w:val="es-ES" w:eastAsia="es-ES"/>
              </w:rPr>
              <w:t>446,9</w:t>
            </w:r>
          </w:p>
        </w:tc>
      </w:tr>
      <w:tr w:rsidR="00BE1433" w:rsidRPr="00A056B1" w:rsidTr="00E21CB3">
        <w:trPr>
          <w:trHeight w:val="284"/>
          <w:jc w:val="center"/>
        </w:trPr>
        <w:tc>
          <w:tcPr>
            <w:tcW w:w="1630" w:type="dxa"/>
            <w:tcBorders>
              <w:bottom w:val="single" w:sz="4" w:space="0" w:color="000000"/>
            </w:tcBorders>
            <w:shd w:val="clear" w:color="auto" w:fill="auto"/>
            <w:noWrap/>
            <w:vAlign w:val="center"/>
          </w:tcPr>
          <w:p w:rsidR="00BE1433" w:rsidRDefault="00BE1433" w:rsidP="003C3AD4">
            <w:pPr>
              <w:spacing w:after="0"/>
              <w:ind w:firstLine="0"/>
              <w:jc w:val="left"/>
              <w:rPr>
                <w:rFonts w:ascii="Arial Narrow" w:hAnsi="Arial Narrow" w:cs="Arial"/>
                <w:lang w:val="es-ES" w:eastAsia="es-ES"/>
              </w:rPr>
            </w:pPr>
            <w:r>
              <w:rPr>
                <w:rFonts w:ascii="Arial Narrow" w:hAnsi="Arial Narrow" w:cs="Arial"/>
                <w:lang w:val="es-ES" w:eastAsia="es-ES"/>
              </w:rPr>
              <w:t>Deuda amortizada</w:t>
            </w:r>
          </w:p>
        </w:tc>
        <w:tc>
          <w:tcPr>
            <w:tcW w:w="994" w:type="dxa"/>
            <w:tcBorders>
              <w:bottom w:val="single" w:sz="4" w:space="0" w:color="000000"/>
            </w:tcBorders>
            <w:shd w:val="clear" w:color="auto" w:fill="auto"/>
            <w:noWrap/>
            <w:vAlign w:val="center"/>
          </w:tcPr>
          <w:p w:rsidR="00BE1433" w:rsidRPr="00BE1433" w:rsidRDefault="00BE1433" w:rsidP="00BE1433">
            <w:pPr>
              <w:spacing w:after="0"/>
              <w:ind w:firstLine="0"/>
              <w:jc w:val="right"/>
              <w:rPr>
                <w:rFonts w:ascii="Arial Narrow" w:hAnsi="Arial Narrow" w:cs="Arial"/>
                <w:lang w:val="es-ES" w:eastAsia="es-ES"/>
              </w:rPr>
            </w:pPr>
            <w:r w:rsidRPr="00BE1433">
              <w:rPr>
                <w:rFonts w:ascii="Arial Narrow" w:hAnsi="Arial Narrow" w:cs="Arial"/>
                <w:lang w:val="es-ES" w:eastAsia="es-ES"/>
              </w:rPr>
              <w:t>60,2</w:t>
            </w:r>
          </w:p>
        </w:tc>
        <w:tc>
          <w:tcPr>
            <w:tcW w:w="992" w:type="dxa"/>
            <w:tcBorders>
              <w:bottom w:val="single" w:sz="4" w:space="0" w:color="000000"/>
            </w:tcBorders>
            <w:shd w:val="clear" w:color="auto" w:fill="auto"/>
            <w:noWrap/>
            <w:vAlign w:val="center"/>
          </w:tcPr>
          <w:p w:rsidR="00BE1433" w:rsidRPr="00BE1433" w:rsidRDefault="00BE1433" w:rsidP="00BE1433">
            <w:pPr>
              <w:spacing w:after="0"/>
              <w:ind w:firstLine="0"/>
              <w:jc w:val="right"/>
              <w:rPr>
                <w:rFonts w:ascii="Arial Narrow" w:hAnsi="Arial Narrow" w:cs="Arial"/>
                <w:lang w:val="es-ES" w:eastAsia="es-ES"/>
              </w:rPr>
            </w:pPr>
            <w:r w:rsidRPr="00BE1433">
              <w:rPr>
                <w:rFonts w:ascii="Arial Narrow" w:hAnsi="Arial Narrow" w:cs="Arial"/>
                <w:lang w:val="es-ES" w:eastAsia="es-ES"/>
              </w:rPr>
              <w:t>0,03</w:t>
            </w:r>
          </w:p>
        </w:tc>
        <w:tc>
          <w:tcPr>
            <w:tcW w:w="851" w:type="dxa"/>
            <w:tcBorders>
              <w:bottom w:val="single" w:sz="4" w:space="0" w:color="000000"/>
            </w:tcBorders>
            <w:shd w:val="clear" w:color="auto" w:fill="auto"/>
            <w:noWrap/>
            <w:vAlign w:val="center"/>
          </w:tcPr>
          <w:p w:rsidR="00BE1433" w:rsidRPr="00BE1433" w:rsidRDefault="00BE1433" w:rsidP="00BE1433">
            <w:pPr>
              <w:spacing w:after="0"/>
              <w:ind w:firstLine="0"/>
              <w:jc w:val="right"/>
              <w:rPr>
                <w:rFonts w:ascii="Arial Narrow" w:hAnsi="Arial Narrow" w:cs="Arial"/>
                <w:lang w:val="es-ES" w:eastAsia="es-ES"/>
              </w:rPr>
            </w:pPr>
            <w:r w:rsidRPr="00BE1433">
              <w:rPr>
                <w:rFonts w:ascii="Arial Narrow" w:hAnsi="Arial Narrow" w:cs="Arial"/>
                <w:lang w:val="es-ES" w:eastAsia="es-ES"/>
              </w:rPr>
              <w:t>103,2</w:t>
            </w:r>
          </w:p>
        </w:tc>
        <w:tc>
          <w:tcPr>
            <w:tcW w:w="850" w:type="dxa"/>
            <w:tcBorders>
              <w:bottom w:val="single" w:sz="4" w:space="0" w:color="000000"/>
            </w:tcBorders>
            <w:shd w:val="clear" w:color="auto" w:fill="auto"/>
            <w:noWrap/>
            <w:vAlign w:val="center"/>
          </w:tcPr>
          <w:p w:rsidR="00BE1433" w:rsidRPr="00BE1433" w:rsidRDefault="00BE1433" w:rsidP="00BE1433">
            <w:pPr>
              <w:spacing w:after="0"/>
              <w:ind w:firstLine="0"/>
              <w:jc w:val="right"/>
              <w:rPr>
                <w:rFonts w:ascii="Arial Narrow" w:hAnsi="Arial Narrow" w:cs="Arial"/>
                <w:lang w:val="es-ES" w:eastAsia="es-ES"/>
              </w:rPr>
            </w:pPr>
            <w:r w:rsidRPr="00BE1433">
              <w:rPr>
                <w:rFonts w:ascii="Arial Narrow" w:hAnsi="Arial Narrow" w:cs="Arial"/>
                <w:lang w:val="es-ES" w:eastAsia="es-ES"/>
              </w:rPr>
              <w:t>91,2</w:t>
            </w:r>
          </w:p>
        </w:tc>
        <w:tc>
          <w:tcPr>
            <w:tcW w:w="993" w:type="dxa"/>
            <w:tcBorders>
              <w:bottom w:val="single" w:sz="4" w:space="0" w:color="000000"/>
            </w:tcBorders>
            <w:vAlign w:val="center"/>
          </w:tcPr>
          <w:p w:rsidR="00BE1433" w:rsidRPr="00BE1433" w:rsidRDefault="00BE1433" w:rsidP="00BE1433">
            <w:pPr>
              <w:spacing w:after="0"/>
              <w:ind w:firstLine="0"/>
              <w:jc w:val="right"/>
              <w:rPr>
                <w:rFonts w:ascii="Arial Narrow" w:hAnsi="Arial Narrow" w:cs="Arial"/>
                <w:lang w:val="es-ES" w:eastAsia="es-ES"/>
              </w:rPr>
            </w:pPr>
            <w:r w:rsidRPr="00BE1433">
              <w:rPr>
                <w:rFonts w:ascii="Arial Narrow" w:hAnsi="Arial Narrow" w:cs="Arial"/>
                <w:lang w:val="es-ES" w:eastAsia="es-ES"/>
              </w:rPr>
              <w:t>107,3</w:t>
            </w:r>
          </w:p>
        </w:tc>
        <w:tc>
          <w:tcPr>
            <w:tcW w:w="850" w:type="dxa"/>
            <w:tcBorders>
              <w:bottom w:val="single" w:sz="4" w:space="0" w:color="000000"/>
            </w:tcBorders>
            <w:vAlign w:val="center"/>
          </w:tcPr>
          <w:p w:rsidR="00BE1433" w:rsidRPr="00BE1433" w:rsidRDefault="00BE1433" w:rsidP="00BE1433">
            <w:pPr>
              <w:spacing w:after="0"/>
              <w:ind w:firstLine="0"/>
              <w:jc w:val="right"/>
              <w:rPr>
                <w:rFonts w:ascii="Arial Narrow" w:hAnsi="Arial Narrow" w:cs="Arial"/>
                <w:lang w:val="es-ES" w:eastAsia="es-ES"/>
              </w:rPr>
            </w:pPr>
            <w:r w:rsidRPr="00BE1433">
              <w:rPr>
                <w:rFonts w:ascii="Arial Narrow" w:hAnsi="Arial Narrow" w:cs="Arial"/>
                <w:lang w:val="es-ES" w:eastAsia="es-ES"/>
              </w:rPr>
              <w:t>193,2</w:t>
            </w:r>
          </w:p>
        </w:tc>
        <w:tc>
          <w:tcPr>
            <w:tcW w:w="851" w:type="dxa"/>
            <w:tcBorders>
              <w:bottom w:val="single" w:sz="4" w:space="0" w:color="000000"/>
            </w:tcBorders>
            <w:vAlign w:val="center"/>
          </w:tcPr>
          <w:p w:rsidR="00BE1433" w:rsidRPr="00BE1433" w:rsidRDefault="00BE1433" w:rsidP="00BE1433">
            <w:pPr>
              <w:spacing w:after="0"/>
              <w:ind w:firstLine="0"/>
              <w:jc w:val="right"/>
              <w:rPr>
                <w:rFonts w:ascii="Arial Narrow" w:hAnsi="Arial Narrow" w:cs="Arial"/>
                <w:lang w:val="es-ES" w:eastAsia="es-ES"/>
              </w:rPr>
            </w:pPr>
            <w:r w:rsidRPr="00BE1433">
              <w:rPr>
                <w:rFonts w:ascii="Arial Narrow" w:hAnsi="Arial Narrow" w:cs="Arial"/>
                <w:lang w:val="es-ES" w:eastAsia="es-ES"/>
              </w:rPr>
              <w:t>296,5</w:t>
            </w:r>
          </w:p>
        </w:tc>
        <w:tc>
          <w:tcPr>
            <w:tcW w:w="850" w:type="dxa"/>
            <w:tcBorders>
              <w:bottom w:val="single" w:sz="4" w:space="0" w:color="000000"/>
            </w:tcBorders>
            <w:vAlign w:val="center"/>
          </w:tcPr>
          <w:p w:rsidR="00BE1433" w:rsidRPr="00BE1433" w:rsidRDefault="00BE1433" w:rsidP="00BE1433">
            <w:pPr>
              <w:spacing w:after="0"/>
              <w:ind w:firstLine="0"/>
              <w:jc w:val="right"/>
              <w:rPr>
                <w:rFonts w:ascii="Arial Narrow" w:hAnsi="Arial Narrow" w:cs="Arial"/>
                <w:lang w:val="es-ES" w:eastAsia="es-ES"/>
              </w:rPr>
            </w:pPr>
            <w:r w:rsidRPr="00BE1433">
              <w:rPr>
                <w:rFonts w:ascii="Arial Narrow" w:hAnsi="Arial Narrow" w:cs="Arial"/>
                <w:lang w:val="es-ES" w:eastAsia="es-ES"/>
              </w:rPr>
              <w:t>307,2</w:t>
            </w:r>
          </w:p>
        </w:tc>
      </w:tr>
      <w:tr w:rsidR="00BE1433" w:rsidRPr="003C3AD4" w:rsidTr="00156E70">
        <w:trPr>
          <w:trHeight w:val="284"/>
          <w:jc w:val="center"/>
        </w:trPr>
        <w:tc>
          <w:tcPr>
            <w:tcW w:w="1630" w:type="dxa"/>
            <w:shd w:val="clear" w:color="auto" w:fill="A8CBEE" w:themeFill="accent2" w:themeFillTint="66"/>
            <w:noWrap/>
            <w:vAlign w:val="center"/>
          </w:tcPr>
          <w:p w:rsidR="00BE1433" w:rsidRPr="003C3AD4" w:rsidRDefault="00DD004C" w:rsidP="003C3AD4">
            <w:pPr>
              <w:pStyle w:val="cuadroCabe"/>
              <w:jc w:val="left"/>
              <w:rPr>
                <w:rFonts w:cs="Arial"/>
              </w:rPr>
            </w:pPr>
            <w:r w:rsidRPr="003C3AD4">
              <w:rPr>
                <w:rFonts w:cs="Arial"/>
              </w:rPr>
              <w:t>Total d</w:t>
            </w:r>
            <w:r w:rsidR="00BE1433" w:rsidRPr="003C3AD4">
              <w:rPr>
                <w:rFonts w:cs="Arial"/>
              </w:rPr>
              <w:t>euda neta</w:t>
            </w:r>
          </w:p>
        </w:tc>
        <w:tc>
          <w:tcPr>
            <w:tcW w:w="994" w:type="dxa"/>
            <w:shd w:val="clear" w:color="auto" w:fill="A8CBEE" w:themeFill="accent2" w:themeFillTint="66"/>
            <w:noWrap/>
            <w:vAlign w:val="center"/>
          </w:tcPr>
          <w:p w:rsidR="00BE1433" w:rsidRPr="003C3AD4" w:rsidRDefault="00BE1433" w:rsidP="00BE1433">
            <w:pPr>
              <w:pStyle w:val="cuadroCabe"/>
              <w:jc w:val="right"/>
              <w:rPr>
                <w:rFonts w:cs="Arial"/>
              </w:rPr>
            </w:pPr>
            <w:r w:rsidRPr="003C3AD4">
              <w:rPr>
                <w:rFonts w:cs="Arial"/>
              </w:rPr>
              <w:t>180,1</w:t>
            </w:r>
          </w:p>
        </w:tc>
        <w:tc>
          <w:tcPr>
            <w:tcW w:w="992" w:type="dxa"/>
            <w:shd w:val="clear" w:color="auto" w:fill="A8CBEE" w:themeFill="accent2" w:themeFillTint="66"/>
            <w:noWrap/>
            <w:vAlign w:val="center"/>
          </w:tcPr>
          <w:p w:rsidR="00BE1433" w:rsidRPr="003C3AD4" w:rsidRDefault="00BE1433" w:rsidP="00BE1433">
            <w:pPr>
              <w:pStyle w:val="cuadroCabe"/>
              <w:jc w:val="right"/>
              <w:rPr>
                <w:rFonts w:cs="Arial"/>
              </w:rPr>
            </w:pPr>
            <w:r w:rsidRPr="003C3AD4">
              <w:rPr>
                <w:rFonts w:cs="Arial"/>
              </w:rPr>
              <w:t>214,67</w:t>
            </w:r>
          </w:p>
        </w:tc>
        <w:tc>
          <w:tcPr>
            <w:tcW w:w="851" w:type="dxa"/>
            <w:shd w:val="clear" w:color="auto" w:fill="A8CBEE" w:themeFill="accent2" w:themeFillTint="66"/>
            <w:noWrap/>
            <w:vAlign w:val="center"/>
          </w:tcPr>
          <w:p w:rsidR="00BE1433" w:rsidRPr="003C3AD4" w:rsidRDefault="00BE1433" w:rsidP="00BE1433">
            <w:pPr>
              <w:pStyle w:val="cuadroCabe"/>
              <w:jc w:val="right"/>
              <w:rPr>
                <w:rFonts w:cs="Arial"/>
              </w:rPr>
            </w:pPr>
            <w:r w:rsidRPr="003C3AD4">
              <w:rPr>
                <w:rFonts w:cs="Arial"/>
              </w:rPr>
              <w:t>492</w:t>
            </w:r>
            <w:r w:rsidR="001E2871" w:rsidRPr="003C3AD4">
              <w:rPr>
                <w:rFonts w:cs="Arial"/>
              </w:rPr>
              <w:t>,0</w:t>
            </w:r>
          </w:p>
        </w:tc>
        <w:tc>
          <w:tcPr>
            <w:tcW w:w="850" w:type="dxa"/>
            <w:shd w:val="clear" w:color="auto" w:fill="A8CBEE" w:themeFill="accent2" w:themeFillTint="66"/>
            <w:noWrap/>
            <w:vAlign w:val="center"/>
          </w:tcPr>
          <w:p w:rsidR="00BE1433" w:rsidRPr="003C3AD4" w:rsidRDefault="00BE1433" w:rsidP="00BE1433">
            <w:pPr>
              <w:pStyle w:val="cuadroCabe"/>
              <w:jc w:val="right"/>
              <w:rPr>
                <w:rFonts w:cs="Arial"/>
              </w:rPr>
            </w:pPr>
            <w:r w:rsidRPr="003C3AD4">
              <w:rPr>
                <w:rFonts w:cs="Arial"/>
              </w:rPr>
              <w:t>392</w:t>
            </w:r>
            <w:r w:rsidR="001E2871" w:rsidRPr="003C3AD4">
              <w:rPr>
                <w:rFonts w:cs="Arial"/>
              </w:rPr>
              <w:t>,0</w:t>
            </w:r>
          </w:p>
        </w:tc>
        <w:tc>
          <w:tcPr>
            <w:tcW w:w="993" w:type="dxa"/>
            <w:shd w:val="clear" w:color="auto" w:fill="A8CBEE" w:themeFill="accent2" w:themeFillTint="66"/>
            <w:vAlign w:val="center"/>
          </w:tcPr>
          <w:p w:rsidR="00BE1433" w:rsidRPr="003C3AD4" w:rsidRDefault="00BE1433" w:rsidP="00BE1433">
            <w:pPr>
              <w:pStyle w:val="cuadroCabe"/>
              <w:jc w:val="right"/>
              <w:rPr>
                <w:rFonts w:cs="Arial"/>
              </w:rPr>
            </w:pPr>
            <w:r w:rsidRPr="003C3AD4">
              <w:rPr>
                <w:rFonts w:cs="Arial"/>
              </w:rPr>
              <w:t>311,6</w:t>
            </w:r>
          </w:p>
        </w:tc>
        <w:tc>
          <w:tcPr>
            <w:tcW w:w="850" w:type="dxa"/>
            <w:shd w:val="clear" w:color="auto" w:fill="A8CBEE" w:themeFill="accent2" w:themeFillTint="66"/>
            <w:vAlign w:val="center"/>
          </w:tcPr>
          <w:p w:rsidR="00BE1433" w:rsidRPr="003C3AD4" w:rsidRDefault="00BE1433" w:rsidP="00BE1433">
            <w:pPr>
              <w:pStyle w:val="cuadroCabe"/>
              <w:jc w:val="right"/>
              <w:rPr>
                <w:rFonts w:cs="Arial"/>
              </w:rPr>
            </w:pPr>
            <w:r w:rsidRPr="003C3AD4">
              <w:rPr>
                <w:rFonts w:cs="Arial"/>
              </w:rPr>
              <w:t>270,5</w:t>
            </w:r>
          </w:p>
        </w:tc>
        <w:tc>
          <w:tcPr>
            <w:tcW w:w="851" w:type="dxa"/>
            <w:shd w:val="clear" w:color="auto" w:fill="A8CBEE" w:themeFill="accent2" w:themeFillTint="66"/>
            <w:vAlign w:val="center"/>
          </w:tcPr>
          <w:p w:rsidR="00BE1433" w:rsidRPr="003C3AD4" w:rsidRDefault="00BE1433" w:rsidP="00BE1433">
            <w:pPr>
              <w:pStyle w:val="cuadroCabe"/>
              <w:jc w:val="right"/>
              <w:rPr>
                <w:rFonts w:cs="Arial"/>
              </w:rPr>
            </w:pPr>
            <w:r w:rsidRPr="003C3AD4">
              <w:rPr>
                <w:rFonts w:cs="Arial"/>
              </w:rPr>
              <w:t>196,1</w:t>
            </w:r>
          </w:p>
        </w:tc>
        <w:tc>
          <w:tcPr>
            <w:tcW w:w="850" w:type="dxa"/>
            <w:shd w:val="clear" w:color="auto" w:fill="A8CBEE" w:themeFill="accent2" w:themeFillTint="66"/>
            <w:vAlign w:val="center"/>
          </w:tcPr>
          <w:p w:rsidR="00BE1433" w:rsidRPr="003C3AD4" w:rsidRDefault="00BE1433" w:rsidP="00BE1433">
            <w:pPr>
              <w:pStyle w:val="cuadroCabe"/>
              <w:jc w:val="right"/>
              <w:rPr>
                <w:rFonts w:cs="Arial"/>
              </w:rPr>
            </w:pPr>
            <w:r w:rsidRPr="003C3AD4">
              <w:rPr>
                <w:rFonts w:cs="Arial"/>
              </w:rPr>
              <w:t>139,7</w:t>
            </w:r>
          </w:p>
        </w:tc>
      </w:tr>
    </w:tbl>
    <w:p w:rsidR="004773D3" w:rsidRDefault="00BE1433" w:rsidP="003C3AD4">
      <w:pPr>
        <w:pStyle w:val="texto"/>
        <w:tabs>
          <w:tab w:val="num" w:pos="4920"/>
        </w:tabs>
        <w:spacing w:before="240"/>
      </w:pPr>
      <w:r>
        <w:t xml:space="preserve">Es decir, el mayor valor de deuda neta se observa en 2010 con 492 millones; después de ese ejercicio </w:t>
      </w:r>
      <w:r w:rsidR="001D5B7A">
        <w:t>su</w:t>
      </w:r>
      <w:r>
        <w:t xml:space="preserve"> importe se va reduciendo de forma </w:t>
      </w:r>
      <w:r w:rsidR="00A905E6">
        <w:t>significativa</w:t>
      </w:r>
      <w:r>
        <w:t>; ahora bien, la deuda concertada se mantiene en parecido volumen desde 2011</w:t>
      </w:r>
      <w:r w:rsidR="00A905E6">
        <w:t>, incrementándose de forma relevante la deuda amortizada.</w:t>
      </w:r>
      <w:r>
        <w:t xml:space="preserve"> </w:t>
      </w:r>
    </w:p>
    <w:p w:rsidR="00A905E6" w:rsidRDefault="00A905E6" w:rsidP="001C40FA">
      <w:pPr>
        <w:pStyle w:val="texto"/>
        <w:tabs>
          <w:tab w:val="num" w:pos="4920"/>
        </w:tabs>
      </w:pPr>
      <w:r>
        <w:t xml:space="preserve">En definitiva, </w:t>
      </w:r>
      <w:r w:rsidR="004773D3">
        <w:t>se incrementa progresivamente el importe de la deuda conce</w:t>
      </w:r>
      <w:r w:rsidR="004773D3">
        <w:t>r</w:t>
      </w:r>
      <w:r w:rsidR="004773D3">
        <w:t>tada que se</w:t>
      </w:r>
      <w:r w:rsidR="001E2871">
        <w:t xml:space="preserve"> destina a</w:t>
      </w:r>
      <w:r>
        <w:t xml:space="preserve"> financiar los vencimientos de la misma.</w:t>
      </w:r>
    </w:p>
    <w:p w:rsidR="003B53E5" w:rsidRPr="00FB14D8" w:rsidRDefault="00A92B85" w:rsidP="00FB14D8">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120"/>
        <w:ind w:left="0" w:firstLine="289"/>
      </w:pPr>
      <w:r w:rsidRPr="00A92B85">
        <w:t xml:space="preserve">El saldo vivo de avales constituidos por el Gobierno </w:t>
      </w:r>
      <w:r w:rsidR="00842614">
        <w:t>prácticamente perm</w:t>
      </w:r>
      <w:r w:rsidR="00842614">
        <w:t>a</w:t>
      </w:r>
      <w:r w:rsidR="00842614">
        <w:t>nece igual entre ambos ejercicios</w:t>
      </w:r>
      <w:r w:rsidRPr="00A92B85">
        <w:t>, alcanzando en 201</w:t>
      </w:r>
      <w:r w:rsidR="00842614">
        <w:t>5</w:t>
      </w:r>
      <w:r w:rsidRPr="00A92B85">
        <w:t xml:space="preserve"> un importe de 1</w:t>
      </w:r>
      <w:r w:rsidR="00842614">
        <w:t>49</w:t>
      </w:r>
      <w:r w:rsidRPr="00A92B85">
        <w:t xml:space="preserve"> m</w:t>
      </w:r>
      <w:r w:rsidRPr="00A92B85">
        <w:t>i</w:t>
      </w:r>
      <w:r w:rsidRPr="00A92B85">
        <w:t>llones</w:t>
      </w:r>
      <w:r w:rsidR="00915473">
        <w:t>.</w:t>
      </w:r>
      <w:r w:rsidR="0034263D">
        <w:t xml:space="preserve"> Destacamos el aval de cuatro millones concedido al Club Atlético Os</w:t>
      </w:r>
      <w:r w:rsidR="0034263D">
        <w:t>a</w:t>
      </w:r>
      <w:r w:rsidR="0034263D">
        <w:t xml:space="preserve">suna al amparo de la </w:t>
      </w:r>
      <w:r w:rsidR="00957B3A">
        <w:rPr>
          <w:lang w:val="es-ES"/>
        </w:rPr>
        <w:t xml:space="preserve">Ley Foral 26/2014, de reestructuración de </w:t>
      </w:r>
      <w:r w:rsidR="003E17EE">
        <w:rPr>
          <w:lang w:val="es-ES"/>
        </w:rPr>
        <w:t>su</w:t>
      </w:r>
      <w:r w:rsidR="00957B3A">
        <w:rPr>
          <w:lang w:val="es-ES"/>
        </w:rPr>
        <w:t xml:space="preserve"> deuda trib</w:t>
      </w:r>
      <w:r w:rsidR="00957B3A">
        <w:rPr>
          <w:lang w:val="es-ES"/>
        </w:rPr>
        <w:t>u</w:t>
      </w:r>
      <w:r w:rsidR="003E17EE">
        <w:rPr>
          <w:lang w:val="es-ES"/>
        </w:rPr>
        <w:t xml:space="preserve">taria </w:t>
      </w:r>
      <w:r w:rsidR="00957B3A">
        <w:rPr>
          <w:lang w:val="es-ES"/>
        </w:rPr>
        <w:t>con la Hacienda Foral</w:t>
      </w:r>
      <w:r w:rsidR="0034263D">
        <w:t>.</w:t>
      </w:r>
    </w:p>
    <w:p w:rsidR="00156E70" w:rsidRDefault="00A92B85" w:rsidP="00EE314C">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120"/>
        <w:ind w:left="0" w:firstLine="289"/>
      </w:pPr>
      <w:r w:rsidRPr="00EE314C">
        <w:t>Compromisos de gastos presupuestarios</w:t>
      </w:r>
      <w:r w:rsidR="00B77894" w:rsidRPr="00EE314C">
        <w:t xml:space="preserve"> para ejercicios futuros: L</w:t>
      </w:r>
      <w:r w:rsidRPr="00EE314C">
        <w:t>os gastos comprometidos para ejercicios futuros</w:t>
      </w:r>
      <w:r w:rsidR="001D5EBE" w:rsidRPr="00EE314C">
        <w:t xml:space="preserve"> </w:t>
      </w:r>
      <w:r w:rsidRPr="00EE314C">
        <w:t>ascienden a 3.</w:t>
      </w:r>
      <w:r w:rsidR="00450F0C" w:rsidRPr="00EE314C">
        <w:t>864,25</w:t>
      </w:r>
      <w:r w:rsidRPr="00EE314C">
        <w:t xml:space="preserve"> millones, de los que el 8</w:t>
      </w:r>
      <w:r w:rsidR="00303E2A" w:rsidRPr="00EE314C">
        <w:t>6</w:t>
      </w:r>
      <w:r w:rsidRPr="00EE314C">
        <w:t xml:space="preserve"> por ciento corresponden a la carga financiera de la deuda</w:t>
      </w:r>
      <w:r w:rsidR="00450F0C" w:rsidRPr="00EE314C">
        <w:t xml:space="preserve">. </w:t>
      </w:r>
      <w:r w:rsidRPr="00EE314C">
        <w:t>Respecto a los datos de 201</w:t>
      </w:r>
      <w:r w:rsidR="00450F0C" w:rsidRPr="00EE314C">
        <w:t>4</w:t>
      </w:r>
      <w:r w:rsidRPr="00EE314C">
        <w:t>, estos gastos futuros se han incrementado en un c</w:t>
      </w:r>
      <w:r w:rsidR="00450F0C" w:rsidRPr="00EE314C">
        <w:t>uatro por</w:t>
      </w:r>
      <w:r w:rsidRPr="00EE314C">
        <w:t xml:space="preserve"> ciento. </w:t>
      </w:r>
    </w:p>
    <w:p w:rsidR="002848E5" w:rsidRPr="00303E2A" w:rsidRDefault="00A92B85" w:rsidP="00303E2A">
      <w:pPr>
        <w:pStyle w:val="texto"/>
        <w:tabs>
          <w:tab w:val="num" w:pos="4920"/>
        </w:tabs>
      </w:pPr>
      <w:r w:rsidRPr="00164333">
        <w:lastRenderedPageBreak/>
        <w:t>Su detalle por capítulo y año se muestra a continuación</w:t>
      </w:r>
      <w:r w:rsidR="0011009E">
        <w:t>,</w:t>
      </w:r>
      <w:r w:rsidRPr="00164333">
        <w:t xml:space="preserve"> en miles de euros.</w:t>
      </w:r>
    </w:p>
    <w:tbl>
      <w:tblPr>
        <w:tblW w:w="8904" w:type="dxa"/>
        <w:tblInd w:w="70" w:type="dxa"/>
        <w:tblCellMar>
          <w:left w:w="70" w:type="dxa"/>
          <w:right w:w="70" w:type="dxa"/>
        </w:tblCellMar>
        <w:tblLook w:val="0000" w:firstRow="0" w:lastRow="0" w:firstColumn="0" w:lastColumn="0" w:noHBand="0" w:noVBand="0"/>
      </w:tblPr>
      <w:tblGrid>
        <w:gridCol w:w="2880"/>
        <w:gridCol w:w="948"/>
        <w:gridCol w:w="1102"/>
        <w:gridCol w:w="902"/>
        <w:gridCol w:w="1040"/>
        <w:gridCol w:w="1072"/>
        <w:gridCol w:w="960"/>
      </w:tblGrid>
      <w:tr w:rsidR="00A92B85" w:rsidRPr="0083371D" w:rsidTr="00156E70">
        <w:trPr>
          <w:trHeight w:val="284"/>
        </w:trPr>
        <w:tc>
          <w:tcPr>
            <w:tcW w:w="2880" w:type="dxa"/>
            <w:tcBorders>
              <w:top w:val="single" w:sz="4" w:space="0" w:color="auto"/>
              <w:left w:val="nil"/>
              <w:bottom w:val="single" w:sz="4" w:space="0" w:color="auto"/>
              <w:right w:val="nil"/>
            </w:tcBorders>
            <w:shd w:val="clear" w:color="auto" w:fill="A8CBEE" w:themeFill="accent2" w:themeFillTint="66"/>
            <w:noWrap/>
            <w:vAlign w:val="center"/>
          </w:tcPr>
          <w:p w:rsidR="00A92B85" w:rsidRPr="00303E2A" w:rsidRDefault="00A92B85" w:rsidP="00B66928">
            <w:pPr>
              <w:pStyle w:val="cuadroCabe"/>
            </w:pPr>
            <w:r w:rsidRPr="00303E2A">
              <w:t>Capítulo</w:t>
            </w:r>
          </w:p>
        </w:tc>
        <w:tc>
          <w:tcPr>
            <w:tcW w:w="948" w:type="dxa"/>
            <w:tcBorders>
              <w:top w:val="single" w:sz="4" w:space="0" w:color="auto"/>
              <w:left w:val="nil"/>
              <w:bottom w:val="single" w:sz="4" w:space="0" w:color="auto"/>
              <w:right w:val="nil"/>
            </w:tcBorders>
            <w:shd w:val="clear" w:color="auto" w:fill="A8CBEE" w:themeFill="accent2" w:themeFillTint="66"/>
            <w:noWrap/>
            <w:vAlign w:val="center"/>
          </w:tcPr>
          <w:p w:rsidR="00A92B85" w:rsidRPr="00303E2A" w:rsidRDefault="005F3824" w:rsidP="00B66928">
            <w:pPr>
              <w:pStyle w:val="cuadroCabe"/>
              <w:jc w:val="right"/>
            </w:pPr>
            <w:r w:rsidRPr="00303E2A">
              <w:t>2016</w:t>
            </w:r>
          </w:p>
        </w:tc>
        <w:tc>
          <w:tcPr>
            <w:tcW w:w="1102" w:type="dxa"/>
            <w:tcBorders>
              <w:top w:val="single" w:sz="4" w:space="0" w:color="auto"/>
              <w:left w:val="nil"/>
              <w:bottom w:val="single" w:sz="4" w:space="0" w:color="auto"/>
              <w:right w:val="nil"/>
            </w:tcBorders>
            <w:shd w:val="clear" w:color="auto" w:fill="A8CBEE" w:themeFill="accent2" w:themeFillTint="66"/>
            <w:noWrap/>
            <w:vAlign w:val="center"/>
          </w:tcPr>
          <w:p w:rsidR="00A92B85" w:rsidRPr="00303E2A" w:rsidRDefault="005F3824" w:rsidP="00B66928">
            <w:pPr>
              <w:pStyle w:val="cuadroCabe"/>
              <w:jc w:val="right"/>
            </w:pPr>
            <w:r w:rsidRPr="00303E2A">
              <w:t>2017</w:t>
            </w:r>
          </w:p>
        </w:tc>
        <w:tc>
          <w:tcPr>
            <w:tcW w:w="902" w:type="dxa"/>
            <w:tcBorders>
              <w:top w:val="single" w:sz="4" w:space="0" w:color="auto"/>
              <w:left w:val="nil"/>
              <w:bottom w:val="single" w:sz="4" w:space="0" w:color="auto"/>
              <w:right w:val="nil"/>
            </w:tcBorders>
            <w:shd w:val="clear" w:color="auto" w:fill="A8CBEE" w:themeFill="accent2" w:themeFillTint="66"/>
            <w:noWrap/>
            <w:vAlign w:val="center"/>
          </w:tcPr>
          <w:p w:rsidR="00A92B85" w:rsidRPr="00303E2A" w:rsidRDefault="005F3824" w:rsidP="00B66928">
            <w:pPr>
              <w:pStyle w:val="cuadroCabe"/>
              <w:jc w:val="right"/>
            </w:pPr>
            <w:r w:rsidRPr="00303E2A">
              <w:t>2018</w:t>
            </w:r>
          </w:p>
        </w:tc>
        <w:tc>
          <w:tcPr>
            <w:tcW w:w="1040" w:type="dxa"/>
            <w:tcBorders>
              <w:top w:val="single" w:sz="4" w:space="0" w:color="auto"/>
              <w:left w:val="nil"/>
              <w:bottom w:val="single" w:sz="4" w:space="0" w:color="auto"/>
              <w:right w:val="nil"/>
            </w:tcBorders>
            <w:shd w:val="clear" w:color="auto" w:fill="A8CBEE" w:themeFill="accent2" w:themeFillTint="66"/>
            <w:noWrap/>
            <w:vAlign w:val="center"/>
          </w:tcPr>
          <w:p w:rsidR="00A92B85" w:rsidRPr="00303E2A" w:rsidRDefault="00A92B85" w:rsidP="00B66928">
            <w:pPr>
              <w:pStyle w:val="cuadroCabe"/>
              <w:jc w:val="right"/>
            </w:pPr>
            <w:r w:rsidRPr="00303E2A">
              <w:t>Resto</w:t>
            </w:r>
          </w:p>
        </w:tc>
        <w:tc>
          <w:tcPr>
            <w:tcW w:w="1072" w:type="dxa"/>
            <w:tcBorders>
              <w:top w:val="single" w:sz="4" w:space="0" w:color="auto"/>
              <w:left w:val="nil"/>
              <w:bottom w:val="single" w:sz="4" w:space="0" w:color="auto"/>
              <w:right w:val="nil"/>
            </w:tcBorders>
            <w:shd w:val="clear" w:color="auto" w:fill="A8CBEE" w:themeFill="accent2" w:themeFillTint="66"/>
            <w:vAlign w:val="center"/>
          </w:tcPr>
          <w:p w:rsidR="00A92B85" w:rsidRPr="00303E2A" w:rsidRDefault="00A92B85" w:rsidP="00B66928">
            <w:pPr>
              <w:pStyle w:val="cuadroCabe"/>
              <w:jc w:val="right"/>
            </w:pPr>
            <w:r w:rsidRPr="00303E2A">
              <w:t xml:space="preserve">Total </w:t>
            </w:r>
          </w:p>
        </w:tc>
        <w:tc>
          <w:tcPr>
            <w:tcW w:w="960" w:type="dxa"/>
            <w:tcBorders>
              <w:top w:val="single" w:sz="4" w:space="0" w:color="auto"/>
              <w:left w:val="nil"/>
              <w:bottom w:val="single" w:sz="4" w:space="0" w:color="auto"/>
              <w:right w:val="nil"/>
            </w:tcBorders>
            <w:shd w:val="clear" w:color="auto" w:fill="A8CBEE" w:themeFill="accent2" w:themeFillTint="66"/>
            <w:noWrap/>
            <w:vAlign w:val="center"/>
          </w:tcPr>
          <w:p w:rsidR="00A92B85" w:rsidRPr="00303E2A" w:rsidRDefault="00A92B85" w:rsidP="00B66928">
            <w:pPr>
              <w:pStyle w:val="cuadroCabe"/>
              <w:jc w:val="right"/>
            </w:pPr>
            <w:r w:rsidRPr="00303E2A">
              <w:t>% s/total</w:t>
            </w:r>
          </w:p>
        </w:tc>
      </w:tr>
      <w:tr w:rsidR="00303E2A" w:rsidRPr="00C92E2E" w:rsidTr="00156E70">
        <w:trPr>
          <w:trHeight w:val="284"/>
        </w:trPr>
        <w:tc>
          <w:tcPr>
            <w:tcW w:w="2880" w:type="dxa"/>
            <w:tcBorders>
              <w:top w:val="single" w:sz="4" w:space="0" w:color="auto"/>
              <w:left w:val="nil"/>
              <w:bottom w:val="single" w:sz="2" w:space="0" w:color="auto"/>
              <w:right w:val="nil"/>
            </w:tcBorders>
            <w:shd w:val="clear" w:color="auto" w:fill="auto"/>
            <w:noWrap/>
            <w:vAlign w:val="center"/>
          </w:tcPr>
          <w:p w:rsidR="00303E2A" w:rsidRPr="00303E2A" w:rsidRDefault="00303E2A" w:rsidP="00B66928">
            <w:pPr>
              <w:spacing w:after="0"/>
              <w:ind w:firstLine="0"/>
              <w:jc w:val="left"/>
              <w:rPr>
                <w:rFonts w:ascii="Arial Narrow" w:hAnsi="Arial Narrow" w:cs="Arial"/>
                <w:sz w:val="19"/>
                <w:szCs w:val="19"/>
                <w:lang w:val="es-ES" w:eastAsia="es-ES"/>
              </w:rPr>
            </w:pPr>
            <w:r w:rsidRPr="00303E2A">
              <w:rPr>
                <w:rFonts w:ascii="Arial Narrow" w:hAnsi="Arial Narrow" w:cs="Arial"/>
                <w:sz w:val="19"/>
                <w:szCs w:val="19"/>
                <w:lang w:val="es-ES" w:eastAsia="es-ES"/>
              </w:rPr>
              <w:t>1  Gastos de personal</w:t>
            </w:r>
          </w:p>
        </w:tc>
        <w:tc>
          <w:tcPr>
            <w:tcW w:w="948" w:type="dxa"/>
            <w:tcBorders>
              <w:top w:val="single" w:sz="4"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1.963</w:t>
            </w:r>
          </w:p>
        </w:tc>
        <w:tc>
          <w:tcPr>
            <w:tcW w:w="1102" w:type="dxa"/>
            <w:tcBorders>
              <w:top w:val="single" w:sz="4"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0</w:t>
            </w:r>
          </w:p>
        </w:tc>
        <w:tc>
          <w:tcPr>
            <w:tcW w:w="902" w:type="dxa"/>
            <w:tcBorders>
              <w:top w:val="single" w:sz="4"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0</w:t>
            </w:r>
          </w:p>
        </w:tc>
        <w:tc>
          <w:tcPr>
            <w:tcW w:w="1040" w:type="dxa"/>
            <w:tcBorders>
              <w:top w:val="single" w:sz="4"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0</w:t>
            </w:r>
          </w:p>
        </w:tc>
        <w:tc>
          <w:tcPr>
            <w:tcW w:w="1072" w:type="dxa"/>
            <w:tcBorders>
              <w:top w:val="single" w:sz="4"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1.963</w:t>
            </w:r>
          </w:p>
        </w:tc>
        <w:tc>
          <w:tcPr>
            <w:tcW w:w="960" w:type="dxa"/>
            <w:tcBorders>
              <w:top w:val="single" w:sz="4"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0</w:t>
            </w:r>
          </w:p>
        </w:tc>
      </w:tr>
      <w:tr w:rsidR="00303E2A" w:rsidRPr="00C92E2E" w:rsidTr="00156E70">
        <w:trPr>
          <w:trHeight w:val="284"/>
        </w:trPr>
        <w:tc>
          <w:tcPr>
            <w:tcW w:w="2880" w:type="dxa"/>
            <w:tcBorders>
              <w:top w:val="single" w:sz="2" w:space="0" w:color="auto"/>
              <w:left w:val="nil"/>
              <w:bottom w:val="single" w:sz="2" w:space="0" w:color="auto"/>
              <w:right w:val="nil"/>
            </w:tcBorders>
            <w:shd w:val="clear" w:color="auto" w:fill="auto"/>
            <w:noWrap/>
            <w:vAlign w:val="center"/>
          </w:tcPr>
          <w:p w:rsidR="00303E2A" w:rsidRPr="00303E2A" w:rsidRDefault="00303E2A" w:rsidP="00B66928">
            <w:pPr>
              <w:spacing w:after="0"/>
              <w:ind w:firstLine="0"/>
              <w:jc w:val="left"/>
              <w:rPr>
                <w:rFonts w:ascii="Arial Narrow" w:hAnsi="Arial Narrow" w:cs="Arial"/>
                <w:sz w:val="19"/>
                <w:szCs w:val="19"/>
                <w:lang w:val="es-ES" w:eastAsia="es-ES"/>
              </w:rPr>
            </w:pPr>
            <w:r w:rsidRPr="00303E2A">
              <w:rPr>
                <w:rFonts w:ascii="Arial Narrow" w:hAnsi="Arial Narrow" w:cs="Arial"/>
                <w:sz w:val="19"/>
                <w:szCs w:val="19"/>
                <w:lang w:val="es-ES" w:eastAsia="es-ES"/>
              </w:rPr>
              <w:t>2  Gastos corrientes bienes y servicios</w:t>
            </w:r>
          </w:p>
        </w:tc>
        <w:tc>
          <w:tcPr>
            <w:tcW w:w="948"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154.561</w:t>
            </w:r>
          </w:p>
        </w:tc>
        <w:tc>
          <w:tcPr>
            <w:tcW w:w="1102"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53.711</w:t>
            </w:r>
          </w:p>
        </w:tc>
        <w:tc>
          <w:tcPr>
            <w:tcW w:w="902"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28.935</w:t>
            </w:r>
          </w:p>
        </w:tc>
        <w:tc>
          <w:tcPr>
            <w:tcW w:w="1040"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6.484</w:t>
            </w:r>
          </w:p>
        </w:tc>
        <w:tc>
          <w:tcPr>
            <w:tcW w:w="1072"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243.690</w:t>
            </w:r>
          </w:p>
        </w:tc>
        <w:tc>
          <w:tcPr>
            <w:tcW w:w="960"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6</w:t>
            </w:r>
          </w:p>
        </w:tc>
      </w:tr>
      <w:tr w:rsidR="00303E2A" w:rsidRPr="00C92E2E" w:rsidTr="00156E70">
        <w:trPr>
          <w:trHeight w:val="284"/>
        </w:trPr>
        <w:tc>
          <w:tcPr>
            <w:tcW w:w="2880" w:type="dxa"/>
            <w:tcBorders>
              <w:top w:val="single" w:sz="2" w:space="0" w:color="auto"/>
              <w:left w:val="nil"/>
              <w:bottom w:val="single" w:sz="2" w:space="0" w:color="auto"/>
              <w:right w:val="nil"/>
            </w:tcBorders>
            <w:shd w:val="clear" w:color="auto" w:fill="auto"/>
            <w:noWrap/>
            <w:vAlign w:val="center"/>
          </w:tcPr>
          <w:p w:rsidR="00303E2A" w:rsidRPr="00303E2A" w:rsidRDefault="00303E2A" w:rsidP="00B66928">
            <w:pPr>
              <w:spacing w:after="0"/>
              <w:ind w:firstLine="0"/>
              <w:jc w:val="left"/>
              <w:rPr>
                <w:rFonts w:ascii="Arial Narrow" w:hAnsi="Arial Narrow" w:cs="Arial"/>
                <w:sz w:val="19"/>
                <w:szCs w:val="19"/>
                <w:lang w:val="es-ES" w:eastAsia="es-ES"/>
              </w:rPr>
            </w:pPr>
            <w:r w:rsidRPr="00303E2A">
              <w:rPr>
                <w:rFonts w:ascii="Arial Narrow" w:hAnsi="Arial Narrow" w:cs="Arial"/>
                <w:sz w:val="19"/>
                <w:szCs w:val="19"/>
                <w:lang w:val="es-ES" w:eastAsia="es-ES"/>
              </w:rPr>
              <w:t>3  Gastos financieros</w:t>
            </w:r>
          </w:p>
        </w:tc>
        <w:tc>
          <w:tcPr>
            <w:tcW w:w="948"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99.620</w:t>
            </w:r>
          </w:p>
        </w:tc>
        <w:tc>
          <w:tcPr>
            <w:tcW w:w="1102"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82.293</w:t>
            </w:r>
          </w:p>
        </w:tc>
        <w:tc>
          <w:tcPr>
            <w:tcW w:w="902"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70.082</w:t>
            </w:r>
          </w:p>
        </w:tc>
        <w:tc>
          <w:tcPr>
            <w:tcW w:w="1040"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242.742</w:t>
            </w:r>
          </w:p>
        </w:tc>
        <w:tc>
          <w:tcPr>
            <w:tcW w:w="1072"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494.737</w:t>
            </w:r>
          </w:p>
        </w:tc>
        <w:tc>
          <w:tcPr>
            <w:tcW w:w="960"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13</w:t>
            </w:r>
          </w:p>
        </w:tc>
      </w:tr>
      <w:tr w:rsidR="00303E2A" w:rsidRPr="00C92E2E" w:rsidTr="00156E70">
        <w:trPr>
          <w:trHeight w:val="284"/>
        </w:trPr>
        <w:tc>
          <w:tcPr>
            <w:tcW w:w="2880" w:type="dxa"/>
            <w:tcBorders>
              <w:top w:val="single" w:sz="2" w:space="0" w:color="auto"/>
              <w:left w:val="nil"/>
              <w:bottom w:val="single" w:sz="2" w:space="0" w:color="auto"/>
              <w:right w:val="nil"/>
            </w:tcBorders>
            <w:shd w:val="clear" w:color="auto" w:fill="auto"/>
            <w:noWrap/>
            <w:vAlign w:val="center"/>
          </w:tcPr>
          <w:p w:rsidR="00303E2A" w:rsidRPr="00303E2A" w:rsidRDefault="00303E2A" w:rsidP="00B66928">
            <w:pPr>
              <w:spacing w:after="0"/>
              <w:ind w:firstLine="0"/>
              <w:jc w:val="left"/>
              <w:rPr>
                <w:rFonts w:ascii="Arial Narrow" w:hAnsi="Arial Narrow" w:cs="Arial"/>
                <w:sz w:val="19"/>
                <w:szCs w:val="19"/>
                <w:lang w:val="es-ES" w:eastAsia="es-ES"/>
              </w:rPr>
            </w:pPr>
            <w:r w:rsidRPr="00303E2A">
              <w:rPr>
                <w:rFonts w:ascii="Arial Narrow" w:hAnsi="Arial Narrow" w:cs="Arial"/>
                <w:sz w:val="19"/>
                <w:szCs w:val="19"/>
                <w:lang w:val="es-ES" w:eastAsia="es-ES"/>
              </w:rPr>
              <w:t>4  Transferencias corrientes</w:t>
            </w:r>
          </w:p>
        </w:tc>
        <w:tc>
          <w:tcPr>
            <w:tcW w:w="948"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45.812</w:t>
            </w:r>
          </w:p>
        </w:tc>
        <w:tc>
          <w:tcPr>
            <w:tcW w:w="1102"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470</w:t>
            </w:r>
          </w:p>
        </w:tc>
        <w:tc>
          <w:tcPr>
            <w:tcW w:w="902"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162</w:t>
            </w:r>
          </w:p>
        </w:tc>
        <w:tc>
          <w:tcPr>
            <w:tcW w:w="1040"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89</w:t>
            </w:r>
          </w:p>
        </w:tc>
        <w:tc>
          <w:tcPr>
            <w:tcW w:w="1072"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46.533</w:t>
            </w:r>
          </w:p>
        </w:tc>
        <w:tc>
          <w:tcPr>
            <w:tcW w:w="960"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1</w:t>
            </w:r>
          </w:p>
        </w:tc>
      </w:tr>
      <w:tr w:rsidR="00303E2A" w:rsidRPr="00C92E2E" w:rsidTr="00156E70">
        <w:trPr>
          <w:trHeight w:val="284"/>
        </w:trPr>
        <w:tc>
          <w:tcPr>
            <w:tcW w:w="2880" w:type="dxa"/>
            <w:tcBorders>
              <w:top w:val="single" w:sz="2" w:space="0" w:color="auto"/>
              <w:left w:val="nil"/>
              <w:bottom w:val="single" w:sz="2" w:space="0" w:color="auto"/>
              <w:right w:val="nil"/>
            </w:tcBorders>
            <w:shd w:val="clear" w:color="auto" w:fill="auto"/>
            <w:noWrap/>
            <w:vAlign w:val="center"/>
          </w:tcPr>
          <w:p w:rsidR="00303E2A" w:rsidRPr="00303E2A" w:rsidRDefault="00303E2A" w:rsidP="00B66928">
            <w:pPr>
              <w:spacing w:after="0"/>
              <w:ind w:firstLine="0"/>
              <w:jc w:val="left"/>
              <w:rPr>
                <w:rFonts w:ascii="Arial Narrow" w:hAnsi="Arial Narrow" w:cs="Arial"/>
                <w:sz w:val="19"/>
                <w:szCs w:val="19"/>
                <w:lang w:val="es-ES" w:eastAsia="es-ES"/>
              </w:rPr>
            </w:pPr>
            <w:r w:rsidRPr="00303E2A">
              <w:rPr>
                <w:rFonts w:ascii="Arial Narrow" w:hAnsi="Arial Narrow" w:cs="Arial"/>
                <w:sz w:val="19"/>
                <w:szCs w:val="19"/>
                <w:lang w:val="es-ES" w:eastAsia="es-ES"/>
              </w:rPr>
              <w:t>6  Inversiones reales</w:t>
            </w:r>
          </w:p>
        </w:tc>
        <w:tc>
          <w:tcPr>
            <w:tcW w:w="948"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48.775</w:t>
            </w:r>
          </w:p>
        </w:tc>
        <w:tc>
          <w:tcPr>
            <w:tcW w:w="1102"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25.750</w:t>
            </w:r>
          </w:p>
        </w:tc>
        <w:tc>
          <w:tcPr>
            <w:tcW w:w="902"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24.814</w:t>
            </w:r>
          </w:p>
        </w:tc>
        <w:tc>
          <w:tcPr>
            <w:tcW w:w="1040"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11.891</w:t>
            </w:r>
          </w:p>
        </w:tc>
        <w:tc>
          <w:tcPr>
            <w:tcW w:w="1072"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111.230</w:t>
            </w:r>
          </w:p>
        </w:tc>
        <w:tc>
          <w:tcPr>
            <w:tcW w:w="960"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3</w:t>
            </w:r>
          </w:p>
        </w:tc>
      </w:tr>
      <w:tr w:rsidR="00303E2A" w:rsidRPr="00C92E2E" w:rsidTr="00156E70">
        <w:trPr>
          <w:trHeight w:val="284"/>
        </w:trPr>
        <w:tc>
          <w:tcPr>
            <w:tcW w:w="2880" w:type="dxa"/>
            <w:tcBorders>
              <w:top w:val="single" w:sz="2" w:space="0" w:color="auto"/>
              <w:left w:val="nil"/>
              <w:bottom w:val="single" w:sz="2" w:space="0" w:color="auto"/>
              <w:right w:val="nil"/>
            </w:tcBorders>
            <w:shd w:val="clear" w:color="auto" w:fill="auto"/>
            <w:noWrap/>
            <w:vAlign w:val="center"/>
          </w:tcPr>
          <w:p w:rsidR="00303E2A" w:rsidRPr="00303E2A" w:rsidRDefault="00303E2A" w:rsidP="00B66928">
            <w:pPr>
              <w:spacing w:after="0"/>
              <w:ind w:firstLine="0"/>
              <w:jc w:val="left"/>
              <w:rPr>
                <w:rFonts w:ascii="Arial Narrow" w:hAnsi="Arial Narrow" w:cs="Arial"/>
                <w:sz w:val="19"/>
                <w:szCs w:val="19"/>
                <w:lang w:val="es-ES" w:eastAsia="es-ES"/>
              </w:rPr>
            </w:pPr>
            <w:r w:rsidRPr="00303E2A">
              <w:rPr>
                <w:rFonts w:ascii="Arial Narrow" w:hAnsi="Arial Narrow" w:cs="Arial"/>
                <w:sz w:val="19"/>
                <w:szCs w:val="19"/>
                <w:lang w:val="es-ES" w:eastAsia="es-ES"/>
              </w:rPr>
              <w:t>7  Transferencias de capital</w:t>
            </w:r>
          </w:p>
        </w:tc>
        <w:tc>
          <w:tcPr>
            <w:tcW w:w="948"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54.167</w:t>
            </w:r>
          </w:p>
        </w:tc>
        <w:tc>
          <w:tcPr>
            <w:tcW w:w="1102"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15.560</w:t>
            </w:r>
          </w:p>
        </w:tc>
        <w:tc>
          <w:tcPr>
            <w:tcW w:w="902"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314</w:t>
            </w:r>
          </w:p>
        </w:tc>
        <w:tc>
          <w:tcPr>
            <w:tcW w:w="1040"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1.008</w:t>
            </w:r>
          </w:p>
        </w:tc>
        <w:tc>
          <w:tcPr>
            <w:tcW w:w="1072"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71.049</w:t>
            </w:r>
          </w:p>
        </w:tc>
        <w:tc>
          <w:tcPr>
            <w:tcW w:w="960"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2</w:t>
            </w:r>
          </w:p>
        </w:tc>
      </w:tr>
      <w:tr w:rsidR="00303E2A" w:rsidRPr="00C92E2E" w:rsidTr="00156E70">
        <w:trPr>
          <w:trHeight w:val="284"/>
        </w:trPr>
        <w:tc>
          <w:tcPr>
            <w:tcW w:w="2880" w:type="dxa"/>
            <w:tcBorders>
              <w:top w:val="single" w:sz="2" w:space="0" w:color="auto"/>
              <w:left w:val="nil"/>
              <w:bottom w:val="single" w:sz="2" w:space="0" w:color="auto"/>
              <w:right w:val="nil"/>
            </w:tcBorders>
            <w:shd w:val="clear" w:color="auto" w:fill="auto"/>
            <w:noWrap/>
            <w:vAlign w:val="center"/>
          </w:tcPr>
          <w:p w:rsidR="00303E2A" w:rsidRPr="00303E2A" w:rsidRDefault="00303E2A" w:rsidP="00B66928">
            <w:pPr>
              <w:spacing w:after="0"/>
              <w:ind w:firstLine="0"/>
              <w:jc w:val="left"/>
              <w:rPr>
                <w:rFonts w:ascii="Arial Narrow" w:hAnsi="Arial Narrow" w:cs="Arial"/>
                <w:sz w:val="19"/>
                <w:szCs w:val="19"/>
                <w:lang w:val="es-ES" w:eastAsia="es-ES"/>
              </w:rPr>
            </w:pPr>
            <w:r w:rsidRPr="00303E2A">
              <w:rPr>
                <w:rFonts w:ascii="Arial Narrow" w:hAnsi="Arial Narrow" w:cs="Arial"/>
                <w:sz w:val="19"/>
                <w:szCs w:val="19"/>
                <w:lang w:val="es-ES" w:eastAsia="es-ES"/>
              </w:rPr>
              <w:t xml:space="preserve">8 </w:t>
            </w:r>
            <w:r>
              <w:rPr>
                <w:rFonts w:ascii="Arial Narrow" w:hAnsi="Arial Narrow" w:cs="Arial"/>
                <w:sz w:val="19"/>
                <w:szCs w:val="19"/>
                <w:lang w:val="es-ES" w:eastAsia="es-ES"/>
              </w:rPr>
              <w:t xml:space="preserve"> </w:t>
            </w:r>
            <w:r w:rsidRPr="00303E2A">
              <w:rPr>
                <w:rFonts w:ascii="Arial Narrow" w:hAnsi="Arial Narrow" w:cs="Arial"/>
                <w:sz w:val="19"/>
                <w:szCs w:val="19"/>
                <w:lang w:val="es-ES" w:eastAsia="es-ES"/>
              </w:rPr>
              <w:t>Activos financieros</w:t>
            </w:r>
          </w:p>
        </w:tc>
        <w:tc>
          <w:tcPr>
            <w:tcW w:w="948"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8.500</w:t>
            </w:r>
          </w:p>
        </w:tc>
        <w:tc>
          <w:tcPr>
            <w:tcW w:w="1102"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9.350</w:t>
            </w:r>
          </w:p>
        </w:tc>
        <w:tc>
          <w:tcPr>
            <w:tcW w:w="902"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8.350</w:t>
            </w:r>
          </w:p>
        </w:tc>
        <w:tc>
          <w:tcPr>
            <w:tcW w:w="1040"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33.800</w:t>
            </w:r>
          </w:p>
        </w:tc>
        <w:tc>
          <w:tcPr>
            <w:tcW w:w="1072"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60.000</w:t>
            </w:r>
          </w:p>
        </w:tc>
        <w:tc>
          <w:tcPr>
            <w:tcW w:w="960"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2</w:t>
            </w:r>
          </w:p>
        </w:tc>
      </w:tr>
      <w:tr w:rsidR="00303E2A" w:rsidRPr="00C92E2E" w:rsidTr="00156E70">
        <w:trPr>
          <w:trHeight w:val="284"/>
        </w:trPr>
        <w:tc>
          <w:tcPr>
            <w:tcW w:w="2880" w:type="dxa"/>
            <w:tcBorders>
              <w:top w:val="single" w:sz="2" w:space="0" w:color="auto"/>
              <w:left w:val="nil"/>
              <w:bottom w:val="single" w:sz="4" w:space="0" w:color="auto"/>
              <w:right w:val="nil"/>
            </w:tcBorders>
            <w:shd w:val="clear" w:color="auto" w:fill="auto"/>
            <w:noWrap/>
            <w:vAlign w:val="center"/>
          </w:tcPr>
          <w:p w:rsidR="00303E2A" w:rsidRPr="00303E2A" w:rsidRDefault="00303E2A" w:rsidP="00B66928">
            <w:pPr>
              <w:spacing w:after="0"/>
              <w:ind w:firstLine="0"/>
              <w:jc w:val="left"/>
              <w:rPr>
                <w:rFonts w:ascii="Arial Narrow" w:hAnsi="Arial Narrow" w:cs="Arial"/>
                <w:sz w:val="19"/>
                <w:szCs w:val="19"/>
                <w:lang w:val="es-ES" w:eastAsia="es-ES"/>
              </w:rPr>
            </w:pPr>
            <w:r w:rsidRPr="00303E2A">
              <w:rPr>
                <w:rFonts w:ascii="Arial Narrow" w:hAnsi="Arial Narrow" w:cs="Arial"/>
                <w:sz w:val="19"/>
                <w:szCs w:val="19"/>
                <w:lang w:val="es-ES" w:eastAsia="es-ES"/>
              </w:rPr>
              <w:t>9  Pasivos financieros</w:t>
            </w:r>
          </w:p>
        </w:tc>
        <w:tc>
          <w:tcPr>
            <w:tcW w:w="948" w:type="dxa"/>
            <w:tcBorders>
              <w:top w:val="single" w:sz="2" w:space="0" w:color="auto"/>
              <w:left w:val="nil"/>
              <w:bottom w:val="single" w:sz="4"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346.079</w:t>
            </w:r>
          </w:p>
        </w:tc>
        <w:tc>
          <w:tcPr>
            <w:tcW w:w="1102" w:type="dxa"/>
            <w:tcBorders>
              <w:top w:val="single" w:sz="2" w:space="0" w:color="auto"/>
              <w:left w:val="nil"/>
              <w:bottom w:val="single" w:sz="4"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308.930</w:t>
            </w:r>
          </w:p>
        </w:tc>
        <w:tc>
          <w:tcPr>
            <w:tcW w:w="902" w:type="dxa"/>
            <w:tcBorders>
              <w:top w:val="single" w:sz="2" w:space="0" w:color="auto"/>
              <w:left w:val="nil"/>
              <w:bottom w:val="single" w:sz="4"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255.981</w:t>
            </w:r>
          </w:p>
        </w:tc>
        <w:tc>
          <w:tcPr>
            <w:tcW w:w="1040" w:type="dxa"/>
            <w:tcBorders>
              <w:top w:val="single" w:sz="2" w:space="0" w:color="auto"/>
              <w:left w:val="nil"/>
              <w:bottom w:val="single" w:sz="4"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1.924.061</w:t>
            </w:r>
          </w:p>
        </w:tc>
        <w:tc>
          <w:tcPr>
            <w:tcW w:w="1072" w:type="dxa"/>
            <w:tcBorders>
              <w:top w:val="single" w:sz="2" w:space="0" w:color="auto"/>
              <w:left w:val="nil"/>
              <w:bottom w:val="single" w:sz="4"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2.835.051</w:t>
            </w:r>
          </w:p>
        </w:tc>
        <w:tc>
          <w:tcPr>
            <w:tcW w:w="960" w:type="dxa"/>
            <w:tcBorders>
              <w:top w:val="single" w:sz="2" w:space="0" w:color="auto"/>
              <w:left w:val="nil"/>
              <w:bottom w:val="single" w:sz="4"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r w:rsidRPr="002848E5">
              <w:rPr>
                <w:rFonts w:ascii="Arial Narrow" w:hAnsi="Arial Narrow" w:cs="Arial"/>
                <w:lang w:val="es-ES" w:eastAsia="es-ES"/>
              </w:rPr>
              <w:t>73</w:t>
            </w:r>
          </w:p>
        </w:tc>
      </w:tr>
      <w:tr w:rsidR="00303E2A" w:rsidRPr="00B66928" w:rsidTr="00156E70">
        <w:trPr>
          <w:trHeight w:val="284"/>
        </w:trPr>
        <w:tc>
          <w:tcPr>
            <w:tcW w:w="2880" w:type="dxa"/>
            <w:tcBorders>
              <w:top w:val="single" w:sz="4" w:space="0" w:color="auto"/>
              <w:left w:val="nil"/>
              <w:bottom w:val="single" w:sz="4" w:space="0" w:color="auto"/>
              <w:right w:val="nil"/>
            </w:tcBorders>
            <w:shd w:val="clear" w:color="auto" w:fill="A8CBEE" w:themeFill="accent2" w:themeFillTint="66"/>
            <w:noWrap/>
            <w:vAlign w:val="center"/>
          </w:tcPr>
          <w:p w:rsidR="00303E2A" w:rsidRPr="00B66928" w:rsidRDefault="00303E2A" w:rsidP="00B66928">
            <w:pPr>
              <w:pStyle w:val="cuadroCabe"/>
              <w:jc w:val="left"/>
              <w:rPr>
                <w:szCs w:val="18"/>
                <w:lang w:val="es-ES" w:eastAsia="es-ES"/>
              </w:rPr>
            </w:pPr>
            <w:r w:rsidRPr="00B66928">
              <w:rPr>
                <w:szCs w:val="18"/>
                <w:lang w:val="es-ES" w:eastAsia="es-ES"/>
              </w:rPr>
              <w:t>Total </w:t>
            </w:r>
            <w:r w:rsidR="00DC44BA" w:rsidRPr="00B66928">
              <w:rPr>
                <w:szCs w:val="18"/>
                <w:lang w:val="es-ES" w:eastAsia="es-ES"/>
              </w:rPr>
              <w:t>gastos ejercicios futuros</w:t>
            </w:r>
          </w:p>
        </w:tc>
        <w:tc>
          <w:tcPr>
            <w:tcW w:w="948" w:type="dxa"/>
            <w:tcBorders>
              <w:top w:val="single" w:sz="4" w:space="0" w:color="auto"/>
              <w:left w:val="nil"/>
              <w:bottom w:val="single" w:sz="4" w:space="0" w:color="auto"/>
              <w:right w:val="nil"/>
            </w:tcBorders>
            <w:shd w:val="clear" w:color="auto" w:fill="A8CBEE" w:themeFill="accent2" w:themeFillTint="66"/>
            <w:noWrap/>
            <w:vAlign w:val="center"/>
          </w:tcPr>
          <w:p w:rsidR="00303E2A" w:rsidRPr="00B66928" w:rsidRDefault="00303E2A" w:rsidP="00B66928">
            <w:pPr>
              <w:pStyle w:val="cuadroCabe"/>
              <w:jc w:val="right"/>
              <w:rPr>
                <w:rFonts w:cs="Arial"/>
              </w:rPr>
            </w:pPr>
            <w:r w:rsidRPr="00B66928">
              <w:rPr>
                <w:rFonts w:cs="Arial"/>
              </w:rPr>
              <w:t>759.477</w:t>
            </w:r>
          </w:p>
        </w:tc>
        <w:tc>
          <w:tcPr>
            <w:tcW w:w="1102" w:type="dxa"/>
            <w:tcBorders>
              <w:top w:val="single" w:sz="4" w:space="0" w:color="auto"/>
              <w:left w:val="nil"/>
              <w:bottom w:val="single" w:sz="4" w:space="0" w:color="auto"/>
              <w:right w:val="nil"/>
            </w:tcBorders>
            <w:shd w:val="clear" w:color="auto" w:fill="A8CBEE" w:themeFill="accent2" w:themeFillTint="66"/>
            <w:noWrap/>
            <w:vAlign w:val="center"/>
          </w:tcPr>
          <w:p w:rsidR="00303E2A" w:rsidRPr="00B66928" w:rsidRDefault="00303E2A" w:rsidP="00B66928">
            <w:pPr>
              <w:pStyle w:val="cuadroCabe"/>
              <w:jc w:val="right"/>
              <w:rPr>
                <w:rFonts w:cs="Arial"/>
              </w:rPr>
            </w:pPr>
            <w:r w:rsidRPr="00B66928">
              <w:rPr>
                <w:rFonts w:cs="Arial"/>
              </w:rPr>
              <w:t>496.064</w:t>
            </w:r>
          </w:p>
        </w:tc>
        <w:tc>
          <w:tcPr>
            <w:tcW w:w="902" w:type="dxa"/>
            <w:tcBorders>
              <w:top w:val="single" w:sz="4" w:space="0" w:color="auto"/>
              <w:left w:val="nil"/>
              <w:bottom w:val="single" w:sz="4" w:space="0" w:color="auto"/>
              <w:right w:val="nil"/>
            </w:tcBorders>
            <w:shd w:val="clear" w:color="auto" w:fill="A8CBEE" w:themeFill="accent2" w:themeFillTint="66"/>
            <w:noWrap/>
            <w:vAlign w:val="center"/>
          </w:tcPr>
          <w:p w:rsidR="00303E2A" w:rsidRPr="00B66928" w:rsidRDefault="00303E2A" w:rsidP="00B66928">
            <w:pPr>
              <w:pStyle w:val="cuadroCabe"/>
              <w:jc w:val="right"/>
              <w:rPr>
                <w:rFonts w:cs="Arial"/>
              </w:rPr>
            </w:pPr>
            <w:r w:rsidRPr="00B66928">
              <w:rPr>
                <w:rFonts w:cs="Arial"/>
              </w:rPr>
              <w:t>388.637</w:t>
            </w:r>
          </w:p>
        </w:tc>
        <w:tc>
          <w:tcPr>
            <w:tcW w:w="1040" w:type="dxa"/>
            <w:tcBorders>
              <w:top w:val="single" w:sz="4" w:space="0" w:color="auto"/>
              <w:left w:val="nil"/>
              <w:bottom w:val="single" w:sz="4" w:space="0" w:color="auto"/>
              <w:right w:val="nil"/>
            </w:tcBorders>
            <w:shd w:val="clear" w:color="auto" w:fill="A8CBEE" w:themeFill="accent2" w:themeFillTint="66"/>
            <w:noWrap/>
            <w:vAlign w:val="center"/>
          </w:tcPr>
          <w:p w:rsidR="00303E2A" w:rsidRPr="00B66928" w:rsidRDefault="00303E2A" w:rsidP="00B66928">
            <w:pPr>
              <w:pStyle w:val="cuadroCabe"/>
              <w:jc w:val="right"/>
              <w:rPr>
                <w:rFonts w:cs="Arial"/>
              </w:rPr>
            </w:pPr>
            <w:r w:rsidRPr="00B66928">
              <w:rPr>
                <w:rFonts w:cs="Arial"/>
              </w:rPr>
              <w:t>2.220.075</w:t>
            </w:r>
          </w:p>
        </w:tc>
        <w:tc>
          <w:tcPr>
            <w:tcW w:w="1072" w:type="dxa"/>
            <w:tcBorders>
              <w:top w:val="single" w:sz="4" w:space="0" w:color="auto"/>
              <w:left w:val="nil"/>
              <w:bottom w:val="single" w:sz="4" w:space="0" w:color="auto"/>
              <w:right w:val="nil"/>
            </w:tcBorders>
            <w:shd w:val="clear" w:color="auto" w:fill="A8CBEE" w:themeFill="accent2" w:themeFillTint="66"/>
            <w:noWrap/>
            <w:vAlign w:val="center"/>
          </w:tcPr>
          <w:p w:rsidR="00303E2A" w:rsidRPr="00B66928" w:rsidRDefault="00303E2A" w:rsidP="00B66928">
            <w:pPr>
              <w:pStyle w:val="cuadroCabe"/>
              <w:jc w:val="right"/>
              <w:rPr>
                <w:rFonts w:cs="Arial"/>
              </w:rPr>
            </w:pPr>
            <w:r w:rsidRPr="00B66928">
              <w:rPr>
                <w:rFonts w:cs="Arial"/>
              </w:rPr>
              <w:t>3.864.253</w:t>
            </w:r>
          </w:p>
        </w:tc>
        <w:tc>
          <w:tcPr>
            <w:tcW w:w="960" w:type="dxa"/>
            <w:tcBorders>
              <w:top w:val="single" w:sz="4" w:space="0" w:color="auto"/>
              <w:left w:val="nil"/>
              <w:bottom w:val="single" w:sz="4" w:space="0" w:color="auto"/>
              <w:right w:val="nil"/>
            </w:tcBorders>
            <w:shd w:val="clear" w:color="auto" w:fill="A8CBEE" w:themeFill="accent2" w:themeFillTint="66"/>
            <w:noWrap/>
            <w:vAlign w:val="center"/>
          </w:tcPr>
          <w:p w:rsidR="00303E2A" w:rsidRPr="00B66928" w:rsidRDefault="00303E2A" w:rsidP="00B66928">
            <w:pPr>
              <w:pStyle w:val="cuadroCabe"/>
              <w:jc w:val="right"/>
              <w:rPr>
                <w:rFonts w:cs="Arial"/>
              </w:rPr>
            </w:pPr>
            <w:r w:rsidRPr="00B66928">
              <w:rPr>
                <w:rFonts w:cs="Arial"/>
              </w:rPr>
              <w:t>100</w:t>
            </w:r>
          </w:p>
        </w:tc>
      </w:tr>
      <w:tr w:rsidR="00303E2A" w:rsidRPr="00C92E2E" w:rsidTr="00156E70">
        <w:trPr>
          <w:trHeight w:val="284"/>
        </w:trPr>
        <w:tc>
          <w:tcPr>
            <w:tcW w:w="2880" w:type="dxa"/>
            <w:tcBorders>
              <w:top w:val="single" w:sz="4" w:space="0" w:color="auto"/>
              <w:left w:val="nil"/>
              <w:bottom w:val="single" w:sz="4" w:space="0" w:color="auto"/>
              <w:right w:val="nil"/>
            </w:tcBorders>
            <w:shd w:val="clear" w:color="auto" w:fill="auto"/>
            <w:noWrap/>
            <w:vAlign w:val="center"/>
          </w:tcPr>
          <w:p w:rsidR="00303E2A" w:rsidRPr="00303E2A" w:rsidRDefault="00303E2A" w:rsidP="00B66928">
            <w:pPr>
              <w:spacing w:after="0"/>
              <w:ind w:firstLine="0"/>
              <w:jc w:val="left"/>
              <w:rPr>
                <w:rFonts w:ascii="Arial" w:hAnsi="Arial" w:cs="Arial"/>
                <w:i/>
                <w:sz w:val="19"/>
                <w:szCs w:val="19"/>
                <w:lang w:val="es-ES" w:eastAsia="es-ES"/>
              </w:rPr>
            </w:pPr>
            <w:r w:rsidRPr="00303E2A">
              <w:rPr>
                <w:rFonts w:ascii="Arial Narrow" w:hAnsi="Arial Narrow" w:cs="Arial"/>
                <w:i/>
                <w:sz w:val="19"/>
                <w:szCs w:val="19"/>
                <w:lang w:val="es-ES" w:eastAsia="es-ES"/>
              </w:rPr>
              <w:t>Porcentaje</w:t>
            </w:r>
            <w:r w:rsidR="00E21CB3">
              <w:rPr>
                <w:rFonts w:ascii="Arial Narrow" w:hAnsi="Arial Narrow" w:cs="Arial"/>
                <w:i/>
                <w:sz w:val="19"/>
                <w:szCs w:val="19"/>
                <w:lang w:val="es-ES" w:eastAsia="es-ES"/>
              </w:rPr>
              <w:t xml:space="preserve"> </w:t>
            </w:r>
            <w:r w:rsidRPr="00303E2A">
              <w:rPr>
                <w:rFonts w:ascii="Arial Narrow" w:hAnsi="Arial Narrow" w:cs="Arial"/>
                <w:i/>
                <w:sz w:val="19"/>
                <w:szCs w:val="19"/>
                <w:lang w:val="es-ES" w:eastAsia="es-ES"/>
              </w:rPr>
              <w:t>/</w:t>
            </w:r>
            <w:r w:rsidR="00E21CB3">
              <w:rPr>
                <w:rFonts w:ascii="Arial Narrow" w:hAnsi="Arial Narrow" w:cs="Arial"/>
                <w:i/>
                <w:sz w:val="19"/>
                <w:szCs w:val="19"/>
                <w:lang w:val="es-ES" w:eastAsia="es-ES"/>
              </w:rPr>
              <w:t xml:space="preserve"> </w:t>
            </w:r>
            <w:r w:rsidRPr="00303E2A">
              <w:rPr>
                <w:rFonts w:ascii="Arial Narrow" w:hAnsi="Arial Narrow" w:cs="Arial"/>
                <w:i/>
                <w:sz w:val="19"/>
                <w:szCs w:val="19"/>
                <w:lang w:val="es-ES" w:eastAsia="es-ES"/>
              </w:rPr>
              <w:t>año</w:t>
            </w:r>
          </w:p>
        </w:tc>
        <w:tc>
          <w:tcPr>
            <w:tcW w:w="948" w:type="dxa"/>
            <w:tcBorders>
              <w:top w:val="single" w:sz="4" w:space="0" w:color="auto"/>
              <w:left w:val="nil"/>
              <w:bottom w:val="single" w:sz="4"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i/>
                <w:lang w:val="es-ES" w:eastAsia="es-ES"/>
              </w:rPr>
            </w:pPr>
            <w:r w:rsidRPr="002848E5">
              <w:rPr>
                <w:rFonts w:ascii="Arial Narrow" w:hAnsi="Arial Narrow" w:cs="Arial"/>
                <w:i/>
                <w:lang w:val="es-ES" w:eastAsia="es-ES"/>
              </w:rPr>
              <w:t>20</w:t>
            </w:r>
          </w:p>
        </w:tc>
        <w:tc>
          <w:tcPr>
            <w:tcW w:w="1102" w:type="dxa"/>
            <w:tcBorders>
              <w:top w:val="single" w:sz="4" w:space="0" w:color="auto"/>
              <w:left w:val="nil"/>
              <w:bottom w:val="single" w:sz="4"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i/>
                <w:lang w:val="es-ES" w:eastAsia="es-ES"/>
              </w:rPr>
            </w:pPr>
            <w:r w:rsidRPr="002848E5">
              <w:rPr>
                <w:rFonts w:ascii="Arial Narrow" w:hAnsi="Arial Narrow" w:cs="Arial"/>
                <w:i/>
                <w:lang w:val="es-ES" w:eastAsia="es-ES"/>
              </w:rPr>
              <w:t>13</w:t>
            </w:r>
          </w:p>
        </w:tc>
        <w:tc>
          <w:tcPr>
            <w:tcW w:w="902" w:type="dxa"/>
            <w:tcBorders>
              <w:top w:val="single" w:sz="4" w:space="0" w:color="auto"/>
              <w:left w:val="nil"/>
              <w:bottom w:val="single" w:sz="4"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i/>
                <w:lang w:val="es-ES" w:eastAsia="es-ES"/>
              </w:rPr>
            </w:pPr>
            <w:r w:rsidRPr="002848E5">
              <w:rPr>
                <w:rFonts w:ascii="Arial Narrow" w:hAnsi="Arial Narrow" w:cs="Arial"/>
                <w:i/>
                <w:lang w:val="es-ES" w:eastAsia="es-ES"/>
              </w:rPr>
              <w:t>10</w:t>
            </w:r>
          </w:p>
        </w:tc>
        <w:tc>
          <w:tcPr>
            <w:tcW w:w="1040" w:type="dxa"/>
            <w:tcBorders>
              <w:top w:val="single" w:sz="4" w:space="0" w:color="auto"/>
              <w:left w:val="nil"/>
              <w:bottom w:val="single" w:sz="4"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i/>
                <w:lang w:val="es-ES" w:eastAsia="es-ES"/>
              </w:rPr>
            </w:pPr>
            <w:r w:rsidRPr="002848E5">
              <w:rPr>
                <w:rFonts w:ascii="Arial Narrow" w:hAnsi="Arial Narrow" w:cs="Arial"/>
                <w:i/>
                <w:lang w:val="es-ES" w:eastAsia="es-ES"/>
              </w:rPr>
              <w:t>57</w:t>
            </w:r>
          </w:p>
        </w:tc>
        <w:tc>
          <w:tcPr>
            <w:tcW w:w="1072" w:type="dxa"/>
            <w:tcBorders>
              <w:top w:val="single" w:sz="4" w:space="0" w:color="auto"/>
              <w:left w:val="nil"/>
              <w:bottom w:val="single" w:sz="4"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i/>
                <w:lang w:val="es-ES" w:eastAsia="es-ES"/>
              </w:rPr>
            </w:pPr>
            <w:r w:rsidRPr="002848E5">
              <w:rPr>
                <w:rFonts w:ascii="Arial Narrow" w:hAnsi="Arial Narrow" w:cs="Arial"/>
                <w:i/>
                <w:lang w:val="es-ES" w:eastAsia="es-ES"/>
              </w:rPr>
              <w:t>100</w:t>
            </w:r>
          </w:p>
        </w:tc>
        <w:tc>
          <w:tcPr>
            <w:tcW w:w="960" w:type="dxa"/>
            <w:tcBorders>
              <w:top w:val="single" w:sz="4" w:space="0" w:color="auto"/>
              <w:left w:val="nil"/>
              <w:bottom w:val="single" w:sz="4"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lang w:val="es-ES" w:eastAsia="es-ES"/>
              </w:rPr>
            </w:pPr>
          </w:p>
        </w:tc>
      </w:tr>
    </w:tbl>
    <w:p w:rsidR="00D845E2" w:rsidRDefault="00D845E2" w:rsidP="00D845E2">
      <w:pPr>
        <w:pStyle w:val="Textonotapie"/>
        <w:spacing w:after="0"/>
        <w:ind w:firstLine="0"/>
      </w:pPr>
    </w:p>
    <w:p w:rsidR="00B557D8" w:rsidRDefault="00D845E2" w:rsidP="00B557D8">
      <w:pPr>
        <w:pStyle w:val="texto"/>
      </w:pPr>
      <w:r w:rsidRPr="005F3824">
        <w:t>Los gastos anteriores no incluyen las obligaciones actuariales del Montepío de Funcionarios</w:t>
      </w:r>
      <w:r w:rsidR="00B557D8">
        <w:t>.</w:t>
      </w:r>
    </w:p>
    <w:p w:rsidR="00D845E2" w:rsidRPr="005F3824" w:rsidRDefault="00B557D8" w:rsidP="00B557D8">
      <w:pPr>
        <w:pStyle w:val="texto"/>
      </w:pPr>
      <w:r>
        <w:t>Sobre los gastos</w:t>
      </w:r>
      <w:r w:rsidR="005F3824">
        <w:t xml:space="preserve"> derivados de los proyectos ejecutados mediante la fórmula de colaboración público-privada</w:t>
      </w:r>
      <w:r>
        <w:t>, que no se recogen en los anteriores gastos p</w:t>
      </w:r>
      <w:r>
        <w:t>a</w:t>
      </w:r>
      <w:r>
        <w:t>ra ejercicios futuros, debe analizarse si, por su naturaleza económica, debieran incluirse dentro de las contingencias</w:t>
      </w:r>
      <w:r w:rsidR="00693D88">
        <w:t xml:space="preserve"> del Gobierno de Navarra</w:t>
      </w:r>
      <w:r>
        <w:t xml:space="preserve"> a final del ejerc</w:t>
      </w:r>
      <w:r>
        <w:t>i</w:t>
      </w:r>
      <w:r>
        <w:t>cio.</w:t>
      </w:r>
    </w:p>
    <w:p w:rsidR="00D845E2" w:rsidRDefault="00D845E2" w:rsidP="00B66928">
      <w:pPr>
        <w:pStyle w:val="texto"/>
        <w:spacing w:after="240"/>
        <w:rPr>
          <w:i/>
          <w:lang w:val="es-ES"/>
        </w:rPr>
      </w:pPr>
      <w:r w:rsidRPr="00E57B0E">
        <w:rPr>
          <w:i/>
          <w:lang w:val="es-ES"/>
        </w:rPr>
        <w:t>Recomendamos que</w:t>
      </w:r>
      <w:r w:rsidR="001D5EBE" w:rsidRPr="00E57B0E">
        <w:rPr>
          <w:i/>
          <w:lang w:val="es-ES"/>
        </w:rPr>
        <w:t xml:space="preserve"> el estado de compromisos futuros refleje la totalidad de gastos comprometidos</w:t>
      </w:r>
      <w:r w:rsidR="003409EF" w:rsidRPr="00E57B0E">
        <w:rPr>
          <w:i/>
          <w:lang w:val="es-ES"/>
        </w:rPr>
        <w:t xml:space="preserve"> para ejercicios futuros</w:t>
      </w:r>
      <w:r w:rsidR="001D5EBE" w:rsidRPr="00E57B0E">
        <w:rPr>
          <w:i/>
          <w:lang w:val="es-ES"/>
        </w:rPr>
        <w:t>.</w:t>
      </w:r>
    </w:p>
    <w:p w:rsidR="006274C7" w:rsidRPr="00693D88" w:rsidRDefault="00BA2452" w:rsidP="00693D88">
      <w:pPr>
        <w:pStyle w:val="texto"/>
      </w:pPr>
      <w:r w:rsidRPr="00693D88">
        <w:t xml:space="preserve">En </w:t>
      </w:r>
      <w:r w:rsidRPr="00693D88">
        <w:rPr>
          <w:b/>
        </w:rPr>
        <w:t>definitiva,</w:t>
      </w:r>
      <w:r w:rsidRPr="00693D88">
        <w:t xml:space="preserve"> sobre la situación económico-financiera del Gobierno de N</w:t>
      </w:r>
      <w:r w:rsidRPr="00693D88">
        <w:t>a</w:t>
      </w:r>
      <w:r w:rsidRPr="00693D88">
        <w:t xml:space="preserve">varra en 2015, observamos un cierto </w:t>
      </w:r>
      <w:r w:rsidR="00F7344B" w:rsidRPr="00693D88">
        <w:t>deterioro</w:t>
      </w:r>
      <w:r w:rsidRPr="00693D88">
        <w:t xml:space="preserve"> de sus magnitudes e indicadores</w:t>
      </w:r>
      <w:r w:rsidR="00F7344B" w:rsidRPr="00693D88">
        <w:t xml:space="preserve"> fundamentales, tales como el incremento del saldo negativo del remanente de tesorería, el aumento del valor negativo de su saldo presupuestario no financi</w:t>
      </w:r>
      <w:r w:rsidR="00F7344B" w:rsidRPr="00693D88">
        <w:t>e</w:t>
      </w:r>
      <w:r w:rsidR="00F7344B" w:rsidRPr="00693D88">
        <w:t>ro, la reducción de su ahorro neto y el crecimiento del endeudamiento financi</w:t>
      </w:r>
      <w:r w:rsidR="00F7344B" w:rsidRPr="00693D88">
        <w:t>e</w:t>
      </w:r>
      <w:r w:rsidR="00F7344B" w:rsidRPr="00693D88">
        <w:t>ro.</w:t>
      </w:r>
      <w:bookmarkStart w:id="45" w:name="_Toc463350250"/>
      <w:r w:rsidR="00C97741">
        <w:t xml:space="preserve"> Con especial relevancia, destacamos el importe negativo del remanente de tesorería.</w:t>
      </w:r>
    </w:p>
    <w:p w:rsidR="009B5A06" w:rsidRPr="009B5A06" w:rsidRDefault="009B5A06" w:rsidP="009B5A06">
      <w:pPr>
        <w:pStyle w:val="atitulo2"/>
        <w:spacing w:before="240"/>
      </w:pPr>
      <w:r>
        <w:t>IV.</w:t>
      </w:r>
      <w:r w:rsidR="00B31AA4">
        <w:t>4</w:t>
      </w:r>
      <w:r>
        <w:t xml:space="preserve">. </w:t>
      </w:r>
      <w:r w:rsidRPr="009B5A06">
        <w:t>Principios de estabilidad presupuestaria y sostenibilidad financiera.</w:t>
      </w:r>
      <w:bookmarkEnd w:id="45"/>
    </w:p>
    <w:p w:rsidR="007C07B1" w:rsidRDefault="007C07B1" w:rsidP="004C3AFE">
      <w:pPr>
        <w:pStyle w:val="texto"/>
      </w:pPr>
      <w:r>
        <w:t>El Sector Administración Pública de la Comunidad Foral, delimitado en té</w:t>
      </w:r>
      <w:r>
        <w:t>r</w:t>
      </w:r>
      <w:r>
        <w:t>minos de contabilidad nacional (SEC´2010), está sujeto en 2015 al cumplimie</w:t>
      </w:r>
      <w:r>
        <w:t>n</w:t>
      </w:r>
      <w:r>
        <w:t>to de las siguientes reglas fiscales:</w:t>
      </w:r>
    </w:p>
    <w:p w:rsidR="007C07B1" w:rsidRDefault="007C07B1" w:rsidP="007C07B1">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Principios de estabilidad presupuestaria:</w:t>
      </w:r>
    </w:p>
    <w:p w:rsidR="007C07B1" w:rsidRPr="00B66928" w:rsidRDefault="007C07B1" w:rsidP="007C07B1">
      <w:pPr>
        <w:pStyle w:val="texto"/>
        <w:rPr>
          <w:spacing w:val="4"/>
        </w:rPr>
      </w:pPr>
      <w:r>
        <w:t xml:space="preserve">a) </w:t>
      </w:r>
      <w:r w:rsidR="00094E3B" w:rsidRPr="00B66928">
        <w:rPr>
          <w:spacing w:val="4"/>
        </w:rPr>
        <w:t>Regla de gasto: el gasto computable de 2015 no superará la tasa</w:t>
      </w:r>
      <w:r w:rsidR="00074E22" w:rsidRPr="00B66928">
        <w:rPr>
          <w:spacing w:val="4"/>
        </w:rPr>
        <w:t xml:space="preserve"> de refere</w:t>
      </w:r>
      <w:r w:rsidR="00074E22" w:rsidRPr="00B66928">
        <w:rPr>
          <w:spacing w:val="4"/>
        </w:rPr>
        <w:t>n</w:t>
      </w:r>
      <w:r w:rsidR="00074E22" w:rsidRPr="00B66928">
        <w:rPr>
          <w:spacing w:val="4"/>
        </w:rPr>
        <w:t>cia</w:t>
      </w:r>
      <w:r w:rsidR="00094E3B" w:rsidRPr="00B66928">
        <w:rPr>
          <w:spacing w:val="4"/>
        </w:rPr>
        <w:t xml:space="preserve"> del 1,3 por ciento </w:t>
      </w:r>
      <w:r w:rsidR="003C7495" w:rsidRPr="00B66928">
        <w:rPr>
          <w:spacing w:val="4"/>
        </w:rPr>
        <w:t xml:space="preserve">de incremento </w:t>
      </w:r>
      <w:r w:rsidR="00094E3B" w:rsidRPr="00B66928">
        <w:rPr>
          <w:spacing w:val="4"/>
        </w:rPr>
        <w:t>sobre el gasto computable del año anterior.</w:t>
      </w:r>
      <w:r w:rsidRPr="00B66928">
        <w:rPr>
          <w:spacing w:val="4"/>
        </w:rPr>
        <w:t xml:space="preserve"> </w:t>
      </w:r>
    </w:p>
    <w:p w:rsidR="007C07B1" w:rsidRPr="00B66928" w:rsidRDefault="007C07B1" w:rsidP="007C07B1">
      <w:pPr>
        <w:pStyle w:val="texto"/>
        <w:rPr>
          <w:spacing w:val="4"/>
        </w:rPr>
      </w:pPr>
      <w:r>
        <w:t xml:space="preserve">b) </w:t>
      </w:r>
      <w:r w:rsidRPr="00B66928">
        <w:rPr>
          <w:spacing w:val="4"/>
        </w:rPr>
        <w:t>Sus necesidades de financiación no superarán el 0,7 por ciento de su Pr</w:t>
      </w:r>
      <w:r w:rsidRPr="00B66928">
        <w:rPr>
          <w:spacing w:val="4"/>
        </w:rPr>
        <w:t>o</w:t>
      </w:r>
      <w:r w:rsidRPr="00B66928">
        <w:rPr>
          <w:spacing w:val="4"/>
        </w:rPr>
        <w:t>ducto Interior Bruto (PIB)</w:t>
      </w:r>
      <w:r w:rsidR="00580436" w:rsidRPr="00B66928">
        <w:rPr>
          <w:spacing w:val="4"/>
        </w:rPr>
        <w:t>, de acuerdo con lo pactado entre Navarra y el Estado</w:t>
      </w:r>
      <w:r w:rsidRPr="00B66928">
        <w:rPr>
          <w:spacing w:val="4"/>
        </w:rPr>
        <w:t>.</w:t>
      </w:r>
    </w:p>
    <w:p w:rsidR="007C07B1" w:rsidRDefault="007C07B1" w:rsidP="007C07B1">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Pr>
          <w:lang w:val="es-ES"/>
        </w:rPr>
        <w:lastRenderedPageBreak/>
        <w:t>Principios de sostenibilidad financiera:</w:t>
      </w:r>
    </w:p>
    <w:p w:rsidR="007C07B1" w:rsidRPr="007C07B1" w:rsidRDefault="007C07B1" w:rsidP="00580436">
      <w:pPr>
        <w:pStyle w:val="texto"/>
      </w:pPr>
      <w:r>
        <w:t xml:space="preserve">a) Sostenibilidad del endeudamiento público. </w:t>
      </w:r>
      <w:r w:rsidRPr="007C07B1">
        <w:t>La capacidad máxima de e</w:t>
      </w:r>
      <w:r w:rsidRPr="007C07B1">
        <w:t>n</w:t>
      </w:r>
      <w:r w:rsidRPr="007C07B1">
        <w:t>deudamiento, calculada según la metodología del Protocolo de Déficit Excesivo (PDE), no podrá superar</w:t>
      </w:r>
      <w:r w:rsidR="00074E22">
        <w:t>,</w:t>
      </w:r>
      <w:r w:rsidRPr="007C07B1">
        <w:t xml:space="preserve"> a 31 de diciembre de 2015</w:t>
      </w:r>
      <w:r w:rsidR="00074E22">
        <w:t>,</w:t>
      </w:r>
      <w:r w:rsidRPr="007C07B1">
        <w:t xml:space="preserve"> el 18,3 por ciento del PIB</w:t>
      </w:r>
      <w:r w:rsidR="00580436">
        <w:t>, de acuerdo con lo pactado entre Navarra y el Estado</w:t>
      </w:r>
      <w:r w:rsidR="00580436" w:rsidRPr="007C07B1">
        <w:t>.</w:t>
      </w:r>
    </w:p>
    <w:p w:rsidR="007C07B1" w:rsidRDefault="007E2896" w:rsidP="007E2896">
      <w:pPr>
        <w:pStyle w:val="texto"/>
      </w:pPr>
      <w:r>
        <w:t>b)</w:t>
      </w:r>
      <w:r w:rsidR="007C07B1" w:rsidRPr="007E2896">
        <w:t xml:space="preserve"> Sostenibilidad de la deuda comercial.</w:t>
      </w:r>
      <w:r w:rsidRPr="007E2896">
        <w:t xml:space="preserve">  El indicador de periodo medio de pago a proveedores no debe superar el plazo máximo de pago que fija la no</w:t>
      </w:r>
      <w:r w:rsidRPr="007E2896">
        <w:t>r</w:t>
      </w:r>
      <w:r w:rsidRPr="007E2896">
        <w:t>mativa de morosidad</w:t>
      </w:r>
      <w:r>
        <w:t xml:space="preserve"> regulado en</w:t>
      </w:r>
      <w:r w:rsidRPr="007E2896">
        <w:t xml:space="preserve"> Ley 3/2004, de 29 de diciembre, por la que se establecen medidas de lucha contra la morosidad en las operaciones comerci</w:t>
      </w:r>
      <w:r w:rsidRPr="007E2896">
        <w:t>a</w:t>
      </w:r>
      <w:r w:rsidRPr="007E2896">
        <w:t>les</w:t>
      </w:r>
      <w:r>
        <w:t>.</w:t>
      </w:r>
      <w:r w:rsidR="00777292">
        <w:t xml:space="preserve"> Con carácter general, ese p</w:t>
      </w:r>
      <w:r w:rsidR="00580436">
        <w:t>lazo se fija</w:t>
      </w:r>
      <w:r w:rsidR="00777292">
        <w:t xml:space="preserve"> en 30 días.</w:t>
      </w:r>
    </w:p>
    <w:p w:rsidR="009944BD" w:rsidRPr="009944BD" w:rsidRDefault="007E2896" w:rsidP="00580436">
      <w:pPr>
        <w:pStyle w:val="texto"/>
      </w:pPr>
      <w:r w:rsidRPr="009944BD">
        <w:t xml:space="preserve">c) Prudencia o conjunto de condiciones que deben cumplir las operaciones financieras para minimizar su riego y coste, que se </w:t>
      </w:r>
      <w:r w:rsidR="009944BD" w:rsidRPr="009944BD">
        <w:t>materializa</w:t>
      </w:r>
      <w:r w:rsidR="00026779">
        <w:t xml:space="preserve"> e</w:t>
      </w:r>
      <w:r w:rsidR="009944BD" w:rsidRPr="009944BD">
        <w:t>n:</w:t>
      </w:r>
    </w:p>
    <w:p w:rsidR="009944BD" w:rsidRPr="009944BD" w:rsidRDefault="00130480" w:rsidP="00580436">
      <w:pPr>
        <w:pStyle w:val="texto"/>
      </w:pPr>
      <w:r>
        <w:t>c.1)</w:t>
      </w:r>
      <w:r w:rsidR="009944BD" w:rsidRPr="009944BD">
        <w:t xml:space="preserve"> Pasivos financieros</w:t>
      </w:r>
      <w:r w:rsidR="009944BD">
        <w:t xml:space="preserve"> o endeudamiento. El coste total máximo de las op</w:t>
      </w:r>
      <w:r w:rsidR="009944BD">
        <w:t>e</w:t>
      </w:r>
      <w:r w:rsidR="009944BD">
        <w:t>raciones de endeudamiento, incluyendo comisiones y otros gastos, no podrá s</w:t>
      </w:r>
      <w:r w:rsidR="009944BD">
        <w:t>u</w:t>
      </w:r>
      <w:r w:rsidR="009944BD">
        <w:t xml:space="preserve">perar el coste de financiación del </w:t>
      </w:r>
      <w:r>
        <w:t>E</w:t>
      </w:r>
      <w:r w:rsidR="009944BD">
        <w:t>stado al plazo medio de la operación, incr</w:t>
      </w:r>
      <w:r w:rsidR="009944BD">
        <w:t>e</w:t>
      </w:r>
      <w:r w:rsidR="009944BD">
        <w:t>mentado con unos determi</w:t>
      </w:r>
      <w:r>
        <w:t>nados</w:t>
      </w:r>
      <w:r w:rsidR="009944BD">
        <w:t xml:space="preserve"> diferenciales</w:t>
      </w:r>
      <w:r>
        <w:t>,</w:t>
      </w:r>
      <w:r w:rsidR="009944BD">
        <w:t xml:space="preserve"> de acuerdo con la </w:t>
      </w:r>
      <w:r>
        <w:t>R</w:t>
      </w:r>
      <w:r w:rsidR="009944BD">
        <w:t>esolución</w:t>
      </w:r>
      <w:r>
        <w:t xml:space="preserve"> de 31 de julio de 2015</w:t>
      </w:r>
      <w:r w:rsidR="00B91D05">
        <w:rPr>
          <w:rStyle w:val="Refdenotaalpie"/>
        </w:rPr>
        <w:footnoteReference w:id="9"/>
      </w:r>
      <w:r>
        <w:t>, de la Secretaría General del Tesoro y Política Financiera.</w:t>
      </w:r>
      <w:r w:rsidR="00D54D1C">
        <w:t xml:space="preserve"> Dado que esta Resolución entr</w:t>
      </w:r>
      <w:r w:rsidR="00E133D1">
        <w:t>ó</w:t>
      </w:r>
      <w:r w:rsidR="00D54D1C">
        <w:t xml:space="preserve"> en vigor el 5 de agosto de 2015 y que los pré</w:t>
      </w:r>
      <w:r w:rsidR="00D54D1C">
        <w:t>s</w:t>
      </w:r>
      <w:r w:rsidR="00D54D1C">
        <w:t>tamos concertados por el Gobierno de Navarra en dicho ejercicio se concert</w:t>
      </w:r>
      <w:r w:rsidR="00D54D1C">
        <w:t>a</w:t>
      </w:r>
      <w:r w:rsidR="00D54D1C">
        <w:t xml:space="preserve">ron con anterioridad a dicha fecha, no es aplicable </w:t>
      </w:r>
      <w:r w:rsidR="0066463C">
        <w:t>la misma en</w:t>
      </w:r>
      <w:r w:rsidR="00D54D1C">
        <w:t xml:space="preserve"> este ejercicio</w:t>
      </w:r>
      <w:r w:rsidR="0066463C">
        <w:t>.</w:t>
      </w:r>
    </w:p>
    <w:p w:rsidR="007C07B1" w:rsidRDefault="009944BD" w:rsidP="0058463B">
      <w:pPr>
        <w:pStyle w:val="texto"/>
      </w:pPr>
      <w:r w:rsidRPr="009944BD">
        <w:t>c.2) Avales</w:t>
      </w:r>
      <w:r>
        <w:t>, reavales u otra clase de garantías públicas</w:t>
      </w:r>
      <w:r w:rsidRPr="009944BD">
        <w:t xml:space="preserve">. </w:t>
      </w:r>
      <w:r>
        <w:t>Se establecen</w:t>
      </w:r>
      <w:r w:rsidR="0058463B">
        <w:t xml:space="preserve">, de acuerdo con la Resolución de 9 de septiembre de 2015, de la Secretaría General de Coordinación Autonómica y Local, </w:t>
      </w:r>
      <w:r>
        <w:t>dos límites para la concesión de avales</w:t>
      </w:r>
      <w:r w:rsidR="00437EFF">
        <w:t xml:space="preserve"> </w:t>
      </w:r>
      <w:r w:rsidR="00B04296">
        <w:t>a</w:t>
      </w:r>
      <w:r w:rsidR="00437EFF">
        <w:t xml:space="preserve"> entidades no integrantes del perímetro de consolidación según SEC</w:t>
      </w:r>
      <w:r>
        <w:t>:</w:t>
      </w:r>
      <w:r w:rsidR="00580436" w:rsidRPr="009944BD">
        <w:t xml:space="preserve"> por un l</w:t>
      </w:r>
      <w:r w:rsidR="00580436" w:rsidRPr="009944BD">
        <w:t>a</w:t>
      </w:r>
      <w:r w:rsidR="00580436" w:rsidRPr="009944BD">
        <w:t>do, un límite global de que, a 31 de diciembre de 2015, el importe total de av</w:t>
      </w:r>
      <w:r w:rsidR="00580436" w:rsidRPr="009944BD">
        <w:t>a</w:t>
      </w:r>
      <w:r w:rsidR="00580436" w:rsidRPr="009944BD">
        <w:t>les</w:t>
      </w:r>
      <w:r>
        <w:t xml:space="preserve"> y otras garantías</w:t>
      </w:r>
      <w:r w:rsidR="009D5CC0" w:rsidRPr="009944BD">
        <w:t xml:space="preserve"> concedid</w:t>
      </w:r>
      <w:r>
        <w:t>as</w:t>
      </w:r>
      <w:r w:rsidR="00385AB8">
        <w:t xml:space="preserve"> </w:t>
      </w:r>
      <w:r w:rsidR="00D76236">
        <w:t>más las autorizaciones previstas para el ejerc</w:t>
      </w:r>
      <w:r w:rsidR="00D76236">
        <w:t>i</w:t>
      </w:r>
      <w:r w:rsidR="00D76236">
        <w:t>cio siguiente</w:t>
      </w:r>
      <w:r w:rsidR="00580436" w:rsidRPr="009944BD">
        <w:t xml:space="preserve"> no podrá superar el 1,5 por ciento del PIB de </w:t>
      </w:r>
      <w:r w:rsidR="00C565E1">
        <w:t>Navarra</w:t>
      </w:r>
      <w:r w:rsidR="00580436" w:rsidRPr="009944BD">
        <w:t xml:space="preserve">; por otro, un límite individual, por el cual un aval </w:t>
      </w:r>
      <w:r w:rsidR="00044875">
        <w:t>o</w:t>
      </w:r>
      <w:r>
        <w:t xml:space="preserve"> garantía </w:t>
      </w:r>
      <w:r w:rsidR="009D5CC0" w:rsidRPr="009944BD">
        <w:t>concedid</w:t>
      </w:r>
      <w:r>
        <w:t>a</w:t>
      </w:r>
      <w:r w:rsidR="009D5CC0" w:rsidRPr="009944BD">
        <w:t xml:space="preserve"> </w:t>
      </w:r>
      <w:r w:rsidR="00580436" w:rsidRPr="009944BD">
        <w:t>no podrá superar los 25 millones o el 0,1 por ciento del PIB de Navarra.</w:t>
      </w:r>
    </w:p>
    <w:p w:rsidR="00130480" w:rsidRPr="009241B3" w:rsidRDefault="0058463B" w:rsidP="009241B3">
      <w:pPr>
        <w:pStyle w:val="texto"/>
      </w:pPr>
      <w:r>
        <w:t>c.3) Activos financieros. De acuerdo con la Resolución de 9 de septiembre citada y solo para las Comunidades Autónomas que incumplan el objetivo de deuda pública, éstas no podrán presentar una variación neta de activos financi</w:t>
      </w:r>
      <w:r>
        <w:t>e</w:t>
      </w:r>
      <w:r>
        <w:t xml:space="preserve">ros positiva al cierre del </w:t>
      </w:r>
      <w:r w:rsidR="00D54D1C">
        <w:t xml:space="preserve">siguiente </w:t>
      </w:r>
      <w:r>
        <w:t>eje</w:t>
      </w:r>
      <w:r w:rsidR="00D54D1C">
        <w:t xml:space="preserve">rcicio presupuestario </w:t>
      </w:r>
      <w:r>
        <w:t>al del incumplimie</w:t>
      </w:r>
      <w:r>
        <w:t>n</w:t>
      </w:r>
      <w:r>
        <w:t>to. Dado que Navarra ha cumplido tal objetivo de deuda pública en 2015, no es aplicable esta obligación legal para el ejercicio de 2016.</w:t>
      </w:r>
    </w:p>
    <w:p w:rsidR="00156E70" w:rsidRDefault="00937E99" w:rsidP="006716F0">
      <w:pPr>
        <w:pStyle w:val="texto"/>
        <w:rPr>
          <w:rFonts w:ascii="Times New (W1)" w:hAnsi="Times New (W1)" w:cs="Arial"/>
        </w:rPr>
      </w:pPr>
      <w:r>
        <w:rPr>
          <w:rFonts w:ascii="Times New (W1)" w:hAnsi="Times New (W1)" w:cs="Arial"/>
          <w:lang w:val="es-ES"/>
        </w:rPr>
        <w:t>La</w:t>
      </w:r>
      <w:r w:rsidRPr="0010578F">
        <w:rPr>
          <w:rFonts w:ascii="Times New (W1)" w:hAnsi="Times New (W1)" w:cs="Arial"/>
        </w:rPr>
        <w:t xml:space="preserve"> Intervención General del Estado (IGAE) es el órgano competente para elaborar las cuentas económicas del Sector Administración Públicas y el Mini</w:t>
      </w:r>
      <w:r w:rsidRPr="0010578F">
        <w:rPr>
          <w:rFonts w:ascii="Times New (W1)" w:hAnsi="Times New (W1)" w:cs="Arial"/>
        </w:rPr>
        <w:t>s</w:t>
      </w:r>
      <w:r w:rsidRPr="0010578F">
        <w:rPr>
          <w:rFonts w:ascii="Times New (W1)" w:hAnsi="Times New (W1)" w:cs="Arial"/>
        </w:rPr>
        <w:lastRenderedPageBreak/>
        <w:t xml:space="preserve">terio de </w:t>
      </w:r>
      <w:r>
        <w:rPr>
          <w:rFonts w:ascii="Times New (W1)" w:hAnsi="Times New (W1)" w:cs="Arial"/>
        </w:rPr>
        <w:t>Hacienda y Administraciones Públicas</w:t>
      </w:r>
      <w:r w:rsidRPr="0010578F">
        <w:rPr>
          <w:rFonts w:ascii="Times New (W1)" w:hAnsi="Times New (W1)" w:cs="Arial"/>
        </w:rPr>
        <w:t xml:space="preserve"> </w:t>
      </w:r>
      <w:r>
        <w:rPr>
          <w:rFonts w:ascii="Times New (W1)" w:hAnsi="Times New (W1)" w:cs="Arial"/>
        </w:rPr>
        <w:t>es el encargado de pronunciarse de forma definitiva sobre</w:t>
      </w:r>
      <w:r w:rsidRPr="0010578F">
        <w:rPr>
          <w:rFonts w:ascii="Times New (W1)" w:hAnsi="Times New (W1)" w:cs="Arial"/>
        </w:rPr>
        <w:t xml:space="preserve"> el cumplimiento de</w:t>
      </w:r>
      <w:r>
        <w:rPr>
          <w:rFonts w:ascii="Times New (W1)" w:hAnsi="Times New (W1)" w:cs="Arial"/>
        </w:rPr>
        <w:t xml:space="preserve"> </w:t>
      </w:r>
      <w:r w:rsidRPr="0010578F">
        <w:rPr>
          <w:rFonts w:ascii="Times New (W1)" w:hAnsi="Times New (W1)" w:cs="Arial"/>
        </w:rPr>
        <w:t>l</w:t>
      </w:r>
      <w:r>
        <w:rPr>
          <w:rFonts w:ascii="Times New (W1)" w:hAnsi="Times New (W1)" w:cs="Arial"/>
        </w:rPr>
        <w:t>os</w:t>
      </w:r>
      <w:r w:rsidRPr="0010578F">
        <w:rPr>
          <w:rFonts w:ascii="Times New (W1)" w:hAnsi="Times New (W1)" w:cs="Arial"/>
        </w:rPr>
        <w:t xml:space="preserve"> objetivo</w:t>
      </w:r>
      <w:r>
        <w:rPr>
          <w:rFonts w:ascii="Times New (W1)" w:hAnsi="Times New (W1)" w:cs="Arial"/>
        </w:rPr>
        <w:t>s</w:t>
      </w:r>
      <w:r w:rsidRPr="0010578F">
        <w:rPr>
          <w:rFonts w:ascii="Times New (W1)" w:hAnsi="Times New (W1)" w:cs="Arial"/>
        </w:rPr>
        <w:t xml:space="preserve"> de estabilidad pr</w:t>
      </w:r>
      <w:r w:rsidRPr="0010578F">
        <w:rPr>
          <w:rFonts w:ascii="Times New (W1)" w:hAnsi="Times New (W1)" w:cs="Arial"/>
        </w:rPr>
        <w:t>e</w:t>
      </w:r>
      <w:r w:rsidRPr="0010578F">
        <w:rPr>
          <w:rFonts w:ascii="Times New (W1)" w:hAnsi="Times New (W1)" w:cs="Arial"/>
        </w:rPr>
        <w:t>supuestaria</w:t>
      </w:r>
      <w:r w:rsidR="003E7B6D">
        <w:rPr>
          <w:rFonts w:ascii="Times New (W1)" w:hAnsi="Times New (W1)" w:cs="Arial"/>
        </w:rPr>
        <w:t xml:space="preserve"> y sostenibilidad financiera</w:t>
      </w:r>
      <w:r w:rsidRPr="0010578F">
        <w:rPr>
          <w:rFonts w:ascii="Times New (W1)" w:hAnsi="Times New (W1)" w:cs="Arial"/>
        </w:rPr>
        <w:t>.</w:t>
      </w:r>
    </w:p>
    <w:p w:rsidR="003E7B6D" w:rsidRDefault="003E7B6D" w:rsidP="004C3AFE">
      <w:pPr>
        <w:pStyle w:val="texto"/>
        <w:rPr>
          <w:rFonts w:ascii="Times New (W1)" w:hAnsi="Times New (W1)" w:cs="Arial"/>
        </w:rPr>
      </w:pPr>
      <w:r>
        <w:rPr>
          <w:rFonts w:ascii="Times New (W1)" w:hAnsi="Times New (W1)" w:cs="Arial"/>
        </w:rPr>
        <w:t>En abril de 2016, el citado Ministerio publicó un primer informe</w:t>
      </w:r>
      <w:r w:rsidR="000C7C55">
        <w:rPr>
          <w:rFonts w:ascii="Times New (W1)" w:hAnsi="Times New (W1)" w:cs="Arial"/>
        </w:rPr>
        <w:t xml:space="preserve">, </w:t>
      </w:r>
      <w:r w:rsidR="00754AAC">
        <w:rPr>
          <w:rFonts w:ascii="Times New (W1)" w:hAnsi="Times New (W1)" w:cs="Arial"/>
        </w:rPr>
        <w:t xml:space="preserve">como </w:t>
      </w:r>
      <w:r w:rsidR="000C7C55">
        <w:rPr>
          <w:rFonts w:ascii="Times New (W1)" w:hAnsi="Times New (W1)" w:cs="Arial"/>
        </w:rPr>
        <w:t>avance,</w:t>
      </w:r>
      <w:r>
        <w:rPr>
          <w:rFonts w:ascii="Times New (W1)" w:hAnsi="Times New (W1)" w:cs="Arial"/>
        </w:rPr>
        <w:t xml:space="preserve"> en el que se ponía de manif</w:t>
      </w:r>
      <w:r w:rsidR="0082075C">
        <w:rPr>
          <w:rFonts w:ascii="Times New (W1)" w:hAnsi="Times New (W1)" w:cs="Arial"/>
        </w:rPr>
        <w:t>i</w:t>
      </w:r>
      <w:r>
        <w:rPr>
          <w:rFonts w:ascii="Times New (W1)" w:hAnsi="Times New (W1)" w:cs="Arial"/>
        </w:rPr>
        <w:t>est</w:t>
      </w:r>
      <w:r w:rsidR="0082075C">
        <w:rPr>
          <w:rFonts w:ascii="Times New (W1)" w:hAnsi="Times New (W1)" w:cs="Arial"/>
        </w:rPr>
        <w:t xml:space="preserve">o </w:t>
      </w:r>
      <w:r>
        <w:rPr>
          <w:rFonts w:ascii="Times New (W1)" w:hAnsi="Times New (W1)" w:cs="Arial"/>
        </w:rPr>
        <w:t>el incumplimiento</w:t>
      </w:r>
      <w:r w:rsidR="0082075C">
        <w:rPr>
          <w:rFonts w:ascii="Times New (W1)" w:hAnsi="Times New (W1)" w:cs="Arial"/>
        </w:rPr>
        <w:t xml:space="preserve"> en 2015</w:t>
      </w:r>
      <w:r w:rsidR="00DC6844">
        <w:rPr>
          <w:rFonts w:ascii="Times New (W1)" w:hAnsi="Times New (W1)" w:cs="Arial"/>
        </w:rPr>
        <w:t xml:space="preserve"> </w:t>
      </w:r>
      <w:r>
        <w:rPr>
          <w:rFonts w:ascii="Times New (W1)" w:hAnsi="Times New (W1)" w:cs="Arial"/>
        </w:rPr>
        <w:t>del sector Administración Pública de Navarra del objetivo de estabilidad presupuestaria y de la regla de gasto y el cumplimiento del objetivo de deuda pública.</w:t>
      </w:r>
      <w:r w:rsidR="00457ED4">
        <w:rPr>
          <w:rFonts w:ascii="Times New (W1)" w:hAnsi="Times New (W1)" w:cs="Arial"/>
        </w:rPr>
        <w:t xml:space="preserve"> En oct</w:t>
      </w:r>
      <w:r w:rsidR="00457ED4">
        <w:rPr>
          <w:rFonts w:ascii="Times New (W1)" w:hAnsi="Times New (W1)" w:cs="Arial"/>
        </w:rPr>
        <w:t>u</w:t>
      </w:r>
      <w:r w:rsidR="00457ED4">
        <w:rPr>
          <w:rFonts w:ascii="Times New (W1)" w:hAnsi="Times New (W1)" w:cs="Arial"/>
        </w:rPr>
        <w:t xml:space="preserve">bre de 2016 y de acuerdo con las previsiones de </w:t>
      </w:r>
      <w:r w:rsidR="006716F0">
        <w:rPr>
          <w:rFonts w:ascii="Times New (W1)" w:hAnsi="Times New (W1)" w:cs="Arial"/>
        </w:rPr>
        <w:t xml:space="preserve">la LOEPySF, </w:t>
      </w:r>
      <w:r>
        <w:rPr>
          <w:rFonts w:ascii="Times New (W1)" w:hAnsi="Times New (W1)" w:cs="Arial"/>
        </w:rPr>
        <w:t>el Ministerio elabora un segundo informe</w:t>
      </w:r>
      <w:r w:rsidR="000C7C55">
        <w:rPr>
          <w:rFonts w:ascii="Times New (W1)" w:hAnsi="Times New (W1)" w:cs="Arial"/>
        </w:rPr>
        <w:t xml:space="preserve"> </w:t>
      </w:r>
      <w:r>
        <w:rPr>
          <w:rFonts w:ascii="Times New (W1)" w:hAnsi="Times New (W1)" w:cs="Arial"/>
        </w:rPr>
        <w:t>sobre el grado de cumplimiento de tales objetivos</w:t>
      </w:r>
      <w:r w:rsidR="006716F0">
        <w:rPr>
          <w:rFonts w:ascii="Times New (W1)" w:hAnsi="Times New (W1)" w:cs="Arial"/>
        </w:rPr>
        <w:t>, confirmando los incumplimientos anteriores</w:t>
      </w:r>
      <w:r w:rsidR="007A0BF5">
        <w:rPr>
          <w:rFonts w:ascii="Times New (W1)" w:hAnsi="Times New (W1)" w:cs="Arial"/>
        </w:rPr>
        <w:t>.</w:t>
      </w:r>
    </w:p>
    <w:p w:rsidR="004C3AFE" w:rsidRDefault="000C7C55" w:rsidP="00156E70">
      <w:pPr>
        <w:pStyle w:val="texto"/>
        <w:spacing w:after="360"/>
      </w:pPr>
      <w:r>
        <w:t xml:space="preserve">A </w:t>
      </w:r>
      <w:r w:rsidR="00937E99">
        <w:t>continuación pasamos</w:t>
      </w:r>
      <w:r w:rsidR="008E225A">
        <w:t xml:space="preserve"> a analizar el grado de cumplimiento de las </w:t>
      </w:r>
      <w:r w:rsidR="00580436">
        <w:t>anteri</w:t>
      </w:r>
      <w:r w:rsidR="00580436">
        <w:t>o</w:t>
      </w:r>
      <w:r w:rsidR="00580436">
        <w:t>res reglas fiscales</w:t>
      </w:r>
      <w:r w:rsidR="00074E22">
        <w:t>:</w:t>
      </w:r>
      <w:r w:rsidR="008E225A">
        <w:t xml:space="preserve"> </w:t>
      </w:r>
    </w:p>
    <w:p w:rsidR="004C3AFE" w:rsidRPr="005E2C55" w:rsidRDefault="00495E05" w:rsidP="005E2C55">
      <w:pPr>
        <w:pStyle w:val="atitulo3"/>
      </w:pPr>
      <w:r>
        <w:t>I</w:t>
      </w:r>
      <w:r w:rsidR="004C3AFE" w:rsidRPr="005E2C55">
        <w:t>V.</w:t>
      </w:r>
      <w:r w:rsidR="00B31AA4">
        <w:t>4</w:t>
      </w:r>
      <w:r w:rsidR="004C3AFE" w:rsidRPr="005E2C55">
        <w:t>.1. Estabilidad presupuestaria</w:t>
      </w:r>
    </w:p>
    <w:p w:rsidR="001159E2" w:rsidRDefault="001159E2" w:rsidP="004C3AFE">
      <w:pPr>
        <w:pStyle w:val="texto"/>
      </w:pPr>
      <w:r>
        <w:t>De acuerdo con la información analizada, concluimos:</w:t>
      </w:r>
    </w:p>
    <w:p w:rsidR="001159E2" w:rsidRDefault="001159E2" w:rsidP="00156E70">
      <w:pPr>
        <w:pStyle w:val="texto"/>
        <w:spacing w:after="300"/>
      </w:pPr>
      <w:r w:rsidRPr="008B70CA">
        <w:rPr>
          <w:b/>
        </w:rPr>
        <w:t>1</w:t>
      </w:r>
      <w:r w:rsidR="008B70CA" w:rsidRPr="008B70CA">
        <w:rPr>
          <w:b/>
        </w:rPr>
        <w:t>.</w:t>
      </w:r>
      <w:r w:rsidRPr="008B70CA">
        <w:rPr>
          <w:b/>
        </w:rPr>
        <w:t xml:space="preserve">º </w:t>
      </w:r>
      <w:r w:rsidR="00074E22" w:rsidRPr="00074E22">
        <w:t xml:space="preserve">Regla de gasto. </w:t>
      </w:r>
      <w:r w:rsidR="00413509">
        <w:t xml:space="preserve">De acuerdo con los datos </w:t>
      </w:r>
      <w:r w:rsidR="005F6E06">
        <w:t>calculados</w:t>
      </w:r>
      <w:r w:rsidR="00413509">
        <w:t xml:space="preserve"> por el Ministerio de Hacienda y Administraciones Públicas, e</w:t>
      </w:r>
      <w:r w:rsidR="00074E22" w:rsidRPr="00074E22">
        <w:t>l Sector Administración Pública de la Comunidad</w:t>
      </w:r>
      <w:r w:rsidR="00413509">
        <w:t xml:space="preserve"> Foral</w:t>
      </w:r>
      <w:r w:rsidR="00074E22" w:rsidRPr="00074E22">
        <w:t xml:space="preserve"> no ha cumplido con la regla de gasto, dado que su gasto computable en 2015 se ha incrementado en un </w:t>
      </w:r>
      <w:r w:rsidR="006716F0">
        <w:t>2,7</w:t>
      </w:r>
      <w:r w:rsidR="00074E22" w:rsidRPr="00074E22">
        <w:t xml:space="preserve"> por ciento respecto al ejerc</w:t>
      </w:r>
      <w:r w:rsidR="00074E22" w:rsidRPr="00074E22">
        <w:t>i</w:t>
      </w:r>
      <w:r w:rsidR="00074E22" w:rsidRPr="00074E22">
        <w:t>cio anterior, cuando la tasa de incremento se fijó en el 1,3 por ciento.</w:t>
      </w:r>
      <w:r w:rsidR="00074E22">
        <w:t xml:space="preserve"> Así:</w:t>
      </w:r>
    </w:p>
    <w:tbl>
      <w:tblPr>
        <w:tblW w:w="8950" w:type="dxa"/>
        <w:jc w:val="center"/>
        <w:tblLayout w:type="fixed"/>
        <w:tblLook w:val="01E0" w:firstRow="1" w:lastRow="1" w:firstColumn="1" w:lastColumn="1" w:noHBand="0" w:noVBand="0"/>
      </w:tblPr>
      <w:tblGrid>
        <w:gridCol w:w="4220"/>
        <w:gridCol w:w="1044"/>
        <w:gridCol w:w="1134"/>
        <w:gridCol w:w="1276"/>
        <w:gridCol w:w="1276"/>
      </w:tblGrid>
      <w:tr w:rsidR="00C267D0" w:rsidRPr="00E54330" w:rsidTr="00667F8F">
        <w:trPr>
          <w:trHeight w:val="284"/>
          <w:jc w:val="center"/>
        </w:trPr>
        <w:tc>
          <w:tcPr>
            <w:tcW w:w="4220" w:type="dxa"/>
            <w:tcBorders>
              <w:top w:val="single" w:sz="4" w:space="0" w:color="auto"/>
              <w:bottom w:val="single" w:sz="4" w:space="0" w:color="auto"/>
            </w:tcBorders>
            <w:shd w:val="clear" w:color="auto" w:fill="A8CBEE" w:themeFill="accent2" w:themeFillTint="66"/>
            <w:vAlign w:val="center"/>
          </w:tcPr>
          <w:p w:rsidR="00C267D0" w:rsidRPr="00E05116" w:rsidRDefault="00C267D0" w:rsidP="00F15FBD">
            <w:pPr>
              <w:pStyle w:val="cuadroCabe"/>
              <w:jc w:val="left"/>
            </w:pPr>
            <w:r>
              <w:t>Regla de gasto- Gasto computable</w:t>
            </w:r>
          </w:p>
        </w:tc>
        <w:tc>
          <w:tcPr>
            <w:tcW w:w="1044" w:type="dxa"/>
            <w:tcBorders>
              <w:top w:val="single" w:sz="4" w:space="0" w:color="auto"/>
              <w:bottom w:val="single" w:sz="4" w:space="0" w:color="auto"/>
            </w:tcBorders>
            <w:shd w:val="clear" w:color="auto" w:fill="A8CBEE" w:themeFill="accent2" w:themeFillTint="66"/>
            <w:vAlign w:val="center"/>
          </w:tcPr>
          <w:p w:rsidR="00C267D0" w:rsidRPr="00074E22" w:rsidRDefault="00C267D0" w:rsidP="00B66928">
            <w:pPr>
              <w:pStyle w:val="cuadroCabe"/>
              <w:jc w:val="right"/>
            </w:pPr>
            <w:r w:rsidRPr="00074E22">
              <w:t>2014</w:t>
            </w:r>
          </w:p>
        </w:tc>
        <w:tc>
          <w:tcPr>
            <w:tcW w:w="1134" w:type="dxa"/>
            <w:tcBorders>
              <w:top w:val="single" w:sz="4" w:space="0" w:color="auto"/>
              <w:bottom w:val="single" w:sz="4" w:space="0" w:color="auto"/>
            </w:tcBorders>
            <w:shd w:val="clear" w:color="auto" w:fill="A8CBEE" w:themeFill="accent2" w:themeFillTint="66"/>
            <w:vAlign w:val="center"/>
          </w:tcPr>
          <w:p w:rsidR="00C267D0" w:rsidRPr="00E05116" w:rsidRDefault="00C267D0" w:rsidP="00B66928">
            <w:pPr>
              <w:pStyle w:val="cuadroCabe"/>
              <w:jc w:val="right"/>
            </w:pPr>
            <w:r>
              <w:t>2015</w:t>
            </w:r>
          </w:p>
        </w:tc>
        <w:tc>
          <w:tcPr>
            <w:tcW w:w="1276" w:type="dxa"/>
            <w:tcBorders>
              <w:top w:val="single" w:sz="4" w:space="0" w:color="auto"/>
              <w:bottom w:val="single" w:sz="4" w:space="0" w:color="auto"/>
            </w:tcBorders>
            <w:shd w:val="clear" w:color="auto" w:fill="A8CBEE" w:themeFill="accent2" w:themeFillTint="66"/>
            <w:vAlign w:val="center"/>
          </w:tcPr>
          <w:p w:rsidR="00B66928" w:rsidRDefault="00C267D0" w:rsidP="00B66928">
            <w:pPr>
              <w:pStyle w:val="cuadroCabe"/>
              <w:jc w:val="right"/>
            </w:pPr>
            <w:r>
              <w:t>% var</w:t>
            </w:r>
            <w:r w:rsidR="00E21CB3">
              <w:t>iac</w:t>
            </w:r>
            <w:r w:rsidR="00667F8F">
              <w:t>ión</w:t>
            </w:r>
            <w:r w:rsidR="00B66928">
              <w:t xml:space="preserve"> </w:t>
            </w:r>
          </w:p>
          <w:p w:rsidR="00C267D0" w:rsidRDefault="00667F8F" w:rsidP="00667F8F">
            <w:pPr>
              <w:pStyle w:val="cuadroCabe"/>
              <w:jc w:val="right"/>
            </w:pPr>
            <w:r>
              <w:t>r</w:t>
            </w:r>
            <w:r w:rsidR="00C267D0">
              <w:t>ealizado</w:t>
            </w:r>
          </w:p>
        </w:tc>
        <w:tc>
          <w:tcPr>
            <w:tcW w:w="1276" w:type="dxa"/>
            <w:tcBorders>
              <w:top w:val="single" w:sz="4" w:space="0" w:color="auto"/>
              <w:bottom w:val="single" w:sz="4" w:space="0" w:color="auto"/>
            </w:tcBorders>
            <w:shd w:val="clear" w:color="auto" w:fill="A8CBEE" w:themeFill="accent2" w:themeFillTint="66"/>
            <w:vAlign w:val="center"/>
          </w:tcPr>
          <w:p w:rsidR="00C267D0" w:rsidRDefault="00C267D0" w:rsidP="00667F8F">
            <w:pPr>
              <w:pStyle w:val="cuadroCabe"/>
              <w:jc w:val="right"/>
            </w:pPr>
            <w:r>
              <w:t>% var</w:t>
            </w:r>
            <w:r w:rsidR="00E21CB3">
              <w:t>iac</w:t>
            </w:r>
            <w:r w:rsidR="00667F8F">
              <w:t>ión</w:t>
            </w:r>
            <w:r>
              <w:t xml:space="preserve"> </w:t>
            </w:r>
            <w:r w:rsidR="00667F8F">
              <w:t>o</w:t>
            </w:r>
            <w:r>
              <w:t>bjetivo</w:t>
            </w:r>
          </w:p>
        </w:tc>
      </w:tr>
      <w:tr w:rsidR="00C267D0" w:rsidRPr="00B66928" w:rsidTr="00667F8F">
        <w:trPr>
          <w:trHeight w:val="290"/>
          <w:jc w:val="center"/>
        </w:trPr>
        <w:tc>
          <w:tcPr>
            <w:tcW w:w="4220" w:type="dxa"/>
            <w:tcBorders>
              <w:top w:val="single" w:sz="2" w:space="0" w:color="auto"/>
              <w:bottom w:val="single" w:sz="4" w:space="0" w:color="auto"/>
            </w:tcBorders>
            <w:vAlign w:val="center"/>
            <w:hideMark/>
          </w:tcPr>
          <w:p w:rsidR="00C267D0" w:rsidRPr="00B66928" w:rsidRDefault="00C267D0" w:rsidP="00B66928">
            <w:pPr>
              <w:pStyle w:val="cuatexto"/>
              <w:jc w:val="left"/>
              <w:rPr>
                <w:szCs w:val="20"/>
              </w:rPr>
            </w:pPr>
            <w:r w:rsidRPr="00B66928">
              <w:rPr>
                <w:szCs w:val="20"/>
              </w:rPr>
              <w:t>Importe (en millones)</w:t>
            </w:r>
          </w:p>
        </w:tc>
        <w:tc>
          <w:tcPr>
            <w:tcW w:w="1044" w:type="dxa"/>
            <w:tcBorders>
              <w:top w:val="single" w:sz="2" w:space="0" w:color="auto"/>
              <w:bottom w:val="single" w:sz="4" w:space="0" w:color="auto"/>
            </w:tcBorders>
            <w:vAlign w:val="center"/>
          </w:tcPr>
          <w:p w:rsidR="00C267D0" w:rsidRPr="00B66928" w:rsidRDefault="006716F0" w:rsidP="00B66928">
            <w:pPr>
              <w:pStyle w:val="cuatexto"/>
              <w:jc w:val="right"/>
              <w:rPr>
                <w:szCs w:val="20"/>
              </w:rPr>
            </w:pPr>
            <w:r>
              <w:rPr>
                <w:szCs w:val="20"/>
              </w:rPr>
              <w:t>2.620</w:t>
            </w:r>
          </w:p>
        </w:tc>
        <w:tc>
          <w:tcPr>
            <w:tcW w:w="1134" w:type="dxa"/>
            <w:tcBorders>
              <w:top w:val="single" w:sz="2" w:space="0" w:color="auto"/>
              <w:bottom w:val="single" w:sz="4" w:space="0" w:color="auto"/>
            </w:tcBorders>
            <w:vAlign w:val="center"/>
          </w:tcPr>
          <w:p w:rsidR="00C267D0" w:rsidRPr="00B66928" w:rsidRDefault="006716F0" w:rsidP="00B66928">
            <w:pPr>
              <w:pStyle w:val="cuatexto"/>
              <w:jc w:val="right"/>
              <w:rPr>
                <w:szCs w:val="20"/>
              </w:rPr>
            </w:pPr>
            <w:r>
              <w:rPr>
                <w:szCs w:val="20"/>
              </w:rPr>
              <w:t>2.691</w:t>
            </w:r>
          </w:p>
        </w:tc>
        <w:tc>
          <w:tcPr>
            <w:tcW w:w="1276" w:type="dxa"/>
            <w:tcBorders>
              <w:top w:val="single" w:sz="2" w:space="0" w:color="auto"/>
              <w:bottom w:val="single" w:sz="4" w:space="0" w:color="auto"/>
            </w:tcBorders>
            <w:vAlign w:val="center"/>
          </w:tcPr>
          <w:p w:rsidR="00C267D0" w:rsidRPr="00B66928" w:rsidRDefault="006716F0" w:rsidP="00B66928">
            <w:pPr>
              <w:pStyle w:val="cuatexto"/>
              <w:jc w:val="right"/>
              <w:rPr>
                <w:szCs w:val="20"/>
              </w:rPr>
            </w:pPr>
            <w:r>
              <w:rPr>
                <w:szCs w:val="20"/>
              </w:rPr>
              <w:t>2,7</w:t>
            </w:r>
          </w:p>
        </w:tc>
        <w:tc>
          <w:tcPr>
            <w:tcW w:w="1276" w:type="dxa"/>
            <w:tcBorders>
              <w:top w:val="single" w:sz="2" w:space="0" w:color="auto"/>
              <w:bottom w:val="single" w:sz="4" w:space="0" w:color="auto"/>
            </w:tcBorders>
            <w:vAlign w:val="center"/>
          </w:tcPr>
          <w:p w:rsidR="00C267D0" w:rsidRPr="00B66928" w:rsidRDefault="00C267D0" w:rsidP="00B66928">
            <w:pPr>
              <w:pStyle w:val="cuatexto"/>
              <w:jc w:val="right"/>
              <w:rPr>
                <w:szCs w:val="20"/>
              </w:rPr>
            </w:pPr>
            <w:r w:rsidRPr="00B66928">
              <w:rPr>
                <w:szCs w:val="20"/>
              </w:rPr>
              <w:t>1,3</w:t>
            </w:r>
          </w:p>
        </w:tc>
      </w:tr>
    </w:tbl>
    <w:p w:rsidR="006E2379" w:rsidRPr="00074E22" w:rsidRDefault="00074E22" w:rsidP="00B66928">
      <w:pPr>
        <w:spacing w:before="60" w:after="0"/>
        <w:ind w:firstLine="0"/>
        <w:jc w:val="left"/>
        <w:rPr>
          <w:rFonts w:ascii="Arial Narrow" w:hAnsi="Arial Narrow" w:cs="Arial"/>
          <w:lang w:val="es-ES" w:eastAsia="es-ES"/>
        </w:rPr>
      </w:pPr>
      <w:r w:rsidRPr="00074E22">
        <w:rPr>
          <w:rFonts w:ascii="Arial Narrow" w:hAnsi="Arial Narrow" w:cs="Arial"/>
          <w:lang w:val="es-ES" w:eastAsia="es-ES"/>
        </w:rPr>
        <w:t>Fuente: Ministerio de Hacienda y Administraciones Públicas</w:t>
      </w:r>
      <w:r w:rsidR="006716F0">
        <w:rPr>
          <w:rFonts w:ascii="Arial Narrow" w:hAnsi="Arial Narrow" w:cs="Arial"/>
          <w:lang w:val="es-ES" w:eastAsia="es-ES"/>
        </w:rPr>
        <w:t xml:space="preserve"> (octubre de 2016)</w:t>
      </w:r>
    </w:p>
    <w:p w:rsidR="009B5A35" w:rsidRDefault="009B5A35" w:rsidP="00156E70">
      <w:pPr>
        <w:pStyle w:val="texto"/>
        <w:spacing w:after="0"/>
        <w:rPr>
          <w:lang w:val="es-ES"/>
        </w:rPr>
      </w:pPr>
    </w:p>
    <w:p w:rsidR="00E16AEA" w:rsidRDefault="00074E22" w:rsidP="00156E70">
      <w:pPr>
        <w:pStyle w:val="texto"/>
      </w:pPr>
      <w:r w:rsidRPr="003C7495">
        <w:t xml:space="preserve">Es decir, el gasto computable se ha excedido en </w:t>
      </w:r>
      <w:r w:rsidR="00CB2C70">
        <w:t>37</w:t>
      </w:r>
      <w:r w:rsidR="003C7495">
        <w:t xml:space="preserve"> millones sobre el incr</w:t>
      </w:r>
      <w:r w:rsidR="003C7495">
        <w:t>e</w:t>
      </w:r>
      <w:r w:rsidR="003C7495">
        <w:t>mento autorizado sobre el gasto de 2014.</w:t>
      </w:r>
    </w:p>
    <w:p w:rsidR="005973F2" w:rsidRPr="003C7495" w:rsidRDefault="005973F2" w:rsidP="00E16AEA">
      <w:pPr>
        <w:pStyle w:val="texto"/>
      </w:pPr>
      <w:r>
        <w:t xml:space="preserve">El Gobierno de Navarra no </w:t>
      </w:r>
      <w:r w:rsidR="007B1F25">
        <w:t>informa en las cuentas generales</w:t>
      </w:r>
      <w:r>
        <w:t xml:space="preserve"> sobre el segu</w:t>
      </w:r>
      <w:r>
        <w:t>i</w:t>
      </w:r>
      <w:r>
        <w:t>miento y verificación de la regla de gasto.</w:t>
      </w:r>
    </w:p>
    <w:p w:rsidR="001122DF" w:rsidRDefault="00FB2E48" w:rsidP="00967476">
      <w:pPr>
        <w:pStyle w:val="texto"/>
      </w:pPr>
      <w:r w:rsidRPr="008B70CA">
        <w:rPr>
          <w:b/>
        </w:rPr>
        <w:t>2</w:t>
      </w:r>
      <w:r w:rsidR="008B70CA" w:rsidRPr="008B70CA">
        <w:rPr>
          <w:b/>
        </w:rPr>
        <w:t>.</w:t>
      </w:r>
      <w:r w:rsidRPr="008B70CA">
        <w:rPr>
          <w:b/>
        </w:rPr>
        <w:t>º</w:t>
      </w:r>
      <w:r>
        <w:t xml:space="preserve"> Sus necesidades de financiación</w:t>
      </w:r>
      <w:r w:rsidR="00413509">
        <w:t>, según los cálculos del Gobierno de N</w:t>
      </w:r>
      <w:r w:rsidR="00413509">
        <w:t>a</w:t>
      </w:r>
      <w:r w:rsidR="00413509">
        <w:t xml:space="preserve">varra, </w:t>
      </w:r>
      <w:r>
        <w:t>representan el 1,48 por ciento sobre el PIB de Navarra, superando</w:t>
      </w:r>
      <w:r w:rsidR="005E2C55">
        <w:t>, en consecuencia,</w:t>
      </w:r>
      <w:r>
        <w:t xml:space="preserve"> el límite del 0,7 por ciento pactado, tal y como pu</w:t>
      </w:r>
      <w:r w:rsidR="002435FA">
        <w:t>e</w:t>
      </w:r>
      <w:r>
        <w:t>de apreciarse en el siguiente cuadro:</w:t>
      </w:r>
    </w:p>
    <w:p w:rsidR="00156E70" w:rsidRDefault="00156E70" w:rsidP="00967476">
      <w:pPr>
        <w:pStyle w:val="texto"/>
      </w:pPr>
    </w:p>
    <w:p w:rsidR="00156E70" w:rsidRDefault="00156E70" w:rsidP="00967476">
      <w:pPr>
        <w:pStyle w:val="texto"/>
      </w:pPr>
    </w:p>
    <w:p w:rsidR="00156E70" w:rsidRDefault="00156E70" w:rsidP="00967476">
      <w:pPr>
        <w:pStyle w:val="texto"/>
      </w:pPr>
    </w:p>
    <w:p w:rsidR="00156E70" w:rsidRDefault="00156E70" w:rsidP="00967476">
      <w:pPr>
        <w:pStyle w:val="texto"/>
      </w:pPr>
    </w:p>
    <w:p w:rsidR="00CD2379" w:rsidRDefault="00CD2379" w:rsidP="00156E70">
      <w:pPr>
        <w:pStyle w:val="texto"/>
        <w:spacing w:after="80"/>
        <w:jc w:val="right"/>
        <w:rPr>
          <w:rFonts w:ascii="Arial" w:hAnsi="Arial" w:cs="Arial"/>
          <w:sz w:val="16"/>
          <w:szCs w:val="16"/>
          <w:lang w:val="es-ES" w:eastAsia="es-ES"/>
        </w:rPr>
      </w:pPr>
    </w:p>
    <w:p w:rsidR="004C3AFE" w:rsidRPr="00E05116" w:rsidRDefault="004C3AFE" w:rsidP="00156E70">
      <w:pPr>
        <w:pStyle w:val="texto"/>
        <w:spacing w:after="80"/>
        <w:jc w:val="right"/>
        <w:rPr>
          <w:rFonts w:ascii="Arial" w:hAnsi="Arial" w:cs="Arial"/>
          <w:sz w:val="16"/>
          <w:szCs w:val="16"/>
          <w:lang w:val="es-ES" w:eastAsia="es-ES"/>
        </w:rPr>
      </w:pPr>
      <w:r w:rsidRPr="00E05116">
        <w:rPr>
          <w:rFonts w:ascii="Arial" w:hAnsi="Arial" w:cs="Arial"/>
          <w:sz w:val="16"/>
          <w:szCs w:val="16"/>
          <w:lang w:val="es-ES" w:eastAsia="es-ES"/>
        </w:rPr>
        <w:lastRenderedPageBreak/>
        <w:t>(</w:t>
      </w:r>
      <w:r w:rsidR="008E1787" w:rsidRPr="00E05116">
        <w:rPr>
          <w:rFonts w:ascii="Arial" w:hAnsi="Arial" w:cs="Arial"/>
          <w:sz w:val="16"/>
          <w:szCs w:val="16"/>
          <w:lang w:val="es-ES" w:eastAsia="es-ES"/>
        </w:rPr>
        <w:t>Millones</w:t>
      </w:r>
      <w:r w:rsidRPr="00E05116">
        <w:rPr>
          <w:rFonts w:ascii="Arial" w:hAnsi="Arial" w:cs="Arial"/>
          <w:sz w:val="16"/>
          <w:szCs w:val="16"/>
          <w:lang w:val="es-ES" w:eastAsia="es-ES"/>
        </w:rPr>
        <w:t xml:space="preserve"> de euros)</w:t>
      </w:r>
    </w:p>
    <w:tbl>
      <w:tblPr>
        <w:tblW w:w="8760" w:type="dxa"/>
        <w:tblInd w:w="70" w:type="dxa"/>
        <w:tblBorders>
          <w:top w:val="single" w:sz="4" w:space="0" w:color="000000"/>
          <w:bottom w:val="single" w:sz="4" w:space="0" w:color="000000"/>
        </w:tblBorders>
        <w:tblCellMar>
          <w:left w:w="70" w:type="dxa"/>
          <w:right w:w="70" w:type="dxa"/>
        </w:tblCellMar>
        <w:tblLook w:val="0000" w:firstRow="0" w:lastRow="0" w:firstColumn="0" w:lastColumn="0" w:noHBand="0" w:noVBand="0"/>
      </w:tblPr>
      <w:tblGrid>
        <w:gridCol w:w="7440"/>
        <w:gridCol w:w="1320"/>
      </w:tblGrid>
      <w:tr w:rsidR="004C3AFE" w:rsidRPr="00792275" w:rsidTr="00156E70">
        <w:trPr>
          <w:trHeight w:val="255"/>
        </w:trPr>
        <w:tc>
          <w:tcPr>
            <w:tcW w:w="7440" w:type="dxa"/>
            <w:tcBorders>
              <w:top w:val="single" w:sz="4" w:space="0" w:color="000000"/>
              <w:bottom w:val="single" w:sz="4" w:space="0" w:color="000000"/>
            </w:tcBorders>
            <w:shd w:val="clear" w:color="auto" w:fill="A8CBEE" w:themeFill="accent2" w:themeFillTint="66"/>
            <w:noWrap/>
            <w:vAlign w:val="center"/>
          </w:tcPr>
          <w:p w:rsidR="004C3AFE" w:rsidRPr="00792275" w:rsidRDefault="004C3AFE" w:rsidP="00B66928">
            <w:pPr>
              <w:pStyle w:val="cuadroCabe"/>
              <w:jc w:val="left"/>
              <w:rPr>
                <w:rFonts w:cs="Arial"/>
              </w:rPr>
            </w:pPr>
            <w:r>
              <w:rPr>
                <w:rFonts w:cs="Arial"/>
              </w:rPr>
              <w:t xml:space="preserve">Déficit Sector </w:t>
            </w:r>
            <w:r w:rsidRPr="00792275">
              <w:rPr>
                <w:rFonts w:cs="Arial"/>
              </w:rPr>
              <w:t>Administración Pública de la Comunidad Foral</w:t>
            </w:r>
            <w:r w:rsidR="002435FA">
              <w:rPr>
                <w:rFonts w:cs="Arial"/>
              </w:rPr>
              <w:t xml:space="preserve"> de Navarra</w:t>
            </w:r>
          </w:p>
        </w:tc>
        <w:tc>
          <w:tcPr>
            <w:tcW w:w="1320" w:type="dxa"/>
            <w:tcBorders>
              <w:top w:val="single" w:sz="4" w:space="0" w:color="000000"/>
              <w:bottom w:val="single" w:sz="4" w:space="0" w:color="000000"/>
            </w:tcBorders>
            <w:shd w:val="clear" w:color="auto" w:fill="A8CBEE" w:themeFill="accent2" w:themeFillTint="66"/>
            <w:vAlign w:val="center"/>
          </w:tcPr>
          <w:p w:rsidR="004C3AFE" w:rsidRPr="00792275" w:rsidRDefault="004C3AFE" w:rsidP="00B66928">
            <w:pPr>
              <w:pStyle w:val="cuadroCabe"/>
              <w:jc w:val="right"/>
              <w:rPr>
                <w:rFonts w:cs="Arial"/>
              </w:rPr>
            </w:pPr>
            <w:r w:rsidRPr="00792275">
              <w:rPr>
                <w:rFonts w:cs="Arial"/>
              </w:rPr>
              <w:t>201</w:t>
            </w:r>
            <w:r w:rsidR="00FB2E48">
              <w:rPr>
                <w:rFonts w:cs="Arial"/>
              </w:rPr>
              <w:t>5</w:t>
            </w:r>
          </w:p>
        </w:tc>
      </w:tr>
      <w:tr w:rsidR="004C3AFE" w:rsidRPr="007468C5" w:rsidTr="00156E70">
        <w:trPr>
          <w:trHeight w:val="255"/>
        </w:trPr>
        <w:tc>
          <w:tcPr>
            <w:tcW w:w="7440" w:type="dxa"/>
            <w:tcBorders>
              <w:top w:val="single" w:sz="4" w:space="0" w:color="000000"/>
              <w:bottom w:val="single" w:sz="2" w:space="0" w:color="000000"/>
            </w:tcBorders>
            <w:shd w:val="clear" w:color="auto" w:fill="auto"/>
            <w:vAlign w:val="center"/>
          </w:tcPr>
          <w:p w:rsidR="004C3AFE" w:rsidRPr="007468C5" w:rsidRDefault="004C3AFE" w:rsidP="00B66928">
            <w:pPr>
              <w:spacing w:after="0"/>
              <w:ind w:firstLine="0"/>
              <w:jc w:val="left"/>
              <w:rPr>
                <w:rFonts w:ascii="Arial Narrow" w:hAnsi="Arial Narrow" w:cs="Arial"/>
                <w:b/>
                <w:lang w:val="es-ES" w:eastAsia="es-ES"/>
              </w:rPr>
            </w:pPr>
            <w:r w:rsidRPr="007468C5">
              <w:rPr>
                <w:rFonts w:ascii="Arial Narrow" w:hAnsi="Arial Narrow" w:cs="Arial"/>
                <w:b/>
                <w:lang w:val="es-ES" w:eastAsia="es-ES"/>
              </w:rPr>
              <w:t xml:space="preserve">I. Saldo Presupuestario No Financiero </w:t>
            </w:r>
            <w:r w:rsidRPr="007468C5">
              <w:rPr>
                <w:rFonts w:ascii="Arial Narrow" w:hAnsi="Arial Narrow" w:cs="Arial"/>
                <w:lang w:val="es-ES" w:eastAsia="es-ES"/>
              </w:rPr>
              <w:t>(cap. 1 al 7 de ingresos menos cap.1 al 7 de gastos)</w:t>
            </w:r>
          </w:p>
        </w:tc>
        <w:tc>
          <w:tcPr>
            <w:tcW w:w="1320" w:type="dxa"/>
            <w:tcBorders>
              <w:top w:val="single" w:sz="4" w:space="0" w:color="000000"/>
              <w:bottom w:val="single" w:sz="2" w:space="0" w:color="000000"/>
            </w:tcBorders>
            <w:vAlign w:val="center"/>
          </w:tcPr>
          <w:p w:rsidR="004C3AFE" w:rsidRPr="006A3173" w:rsidRDefault="00FB2E48" w:rsidP="00B66928">
            <w:pPr>
              <w:spacing w:after="0"/>
              <w:ind w:firstLine="0"/>
              <w:jc w:val="right"/>
              <w:rPr>
                <w:rFonts w:ascii="Arial Narrow" w:hAnsi="Arial Narrow" w:cs="Arial"/>
                <w:b/>
                <w:lang w:val="es-ES" w:eastAsia="es-ES"/>
              </w:rPr>
            </w:pPr>
            <w:r w:rsidRPr="006A3173">
              <w:rPr>
                <w:rFonts w:ascii="Arial Narrow" w:hAnsi="Arial Narrow" w:cs="Arial"/>
                <w:b/>
                <w:lang w:val="es-ES" w:eastAsia="es-ES"/>
              </w:rPr>
              <w:t>-162,</w:t>
            </w:r>
            <w:r w:rsidR="000D13D3" w:rsidRPr="006A3173">
              <w:rPr>
                <w:rFonts w:ascii="Arial Narrow" w:hAnsi="Arial Narrow" w:cs="Arial"/>
                <w:b/>
                <w:lang w:val="es-ES" w:eastAsia="es-ES"/>
              </w:rPr>
              <w:t>2</w:t>
            </w:r>
          </w:p>
        </w:tc>
      </w:tr>
      <w:tr w:rsidR="004C3AFE" w:rsidRPr="007468C5" w:rsidTr="00156E70">
        <w:trPr>
          <w:trHeight w:val="255"/>
        </w:trPr>
        <w:tc>
          <w:tcPr>
            <w:tcW w:w="7440" w:type="dxa"/>
            <w:tcBorders>
              <w:top w:val="single" w:sz="2" w:space="0" w:color="000000"/>
              <w:bottom w:val="single" w:sz="2" w:space="0" w:color="000000"/>
            </w:tcBorders>
            <w:shd w:val="clear" w:color="auto" w:fill="auto"/>
            <w:vAlign w:val="center"/>
          </w:tcPr>
          <w:p w:rsidR="004C3AFE" w:rsidRPr="007468C5" w:rsidRDefault="004C3AFE" w:rsidP="00B66928">
            <w:pPr>
              <w:spacing w:after="0"/>
              <w:ind w:firstLine="0"/>
              <w:jc w:val="left"/>
              <w:rPr>
                <w:rFonts w:ascii="Arial Narrow" w:hAnsi="Arial Narrow" w:cs="Arial"/>
                <w:lang w:val="es-ES" w:eastAsia="es-ES"/>
              </w:rPr>
            </w:pPr>
            <w:r w:rsidRPr="007468C5">
              <w:rPr>
                <w:rFonts w:ascii="Arial Narrow" w:hAnsi="Arial Narrow" w:cs="Arial"/>
                <w:lang w:val="es-ES" w:eastAsia="es-ES"/>
              </w:rPr>
              <w:t>De la Administración General y sus Organismos Autónomos</w:t>
            </w:r>
          </w:p>
        </w:tc>
        <w:tc>
          <w:tcPr>
            <w:tcW w:w="1320" w:type="dxa"/>
            <w:tcBorders>
              <w:top w:val="single" w:sz="2" w:space="0" w:color="000000"/>
              <w:bottom w:val="single" w:sz="2" w:space="0" w:color="000000"/>
            </w:tcBorders>
            <w:vAlign w:val="center"/>
          </w:tcPr>
          <w:p w:rsidR="004C3AFE" w:rsidRPr="006A3173" w:rsidRDefault="00FB2E48" w:rsidP="00B66928">
            <w:pPr>
              <w:spacing w:after="0"/>
              <w:ind w:firstLine="0"/>
              <w:jc w:val="right"/>
              <w:rPr>
                <w:rFonts w:ascii="Arial Narrow" w:hAnsi="Arial Narrow" w:cs="Arial"/>
                <w:lang w:val="es-ES" w:eastAsia="es-ES"/>
              </w:rPr>
            </w:pPr>
            <w:r w:rsidRPr="006A3173">
              <w:rPr>
                <w:rFonts w:ascii="Arial Narrow" w:hAnsi="Arial Narrow" w:cs="Arial"/>
                <w:lang w:val="es-ES" w:eastAsia="es-ES"/>
              </w:rPr>
              <w:t>-163,2</w:t>
            </w:r>
          </w:p>
        </w:tc>
      </w:tr>
      <w:tr w:rsidR="004C3AFE" w:rsidRPr="007468C5" w:rsidTr="00156E70">
        <w:trPr>
          <w:trHeight w:val="255"/>
        </w:trPr>
        <w:tc>
          <w:tcPr>
            <w:tcW w:w="7440" w:type="dxa"/>
            <w:tcBorders>
              <w:top w:val="single" w:sz="2" w:space="0" w:color="000000"/>
              <w:bottom w:val="single" w:sz="2" w:space="0" w:color="000000"/>
            </w:tcBorders>
            <w:shd w:val="clear" w:color="auto" w:fill="auto"/>
            <w:vAlign w:val="center"/>
          </w:tcPr>
          <w:p w:rsidR="004C3AFE" w:rsidRPr="007468C5" w:rsidRDefault="004C3AFE" w:rsidP="00B66928">
            <w:pPr>
              <w:spacing w:after="0"/>
              <w:ind w:firstLine="0"/>
              <w:jc w:val="left"/>
              <w:rPr>
                <w:rFonts w:ascii="Arial Narrow" w:hAnsi="Arial Narrow" w:cs="Arial"/>
                <w:lang w:val="es-ES" w:eastAsia="es-ES"/>
              </w:rPr>
            </w:pPr>
            <w:r w:rsidRPr="007468C5">
              <w:rPr>
                <w:rFonts w:ascii="Arial Narrow" w:hAnsi="Arial Narrow" w:cs="Arial"/>
                <w:lang w:val="es-ES" w:eastAsia="es-ES"/>
              </w:rPr>
              <w:t>Del Parlamento, Defensor del Pueblo, Consejo de Navarra y Cámara de Comptos</w:t>
            </w:r>
          </w:p>
        </w:tc>
        <w:tc>
          <w:tcPr>
            <w:tcW w:w="1320" w:type="dxa"/>
            <w:tcBorders>
              <w:top w:val="single" w:sz="2" w:space="0" w:color="000000"/>
              <w:bottom w:val="single" w:sz="2" w:space="0" w:color="000000"/>
            </w:tcBorders>
            <w:vAlign w:val="center"/>
          </w:tcPr>
          <w:p w:rsidR="004C3AFE" w:rsidRPr="006A3173" w:rsidRDefault="00FB2E48" w:rsidP="00B66928">
            <w:pPr>
              <w:spacing w:after="0"/>
              <w:ind w:firstLine="0"/>
              <w:jc w:val="right"/>
              <w:rPr>
                <w:rFonts w:ascii="Arial Narrow" w:hAnsi="Arial Narrow" w:cs="Arial"/>
                <w:lang w:val="es-ES" w:eastAsia="es-ES"/>
              </w:rPr>
            </w:pPr>
            <w:r w:rsidRPr="006A3173">
              <w:rPr>
                <w:rFonts w:ascii="Arial Narrow" w:hAnsi="Arial Narrow" w:cs="Arial"/>
                <w:lang w:val="es-ES" w:eastAsia="es-ES"/>
              </w:rPr>
              <w:t>0,</w:t>
            </w:r>
            <w:r w:rsidR="002C55DC" w:rsidRPr="006A3173">
              <w:rPr>
                <w:rFonts w:ascii="Arial Narrow" w:hAnsi="Arial Narrow" w:cs="Arial"/>
                <w:lang w:val="es-ES" w:eastAsia="es-ES"/>
              </w:rPr>
              <w:t>3</w:t>
            </w:r>
          </w:p>
        </w:tc>
      </w:tr>
      <w:tr w:rsidR="004C3AFE" w:rsidRPr="007468C5" w:rsidTr="00156E70">
        <w:trPr>
          <w:trHeight w:val="255"/>
        </w:trPr>
        <w:tc>
          <w:tcPr>
            <w:tcW w:w="7440" w:type="dxa"/>
            <w:tcBorders>
              <w:top w:val="single" w:sz="2" w:space="0" w:color="000000"/>
              <w:bottom w:val="single" w:sz="2" w:space="0" w:color="000000"/>
            </w:tcBorders>
            <w:shd w:val="clear" w:color="auto" w:fill="auto"/>
            <w:vAlign w:val="center"/>
          </w:tcPr>
          <w:p w:rsidR="004C3AFE" w:rsidRPr="007468C5" w:rsidRDefault="004C3AFE" w:rsidP="00B66928">
            <w:pPr>
              <w:spacing w:after="0"/>
              <w:ind w:firstLine="0"/>
              <w:jc w:val="left"/>
              <w:rPr>
                <w:rFonts w:ascii="Arial Narrow" w:hAnsi="Arial Narrow" w:cs="Arial"/>
                <w:lang w:val="es-ES" w:eastAsia="es-ES"/>
              </w:rPr>
            </w:pPr>
            <w:r w:rsidRPr="007468C5">
              <w:rPr>
                <w:rFonts w:ascii="Arial Narrow" w:hAnsi="Arial Narrow" w:cs="Arial"/>
                <w:lang w:val="es-ES" w:eastAsia="es-ES"/>
              </w:rPr>
              <w:t>De la Universidad Pública de Navarra</w:t>
            </w:r>
          </w:p>
        </w:tc>
        <w:tc>
          <w:tcPr>
            <w:tcW w:w="1320" w:type="dxa"/>
            <w:tcBorders>
              <w:top w:val="single" w:sz="2" w:space="0" w:color="000000"/>
              <w:bottom w:val="single" w:sz="2" w:space="0" w:color="000000"/>
            </w:tcBorders>
            <w:vAlign w:val="center"/>
          </w:tcPr>
          <w:p w:rsidR="004C3AFE" w:rsidRPr="006A3173" w:rsidRDefault="00FB2E48" w:rsidP="00B66928">
            <w:pPr>
              <w:spacing w:after="0"/>
              <w:ind w:firstLine="0"/>
              <w:jc w:val="right"/>
              <w:rPr>
                <w:rFonts w:ascii="Arial Narrow" w:hAnsi="Arial Narrow" w:cs="Arial"/>
                <w:lang w:val="es-ES" w:eastAsia="es-ES"/>
              </w:rPr>
            </w:pPr>
            <w:r w:rsidRPr="006A3173">
              <w:rPr>
                <w:rFonts w:ascii="Arial Narrow" w:hAnsi="Arial Narrow" w:cs="Arial"/>
                <w:lang w:val="es-ES" w:eastAsia="es-ES"/>
              </w:rPr>
              <w:t>0,</w:t>
            </w:r>
            <w:r w:rsidR="000D13D3" w:rsidRPr="006A3173">
              <w:rPr>
                <w:rFonts w:ascii="Arial Narrow" w:hAnsi="Arial Narrow" w:cs="Arial"/>
                <w:lang w:val="es-ES" w:eastAsia="es-ES"/>
              </w:rPr>
              <w:t>7</w:t>
            </w:r>
          </w:p>
        </w:tc>
      </w:tr>
      <w:tr w:rsidR="004C3AFE" w:rsidRPr="007468C5" w:rsidTr="00156E70">
        <w:trPr>
          <w:trHeight w:val="255"/>
        </w:trPr>
        <w:tc>
          <w:tcPr>
            <w:tcW w:w="7440" w:type="dxa"/>
            <w:tcBorders>
              <w:top w:val="single" w:sz="2" w:space="0" w:color="000000"/>
              <w:bottom w:val="single" w:sz="2" w:space="0" w:color="000000"/>
            </w:tcBorders>
            <w:shd w:val="clear" w:color="auto" w:fill="auto"/>
            <w:vAlign w:val="center"/>
          </w:tcPr>
          <w:p w:rsidR="004C3AFE" w:rsidRPr="007468C5" w:rsidRDefault="004C3AFE" w:rsidP="00B66928">
            <w:pPr>
              <w:spacing w:after="0"/>
              <w:ind w:firstLine="0"/>
              <w:jc w:val="left"/>
              <w:rPr>
                <w:rFonts w:ascii="Arial Narrow" w:hAnsi="Arial Narrow" w:cs="Arial"/>
                <w:b/>
                <w:lang w:val="es-ES" w:eastAsia="es-ES"/>
              </w:rPr>
            </w:pPr>
            <w:r w:rsidRPr="007468C5">
              <w:rPr>
                <w:rFonts w:ascii="Arial Narrow" w:hAnsi="Arial Narrow" w:cs="Arial"/>
                <w:b/>
                <w:lang w:val="es-ES" w:eastAsia="es-ES"/>
              </w:rPr>
              <w:t xml:space="preserve">II. Ajustes al saldo presupuestario </w:t>
            </w:r>
          </w:p>
        </w:tc>
        <w:tc>
          <w:tcPr>
            <w:tcW w:w="1320" w:type="dxa"/>
            <w:tcBorders>
              <w:top w:val="single" w:sz="2" w:space="0" w:color="000000"/>
              <w:bottom w:val="single" w:sz="2" w:space="0" w:color="000000"/>
            </w:tcBorders>
            <w:vAlign w:val="center"/>
          </w:tcPr>
          <w:p w:rsidR="004C3AFE" w:rsidRPr="006A3173" w:rsidRDefault="00B04059" w:rsidP="00B66928">
            <w:pPr>
              <w:spacing w:after="0"/>
              <w:ind w:firstLine="0"/>
              <w:jc w:val="right"/>
              <w:rPr>
                <w:rFonts w:ascii="Arial Narrow" w:hAnsi="Arial Narrow" w:cs="Arial"/>
                <w:b/>
                <w:lang w:val="es-ES" w:eastAsia="es-ES"/>
              </w:rPr>
            </w:pPr>
            <w:r w:rsidRPr="006A3173">
              <w:rPr>
                <w:rFonts w:ascii="Arial Narrow" w:hAnsi="Arial Narrow" w:cs="Arial"/>
                <w:b/>
                <w:lang w:val="es-ES" w:eastAsia="es-ES"/>
              </w:rPr>
              <w:t>-131</w:t>
            </w:r>
          </w:p>
        </w:tc>
      </w:tr>
      <w:tr w:rsidR="004C3AFE" w:rsidRPr="007468C5" w:rsidTr="00156E70">
        <w:trPr>
          <w:trHeight w:val="255"/>
        </w:trPr>
        <w:tc>
          <w:tcPr>
            <w:tcW w:w="7440" w:type="dxa"/>
            <w:tcBorders>
              <w:top w:val="single" w:sz="2" w:space="0" w:color="000000"/>
              <w:bottom w:val="single" w:sz="2" w:space="0" w:color="000000"/>
            </w:tcBorders>
            <w:shd w:val="clear" w:color="auto" w:fill="auto"/>
            <w:vAlign w:val="center"/>
          </w:tcPr>
          <w:p w:rsidR="004C3AFE" w:rsidRPr="007468C5" w:rsidRDefault="004C3AFE" w:rsidP="00B66928">
            <w:pPr>
              <w:spacing w:after="0"/>
              <w:ind w:firstLine="0"/>
              <w:jc w:val="left"/>
              <w:rPr>
                <w:rFonts w:ascii="Arial Narrow" w:hAnsi="Arial Narrow" w:cs="Arial"/>
                <w:lang w:val="es-ES" w:eastAsia="es-ES"/>
              </w:rPr>
            </w:pPr>
            <w:r w:rsidRPr="007468C5">
              <w:rPr>
                <w:rFonts w:ascii="Arial Narrow" w:hAnsi="Arial Narrow" w:cs="Arial"/>
                <w:lang w:val="es-ES" w:eastAsia="es-ES"/>
              </w:rPr>
              <w:t>Aportación Convenio Económico</w:t>
            </w:r>
          </w:p>
        </w:tc>
        <w:tc>
          <w:tcPr>
            <w:tcW w:w="1320" w:type="dxa"/>
            <w:tcBorders>
              <w:top w:val="single" w:sz="2" w:space="0" w:color="000000"/>
              <w:bottom w:val="single" w:sz="2" w:space="0" w:color="000000"/>
            </w:tcBorders>
            <w:vAlign w:val="center"/>
          </w:tcPr>
          <w:p w:rsidR="004C3AFE" w:rsidRPr="006A3173" w:rsidRDefault="00B04059" w:rsidP="00B66928">
            <w:pPr>
              <w:spacing w:after="0"/>
              <w:ind w:firstLine="0"/>
              <w:jc w:val="right"/>
              <w:rPr>
                <w:rFonts w:ascii="Arial Narrow" w:hAnsi="Arial Narrow" w:cs="Arial"/>
                <w:lang w:val="es-ES" w:eastAsia="es-ES"/>
              </w:rPr>
            </w:pPr>
            <w:r w:rsidRPr="006A3173">
              <w:rPr>
                <w:rFonts w:ascii="Arial Narrow" w:hAnsi="Arial Narrow" w:cs="Arial"/>
                <w:lang w:val="es-ES" w:eastAsia="es-ES"/>
              </w:rPr>
              <w:t>-43,6</w:t>
            </w:r>
          </w:p>
        </w:tc>
      </w:tr>
      <w:tr w:rsidR="004C3AFE" w:rsidRPr="007468C5" w:rsidTr="00156E70">
        <w:trPr>
          <w:trHeight w:val="255"/>
        </w:trPr>
        <w:tc>
          <w:tcPr>
            <w:tcW w:w="7440" w:type="dxa"/>
            <w:tcBorders>
              <w:top w:val="single" w:sz="2" w:space="0" w:color="000000"/>
              <w:bottom w:val="single" w:sz="2" w:space="0" w:color="000000"/>
            </w:tcBorders>
            <w:shd w:val="clear" w:color="auto" w:fill="auto"/>
            <w:vAlign w:val="center"/>
          </w:tcPr>
          <w:p w:rsidR="004C3AFE" w:rsidRPr="007468C5" w:rsidRDefault="004C3AFE" w:rsidP="00B66928">
            <w:pPr>
              <w:spacing w:after="0"/>
              <w:ind w:firstLine="0"/>
              <w:jc w:val="left"/>
              <w:rPr>
                <w:rFonts w:ascii="Arial Narrow" w:hAnsi="Arial Narrow" w:cs="Arial"/>
                <w:lang w:val="es-ES" w:eastAsia="es-ES"/>
              </w:rPr>
            </w:pPr>
            <w:r w:rsidRPr="007468C5">
              <w:rPr>
                <w:rFonts w:ascii="Arial Narrow" w:hAnsi="Arial Narrow" w:cs="Arial"/>
                <w:lang w:val="es-ES" w:eastAsia="es-ES"/>
              </w:rPr>
              <w:t>Transferencias de la Administración Central y de la Seguridad Social</w:t>
            </w:r>
          </w:p>
        </w:tc>
        <w:tc>
          <w:tcPr>
            <w:tcW w:w="1320" w:type="dxa"/>
            <w:tcBorders>
              <w:top w:val="single" w:sz="2" w:space="0" w:color="000000"/>
              <w:bottom w:val="single" w:sz="2" w:space="0" w:color="000000"/>
            </w:tcBorders>
            <w:vAlign w:val="center"/>
          </w:tcPr>
          <w:p w:rsidR="004C3AFE" w:rsidRPr="006A3173" w:rsidRDefault="00B04059" w:rsidP="00B66928">
            <w:pPr>
              <w:spacing w:after="0"/>
              <w:ind w:firstLine="0"/>
              <w:jc w:val="right"/>
              <w:rPr>
                <w:rFonts w:ascii="Arial Narrow" w:hAnsi="Arial Narrow" w:cs="Arial"/>
                <w:lang w:val="es-ES" w:eastAsia="es-ES"/>
              </w:rPr>
            </w:pPr>
            <w:r w:rsidRPr="006A3173">
              <w:rPr>
                <w:rFonts w:ascii="Arial Narrow" w:hAnsi="Arial Narrow" w:cs="Arial"/>
                <w:lang w:val="es-ES" w:eastAsia="es-ES"/>
              </w:rPr>
              <w:t>1,2</w:t>
            </w:r>
          </w:p>
        </w:tc>
      </w:tr>
      <w:tr w:rsidR="00B04059" w:rsidRPr="007468C5" w:rsidTr="00156E70">
        <w:trPr>
          <w:trHeight w:val="255"/>
        </w:trPr>
        <w:tc>
          <w:tcPr>
            <w:tcW w:w="7440" w:type="dxa"/>
            <w:tcBorders>
              <w:top w:val="single" w:sz="2" w:space="0" w:color="000000"/>
              <w:bottom w:val="single" w:sz="2" w:space="0" w:color="000000"/>
            </w:tcBorders>
            <w:shd w:val="clear" w:color="auto" w:fill="auto"/>
            <w:vAlign w:val="center"/>
          </w:tcPr>
          <w:p w:rsidR="00B04059" w:rsidRPr="007468C5" w:rsidRDefault="00B04059" w:rsidP="00B66928">
            <w:pPr>
              <w:spacing w:after="0"/>
              <w:ind w:firstLine="0"/>
              <w:jc w:val="left"/>
              <w:rPr>
                <w:rFonts w:ascii="Arial Narrow" w:hAnsi="Arial Narrow" w:cs="Arial"/>
                <w:lang w:val="es-ES" w:eastAsia="es-ES"/>
              </w:rPr>
            </w:pPr>
            <w:r w:rsidRPr="007468C5">
              <w:rPr>
                <w:rFonts w:ascii="Arial Narrow" w:hAnsi="Arial Narrow" w:cs="Arial"/>
                <w:lang w:val="es-ES" w:eastAsia="es-ES"/>
              </w:rPr>
              <w:t>Transferencias internas</w:t>
            </w:r>
          </w:p>
        </w:tc>
        <w:tc>
          <w:tcPr>
            <w:tcW w:w="1320" w:type="dxa"/>
            <w:tcBorders>
              <w:top w:val="single" w:sz="2" w:space="0" w:color="000000"/>
              <w:bottom w:val="single" w:sz="2" w:space="0" w:color="000000"/>
            </w:tcBorders>
            <w:vAlign w:val="center"/>
          </w:tcPr>
          <w:p w:rsidR="00B04059" w:rsidRPr="006A3173" w:rsidRDefault="00B04059" w:rsidP="00B66928">
            <w:pPr>
              <w:spacing w:after="0"/>
              <w:ind w:firstLine="0"/>
              <w:jc w:val="right"/>
              <w:rPr>
                <w:rFonts w:ascii="Arial Narrow" w:hAnsi="Arial Narrow" w:cs="Arial"/>
                <w:lang w:val="es-ES" w:eastAsia="es-ES"/>
              </w:rPr>
            </w:pPr>
            <w:r w:rsidRPr="006A3173">
              <w:rPr>
                <w:rFonts w:ascii="Arial Narrow" w:hAnsi="Arial Narrow" w:cs="Arial"/>
                <w:lang w:val="es-ES" w:eastAsia="es-ES"/>
              </w:rPr>
              <w:t>0,6</w:t>
            </w:r>
          </w:p>
        </w:tc>
      </w:tr>
      <w:tr w:rsidR="004C3AFE" w:rsidRPr="007468C5" w:rsidTr="00156E70">
        <w:trPr>
          <w:trHeight w:val="255"/>
        </w:trPr>
        <w:tc>
          <w:tcPr>
            <w:tcW w:w="7440" w:type="dxa"/>
            <w:tcBorders>
              <w:top w:val="single" w:sz="2" w:space="0" w:color="000000"/>
              <w:bottom w:val="single" w:sz="2" w:space="0" w:color="000000"/>
            </w:tcBorders>
            <w:shd w:val="clear" w:color="auto" w:fill="auto"/>
            <w:vAlign w:val="center"/>
          </w:tcPr>
          <w:p w:rsidR="004C3AFE" w:rsidRPr="007468C5" w:rsidRDefault="004C3AFE" w:rsidP="00B66928">
            <w:pPr>
              <w:spacing w:after="0"/>
              <w:ind w:firstLine="0"/>
              <w:jc w:val="left"/>
              <w:rPr>
                <w:rFonts w:ascii="Arial Narrow" w:hAnsi="Arial Narrow" w:cs="Arial"/>
                <w:lang w:val="es-ES" w:eastAsia="es-ES"/>
              </w:rPr>
            </w:pPr>
            <w:r w:rsidRPr="007468C5">
              <w:rPr>
                <w:rFonts w:ascii="Arial Narrow" w:hAnsi="Arial Narrow" w:cs="Arial"/>
                <w:lang w:val="es-ES" w:eastAsia="es-ES"/>
              </w:rPr>
              <w:t xml:space="preserve">Transferencias de Fondos Comunitarios </w:t>
            </w:r>
          </w:p>
        </w:tc>
        <w:tc>
          <w:tcPr>
            <w:tcW w:w="1320" w:type="dxa"/>
            <w:tcBorders>
              <w:top w:val="single" w:sz="2" w:space="0" w:color="000000"/>
              <w:bottom w:val="single" w:sz="2" w:space="0" w:color="000000"/>
            </w:tcBorders>
            <w:vAlign w:val="center"/>
          </w:tcPr>
          <w:p w:rsidR="004C3AFE" w:rsidRPr="006A3173" w:rsidRDefault="00B04059" w:rsidP="00B66928">
            <w:pPr>
              <w:spacing w:after="0"/>
              <w:ind w:firstLine="0"/>
              <w:jc w:val="right"/>
              <w:rPr>
                <w:rFonts w:ascii="Arial Narrow" w:hAnsi="Arial Narrow" w:cs="Arial"/>
                <w:lang w:val="es-ES" w:eastAsia="es-ES"/>
              </w:rPr>
            </w:pPr>
            <w:r w:rsidRPr="006A3173">
              <w:rPr>
                <w:rFonts w:ascii="Arial Narrow" w:hAnsi="Arial Narrow" w:cs="Arial"/>
                <w:lang w:val="es-ES" w:eastAsia="es-ES"/>
              </w:rPr>
              <w:t>-2,1</w:t>
            </w:r>
          </w:p>
        </w:tc>
      </w:tr>
      <w:tr w:rsidR="00B04059" w:rsidRPr="007468C5" w:rsidTr="00156E70">
        <w:trPr>
          <w:trHeight w:val="255"/>
        </w:trPr>
        <w:tc>
          <w:tcPr>
            <w:tcW w:w="7440" w:type="dxa"/>
            <w:tcBorders>
              <w:top w:val="single" w:sz="2" w:space="0" w:color="000000"/>
              <w:bottom w:val="single" w:sz="2" w:space="0" w:color="000000"/>
            </w:tcBorders>
            <w:shd w:val="clear" w:color="auto" w:fill="auto"/>
            <w:vAlign w:val="center"/>
          </w:tcPr>
          <w:p w:rsidR="00B04059" w:rsidRPr="007468C5" w:rsidRDefault="00B04059" w:rsidP="00B66928">
            <w:pPr>
              <w:spacing w:after="0"/>
              <w:ind w:firstLine="0"/>
              <w:jc w:val="left"/>
              <w:rPr>
                <w:rFonts w:ascii="Arial Narrow" w:hAnsi="Arial Narrow" w:cs="Arial"/>
                <w:lang w:val="es-ES" w:eastAsia="es-ES"/>
              </w:rPr>
            </w:pPr>
            <w:r w:rsidRPr="007468C5">
              <w:rPr>
                <w:rFonts w:ascii="Arial Narrow" w:hAnsi="Arial Narrow" w:cs="Arial"/>
                <w:lang w:val="es-ES" w:eastAsia="es-ES"/>
              </w:rPr>
              <w:t xml:space="preserve">Recaudación incierta </w:t>
            </w:r>
          </w:p>
        </w:tc>
        <w:tc>
          <w:tcPr>
            <w:tcW w:w="1320" w:type="dxa"/>
            <w:tcBorders>
              <w:top w:val="single" w:sz="2" w:space="0" w:color="000000"/>
              <w:bottom w:val="single" w:sz="2" w:space="0" w:color="000000"/>
            </w:tcBorders>
            <w:vAlign w:val="center"/>
          </w:tcPr>
          <w:p w:rsidR="00B04059" w:rsidRPr="006A3173" w:rsidRDefault="00B04059" w:rsidP="00B66928">
            <w:pPr>
              <w:spacing w:after="0"/>
              <w:ind w:firstLine="0"/>
              <w:jc w:val="right"/>
              <w:rPr>
                <w:rFonts w:ascii="Arial Narrow" w:hAnsi="Arial Narrow" w:cs="Arial"/>
                <w:lang w:val="es-ES" w:eastAsia="es-ES"/>
              </w:rPr>
            </w:pPr>
            <w:r w:rsidRPr="006A3173">
              <w:rPr>
                <w:rFonts w:ascii="Arial Narrow" w:hAnsi="Arial Narrow" w:cs="Arial"/>
                <w:lang w:val="es-ES" w:eastAsia="es-ES"/>
              </w:rPr>
              <w:t>30,5</w:t>
            </w:r>
          </w:p>
        </w:tc>
      </w:tr>
      <w:tr w:rsidR="00B04059" w:rsidRPr="007468C5" w:rsidTr="00156E70">
        <w:trPr>
          <w:trHeight w:val="255"/>
        </w:trPr>
        <w:tc>
          <w:tcPr>
            <w:tcW w:w="7440" w:type="dxa"/>
            <w:tcBorders>
              <w:top w:val="single" w:sz="2" w:space="0" w:color="000000"/>
              <w:bottom w:val="single" w:sz="2" w:space="0" w:color="000000"/>
            </w:tcBorders>
            <w:shd w:val="clear" w:color="auto" w:fill="auto"/>
            <w:vAlign w:val="center"/>
          </w:tcPr>
          <w:p w:rsidR="00B04059" w:rsidRPr="007468C5" w:rsidRDefault="00B04059" w:rsidP="00B66928">
            <w:pPr>
              <w:spacing w:after="0"/>
              <w:ind w:firstLine="0"/>
              <w:jc w:val="left"/>
              <w:rPr>
                <w:rFonts w:ascii="Arial Narrow" w:hAnsi="Arial Narrow" w:cs="Arial"/>
                <w:lang w:val="es-ES" w:eastAsia="es-ES"/>
              </w:rPr>
            </w:pPr>
            <w:r w:rsidRPr="007468C5">
              <w:rPr>
                <w:rFonts w:ascii="Arial Narrow" w:hAnsi="Arial Narrow" w:cs="Arial"/>
                <w:lang w:val="es-ES" w:eastAsia="es-ES"/>
              </w:rPr>
              <w:t>Céntimo sanitario</w:t>
            </w:r>
          </w:p>
        </w:tc>
        <w:tc>
          <w:tcPr>
            <w:tcW w:w="1320" w:type="dxa"/>
            <w:tcBorders>
              <w:top w:val="single" w:sz="2" w:space="0" w:color="000000"/>
              <w:bottom w:val="single" w:sz="2" w:space="0" w:color="000000"/>
            </w:tcBorders>
            <w:vAlign w:val="center"/>
          </w:tcPr>
          <w:p w:rsidR="00B04059" w:rsidRPr="006A3173" w:rsidRDefault="00B04059" w:rsidP="00B66928">
            <w:pPr>
              <w:spacing w:after="0"/>
              <w:ind w:firstLine="0"/>
              <w:jc w:val="right"/>
              <w:rPr>
                <w:rFonts w:ascii="Arial Narrow" w:hAnsi="Arial Narrow" w:cs="Arial"/>
                <w:lang w:val="es-ES" w:eastAsia="es-ES"/>
              </w:rPr>
            </w:pPr>
            <w:r w:rsidRPr="006A3173">
              <w:rPr>
                <w:rFonts w:ascii="Arial Narrow" w:hAnsi="Arial Narrow" w:cs="Arial"/>
                <w:lang w:val="es-ES" w:eastAsia="es-ES"/>
              </w:rPr>
              <w:t>7,4</w:t>
            </w:r>
          </w:p>
        </w:tc>
      </w:tr>
      <w:tr w:rsidR="00B04059" w:rsidRPr="007468C5" w:rsidTr="00156E70">
        <w:trPr>
          <w:trHeight w:val="255"/>
        </w:trPr>
        <w:tc>
          <w:tcPr>
            <w:tcW w:w="7440" w:type="dxa"/>
            <w:tcBorders>
              <w:top w:val="single" w:sz="2" w:space="0" w:color="000000"/>
              <w:bottom w:val="single" w:sz="2" w:space="0" w:color="000000"/>
            </w:tcBorders>
            <w:shd w:val="clear" w:color="auto" w:fill="auto"/>
            <w:vAlign w:val="center"/>
          </w:tcPr>
          <w:p w:rsidR="00B04059" w:rsidRPr="007468C5" w:rsidRDefault="00B04059" w:rsidP="00B66928">
            <w:pPr>
              <w:spacing w:after="0"/>
              <w:ind w:firstLine="0"/>
              <w:jc w:val="left"/>
              <w:rPr>
                <w:rFonts w:ascii="Arial Narrow" w:hAnsi="Arial Narrow" w:cs="Arial"/>
                <w:lang w:val="es-ES" w:eastAsia="es-ES"/>
              </w:rPr>
            </w:pPr>
            <w:r w:rsidRPr="007468C5">
              <w:rPr>
                <w:rFonts w:ascii="Arial Narrow" w:hAnsi="Arial Narrow" w:cs="Arial"/>
                <w:lang w:val="es-ES" w:eastAsia="es-ES"/>
              </w:rPr>
              <w:t>Operaciones pendientes de aplicar al presupuesto</w:t>
            </w:r>
          </w:p>
        </w:tc>
        <w:tc>
          <w:tcPr>
            <w:tcW w:w="1320" w:type="dxa"/>
            <w:tcBorders>
              <w:top w:val="single" w:sz="2" w:space="0" w:color="000000"/>
              <w:bottom w:val="single" w:sz="2" w:space="0" w:color="000000"/>
            </w:tcBorders>
            <w:vAlign w:val="center"/>
          </w:tcPr>
          <w:p w:rsidR="00B04059" w:rsidRPr="006A3173" w:rsidRDefault="00B04059" w:rsidP="00B66928">
            <w:pPr>
              <w:spacing w:after="0"/>
              <w:ind w:firstLine="0"/>
              <w:jc w:val="right"/>
              <w:rPr>
                <w:rFonts w:ascii="Arial Narrow" w:hAnsi="Arial Narrow" w:cs="Arial"/>
                <w:lang w:val="es-ES" w:eastAsia="es-ES"/>
              </w:rPr>
            </w:pPr>
            <w:r w:rsidRPr="006A3173">
              <w:rPr>
                <w:rFonts w:ascii="Arial Narrow" w:hAnsi="Arial Narrow" w:cs="Arial"/>
                <w:lang w:val="es-ES" w:eastAsia="es-ES"/>
              </w:rPr>
              <w:t>-2,8</w:t>
            </w:r>
          </w:p>
        </w:tc>
      </w:tr>
      <w:tr w:rsidR="00B04059" w:rsidRPr="007468C5" w:rsidTr="00156E70">
        <w:trPr>
          <w:trHeight w:val="255"/>
        </w:trPr>
        <w:tc>
          <w:tcPr>
            <w:tcW w:w="7440" w:type="dxa"/>
            <w:tcBorders>
              <w:top w:val="single" w:sz="2" w:space="0" w:color="000000"/>
              <w:bottom w:val="single" w:sz="2" w:space="0" w:color="000000"/>
            </w:tcBorders>
            <w:shd w:val="clear" w:color="auto" w:fill="auto"/>
            <w:vAlign w:val="center"/>
          </w:tcPr>
          <w:p w:rsidR="00B04059" w:rsidRPr="007468C5" w:rsidRDefault="00B04059" w:rsidP="00B66928">
            <w:pPr>
              <w:spacing w:after="0"/>
              <w:ind w:firstLine="0"/>
              <w:jc w:val="left"/>
              <w:rPr>
                <w:rFonts w:ascii="Arial Narrow" w:hAnsi="Arial Narrow" w:cs="Arial"/>
                <w:lang w:val="es-ES" w:eastAsia="es-ES"/>
              </w:rPr>
            </w:pPr>
            <w:r w:rsidRPr="007468C5">
              <w:rPr>
                <w:rFonts w:ascii="Arial Narrow" w:hAnsi="Arial Narrow" w:cs="Arial"/>
                <w:lang w:val="es-ES" w:eastAsia="es-ES"/>
              </w:rPr>
              <w:t>Inversiones a través de Asoc</w:t>
            </w:r>
            <w:r>
              <w:rPr>
                <w:rFonts w:ascii="Arial Narrow" w:hAnsi="Arial Narrow" w:cs="Arial"/>
                <w:lang w:val="es-ES" w:eastAsia="es-ES"/>
              </w:rPr>
              <w:t>iaciones</w:t>
            </w:r>
            <w:r w:rsidRPr="007468C5">
              <w:rPr>
                <w:rFonts w:ascii="Arial Narrow" w:hAnsi="Arial Narrow" w:cs="Arial"/>
                <w:lang w:val="es-ES" w:eastAsia="es-ES"/>
              </w:rPr>
              <w:t xml:space="preserve"> Público-Privadas</w:t>
            </w:r>
          </w:p>
        </w:tc>
        <w:tc>
          <w:tcPr>
            <w:tcW w:w="1320" w:type="dxa"/>
            <w:tcBorders>
              <w:top w:val="single" w:sz="2" w:space="0" w:color="000000"/>
              <w:bottom w:val="single" w:sz="2" w:space="0" w:color="000000"/>
            </w:tcBorders>
            <w:vAlign w:val="center"/>
          </w:tcPr>
          <w:p w:rsidR="00B04059" w:rsidRPr="006A3173" w:rsidRDefault="00B04059" w:rsidP="00B66928">
            <w:pPr>
              <w:spacing w:after="0"/>
              <w:ind w:firstLine="0"/>
              <w:jc w:val="right"/>
              <w:rPr>
                <w:rFonts w:ascii="Arial Narrow" w:hAnsi="Arial Narrow" w:cs="Arial"/>
                <w:lang w:val="es-ES" w:eastAsia="es-ES"/>
              </w:rPr>
            </w:pPr>
            <w:r w:rsidRPr="006A3173">
              <w:rPr>
                <w:rFonts w:ascii="Arial Narrow" w:hAnsi="Arial Narrow" w:cs="Arial"/>
                <w:lang w:val="es-ES" w:eastAsia="es-ES"/>
              </w:rPr>
              <w:t>3,4</w:t>
            </w:r>
          </w:p>
        </w:tc>
      </w:tr>
      <w:tr w:rsidR="00B04059" w:rsidRPr="007468C5" w:rsidTr="00156E70">
        <w:trPr>
          <w:trHeight w:val="255"/>
        </w:trPr>
        <w:tc>
          <w:tcPr>
            <w:tcW w:w="7440" w:type="dxa"/>
            <w:tcBorders>
              <w:top w:val="single" w:sz="2" w:space="0" w:color="000000"/>
              <w:bottom w:val="single" w:sz="2" w:space="0" w:color="000000"/>
            </w:tcBorders>
            <w:shd w:val="clear" w:color="auto" w:fill="auto"/>
            <w:vAlign w:val="center"/>
          </w:tcPr>
          <w:p w:rsidR="00B04059" w:rsidRPr="007468C5" w:rsidRDefault="00B04059" w:rsidP="00B66928">
            <w:pPr>
              <w:spacing w:after="0"/>
              <w:ind w:firstLine="0"/>
              <w:jc w:val="left"/>
              <w:rPr>
                <w:rFonts w:ascii="Arial Narrow" w:hAnsi="Arial Narrow" w:cs="Arial"/>
                <w:lang w:val="es-ES" w:eastAsia="es-ES"/>
              </w:rPr>
            </w:pPr>
            <w:r w:rsidRPr="007468C5">
              <w:rPr>
                <w:rFonts w:ascii="Arial Narrow" w:hAnsi="Arial Narrow" w:cs="Arial"/>
                <w:lang w:val="es-ES" w:eastAsia="es-ES"/>
              </w:rPr>
              <w:t>Intereses devengados no vencidos</w:t>
            </w:r>
          </w:p>
        </w:tc>
        <w:tc>
          <w:tcPr>
            <w:tcW w:w="1320" w:type="dxa"/>
            <w:tcBorders>
              <w:top w:val="single" w:sz="2" w:space="0" w:color="000000"/>
              <w:bottom w:val="single" w:sz="2" w:space="0" w:color="000000"/>
            </w:tcBorders>
            <w:vAlign w:val="center"/>
          </w:tcPr>
          <w:p w:rsidR="00B04059" w:rsidRPr="006A3173" w:rsidRDefault="00B04059" w:rsidP="00B66928">
            <w:pPr>
              <w:spacing w:after="0"/>
              <w:ind w:firstLine="0"/>
              <w:jc w:val="right"/>
              <w:rPr>
                <w:rFonts w:ascii="Arial Narrow" w:hAnsi="Arial Narrow" w:cs="Arial"/>
                <w:lang w:val="es-ES" w:eastAsia="es-ES"/>
              </w:rPr>
            </w:pPr>
            <w:r w:rsidRPr="006A3173">
              <w:rPr>
                <w:rFonts w:ascii="Arial Narrow" w:hAnsi="Arial Narrow" w:cs="Arial"/>
                <w:lang w:val="es-ES" w:eastAsia="es-ES"/>
              </w:rPr>
              <w:t>0,4</w:t>
            </w:r>
          </w:p>
        </w:tc>
      </w:tr>
      <w:tr w:rsidR="00B04059" w:rsidRPr="007468C5" w:rsidTr="00156E70">
        <w:trPr>
          <w:trHeight w:val="255"/>
        </w:trPr>
        <w:tc>
          <w:tcPr>
            <w:tcW w:w="7440" w:type="dxa"/>
            <w:tcBorders>
              <w:top w:val="single" w:sz="2" w:space="0" w:color="000000"/>
              <w:bottom w:val="single" w:sz="2" w:space="0" w:color="000000"/>
            </w:tcBorders>
            <w:shd w:val="clear" w:color="auto" w:fill="auto"/>
            <w:vAlign w:val="center"/>
          </w:tcPr>
          <w:p w:rsidR="00B04059" w:rsidRPr="007468C5" w:rsidRDefault="00B04059" w:rsidP="00B66928">
            <w:pPr>
              <w:spacing w:after="0"/>
              <w:ind w:firstLine="0"/>
              <w:jc w:val="left"/>
              <w:rPr>
                <w:rFonts w:ascii="Arial Narrow" w:hAnsi="Arial Narrow" w:cs="Arial"/>
                <w:lang w:val="es-ES" w:eastAsia="es-ES"/>
              </w:rPr>
            </w:pPr>
            <w:r w:rsidRPr="007468C5">
              <w:rPr>
                <w:rFonts w:ascii="Arial Narrow" w:hAnsi="Arial Narrow" w:cs="Arial"/>
                <w:lang w:val="es-ES" w:eastAsia="es-ES"/>
              </w:rPr>
              <w:t>Anticipos de obras ADIF (TAV)</w:t>
            </w:r>
          </w:p>
        </w:tc>
        <w:tc>
          <w:tcPr>
            <w:tcW w:w="1320" w:type="dxa"/>
            <w:tcBorders>
              <w:top w:val="single" w:sz="2" w:space="0" w:color="000000"/>
              <w:bottom w:val="single" w:sz="2" w:space="0" w:color="000000"/>
            </w:tcBorders>
            <w:vAlign w:val="center"/>
          </w:tcPr>
          <w:p w:rsidR="00B04059" w:rsidRPr="006A3173" w:rsidRDefault="00B04059" w:rsidP="00B66928">
            <w:pPr>
              <w:spacing w:after="0"/>
              <w:ind w:firstLine="0"/>
              <w:jc w:val="right"/>
              <w:rPr>
                <w:rFonts w:ascii="Arial Narrow" w:hAnsi="Arial Narrow" w:cs="Arial"/>
                <w:lang w:val="es-ES" w:eastAsia="es-ES"/>
              </w:rPr>
            </w:pPr>
            <w:r w:rsidRPr="006A3173">
              <w:rPr>
                <w:rFonts w:ascii="Arial Narrow" w:hAnsi="Arial Narrow" w:cs="Arial"/>
                <w:lang w:val="es-ES" w:eastAsia="es-ES"/>
              </w:rPr>
              <w:t>-21,4</w:t>
            </w:r>
          </w:p>
        </w:tc>
      </w:tr>
      <w:tr w:rsidR="00B04059" w:rsidRPr="007468C5" w:rsidTr="00156E70">
        <w:trPr>
          <w:trHeight w:val="255"/>
        </w:trPr>
        <w:tc>
          <w:tcPr>
            <w:tcW w:w="7440" w:type="dxa"/>
            <w:tcBorders>
              <w:top w:val="single" w:sz="2" w:space="0" w:color="000000"/>
              <w:bottom w:val="single" w:sz="2" w:space="0" w:color="000000"/>
            </w:tcBorders>
            <w:shd w:val="clear" w:color="auto" w:fill="auto"/>
            <w:vAlign w:val="center"/>
          </w:tcPr>
          <w:p w:rsidR="00B04059" w:rsidRPr="007468C5" w:rsidRDefault="00B04059" w:rsidP="00B66928">
            <w:pPr>
              <w:spacing w:after="0"/>
              <w:ind w:firstLine="0"/>
              <w:jc w:val="left"/>
              <w:rPr>
                <w:rFonts w:ascii="Arial Narrow" w:hAnsi="Arial Narrow" w:cs="Arial"/>
                <w:lang w:val="es-ES" w:eastAsia="es-ES"/>
              </w:rPr>
            </w:pPr>
            <w:r w:rsidRPr="007468C5">
              <w:rPr>
                <w:rFonts w:ascii="Arial Narrow" w:hAnsi="Arial Narrow" w:cs="Arial"/>
                <w:lang w:val="es-ES" w:eastAsia="es-ES"/>
              </w:rPr>
              <w:t>Avales ejecutados</w:t>
            </w:r>
          </w:p>
        </w:tc>
        <w:tc>
          <w:tcPr>
            <w:tcW w:w="1320" w:type="dxa"/>
            <w:tcBorders>
              <w:top w:val="single" w:sz="2" w:space="0" w:color="000000"/>
              <w:bottom w:val="single" w:sz="2" w:space="0" w:color="000000"/>
            </w:tcBorders>
            <w:vAlign w:val="center"/>
          </w:tcPr>
          <w:p w:rsidR="00B04059" w:rsidRPr="006A3173" w:rsidRDefault="00B04059" w:rsidP="00B66928">
            <w:pPr>
              <w:spacing w:after="0"/>
              <w:ind w:firstLine="0"/>
              <w:jc w:val="right"/>
              <w:rPr>
                <w:rFonts w:ascii="Arial Narrow" w:hAnsi="Arial Narrow" w:cs="Arial"/>
                <w:lang w:val="es-ES" w:eastAsia="es-ES"/>
              </w:rPr>
            </w:pPr>
            <w:r w:rsidRPr="006A3173">
              <w:rPr>
                <w:rFonts w:ascii="Arial Narrow" w:hAnsi="Arial Narrow" w:cs="Arial"/>
                <w:lang w:val="es-ES" w:eastAsia="es-ES"/>
              </w:rPr>
              <w:t>-0,1</w:t>
            </w:r>
          </w:p>
        </w:tc>
      </w:tr>
      <w:tr w:rsidR="00B04059" w:rsidRPr="007468C5" w:rsidTr="00156E70">
        <w:trPr>
          <w:trHeight w:val="255"/>
        </w:trPr>
        <w:tc>
          <w:tcPr>
            <w:tcW w:w="7440" w:type="dxa"/>
            <w:tcBorders>
              <w:top w:val="single" w:sz="2" w:space="0" w:color="000000"/>
              <w:bottom w:val="single" w:sz="2" w:space="0" w:color="000000"/>
            </w:tcBorders>
            <w:shd w:val="clear" w:color="auto" w:fill="auto"/>
            <w:vAlign w:val="center"/>
          </w:tcPr>
          <w:p w:rsidR="00B04059" w:rsidRPr="007468C5" w:rsidRDefault="00B04059" w:rsidP="00B66928">
            <w:pPr>
              <w:spacing w:after="0"/>
              <w:ind w:firstLine="0"/>
              <w:jc w:val="left"/>
              <w:rPr>
                <w:rFonts w:ascii="Arial Narrow" w:hAnsi="Arial Narrow" w:cs="Arial"/>
                <w:lang w:val="es-ES" w:eastAsia="es-ES"/>
              </w:rPr>
            </w:pPr>
            <w:r w:rsidRPr="007468C5">
              <w:rPr>
                <w:rFonts w:ascii="Arial Narrow" w:hAnsi="Arial Narrow" w:cs="Arial"/>
                <w:lang w:val="es-ES" w:eastAsia="es-ES"/>
              </w:rPr>
              <w:t>Acreedores por devolución de impuestos</w:t>
            </w:r>
          </w:p>
        </w:tc>
        <w:tc>
          <w:tcPr>
            <w:tcW w:w="1320" w:type="dxa"/>
            <w:tcBorders>
              <w:top w:val="single" w:sz="2" w:space="0" w:color="000000"/>
              <w:bottom w:val="single" w:sz="2" w:space="0" w:color="000000"/>
            </w:tcBorders>
            <w:vAlign w:val="center"/>
          </w:tcPr>
          <w:p w:rsidR="00B04059" w:rsidRPr="006A3173" w:rsidRDefault="00B04059" w:rsidP="00B66928">
            <w:pPr>
              <w:spacing w:after="0"/>
              <w:ind w:firstLine="0"/>
              <w:jc w:val="right"/>
              <w:rPr>
                <w:rFonts w:ascii="Arial Narrow" w:hAnsi="Arial Narrow" w:cs="Arial"/>
                <w:lang w:val="es-ES" w:eastAsia="es-ES"/>
              </w:rPr>
            </w:pPr>
            <w:r w:rsidRPr="006A3173">
              <w:rPr>
                <w:rFonts w:ascii="Arial Narrow" w:hAnsi="Arial Narrow" w:cs="Arial"/>
                <w:lang w:val="es-ES" w:eastAsia="es-ES"/>
              </w:rPr>
              <w:t>-29</w:t>
            </w:r>
          </w:p>
        </w:tc>
      </w:tr>
      <w:tr w:rsidR="00B04059" w:rsidRPr="007468C5" w:rsidTr="00156E70">
        <w:trPr>
          <w:trHeight w:val="255"/>
        </w:trPr>
        <w:tc>
          <w:tcPr>
            <w:tcW w:w="7440" w:type="dxa"/>
            <w:tcBorders>
              <w:top w:val="single" w:sz="2" w:space="0" w:color="000000"/>
              <w:bottom w:val="single" w:sz="2" w:space="0" w:color="000000"/>
            </w:tcBorders>
            <w:shd w:val="clear" w:color="auto" w:fill="auto"/>
            <w:vAlign w:val="center"/>
          </w:tcPr>
          <w:p w:rsidR="00B04059" w:rsidRPr="007468C5" w:rsidRDefault="00B04059" w:rsidP="00B66928">
            <w:pPr>
              <w:spacing w:after="0"/>
              <w:ind w:firstLine="0"/>
              <w:jc w:val="left"/>
              <w:rPr>
                <w:rFonts w:ascii="Arial Narrow" w:hAnsi="Arial Narrow" w:cs="Arial"/>
                <w:lang w:val="es-ES" w:eastAsia="es-ES"/>
              </w:rPr>
            </w:pPr>
            <w:r w:rsidRPr="007468C5">
              <w:rPr>
                <w:rFonts w:ascii="Arial Narrow" w:hAnsi="Arial Narrow" w:cs="Arial"/>
                <w:lang w:val="es-ES" w:eastAsia="es-ES"/>
              </w:rPr>
              <w:t>Aportaciones financieras empresas</w:t>
            </w:r>
          </w:p>
        </w:tc>
        <w:tc>
          <w:tcPr>
            <w:tcW w:w="1320" w:type="dxa"/>
            <w:tcBorders>
              <w:top w:val="single" w:sz="2" w:space="0" w:color="000000"/>
              <w:bottom w:val="single" w:sz="2" w:space="0" w:color="000000"/>
            </w:tcBorders>
            <w:vAlign w:val="center"/>
          </w:tcPr>
          <w:p w:rsidR="00B04059" w:rsidRPr="006A3173" w:rsidRDefault="00B04059" w:rsidP="00B66928">
            <w:pPr>
              <w:spacing w:after="0"/>
              <w:ind w:firstLine="0"/>
              <w:jc w:val="right"/>
              <w:rPr>
                <w:rFonts w:ascii="Arial Narrow" w:hAnsi="Arial Narrow" w:cs="Arial"/>
                <w:lang w:val="es-ES" w:eastAsia="es-ES"/>
              </w:rPr>
            </w:pPr>
            <w:r w:rsidRPr="006A3173">
              <w:rPr>
                <w:rFonts w:ascii="Arial Narrow" w:hAnsi="Arial Narrow" w:cs="Arial"/>
                <w:lang w:val="es-ES" w:eastAsia="es-ES"/>
              </w:rPr>
              <w:t>-28,2</w:t>
            </w:r>
          </w:p>
        </w:tc>
      </w:tr>
      <w:tr w:rsidR="00B04059" w:rsidRPr="007468C5" w:rsidTr="00156E70">
        <w:trPr>
          <w:trHeight w:val="255"/>
        </w:trPr>
        <w:tc>
          <w:tcPr>
            <w:tcW w:w="7440" w:type="dxa"/>
            <w:tcBorders>
              <w:top w:val="single" w:sz="2" w:space="0" w:color="000000"/>
              <w:bottom w:val="single" w:sz="2" w:space="0" w:color="000000"/>
            </w:tcBorders>
            <w:shd w:val="clear" w:color="auto" w:fill="auto"/>
            <w:vAlign w:val="center"/>
          </w:tcPr>
          <w:p w:rsidR="00B04059" w:rsidRPr="007468C5" w:rsidRDefault="00B04059" w:rsidP="00B66928">
            <w:pPr>
              <w:spacing w:after="0"/>
              <w:ind w:firstLine="0"/>
              <w:jc w:val="left"/>
              <w:rPr>
                <w:rFonts w:ascii="Arial Narrow" w:hAnsi="Arial Narrow" w:cs="Arial"/>
                <w:lang w:val="es-ES" w:eastAsia="es-ES"/>
              </w:rPr>
            </w:pPr>
            <w:r>
              <w:rPr>
                <w:rFonts w:ascii="Arial Narrow" w:hAnsi="Arial Narrow" w:cs="Arial"/>
                <w:lang w:val="es-ES" w:eastAsia="es-ES"/>
              </w:rPr>
              <w:t>Concesión aval al Club Atlético Osasuna</w:t>
            </w:r>
            <w:r w:rsidR="0014080D">
              <w:rPr>
                <w:rFonts w:ascii="Arial Narrow" w:hAnsi="Arial Narrow" w:cs="Arial"/>
                <w:lang w:val="es-ES" w:eastAsia="es-ES"/>
              </w:rPr>
              <w:t xml:space="preserve"> (LF 26/2014)</w:t>
            </w:r>
          </w:p>
        </w:tc>
        <w:tc>
          <w:tcPr>
            <w:tcW w:w="1320" w:type="dxa"/>
            <w:tcBorders>
              <w:top w:val="single" w:sz="2" w:space="0" w:color="000000"/>
              <w:bottom w:val="single" w:sz="2" w:space="0" w:color="000000"/>
            </w:tcBorders>
            <w:vAlign w:val="center"/>
          </w:tcPr>
          <w:p w:rsidR="00B04059" w:rsidRPr="006A3173" w:rsidRDefault="00B04059" w:rsidP="00B66928">
            <w:pPr>
              <w:spacing w:after="0"/>
              <w:ind w:firstLine="0"/>
              <w:jc w:val="right"/>
              <w:rPr>
                <w:rFonts w:ascii="Arial Narrow" w:hAnsi="Arial Narrow" w:cs="Arial"/>
                <w:lang w:val="es-ES" w:eastAsia="es-ES"/>
              </w:rPr>
            </w:pPr>
            <w:r w:rsidRPr="006A3173">
              <w:rPr>
                <w:rFonts w:ascii="Arial Narrow" w:hAnsi="Arial Narrow" w:cs="Arial"/>
                <w:lang w:val="es-ES" w:eastAsia="es-ES"/>
              </w:rPr>
              <w:t>-4</w:t>
            </w:r>
          </w:p>
        </w:tc>
      </w:tr>
      <w:tr w:rsidR="00B04059" w:rsidRPr="007468C5" w:rsidTr="00156E70">
        <w:trPr>
          <w:trHeight w:val="255"/>
        </w:trPr>
        <w:tc>
          <w:tcPr>
            <w:tcW w:w="7440" w:type="dxa"/>
            <w:tcBorders>
              <w:top w:val="single" w:sz="2" w:space="0" w:color="000000"/>
              <w:bottom w:val="single" w:sz="2" w:space="0" w:color="000000"/>
            </w:tcBorders>
            <w:shd w:val="clear" w:color="auto" w:fill="auto"/>
            <w:vAlign w:val="center"/>
          </w:tcPr>
          <w:p w:rsidR="00B04059" w:rsidRPr="0066463C" w:rsidRDefault="0014080D" w:rsidP="00B66928">
            <w:pPr>
              <w:spacing w:after="0"/>
              <w:ind w:firstLine="0"/>
              <w:jc w:val="left"/>
              <w:rPr>
                <w:rFonts w:ascii="Arial Narrow" w:hAnsi="Arial Narrow" w:cs="Arial"/>
                <w:lang w:val="es-ES" w:eastAsia="es-ES"/>
              </w:rPr>
            </w:pPr>
            <w:r w:rsidRPr="0066463C">
              <w:rPr>
                <w:rFonts w:ascii="Arial Narrow" w:hAnsi="Arial Narrow" w:cs="Arial"/>
                <w:lang w:val="es-ES" w:eastAsia="es-ES"/>
              </w:rPr>
              <w:t>Adquisición inmuebles al Club Atlético Osasuna (LF 26/2014)</w:t>
            </w:r>
          </w:p>
        </w:tc>
        <w:tc>
          <w:tcPr>
            <w:tcW w:w="1320" w:type="dxa"/>
            <w:tcBorders>
              <w:top w:val="single" w:sz="2" w:space="0" w:color="000000"/>
              <w:bottom w:val="single" w:sz="2" w:space="0" w:color="000000"/>
            </w:tcBorders>
            <w:vAlign w:val="center"/>
          </w:tcPr>
          <w:p w:rsidR="00B04059" w:rsidRPr="006A3173" w:rsidRDefault="0014080D" w:rsidP="00B66928">
            <w:pPr>
              <w:spacing w:after="0"/>
              <w:ind w:firstLine="0"/>
              <w:jc w:val="right"/>
              <w:rPr>
                <w:rFonts w:ascii="Arial Narrow" w:hAnsi="Arial Narrow" w:cs="Arial"/>
                <w:lang w:val="es-ES" w:eastAsia="es-ES"/>
              </w:rPr>
            </w:pPr>
            <w:r w:rsidRPr="006A3173">
              <w:rPr>
                <w:rFonts w:ascii="Arial Narrow" w:hAnsi="Arial Narrow" w:cs="Arial"/>
                <w:lang w:val="es-ES" w:eastAsia="es-ES"/>
              </w:rPr>
              <w:t>-43</w:t>
            </w:r>
          </w:p>
        </w:tc>
      </w:tr>
      <w:tr w:rsidR="00B04059" w:rsidRPr="007468C5" w:rsidTr="00156E70">
        <w:trPr>
          <w:trHeight w:val="255"/>
        </w:trPr>
        <w:tc>
          <w:tcPr>
            <w:tcW w:w="7440" w:type="dxa"/>
            <w:tcBorders>
              <w:top w:val="single" w:sz="2" w:space="0" w:color="000000"/>
              <w:bottom w:val="single" w:sz="2" w:space="0" w:color="000000"/>
            </w:tcBorders>
            <w:shd w:val="clear" w:color="auto" w:fill="auto"/>
            <w:vAlign w:val="center"/>
          </w:tcPr>
          <w:p w:rsidR="00B04059" w:rsidRPr="007468C5" w:rsidRDefault="0014080D" w:rsidP="00B66928">
            <w:pPr>
              <w:spacing w:after="0"/>
              <w:ind w:firstLine="0"/>
              <w:jc w:val="left"/>
              <w:rPr>
                <w:rFonts w:ascii="Arial Narrow" w:hAnsi="Arial Narrow" w:cs="Arial"/>
                <w:lang w:val="es-ES" w:eastAsia="es-ES"/>
              </w:rPr>
            </w:pPr>
            <w:r>
              <w:rPr>
                <w:rFonts w:ascii="Arial Narrow" w:hAnsi="Arial Narrow" w:cs="Arial"/>
                <w:lang w:val="es-ES" w:eastAsia="es-ES"/>
              </w:rPr>
              <w:t>Prestaciones farmacéuticas</w:t>
            </w:r>
          </w:p>
        </w:tc>
        <w:tc>
          <w:tcPr>
            <w:tcW w:w="1320" w:type="dxa"/>
            <w:tcBorders>
              <w:top w:val="single" w:sz="2" w:space="0" w:color="000000"/>
              <w:bottom w:val="single" w:sz="2" w:space="0" w:color="000000"/>
            </w:tcBorders>
            <w:vAlign w:val="center"/>
          </w:tcPr>
          <w:p w:rsidR="00B04059" w:rsidRPr="006A3173" w:rsidRDefault="0014080D" w:rsidP="00B66928">
            <w:pPr>
              <w:spacing w:after="0"/>
              <w:ind w:firstLine="0"/>
              <w:jc w:val="right"/>
              <w:rPr>
                <w:rFonts w:ascii="Arial Narrow" w:hAnsi="Arial Narrow" w:cs="Arial"/>
                <w:lang w:val="es-ES" w:eastAsia="es-ES"/>
              </w:rPr>
            </w:pPr>
            <w:r w:rsidRPr="006A3173">
              <w:rPr>
                <w:rFonts w:ascii="Arial Narrow" w:hAnsi="Arial Narrow" w:cs="Arial"/>
                <w:lang w:val="es-ES" w:eastAsia="es-ES"/>
              </w:rPr>
              <w:t>-0,8</w:t>
            </w:r>
          </w:p>
        </w:tc>
      </w:tr>
      <w:tr w:rsidR="0014080D" w:rsidRPr="007468C5" w:rsidTr="00156E70">
        <w:trPr>
          <w:trHeight w:val="255"/>
        </w:trPr>
        <w:tc>
          <w:tcPr>
            <w:tcW w:w="7440" w:type="dxa"/>
            <w:tcBorders>
              <w:top w:val="single" w:sz="2" w:space="0" w:color="000000"/>
              <w:bottom w:val="single" w:sz="2" w:space="0" w:color="000000"/>
            </w:tcBorders>
            <w:shd w:val="clear" w:color="auto" w:fill="auto"/>
            <w:vAlign w:val="center"/>
          </w:tcPr>
          <w:p w:rsidR="0014080D" w:rsidRDefault="0014080D" w:rsidP="00B66928">
            <w:pPr>
              <w:spacing w:after="0"/>
              <w:ind w:firstLine="0"/>
              <w:jc w:val="left"/>
              <w:rPr>
                <w:rFonts w:ascii="Arial Narrow" w:hAnsi="Arial Narrow" w:cs="Arial"/>
                <w:lang w:val="es-ES" w:eastAsia="es-ES"/>
              </w:rPr>
            </w:pPr>
            <w:r>
              <w:rPr>
                <w:rFonts w:ascii="Arial Narrow" w:hAnsi="Arial Narrow" w:cs="Arial"/>
                <w:lang w:val="es-ES" w:eastAsia="es-ES"/>
              </w:rPr>
              <w:t>Otros ajustes UPNA</w:t>
            </w:r>
          </w:p>
        </w:tc>
        <w:tc>
          <w:tcPr>
            <w:tcW w:w="1320" w:type="dxa"/>
            <w:tcBorders>
              <w:top w:val="single" w:sz="2" w:space="0" w:color="000000"/>
              <w:bottom w:val="single" w:sz="2" w:space="0" w:color="000000"/>
            </w:tcBorders>
            <w:vAlign w:val="center"/>
          </w:tcPr>
          <w:p w:rsidR="0014080D" w:rsidRPr="006A3173" w:rsidRDefault="0014080D" w:rsidP="00B66928">
            <w:pPr>
              <w:spacing w:after="0"/>
              <w:ind w:firstLine="0"/>
              <w:jc w:val="right"/>
              <w:rPr>
                <w:rFonts w:ascii="Arial Narrow" w:hAnsi="Arial Narrow" w:cs="Arial"/>
                <w:lang w:val="es-ES" w:eastAsia="es-ES"/>
              </w:rPr>
            </w:pPr>
            <w:r w:rsidRPr="006A3173">
              <w:rPr>
                <w:rFonts w:ascii="Arial Narrow" w:hAnsi="Arial Narrow" w:cs="Arial"/>
                <w:lang w:val="es-ES" w:eastAsia="es-ES"/>
              </w:rPr>
              <w:t>0,5</w:t>
            </w:r>
          </w:p>
        </w:tc>
      </w:tr>
      <w:tr w:rsidR="00B04059" w:rsidRPr="007468C5" w:rsidTr="00156E70">
        <w:trPr>
          <w:trHeight w:val="255"/>
        </w:trPr>
        <w:tc>
          <w:tcPr>
            <w:tcW w:w="7440" w:type="dxa"/>
            <w:tcBorders>
              <w:top w:val="single" w:sz="2" w:space="0" w:color="000000"/>
              <w:bottom w:val="single" w:sz="2" w:space="0" w:color="000000"/>
            </w:tcBorders>
            <w:shd w:val="clear" w:color="auto" w:fill="auto"/>
            <w:vAlign w:val="center"/>
          </w:tcPr>
          <w:p w:rsidR="00B04059" w:rsidRPr="007468C5" w:rsidRDefault="00B04059" w:rsidP="00B66928">
            <w:pPr>
              <w:spacing w:after="0"/>
              <w:ind w:firstLine="0"/>
              <w:jc w:val="left"/>
              <w:rPr>
                <w:rFonts w:ascii="Arial Narrow" w:hAnsi="Arial Narrow" w:cs="Arial"/>
                <w:b/>
                <w:lang w:val="es-ES" w:eastAsia="es-ES"/>
              </w:rPr>
            </w:pPr>
            <w:r w:rsidRPr="007468C5">
              <w:rPr>
                <w:rFonts w:ascii="Arial Narrow" w:hAnsi="Arial Narrow" w:cs="Arial"/>
                <w:b/>
                <w:lang w:val="es-ES" w:eastAsia="es-ES"/>
              </w:rPr>
              <w:t>III. Otras unidades consideradas como AA.PP (sociedades y fundaciones públicas)</w:t>
            </w:r>
          </w:p>
        </w:tc>
        <w:tc>
          <w:tcPr>
            <w:tcW w:w="1320" w:type="dxa"/>
            <w:tcBorders>
              <w:top w:val="single" w:sz="2" w:space="0" w:color="000000"/>
              <w:bottom w:val="single" w:sz="2" w:space="0" w:color="000000"/>
            </w:tcBorders>
            <w:vAlign w:val="center"/>
          </w:tcPr>
          <w:p w:rsidR="00B04059" w:rsidRPr="006A3173" w:rsidRDefault="0014080D" w:rsidP="00B66928">
            <w:pPr>
              <w:spacing w:after="0"/>
              <w:ind w:firstLine="0"/>
              <w:jc w:val="right"/>
              <w:rPr>
                <w:rFonts w:ascii="Arial Narrow" w:hAnsi="Arial Narrow" w:cs="Arial"/>
                <w:b/>
                <w:lang w:val="es-ES" w:eastAsia="es-ES"/>
              </w:rPr>
            </w:pPr>
            <w:r w:rsidRPr="006A3173">
              <w:rPr>
                <w:rFonts w:ascii="Arial Narrow" w:hAnsi="Arial Narrow" w:cs="Arial"/>
                <w:b/>
                <w:lang w:val="es-ES" w:eastAsia="es-ES"/>
              </w:rPr>
              <w:t>23,3</w:t>
            </w:r>
          </w:p>
        </w:tc>
      </w:tr>
      <w:tr w:rsidR="00B04059" w:rsidRPr="007468C5" w:rsidTr="00156E70">
        <w:trPr>
          <w:trHeight w:val="255"/>
        </w:trPr>
        <w:tc>
          <w:tcPr>
            <w:tcW w:w="7440" w:type="dxa"/>
            <w:tcBorders>
              <w:top w:val="single" w:sz="2" w:space="0" w:color="000000"/>
              <w:bottom w:val="single" w:sz="2" w:space="0" w:color="000000"/>
            </w:tcBorders>
            <w:shd w:val="clear" w:color="auto" w:fill="auto"/>
            <w:vAlign w:val="center"/>
          </w:tcPr>
          <w:p w:rsidR="00B04059" w:rsidRPr="007468C5" w:rsidRDefault="00B04059" w:rsidP="00B66928">
            <w:pPr>
              <w:spacing w:after="0"/>
              <w:ind w:firstLine="0"/>
              <w:jc w:val="left"/>
              <w:rPr>
                <w:rFonts w:ascii="Arial Narrow" w:hAnsi="Arial Narrow" w:cs="Arial"/>
                <w:b/>
                <w:lang w:val="es-ES" w:eastAsia="es-ES"/>
              </w:rPr>
            </w:pPr>
            <w:r w:rsidRPr="007468C5">
              <w:rPr>
                <w:rFonts w:ascii="Arial Narrow" w:hAnsi="Arial Narrow" w:cs="Arial"/>
                <w:b/>
                <w:lang w:val="es-ES" w:eastAsia="es-ES"/>
              </w:rPr>
              <w:t>IV. Necesidad financiación a efectos cumplimiento objetivo de Estab. Presupuestaria (I a III)</w:t>
            </w:r>
          </w:p>
        </w:tc>
        <w:tc>
          <w:tcPr>
            <w:tcW w:w="1320" w:type="dxa"/>
            <w:tcBorders>
              <w:top w:val="single" w:sz="2" w:space="0" w:color="000000"/>
              <w:bottom w:val="single" w:sz="2" w:space="0" w:color="000000"/>
            </w:tcBorders>
            <w:vAlign w:val="center"/>
          </w:tcPr>
          <w:p w:rsidR="00B04059" w:rsidRPr="006A3173" w:rsidRDefault="0014080D" w:rsidP="00B66928">
            <w:pPr>
              <w:spacing w:after="0"/>
              <w:ind w:firstLine="0"/>
              <w:jc w:val="right"/>
              <w:rPr>
                <w:rFonts w:ascii="Arial Narrow" w:hAnsi="Arial Narrow" w:cs="Arial"/>
                <w:b/>
                <w:lang w:val="es-ES" w:eastAsia="es-ES"/>
              </w:rPr>
            </w:pPr>
            <w:r w:rsidRPr="006A3173">
              <w:rPr>
                <w:rFonts w:ascii="Arial Narrow" w:hAnsi="Arial Narrow" w:cs="Arial"/>
                <w:b/>
                <w:lang w:val="es-ES" w:eastAsia="es-ES"/>
              </w:rPr>
              <w:t>-2</w:t>
            </w:r>
            <w:r w:rsidR="000D13D3" w:rsidRPr="006A3173">
              <w:rPr>
                <w:rFonts w:ascii="Arial Narrow" w:hAnsi="Arial Narrow" w:cs="Arial"/>
                <w:b/>
                <w:lang w:val="es-ES" w:eastAsia="es-ES"/>
              </w:rPr>
              <w:t>69,9</w:t>
            </w:r>
          </w:p>
        </w:tc>
      </w:tr>
      <w:tr w:rsidR="00B04059" w:rsidRPr="007468C5" w:rsidTr="00156E70">
        <w:trPr>
          <w:trHeight w:val="255"/>
        </w:trPr>
        <w:tc>
          <w:tcPr>
            <w:tcW w:w="7440" w:type="dxa"/>
            <w:tcBorders>
              <w:top w:val="single" w:sz="2" w:space="0" w:color="000000"/>
              <w:bottom w:val="single" w:sz="2" w:space="0" w:color="000000"/>
            </w:tcBorders>
            <w:shd w:val="clear" w:color="auto" w:fill="auto"/>
            <w:noWrap/>
            <w:vAlign w:val="center"/>
          </w:tcPr>
          <w:p w:rsidR="00B04059" w:rsidRPr="007468C5" w:rsidRDefault="00B04059" w:rsidP="00B66928">
            <w:pPr>
              <w:spacing w:after="0"/>
              <w:ind w:firstLine="0"/>
              <w:jc w:val="left"/>
              <w:rPr>
                <w:rFonts w:ascii="Arial Narrow" w:hAnsi="Arial Narrow" w:cs="Arial"/>
                <w:b/>
                <w:lang w:val="es-ES" w:eastAsia="es-ES"/>
              </w:rPr>
            </w:pPr>
            <w:r w:rsidRPr="007468C5">
              <w:rPr>
                <w:rFonts w:ascii="Arial Narrow" w:hAnsi="Arial Narrow" w:cs="Arial"/>
                <w:b/>
                <w:lang w:val="es-ES" w:eastAsia="es-ES"/>
              </w:rPr>
              <w:t xml:space="preserve">Porcentaje de las necesidades de financiación sobre PIB </w:t>
            </w:r>
            <w:r w:rsidR="0014080D">
              <w:rPr>
                <w:rFonts w:ascii="Arial Narrow" w:hAnsi="Arial Narrow" w:cs="Arial"/>
                <w:b/>
                <w:lang w:val="es-ES" w:eastAsia="es-ES"/>
              </w:rPr>
              <w:t xml:space="preserve">de Navarra </w:t>
            </w:r>
            <w:r w:rsidRPr="007468C5">
              <w:rPr>
                <w:rFonts w:ascii="Arial Narrow" w:hAnsi="Arial Narrow" w:cs="Arial"/>
                <w:b/>
                <w:lang w:val="es-ES" w:eastAsia="es-ES"/>
              </w:rPr>
              <w:t>(1)</w:t>
            </w:r>
          </w:p>
        </w:tc>
        <w:tc>
          <w:tcPr>
            <w:tcW w:w="1320" w:type="dxa"/>
            <w:tcBorders>
              <w:top w:val="single" w:sz="2" w:space="0" w:color="000000"/>
              <w:bottom w:val="single" w:sz="2" w:space="0" w:color="000000"/>
            </w:tcBorders>
            <w:vAlign w:val="center"/>
          </w:tcPr>
          <w:p w:rsidR="00B04059" w:rsidRPr="006A3173" w:rsidRDefault="0014080D" w:rsidP="00B66928">
            <w:pPr>
              <w:spacing w:after="0"/>
              <w:ind w:firstLine="0"/>
              <w:jc w:val="right"/>
              <w:rPr>
                <w:rFonts w:ascii="Arial Narrow" w:hAnsi="Arial Narrow" w:cs="Arial"/>
                <w:b/>
                <w:lang w:val="es-ES" w:eastAsia="es-ES"/>
              </w:rPr>
            </w:pPr>
            <w:r w:rsidRPr="006A3173">
              <w:rPr>
                <w:rFonts w:ascii="Arial Narrow" w:hAnsi="Arial Narrow" w:cs="Arial"/>
                <w:b/>
                <w:lang w:val="es-ES" w:eastAsia="es-ES"/>
              </w:rPr>
              <w:t>-1,48</w:t>
            </w:r>
          </w:p>
        </w:tc>
      </w:tr>
      <w:tr w:rsidR="00B04059" w:rsidRPr="007468C5" w:rsidTr="00156E70">
        <w:trPr>
          <w:trHeight w:val="255"/>
        </w:trPr>
        <w:tc>
          <w:tcPr>
            <w:tcW w:w="7440" w:type="dxa"/>
            <w:tcBorders>
              <w:top w:val="single" w:sz="2" w:space="0" w:color="000000"/>
              <w:bottom w:val="single" w:sz="2" w:space="0" w:color="000000"/>
            </w:tcBorders>
            <w:shd w:val="clear" w:color="auto" w:fill="auto"/>
            <w:noWrap/>
            <w:vAlign w:val="center"/>
          </w:tcPr>
          <w:p w:rsidR="00B04059" w:rsidRPr="007468C5" w:rsidRDefault="00B04059" w:rsidP="00B66928">
            <w:pPr>
              <w:spacing w:after="0"/>
              <w:ind w:firstLine="0"/>
              <w:jc w:val="left"/>
              <w:rPr>
                <w:rFonts w:ascii="Arial Narrow" w:hAnsi="Arial Narrow" w:cs="Arial"/>
                <w:b/>
                <w:i/>
                <w:lang w:val="es-ES" w:eastAsia="es-ES"/>
              </w:rPr>
            </w:pPr>
            <w:r w:rsidRPr="007468C5">
              <w:rPr>
                <w:rFonts w:ascii="Arial Narrow" w:hAnsi="Arial Narrow" w:cs="Arial"/>
                <w:b/>
                <w:i/>
                <w:lang w:val="es-ES" w:eastAsia="es-ES"/>
              </w:rPr>
              <w:t xml:space="preserve">Objetivo </w:t>
            </w:r>
            <w:r w:rsidR="0085188F">
              <w:rPr>
                <w:rFonts w:ascii="Arial Narrow" w:hAnsi="Arial Narrow" w:cs="Arial"/>
                <w:b/>
                <w:i/>
                <w:lang w:val="es-ES" w:eastAsia="es-ES"/>
              </w:rPr>
              <w:t>pactado</w:t>
            </w:r>
            <w:r w:rsidRPr="007468C5">
              <w:rPr>
                <w:rFonts w:ascii="Arial Narrow" w:hAnsi="Arial Narrow" w:cs="Arial"/>
                <w:b/>
                <w:i/>
                <w:lang w:val="es-ES" w:eastAsia="es-ES"/>
              </w:rPr>
              <w:t xml:space="preserve"> en porcentaje sobre el PIB </w:t>
            </w:r>
            <w:r>
              <w:rPr>
                <w:rFonts w:ascii="Arial Narrow" w:hAnsi="Arial Narrow" w:cs="Arial"/>
                <w:b/>
                <w:i/>
                <w:lang w:val="es-ES" w:eastAsia="es-ES"/>
              </w:rPr>
              <w:t xml:space="preserve">de </w:t>
            </w:r>
            <w:r w:rsidR="0014080D">
              <w:rPr>
                <w:rFonts w:ascii="Arial Narrow" w:hAnsi="Arial Narrow" w:cs="Arial"/>
                <w:b/>
                <w:i/>
                <w:lang w:val="es-ES" w:eastAsia="es-ES"/>
              </w:rPr>
              <w:t>N</w:t>
            </w:r>
            <w:r>
              <w:rPr>
                <w:rFonts w:ascii="Arial Narrow" w:hAnsi="Arial Narrow" w:cs="Arial"/>
                <w:b/>
                <w:i/>
                <w:lang w:val="es-ES" w:eastAsia="es-ES"/>
              </w:rPr>
              <w:t>avarra</w:t>
            </w:r>
          </w:p>
        </w:tc>
        <w:tc>
          <w:tcPr>
            <w:tcW w:w="1320" w:type="dxa"/>
            <w:tcBorders>
              <w:top w:val="single" w:sz="2" w:space="0" w:color="000000"/>
              <w:bottom w:val="single" w:sz="2" w:space="0" w:color="000000"/>
            </w:tcBorders>
            <w:vAlign w:val="center"/>
          </w:tcPr>
          <w:p w:rsidR="00B04059" w:rsidRPr="006A3173" w:rsidRDefault="0014080D" w:rsidP="00B66928">
            <w:pPr>
              <w:spacing w:after="0"/>
              <w:ind w:firstLine="0"/>
              <w:jc w:val="right"/>
              <w:rPr>
                <w:rFonts w:ascii="Arial Narrow" w:hAnsi="Arial Narrow" w:cs="Arial"/>
                <w:b/>
                <w:i/>
                <w:lang w:val="es-ES" w:eastAsia="es-ES"/>
              </w:rPr>
            </w:pPr>
            <w:r w:rsidRPr="006A3173">
              <w:rPr>
                <w:rFonts w:ascii="Arial Narrow" w:hAnsi="Arial Narrow" w:cs="Arial"/>
                <w:b/>
                <w:i/>
                <w:lang w:val="es-ES" w:eastAsia="es-ES"/>
              </w:rPr>
              <w:t>-0,7</w:t>
            </w:r>
          </w:p>
        </w:tc>
      </w:tr>
      <w:tr w:rsidR="0014080D" w:rsidRPr="007468C5" w:rsidTr="00156E70">
        <w:trPr>
          <w:trHeight w:val="255"/>
        </w:trPr>
        <w:tc>
          <w:tcPr>
            <w:tcW w:w="7440" w:type="dxa"/>
            <w:tcBorders>
              <w:top w:val="single" w:sz="2" w:space="0" w:color="000000"/>
              <w:bottom w:val="single" w:sz="4" w:space="0" w:color="000000"/>
            </w:tcBorders>
            <w:shd w:val="clear" w:color="auto" w:fill="auto"/>
            <w:noWrap/>
            <w:vAlign w:val="center"/>
          </w:tcPr>
          <w:p w:rsidR="0014080D" w:rsidRPr="0085188F" w:rsidRDefault="0014080D" w:rsidP="00B66928">
            <w:pPr>
              <w:spacing w:after="0"/>
              <w:ind w:firstLine="0"/>
              <w:jc w:val="left"/>
              <w:rPr>
                <w:rFonts w:ascii="Arial Narrow" w:hAnsi="Arial Narrow" w:cs="Arial"/>
                <w:i/>
                <w:lang w:val="es-ES" w:eastAsia="es-ES"/>
              </w:rPr>
            </w:pPr>
            <w:r w:rsidRPr="0085188F">
              <w:rPr>
                <w:rFonts w:ascii="Arial Narrow" w:hAnsi="Arial Narrow" w:cs="Arial"/>
                <w:i/>
                <w:lang w:val="es-ES" w:eastAsia="es-ES"/>
              </w:rPr>
              <w:t>Exceso de necesidades de financiación sobre el objetivo</w:t>
            </w:r>
          </w:p>
        </w:tc>
        <w:tc>
          <w:tcPr>
            <w:tcW w:w="1320" w:type="dxa"/>
            <w:tcBorders>
              <w:top w:val="single" w:sz="2" w:space="0" w:color="000000"/>
              <w:bottom w:val="single" w:sz="4" w:space="0" w:color="000000"/>
            </w:tcBorders>
            <w:vAlign w:val="center"/>
          </w:tcPr>
          <w:p w:rsidR="0014080D" w:rsidRPr="006A3173" w:rsidRDefault="0085188F" w:rsidP="00B66928">
            <w:pPr>
              <w:spacing w:after="0"/>
              <w:ind w:firstLine="0"/>
              <w:jc w:val="right"/>
              <w:rPr>
                <w:rFonts w:ascii="Arial Narrow" w:hAnsi="Arial Narrow" w:cs="Arial"/>
                <w:i/>
                <w:lang w:val="es-ES" w:eastAsia="es-ES"/>
              </w:rPr>
            </w:pPr>
            <w:r w:rsidRPr="006A3173">
              <w:rPr>
                <w:rFonts w:ascii="Arial Narrow" w:hAnsi="Arial Narrow" w:cs="Arial"/>
                <w:i/>
                <w:lang w:val="es-ES" w:eastAsia="es-ES"/>
              </w:rPr>
              <w:t>141</w:t>
            </w:r>
            <w:r w:rsidR="000D13D3" w:rsidRPr="006A3173">
              <w:rPr>
                <w:rFonts w:ascii="Arial Narrow" w:hAnsi="Arial Narrow" w:cs="Arial"/>
                <w:i/>
                <w:lang w:val="es-ES" w:eastAsia="es-ES"/>
              </w:rPr>
              <w:t>,6</w:t>
            </w:r>
          </w:p>
        </w:tc>
      </w:tr>
    </w:tbl>
    <w:p w:rsidR="003C7495" w:rsidRPr="00F17123" w:rsidRDefault="003C7495" w:rsidP="00B66928">
      <w:pPr>
        <w:spacing w:before="60" w:after="60"/>
        <w:ind w:firstLine="0"/>
        <w:jc w:val="left"/>
        <w:rPr>
          <w:rFonts w:ascii="Arial Narrow" w:hAnsi="Arial Narrow" w:cs="Arial"/>
          <w:lang w:val="es-ES" w:eastAsia="es-ES"/>
        </w:rPr>
      </w:pPr>
      <w:r w:rsidRPr="00F17123">
        <w:rPr>
          <w:rFonts w:ascii="Arial Narrow" w:hAnsi="Arial Narrow" w:cs="Arial"/>
          <w:lang w:val="es-ES" w:eastAsia="es-ES"/>
        </w:rPr>
        <w:t>Fuente: Gobierno de Navarra</w:t>
      </w:r>
    </w:p>
    <w:p w:rsidR="004C3AFE" w:rsidRPr="000B583F" w:rsidRDefault="004C3AFE" w:rsidP="004C3AFE">
      <w:pPr>
        <w:spacing w:before="120" w:after="0"/>
        <w:ind w:firstLine="0"/>
        <w:jc w:val="left"/>
        <w:rPr>
          <w:rFonts w:ascii="Arial Narrow" w:hAnsi="Arial Narrow" w:cs="Arial"/>
          <w:sz w:val="18"/>
          <w:szCs w:val="18"/>
          <w:lang w:val="es-ES" w:eastAsia="es-ES"/>
        </w:rPr>
      </w:pPr>
      <w:r w:rsidRPr="00B66928">
        <w:rPr>
          <w:rFonts w:ascii="Arial Narrow" w:hAnsi="Arial Narrow" w:cs="Arial"/>
          <w:sz w:val="18"/>
          <w:szCs w:val="18"/>
          <w:vertAlign w:val="superscript"/>
          <w:lang w:val="es-ES" w:eastAsia="es-ES"/>
        </w:rPr>
        <w:t>(1)</w:t>
      </w:r>
      <w:r w:rsidRPr="000B583F">
        <w:rPr>
          <w:rFonts w:ascii="Arial Narrow" w:hAnsi="Arial Narrow" w:cs="Arial"/>
          <w:sz w:val="18"/>
          <w:szCs w:val="18"/>
          <w:lang w:val="es-ES" w:eastAsia="es-ES"/>
        </w:rPr>
        <w:t xml:space="preserve"> PIB de Navarra en 201</w:t>
      </w:r>
      <w:r w:rsidR="002435FA">
        <w:rPr>
          <w:rFonts w:ascii="Arial Narrow" w:hAnsi="Arial Narrow" w:cs="Arial"/>
          <w:sz w:val="18"/>
          <w:szCs w:val="18"/>
          <w:lang w:val="es-ES" w:eastAsia="es-ES"/>
        </w:rPr>
        <w:t>5</w:t>
      </w:r>
      <w:r w:rsidRPr="000B583F">
        <w:rPr>
          <w:rFonts w:ascii="Arial Narrow" w:hAnsi="Arial Narrow" w:cs="Arial"/>
          <w:sz w:val="18"/>
          <w:szCs w:val="18"/>
          <w:lang w:val="es-ES" w:eastAsia="es-ES"/>
        </w:rPr>
        <w:t xml:space="preserve"> provisional estimado en </w:t>
      </w:r>
      <w:r w:rsidR="002435FA">
        <w:rPr>
          <w:rFonts w:ascii="Arial Narrow" w:hAnsi="Arial Narrow" w:cs="Arial"/>
          <w:sz w:val="18"/>
          <w:szCs w:val="18"/>
          <w:lang w:val="es-ES" w:eastAsia="es-ES"/>
        </w:rPr>
        <w:t>18.246</w:t>
      </w:r>
      <w:r w:rsidRPr="000B583F">
        <w:rPr>
          <w:rFonts w:ascii="Arial Narrow" w:hAnsi="Arial Narrow" w:cs="Arial"/>
          <w:sz w:val="18"/>
          <w:szCs w:val="18"/>
          <w:lang w:val="es-ES" w:eastAsia="es-ES"/>
        </w:rPr>
        <w:t xml:space="preserve"> millones (fuente INE)</w:t>
      </w:r>
    </w:p>
    <w:p w:rsidR="004C3AFE" w:rsidRPr="001639F7" w:rsidRDefault="004C3AFE" w:rsidP="004C3AFE">
      <w:pPr>
        <w:spacing w:after="120"/>
        <w:ind w:firstLine="0"/>
        <w:jc w:val="left"/>
        <w:rPr>
          <w:rFonts w:ascii="Arial Narrow" w:hAnsi="Arial Narrow" w:cs="Arial"/>
          <w:sz w:val="18"/>
          <w:szCs w:val="18"/>
          <w:highlight w:val="yellow"/>
          <w:lang w:val="es-ES" w:eastAsia="es-ES"/>
        </w:rPr>
      </w:pPr>
    </w:p>
    <w:p w:rsidR="005E2C55" w:rsidRDefault="005E2C55" w:rsidP="004C3AFE">
      <w:pPr>
        <w:pStyle w:val="texto"/>
      </w:pPr>
      <w:r>
        <w:t>Del cuadro anterior</w:t>
      </w:r>
      <w:r w:rsidR="00DE0DA7">
        <w:t>,</w:t>
      </w:r>
      <w:r>
        <w:t xml:space="preserve"> destacamos los siguientes </w:t>
      </w:r>
      <w:r w:rsidR="009D5A66">
        <w:t>ajustes</w:t>
      </w:r>
      <w:r>
        <w:t>:</w:t>
      </w:r>
    </w:p>
    <w:p w:rsidR="009B7A52" w:rsidRPr="009B7A52" w:rsidRDefault="005841C2" w:rsidP="00156E70">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89"/>
        <w:rPr>
          <w:lang w:val="es-ES"/>
        </w:rPr>
      </w:pPr>
      <w:r w:rsidRPr="009B7A52">
        <w:rPr>
          <w:lang w:val="es-ES"/>
        </w:rPr>
        <w:t>Ajustes del Convenio</w:t>
      </w:r>
      <w:r w:rsidR="009B7A52">
        <w:rPr>
          <w:lang w:val="es-ES"/>
        </w:rPr>
        <w:t>. Implica un incremento de las necesidades de fina</w:t>
      </w:r>
      <w:r w:rsidR="009B7A52">
        <w:rPr>
          <w:lang w:val="es-ES"/>
        </w:rPr>
        <w:t>n</w:t>
      </w:r>
      <w:r w:rsidR="009B7A52">
        <w:rPr>
          <w:lang w:val="es-ES"/>
        </w:rPr>
        <w:t>ciación de</w:t>
      </w:r>
      <w:r w:rsidR="009B7A52" w:rsidRPr="009B7A52">
        <w:rPr>
          <w:lang w:val="es-ES"/>
        </w:rPr>
        <w:t xml:space="preserve"> 43,6 millones de euros.</w:t>
      </w:r>
      <w:r w:rsidR="009B7A52">
        <w:rPr>
          <w:lang w:val="es-ES"/>
        </w:rPr>
        <w:t xml:space="preserve"> Este importe deriva de las regularizaciones de las aportaciones correspondientes a los ejercicios de 2013 </w:t>
      </w:r>
      <w:r w:rsidR="008B70CA">
        <w:rPr>
          <w:lang w:val="es-ES"/>
        </w:rPr>
        <w:t>–</w:t>
      </w:r>
      <w:r w:rsidR="009B7A52">
        <w:rPr>
          <w:lang w:val="es-ES"/>
        </w:rPr>
        <w:t>14,3 millones</w:t>
      </w:r>
      <w:r w:rsidR="008B70CA">
        <w:rPr>
          <w:lang w:val="es-ES"/>
        </w:rPr>
        <w:t>–</w:t>
      </w:r>
      <w:r w:rsidR="009B7A52">
        <w:rPr>
          <w:lang w:val="es-ES"/>
        </w:rPr>
        <w:t xml:space="preserve"> y de 20</w:t>
      </w:r>
      <w:r w:rsidR="001B64AB">
        <w:rPr>
          <w:lang w:val="es-ES"/>
        </w:rPr>
        <w:t xml:space="preserve">14 </w:t>
      </w:r>
      <w:r w:rsidR="008B70CA">
        <w:rPr>
          <w:lang w:val="es-ES"/>
        </w:rPr>
        <w:t>–</w:t>
      </w:r>
      <w:r w:rsidR="001B64AB">
        <w:rPr>
          <w:lang w:val="es-ES"/>
        </w:rPr>
        <w:t>29,3 millones</w:t>
      </w:r>
      <w:r w:rsidR="008B70CA">
        <w:rPr>
          <w:lang w:val="es-ES"/>
        </w:rPr>
        <w:t>–</w:t>
      </w:r>
      <w:r w:rsidR="001B64AB">
        <w:rPr>
          <w:lang w:val="es-ES"/>
        </w:rPr>
        <w:t xml:space="preserve"> como consecuencia de diferencias de criterio entre Navarra y el Estado</w:t>
      </w:r>
      <w:r w:rsidR="00DE0DA7">
        <w:rPr>
          <w:lang w:val="es-ES"/>
        </w:rPr>
        <w:t>. Esos importes provocaron en los citados ejercicios un ajuste positivo en las necesidades de financiación.</w:t>
      </w:r>
      <w:r w:rsidR="001B64AB">
        <w:rPr>
          <w:lang w:val="es-ES"/>
        </w:rPr>
        <w:t xml:space="preserve"> (</w:t>
      </w:r>
      <w:r w:rsidR="001B64AB" w:rsidRPr="00717E45">
        <w:rPr>
          <w:lang w:val="es-ES"/>
        </w:rPr>
        <w:t xml:space="preserve">Ver apartado </w:t>
      </w:r>
      <w:r w:rsidR="00717E45">
        <w:rPr>
          <w:lang w:val="es-ES"/>
        </w:rPr>
        <w:t>IV.5.)</w:t>
      </w:r>
    </w:p>
    <w:p w:rsidR="005841C2" w:rsidRPr="000C7C55" w:rsidRDefault="005841C2" w:rsidP="000C7C55">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89"/>
        <w:rPr>
          <w:lang w:val="es-ES"/>
        </w:rPr>
      </w:pPr>
      <w:r w:rsidRPr="000C7C55">
        <w:rPr>
          <w:lang w:val="es-ES"/>
        </w:rPr>
        <w:t>Recaudación incierta</w:t>
      </w:r>
      <w:r w:rsidR="001B64AB" w:rsidRPr="000C7C55">
        <w:rPr>
          <w:lang w:val="es-ES"/>
        </w:rPr>
        <w:t>, como menor necesidad de financiación por 30,5 m</w:t>
      </w:r>
      <w:r w:rsidR="001B64AB" w:rsidRPr="000C7C55">
        <w:rPr>
          <w:lang w:val="es-ES"/>
        </w:rPr>
        <w:t>i</w:t>
      </w:r>
      <w:r w:rsidR="001B64AB" w:rsidRPr="000C7C55">
        <w:rPr>
          <w:lang w:val="es-ES"/>
        </w:rPr>
        <w:t>llones. Por aplicación del criterio de caja en contabilidad nacional, el anterior ajuste surge de la comparación entre derechos reconocidos tributarios del eje</w:t>
      </w:r>
      <w:r w:rsidR="001B64AB" w:rsidRPr="000C7C55">
        <w:rPr>
          <w:lang w:val="es-ES"/>
        </w:rPr>
        <w:t>r</w:t>
      </w:r>
      <w:r w:rsidR="001B64AB" w:rsidRPr="000C7C55">
        <w:rPr>
          <w:lang w:val="es-ES"/>
        </w:rPr>
        <w:t>cicio corriente y lo efectivamente recaudado tanto en el ejercicio corriente c</w:t>
      </w:r>
      <w:r w:rsidR="001B64AB" w:rsidRPr="000C7C55">
        <w:rPr>
          <w:lang w:val="es-ES"/>
        </w:rPr>
        <w:t>o</w:t>
      </w:r>
      <w:r w:rsidR="001B64AB" w:rsidRPr="000C7C55">
        <w:rPr>
          <w:lang w:val="es-ES"/>
        </w:rPr>
        <w:t>mo en cerrados. En 2015, lo recaudado supera en ese importe a lo reconocido presupuestariamente.</w:t>
      </w:r>
    </w:p>
    <w:p w:rsidR="005841C2" w:rsidRPr="00156E70" w:rsidRDefault="005841C2" w:rsidP="005841C2">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spacing w:val="2"/>
        </w:rPr>
      </w:pPr>
      <w:r w:rsidRPr="00156E70">
        <w:rPr>
          <w:spacing w:val="2"/>
        </w:rPr>
        <w:lastRenderedPageBreak/>
        <w:t>Anticipo Obras ADIF (TAV)</w:t>
      </w:r>
      <w:r w:rsidR="002F2730" w:rsidRPr="00156E70">
        <w:rPr>
          <w:rStyle w:val="Refdenotaalpie"/>
          <w:spacing w:val="2"/>
        </w:rPr>
        <w:footnoteReference w:id="10"/>
      </w:r>
      <w:r w:rsidR="001B64AB" w:rsidRPr="00156E70">
        <w:rPr>
          <w:spacing w:val="2"/>
        </w:rPr>
        <w:t>. Se incluye un ajuste negativo de 21,4 mill</w:t>
      </w:r>
      <w:r w:rsidR="001B64AB" w:rsidRPr="00156E70">
        <w:rPr>
          <w:spacing w:val="2"/>
        </w:rPr>
        <w:t>o</w:t>
      </w:r>
      <w:r w:rsidR="001B64AB" w:rsidRPr="00156E70">
        <w:rPr>
          <w:spacing w:val="2"/>
        </w:rPr>
        <w:t>nes derivado de la diferencia entre las inversiones efectuadas en el TAV por el Gobierno de Navarra y los reintegros efectuados por ADIF de obras ya realizadas.</w:t>
      </w:r>
      <w:r w:rsidR="009D5A66" w:rsidRPr="00156E70">
        <w:rPr>
          <w:spacing w:val="2"/>
        </w:rPr>
        <w:t xml:space="preserve"> </w:t>
      </w:r>
    </w:p>
    <w:p w:rsidR="005841C2" w:rsidRDefault="005841C2" w:rsidP="005841C2">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Acreedores devolución impuestos</w:t>
      </w:r>
      <w:r w:rsidR="001B64AB">
        <w:t>, el ajuste negativo de 2</w:t>
      </w:r>
      <w:r w:rsidR="009D5A66">
        <w:t>9</w:t>
      </w:r>
      <w:r w:rsidR="001B64AB">
        <w:t xml:space="preserve"> millones</w:t>
      </w:r>
      <w:r w:rsidR="009D5A66">
        <w:t xml:space="preserve"> deriva de la aplicación del criterio de devengo</w:t>
      </w:r>
      <w:r w:rsidR="00DE0DA7" w:rsidRPr="00DE0DA7">
        <w:t xml:space="preserve"> </w:t>
      </w:r>
      <w:r w:rsidR="00DE0DA7">
        <w:t>a las devoluciones de impuestos</w:t>
      </w:r>
      <w:r w:rsidR="009D5A66">
        <w:t xml:space="preserve"> en su tratamiento en contabilidad nacional.</w:t>
      </w:r>
    </w:p>
    <w:p w:rsidR="005841C2" w:rsidRDefault="005841C2" w:rsidP="005841C2">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Aportaciones financiación empresas</w:t>
      </w:r>
      <w:r w:rsidR="009D5A66">
        <w:t xml:space="preserve">, se corresponde con el incremento de capital de la CPEN </w:t>
      </w:r>
      <w:r w:rsidR="00B66928">
        <w:t>–</w:t>
      </w:r>
      <w:r w:rsidR="009D5A66">
        <w:t>19,7 millones</w:t>
      </w:r>
      <w:r w:rsidR="00B66928">
        <w:t>–</w:t>
      </w:r>
      <w:r w:rsidR="009D5A66">
        <w:t xml:space="preserve"> y con un préstamo concedido a Canal de Navarra, SA </w:t>
      </w:r>
      <w:r w:rsidR="00B66928">
        <w:t>–</w:t>
      </w:r>
      <w:r w:rsidR="009D5A66">
        <w:t>8,5 millones</w:t>
      </w:r>
      <w:r w:rsidR="00B66928">
        <w:t xml:space="preserve">– </w:t>
      </w:r>
      <w:r w:rsidR="009D5A66">
        <w:t>que, a efectos de contabilidad nacional, increme</w:t>
      </w:r>
      <w:r w:rsidR="009D5A66">
        <w:t>n</w:t>
      </w:r>
      <w:r w:rsidR="009D5A66">
        <w:t>tan las necesidades de financiación.</w:t>
      </w:r>
    </w:p>
    <w:p w:rsidR="00DE0DA7" w:rsidRPr="006B3501" w:rsidRDefault="005841C2" w:rsidP="00B66928">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89"/>
      </w:pPr>
      <w:r w:rsidRPr="006B3501">
        <w:t xml:space="preserve">La aplicación de la Ley Foral 26/20014, de reestructuración de la deuda tributaria del Club Atlético </w:t>
      </w:r>
      <w:r w:rsidR="00771A08" w:rsidRPr="006B3501">
        <w:t xml:space="preserve">Osasuna ha supuesto </w:t>
      </w:r>
      <w:r w:rsidRPr="006B3501">
        <w:t>un incremento de las neces</w:t>
      </w:r>
      <w:r w:rsidRPr="006B3501">
        <w:t>i</w:t>
      </w:r>
      <w:r w:rsidRPr="006B3501">
        <w:t>dades de financiación de 47 millones.</w:t>
      </w:r>
      <w:r w:rsidR="00771A08" w:rsidRPr="006B3501">
        <w:t xml:space="preserve"> N</w:t>
      </w:r>
      <w:r w:rsidR="004A0C15" w:rsidRPr="006B3501">
        <w:t>o obstante, dentro de la recaudación de ejercicios cerrados se ha contemplado</w:t>
      </w:r>
      <w:r w:rsidR="00976970" w:rsidRPr="006B3501">
        <w:t xml:space="preserve"> un ingreso en especie por el valor neto de los bienes entregados</w:t>
      </w:r>
      <w:r w:rsidR="00F71F2B" w:rsidRPr="006B3501">
        <w:t xml:space="preserve"> por el citado Club</w:t>
      </w:r>
      <w:r w:rsidR="00976970" w:rsidRPr="006B3501">
        <w:t>.</w:t>
      </w:r>
      <w:r w:rsidR="00F71F2B" w:rsidRPr="006B3501">
        <w:t xml:space="preserve"> </w:t>
      </w:r>
    </w:p>
    <w:p w:rsidR="009B5A35" w:rsidRPr="00C23CFC" w:rsidRDefault="00DC1654" w:rsidP="00C15A33">
      <w:pPr>
        <w:pStyle w:val="texto"/>
        <w:spacing w:after="240"/>
        <w:rPr>
          <w:lang w:val="es-ES"/>
        </w:rPr>
      </w:pPr>
      <w:r w:rsidRPr="00DC1654">
        <w:rPr>
          <w:lang w:val="es-ES"/>
        </w:rPr>
        <w:t>Finalmente, para el periodo de 2008 a 2015, la evolución de las necesidades de financiación del sector administración pública se reflejan en el siguiente cuadro</w:t>
      </w:r>
      <w:r w:rsidR="00B66928">
        <w:rPr>
          <w:lang w:val="es-ES"/>
        </w:rPr>
        <w:t xml:space="preserve"> en millones de euros.</w:t>
      </w:r>
    </w:p>
    <w:tbl>
      <w:tblPr>
        <w:tblW w:w="8861" w:type="dxa"/>
        <w:jc w:val="center"/>
        <w:tblBorders>
          <w:top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1702"/>
        <w:gridCol w:w="994"/>
        <w:gridCol w:w="992"/>
        <w:gridCol w:w="851"/>
        <w:gridCol w:w="850"/>
        <w:gridCol w:w="993"/>
        <w:gridCol w:w="850"/>
        <w:gridCol w:w="851"/>
        <w:gridCol w:w="778"/>
      </w:tblGrid>
      <w:tr w:rsidR="00DC1654" w:rsidRPr="001D5B7A" w:rsidTr="00156E70">
        <w:trPr>
          <w:trHeight w:val="284"/>
          <w:jc w:val="center"/>
        </w:trPr>
        <w:tc>
          <w:tcPr>
            <w:tcW w:w="1702" w:type="dxa"/>
            <w:shd w:val="clear" w:color="auto" w:fill="A8CBEE" w:themeFill="accent2" w:themeFillTint="66"/>
            <w:noWrap/>
            <w:vAlign w:val="center"/>
          </w:tcPr>
          <w:p w:rsidR="00DC1654" w:rsidRPr="001D5B7A" w:rsidRDefault="00DC1654" w:rsidP="00F4748C">
            <w:pPr>
              <w:pStyle w:val="cuadroCabe"/>
              <w:jc w:val="left"/>
              <w:rPr>
                <w:rFonts w:cs="Arial"/>
              </w:rPr>
            </w:pPr>
            <w:r w:rsidRPr="001D5B7A">
              <w:rPr>
                <w:rFonts w:cs="Arial"/>
              </w:rPr>
              <w:t>Necesidades de financiación</w:t>
            </w:r>
          </w:p>
        </w:tc>
        <w:tc>
          <w:tcPr>
            <w:tcW w:w="994" w:type="dxa"/>
            <w:shd w:val="clear" w:color="auto" w:fill="A8CBEE" w:themeFill="accent2" w:themeFillTint="66"/>
            <w:noWrap/>
            <w:vAlign w:val="center"/>
          </w:tcPr>
          <w:p w:rsidR="00DC1654" w:rsidRPr="001D5B7A" w:rsidRDefault="00DC1654" w:rsidP="00F4748C">
            <w:pPr>
              <w:pStyle w:val="cuadroCabe"/>
              <w:jc w:val="right"/>
              <w:rPr>
                <w:rFonts w:cs="Arial"/>
              </w:rPr>
            </w:pPr>
            <w:r w:rsidRPr="001D5B7A">
              <w:rPr>
                <w:rFonts w:cs="Arial"/>
              </w:rPr>
              <w:t>2008</w:t>
            </w:r>
          </w:p>
        </w:tc>
        <w:tc>
          <w:tcPr>
            <w:tcW w:w="992" w:type="dxa"/>
            <w:shd w:val="clear" w:color="auto" w:fill="A8CBEE" w:themeFill="accent2" w:themeFillTint="66"/>
            <w:noWrap/>
            <w:vAlign w:val="center"/>
          </w:tcPr>
          <w:p w:rsidR="00DC1654" w:rsidRPr="001D5B7A" w:rsidRDefault="00DC1654" w:rsidP="00F4748C">
            <w:pPr>
              <w:pStyle w:val="cuadroCabe"/>
              <w:jc w:val="right"/>
              <w:rPr>
                <w:rFonts w:cs="Arial"/>
              </w:rPr>
            </w:pPr>
            <w:r w:rsidRPr="001D5B7A">
              <w:rPr>
                <w:rFonts w:cs="Arial"/>
              </w:rPr>
              <w:t>2009</w:t>
            </w:r>
          </w:p>
        </w:tc>
        <w:tc>
          <w:tcPr>
            <w:tcW w:w="851" w:type="dxa"/>
            <w:shd w:val="clear" w:color="auto" w:fill="A8CBEE" w:themeFill="accent2" w:themeFillTint="66"/>
            <w:noWrap/>
            <w:vAlign w:val="center"/>
          </w:tcPr>
          <w:p w:rsidR="00DC1654" w:rsidRPr="001D5B7A" w:rsidRDefault="00DC1654" w:rsidP="00F4748C">
            <w:pPr>
              <w:pStyle w:val="cuadroCabe"/>
              <w:jc w:val="right"/>
              <w:rPr>
                <w:rFonts w:cs="Arial"/>
              </w:rPr>
            </w:pPr>
            <w:r w:rsidRPr="001D5B7A">
              <w:rPr>
                <w:rFonts w:cs="Arial"/>
              </w:rPr>
              <w:t>2010</w:t>
            </w:r>
          </w:p>
        </w:tc>
        <w:tc>
          <w:tcPr>
            <w:tcW w:w="850" w:type="dxa"/>
            <w:shd w:val="clear" w:color="auto" w:fill="A8CBEE" w:themeFill="accent2" w:themeFillTint="66"/>
            <w:noWrap/>
            <w:vAlign w:val="center"/>
          </w:tcPr>
          <w:p w:rsidR="00DC1654" w:rsidRPr="001D5B7A" w:rsidRDefault="00DC1654" w:rsidP="00F4748C">
            <w:pPr>
              <w:pStyle w:val="cuadroCabe"/>
              <w:jc w:val="right"/>
              <w:rPr>
                <w:rFonts w:cs="Arial"/>
              </w:rPr>
            </w:pPr>
            <w:r w:rsidRPr="001D5B7A">
              <w:rPr>
                <w:rFonts w:cs="Arial"/>
              </w:rPr>
              <w:t>2011</w:t>
            </w:r>
          </w:p>
        </w:tc>
        <w:tc>
          <w:tcPr>
            <w:tcW w:w="993" w:type="dxa"/>
            <w:shd w:val="clear" w:color="auto" w:fill="A8CBEE" w:themeFill="accent2" w:themeFillTint="66"/>
            <w:vAlign w:val="center"/>
          </w:tcPr>
          <w:p w:rsidR="00DC1654" w:rsidRPr="001D5B7A" w:rsidRDefault="00DC1654" w:rsidP="00F4748C">
            <w:pPr>
              <w:pStyle w:val="cuadroCabe"/>
              <w:jc w:val="right"/>
              <w:rPr>
                <w:rFonts w:cs="Arial"/>
              </w:rPr>
            </w:pPr>
            <w:r w:rsidRPr="001D5B7A">
              <w:rPr>
                <w:rFonts w:cs="Arial"/>
              </w:rPr>
              <w:t>2012</w:t>
            </w:r>
          </w:p>
        </w:tc>
        <w:tc>
          <w:tcPr>
            <w:tcW w:w="850" w:type="dxa"/>
            <w:shd w:val="clear" w:color="auto" w:fill="A8CBEE" w:themeFill="accent2" w:themeFillTint="66"/>
            <w:vAlign w:val="center"/>
          </w:tcPr>
          <w:p w:rsidR="00DC1654" w:rsidRPr="001D5B7A" w:rsidRDefault="00DC1654" w:rsidP="00F4748C">
            <w:pPr>
              <w:pStyle w:val="cuadroCabe"/>
              <w:jc w:val="right"/>
              <w:rPr>
                <w:rFonts w:cs="Arial"/>
              </w:rPr>
            </w:pPr>
            <w:r w:rsidRPr="001D5B7A">
              <w:rPr>
                <w:rFonts w:cs="Arial"/>
              </w:rPr>
              <w:t>2013</w:t>
            </w:r>
          </w:p>
        </w:tc>
        <w:tc>
          <w:tcPr>
            <w:tcW w:w="851" w:type="dxa"/>
            <w:shd w:val="clear" w:color="auto" w:fill="A8CBEE" w:themeFill="accent2" w:themeFillTint="66"/>
            <w:vAlign w:val="center"/>
          </w:tcPr>
          <w:p w:rsidR="00DC1654" w:rsidRPr="001D5B7A" w:rsidRDefault="00DC1654" w:rsidP="00F4748C">
            <w:pPr>
              <w:pStyle w:val="cuadroCabe"/>
              <w:jc w:val="right"/>
              <w:rPr>
                <w:rFonts w:cs="Arial"/>
              </w:rPr>
            </w:pPr>
            <w:r w:rsidRPr="001D5B7A">
              <w:rPr>
                <w:rFonts w:cs="Arial"/>
              </w:rPr>
              <w:t>2014</w:t>
            </w:r>
          </w:p>
        </w:tc>
        <w:tc>
          <w:tcPr>
            <w:tcW w:w="778" w:type="dxa"/>
            <w:shd w:val="clear" w:color="auto" w:fill="A8CBEE" w:themeFill="accent2" w:themeFillTint="66"/>
            <w:vAlign w:val="center"/>
          </w:tcPr>
          <w:p w:rsidR="00DC1654" w:rsidRPr="001D5B7A" w:rsidRDefault="00DC1654" w:rsidP="00F4748C">
            <w:pPr>
              <w:pStyle w:val="cuadroCabe"/>
              <w:jc w:val="right"/>
              <w:rPr>
                <w:rFonts w:cs="Arial"/>
              </w:rPr>
            </w:pPr>
            <w:r w:rsidRPr="001D5B7A">
              <w:rPr>
                <w:rFonts w:cs="Arial"/>
              </w:rPr>
              <w:t>2015</w:t>
            </w:r>
          </w:p>
        </w:tc>
      </w:tr>
      <w:tr w:rsidR="00DC1654" w:rsidRPr="001D5B7A" w:rsidTr="00F4748C">
        <w:trPr>
          <w:trHeight w:val="284"/>
          <w:jc w:val="center"/>
        </w:trPr>
        <w:tc>
          <w:tcPr>
            <w:tcW w:w="1702" w:type="dxa"/>
            <w:shd w:val="clear" w:color="auto" w:fill="auto"/>
            <w:noWrap/>
            <w:vAlign w:val="center"/>
          </w:tcPr>
          <w:p w:rsidR="00DC1654" w:rsidRPr="001D5B7A" w:rsidRDefault="00DC1654" w:rsidP="00F4748C">
            <w:pPr>
              <w:spacing w:after="0"/>
              <w:ind w:firstLine="0"/>
              <w:jc w:val="left"/>
              <w:rPr>
                <w:rFonts w:ascii="Arial Narrow" w:hAnsi="Arial Narrow" w:cs="Arial"/>
                <w:lang w:val="es-ES" w:eastAsia="es-ES"/>
              </w:rPr>
            </w:pPr>
            <w:r w:rsidRPr="001D5B7A">
              <w:rPr>
                <w:rFonts w:ascii="Arial Narrow" w:hAnsi="Arial Narrow" w:cs="Arial"/>
                <w:lang w:val="es-ES" w:eastAsia="es-ES"/>
              </w:rPr>
              <w:t>Importe</w:t>
            </w:r>
          </w:p>
        </w:tc>
        <w:tc>
          <w:tcPr>
            <w:tcW w:w="994" w:type="dxa"/>
            <w:shd w:val="clear" w:color="auto" w:fill="auto"/>
            <w:noWrap/>
            <w:vAlign w:val="center"/>
          </w:tcPr>
          <w:p w:rsidR="00DC1654" w:rsidRPr="001D5B7A" w:rsidRDefault="00DC1654" w:rsidP="00F4748C">
            <w:pPr>
              <w:spacing w:after="0"/>
              <w:ind w:firstLine="0"/>
              <w:jc w:val="right"/>
              <w:rPr>
                <w:rFonts w:ascii="Arial Narrow" w:hAnsi="Arial Narrow" w:cs="Arial"/>
                <w:lang w:val="es-ES" w:eastAsia="es-ES"/>
              </w:rPr>
            </w:pPr>
            <w:r w:rsidRPr="001D5B7A">
              <w:rPr>
                <w:rFonts w:ascii="Arial Narrow" w:hAnsi="Arial Narrow" w:cs="Arial"/>
                <w:lang w:val="es-ES" w:eastAsia="es-ES"/>
              </w:rPr>
              <w:t>-877</w:t>
            </w:r>
          </w:p>
        </w:tc>
        <w:tc>
          <w:tcPr>
            <w:tcW w:w="992" w:type="dxa"/>
            <w:shd w:val="clear" w:color="auto" w:fill="auto"/>
            <w:noWrap/>
            <w:vAlign w:val="center"/>
          </w:tcPr>
          <w:p w:rsidR="00DC1654" w:rsidRPr="001D5B7A" w:rsidRDefault="00DC1654" w:rsidP="00F4748C">
            <w:pPr>
              <w:spacing w:after="0"/>
              <w:ind w:firstLine="0"/>
              <w:jc w:val="right"/>
              <w:rPr>
                <w:rFonts w:ascii="Arial Narrow" w:hAnsi="Arial Narrow" w:cs="Arial"/>
                <w:lang w:val="es-ES" w:eastAsia="es-ES"/>
              </w:rPr>
            </w:pPr>
            <w:r w:rsidRPr="001D5B7A">
              <w:rPr>
                <w:rFonts w:ascii="Arial Narrow" w:hAnsi="Arial Narrow" w:cs="Arial"/>
                <w:lang w:val="es-ES" w:eastAsia="es-ES"/>
              </w:rPr>
              <w:t>-477</w:t>
            </w:r>
          </w:p>
        </w:tc>
        <w:tc>
          <w:tcPr>
            <w:tcW w:w="851" w:type="dxa"/>
            <w:shd w:val="clear" w:color="auto" w:fill="auto"/>
            <w:noWrap/>
            <w:vAlign w:val="center"/>
          </w:tcPr>
          <w:p w:rsidR="00DC1654" w:rsidRPr="001D5B7A" w:rsidRDefault="00DC1654" w:rsidP="00F4748C">
            <w:pPr>
              <w:spacing w:after="0"/>
              <w:ind w:firstLine="0"/>
              <w:jc w:val="right"/>
              <w:rPr>
                <w:rFonts w:ascii="Arial Narrow" w:hAnsi="Arial Narrow" w:cs="Arial"/>
                <w:lang w:val="es-ES" w:eastAsia="es-ES"/>
              </w:rPr>
            </w:pPr>
            <w:r w:rsidRPr="001D5B7A">
              <w:rPr>
                <w:rFonts w:ascii="Arial Narrow" w:hAnsi="Arial Narrow" w:cs="Arial"/>
                <w:lang w:val="es-ES" w:eastAsia="es-ES"/>
              </w:rPr>
              <w:t>-564</w:t>
            </w:r>
          </w:p>
        </w:tc>
        <w:tc>
          <w:tcPr>
            <w:tcW w:w="850" w:type="dxa"/>
            <w:shd w:val="clear" w:color="auto" w:fill="auto"/>
            <w:noWrap/>
            <w:vAlign w:val="center"/>
          </w:tcPr>
          <w:p w:rsidR="00DC1654" w:rsidRPr="001D5B7A" w:rsidRDefault="00DC1654" w:rsidP="00F4748C">
            <w:pPr>
              <w:spacing w:after="0"/>
              <w:ind w:firstLine="0"/>
              <w:jc w:val="right"/>
              <w:rPr>
                <w:rFonts w:ascii="Arial Narrow" w:hAnsi="Arial Narrow" w:cs="Arial"/>
                <w:lang w:val="es-ES" w:eastAsia="es-ES"/>
              </w:rPr>
            </w:pPr>
            <w:r w:rsidRPr="001D5B7A">
              <w:rPr>
                <w:rFonts w:ascii="Arial Narrow" w:hAnsi="Arial Narrow" w:cs="Arial"/>
                <w:lang w:val="es-ES" w:eastAsia="es-ES"/>
              </w:rPr>
              <w:t>-368</w:t>
            </w:r>
          </w:p>
        </w:tc>
        <w:tc>
          <w:tcPr>
            <w:tcW w:w="993" w:type="dxa"/>
            <w:vAlign w:val="center"/>
          </w:tcPr>
          <w:p w:rsidR="00DC1654" w:rsidRPr="001D5B7A" w:rsidRDefault="00DC1654" w:rsidP="00F4748C">
            <w:pPr>
              <w:spacing w:after="0"/>
              <w:ind w:firstLine="0"/>
              <w:jc w:val="right"/>
              <w:rPr>
                <w:rFonts w:ascii="Arial Narrow" w:hAnsi="Arial Narrow" w:cs="Arial"/>
                <w:lang w:val="es-ES" w:eastAsia="es-ES"/>
              </w:rPr>
            </w:pPr>
            <w:r w:rsidRPr="001D5B7A">
              <w:rPr>
                <w:rFonts w:ascii="Arial Narrow" w:hAnsi="Arial Narrow" w:cs="Arial"/>
                <w:lang w:val="es-ES" w:eastAsia="es-ES"/>
              </w:rPr>
              <w:t>-311</w:t>
            </w:r>
          </w:p>
        </w:tc>
        <w:tc>
          <w:tcPr>
            <w:tcW w:w="850" w:type="dxa"/>
            <w:vAlign w:val="center"/>
          </w:tcPr>
          <w:p w:rsidR="00DC1654" w:rsidRPr="001D5B7A" w:rsidRDefault="00DC1654" w:rsidP="00F4748C">
            <w:pPr>
              <w:spacing w:after="0"/>
              <w:ind w:firstLine="0"/>
              <w:jc w:val="right"/>
              <w:rPr>
                <w:rFonts w:ascii="Arial Narrow" w:hAnsi="Arial Narrow" w:cs="Arial"/>
                <w:lang w:val="es-ES" w:eastAsia="es-ES"/>
              </w:rPr>
            </w:pPr>
            <w:r w:rsidRPr="001D5B7A">
              <w:rPr>
                <w:rFonts w:ascii="Arial Narrow" w:hAnsi="Arial Narrow" w:cs="Arial"/>
                <w:lang w:val="es-ES" w:eastAsia="es-ES"/>
              </w:rPr>
              <w:t>-255</w:t>
            </w:r>
          </w:p>
        </w:tc>
        <w:tc>
          <w:tcPr>
            <w:tcW w:w="851" w:type="dxa"/>
            <w:vAlign w:val="center"/>
          </w:tcPr>
          <w:p w:rsidR="00DC1654" w:rsidRPr="001D5B7A" w:rsidRDefault="00DC1654" w:rsidP="00F4748C">
            <w:pPr>
              <w:spacing w:after="0"/>
              <w:ind w:firstLine="0"/>
              <w:jc w:val="right"/>
              <w:rPr>
                <w:rFonts w:ascii="Arial Narrow" w:hAnsi="Arial Narrow" w:cs="Arial"/>
                <w:lang w:val="es-ES" w:eastAsia="es-ES"/>
              </w:rPr>
            </w:pPr>
            <w:r>
              <w:rPr>
                <w:rFonts w:ascii="Arial Narrow" w:hAnsi="Arial Narrow" w:cs="Arial"/>
                <w:lang w:val="es-ES" w:eastAsia="es-ES"/>
              </w:rPr>
              <w:t>-</w:t>
            </w:r>
            <w:r w:rsidRPr="001D5B7A">
              <w:rPr>
                <w:rFonts w:ascii="Arial Narrow" w:hAnsi="Arial Narrow" w:cs="Arial"/>
                <w:lang w:val="es-ES" w:eastAsia="es-ES"/>
              </w:rPr>
              <w:t>149,5</w:t>
            </w:r>
          </w:p>
        </w:tc>
        <w:tc>
          <w:tcPr>
            <w:tcW w:w="778" w:type="dxa"/>
            <w:vAlign w:val="center"/>
          </w:tcPr>
          <w:p w:rsidR="00DC1654" w:rsidRPr="001D5B7A" w:rsidRDefault="00DC1654" w:rsidP="00F4748C">
            <w:pPr>
              <w:spacing w:after="0"/>
              <w:ind w:firstLine="0"/>
              <w:jc w:val="right"/>
              <w:rPr>
                <w:rFonts w:ascii="Arial Narrow" w:hAnsi="Arial Narrow" w:cs="Arial"/>
                <w:lang w:val="es-ES" w:eastAsia="es-ES"/>
              </w:rPr>
            </w:pPr>
            <w:r>
              <w:rPr>
                <w:rFonts w:ascii="Arial Narrow" w:hAnsi="Arial Narrow" w:cs="Arial"/>
                <w:lang w:val="es-ES" w:eastAsia="es-ES"/>
              </w:rPr>
              <w:t>-</w:t>
            </w:r>
            <w:r w:rsidRPr="001D5B7A">
              <w:rPr>
                <w:rFonts w:ascii="Arial Narrow" w:hAnsi="Arial Narrow" w:cs="Arial"/>
                <w:lang w:val="es-ES" w:eastAsia="es-ES"/>
              </w:rPr>
              <w:t>269,9</w:t>
            </w:r>
          </w:p>
        </w:tc>
      </w:tr>
      <w:tr w:rsidR="00DC1654" w:rsidRPr="001D5B7A" w:rsidTr="00F4748C">
        <w:trPr>
          <w:trHeight w:val="284"/>
          <w:jc w:val="center"/>
        </w:trPr>
        <w:tc>
          <w:tcPr>
            <w:tcW w:w="1702" w:type="dxa"/>
            <w:shd w:val="clear" w:color="auto" w:fill="auto"/>
            <w:noWrap/>
            <w:vAlign w:val="center"/>
          </w:tcPr>
          <w:p w:rsidR="00DC1654" w:rsidRPr="001D5B7A" w:rsidRDefault="00DC1654" w:rsidP="00F4748C">
            <w:pPr>
              <w:spacing w:after="0"/>
              <w:ind w:firstLine="0"/>
              <w:jc w:val="left"/>
              <w:rPr>
                <w:rFonts w:ascii="Arial Narrow" w:hAnsi="Arial Narrow" w:cs="Arial"/>
                <w:lang w:val="es-ES" w:eastAsia="es-ES"/>
              </w:rPr>
            </w:pPr>
            <w:r w:rsidRPr="001D5B7A">
              <w:rPr>
                <w:rFonts w:ascii="Arial Narrow" w:hAnsi="Arial Narrow" w:cs="Arial"/>
                <w:lang w:val="es-ES" w:eastAsia="es-ES"/>
              </w:rPr>
              <w:t>% PIB Navarra</w:t>
            </w:r>
          </w:p>
        </w:tc>
        <w:tc>
          <w:tcPr>
            <w:tcW w:w="994" w:type="dxa"/>
            <w:shd w:val="clear" w:color="auto" w:fill="auto"/>
            <w:noWrap/>
            <w:vAlign w:val="center"/>
          </w:tcPr>
          <w:p w:rsidR="00DC1654" w:rsidRPr="001D5B7A" w:rsidRDefault="00DC1654" w:rsidP="00F4748C">
            <w:pPr>
              <w:spacing w:after="0"/>
              <w:ind w:firstLine="0"/>
              <w:jc w:val="right"/>
              <w:rPr>
                <w:rFonts w:ascii="Arial Narrow" w:hAnsi="Arial Narrow" w:cs="Arial"/>
                <w:lang w:val="es-ES" w:eastAsia="es-ES"/>
              </w:rPr>
            </w:pPr>
            <w:r w:rsidRPr="001D5B7A">
              <w:rPr>
                <w:rFonts w:ascii="Arial Narrow" w:hAnsi="Arial Narrow" w:cs="Arial"/>
                <w:lang w:val="es-ES" w:eastAsia="es-ES"/>
              </w:rPr>
              <w:t>-4,7</w:t>
            </w:r>
          </w:p>
        </w:tc>
        <w:tc>
          <w:tcPr>
            <w:tcW w:w="992" w:type="dxa"/>
            <w:shd w:val="clear" w:color="auto" w:fill="auto"/>
            <w:noWrap/>
            <w:vAlign w:val="center"/>
          </w:tcPr>
          <w:p w:rsidR="00DC1654" w:rsidRPr="001D5B7A" w:rsidRDefault="00DC1654" w:rsidP="00F4748C">
            <w:pPr>
              <w:spacing w:after="0"/>
              <w:ind w:firstLine="0"/>
              <w:jc w:val="right"/>
              <w:rPr>
                <w:rFonts w:ascii="Arial Narrow" w:hAnsi="Arial Narrow" w:cs="Arial"/>
                <w:lang w:val="es-ES" w:eastAsia="es-ES"/>
              </w:rPr>
            </w:pPr>
            <w:r w:rsidRPr="001D5B7A">
              <w:rPr>
                <w:rFonts w:ascii="Arial Narrow" w:hAnsi="Arial Narrow" w:cs="Arial"/>
                <w:lang w:val="es-ES" w:eastAsia="es-ES"/>
              </w:rPr>
              <w:t>-2,62</w:t>
            </w:r>
          </w:p>
        </w:tc>
        <w:tc>
          <w:tcPr>
            <w:tcW w:w="851" w:type="dxa"/>
            <w:shd w:val="clear" w:color="auto" w:fill="auto"/>
            <w:noWrap/>
            <w:vAlign w:val="center"/>
          </w:tcPr>
          <w:p w:rsidR="00DC1654" w:rsidRPr="001D5B7A" w:rsidRDefault="00DC1654" w:rsidP="00F4748C">
            <w:pPr>
              <w:spacing w:after="0"/>
              <w:ind w:firstLine="0"/>
              <w:jc w:val="right"/>
              <w:rPr>
                <w:rFonts w:ascii="Arial Narrow" w:hAnsi="Arial Narrow" w:cs="Arial"/>
                <w:lang w:val="es-ES" w:eastAsia="es-ES"/>
              </w:rPr>
            </w:pPr>
            <w:r w:rsidRPr="001D5B7A">
              <w:rPr>
                <w:rFonts w:ascii="Arial Narrow" w:hAnsi="Arial Narrow" w:cs="Arial"/>
                <w:lang w:val="es-ES" w:eastAsia="es-ES"/>
              </w:rPr>
              <w:t>-3,03</w:t>
            </w:r>
          </w:p>
        </w:tc>
        <w:tc>
          <w:tcPr>
            <w:tcW w:w="850" w:type="dxa"/>
            <w:shd w:val="clear" w:color="auto" w:fill="auto"/>
            <w:noWrap/>
            <w:vAlign w:val="center"/>
          </w:tcPr>
          <w:p w:rsidR="00DC1654" w:rsidRPr="001D5B7A" w:rsidRDefault="00DC1654" w:rsidP="00F4748C">
            <w:pPr>
              <w:spacing w:after="0"/>
              <w:ind w:firstLine="0"/>
              <w:jc w:val="right"/>
              <w:rPr>
                <w:rFonts w:ascii="Arial Narrow" w:hAnsi="Arial Narrow" w:cs="Arial"/>
                <w:lang w:val="es-ES" w:eastAsia="es-ES"/>
              </w:rPr>
            </w:pPr>
            <w:r w:rsidRPr="001D5B7A">
              <w:rPr>
                <w:rFonts w:ascii="Arial Narrow" w:hAnsi="Arial Narrow" w:cs="Arial"/>
                <w:lang w:val="es-ES" w:eastAsia="es-ES"/>
              </w:rPr>
              <w:t>-1,97</w:t>
            </w:r>
          </w:p>
        </w:tc>
        <w:tc>
          <w:tcPr>
            <w:tcW w:w="993" w:type="dxa"/>
            <w:vAlign w:val="center"/>
          </w:tcPr>
          <w:p w:rsidR="00DC1654" w:rsidRPr="001D5B7A" w:rsidRDefault="00DC1654" w:rsidP="00F4748C">
            <w:pPr>
              <w:spacing w:after="0"/>
              <w:ind w:firstLine="0"/>
              <w:jc w:val="right"/>
              <w:rPr>
                <w:rFonts w:ascii="Arial Narrow" w:hAnsi="Arial Narrow" w:cs="Arial"/>
                <w:lang w:val="es-ES" w:eastAsia="es-ES"/>
              </w:rPr>
            </w:pPr>
            <w:r w:rsidRPr="001D5B7A">
              <w:rPr>
                <w:rFonts w:ascii="Arial Narrow" w:hAnsi="Arial Narrow" w:cs="Arial"/>
                <w:lang w:val="es-ES" w:eastAsia="es-ES"/>
              </w:rPr>
              <w:t>-1,72</w:t>
            </w:r>
          </w:p>
        </w:tc>
        <w:tc>
          <w:tcPr>
            <w:tcW w:w="850" w:type="dxa"/>
            <w:vAlign w:val="center"/>
          </w:tcPr>
          <w:p w:rsidR="00DC1654" w:rsidRPr="001D5B7A" w:rsidRDefault="00DC1654" w:rsidP="00F4748C">
            <w:pPr>
              <w:spacing w:after="0"/>
              <w:ind w:firstLine="0"/>
              <w:jc w:val="right"/>
              <w:rPr>
                <w:rFonts w:ascii="Arial Narrow" w:hAnsi="Arial Narrow" w:cs="Arial"/>
                <w:lang w:val="es-ES" w:eastAsia="es-ES"/>
              </w:rPr>
            </w:pPr>
            <w:r w:rsidRPr="001D5B7A">
              <w:rPr>
                <w:rFonts w:ascii="Arial Narrow" w:hAnsi="Arial Narrow" w:cs="Arial"/>
                <w:lang w:val="es-ES" w:eastAsia="es-ES"/>
              </w:rPr>
              <w:t>-1,45</w:t>
            </w:r>
          </w:p>
        </w:tc>
        <w:tc>
          <w:tcPr>
            <w:tcW w:w="851" w:type="dxa"/>
            <w:vAlign w:val="center"/>
          </w:tcPr>
          <w:p w:rsidR="00DC1654" w:rsidRPr="001D5B7A" w:rsidRDefault="00DC1654" w:rsidP="00F4748C">
            <w:pPr>
              <w:spacing w:after="0"/>
              <w:ind w:firstLine="0"/>
              <w:jc w:val="right"/>
              <w:rPr>
                <w:rFonts w:ascii="Arial Narrow" w:hAnsi="Arial Narrow" w:cs="Arial"/>
                <w:lang w:val="es-ES" w:eastAsia="es-ES"/>
              </w:rPr>
            </w:pPr>
            <w:r w:rsidRPr="001D5B7A">
              <w:rPr>
                <w:rFonts w:ascii="Arial Narrow" w:hAnsi="Arial Narrow" w:cs="Arial"/>
                <w:lang w:val="es-ES" w:eastAsia="es-ES"/>
              </w:rPr>
              <w:t>-0,84</w:t>
            </w:r>
          </w:p>
        </w:tc>
        <w:tc>
          <w:tcPr>
            <w:tcW w:w="778" w:type="dxa"/>
            <w:vAlign w:val="center"/>
          </w:tcPr>
          <w:p w:rsidR="00DC1654" w:rsidRPr="001D5B7A" w:rsidRDefault="00DC1654" w:rsidP="00F4748C">
            <w:pPr>
              <w:spacing w:after="0"/>
              <w:ind w:firstLine="0"/>
              <w:jc w:val="right"/>
              <w:rPr>
                <w:rFonts w:ascii="Arial Narrow" w:hAnsi="Arial Narrow" w:cs="Arial"/>
                <w:lang w:val="es-ES" w:eastAsia="es-ES"/>
              </w:rPr>
            </w:pPr>
            <w:r w:rsidRPr="001D5B7A">
              <w:rPr>
                <w:rFonts w:ascii="Arial Narrow" w:hAnsi="Arial Narrow" w:cs="Arial"/>
                <w:lang w:val="es-ES" w:eastAsia="es-ES"/>
              </w:rPr>
              <w:t>-1,48</w:t>
            </w:r>
          </w:p>
        </w:tc>
      </w:tr>
    </w:tbl>
    <w:p w:rsidR="00DC1654" w:rsidRDefault="00DC1654" w:rsidP="00156E70">
      <w:pPr>
        <w:pStyle w:val="texto"/>
        <w:spacing w:before="240" w:after="120"/>
        <w:rPr>
          <w:lang w:val="es-ES"/>
        </w:rPr>
      </w:pPr>
      <w:r w:rsidRPr="00DC1654">
        <w:rPr>
          <w:lang w:val="es-ES"/>
        </w:rPr>
        <w:t>Es decir, en todos los ejercicios se han generado necesidades de financi</w:t>
      </w:r>
      <w:r w:rsidRPr="00DC1654">
        <w:rPr>
          <w:lang w:val="es-ES"/>
        </w:rPr>
        <w:t>a</w:t>
      </w:r>
      <w:r w:rsidRPr="00DC1654">
        <w:rPr>
          <w:lang w:val="es-ES"/>
        </w:rPr>
        <w:t>ción, alcanzando su</w:t>
      </w:r>
      <w:r w:rsidR="005F6E06">
        <w:rPr>
          <w:lang w:val="es-ES"/>
        </w:rPr>
        <w:t>s</w:t>
      </w:r>
      <w:r w:rsidRPr="00DC1654">
        <w:rPr>
          <w:lang w:val="es-ES"/>
        </w:rPr>
        <w:t xml:space="preserve"> valor</w:t>
      </w:r>
      <w:r w:rsidR="005F6E06">
        <w:rPr>
          <w:lang w:val="es-ES"/>
        </w:rPr>
        <w:t>es</w:t>
      </w:r>
      <w:r w:rsidRPr="00DC1654">
        <w:rPr>
          <w:lang w:val="es-ES"/>
        </w:rPr>
        <w:t xml:space="preserve"> máximo</w:t>
      </w:r>
      <w:r w:rsidR="005F6E06">
        <w:rPr>
          <w:lang w:val="es-ES"/>
        </w:rPr>
        <w:t>s</w:t>
      </w:r>
      <w:r w:rsidRPr="00DC1654">
        <w:rPr>
          <w:lang w:val="es-ES"/>
        </w:rPr>
        <w:t xml:space="preserve"> en</w:t>
      </w:r>
      <w:r w:rsidR="005F6E06">
        <w:rPr>
          <w:lang w:val="es-ES"/>
        </w:rPr>
        <w:t xml:space="preserve"> </w:t>
      </w:r>
      <w:r w:rsidR="00C15A33">
        <w:rPr>
          <w:lang w:val="es-ES"/>
        </w:rPr>
        <w:t xml:space="preserve">los ejercicios de </w:t>
      </w:r>
      <w:r w:rsidR="005F6E06">
        <w:rPr>
          <w:lang w:val="es-ES"/>
        </w:rPr>
        <w:t>2008 y</w:t>
      </w:r>
      <w:r w:rsidRPr="00DC1654">
        <w:rPr>
          <w:lang w:val="es-ES"/>
        </w:rPr>
        <w:t xml:space="preserve"> 2010.</w:t>
      </w:r>
    </w:p>
    <w:p w:rsidR="008C7106" w:rsidRDefault="008C7106" w:rsidP="00156E70">
      <w:pPr>
        <w:pStyle w:val="texto"/>
        <w:rPr>
          <w:lang w:val="es-ES"/>
        </w:rPr>
      </w:pPr>
      <w:r>
        <w:rPr>
          <w:lang w:val="es-ES"/>
        </w:rPr>
        <w:t>Así mismo precisamos</w:t>
      </w:r>
      <w:r w:rsidR="006F0696">
        <w:rPr>
          <w:lang w:val="es-ES"/>
        </w:rPr>
        <w:t xml:space="preserve"> sobre los anteriores objetivos de estabilidad</w:t>
      </w:r>
      <w:r>
        <w:rPr>
          <w:lang w:val="es-ES"/>
        </w:rPr>
        <w:t xml:space="preserve"> los s</w:t>
      </w:r>
      <w:r>
        <w:rPr>
          <w:lang w:val="es-ES"/>
        </w:rPr>
        <w:t>i</w:t>
      </w:r>
      <w:r>
        <w:rPr>
          <w:lang w:val="es-ES"/>
        </w:rPr>
        <w:t>guientes aspectos:</w:t>
      </w:r>
    </w:p>
    <w:p w:rsidR="008C7106" w:rsidRPr="00E35E6A" w:rsidRDefault="00AD575C" w:rsidP="00E35E6A">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 xml:space="preserve">En </w:t>
      </w:r>
      <w:r w:rsidR="008C7106" w:rsidRPr="00E35E6A">
        <w:t xml:space="preserve">el informe emitido por el Ministerio de Hacienda y Administraciones Públicas </w:t>
      </w:r>
      <w:r>
        <w:t>en</w:t>
      </w:r>
      <w:r w:rsidR="008C7106" w:rsidRPr="00E35E6A">
        <w:t xml:space="preserve"> abril de 2016 se señalaba</w:t>
      </w:r>
      <w:r>
        <w:t>, como avance,</w:t>
      </w:r>
      <w:r w:rsidR="008C7106" w:rsidRPr="00E35E6A">
        <w:t xml:space="preserve"> para la Comunidad Foral unas necesidades de financiación del 1,28 por ciento del PIB de Navarra equ</w:t>
      </w:r>
      <w:r w:rsidR="008C7106" w:rsidRPr="00E35E6A">
        <w:t>i</w:t>
      </w:r>
      <w:r w:rsidR="008C7106" w:rsidRPr="00E35E6A">
        <w:t>valente a 234 millones</w:t>
      </w:r>
      <w:r w:rsidR="002C55DC">
        <w:t>;</w:t>
      </w:r>
      <w:r w:rsidR="009A6671">
        <w:t xml:space="preserve"> posteriormente, en</w:t>
      </w:r>
      <w:r w:rsidR="000C7C55">
        <w:t xml:space="preserve"> octubre de 2016, ha publicado el i</w:t>
      </w:r>
      <w:r w:rsidR="000C7C55">
        <w:t>n</w:t>
      </w:r>
      <w:r w:rsidR="000C7C55">
        <w:t>forme definitivo,</w:t>
      </w:r>
      <w:r w:rsidR="009A6671">
        <w:t xml:space="preserve"> fijando </w:t>
      </w:r>
      <w:r w:rsidR="000C7C55">
        <w:t>tales</w:t>
      </w:r>
      <w:r w:rsidR="009A6671">
        <w:t xml:space="preserve"> necesida</w:t>
      </w:r>
      <w:r w:rsidR="000C7C55">
        <w:t xml:space="preserve">des </w:t>
      </w:r>
      <w:r w:rsidR="009A6671">
        <w:t>en 2</w:t>
      </w:r>
      <w:r w:rsidR="000C7C55">
        <w:t>56</w:t>
      </w:r>
      <w:r w:rsidR="009A6671">
        <w:t xml:space="preserve"> millones, es decir, el 1,</w:t>
      </w:r>
      <w:r w:rsidR="000C7C55">
        <w:t>41</w:t>
      </w:r>
      <w:r w:rsidR="009A6671">
        <w:t xml:space="preserve"> por ciento del PIB.</w:t>
      </w:r>
      <w:r w:rsidR="000C7C55">
        <w:t xml:space="preserve"> Como se puede observar, estos informes presentan</w:t>
      </w:r>
      <w:r w:rsidR="000C7C55" w:rsidRPr="00E35E6A">
        <w:t xml:space="preserve"> una e</w:t>
      </w:r>
      <w:r w:rsidR="000C7C55" w:rsidRPr="00E35E6A">
        <w:t>s</w:t>
      </w:r>
      <w:r w:rsidR="000C7C55" w:rsidRPr="00E35E6A">
        <w:t>timación inferior a la calculada por el Gobierno de Navarra y reflejada en su</w:t>
      </w:r>
      <w:r w:rsidR="000C7C55">
        <w:t>s</w:t>
      </w:r>
      <w:r w:rsidR="000C7C55" w:rsidRPr="00E35E6A">
        <w:t xml:space="preserve"> Cuentas Generales de </w:t>
      </w:r>
      <w:r w:rsidR="000C7C55">
        <w:t>2</w:t>
      </w:r>
      <w:r w:rsidR="000C7C55" w:rsidRPr="00E35E6A">
        <w:t>015</w:t>
      </w:r>
      <w:r w:rsidR="000C7C55">
        <w:t>; la diferencia se debe básicamente a un ajuste</w:t>
      </w:r>
      <w:r w:rsidR="009B2A3D">
        <w:t xml:space="preserve"> </w:t>
      </w:r>
      <w:r w:rsidR="000C7C55">
        <w:t>de periodificación realizado</w:t>
      </w:r>
      <w:r w:rsidR="00B36180">
        <w:t xml:space="preserve"> en la contabilidad del </w:t>
      </w:r>
      <w:r w:rsidR="000C7C55">
        <w:t xml:space="preserve">Estado </w:t>
      </w:r>
      <w:r w:rsidR="001F62FC">
        <w:t>sobre</w:t>
      </w:r>
      <w:r w:rsidR="000C7C55">
        <w:t xml:space="preserve"> las aportaciones de Navarra a las cargas generales del Estado.</w:t>
      </w:r>
    </w:p>
    <w:p w:rsidR="007728ED" w:rsidRPr="00B77894" w:rsidRDefault="008C7106" w:rsidP="00B77894">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0"/>
        <w:ind w:left="0" w:firstLine="290"/>
      </w:pPr>
      <w:r w:rsidRPr="00E35E6A">
        <w:lastRenderedPageBreak/>
        <w:t>En el informe publicado en julio de 2016 por la Autoridad</w:t>
      </w:r>
      <w:r w:rsidR="00413509" w:rsidRPr="00E35E6A">
        <w:t xml:space="preserve"> Independiente de Responsabilidad Fiscal sobre </w:t>
      </w:r>
      <w:r w:rsidR="00DA3F2E">
        <w:t>la</w:t>
      </w:r>
      <w:r w:rsidR="00DA3F2E">
        <w:rPr>
          <w:lang w:val="es-ES"/>
        </w:rPr>
        <w:t xml:space="preserve"> evaluación de las previsiones presupuest</w:t>
      </w:r>
      <w:r w:rsidR="00DA3F2E">
        <w:rPr>
          <w:lang w:val="es-ES"/>
        </w:rPr>
        <w:t>a</w:t>
      </w:r>
      <w:r w:rsidR="00DA3F2E">
        <w:rPr>
          <w:lang w:val="es-ES"/>
        </w:rPr>
        <w:t>rias para 2016 y 2017 presentadas por el Gobierno de Navarra</w:t>
      </w:r>
      <w:r w:rsidR="00413509" w:rsidRPr="00E35E6A">
        <w:t xml:space="preserve">, destacaba la existencia en </w:t>
      </w:r>
      <w:r w:rsidR="009C1B70" w:rsidRPr="00E35E6A">
        <w:t>el</w:t>
      </w:r>
      <w:r w:rsidR="00413509" w:rsidRPr="00E35E6A">
        <w:t xml:space="preserve"> ejercicio de 2015 de una serie de gastos</w:t>
      </w:r>
      <w:r w:rsidR="009C1B70" w:rsidRPr="00E35E6A">
        <w:t xml:space="preserve"> e ingresos</w:t>
      </w:r>
      <w:r w:rsidR="00413509" w:rsidRPr="00E35E6A">
        <w:t xml:space="preserve"> por oper</w:t>
      </w:r>
      <w:r w:rsidR="00413509" w:rsidRPr="00E35E6A">
        <w:t>a</w:t>
      </w:r>
      <w:r w:rsidR="00413509" w:rsidRPr="00E35E6A">
        <w:t>ciones no recurrentes que cuantificaba en un</w:t>
      </w:r>
      <w:r w:rsidR="009C1B70" w:rsidRPr="00E35E6A">
        <w:t xml:space="preserve"> efecto neto del</w:t>
      </w:r>
      <w:r w:rsidR="00413509" w:rsidRPr="00E35E6A">
        <w:t xml:space="preserve"> 0,2 por ciento del PIB de Navarra</w:t>
      </w:r>
      <w:r w:rsidR="0000499E">
        <w:t>; d</w:t>
      </w:r>
      <w:r w:rsidR="009C1B70" w:rsidRPr="00E35E6A">
        <w:t>entro de estas operaciones se citan expresamente los ajustes de ejercicios anteriores por el Convenio Económico</w:t>
      </w:r>
      <w:r w:rsidR="00FB12B9">
        <w:t>,</w:t>
      </w:r>
      <w:r w:rsidR="009C1B70" w:rsidRPr="00E35E6A">
        <w:t xml:space="preserve"> las operaciones derivadas de la dación en pago del Club Atlético Osasuna</w:t>
      </w:r>
      <w:r w:rsidR="00FB12B9">
        <w:t xml:space="preserve"> o la devolución del 25 por cie</w:t>
      </w:r>
      <w:r w:rsidR="00FB12B9">
        <w:t>n</w:t>
      </w:r>
      <w:r w:rsidR="00FB12B9">
        <w:t>to de la paga extra de diciembre de 2012.</w:t>
      </w:r>
      <w:r w:rsidR="009C1B70" w:rsidRPr="00E35E6A">
        <w:t xml:space="preserve"> </w:t>
      </w:r>
      <w:r w:rsidR="0000499E" w:rsidRPr="00FB12B9">
        <w:rPr>
          <w:lang w:val="es-ES"/>
        </w:rPr>
        <w:t>De</w:t>
      </w:r>
      <w:r w:rsidR="00FB12B9" w:rsidRPr="00FB12B9">
        <w:rPr>
          <w:lang w:val="es-ES"/>
        </w:rPr>
        <w:t xml:space="preserve"> </w:t>
      </w:r>
      <w:r w:rsidR="0000499E" w:rsidRPr="00FB12B9">
        <w:rPr>
          <w:lang w:val="es-ES"/>
        </w:rPr>
        <w:t xml:space="preserve">acuerdo con dicho informe, se considera </w:t>
      </w:r>
      <w:r w:rsidR="00FB12B9">
        <w:rPr>
          <w:lang w:val="es-ES"/>
        </w:rPr>
        <w:t>factible</w:t>
      </w:r>
      <w:r w:rsidR="0000499E" w:rsidRPr="00FB12B9">
        <w:rPr>
          <w:lang w:val="es-ES"/>
        </w:rPr>
        <w:t xml:space="preserve"> el cumplimiento</w:t>
      </w:r>
      <w:r w:rsidR="00FB12B9" w:rsidRPr="00FB12B9">
        <w:rPr>
          <w:lang w:val="es-ES"/>
        </w:rPr>
        <w:t xml:space="preserve"> por la </w:t>
      </w:r>
      <w:r w:rsidR="00FB12B9">
        <w:rPr>
          <w:lang w:val="es-ES"/>
        </w:rPr>
        <w:t xml:space="preserve">Administración de la </w:t>
      </w:r>
      <w:r w:rsidR="00FB12B9" w:rsidRPr="00FB12B9">
        <w:rPr>
          <w:lang w:val="es-ES"/>
        </w:rPr>
        <w:t>Comunidad F</w:t>
      </w:r>
      <w:r w:rsidR="00FB12B9" w:rsidRPr="00FB12B9">
        <w:rPr>
          <w:lang w:val="es-ES"/>
        </w:rPr>
        <w:t>o</w:t>
      </w:r>
      <w:r w:rsidR="00FB12B9" w:rsidRPr="00FB12B9">
        <w:rPr>
          <w:lang w:val="es-ES"/>
        </w:rPr>
        <w:t>ral de los objetivos de déficit para los ejercicios de 2016 y 2017, así como de la regla de gasto para 2016</w:t>
      </w:r>
      <w:r w:rsidR="00FB12B9">
        <w:rPr>
          <w:lang w:val="es-ES"/>
        </w:rPr>
        <w:t>; más dificultades se observan para el cumplimiento de la regla de gasto de 2017.</w:t>
      </w:r>
    </w:p>
    <w:p w:rsidR="004C3AFE" w:rsidRPr="00792275" w:rsidRDefault="00495E05" w:rsidP="004C3AFE">
      <w:pPr>
        <w:pStyle w:val="atitulo3"/>
        <w:spacing w:before="360"/>
      </w:pPr>
      <w:r>
        <w:t>I</w:t>
      </w:r>
      <w:r w:rsidR="004C3AFE" w:rsidRPr="00792275">
        <w:t>V.</w:t>
      </w:r>
      <w:r w:rsidR="00B31AA4">
        <w:t>4</w:t>
      </w:r>
      <w:r w:rsidR="004C3AFE" w:rsidRPr="00792275">
        <w:t>.</w:t>
      </w:r>
      <w:r w:rsidR="004C3AFE">
        <w:t>2</w:t>
      </w:r>
      <w:r w:rsidR="004C3AFE" w:rsidRPr="00792275">
        <w:t xml:space="preserve">. </w:t>
      </w:r>
      <w:r w:rsidR="004C3AFE">
        <w:t>Sostenibilidad financiera</w:t>
      </w:r>
    </w:p>
    <w:p w:rsidR="00CB74B5" w:rsidRPr="000E2288" w:rsidRDefault="00CB74B5" w:rsidP="00CB74B5">
      <w:pPr>
        <w:pStyle w:val="texto"/>
        <w:spacing w:before="240"/>
        <w:rPr>
          <w:lang w:val="es-ES"/>
        </w:rPr>
      </w:pPr>
      <w:r w:rsidRPr="008B70CA">
        <w:rPr>
          <w:b/>
          <w:lang w:val="es-ES"/>
        </w:rPr>
        <w:t>1</w:t>
      </w:r>
      <w:r w:rsidR="008B70CA" w:rsidRPr="008B70CA">
        <w:rPr>
          <w:b/>
          <w:lang w:val="es-ES"/>
        </w:rPr>
        <w:t>.</w:t>
      </w:r>
      <w:r w:rsidRPr="008B70CA">
        <w:rPr>
          <w:b/>
          <w:lang w:val="es-ES"/>
        </w:rPr>
        <w:t xml:space="preserve">º </w:t>
      </w:r>
      <w:r>
        <w:rPr>
          <w:lang w:val="es-ES"/>
        </w:rPr>
        <w:t xml:space="preserve">Sostenibilidad de la deuda pública. </w:t>
      </w:r>
      <w:r w:rsidRPr="000E2288">
        <w:rPr>
          <w:lang w:val="es-ES"/>
        </w:rPr>
        <w:t>El objetivo de deuda pública para el año 201</w:t>
      </w:r>
      <w:r>
        <w:rPr>
          <w:lang w:val="es-ES"/>
        </w:rPr>
        <w:t>5</w:t>
      </w:r>
      <w:r w:rsidRPr="000E2288">
        <w:rPr>
          <w:lang w:val="es-ES"/>
        </w:rPr>
        <w:t xml:space="preserve">, calculado conforme a la metodología del Procedimiento de </w:t>
      </w:r>
      <w:r>
        <w:rPr>
          <w:lang w:val="es-ES"/>
        </w:rPr>
        <w:t>D</w:t>
      </w:r>
      <w:r w:rsidRPr="000E2288">
        <w:rPr>
          <w:lang w:val="es-ES"/>
        </w:rPr>
        <w:t xml:space="preserve">éficit </w:t>
      </w:r>
      <w:r>
        <w:rPr>
          <w:lang w:val="es-ES"/>
        </w:rPr>
        <w:t>E</w:t>
      </w:r>
      <w:r w:rsidRPr="000E2288">
        <w:rPr>
          <w:lang w:val="es-ES"/>
        </w:rPr>
        <w:t xml:space="preserve">xcesivo (PDE), se </w:t>
      </w:r>
      <w:r>
        <w:rPr>
          <w:lang w:val="es-ES"/>
        </w:rPr>
        <w:t xml:space="preserve">pactó entre el Estado y </w:t>
      </w:r>
      <w:r w:rsidRPr="000E2288">
        <w:rPr>
          <w:lang w:val="es-ES"/>
        </w:rPr>
        <w:t>la Comunidad Foral en el 18,</w:t>
      </w:r>
      <w:r>
        <w:rPr>
          <w:lang w:val="es-ES"/>
        </w:rPr>
        <w:t>3</w:t>
      </w:r>
      <w:r w:rsidRPr="000E2288">
        <w:rPr>
          <w:lang w:val="es-ES"/>
        </w:rPr>
        <w:t xml:space="preserve"> por ciento del PIB regional.</w:t>
      </w:r>
    </w:p>
    <w:p w:rsidR="00CB74B5" w:rsidRPr="000E2288" w:rsidRDefault="00CB74B5" w:rsidP="00CB74B5">
      <w:pPr>
        <w:pStyle w:val="texto"/>
        <w:rPr>
          <w:lang w:val="es-ES"/>
        </w:rPr>
      </w:pPr>
      <w:r w:rsidRPr="000E2288">
        <w:rPr>
          <w:lang w:val="es-ES"/>
        </w:rPr>
        <w:t>Según el PDE se entiende por deuda pública el valor nominal de las oblig</w:t>
      </w:r>
      <w:r w:rsidRPr="000E2288">
        <w:rPr>
          <w:lang w:val="es-ES"/>
        </w:rPr>
        <w:t>a</w:t>
      </w:r>
      <w:r w:rsidRPr="000E2288">
        <w:rPr>
          <w:lang w:val="es-ES"/>
        </w:rPr>
        <w:t>ciones brutas del sector administración pública pendientes a final de año, esto es, la emisión de moneda metálica, obligaciones y bonos, préstamos y créditos. No se incluyen los derivados financieros, los créditos comerciales ni los pas</w:t>
      </w:r>
      <w:r w:rsidRPr="000E2288">
        <w:rPr>
          <w:lang w:val="es-ES"/>
        </w:rPr>
        <w:t>i</w:t>
      </w:r>
      <w:r w:rsidRPr="000E2288">
        <w:rPr>
          <w:lang w:val="es-ES"/>
        </w:rPr>
        <w:t>vos de la Administración Pública en poder de otras administraciones públicas.</w:t>
      </w:r>
    </w:p>
    <w:p w:rsidR="00CB74B5" w:rsidRDefault="00CB74B5" w:rsidP="00751C42">
      <w:pPr>
        <w:pStyle w:val="texto"/>
        <w:spacing w:after="240"/>
        <w:rPr>
          <w:lang w:val="es-ES"/>
        </w:rPr>
      </w:pPr>
      <w:r w:rsidRPr="000E2288">
        <w:rPr>
          <w:lang w:val="es-ES"/>
        </w:rPr>
        <w:t>El cálculo de la deuda pública lo realiza el Banco de España, según el cual, a 31 de diciembre de 201</w:t>
      </w:r>
      <w:r>
        <w:rPr>
          <w:lang w:val="es-ES"/>
        </w:rPr>
        <w:t>5</w:t>
      </w:r>
      <w:r w:rsidRPr="000E2288">
        <w:rPr>
          <w:lang w:val="es-ES"/>
        </w:rPr>
        <w:t xml:space="preserve">, el endeudamiento total del Sector Administración Pública ascendía a </w:t>
      </w:r>
      <w:r w:rsidRPr="002A298F">
        <w:rPr>
          <w:lang w:val="es-ES"/>
        </w:rPr>
        <w:t>3.322 millones</w:t>
      </w:r>
      <w:r w:rsidRPr="000E2288">
        <w:rPr>
          <w:lang w:val="es-ES"/>
        </w:rPr>
        <w:t>, un 1</w:t>
      </w:r>
      <w:r>
        <w:rPr>
          <w:lang w:val="es-ES"/>
        </w:rPr>
        <w:t>8,2</w:t>
      </w:r>
      <w:r w:rsidRPr="000E2288">
        <w:rPr>
          <w:lang w:val="es-ES"/>
        </w:rPr>
        <w:t xml:space="preserve"> por ciento del PIB regional, inferior al límite fijado en el 18,</w:t>
      </w:r>
      <w:r>
        <w:rPr>
          <w:lang w:val="es-ES"/>
        </w:rPr>
        <w:t>3</w:t>
      </w:r>
      <w:r w:rsidRPr="000E2288">
        <w:rPr>
          <w:lang w:val="es-ES"/>
        </w:rPr>
        <w:t xml:space="preserve"> por ciento. </w:t>
      </w:r>
      <w:r w:rsidR="002C55DC">
        <w:rPr>
          <w:lang w:val="es-ES"/>
        </w:rPr>
        <w:t>Este importe</w:t>
      </w:r>
      <w:r w:rsidR="00482FB0">
        <w:rPr>
          <w:lang w:val="es-ES"/>
        </w:rPr>
        <w:t>, que</w:t>
      </w:r>
      <w:r w:rsidR="002C55DC">
        <w:rPr>
          <w:lang w:val="es-ES"/>
        </w:rPr>
        <w:t xml:space="preserve"> se ha contrastado con la información del Gobierno de Navarra</w:t>
      </w:r>
      <w:r w:rsidR="00482FB0">
        <w:rPr>
          <w:lang w:val="es-ES"/>
        </w:rPr>
        <w:t>, se desglosa en</w:t>
      </w:r>
      <w:r w:rsidR="00B82528">
        <w:rPr>
          <w:lang w:val="es-ES"/>
        </w:rPr>
        <w:t xml:space="preserve"> millones de euros</w:t>
      </w:r>
      <w:r w:rsidR="0011458F">
        <w:rPr>
          <w:lang w:val="es-ES"/>
        </w:rPr>
        <w:t>:</w:t>
      </w:r>
    </w:p>
    <w:tbl>
      <w:tblPr>
        <w:tblW w:w="8781" w:type="dxa"/>
        <w:jc w:val="center"/>
        <w:tblBorders>
          <w:top w:val="single" w:sz="4" w:space="0" w:color="000000"/>
          <w:bottom w:val="single" w:sz="4" w:space="0" w:color="000000"/>
        </w:tblBorders>
        <w:tblLayout w:type="fixed"/>
        <w:tblLook w:val="01E0" w:firstRow="1" w:lastRow="1" w:firstColumn="1" w:lastColumn="1" w:noHBand="0" w:noVBand="0"/>
      </w:tblPr>
      <w:tblGrid>
        <w:gridCol w:w="7259"/>
        <w:gridCol w:w="1522"/>
      </w:tblGrid>
      <w:tr w:rsidR="00B82528" w:rsidRPr="008C2656" w:rsidTr="00156E70">
        <w:trPr>
          <w:trHeight w:val="255"/>
          <w:jc w:val="center"/>
        </w:trPr>
        <w:tc>
          <w:tcPr>
            <w:tcW w:w="7259" w:type="dxa"/>
            <w:tcBorders>
              <w:top w:val="single" w:sz="4" w:space="0" w:color="000000"/>
              <w:bottom w:val="single" w:sz="4" w:space="0" w:color="000000"/>
            </w:tcBorders>
            <w:shd w:val="clear" w:color="auto" w:fill="A8CBEE" w:themeFill="accent2" w:themeFillTint="66"/>
            <w:vAlign w:val="center"/>
          </w:tcPr>
          <w:p w:rsidR="00D86663" w:rsidRPr="00A31B60" w:rsidRDefault="00D86663" w:rsidP="00F15FBD">
            <w:pPr>
              <w:pStyle w:val="cuadroCabe"/>
              <w:jc w:val="left"/>
              <w:rPr>
                <w:lang w:val="es-ES"/>
              </w:rPr>
            </w:pPr>
            <w:r w:rsidRPr="00A31B60">
              <w:rPr>
                <w:lang w:val="es-ES"/>
              </w:rPr>
              <w:t>Sector Administración Pública</w:t>
            </w:r>
            <w:r w:rsidR="00374363">
              <w:rPr>
                <w:lang w:val="es-ES"/>
              </w:rPr>
              <w:t xml:space="preserve"> de Navarra</w:t>
            </w:r>
          </w:p>
          <w:p w:rsidR="00B82528" w:rsidRPr="00A31B60" w:rsidRDefault="00B82528" w:rsidP="00751C42">
            <w:pPr>
              <w:pStyle w:val="cuadroCabe"/>
              <w:jc w:val="left"/>
              <w:rPr>
                <w:lang w:val="es-ES"/>
              </w:rPr>
            </w:pPr>
            <w:r w:rsidRPr="00A31B60">
              <w:rPr>
                <w:lang w:val="es-ES"/>
              </w:rPr>
              <w:t xml:space="preserve">Deuda según PDE </w:t>
            </w:r>
            <w:r w:rsidR="00D86663" w:rsidRPr="00A31B60">
              <w:rPr>
                <w:lang w:val="es-ES"/>
              </w:rPr>
              <w:t>2015</w:t>
            </w:r>
          </w:p>
        </w:tc>
        <w:tc>
          <w:tcPr>
            <w:tcW w:w="1522" w:type="dxa"/>
            <w:tcBorders>
              <w:top w:val="single" w:sz="4" w:space="0" w:color="000000"/>
              <w:bottom w:val="single" w:sz="4" w:space="0" w:color="000000"/>
            </w:tcBorders>
            <w:shd w:val="clear" w:color="auto" w:fill="A8CBEE" w:themeFill="accent2" w:themeFillTint="66"/>
            <w:vAlign w:val="center"/>
          </w:tcPr>
          <w:p w:rsidR="00B82528" w:rsidRPr="00A31B60" w:rsidRDefault="00B82528" w:rsidP="00F15FBD">
            <w:pPr>
              <w:pStyle w:val="cuadroCabe"/>
              <w:jc w:val="right"/>
              <w:rPr>
                <w:lang w:val="es-ES"/>
              </w:rPr>
            </w:pPr>
            <w:r w:rsidRPr="00A31B60">
              <w:rPr>
                <w:lang w:val="es-ES"/>
              </w:rPr>
              <w:t>Total</w:t>
            </w:r>
          </w:p>
        </w:tc>
      </w:tr>
      <w:tr w:rsidR="00B82528" w:rsidRPr="008C2656" w:rsidTr="007E1C86">
        <w:trPr>
          <w:trHeight w:val="255"/>
          <w:jc w:val="center"/>
        </w:trPr>
        <w:tc>
          <w:tcPr>
            <w:tcW w:w="7259" w:type="dxa"/>
            <w:tcBorders>
              <w:top w:val="single" w:sz="4" w:space="0" w:color="000000"/>
              <w:bottom w:val="single" w:sz="2" w:space="0" w:color="000000"/>
            </w:tcBorders>
            <w:vAlign w:val="center"/>
          </w:tcPr>
          <w:p w:rsidR="00B82528" w:rsidRPr="00A31B60" w:rsidRDefault="00B82528" w:rsidP="00A31B60">
            <w:pPr>
              <w:pStyle w:val="cuatexto"/>
              <w:jc w:val="left"/>
              <w:rPr>
                <w:szCs w:val="20"/>
              </w:rPr>
            </w:pPr>
            <w:r w:rsidRPr="00A31B60">
              <w:rPr>
                <w:szCs w:val="20"/>
              </w:rPr>
              <w:t xml:space="preserve">Deuda Pública </w:t>
            </w:r>
          </w:p>
        </w:tc>
        <w:tc>
          <w:tcPr>
            <w:tcW w:w="1522" w:type="dxa"/>
            <w:tcBorders>
              <w:top w:val="single" w:sz="4" w:space="0" w:color="000000"/>
              <w:bottom w:val="single" w:sz="2" w:space="0" w:color="000000"/>
            </w:tcBorders>
            <w:vAlign w:val="center"/>
          </w:tcPr>
          <w:p w:rsidR="00B82528" w:rsidRPr="002C4721" w:rsidRDefault="00D86663" w:rsidP="009A6D7D">
            <w:pPr>
              <w:pStyle w:val="cuatexto"/>
              <w:jc w:val="right"/>
              <w:rPr>
                <w:szCs w:val="20"/>
              </w:rPr>
            </w:pPr>
            <w:r w:rsidRPr="002C4721">
              <w:rPr>
                <w:szCs w:val="20"/>
              </w:rPr>
              <w:t>1.768</w:t>
            </w:r>
          </w:p>
        </w:tc>
      </w:tr>
      <w:tr w:rsidR="00B82528" w:rsidRPr="008C2656" w:rsidTr="00156E70">
        <w:trPr>
          <w:trHeight w:val="255"/>
          <w:jc w:val="center"/>
        </w:trPr>
        <w:tc>
          <w:tcPr>
            <w:tcW w:w="7259" w:type="dxa"/>
            <w:tcBorders>
              <w:top w:val="single" w:sz="2" w:space="0" w:color="000000"/>
              <w:bottom w:val="single" w:sz="2" w:space="0" w:color="000000"/>
            </w:tcBorders>
            <w:vAlign w:val="center"/>
          </w:tcPr>
          <w:p w:rsidR="00B82528" w:rsidRPr="00A31B60" w:rsidRDefault="00B82528" w:rsidP="00A31B60">
            <w:pPr>
              <w:pStyle w:val="cuatexto"/>
              <w:jc w:val="left"/>
              <w:rPr>
                <w:szCs w:val="20"/>
              </w:rPr>
            </w:pPr>
            <w:r w:rsidRPr="00A31B60">
              <w:rPr>
                <w:szCs w:val="20"/>
              </w:rPr>
              <w:t xml:space="preserve">Préstamos con entidades financieras </w:t>
            </w:r>
          </w:p>
        </w:tc>
        <w:tc>
          <w:tcPr>
            <w:tcW w:w="1522" w:type="dxa"/>
            <w:tcBorders>
              <w:top w:val="single" w:sz="2" w:space="0" w:color="000000"/>
              <w:bottom w:val="single" w:sz="2" w:space="0" w:color="000000"/>
            </w:tcBorders>
            <w:vAlign w:val="center"/>
          </w:tcPr>
          <w:p w:rsidR="00B82528" w:rsidRPr="002C4721" w:rsidRDefault="00D86663" w:rsidP="009A6D7D">
            <w:pPr>
              <w:pStyle w:val="cuatexto"/>
              <w:jc w:val="right"/>
              <w:rPr>
                <w:szCs w:val="20"/>
              </w:rPr>
            </w:pPr>
            <w:r w:rsidRPr="002C4721">
              <w:rPr>
                <w:szCs w:val="20"/>
              </w:rPr>
              <w:t>81</w:t>
            </w:r>
            <w:r w:rsidR="009A6D7D">
              <w:rPr>
                <w:szCs w:val="20"/>
              </w:rPr>
              <w:t>4</w:t>
            </w:r>
          </w:p>
        </w:tc>
      </w:tr>
      <w:tr w:rsidR="00B82528" w:rsidRPr="008C2656" w:rsidTr="00156E70">
        <w:trPr>
          <w:trHeight w:val="255"/>
          <w:jc w:val="center"/>
        </w:trPr>
        <w:tc>
          <w:tcPr>
            <w:tcW w:w="7259" w:type="dxa"/>
            <w:tcBorders>
              <w:top w:val="single" w:sz="2" w:space="0" w:color="000000"/>
              <w:bottom w:val="single" w:sz="2" w:space="0" w:color="000000"/>
            </w:tcBorders>
            <w:vAlign w:val="center"/>
          </w:tcPr>
          <w:p w:rsidR="00B82528" w:rsidRPr="00A31B60" w:rsidRDefault="00B82528" w:rsidP="00A31B60">
            <w:pPr>
              <w:pStyle w:val="cuatexto"/>
              <w:jc w:val="left"/>
              <w:rPr>
                <w:szCs w:val="20"/>
              </w:rPr>
            </w:pPr>
            <w:r w:rsidRPr="00A31B60">
              <w:rPr>
                <w:szCs w:val="20"/>
              </w:rPr>
              <w:t>Préstamos con el BEI</w:t>
            </w:r>
          </w:p>
        </w:tc>
        <w:tc>
          <w:tcPr>
            <w:tcW w:w="1522" w:type="dxa"/>
            <w:tcBorders>
              <w:top w:val="single" w:sz="2" w:space="0" w:color="000000"/>
              <w:bottom w:val="single" w:sz="2" w:space="0" w:color="000000"/>
            </w:tcBorders>
            <w:vAlign w:val="center"/>
          </w:tcPr>
          <w:p w:rsidR="00B82528" w:rsidRPr="002C4721" w:rsidRDefault="00D86663" w:rsidP="009A6D7D">
            <w:pPr>
              <w:pStyle w:val="cuatexto"/>
              <w:jc w:val="right"/>
              <w:rPr>
                <w:szCs w:val="20"/>
              </w:rPr>
            </w:pPr>
            <w:r w:rsidRPr="002C4721">
              <w:rPr>
                <w:szCs w:val="20"/>
              </w:rPr>
              <w:t>400</w:t>
            </w:r>
          </w:p>
        </w:tc>
      </w:tr>
      <w:tr w:rsidR="00B82528" w:rsidRPr="008C2656" w:rsidTr="00156E70">
        <w:trPr>
          <w:trHeight w:val="255"/>
          <w:jc w:val="center"/>
        </w:trPr>
        <w:tc>
          <w:tcPr>
            <w:tcW w:w="7259" w:type="dxa"/>
            <w:tcBorders>
              <w:top w:val="single" w:sz="2" w:space="0" w:color="000000"/>
              <w:bottom w:val="single" w:sz="2" w:space="0" w:color="000000"/>
            </w:tcBorders>
            <w:vAlign w:val="center"/>
          </w:tcPr>
          <w:p w:rsidR="00B82528" w:rsidRPr="00A31B60" w:rsidRDefault="00B82528" w:rsidP="00A31B60">
            <w:pPr>
              <w:pStyle w:val="cuatexto"/>
              <w:jc w:val="left"/>
              <w:rPr>
                <w:szCs w:val="20"/>
              </w:rPr>
            </w:pPr>
            <w:r w:rsidRPr="00A31B60">
              <w:rPr>
                <w:szCs w:val="20"/>
              </w:rPr>
              <w:t>Factoring sin recurso</w:t>
            </w:r>
          </w:p>
        </w:tc>
        <w:tc>
          <w:tcPr>
            <w:tcW w:w="1522" w:type="dxa"/>
            <w:tcBorders>
              <w:top w:val="single" w:sz="2" w:space="0" w:color="000000"/>
              <w:bottom w:val="single" w:sz="2" w:space="0" w:color="000000"/>
            </w:tcBorders>
            <w:vAlign w:val="center"/>
          </w:tcPr>
          <w:p w:rsidR="00B82528" w:rsidRPr="002C4721" w:rsidRDefault="00D86663" w:rsidP="009A6D7D">
            <w:pPr>
              <w:pStyle w:val="cuatexto"/>
              <w:jc w:val="right"/>
              <w:rPr>
                <w:szCs w:val="20"/>
              </w:rPr>
            </w:pPr>
            <w:r w:rsidRPr="002C4721">
              <w:rPr>
                <w:szCs w:val="20"/>
              </w:rPr>
              <w:t>22</w:t>
            </w:r>
          </w:p>
        </w:tc>
      </w:tr>
      <w:tr w:rsidR="00B82528" w:rsidRPr="008C2656" w:rsidTr="00156E70">
        <w:trPr>
          <w:trHeight w:val="255"/>
          <w:jc w:val="center"/>
        </w:trPr>
        <w:tc>
          <w:tcPr>
            <w:tcW w:w="7259" w:type="dxa"/>
            <w:tcBorders>
              <w:top w:val="single" w:sz="2" w:space="0" w:color="000000"/>
              <w:bottom w:val="single" w:sz="2" w:space="0" w:color="000000"/>
            </w:tcBorders>
            <w:vAlign w:val="center"/>
          </w:tcPr>
          <w:p w:rsidR="00B82528" w:rsidRPr="00A31B60" w:rsidRDefault="00374363" w:rsidP="001F534D">
            <w:pPr>
              <w:pStyle w:val="cuatexto"/>
              <w:jc w:val="left"/>
              <w:rPr>
                <w:szCs w:val="20"/>
              </w:rPr>
            </w:pPr>
            <w:r>
              <w:rPr>
                <w:szCs w:val="20"/>
              </w:rPr>
              <w:t>C</w:t>
            </w:r>
            <w:r w:rsidR="001F534D">
              <w:rPr>
                <w:szCs w:val="20"/>
              </w:rPr>
              <w:t>olaboración Público-Privada</w:t>
            </w:r>
            <w:r>
              <w:rPr>
                <w:szCs w:val="20"/>
              </w:rPr>
              <w:t>.</w:t>
            </w:r>
            <w:r w:rsidR="00FA1D9D">
              <w:rPr>
                <w:szCs w:val="20"/>
              </w:rPr>
              <w:t xml:space="preserve"> </w:t>
            </w:r>
            <w:r w:rsidR="00B82528" w:rsidRPr="00A31B60">
              <w:rPr>
                <w:szCs w:val="20"/>
              </w:rPr>
              <w:t>Autovía del Pirineo</w:t>
            </w:r>
          </w:p>
        </w:tc>
        <w:tc>
          <w:tcPr>
            <w:tcW w:w="1522" w:type="dxa"/>
            <w:tcBorders>
              <w:top w:val="single" w:sz="2" w:space="0" w:color="000000"/>
              <w:bottom w:val="single" w:sz="2" w:space="0" w:color="000000"/>
            </w:tcBorders>
            <w:vAlign w:val="center"/>
          </w:tcPr>
          <w:p w:rsidR="00B82528" w:rsidRPr="002C4721" w:rsidRDefault="00297AB0" w:rsidP="009A6D7D">
            <w:pPr>
              <w:pStyle w:val="cuatexto"/>
              <w:jc w:val="right"/>
              <w:rPr>
                <w:szCs w:val="20"/>
              </w:rPr>
            </w:pPr>
            <w:r w:rsidRPr="002C4721">
              <w:rPr>
                <w:szCs w:val="20"/>
              </w:rPr>
              <w:t>19</w:t>
            </w:r>
            <w:r w:rsidR="009A6D7D">
              <w:rPr>
                <w:szCs w:val="20"/>
              </w:rPr>
              <w:t>7</w:t>
            </w:r>
          </w:p>
        </w:tc>
      </w:tr>
      <w:tr w:rsidR="00297AB0" w:rsidRPr="008C2656" w:rsidTr="00156E70">
        <w:trPr>
          <w:trHeight w:val="255"/>
          <w:jc w:val="center"/>
        </w:trPr>
        <w:tc>
          <w:tcPr>
            <w:tcW w:w="7259" w:type="dxa"/>
            <w:tcBorders>
              <w:top w:val="single" w:sz="2" w:space="0" w:color="000000"/>
              <w:bottom w:val="single" w:sz="2" w:space="0" w:color="000000"/>
            </w:tcBorders>
            <w:vAlign w:val="center"/>
          </w:tcPr>
          <w:p w:rsidR="00297AB0" w:rsidRDefault="00297AB0" w:rsidP="001F534D">
            <w:pPr>
              <w:pStyle w:val="cuatexto"/>
              <w:jc w:val="left"/>
              <w:rPr>
                <w:szCs w:val="20"/>
              </w:rPr>
            </w:pPr>
            <w:r>
              <w:rPr>
                <w:szCs w:val="20"/>
              </w:rPr>
              <w:t>C</w:t>
            </w:r>
            <w:r w:rsidR="001F534D">
              <w:rPr>
                <w:szCs w:val="20"/>
              </w:rPr>
              <w:t xml:space="preserve">olaboración Público-Privada. </w:t>
            </w:r>
            <w:r w:rsidRPr="00A31B60">
              <w:rPr>
                <w:szCs w:val="20"/>
              </w:rPr>
              <w:t>Canal de Navarra</w:t>
            </w:r>
          </w:p>
        </w:tc>
        <w:tc>
          <w:tcPr>
            <w:tcW w:w="1522" w:type="dxa"/>
            <w:tcBorders>
              <w:top w:val="single" w:sz="2" w:space="0" w:color="000000"/>
              <w:bottom w:val="single" w:sz="2" w:space="0" w:color="000000"/>
            </w:tcBorders>
            <w:vAlign w:val="center"/>
          </w:tcPr>
          <w:p w:rsidR="00297AB0" w:rsidRPr="002C4721" w:rsidRDefault="00297AB0" w:rsidP="009A6D7D">
            <w:pPr>
              <w:pStyle w:val="cuatexto"/>
              <w:jc w:val="right"/>
              <w:rPr>
                <w:szCs w:val="20"/>
              </w:rPr>
            </w:pPr>
            <w:r w:rsidRPr="002C4721">
              <w:rPr>
                <w:szCs w:val="20"/>
              </w:rPr>
              <w:t>121</w:t>
            </w:r>
          </w:p>
        </w:tc>
      </w:tr>
      <w:tr w:rsidR="00B82528" w:rsidRPr="00751C42" w:rsidTr="00156E70">
        <w:trPr>
          <w:trHeight w:val="255"/>
          <w:jc w:val="center"/>
        </w:trPr>
        <w:tc>
          <w:tcPr>
            <w:tcW w:w="7259" w:type="dxa"/>
            <w:tcBorders>
              <w:top w:val="single" w:sz="2" w:space="0" w:color="000000"/>
              <w:bottom w:val="single" w:sz="2" w:space="0" w:color="000000"/>
            </w:tcBorders>
            <w:shd w:val="clear" w:color="auto" w:fill="A8CBEE" w:themeFill="accent2" w:themeFillTint="66"/>
            <w:vAlign w:val="center"/>
          </w:tcPr>
          <w:p w:rsidR="00B82528" w:rsidRPr="00751C42" w:rsidRDefault="00D86663" w:rsidP="00A31B60">
            <w:pPr>
              <w:pStyle w:val="cuatexto"/>
              <w:jc w:val="left"/>
              <w:rPr>
                <w:rFonts w:ascii="Arial" w:hAnsi="Arial" w:cs="Arial"/>
                <w:sz w:val="18"/>
                <w:szCs w:val="18"/>
              </w:rPr>
            </w:pPr>
            <w:r w:rsidRPr="00751C42">
              <w:rPr>
                <w:rFonts w:ascii="Arial" w:hAnsi="Arial" w:cs="Arial"/>
                <w:sz w:val="18"/>
                <w:szCs w:val="18"/>
              </w:rPr>
              <w:t>Total endeudamiento a 31-XII-2015</w:t>
            </w:r>
          </w:p>
        </w:tc>
        <w:tc>
          <w:tcPr>
            <w:tcW w:w="1522" w:type="dxa"/>
            <w:tcBorders>
              <w:top w:val="single" w:sz="2" w:space="0" w:color="000000"/>
              <w:bottom w:val="single" w:sz="2" w:space="0" w:color="000000"/>
            </w:tcBorders>
            <w:shd w:val="clear" w:color="auto" w:fill="A8CBEE" w:themeFill="accent2" w:themeFillTint="66"/>
            <w:vAlign w:val="center"/>
          </w:tcPr>
          <w:p w:rsidR="00B82528" w:rsidRPr="00751C42" w:rsidRDefault="00D86663" w:rsidP="009A6D7D">
            <w:pPr>
              <w:pStyle w:val="cuatexto"/>
              <w:jc w:val="right"/>
              <w:rPr>
                <w:rFonts w:ascii="Arial" w:hAnsi="Arial" w:cs="Arial"/>
                <w:sz w:val="18"/>
                <w:szCs w:val="18"/>
              </w:rPr>
            </w:pPr>
            <w:r w:rsidRPr="00751C42">
              <w:rPr>
                <w:rFonts w:ascii="Arial" w:hAnsi="Arial" w:cs="Arial"/>
                <w:sz w:val="18"/>
                <w:szCs w:val="18"/>
              </w:rPr>
              <w:t>3.32</w:t>
            </w:r>
            <w:r w:rsidR="009A6D7D" w:rsidRPr="00751C42">
              <w:rPr>
                <w:rFonts w:ascii="Arial" w:hAnsi="Arial" w:cs="Arial"/>
                <w:sz w:val="18"/>
                <w:szCs w:val="18"/>
              </w:rPr>
              <w:t>2</w:t>
            </w:r>
          </w:p>
        </w:tc>
      </w:tr>
      <w:tr w:rsidR="00D86663" w:rsidRPr="00D86663" w:rsidTr="00156E70">
        <w:trPr>
          <w:trHeight w:val="255"/>
          <w:jc w:val="center"/>
        </w:trPr>
        <w:tc>
          <w:tcPr>
            <w:tcW w:w="7259" w:type="dxa"/>
            <w:tcBorders>
              <w:top w:val="single" w:sz="2" w:space="0" w:color="000000"/>
              <w:bottom w:val="single" w:sz="2" w:space="0" w:color="000000"/>
            </w:tcBorders>
            <w:vAlign w:val="center"/>
          </w:tcPr>
          <w:p w:rsidR="00D86663" w:rsidRPr="001F2304" w:rsidRDefault="00D86663" w:rsidP="00A31B60">
            <w:pPr>
              <w:pStyle w:val="cuatexto"/>
              <w:jc w:val="left"/>
              <w:rPr>
                <w:b/>
                <w:i/>
                <w:szCs w:val="20"/>
              </w:rPr>
            </w:pPr>
            <w:r w:rsidRPr="001F2304">
              <w:rPr>
                <w:b/>
                <w:i/>
                <w:szCs w:val="20"/>
              </w:rPr>
              <w:t>Porcentaje sobre el PIB de Navarra</w:t>
            </w:r>
          </w:p>
        </w:tc>
        <w:tc>
          <w:tcPr>
            <w:tcW w:w="1522" w:type="dxa"/>
            <w:tcBorders>
              <w:top w:val="single" w:sz="2" w:space="0" w:color="000000"/>
              <w:bottom w:val="single" w:sz="2" w:space="0" w:color="000000"/>
            </w:tcBorders>
            <w:vAlign w:val="center"/>
          </w:tcPr>
          <w:p w:rsidR="00D86663" w:rsidRPr="001F2304" w:rsidRDefault="00D86663" w:rsidP="00A31B60">
            <w:pPr>
              <w:pStyle w:val="cuatexto"/>
              <w:jc w:val="right"/>
              <w:rPr>
                <w:b/>
                <w:i/>
                <w:szCs w:val="20"/>
              </w:rPr>
            </w:pPr>
            <w:r w:rsidRPr="001F2304">
              <w:rPr>
                <w:b/>
                <w:i/>
                <w:szCs w:val="20"/>
              </w:rPr>
              <w:t>18,2</w:t>
            </w:r>
          </w:p>
        </w:tc>
      </w:tr>
      <w:tr w:rsidR="00D86663" w:rsidRPr="00D86663" w:rsidTr="00156E70">
        <w:trPr>
          <w:trHeight w:val="255"/>
          <w:jc w:val="center"/>
        </w:trPr>
        <w:tc>
          <w:tcPr>
            <w:tcW w:w="7259" w:type="dxa"/>
            <w:tcBorders>
              <w:top w:val="single" w:sz="2" w:space="0" w:color="000000"/>
              <w:bottom w:val="single" w:sz="2" w:space="0" w:color="000000"/>
            </w:tcBorders>
            <w:vAlign w:val="center"/>
          </w:tcPr>
          <w:p w:rsidR="00D86663" w:rsidRPr="00A31B60" w:rsidRDefault="00D86663" w:rsidP="00A31B60">
            <w:pPr>
              <w:pStyle w:val="cuatexto"/>
              <w:jc w:val="left"/>
              <w:rPr>
                <w:i/>
                <w:szCs w:val="20"/>
              </w:rPr>
            </w:pPr>
            <w:r w:rsidRPr="00A31B60">
              <w:rPr>
                <w:i/>
                <w:szCs w:val="20"/>
              </w:rPr>
              <w:t>Porcentaje objetivo sobre el PIB de Navarra</w:t>
            </w:r>
          </w:p>
        </w:tc>
        <w:tc>
          <w:tcPr>
            <w:tcW w:w="1522" w:type="dxa"/>
            <w:tcBorders>
              <w:top w:val="single" w:sz="2" w:space="0" w:color="000000"/>
              <w:bottom w:val="single" w:sz="2" w:space="0" w:color="000000"/>
            </w:tcBorders>
            <w:vAlign w:val="center"/>
          </w:tcPr>
          <w:p w:rsidR="00D86663" w:rsidRPr="00A31B60" w:rsidRDefault="00D86663" w:rsidP="00A31B60">
            <w:pPr>
              <w:pStyle w:val="cuatexto"/>
              <w:jc w:val="right"/>
              <w:rPr>
                <w:i/>
                <w:szCs w:val="20"/>
              </w:rPr>
            </w:pPr>
            <w:r w:rsidRPr="00A31B60">
              <w:rPr>
                <w:i/>
                <w:szCs w:val="20"/>
              </w:rPr>
              <w:t>18,3</w:t>
            </w:r>
          </w:p>
        </w:tc>
      </w:tr>
      <w:tr w:rsidR="002C4721" w:rsidRPr="00D86663" w:rsidTr="00156E70">
        <w:trPr>
          <w:trHeight w:val="255"/>
          <w:jc w:val="center"/>
        </w:trPr>
        <w:tc>
          <w:tcPr>
            <w:tcW w:w="7259" w:type="dxa"/>
            <w:tcBorders>
              <w:top w:val="single" w:sz="2" w:space="0" w:color="000000"/>
              <w:bottom w:val="single" w:sz="4" w:space="0" w:color="000000"/>
            </w:tcBorders>
            <w:vAlign w:val="center"/>
          </w:tcPr>
          <w:p w:rsidR="002C4721" w:rsidRPr="002C4721" w:rsidRDefault="002C4721" w:rsidP="00A31B60">
            <w:pPr>
              <w:pStyle w:val="cuatexto"/>
              <w:jc w:val="left"/>
              <w:rPr>
                <w:szCs w:val="20"/>
              </w:rPr>
            </w:pPr>
            <w:r w:rsidRPr="002C4721">
              <w:rPr>
                <w:szCs w:val="20"/>
              </w:rPr>
              <w:t>Deuda por habitante (en euros)</w:t>
            </w:r>
          </w:p>
        </w:tc>
        <w:tc>
          <w:tcPr>
            <w:tcW w:w="1522" w:type="dxa"/>
            <w:tcBorders>
              <w:top w:val="single" w:sz="2" w:space="0" w:color="000000"/>
              <w:bottom w:val="single" w:sz="4" w:space="0" w:color="000000"/>
            </w:tcBorders>
            <w:vAlign w:val="center"/>
          </w:tcPr>
          <w:p w:rsidR="002C4721" w:rsidRPr="002C4721" w:rsidRDefault="002C4721" w:rsidP="00A31B60">
            <w:pPr>
              <w:pStyle w:val="cuatexto"/>
              <w:jc w:val="right"/>
              <w:rPr>
                <w:szCs w:val="20"/>
              </w:rPr>
            </w:pPr>
            <w:r w:rsidRPr="002C4721">
              <w:rPr>
                <w:szCs w:val="20"/>
              </w:rPr>
              <w:t>5.186</w:t>
            </w:r>
          </w:p>
        </w:tc>
      </w:tr>
    </w:tbl>
    <w:p w:rsidR="00D86663" w:rsidRDefault="00D86663" w:rsidP="00D86663">
      <w:pPr>
        <w:spacing w:before="120" w:after="0"/>
        <w:ind w:firstLine="0"/>
        <w:jc w:val="left"/>
        <w:rPr>
          <w:rFonts w:ascii="Arial Narrow" w:hAnsi="Arial Narrow" w:cs="Arial"/>
          <w:sz w:val="18"/>
          <w:szCs w:val="18"/>
          <w:lang w:val="es-ES" w:eastAsia="es-ES"/>
        </w:rPr>
      </w:pPr>
      <w:r>
        <w:rPr>
          <w:rFonts w:ascii="Arial Narrow" w:hAnsi="Arial Narrow" w:cs="Arial"/>
          <w:sz w:val="18"/>
          <w:szCs w:val="18"/>
          <w:lang w:val="es-ES" w:eastAsia="es-ES"/>
        </w:rPr>
        <w:t>Fuente: Banco de España</w:t>
      </w:r>
      <w:r w:rsidR="005B5F2B">
        <w:rPr>
          <w:rFonts w:ascii="Arial Narrow" w:hAnsi="Arial Narrow" w:cs="Arial"/>
          <w:sz w:val="18"/>
          <w:szCs w:val="18"/>
          <w:lang w:val="es-ES" w:eastAsia="es-ES"/>
        </w:rPr>
        <w:t xml:space="preserve"> y G</w:t>
      </w:r>
      <w:r w:rsidR="002C55DC">
        <w:rPr>
          <w:rFonts w:ascii="Arial Narrow" w:hAnsi="Arial Narrow" w:cs="Arial"/>
          <w:sz w:val="18"/>
          <w:szCs w:val="18"/>
          <w:lang w:val="es-ES" w:eastAsia="es-ES"/>
        </w:rPr>
        <w:t>obierno de</w:t>
      </w:r>
      <w:r w:rsidR="005B5F2B">
        <w:rPr>
          <w:rFonts w:ascii="Arial Narrow" w:hAnsi="Arial Narrow" w:cs="Arial"/>
          <w:sz w:val="18"/>
          <w:szCs w:val="18"/>
          <w:lang w:val="es-ES" w:eastAsia="es-ES"/>
        </w:rPr>
        <w:t xml:space="preserve"> </w:t>
      </w:r>
      <w:r w:rsidR="002C55DC">
        <w:rPr>
          <w:rFonts w:ascii="Arial Narrow" w:hAnsi="Arial Narrow" w:cs="Arial"/>
          <w:sz w:val="18"/>
          <w:szCs w:val="18"/>
          <w:lang w:val="es-ES" w:eastAsia="es-ES"/>
        </w:rPr>
        <w:t>N</w:t>
      </w:r>
      <w:r w:rsidR="005B5F2B">
        <w:rPr>
          <w:rFonts w:ascii="Arial Narrow" w:hAnsi="Arial Narrow" w:cs="Arial"/>
          <w:sz w:val="18"/>
          <w:szCs w:val="18"/>
          <w:lang w:val="es-ES" w:eastAsia="es-ES"/>
        </w:rPr>
        <w:t>avarra</w:t>
      </w:r>
    </w:p>
    <w:p w:rsidR="00B82528" w:rsidRDefault="00495E05" w:rsidP="00751C42">
      <w:pPr>
        <w:pStyle w:val="texto"/>
        <w:spacing w:before="240"/>
        <w:rPr>
          <w:lang w:val="es-ES"/>
        </w:rPr>
      </w:pPr>
      <w:r>
        <w:rPr>
          <w:lang w:val="es-ES"/>
        </w:rPr>
        <w:lastRenderedPageBreak/>
        <w:t>En conclusión</w:t>
      </w:r>
      <w:r w:rsidR="008E1787">
        <w:rPr>
          <w:lang w:val="es-ES"/>
        </w:rPr>
        <w:t>,</w:t>
      </w:r>
      <w:r>
        <w:rPr>
          <w:lang w:val="es-ES"/>
        </w:rPr>
        <w:t xml:space="preserve"> se ha cumplido con el objetivo de sostenibilidad financiera </w:t>
      </w:r>
      <w:r w:rsidR="001F2304">
        <w:rPr>
          <w:lang w:val="es-ES"/>
        </w:rPr>
        <w:t>para el</w:t>
      </w:r>
      <w:r>
        <w:rPr>
          <w:lang w:val="es-ES"/>
        </w:rPr>
        <w:t xml:space="preserve"> endeudamiento público.</w:t>
      </w:r>
    </w:p>
    <w:p w:rsidR="00324440" w:rsidRDefault="00400868" w:rsidP="0011458F">
      <w:pPr>
        <w:pStyle w:val="texto"/>
        <w:spacing w:after="0"/>
        <w:rPr>
          <w:spacing w:val="4"/>
          <w:lang w:val="es-ES"/>
        </w:rPr>
      </w:pPr>
      <w:r w:rsidRPr="00156E70">
        <w:rPr>
          <w:spacing w:val="4"/>
          <w:lang w:val="es-ES"/>
        </w:rPr>
        <w:t>A</w:t>
      </w:r>
      <w:r w:rsidR="00374363" w:rsidRPr="00156E70">
        <w:rPr>
          <w:spacing w:val="4"/>
          <w:lang w:val="es-ES"/>
        </w:rPr>
        <w:t>tendiendo a</w:t>
      </w:r>
      <w:r w:rsidR="00297AB0" w:rsidRPr="00156E70">
        <w:rPr>
          <w:spacing w:val="4"/>
          <w:lang w:val="es-ES"/>
        </w:rPr>
        <w:t xml:space="preserve"> </w:t>
      </w:r>
      <w:r w:rsidR="00374363" w:rsidRPr="00156E70">
        <w:rPr>
          <w:spacing w:val="4"/>
          <w:lang w:val="es-ES"/>
        </w:rPr>
        <w:t>l</w:t>
      </w:r>
      <w:r w:rsidR="00297AB0" w:rsidRPr="00156E70">
        <w:rPr>
          <w:spacing w:val="4"/>
          <w:lang w:val="es-ES"/>
        </w:rPr>
        <w:t>a entidad</w:t>
      </w:r>
      <w:r w:rsidR="002972C9" w:rsidRPr="00156E70">
        <w:rPr>
          <w:spacing w:val="4"/>
          <w:lang w:val="es-ES"/>
        </w:rPr>
        <w:t xml:space="preserve"> del perímetro de consolidación</w:t>
      </w:r>
      <w:r w:rsidR="00297AB0" w:rsidRPr="00156E70">
        <w:rPr>
          <w:spacing w:val="4"/>
          <w:lang w:val="es-ES"/>
        </w:rPr>
        <w:t xml:space="preserve"> que</w:t>
      </w:r>
      <w:r w:rsidR="00374363" w:rsidRPr="00156E70">
        <w:rPr>
          <w:spacing w:val="4"/>
          <w:lang w:val="es-ES"/>
        </w:rPr>
        <w:t xml:space="preserve"> la soporta</w:t>
      </w:r>
      <w:r w:rsidR="00FA1D9D" w:rsidRPr="00156E70">
        <w:rPr>
          <w:spacing w:val="4"/>
          <w:lang w:val="es-ES"/>
        </w:rPr>
        <w:t>,</w:t>
      </w:r>
      <w:r w:rsidRPr="00156E70">
        <w:rPr>
          <w:spacing w:val="4"/>
          <w:lang w:val="es-ES"/>
        </w:rPr>
        <w:t xml:space="preserve"> la ant</w:t>
      </w:r>
      <w:r w:rsidRPr="00156E70">
        <w:rPr>
          <w:spacing w:val="4"/>
          <w:lang w:val="es-ES"/>
        </w:rPr>
        <w:t>e</w:t>
      </w:r>
      <w:r w:rsidRPr="00156E70">
        <w:rPr>
          <w:spacing w:val="4"/>
          <w:lang w:val="es-ES"/>
        </w:rPr>
        <w:t>rior deuda</w:t>
      </w:r>
      <w:r w:rsidR="00374363" w:rsidRPr="00156E70">
        <w:rPr>
          <w:spacing w:val="4"/>
          <w:lang w:val="es-ES"/>
        </w:rPr>
        <w:t xml:space="preserve"> se distribuye de acuerdo con el siguiente cuadro</w:t>
      </w:r>
      <w:r w:rsidR="00324440">
        <w:rPr>
          <w:spacing w:val="4"/>
          <w:lang w:val="es-ES"/>
        </w:rPr>
        <w:t>.</w:t>
      </w:r>
    </w:p>
    <w:p w:rsidR="00324440" w:rsidRPr="00846EDC" w:rsidRDefault="007E1C86" w:rsidP="00324440">
      <w:pPr>
        <w:pStyle w:val="recomen"/>
        <w:numPr>
          <w:ilvl w:val="0"/>
          <w:numId w:val="0"/>
        </w:numPr>
        <w:spacing w:after="40"/>
        <w:ind w:left="1588"/>
        <w:jc w:val="right"/>
        <w:rPr>
          <w:rFonts w:ascii="Arial Narrow" w:hAnsi="Arial Narrow"/>
          <w:i w:val="0"/>
          <w:sz w:val="18"/>
          <w:szCs w:val="18"/>
        </w:rPr>
      </w:pPr>
      <w:r>
        <w:rPr>
          <w:rFonts w:ascii="Arial Narrow" w:hAnsi="Arial Narrow"/>
          <w:i w:val="0"/>
          <w:sz w:val="18"/>
          <w:szCs w:val="18"/>
        </w:rPr>
        <w:t>M</w:t>
      </w:r>
      <w:r w:rsidR="00324440" w:rsidRPr="00846EDC">
        <w:rPr>
          <w:rFonts w:ascii="Arial Narrow" w:hAnsi="Arial Narrow"/>
          <w:i w:val="0"/>
          <w:sz w:val="18"/>
          <w:szCs w:val="18"/>
        </w:rPr>
        <w:t>il</w:t>
      </w:r>
      <w:r w:rsidR="00324440">
        <w:rPr>
          <w:rFonts w:ascii="Arial Narrow" w:hAnsi="Arial Narrow"/>
          <w:i w:val="0"/>
          <w:sz w:val="18"/>
          <w:szCs w:val="18"/>
        </w:rPr>
        <w:t>lon</w:t>
      </w:r>
      <w:r w:rsidR="00324440" w:rsidRPr="00846EDC">
        <w:rPr>
          <w:rFonts w:ascii="Arial Narrow" w:hAnsi="Arial Narrow"/>
          <w:i w:val="0"/>
          <w:sz w:val="18"/>
          <w:szCs w:val="18"/>
        </w:rPr>
        <w:t>es de euros</w:t>
      </w:r>
    </w:p>
    <w:tbl>
      <w:tblPr>
        <w:tblW w:w="8877" w:type="dxa"/>
        <w:jc w:val="center"/>
        <w:tblBorders>
          <w:top w:val="single" w:sz="4" w:space="0" w:color="000000"/>
          <w:bottom w:val="single" w:sz="4" w:space="0" w:color="000000"/>
        </w:tblBorders>
        <w:tblLayout w:type="fixed"/>
        <w:tblLook w:val="01E0" w:firstRow="1" w:lastRow="1" w:firstColumn="1" w:lastColumn="1" w:noHBand="0" w:noVBand="0"/>
      </w:tblPr>
      <w:tblGrid>
        <w:gridCol w:w="7364"/>
        <w:gridCol w:w="1513"/>
      </w:tblGrid>
      <w:tr w:rsidR="00374363" w:rsidRPr="008C2656" w:rsidTr="00751C42">
        <w:trPr>
          <w:trHeight w:val="284"/>
          <w:jc w:val="center"/>
        </w:trPr>
        <w:tc>
          <w:tcPr>
            <w:tcW w:w="7364" w:type="dxa"/>
            <w:tcBorders>
              <w:top w:val="single" w:sz="4" w:space="0" w:color="000000"/>
              <w:bottom w:val="single" w:sz="4" w:space="0" w:color="000000"/>
            </w:tcBorders>
            <w:shd w:val="clear" w:color="auto" w:fill="A8CBEE" w:themeFill="accent2" w:themeFillTint="66"/>
            <w:vAlign w:val="center"/>
          </w:tcPr>
          <w:p w:rsidR="00374363" w:rsidRPr="00A31B60" w:rsidRDefault="00B10FC2" w:rsidP="0011009E">
            <w:pPr>
              <w:pStyle w:val="cuadroCabe"/>
              <w:jc w:val="left"/>
              <w:rPr>
                <w:lang w:val="es-ES"/>
              </w:rPr>
            </w:pPr>
            <w:r>
              <w:rPr>
                <w:lang w:val="es-ES"/>
              </w:rPr>
              <w:t>S</w:t>
            </w:r>
            <w:r w:rsidRPr="00A31B60">
              <w:rPr>
                <w:lang w:val="es-ES"/>
              </w:rPr>
              <w:t>ector</w:t>
            </w:r>
            <w:r w:rsidR="00374363" w:rsidRPr="00A31B60">
              <w:rPr>
                <w:lang w:val="es-ES"/>
              </w:rPr>
              <w:t xml:space="preserve"> Administración Pública</w:t>
            </w:r>
            <w:r w:rsidR="00297AB0">
              <w:rPr>
                <w:lang w:val="es-ES"/>
              </w:rPr>
              <w:t xml:space="preserve"> de Navarra</w:t>
            </w:r>
          </w:p>
          <w:p w:rsidR="00374363" w:rsidRPr="00A31B60" w:rsidRDefault="00374363" w:rsidP="0011009E">
            <w:pPr>
              <w:pStyle w:val="cuadroCabe"/>
              <w:jc w:val="left"/>
              <w:rPr>
                <w:lang w:val="es-ES"/>
              </w:rPr>
            </w:pPr>
            <w:r w:rsidRPr="00A31B60">
              <w:rPr>
                <w:lang w:val="es-ES"/>
              </w:rPr>
              <w:t>Deuda según PDE</w:t>
            </w:r>
            <w:r w:rsidR="00547220">
              <w:rPr>
                <w:lang w:val="es-ES"/>
              </w:rPr>
              <w:t>-</w:t>
            </w:r>
            <w:r w:rsidRPr="00A31B60">
              <w:rPr>
                <w:lang w:val="es-ES"/>
              </w:rPr>
              <w:t xml:space="preserve"> 2015</w:t>
            </w:r>
          </w:p>
        </w:tc>
        <w:tc>
          <w:tcPr>
            <w:tcW w:w="1513" w:type="dxa"/>
            <w:tcBorders>
              <w:top w:val="single" w:sz="4" w:space="0" w:color="000000"/>
              <w:bottom w:val="single" w:sz="4" w:space="0" w:color="000000"/>
            </w:tcBorders>
            <w:shd w:val="clear" w:color="auto" w:fill="A8CBEE" w:themeFill="accent2" w:themeFillTint="66"/>
            <w:vAlign w:val="center"/>
          </w:tcPr>
          <w:p w:rsidR="00374363" w:rsidRPr="00A31B60" w:rsidRDefault="00374363" w:rsidP="0011009E">
            <w:pPr>
              <w:pStyle w:val="cuadroCabe"/>
              <w:jc w:val="right"/>
              <w:rPr>
                <w:lang w:val="es-ES"/>
              </w:rPr>
            </w:pPr>
            <w:r w:rsidRPr="00A31B60">
              <w:rPr>
                <w:lang w:val="es-ES"/>
              </w:rPr>
              <w:t>Total</w:t>
            </w:r>
          </w:p>
        </w:tc>
      </w:tr>
      <w:tr w:rsidR="00374363" w:rsidRPr="008C2656" w:rsidTr="00751C42">
        <w:trPr>
          <w:trHeight w:val="284"/>
          <w:jc w:val="center"/>
        </w:trPr>
        <w:tc>
          <w:tcPr>
            <w:tcW w:w="7364" w:type="dxa"/>
            <w:tcBorders>
              <w:top w:val="single" w:sz="4" w:space="0" w:color="000000"/>
              <w:bottom w:val="single" w:sz="2" w:space="0" w:color="000000"/>
            </w:tcBorders>
            <w:vAlign w:val="center"/>
          </w:tcPr>
          <w:p w:rsidR="00374363" w:rsidRPr="00A31B60" w:rsidRDefault="00374363" w:rsidP="00E85C75">
            <w:pPr>
              <w:pStyle w:val="cuatexto"/>
              <w:jc w:val="left"/>
              <w:rPr>
                <w:szCs w:val="20"/>
              </w:rPr>
            </w:pPr>
            <w:r>
              <w:rPr>
                <w:szCs w:val="20"/>
              </w:rPr>
              <w:t>Gobierno de Navarra</w:t>
            </w:r>
          </w:p>
        </w:tc>
        <w:tc>
          <w:tcPr>
            <w:tcW w:w="1513" w:type="dxa"/>
            <w:tcBorders>
              <w:top w:val="single" w:sz="4" w:space="0" w:color="000000"/>
              <w:bottom w:val="single" w:sz="2" w:space="0" w:color="000000"/>
            </w:tcBorders>
            <w:vAlign w:val="center"/>
          </w:tcPr>
          <w:p w:rsidR="00374363" w:rsidRPr="009A6D7D" w:rsidRDefault="00FA1D9D" w:rsidP="009A6D7D">
            <w:pPr>
              <w:pStyle w:val="cuatexto"/>
              <w:jc w:val="right"/>
              <w:rPr>
                <w:szCs w:val="20"/>
              </w:rPr>
            </w:pPr>
            <w:r w:rsidRPr="009A6D7D">
              <w:rPr>
                <w:szCs w:val="20"/>
              </w:rPr>
              <w:t>2.84</w:t>
            </w:r>
            <w:r w:rsidR="009A6D7D" w:rsidRPr="009A6D7D">
              <w:rPr>
                <w:szCs w:val="20"/>
              </w:rPr>
              <w:t>6</w:t>
            </w:r>
          </w:p>
        </w:tc>
      </w:tr>
      <w:tr w:rsidR="00374363" w:rsidRPr="008C2656" w:rsidTr="00751C42">
        <w:trPr>
          <w:trHeight w:val="284"/>
          <w:jc w:val="center"/>
        </w:trPr>
        <w:tc>
          <w:tcPr>
            <w:tcW w:w="7364" w:type="dxa"/>
            <w:tcBorders>
              <w:top w:val="single" w:sz="2" w:space="0" w:color="000000"/>
              <w:bottom w:val="single" w:sz="2" w:space="0" w:color="000000"/>
            </w:tcBorders>
            <w:vAlign w:val="center"/>
          </w:tcPr>
          <w:p w:rsidR="00374363" w:rsidRPr="00A31B60" w:rsidRDefault="00374363" w:rsidP="00547220">
            <w:pPr>
              <w:pStyle w:val="cuatexto"/>
              <w:jc w:val="left"/>
              <w:rPr>
                <w:szCs w:val="20"/>
              </w:rPr>
            </w:pPr>
            <w:r>
              <w:rPr>
                <w:szCs w:val="20"/>
              </w:rPr>
              <w:t>Gobierno de Navarra</w:t>
            </w:r>
            <w:r w:rsidR="00547220">
              <w:rPr>
                <w:szCs w:val="20"/>
              </w:rPr>
              <w:t xml:space="preserve">. </w:t>
            </w:r>
            <w:r>
              <w:rPr>
                <w:szCs w:val="20"/>
              </w:rPr>
              <w:t>Colaboración Público-Privada</w:t>
            </w:r>
          </w:p>
        </w:tc>
        <w:tc>
          <w:tcPr>
            <w:tcW w:w="1513" w:type="dxa"/>
            <w:tcBorders>
              <w:top w:val="single" w:sz="2" w:space="0" w:color="000000"/>
              <w:bottom w:val="single" w:sz="2" w:space="0" w:color="000000"/>
            </w:tcBorders>
            <w:vAlign w:val="center"/>
          </w:tcPr>
          <w:p w:rsidR="00374363" w:rsidRPr="009A6D7D" w:rsidRDefault="00374363" w:rsidP="009A6D7D">
            <w:pPr>
              <w:pStyle w:val="cuatexto"/>
              <w:jc w:val="right"/>
              <w:rPr>
                <w:szCs w:val="20"/>
              </w:rPr>
            </w:pPr>
            <w:r w:rsidRPr="009A6D7D">
              <w:rPr>
                <w:szCs w:val="20"/>
              </w:rPr>
              <w:t>31</w:t>
            </w:r>
            <w:r w:rsidR="009A6D7D" w:rsidRPr="009A6D7D">
              <w:rPr>
                <w:szCs w:val="20"/>
              </w:rPr>
              <w:t>8</w:t>
            </w:r>
          </w:p>
        </w:tc>
      </w:tr>
      <w:tr w:rsidR="00374363" w:rsidRPr="008C2656" w:rsidTr="00751C42">
        <w:trPr>
          <w:trHeight w:val="284"/>
          <w:jc w:val="center"/>
        </w:trPr>
        <w:tc>
          <w:tcPr>
            <w:tcW w:w="7364" w:type="dxa"/>
            <w:tcBorders>
              <w:top w:val="single" w:sz="2" w:space="0" w:color="000000"/>
              <w:bottom w:val="single" w:sz="2" w:space="0" w:color="000000"/>
            </w:tcBorders>
            <w:vAlign w:val="center"/>
          </w:tcPr>
          <w:p w:rsidR="00374363" w:rsidRPr="00A31B60" w:rsidRDefault="00374363" w:rsidP="0011009E">
            <w:pPr>
              <w:pStyle w:val="cuatexto"/>
              <w:jc w:val="left"/>
              <w:rPr>
                <w:szCs w:val="20"/>
              </w:rPr>
            </w:pPr>
            <w:r>
              <w:rPr>
                <w:szCs w:val="20"/>
              </w:rPr>
              <w:t>Sociedades Públicas</w:t>
            </w:r>
          </w:p>
        </w:tc>
        <w:tc>
          <w:tcPr>
            <w:tcW w:w="1513" w:type="dxa"/>
            <w:tcBorders>
              <w:top w:val="single" w:sz="2" w:space="0" w:color="000000"/>
              <w:bottom w:val="single" w:sz="2" w:space="0" w:color="000000"/>
            </w:tcBorders>
            <w:vAlign w:val="center"/>
          </w:tcPr>
          <w:p w:rsidR="00374363" w:rsidRPr="009A6D7D" w:rsidRDefault="00FA1D9D" w:rsidP="009A6D7D">
            <w:pPr>
              <w:pStyle w:val="cuatexto"/>
              <w:jc w:val="right"/>
              <w:rPr>
                <w:szCs w:val="20"/>
              </w:rPr>
            </w:pPr>
            <w:r w:rsidRPr="009A6D7D">
              <w:rPr>
                <w:szCs w:val="20"/>
              </w:rPr>
              <w:t>153</w:t>
            </w:r>
          </w:p>
        </w:tc>
      </w:tr>
      <w:tr w:rsidR="00374363" w:rsidRPr="008C2656" w:rsidTr="00751C42">
        <w:trPr>
          <w:trHeight w:val="284"/>
          <w:jc w:val="center"/>
        </w:trPr>
        <w:tc>
          <w:tcPr>
            <w:tcW w:w="7364" w:type="dxa"/>
            <w:tcBorders>
              <w:top w:val="single" w:sz="2" w:space="0" w:color="000000"/>
              <w:bottom w:val="single" w:sz="2" w:space="0" w:color="000000"/>
            </w:tcBorders>
            <w:vAlign w:val="center"/>
          </w:tcPr>
          <w:p w:rsidR="00374363" w:rsidRPr="00A31B60" w:rsidRDefault="00374363" w:rsidP="00FA1D9D">
            <w:pPr>
              <w:pStyle w:val="cuatexto"/>
              <w:jc w:val="left"/>
              <w:rPr>
                <w:szCs w:val="20"/>
              </w:rPr>
            </w:pPr>
            <w:r>
              <w:rPr>
                <w:szCs w:val="20"/>
              </w:rPr>
              <w:t>Fundaciones P</w:t>
            </w:r>
            <w:r w:rsidR="00FA1D9D">
              <w:rPr>
                <w:szCs w:val="20"/>
              </w:rPr>
              <w:t>ú</w:t>
            </w:r>
            <w:r>
              <w:rPr>
                <w:szCs w:val="20"/>
              </w:rPr>
              <w:t>blicas</w:t>
            </w:r>
          </w:p>
        </w:tc>
        <w:tc>
          <w:tcPr>
            <w:tcW w:w="1513" w:type="dxa"/>
            <w:tcBorders>
              <w:top w:val="single" w:sz="2" w:space="0" w:color="000000"/>
              <w:bottom w:val="single" w:sz="2" w:space="0" w:color="000000"/>
            </w:tcBorders>
            <w:vAlign w:val="center"/>
          </w:tcPr>
          <w:p w:rsidR="00374363" w:rsidRPr="009A6D7D" w:rsidRDefault="00FA1D9D" w:rsidP="009A6D7D">
            <w:pPr>
              <w:pStyle w:val="cuatexto"/>
              <w:jc w:val="right"/>
              <w:rPr>
                <w:szCs w:val="20"/>
              </w:rPr>
            </w:pPr>
            <w:r w:rsidRPr="009A6D7D">
              <w:rPr>
                <w:szCs w:val="20"/>
              </w:rPr>
              <w:t>5</w:t>
            </w:r>
          </w:p>
        </w:tc>
      </w:tr>
      <w:tr w:rsidR="00374363" w:rsidRPr="00751C42" w:rsidTr="00751C42">
        <w:trPr>
          <w:trHeight w:val="284"/>
          <w:jc w:val="center"/>
        </w:trPr>
        <w:tc>
          <w:tcPr>
            <w:tcW w:w="7364" w:type="dxa"/>
            <w:tcBorders>
              <w:top w:val="single" w:sz="2" w:space="0" w:color="000000"/>
              <w:bottom w:val="single" w:sz="2" w:space="0" w:color="000000"/>
            </w:tcBorders>
            <w:shd w:val="clear" w:color="auto" w:fill="ACCBF9" w:themeFill="background2"/>
            <w:vAlign w:val="center"/>
          </w:tcPr>
          <w:p w:rsidR="00374363" w:rsidRPr="00751C42" w:rsidRDefault="00374363" w:rsidP="0011009E">
            <w:pPr>
              <w:pStyle w:val="cuatexto"/>
              <w:jc w:val="left"/>
              <w:rPr>
                <w:rFonts w:ascii="Arial" w:hAnsi="Arial" w:cs="Arial"/>
                <w:sz w:val="18"/>
                <w:szCs w:val="18"/>
              </w:rPr>
            </w:pPr>
            <w:r w:rsidRPr="00751C42">
              <w:rPr>
                <w:rFonts w:ascii="Arial" w:hAnsi="Arial" w:cs="Arial"/>
                <w:sz w:val="18"/>
                <w:szCs w:val="18"/>
              </w:rPr>
              <w:t>Total endeudamiento a 31-XII-2015</w:t>
            </w:r>
          </w:p>
        </w:tc>
        <w:tc>
          <w:tcPr>
            <w:tcW w:w="1513" w:type="dxa"/>
            <w:tcBorders>
              <w:top w:val="single" w:sz="2" w:space="0" w:color="000000"/>
              <w:bottom w:val="single" w:sz="2" w:space="0" w:color="000000"/>
            </w:tcBorders>
            <w:shd w:val="clear" w:color="auto" w:fill="ACCBF9" w:themeFill="background2"/>
            <w:vAlign w:val="center"/>
          </w:tcPr>
          <w:p w:rsidR="00374363" w:rsidRPr="00751C42" w:rsidRDefault="00374363" w:rsidP="009A6D7D">
            <w:pPr>
              <w:pStyle w:val="cuatexto"/>
              <w:jc w:val="right"/>
              <w:rPr>
                <w:rFonts w:ascii="Arial" w:hAnsi="Arial" w:cs="Arial"/>
                <w:sz w:val="18"/>
                <w:szCs w:val="18"/>
              </w:rPr>
            </w:pPr>
            <w:r w:rsidRPr="00751C42">
              <w:rPr>
                <w:rFonts w:ascii="Arial" w:hAnsi="Arial" w:cs="Arial"/>
                <w:sz w:val="18"/>
                <w:szCs w:val="18"/>
              </w:rPr>
              <w:t>3.32</w:t>
            </w:r>
            <w:r w:rsidR="009A6D7D" w:rsidRPr="00751C42">
              <w:rPr>
                <w:rFonts w:ascii="Arial" w:hAnsi="Arial" w:cs="Arial"/>
                <w:sz w:val="18"/>
                <w:szCs w:val="18"/>
              </w:rPr>
              <w:t>2</w:t>
            </w:r>
          </w:p>
        </w:tc>
      </w:tr>
    </w:tbl>
    <w:p w:rsidR="00324440" w:rsidRDefault="00C745F0" w:rsidP="00324440">
      <w:pPr>
        <w:pStyle w:val="texto"/>
        <w:spacing w:before="240" w:after="0"/>
        <w:rPr>
          <w:lang w:val="es-ES"/>
        </w:rPr>
      </w:pPr>
      <w:r w:rsidRPr="00C745F0">
        <w:rPr>
          <w:lang w:val="es-ES"/>
        </w:rPr>
        <w:t>Finalmente, para</w:t>
      </w:r>
      <w:r w:rsidR="003C0050" w:rsidRPr="00C745F0">
        <w:rPr>
          <w:lang w:val="es-ES"/>
        </w:rPr>
        <w:t xml:space="preserve"> el periodo de 2008 a 2015, la evolución de este endeud</w:t>
      </w:r>
      <w:r w:rsidR="003C0050" w:rsidRPr="00C745F0">
        <w:rPr>
          <w:lang w:val="es-ES"/>
        </w:rPr>
        <w:t>a</w:t>
      </w:r>
      <w:r w:rsidR="003C0050" w:rsidRPr="00C745F0">
        <w:rPr>
          <w:lang w:val="es-ES"/>
        </w:rPr>
        <w:t>miento se refleja en el siguiente cuadro</w:t>
      </w:r>
      <w:r w:rsidR="00324440">
        <w:rPr>
          <w:lang w:val="es-ES"/>
        </w:rPr>
        <w:t>.</w:t>
      </w:r>
    </w:p>
    <w:p w:rsidR="00324440" w:rsidRPr="00846EDC" w:rsidRDefault="007E1C86" w:rsidP="00324440">
      <w:pPr>
        <w:pStyle w:val="recomen"/>
        <w:numPr>
          <w:ilvl w:val="0"/>
          <w:numId w:val="0"/>
        </w:numPr>
        <w:spacing w:after="40"/>
        <w:ind w:left="1588"/>
        <w:jc w:val="right"/>
        <w:rPr>
          <w:rFonts w:ascii="Arial Narrow" w:hAnsi="Arial Narrow"/>
          <w:i w:val="0"/>
          <w:sz w:val="18"/>
          <w:szCs w:val="18"/>
        </w:rPr>
      </w:pPr>
      <w:r>
        <w:rPr>
          <w:rFonts w:ascii="Arial Narrow" w:hAnsi="Arial Narrow"/>
          <w:i w:val="0"/>
          <w:sz w:val="18"/>
          <w:szCs w:val="18"/>
        </w:rPr>
        <w:t>M</w:t>
      </w:r>
      <w:r w:rsidR="00324440">
        <w:rPr>
          <w:rFonts w:ascii="Arial Narrow" w:hAnsi="Arial Narrow"/>
          <w:i w:val="0"/>
          <w:sz w:val="18"/>
          <w:szCs w:val="18"/>
        </w:rPr>
        <w:t>illones</w:t>
      </w:r>
      <w:r w:rsidR="00324440" w:rsidRPr="00846EDC">
        <w:rPr>
          <w:rFonts w:ascii="Arial Narrow" w:hAnsi="Arial Narrow"/>
          <w:i w:val="0"/>
          <w:sz w:val="18"/>
          <w:szCs w:val="18"/>
        </w:rPr>
        <w:t xml:space="preserve"> de euros</w:t>
      </w:r>
    </w:p>
    <w:tbl>
      <w:tblPr>
        <w:tblW w:w="8901" w:type="dxa"/>
        <w:jc w:val="center"/>
        <w:tblBorders>
          <w:top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2004"/>
        <w:gridCol w:w="771"/>
        <w:gridCol w:w="881"/>
        <w:gridCol w:w="851"/>
        <w:gridCol w:w="850"/>
        <w:gridCol w:w="993"/>
        <w:gridCol w:w="850"/>
        <w:gridCol w:w="851"/>
        <w:gridCol w:w="850"/>
      </w:tblGrid>
      <w:tr w:rsidR="00C745F0" w:rsidRPr="00C745F0" w:rsidTr="00156E70">
        <w:trPr>
          <w:trHeight w:val="284"/>
          <w:jc w:val="center"/>
        </w:trPr>
        <w:tc>
          <w:tcPr>
            <w:tcW w:w="2004" w:type="dxa"/>
            <w:shd w:val="clear" w:color="auto" w:fill="ACCBF9" w:themeFill="background2"/>
            <w:noWrap/>
            <w:vAlign w:val="center"/>
          </w:tcPr>
          <w:p w:rsidR="003C0050" w:rsidRPr="00C745F0" w:rsidRDefault="007728ED" w:rsidP="00156E70">
            <w:pPr>
              <w:pStyle w:val="cuadroCabe"/>
              <w:jc w:val="left"/>
              <w:rPr>
                <w:rFonts w:cs="Arial"/>
              </w:rPr>
            </w:pPr>
            <w:r w:rsidRPr="00C745F0">
              <w:rPr>
                <w:rFonts w:cs="Arial"/>
              </w:rPr>
              <w:t xml:space="preserve">Endeudamiento </w:t>
            </w:r>
            <w:r w:rsidR="00156E70">
              <w:rPr>
                <w:rFonts w:cs="Arial"/>
              </w:rPr>
              <w:t>P</w:t>
            </w:r>
            <w:r w:rsidRPr="00C745F0">
              <w:rPr>
                <w:rFonts w:cs="Arial"/>
              </w:rPr>
              <w:t>DE</w:t>
            </w:r>
          </w:p>
        </w:tc>
        <w:tc>
          <w:tcPr>
            <w:tcW w:w="771" w:type="dxa"/>
            <w:shd w:val="clear" w:color="auto" w:fill="ACCBF9" w:themeFill="background2"/>
            <w:noWrap/>
            <w:vAlign w:val="center"/>
          </w:tcPr>
          <w:p w:rsidR="003C0050" w:rsidRPr="00C745F0" w:rsidRDefault="003C0050" w:rsidP="001D5B7A">
            <w:pPr>
              <w:pStyle w:val="cuadroCabe"/>
              <w:jc w:val="right"/>
              <w:rPr>
                <w:rFonts w:cs="Arial"/>
              </w:rPr>
            </w:pPr>
            <w:r w:rsidRPr="00C745F0">
              <w:rPr>
                <w:rFonts w:cs="Arial"/>
              </w:rPr>
              <w:t>2008</w:t>
            </w:r>
          </w:p>
        </w:tc>
        <w:tc>
          <w:tcPr>
            <w:tcW w:w="881" w:type="dxa"/>
            <w:shd w:val="clear" w:color="auto" w:fill="ACCBF9" w:themeFill="background2"/>
            <w:noWrap/>
            <w:vAlign w:val="center"/>
          </w:tcPr>
          <w:p w:rsidR="003C0050" w:rsidRPr="00C745F0" w:rsidRDefault="003C0050" w:rsidP="001D5B7A">
            <w:pPr>
              <w:pStyle w:val="cuadroCabe"/>
              <w:jc w:val="right"/>
              <w:rPr>
                <w:rFonts w:cs="Arial"/>
              </w:rPr>
            </w:pPr>
            <w:r w:rsidRPr="00C745F0">
              <w:rPr>
                <w:rFonts w:cs="Arial"/>
              </w:rPr>
              <w:t>2009</w:t>
            </w:r>
          </w:p>
        </w:tc>
        <w:tc>
          <w:tcPr>
            <w:tcW w:w="851" w:type="dxa"/>
            <w:shd w:val="clear" w:color="auto" w:fill="ACCBF9" w:themeFill="background2"/>
            <w:noWrap/>
            <w:vAlign w:val="center"/>
          </w:tcPr>
          <w:p w:rsidR="003C0050" w:rsidRPr="00C745F0" w:rsidRDefault="003C0050" w:rsidP="001D5B7A">
            <w:pPr>
              <w:pStyle w:val="cuadroCabe"/>
              <w:jc w:val="right"/>
              <w:rPr>
                <w:rFonts w:cs="Arial"/>
              </w:rPr>
            </w:pPr>
            <w:r w:rsidRPr="00C745F0">
              <w:rPr>
                <w:rFonts w:cs="Arial"/>
              </w:rPr>
              <w:t>2010</w:t>
            </w:r>
          </w:p>
        </w:tc>
        <w:tc>
          <w:tcPr>
            <w:tcW w:w="850" w:type="dxa"/>
            <w:shd w:val="clear" w:color="auto" w:fill="ACCBF9" w:themeFill="background2"/>
            <w:noWrap/>
            <w:vAlign w:val="center"/>
          </w:tcPr>
          <w:p w:rsidR="003C0050" w:rsidRPr="00C745F0" w:rsidRDefault="003C0050" w:rsidP="001D5B7A">
            <w:pPr>
              <w:pStyle w:val="cuadroCabe"/>
              <w:jc w:val="right"/>
              <w:rPr>
                <w:rFonts w:cs="Arial"/>
              </w:rPr>
            </w:pPr>
            <w:r w:rsidRPr="00C745F0">
              <w:rPr>
                <w:rFonts w:cs="Arial"/>
              </w:rPr>
              <w:t>2011</w:t>
            </w:r>
          </w:p>
        </w:tc>
        <w:tc>
          <w:tcPr>
            <w:tcW w:w="993" w:type="dxa"/>
            <w:shd w:val="clear" w:color="auto" w:fill="ACCBF9" w:themeFill="background2"/>
            <w:vAlign w:val="center"/>
          </w:tcPr>
          <w:p w:rsidR="003C0050" w:rsidRPr="00C745F0" w:rsidRDefault="003C0050" w:rsidP="001D5B7A">
            <w:pPr>
              <w:pStyle w:val="cuadroCabe"/>
              <w:jc w:val="right"/>
              <w:rPr>
                <w:rFonts w:cs="Arial"/>
              </w:rPr>
            </w:pPr>
            <w:r w:rsidRPr="00C745F0">
              <w:rPr>
                <w:rFonts w:cs="Arial"/>
              </w:rPr>
              <w:t>2012</w:t>
            </w:r>
          </w:p>
        </w:tc>
        <w:tc>
          <w:tcPr>
            <w:tcW w:w="850" w:type="dxa"/>
            <w:shd w:val="clear" w:color="auto" w:fill="ACCBF9" w:themeFill="background2"/>
            <w:vAlign w:val="center"/>
          </w:tcPr>
          <w:p w:rsidR="003C0050" w:rsidRPr="00C745F0" w:rsidRDefault="003C0050" w:rsidP="001D5B7A">
            <w:pPr>
              <w:pStyle w:val="cuadroCabe"/>
              <w:jc w:val="right"/>
              <w:rPr>
                <w:rFonts w:cs="Arial"/>
              </w:rPr>
            </w:pPr>
            <w:r w:rsidRPr="00C745F0">
              <w:rPr>
                <w:rFonts w:cs="Arial"/>
              </w:rPr>
              <w:t>2013</w:t>
            </w:r>
          </w:p>
        </w:tc>
        <w:tc>
          <w:tcPr>
            <w:tcW w:w="851" w:type="dxa"/>
            <w:shd w:val="clear" w:color="auto" w:fill="ACCBF9" w:themeFill="background2"/>
            <w:vAlign w:val="center"/>
          </w:tcPr>
          <w:p w:rsidR="003C0050" w:rsidRPr="00C745F0" w:rsidRDefault="003C0050" w:rsidP="001D5B7A">
            <w:pPr>
              <w:pStyle w:val="cuadroCabe"/>
              <w:jc w:val="right"/>
              <w:rPr>
                <w:rFonts w:cs="Arial"/>
              </w:rPr>
            </w:pPr>
            <w:r w:rsidRPr="00C745F0">
              <w:rPr>
                <w:rFonts w:cs="Arial"/>
              </w:rPr>
              <w:t>2014</w:t>
            </w:r>
          </w:p>
        </w:tc>
        <w:tc>
          <w:tcPr>
            <w:tcW w:w="850" w:type="dxa"/>
            <w:shd w:val="clear" w:color="auto" w:fill="ACCBF9" w:themeFill="background2"/>
            <w:vAlign w:val="center"/>
          </w:tcPr>
          <w:p w:rsidR="003C0050" w:rsidRPr="00C745F0" w:rsidRDefault="003C0050" w:rsidP="001D5B7A">
            <w:pPr>
              <w:pStyle w:val="cuadroCabe"/>
              <w:jc w:val="right"/>
              <w:rPr>
                <w:rFonts w:cs="Arial"/>
              </w:rPr>
            </w:pPr>
            <w:r w:rsidRPr="00C745F0">
              <w:rPr>
                <w:rFonts w:cs="Arial"/>
              </w:rPr>
              <w:t>2015</w:t>
            </w:r>
          </w:p>
        </w:tc>
      </w:tr>
      <w:tr w:rsidR="00E9184A" w:rsidRPr="00C745F0" w:rsidTr="00156E70">
        <w:trPr>
          <w:trHeight w:val="284"/>
          <w:jc w:val="center"/>
        </w:trPr>
        <w:tc>
          <w:tcPr>
            <w:tcW w:w="2004" w:type="dxa"/>
            <w:shd w:val="clear" w:color="auto" w:fill="auto"/>
            <w:noWrap/>
            <w:vAlign w:val="center"/>
          </w:tcPr>
          <w:p w:rsidR="00E9184A" w:rsidRPr="00C745F0" w:rsidRDefault="00E9184A" w:rsidP="00751C42">
            <w:pPr>
              <w:spacing w:after="0"/>
              <w:ind w:firstLine="0"/>
              <w:jc w:val="left"/>
              <w:rPr>
                <w:rFonts w:ascii="Arial Narrow" w:hAnsi="Arial Narrow" w:cs="Arial"/>
                <w:lang w:val="es-ES" w:eastAsia="es-ES"/>
              </w:rPr>
            </w:pPr>
            <w:r w:rsidRPr="00C745F0">
              <w:rPr>
                <w:rFonts w:ascii="Arial Narrow" w:hAnsi="Arial Narrow" w:cs="Arial"/>
                <w:lang w:val="es-ES" w:eastAsia="es-ES"/>
              </w:rPr>
              <w:t>Importe</w:t>
            </w:r>
          </w:p>
        </w:tc>
        <w:tc>
          <w:tcPr>
            <w:tcW w:w="771" w:type="dxa"/>
            <w:shd w:val="clear" w:color="auto" w:fill="auto"/>
            <w:noWrap/>
            <w:vAlign w:val="center"/>
          </w:tcPr>
          <w:p w:rsidR="00E9184A" w:rsidRPr="00C745F0" w:rsidRDefault="00E9184A" w:rsidP="00E9184A">
            <w:pPr>
              <w:spacing w:after="0"/>
              <w:ind w:firstLine="0"/>
              <w:jc w:val="right"/>
              <w:rPr>
                <w:rFonts w:ascii="Arial Narrow" w:hAnsi="Arial Narrow" w:cs="Arial"/>
                <w:lang w:val="es-ES" w:eastAsia="es-ES"/>
              </w:rPr>
            </w:pPr>
            <w:r w:rsidRPr="00C745F0">
              <w:rPr>
                <w:rFonts w:ascii="Arial Narrow" w:hAnsi="Arial Narrow" w:cs="Arial"/>
                <w:lang w:val="es-ES" w:eastAsia="es-ES"/>
              </w:rPr>
              <w:t>867,5</w:t>
            </w:r>
          </w:p>
        </w:tc>
        <w:tc>
          <w:tcPr>
            <w:tcW w:w="881" w:type="dxa"/>
            <w:shd w:val="clear" w:color="auto" w:fill="auto"/>
            <w:noWrap/>
            <w:vAlign w:val="center"/>
          </w:tcPr>
          <w:p w:rsidR="00E9184A" w:rsidRPr="00C745F0" w:rsidRDefault="00E9184A" w:rsidP="00E9184A">
            <w:pPr>
              <w:spacing w:after="0"/>
              <w:ind w:firstLine="0"/>
              <w:jc w:val="right"/>
              <w:rPr>
                <w:rFonts w:ascii="Arial Narrow" w:hAnsi="Arial Narrow" w:cs="Arial"/>
                <w:lang w:val="es-ES" w:eastAsia="es-ES"/>
              </w:rPr>
            </w:pPr>
            <w:r w:rsidRPr="00C745F0">
              <w:rPr>
                <w:rFonts w:ascii="Arial Narrow" w:hAnsi="Arial Narrow" w:cs="Arial"/>
                <w:lang w:val="es-ES" w:eastAsia="es-ES"/>
              </w:rPr>
              <w:t>1.085,5</w:t>
            </w:r>
          </w:p>
        </w:tc>
        <w:tc>
          <w:tcPr>
            <w:tcW w:w="851" w:type="dxa"/>
            <w:shd w:val="clear" w:color="auto" w:fill="auto"/>
            <w:noWrap/>
            <w:vAlign w:val="center"/>
          </w:tcPr>
          <w:p w:rsidR="00E9184A" w:rsidRPr="00C745F0" w:rsidRDefault="00E9184A" w:rsidP="00E9184A">
            <w:pPr>
              <w:spacing w:after="0"/>
              <w:ind w:firstLine="0"/>
              <w:jc w:val="right"/>
              <w:rPr>
                <w:rFonts w:ascii="Arial Narrow" w:hAnsi="Arial Narrow" w:cs="Arial"/>
                <w:lang w:val="es-ES" w:eastAsia="es-ES"/>
              </w:rPr>
            </w:pPr>
            <w:r w:rsidRPr="00C745F0">
              <w:rPr>
                <w:rFonts w:ascii="Arial Narrow" w:hAnsi="Arial Narrow" w:cs="Arial"/>
                <w:lang w:val="es-ES" w:eastAsia="es-ES"/>
              </w:rPr>
              <w:t>1.692,0</w:t>
            </w:r>
          </w:p>
        </w:tc>
        <w:tc>
          <w:tcPr>
            <w:tcW w:w="850" w:type="dxa"/>
            <w:shd w:val="clear" w:color="auto" w:fill="auto"/>
            <w:noWrap/>
            <w:vAlign w:val="center"/>
          </w:tcPr>
          <w:p w:rsidR="00E9184A" w:rsidRPr="00C745F0" w:rsidRDefault="00E9184A" w:rsidP="00E9184A">
            <w:pPr>
              <w:spacing w:after="0"/>
              <w:ind w:firstLine="0"/>
              <w:jc w:val="right"/>
              <w:rPr>
                <w:rFonts w:ascii="Arial Narrow" w:hAnsi="Arial Narrow" w:cs="Arial"/>
                <w:lang w:val="es-ES" w:eastAsia="es-ES"/>
              </w:rPr>
            </w:pPr>
            <w:r w:rsidRPr="00C745F0">
              <w:rPr>
                <w:rFonts w:ascii="Arial Narrow" w:hAnsi="Arial Narrow" w:cs="Arial"/>
                <w:lang w:val="es-ES" w:eastAsia="es-ES"/>
              </w:rPr>
              <w:t>2.443,4</w:t>
            </w:r>
          </w:p>
        </w:tc>
        <w:tc>
          <w:tcPr>
            <w:tcW w:w="993" w:type="dxa"/>
            <w:vAlign w:val="center"/>
          </w:tcPr>
          <w:p w:rsidR="00E9184A" w:rsidRPr="00C745F0" w:rsidRDefault="00E9184A" w:rsidP="00E9184A">
            <w:pPr>
              <w:spacing w:after="0"/>
              <w:ind w:firstLine="0"/>
              <w:jc w:val="right"/>
              <w:rPr>
                <w:rFonts w:ascii="Arial Narrow" w:hAnsi="Arial Narrow" w:cs="Arial"/>
                <w:lang w:val="es-ES" w:eastAsia="es-ES"/>
              </w:rPr>
            </w:pPr>
            <w:r w:rsidRPr="00C745F0">
              <w:rPr>
                <w:rFonts w:ascii="Arial Narrow" w:hAnsi="Arial Narrow" w:cs="Arial"/>
                <w:lang w:val="es-ES" w:eastAsia="es-ES"/>
              </w:rPr>
              <w:t>2.856,7</w:t>
            </w:r>
          </w:p>
        </w:tc>
        <w:tc>
          <w:tcPr>
            <w:tcW w:w="850" w:type="dxa"/>
            <w:vAlign w:val="center"/>
          </w:tcPr>
          <w:p w:rsidR="00E9184A" w:rsidRPr="00C745F0" w:rsidRDefault="00E9184A" w:rsidP="00E9184A">
            <w:pPr>
              <w:spacing w:after="0"/>
              <w:ind w:firstLine="0"/>
              <w:jc w:val="right"/>
              <w:rPr>
                <w:rFonts w:ascii="Arial Narrow" w:hAnsi="Arial Narrow" w:cs="Arial"/>
                <w:lang w:val="es-ES" w:eastAsia="es-ES"/>
              </w:rPr>
            </w:pPr>
            <w:r w:rsidRPr="00C745F0">
              <w:rPr>
                <w:rFonts w:ascii="Arial Narrow" w:hAnsi="Arial Narrow" w:cs="Arial"/>
                <w:lang w:val="es-ES" w:eastAsia="es-ES"/>
              </w:rPr>
              <w:t>3.133,6</w:t>
            </w:r>
          </w:p>
        </w:tc>
        <w:tc>
          <w:tcPr>
            <w:tcW w:w="851" w:type="dxa"/>
            <w:vAlign w:val="center"/>
          </w:tcPr>
          <w:p w:rsidR="00E9184A" w:rsidRPr="00C745F0" w:rsidRDefault="00E9184A" w:rsidP="00E9184A">
            <w:pPr>
              <w:spacing w:after="0"/>
              <w:ind w:firstLine="0"/>
              <w:jc w:val="right"/>
              <w:rPr>
                <w:rFonts w:ascii="Arial Narrow" w:hAnsi="Arial Narrow" w:cs="Arial"/>
                <w:lang w:val="es-ES" w:eastAsia="es-ES"/>
              </w:rPr>
            </w:pPr>
            <w:r w:rsidRPr="00C745F0">
              <w:rPr>
                <w:rFonts w:ascii="Arial Narrow" w:hAnsi="Arial Narrow" w:cs="Arial"/>
                <w:lang w:val="es-ES" w:eastAsia="es-ES"/>
              </w:rPr>
              <w:t>3.197,3</w:t>
            </w:r>
          </w:p>
        </w:tc>
        <w:tc>
          <w:tcPr>
            <w:tcW w:w="850" w:type="dxa"/>
            <w:vAlign w:val="center"/>
          </w:tcPr>
          <w:p w:rsidR="00E9184A" w:rsidRPr="00C745F0" w:rsidRDefault="00E9184A" w:rsidP="00E9184A">
            <w:pPr>
              <w:spacing w:after="0"/>
              <w:ind w:firstLine="0"/>
              <w:jc w:val="right"/>
              <w:rPr>
                <w:rFonts w:ascii="Arial Narrow" w:hAnsi="Arial Narrow" w:cs="Arial"/>
                <w:lang w:val="es-ES" w:eastAsia="es-ES"/>
              </w:rPr>
            </w:pPr>
            <w:r w:rsidRPr="00C745F0">
              <w:rPr>
                <w:rFonts w:ascii="Arial Narrow" w:hAnsi="Arial Narrow" w:cs="Arial"/>
                <w:lang w:val="es-ES" w:eastAsia="es-ES"/>
              </w:rPr>
              <w:t>3.322</w:t>
            </w:r>
          </w:p>
        </w:tc>
      </w:tr>
      <w:tr w:rsidR="00E9184A" w:rsidRPr="00C745F0" w:rsidTr="00156E70">
        <w:trPr>
          <w:trHeight w:val="284"/>
          <w:jc w:val="center"/>
        </w:trPr>
        <w:tc>
          <w:tcPr>
            <w:tcW w:w="2004" w:type="dxa"/>
            <w:shd w:val="clear" w:color="auto" w:fill="auto"/>
            <w:noWrap/>
            <w:vAlign w:val="center"/>
          </w:tcPr>
          <w:p w:rsidR="00E9184A" w:rsidRPr="00C745F0" w:rsidRDefault="00E9184A" w:rsidP="00751C42">
            <w:pPr>
              <w:spacing w:after="0"/>
              <w:ind w:firstLine="0"/>
              <w:jc w:val="left"/>
              <w:rPr>
                <w:rFonts w:ascii="Arial Narrow" w:hAnsi="Arial Narrow" w:cs="Arial"/>
                <w:lang w:val="es-ES" w:eastAsia="es-ES"/>
              </w:rPr>
            </w:pPr>
            <w:r w:rsidRPr="00C745F0">
              <w:rPr>
                <w:rFonts w:ascii="Arial Narrow" w:hAnsi="Arial Narrow" w:cs="Arial"/>
                <w:lang w:val="es-ES" w:eastAsia="es-ES"/>
              </w:rPr>
              <w:t>% PIB</w:t>
            </w:r>
            <w:r w:rsidR="00C745F0">
              <w:rPr>
                <w:rFonts w:ascii="Arial Narrow" w:hAnsi="Arial Narrow" w:cs="Arial"/>
                <w:lang w:val="es-ES" w:eastAsia="es-ES"/>
              </w:rPr>
              <w:t xml:space="preserve"> de Navarra</w:t>
            </w:r>
          </w:p>
        </w:tc>
        <w:tc>
          <w:tcPr>
            <w:tcW w:w="771" w:type="dxa"/>
            <w:shd w:val="clear" w:color="auto" w:fill="auto"/>
            <w:noWrap/>
            <w:vAlign w:val="center"/>
          </w:tcPr>
          <w:p w:rsidR="00E9184A" w:rsidRPr="00C745F0" w:rsidRDefault="00E9184A" w:rsidP="00E9184A">
            <w:pPr>
              <w:spacing w:after="0"/>
              <w:ind w:firstLine="0"/>
              <w:jc w:val="right"/>
              <w:rPr>
                <w:rFonts w:ascii="Arial Narrow" w:hAnsi="Arial Narrow" w:cs="Arial"/>
                <w:lang w:val="es-ES" w:eastAsia="es-ES"/>
              </w:rPr>
            </w:pPr>
            <w:r w:rsidRPr="00C745F0">
              <w:rPr>
                <w:rFonts w:ascii="Arial Narrow" w:hAnsi="Arial Narrow" w:cs="Arial"/>
                <w:lang w:val="es-ES" w:eastAsia="es-ES"/>
              </w:rPr>
              <w:t>4,69</w:t>
            </w:r>
          </w:p>
        </w:tc>
        <w:tc>
          <w:tcPr>
            <w:tcW w:w="881" w:type="dxa"/>
            <w:shd w:val="clear" w:color="auto" w:fill="auto"/>
            <w:noWrap/>
            <w:vAlign w:val="center"/>
          </w:tcPr>
          <w:p w:rsidR="00E9184A" w:rsidRPr="00C745F0" w:rsidRDefault="00E9184A" w:rsidP="00E9184A">
            <w:pPr>
              <w:spacing w:after="0"/>
              <w:ind w:firstLine="0"/>
              <w:jc w:val="right"/>
              <w:rPr>
                <w:rFonts w:ascii="Arial Narrow" w:hAnsi="Arial Narrow" w:cs="Arial"/>
                <w:lang w:val="es-ES" w:eastAsia="es-ES"/>
              </w:rPr>
            </w:pPr>
            <w:r w:rsidRPr="00C745F0">
              <w:rPr>
                <w:rFonts w:ascii="Arial Narrow" w:hAnsi="Arial Narrow" w:cs="Arial"/>
                <w:lang w:val="es-ES" w:eastAsia="es-ES"/>
              </w:rPr>
              <w:t>5,97</w:t>
            </w:r>
          </w:p>
        </w:tc>
        <w:tc>
          <w:tcPr>
            <w:tcW w:w="851" w:type="dxa"/>
            <w:shd w:val="clear" w:color="auto" w:fill="auto"/>
            <w:noWrap/>
            <w:vAlign w:val="center"/>
          </w:tcPr>
          <w:p w:rsidR="00E9184A" w:rsidRPr="00C745F0" w:rsidRDefault="00E9184A" w:rsidP="00E9184A">
            <w:pPr>
              <w:spacing w:after="0"/>
              <w:ind w:firstLine="0"/>
              <w:jc w:val="right"/>
              <w:rPr>
                <w:rFonts w:ascii="Arial Narrow" w:hAnsi="Arial Narrow" w:cs="Arial"/>
                <w:lang w:val="es-ES" w:eastAsia="es-ES"/>
              </w:rPr>
            </w:pPr>
            <w:r w:rsidRPr="00C745F0">
              <w:rPr>
                <w:rFonts w:ascii="Arial Narrow" w:hAnsi="Arial Narrow" w:cs="Arial"/>
                <w:lang w:val="es-ES" w:eastAsia="es-ES"/>
              </w:rPr>
              <w:t>9,10</w:t>
            </w:r>
          </w:p>
        </w:tc>
        <w:tc>
          <w:tcPr>
            <w:tcW w:w="850" w:type="dxa"/>
            <w:shd w:val="clear" w:color="auto" w:fill="auto"/>
            <w:noWrap/>
            <w:vAlign w:val="center"/>
          </w:tcPr>
          <w:p w:rsidR="00E9184A" w:rsidRPr="00C745F0" w:rsidRDefault="00E9184A" w:rsidP="00E9184A">
            <w:pPr>
              <w:spacing w:after="0"/>
              <w:ind w:firstLine="0"/>
              <w:jc w:val="right"/>
              <w:rPr>
                <w:rFonts w:ascii="Arial Narrow" w:hAnsi="Arial Narrow" w:cs="Arial"/>
                <w:lang w:val="es-ES" w:eastAsia="es-ES"/>
              </w:rPr>
            </w:pPr>
            <w:r w:rsidRPr="00C745F0">
              <w:rPr>
                <w:rFonts w:ascii="Arial Narrow" w:hAnsi="Arial Narrow" w:cs="Arial"/>
                <w:lang w:val="es-ES" w:eastAsia="es-ES"/>
              </w:rPr>
              <w:t>13,05</w:t>
            </w:r>
          </w:p>
        </w:tc>
        <w:tc>
          <w:tcPr>
            <w:tcW w:w="993" w:type="dxa"/>
            <w:vAlign w:val="center"/>
          </w:tcPr>
          <w:p w:rsidR="00E9184A" w:rsidRPr="00C745F0" w:rsidRDefault="00E9184A" w:rsidP="00E9184A">
            <w:pPr>
              <w:spacing w:after="0"/>
              <w:ind w:firstLine="0"/>
              <w:jc w:val="right"/>
              <w:rPr>
                <w:rFonts w:ascii="Arial Narrow" w:hAnsi="Arial Narrow" w:cs="Arial"/>
                <w:lang w:val="es-ES" w:eastAsia="es-ES"/>
              </w:rPr>
            </w:pPr>
            <w:r w:rsidRPr="00C745F0">
              <w:rPr>
                <w:rFonts w:ascii="Arial Narrow" w:hAnsi="Arial Narrow" w:cs="Arial"/>
                <w:lang w:val="es-ES" w:eastAsia="es-ES"/>
              </w:rPr>
              <w:t>15,76</w:t>
            </w:r>
          </w:p>
        </w:tc>
        <w:tc>
          <w:tcPr>
            <w:tcW w:w="850" w:type="dxa"/>
            <w:vAlign w:val="center"/>
          </w:tcPr>
          <w:p w:rsidR="00E9184A" w:rsidRPr="00C745F0" w:rsidRDefault="00E9184A" w:rsidP="00E9184A">
            <w:pPr>
              <w:spacing w:after="0"/>
              <w:ind w:firstLine="0"/>
              <w:jc w:val="right"/>
              <w:rPr>
                <w:rFonts w:ascii="Arial Narrow" w:hAnsi="Arial Narrow" w:cs="Arial"/>
                <w:lang w:val="es-ES" w:eastAsia="es-ES"/>
              </w:rPr>
            </w:pPr>
            <w:r w:rsidRPr="00C745F0">
              <w:rPr>
                <w:rFonts w:ascii="Arial Narrow" w:hAnsi="Arial Narrow" w:cs="Arial"/>
                <w:lang w:val="es-ES" w:eastAsia="es-ES"/>
              </w:rPr>
              <w:t>17,85</w:t>
            </w:r>
          </w:p>
        </w:tc>
        <w:tc>
          <w:tcPr>
            <w:tcW w:w="851" w:type="dxa"/>
            <w:vAlign w:val="center"/>
          </w:tcPr>
          <w:p w:rsidR="00E9184A" w:rsidRPr="00C745F0" w:rsidRDefault="00E9184A" w:rsidP="00E9184A">
            <w:pPr>
              <w:spacing w:after="0"/>
              <w:ind w:firstLine="0"/>
              <w:jc w:val="right"/>
              <w:rPr>
                <w:rFonts w:ascii="Arial Narrow" w:hAnsi="Arial Narrow" w:cs="Arial"/>
                <w:lang w:val="es-ES" w:eastAsia="es-ES"/>
              </w:rPr>
            </w:pPr>
            <w:r w:rsidRPr="00C745F0">
              <w:rPr>
                <w:rFonts w:ascii="Arial Narrow" w:hAnsi="Arial Narrow" w:cs="Arial"/>
                <w:lang w:val="es-ES" w:eastAsia="es-ES"/>
              </w:rPr>
              <w:t>17,9</w:t>
            </w:r>
          </w:p>
        </w:tc>
        <w:tc>
          <w:tcPr>
            <w:tcW w:w="850" w:type="dxa"/>
            <w:vAlign w:val="center"/>
          </w:tcPr>
          <w:p w:rsidR="00E9184A" w:rsidRPr="00C745F0" w:rsidRDefault="00E9184A" w:rsidP="00E9184A">
            <w:pPr>
              <w:spacing w:after="0"/>
              <w:ind w:firstLine="0"/>
              <w:jc w:val="right"/>
              <w:rPr>
                <w:rFonts w:ascii="Arial Narrow" w:hAnsi="Arial Narrow" w:cs="Arial"/>
                <w:lang w:val="es-ES" w:eastAsia="es-ES"/>
              </w:rPr>
            </w:pPr>
            <w:r w:rsidRPr="00C745F0">
              <w:rPr>
                <w:rFonts w:ascii="Arial Narrow" w:hAnsi="Arial Narrow" w:cs="Arial"/>
                <w:lang w:val="es-ES" w:eastAsia="es-ES"/>
              </w:rPr>
              <w:t>18,2</w:t>
            </w:r>
          </w:p>
        </w:tc>
      </w:tr>
    </w:tbl>
    <w:p w:rsidR="003C0050" w:rsidRDefault="00C745F0" w:rsidP="00751C42">
      <w:pPr>
        <w:pStyle w:val="texto"/>
        <w:spacing w:before="240"/>
        <w:rPr>
          <w:lang w:val="es-ES"/>
        </w:rPr>
      </w:pPr>
      <w:r>
        <w:rPr>
          <w:lang w:val="es-ES"/>
        </w:rPr>
        <w:t>Como se observa, la cuantía de magnitud se ha ido incrementa</w:t>
      </w:r>
      <w:r w:rsidR="00D61966">
        <w:rPr>
          <w:lang w:val="es-ES"/>
        </w:rPr>
        <w:t>n</w:t>
      </w:r>
      <w:r>
        <w:rPr>
          <w:lang w:val="es-ES"/>
        </w:rPr>
        <w:t>do</w:t>
      </w:r>
      <w:r w:rsidR="000C7B2B">
        <w:rPr>
          <w:lang w:val="es-ES"/>
        </w:rPr>
        <w:t xml:space="preserve"> </w:t>
      </w:r>
      <w:r w:rsidR="00027092">
        <w:rPr>
          <w:lang w:val="es-ES"/>
        </w:rPr>
        <w:t>progres</w:t>
      </w:r>
      <w:r w:rsidR="00027092">
        <w:rPr>
          <w:lang w:val="es-ES"/>
        </w:rPr>
        <w:t>i</w:t>
      </w:r>
      <w:r w:rsidR="00027092">
        <w:rPr>
          <w:lang w:val="es-ES"/>
        </w:rPr>
        <w:t>vamente</w:t>
      </w:r>
      <w:r>
        <w:rPr>
          <w:lang w:val="es-ES"/>
        </w:rPr>
        <w:t xml:space="preserve"> a lo largo del periodo, alcanzando su valor máximo en 2015.</w:t>
      </w:r>
    </w:p>
    <w:p w:rsidR="004C3AFE" w:rsidRPr="00324440" w:rsidRDefault="00F00FBF" w:rsidP="004C3AFE">
      <w:pPr>
        <w:pStyle w:val="texto"/>
        <w:rPr>
          <w:lang w:val="es-ES"/>
        </w:rPr>
      </w:pPr>
      <w:r w:rsidRPr="00324440">
        <w:rPr>
          <w:b/>
          <w:lang w:val="es-ES"/>
        </w:rPr>
        <w:t>2</w:t>
      </w:r>
      <w:r w:rsidR="00324440" w:rsidRPr="00324440">
        <w:rPr>
          <w:b/>
          <w:lang w:val="es-ES"/>
        </w:rPr>
        <w:t>.</w:t>
      </w:r>
      <w:r w:rsidRPr="00324440">
        <w:rPr>
          <w:b/>
          <w:lang w:val="es-ES"/>
        </w:rPr>
        <w:t>º</w:t>
      </w:r>
      <w:r>
        <w:rPr>
          <w:lang w:val="es-ES"/>
        </w:rPr>
        <w:t xml:space="preserve"> </w:t>
      </w:r>
      <w:r w:rsidR="00D86663" w:rsidRPr="00324440">
        <w:rPr>
          <w:lang w:val="es-ES"/>
        </w:rPr>
        <w:t>Se entiende la</w:t>
      </w:r>
      <w:r w:rsidR="004C3AFE" w:rsidRPr="00324440">
        <w:rPr>
          <w:lang w:val="es-ES"/>
        </w:rPr>
        <w:t xml:space="preserve"> sostenibilidad de la deuda comercial, cuando el </w:t>
      </w:r>
      <w:r w:rsidR="00003073" w:rsidRPr="00324440">
        <w:rPr>
          <w:lang w:val="es-ES"/>
        </w:rPr>
        <w:t xml:space="preserve">indicador del </w:t>
      </w:r>
      <w:r w:rsidR="004C3AFE" w:rsidRPr="00324440">
        <w:rPr>
          <w:lang w:val="es-ES"/>
        </w:rPr>
        <w:t>período medio de pago a los proveedores no supere el plazo máximo previ</w:t>
      </w:r>
      <w:r w:rsidR="004C3AFE" w:rsidRPr="00324440">
        <w:rPr>
          <w:lang w:val="es-ES"/>
        </w:rPr>
        <w:t>s</w:t>
      </w:r>
      <w:r w:rsidR="004C3AFE" w:rsidRPr="00324440">
        <w:rPr>
          <w:lang w:val="es-ES"/>
        </w:rPr>
        <w:t>to en la normativa sobre morosidad, plazo que para el año 201</w:t>
      </w:r>
      <w:r w:rsidRPr="00324440">
        <w:rPr>
          <w:lang w:val="es-ES"/>
        </w:rPr>
        <w:t>5</w:t>
      </w:r>
      <w:r w:rsidR="0058463B" w:rsidRPr="00324440">
        <w:rPr>
          <w:lang w:val="es-ES"/>
        </w:rPr>
        <w:t xml:space="preserve"> y con carácter general</w:t>
      </w:r>
      <w:r w:rsidR="00DC6B49" w:rsidRPr="00324440">
        <w:rPr>
          <w:lang w:val="es-ES"/>
        </w:rPr>
        <w:t>,</w:t>
      </w:r>
      <w:r w:rsidR="004C3AFE" w:rsidRPr="00324440">
        <w:rPr>
          <w:lang w:val="es-ES"/>
        </w:rPr>
        <w:t xml:space="preserve"> es de 30 días. </w:t>
      </w:r>
    </w:p>
    <w:p w:rsidR="004C3AFE" w:rsidRPr="00E83906" w:rsidRDefault="00DC6B49" w:rsidP="004C3AFE">
      <w:pPr>
        <w:pStyle w:val="texto"/>
        <w:rPr>
          <w:lang w:val="es-ES"/>
        </w:rPr>
      </w:pPr>
      <w:r>
        <w:rPr>
          <w:lang w:val="es-ES"/>
        </w:rPr>
        <w:t>El Gobierno de Navarra</w:t>
      </w:r>
      <w:r w:rsidRPr="00E83906">
        <w:rPr>
          <w:lang w:val="es-ES"/>
        </w:rPr>
        <w:t xml:space="preserve"> publica mensualmente el valor del indicador sobre el</w:t>
      </w:r>
      <w:r w:rsidR="004C3AFE" w:rsidRPr="00E83906">
        <w:rPr>
          <w:lang w:val="es-ES"/>
        </w:rPr>
        <w:t xml:space="preserve"> periodo medio de pago</w:t>
      </w:r>
      <w:r w:rsidRPr="00E83906">
        <w:rPr>
          <w:lang w:val="es-ES"/>
        </w:rPr>
        <w:t xml:space="preserve"> del Sector Administración Pública,</w:t>
      </w:r>
      <w:r w:rsidR="004C3AFE" w:rsidRPr="00E83906">
        <w:rPr>
          <w:lang w:val="es-ES"/>
        </w:rPr>
        <w:t xml:space="preserve"> de acuerdo con la metodología establecida en el Real Decreto 635/2014, de 25 de julio.</w:t>
      </w:r>
    </w:p>
    <w:p w:rsidR="0082075C" w:rsidRDefault="004C3AFE" w:rsidP="00751C42">
      <w:pPr>
        <w:pStyle w:val="texto"/>
        <w:spacing w:after="240"/>
        <w:rPr>
          <w:lang w:val="es-ES"/>
        </w:rPr>
      </w:pPr>
      <w:r>
        <w:rPr>
          <w:lang w:val="es-ES"/>
        </w:rPr>
        <w:t>El periodo medio de pa</w:t>
      </w:r>
      <w:r w:rsidR="00641720">
        <w:rPr>
          <w:lang w:val="es-ES"/>
        </w:rPr>
        <w:t>go mensual en 2015 se refleja en el cuadro siguiente:</w:t>
      </w:r>
    </w:p>
    <w:tbl>
      <w:tblPr>
        <w:tblW w:w="8757" w:type="dxa"/>
        <w:jc w:val="center"/>
        <w:tblLayout w:type="fixed"/>
        <w:tblLook w:val="01E0" w:firstRow="1" w:lastRow="1" w:firstColumn="1" w:lastColumn="1" w:noHBand="0" w:noVBand="0"/>
      </w:tblPr>
      <w:tblGrid>
        <w:gridCol w:w="4940"/>
        <w:gridCol w:w="3817"/>
      </w:tblGrid>
      <w:tr w:rsidR="004C3AFE" w:rsidRPr="00E05116" w:rsidTr="00324440">
        <w:trPr>
          <w:trHeight w:hRule="exact" w:val="255"/>
          <w:jc w:val="center"/>
        </w:trPr>
        <w:tc>
          <w:tcPr>
            <w:tcW w:w="4940" w:type="dxa"/>
            <w:tcBorders>
              <w:top w:val="single" w:sz="4" w:space="0" w:color="auto"/>
              <w:bottom w:val="single" w:sz="4" w:space="0" w:color="auto"/>
            </w:tcBorders>
            <w:shd w:val="clear" w:color="auto" w:fill="A8CBEE" w:themeFill="accent2" w:themeFillTint="66"/>
            <w:vAlign w:val="center"/>
          </w:tcPr>
          <w:p w:rsidR="004C3AFE" w:rsidRPr="00DC6B49" w:rsidRDefault="00BB0DAC" w:rsidP="00B548B1">
            <w:pPr>
              <w:pStyle w:val="cuadroCabe"/>
              <w:jc w:val="left"/>
              <w:rPr>
                <w:lang w:val="es-ES"/>
              </w:rPr>
            </w:pPr>
            <w:r>
              <w:rPr>
                <w:lang w:val="es-ES"/>
              </w:rPr>
              <w:t>Ejercicio 2015</w:t>
            </w:r>
          </w:p>
        </w:tc>
        <w:tc>
          <w:tcPr>
            <w:tcW w:w="3817" w:type="dxa"/>
            <w:tcBorders>
              <w:top w:val="single" w:sz="4" w:space="0" w:color="auto"/>
              <w:bottom w:val="single" w:sz="4" w:space="0" w:color="auto"/>
            </w:tcBorders>
            <w:shd w:val="clear" w:color="auto" w:fill="A8CBEE" w:themeFill="accent2" w:themeFillTint="66"/>
            <w:vAlign w:val="center"/>
            <w:hideMark/>
          </w:tcPr>
          <w:p w:rsidR="004C3AFE" w:rsidRPr="00E05116" w:rsidRDefault="004C3AFE" w:rsidP="00751C42">
            <w:pPr>
              <w:pStyle w:val="cuadroCabe"/>
              <w:jc w:val="right"/>
            </w:pPr>
            <w:r>
              <w:t>Periodo medio de pago (días)</w:t>
            </w:r>
          </w:p>
        </w:tc>
      </w:tr>
      <w:tr w:rsidR="004C3AFE" w:rsidRPr="00E05116" w:rsidTr="00324440">
        <w:trPr>
          <w:trHeight w:hRule="exact" w:val="255"/>
          <w:jc w:val="center"/>
        </w:trPr>
        <w:tc>
          <w:tcPr>
            <w:tcW w:w="4940" w:type="dxa"/>
            <w:tcBorders>
              <w:top w:val="single" w:sz="4" w:space="0" w:color="auto"/>
              <w:bottom w:val="single" w:sz="2" w:space="0" w:color="auto"/>
            </w:tcBorders>
            <w:vAlign w:val="center"/>
          </w:tcPr>
          <w:p w:rsidR="004C3AFE" w:rsidRPr="00E05116" w:rsidRDefault="00DC6B49" w:rsidP="00B548B1">
            <w:pPr>
              <w:pStyle w:val="cuatexto"/>
              <w:jc w:val="left"/>
              <w:rPr>
                <w:szCs w:val="20"/>
              </w:rPr>
            </w:pPr>
            <w:r>
              <w:rPr>
                <w:szCs w:val="20"/>
              </w:rPr>
              <w:t>Enero</w:t>
            </w:r>
          </w:p>
        </w:tc>
        <w:tc>
          <w:tcPr>
            <w:tcW w:w="3817" w:type="dxa"/>
            <w:tcBorders>
              <w:top w:val="single" w:sz="4" w:space="0" w:color="auto"/>
              <w:bottom w:val="single" w:sz="2" w:space="0" w:color="auto"/>
            </w:tcBorders>
            <w:vAlign w:val="center"/>
          </w:tcPr>
          <w:p w:rsidR="004C3AFE" w:rsidRPr="00E05116" w:rsidRDefault="00DC6B49" w:rsidP="00B548B1">
            <w:pPr>
              <w:pStyle w:val="cuatexto"/>
              <w:jc w:val="right"/>
              <w:rPr>
                <w:szCs w:val="20"/>
              </w:rPr>
            </w:pPr>
            <w:r>
              <w:rPr>
                <w:szCs w:val="20"/>
              </w:rPr>
              <w:t>(1,15)</w:t>
            </w:r>
          </w:p>
        </w:tc>
      </w:tr>
      <w:tr w:rsidR="00DC6B49" w:rsidRPr="00E05116" w:rsidTr="00324440">
        <w:trPr>
          <w:trHeight w:hRule="exact" w:val="255"/>
          <w:jc w:val="center"/>
        </w:trPr>
        <w:tc>
          <w:tcPr>
            <w:tcW w:w="4940" w:type="dxa"/>
            <w:tcBorders>
              <w:top w:val="single" w:sz="4" w:space="0" w:color="auto"/>
              <w:bottom w:val="single" w:sz="2" w:space="0" w:color="auto"/>
            </w:tcBorders>
            <w:vAlign w:val="center"/>
          </w:tcPr>
          <w:p w:rsidR="00DC6B49" w:rsidRPr="00E05116" w:rsidRDefault="00DC6B49" w:rsidP="00B548B1">
            <w:pPr>
              <w:pStyle w:val="cuatexto"/>
              <w:jc w:val="left"/>
              <w:rPr>
                <w:szCs w:val="20"/>
              </w:rPr>
            </w:pPr>
            <w:r>
              <w:rPr>
                <w:szCs w:val="20"/>
              </w:rPr>
              <w:t>Febrero</w:t>
            </w:r>
          </w:p>
        </w:tc>
        <w:tc>
          <w:tcPr>
            <w:tcW w:w="3817" w:type="dxa"/>
            <w:tcBorders>
              <w:top w:val="single" w:sz="4" w:space="0" w:color="auto"/>
              <w:bottom w:val="single" w:sz="2" w:space="0" w:color="auto"/>
            </w:tcBorders>
            <w:vAlign w:val="center"/>
          </w:tcPr>
          <w:p w:rsidR="00DC6B49" w:rsidRPr="00E05116" w:rsidRDefault="00DC6B49" w:rsidP="00B548B1">
            <w:pPr>
              <w:pStyle w:val="cuatexto"/>
              <w:jc w:val="right"/>
              <w:rPr>
                <w:szCs w:val="20"/>
              </w:rPr>
            </w:pPr>
            <w:r>
              <w:rPr>
                <w:szCs w:val="20"/>
              </w:rPr>
              <w:t>(7,24)</w:t>
            </w:r>
          </w:p>
        </w:tc>
      </w:tr>
      <w:tr w:rsidR="00DC6B49" w:rsidRPr="00E05116" w:rsidTr="00324440">
        <w:trPr>
          <w:trHeight w:hRule="exact" w:val="255"/>
          <w:jc w:val="center"/>
        </w:trPr>
        <w:tc>
          <w:tcPr>
            <w:tcW w:w="4940" w:type="dxa"/>
            <w:tcBorders>
              <w:top w:val="single" w:sz="4" w:space="0" w:color="auto"/>
              <w:bottom w:val="single" w:sz="2" w:space="0" w:color="auto"/>
            </w:tcBorders>
            <w:vAlign w:val="center"/>
          </w:tcPr>
          <w:p w:rsidR="00DC6B49" w:rsidRPr="00E05116" w:rsidRDefault="00DC6B49" w:rsidP="00B548B1">
            <w:pPr>
              <w:pStyle w:val="cuatexto"/>
              <w:jc w:val="left"/>
              <w:rPr>
                <w:szCs w:val="20"/>
              </w:rPr>
            </w:pPr>
            <w:r>
              <w:rPr>
                <w:szCs w:val="20"/>
              </w:rPr>
              <w:t>Marzo</w:t>
            </w:r>
          </w:p>
        </w:tc>
        <w:tc>
          <w:tcPr>
            <w:tcW w:w="3817" w:type="dxa"/>
            <w:tcBorders>
              <w:top w:val="single" w:sz="4" w:space="0" w:color="auto"/>
              <w:bottom w:val="single" w:sz="2" w:space="0" w:color="auto"/>
            </w:tcBorders>
            <w:vAlign w:val="center"/>
          </w:tcPr>
          <w:p w:rsidR="00DC6B49" w:rsidRPr="00E05116" w:rsidRDefault="00DC6B49" w:rsidP="00B548B1">
            <w:pPr>
              <w:pStyle w:val="cuatexto"/>
              <w:jc w:val="right"/>
              <w:rPr>
                <w:szCs w:val="20"/>
              </w:rPr>
            </w:pPr>
            <w:r>
              <w:rPr>
                <w:szCs w:val="20"/>
              </w:rPr>
              <w:t>(6,51)</w:t>
            </w:r>
          </w:p>
        </w:tc>
      </w:tr>
      <w:tr w:rsidR="00DC6B49" w:rsidRPr="00E05116" w:rsidTr="00324440">
        <w:trPr>
          <w:trHeight w:hRule="exact" w:val="255"/>
          <w:jc w:val="center"/>
        </w:trPr>
        <w:tc>
          <w:tcPr>
            <w:tcW w:w="4940" w:type="dxa"/>
            <w:tcBorders>
              <w:top w:val="single" w:sz="4" w:space="0" w:color="auto"/>
              <w:bottom w:val="single" w:sz="2" w:space="0" w:color="auto"/>
            </w:tcBorders>
            <w:vAlign w:val="center"/>
          </w:tcPr>
          <w:p w:rsidR="00DC6B49" w:rsidRPr="00E05116" w:rsidRDefault="00DC6B49" w:rsidP="00B548B1">
            <w:pPr>
              <w:pStyle w:val="cuatexto"/>
              <w:jc w:val="left"/>
              <w:rPr>
                <w:szCs w:val="20"/>
              </w:rPr>
            </w:pPr>
            <w:r>
              <w:rPr>
                <w:szCs w:val="20"/>
              </w:rPr>
              <w:t>Abril</w:t>
            </w:r>
          </w:p>
        </w:tc>
        <w:tc>
          <w:tcPr>
            <w:tcW w:w="3817" w:type="dxa"/>
            <w:tcBorders>
              <w:top w:val="single" w:sz="4" w:space="0" w:color="auto"/>
              <w:bottom w:val="single" w:sz="2" w:space="0" w:color="auto"/>
            </w:tcBorders>
            <w:vAlign w:val="center"/>
          </w:tcPr>
          <w:p w:rsidR="00DC6B49" w:rsidRPr="00E05116" w:rsidRDefault="00DC6B49" w:rsidP="00B548B1">
            <w:pPr>
              <w:pStyle w:val="cuatexto"/>
              <w:jc w:val="right"/>
              <w:rPr>
                <w:szCs w:val="20"/>
              </w:rPr>
            </w:pPr>
            <w:r>
              <w:rPr>
                <w:szCs w:val="20"/>
              </w:rPr>
              <w:t>(5,79)</w:t>
            </w:r>
          </w:p>
        </w:tc>
      </w:tr>
      <w:tr w:rsidR="00DC6B49" w:rsidRPr="00E05116" w:rsidTr="00324440">
        <w:trPr>
          <w:trHeight w:hRule="exact" w:val="255"/>
          <w:jc w:val="center"/>
        </w:trPr>
        <w:tc>
          <w:tcPr>
            <w:tcW w:w="4940" w:type="dxa"/>
            <w:tcBorders>
              <w:top w:val="single" w:sz="4" w:space="0" w:color="auto"/>
              <w:bottom w:val="single" w:sz="2" w:space="0" w:color="auto"/>
            </w:tcBorders>
            <w:vAlign w:val="center"/>
          </w:tcPr>
          <w:p w:rsidR="00DC6B49" w:rsidRPr="00E05116" w:rsidRDefault="00DC6B49" w:rsidP="00751C42">
            <w:pPr>
              <w:pStyle w:val="cuatexto"/>
              <w:jc w:val="left"/>
              <w:rPr>
                <w:szCs w:val="20"/>
              </w:rPr>
            </w:pPr>
            <w:r>
              <w:rPr>
                <w:szCs w:val="20"/>
              </w:rPr>
              <w:t>Mayo</w:t>
            </w:r>
          </w:p>
        </w:tc>
        <w:tc>
          <w:tcPr>
            <w:tcW w:w="3817" w:type="dxa"/>
            <w:tcBorders>
              <w:top w:val="single" w:sz="4" w:space="0" w:color="auto"/>
              <w:bottom w:val="single" w:sz="2" w:space="0" w:color="auto"/>
            </w:tcBorders>
            <w:vAlign w:val="center"/>
          </w:tcPr>
          <w:p w:rsidR="00DC6B49" w:rsidRPr="00E05116" w:rsidRDefault="00DC6B49" w:rsidP="00B548B1">
            <w:pPr>
              <w:pStyle w:val="cuatexto"/>
              <w:jc w:val="right"/>
              <w:rPr>
                <w:szCs w:val="20"/>
              </w:rPr>
            </w:pPr>
            <w:r>
              <w:rPr>
                <w:szCs w:val="20"/>
              </w:rPr>
              <w:t>(4,99)</w:t>
            </w:r>
          </w:p>
        </w:tc>
      </w:tr>
      <w:tr w:rsidR="00DC6B49" w:rsidRPr="00E05116" w:rsidTr="00324440">
        <w:trPr>
          <w:trHeight w:hRule="exact" w:val="255"/>
          <w:jc w:val="center"/>
        </w:trPr>
        <w:tc>
          <w:tcPr>
            <w:tcW w:w="4940" w:type="dxa"/>
            <w:tcBorders>
              <w:top w:val="single" w:sz="4" w:space="0" w:color="auto"/>
              <w:bottom w:val="single" w:sz="2" w:space="0" w:color="auto"/>
            </w:tcBorders>
            <w:vAlign w:val="center"/>
          </w:tcPr>
          <w:p w:rsidR="00DC6B49" w:rsidRPr="00E05116" w:rsidRDefault="00DC6B49" w:rsidP="00B548B1">
            <w:pPr>
              <w:pStyle w:val="cuatexto"/>
              <w:jc w:val="left"/>
              <w:rPr>
                <w:szCs w:val="20"/>
              </w:rPr>
            </w:pPr>
            <w:r>
              <w:rPr>
                <w:szCs w:val="20"/>
              </w:rPr>
              <w:t>Junio</w:t>
            </w:r>
          </w:p>
        </w:tc>
        <w:tc>
          <w:tcPr>
            <w:tcW w:w="3817" w:type="dxa"/>
            <w:tcBorders>
              <w:top w:val="single" w:sz="4" w:space="0" w:color="auto"/>
              <w:bottom w:val="single" w:sz="2" w:space="0" w:color="auto"/>
            </w:tcBorders>
            <w:vAlign w:val="center"/>
          </w:tcPr>
          <w:p w:rsidR="00DC6B49" w:rsidRPr="00E05116" w:rsidRDefault="00DC6B49" w:rsidP="00B548B1">
            <w:pPr>
              <w:pStyle w:val="cuatexto"/>
              <w:jc w:val="right"/>
              <w:rPr>
                <w:szCs w:val="20"/>
              </w:rPr>
            </w:pPr>
            <w:r>
              <w:rPr>
                <w:szCs w:val="20"/>
              </w:rPr>
              <w:t>(5,00)</w:t>
            </w:r>
          </w:p>
        </w:tc>
      </w:tr>
      <w:tr w:rsidR="00DC6B49" w:rsidRPr="00E05116" w:rsidTr="00324440">
        <w:trPr>
          <w:trHeight w:hRule="exact" w:val="255"/>
          <w:jc w:val="center"/>
        </w:trPr>
        <w:tc>
          <w:tcPr>
            <w:tcW w:w="4940" w:type="dxa"/>
            <w:tcBorders>
              <w:top w:val="single" w:sz="4" w:space="0" w:color="auto"/>
              <w:bottom w:val="single" w:sz="2" w:space="0" w:color="auto"/>
            </w:tcBorders>
            <w:vAlign w:val="center"/>
          </w:tcPr>
          <w:p w:rsidR="00DC6B49" w:rsidRPr="00E05116" w:rsidRDefault="00DC6B49" w:rsidP="00B548B1">
            <w:pPr>
              <w:pStyle w:val="cuatexto"/>
              <w:jc w:val="left"/>
              <w:rPr>
                <w:szCs w:val="20"/>
              </w:rPr>
            </w:pPr>
            <w:r>
              <w:rPr>
                <w:szCs w:val="20"/>
              </w:rPr>
              <w:t>Julio</w:t>
            </w:r>
          </w:p>
        </w:tc>
        <w:tc>
          <w:tcPr>
            <w:tcW w:w="3817" w:type="dxa"/>
            <w:tcBorders>
              <w:top w:val="single" w:sz="4" w:space="0" w:color="auto"/>
              <w:bottom w:val="single" w:sz="2" w:space="0" w:color="auto"/>
            </w:tcBorders>
            <w:vAlign w:val="center"/>
          </w:tcPr>
          <w:p w:rsidR="00DC6B49" w:rsidRPr="00E05116" w:rsidRDefault="00DC6B49" w:rsidP="00B548B1">
            <w:pPr>
              <w:pStyle w:val="cuatexto"/>
              <w:jc w:val="right"/>
              <w:rPr>
                <w:szCs w:val="20"/>
              </w:rPr>
            </w:pPr>
            <w:r>
              <w:rPr>
                <w:szCs w:val="20"/>
              </w:rPr>
              <w:t>(3,86)</w:t>
            </w:r>
          </w:p>
        </w:tc>
      </w:tr>
      <w:tr w:rsidR="00DC6B49" w:rsidRPr="00E05116" w:rsidTr="00324440">
        <w:trPr>
          <w:trHeight w:hRule="exact" w:val="255"/>
          <w:jc w:val="center"/>
        </w:trPr>
        <w:tc>
          <w:tcPr>
            <w:tcW w:w="4940" w:type="dxa"/>
            <w:tcBorders>
              <w:top w:val="single" w:sz="4" w:space="0" w:color="auto"/>
              <w:bottom w:val="single" w:sz="2" w:space="0" w:color="auto"/>
            </w:tcBorders>
            <w:vAlign w:val="center"/>
          </w:tcPr>
          <w:p w:rsidR="00DC6B49" w:rsidRPr="00E05116" w:rsidRDefault="00DC6B49" w:rsidP="00B548B1">
            <w:pPr>
              <w:pStyle w:val="cuatexto"/>
              <w:jc w:val="left"/>
              <w:rPr>
                <w:szCs w:val="20"/>
              </w:rPr>
            </w:pPr>
            <w:r>
              <w:rPr>
                <w:szCs w:val="20"/>
              </w:rPr>
              <w:t>Agosto</w:t>
            </w:r>
          </w:p>
        </w:tc>
        <w:tc>
          <w:tcPr>
            <w:tcW w:w="3817" w:type="dxa"/>
            <w:tcBorders>
              <w:top w:val="single" w:sz="4" w:space="0" w:color="auto"/>
              <w:bottom w:val="single" w:sz="2" w:space="0" w:color="auto"/>
            </w:tcBorders>
            <w:vAlign w:val="center"/>
          </w:tcPr>
          <w:p w:rsidR="00DC6B49" w:rsidRPr="00E05116" w:rsidRDefault="00DC6B49" w:rsidP="00B548B1">
            <w:pPr>
              <w:pStyle w:val="cuatexto"/>
              <w:jc w:val="right"/>
              <w:rPr>
                <w:szCs w:val="20"/>
              </w:rPr>
            </w:pPr>
            <w:r>
              <w:rPr>
                <w:szCs w:val="20"/>
              </w:rPr>
              <w:t>1,40</w:t>
            </w:r>
          </w:p>
        </w:tc>
      </w:tr>
      <w:tr w:rsidR="00DC6B49" w:rsidRPr="00E05116" w:rsidTr="00324440">
        <w:trPr>
          <w:trHeight w:hRule="exact" w:val="255"/>
          <w:jc w:val="center"/>
        </w:trPr>
        <w:tc>
          <w:tcPr>
            <w:tcW w:w="4940" w:type="dxa"/>
            <w:tcBorders>
              <w:top w:val="single" w:sz="2" w:space="0" w:color="auto"/>
              <w:bottom w:val="single" w:sz="2" w:space="0" w:color="auto"/>
            </w:tcBorders>
            <w:vAlign w:val="center"/>
          </w:tcPr>
          <w:p w:rsidR="00DC6B49" w:rsidRDefault="00DC6B49" w:rsidP="00B548B1">
            <w:pPr>
              <w:pStyle w:val="cuatexto"/>
              <w:jc w:val="left"/>
              <w:rPr>
                <w:szCs w:val="20"/>
              </w:rPr>
            </w:pPr>
            <w:r>
              <w:rPr>
                <w:szCs w:val="20"/>
              </w:rPr>
              <w:t>Septiembre</w:t>
            </w:r>
          </w:p>
        </w:tc>
        <w:tc>
          <w:tcPr>
            <w:tcW w:w="3817" w:type="dxa"/>
            <w:tcBorders>
              <w:top w:val="single" w:sz="2" w:space="0" w:color="auto"/>
              <w:bottom w:val="single" w:sz="2" w:space="0" w:color="auto"/>
            </w:tcBorders>
            <w:vAlign w:val="center"/>
          </w:tcPr>
          <w:p w:rsidR="00DC6B49" w:rsidRPr="00E05116" w:rsidRDefault="00DC6B49" w:rsidP="00B548B1">
            <w:pPr>
              <w:pStyle w:val="cuatexto"/>
              <w:jc w:val="right"/>
              <w:rPr>
                <w:szCs w:val="20"/>
              </w:rPr>
            </w:pPr>
            <w:r>
              <w:rPr>
                <w:szCs w:val="20"/>
              </w:rPr>
              <w:t>(1,84)</w:t>
            </w:r>
          </w:p>
        </w:tc>
      </w:tr>
      <w:tr w:rsidR="004C3AFE" w:rsidRPr="00E05116" w:rsidTr="00324440">
        <w:trPr>
          <w:trHeight w:hRule="exact" w:val="255"/>
          <w:jc w:val="center"/>
        </w:trPr>
        <w:tc>
          <w:tcPr>
            <w:tcW w:w="4940" w:type="dxa"/>
            <w:tcBorders>
              <w:top w:val="single" w:sz="2" w:space="0" w:color="auto"/>
              <w:bottom w:val="single" w:sz="2" w:space="0" w:color="auto"/>
            </w:tcBorders>
            <w:vAlign w:val="center"/>
          </w:tcPr>
          <w:p w:rsidR="004C3AFE" w:rsidRPr="00E05116" w:rsidRDefault="004C3AFE" w:rsidP="00B548B1">
            <w:pPr>
              <w:pStyle w:val="cuatexto"/>
              <w:jc w:val="left"/>
              <w:rPr>
                <w:szCs w:val="20"/>
              </w:rPr>
            </w:pPr>
            <w:r>
              <w:rPr>
                <w:szCs w:val="20"/>
              </w:rPr>
              <w:t>Octubre</w:t>
            </w:r>
          </w:p>
        </w:tc>
        <w:tc>
          <w:tcPr>
            <w:tcW w:w="3817" w:type="dxa"/>
            <w:tcBorders>
              <w:top w:val="single" w:sz="2" w:space="0" w:color="auto"/>
              <w:bottom w:val="single" w:sz="2" w:space="0" w:color="auto"/>
            </w:tcBorders>
            <w:vAlign w:val="center"/>
          </w:tcPr>
          <w:p w:rsidR="004C3AFE" w:rsidRPr="00E05116" w:rsidRDefault="00DC6B49" w:rsidP="00B548B1">
            <w:pPr>
              <w:pStyle w:val="cuatexto"/>
              <w:jc w:val="right"/>
              <w:rPr>
                <w:szCs w:val="20"/>
              </w:rPr>
            </w:pPr>
            <w:r>
              <w:rPr>
                <w:szCs w:val="20"/>
              </w:rPr>
              <w:t>(2,55)</w:t>
            </w:r>
          </w:p>
        </w:tc>
      </w:tr>
      <w:tr w:rsidR="004C3AFE" w:rsidRPr="00E05116" w:rsidTr="00324440">
        <w:trPr>
          <w:trHeight w:hRule="exact" w:val="255"/>
          <w:jc w:val="center"/>
        </w:trPr>
        <w:tc>
          <w:tcPr>
            <w:tcW w:w="4940" w:type="dxa"/>
            <w:tcBorders>
              <w:top w:val="single" w:sz="2" w:space="0" w:color="auto"/>
              <w:bottom w:val="single" w:sz="2" w:space="0" w:color="auto"/>
            </w:tcBorders>
            <w:vAlign w:val="center"/>
          </w:tcPr>
          <w:p w:rsidR="004C3AFE" w:rsidRPr="00E05116" w:rsidRDefault="004C3AFE" w:rsidP="00B548B1">
            <w:pPr>
              <w:pStyle w:val="cuatexto"/>
              <w:jc w:val="left"/>
              <w:rPr>
                <w:szCs w:val="20"/>
              </w:rPr>
            </w:pPr>
            <w:r>
              <w:rPr>
                <w:szCs w:val="20"/>
              </w:rPr>
              <w:t>Noviembre</w:t>
            </w:r>
          </w:p>
        </w:tc>
        <w:tc>
          <w:tcPr>
            <w:tcW w:w="3817" w:type="dxa"/>
            <w:tcBorders>
              <w:top w:val="single" w:sz="2" w:space="0" w:color="auto"/>
              <w:bottom w:val="single" w:sz="2" w:space="0" w:color="auto"/>
            </w:tcBorders>
            <w:vAlign w:val="center"/>
          </w:tcPr>
          <w:p w:rsidR="004C3AFE" w:rsidRPr="00E05116" w:rsidRDefault="00DC6B49" w:rsidP="00B548B1">
            <w:pPr>
              <w:pStyle w:val="cuatexto"/>
              <w:jc w:val="right"/>
              <w:rPr>
                <w:szCs w:val="20"/>
              </w:rPr>
            </w:pPr>
            <w:r>
              <w:rPr>
                <w:szCs w:val="20"/>
              </w:rPr>
              <w:t>(4,99)</w:t>
            </w:r>
          </w:p>
        </w:tc>
      </w:tr>
      <w:tr w:rsidR="004C3AFE" w:rsidRPr="00E05116" w:rsidTr="00324440">
        <w:trPr>
          <w:trHeight w:hRule="exact" w:val="255"/>
          <w:jc w:val="center"/>
        </w:trPr>
        <w:tc>
          <w:tcPr>
            <w:tcW w:w="4940" w:type="dxa"/>
            <w:tcBorders>
              <w:top w:val="single" w:sz="2" w:space="0" w:color="auto"/>
              <w:bottom w:val="single" w:sz="4" w:space="0" w:color="auto"/>
            </w:tcBorders>
            <w:vAlign w:val="center"/>
          </w:tcPr>
          <w:p w:rsidR="004C3AFE" w:rsidRPr="00E05116" w:rsidRDefault="004C3AFE" w:rsidP="00B548B1">
            <w:pPr>
              <w:pStyle w:val="cuatexto"/>
              <w:jc w:val="left"/>
              <w:rPr>
                <w:szCs w:val="20"/>
              </w:rPr>
            </w:pPr>
            <w:r>
              <w:rPr>
                <w:szCs w:val="20"/>
              </w:rPr>
              <w:t>Diciembre</w:t>
            </w:r>
          </w:p>
        </w:tc>
        <w:tc>
          <w:tcPr>
            <w:tcW w:w="3817" w:type="dxa"/>
            <w:tcBorders>
              <w:top w:val="single" w:sz="2" w:space="0" w:color="auto"/>
              <w:bottom w:val="single" w:sz="4" w:space="0" w:color="auto"/>
            </w:tcBorders>
            <w:vAlign w:val="center"/>
          </w:tcPr>
          <w:p w:rsidR="004C3AFE" w:rsidRPr="00E05116" w:rsidRDefault="00DC6B49" w:rsidP="00B548B1">
            <w:pPr>
              <w:pStyle w:val="cuatexto"/>
              <w:jc w:val="right"/>
              <w:rPr>
                <w:szCs w:val="20"/>
              </w:rPr>
            </w:pPr>
            <w:r>
              <w:rPr>
                <w:szCs w:val="20"/>
              </w:rPr>
              <w:t>(9,63)</w:t>
            </w:r>
          </w:p>
        </w:tc>
      </w:tr>
    </w:tbl>
    <w:p w:rsidR="003E7B6D" w:rsidRPr="003E7B6D" w:rsidRDefault="00751C42" w:rsidP="00324440">
      <w:pPr>
        <w:spacing w:before="40" w:after="120"/>
        <w:ind w:firstLine="0"/>
        <w:jc w:val="left"/>
        <w:rPr>
          <w:rFonts w:ascii="Arial Narrow" w:hAnsi="Arial Narrow" w:cs="Arial"/>
          <w:sz w:val="18"/>
          <w:szCs w:val="18"/>
          <w:lang w:val="es-ES" w:eastAsia="es-ES"/>
        </w:rPr>
      </w:pPr>
      <w:r>
        <w:rPr>
          <w:rFonts w:ascii="Arial Narrow" w:hAnsi="Arial Narrow" w:cs="Arial"/>
          <w:sz w:val="18"/>
          <w:szCs w:val="18"/>
          <w:lang w:val="es-ES" w:eastAsia="es-ES"/>
        </w:rPr>
        <w:t>F</w:t>
      </w:r>
      <w:r w:rsidR="003E7B6D">
        <w:rPr>
          <w:rFonts w:ascii="Arial Narrow" w:hAnsi="Arial Narrow" w:cs="Arial"/>
          <w:sz w:val="18"/>
          <w:szCs w:val="18"/>
          <w:lang w:val="es-ES" w:eastAsia="es-ES"/>
        </w:rPr>
        <w:t>uente: Gobierno de Navarra</w:t>
      </w:r>
    </w:p>
    <w:p w:rsidR="00DC6B49" w:rsidRDefault="00DC6B49" w:rsidP="00E83906">
      <w:pPr>
        <w:pStyle w:val="texto"/>
        <w:rPr>
          <w:lang w:val="es-ES"/>
        </w:rPr>
      </w:pPr>
      <w:r>
        <w:rPr>
          <w:lang w:val="es-ES"/>
        </w:rPr>
        <w:lastRenderedPageBreak/>
        <w:t>El valor negativo es indicativo que se paga</w:t>
      </w:r>
      <w:r w:rsidR="009E2375">
        <w:rPr>
          <w:lang w:val="es-ES"/>
        </w:rPr>
        <w:t xml:space="preserve"> a los proveedores</w:t>
      </w:r>
      <w:r>
        <w:rPr>
          <w:lang w:val="es-ES"/>
        </w:rPr>
        <w:t>, como prom</w:t>
      </w:r>
      <w:r>
        <w:rPr>
          <w:lang w:val="es-ES"/>
        </w:rPr>
        <w:t>e</w:t>
      </w:r>
      <w:r>
        <w:rPr>
          <w:lang w:val="es-ES"/>
        </w:rPr>
        <w:t xml:space="preserve">dio, con anterioridad al </w:t>
      </w:r>
      <w:r w:rsidR="0058463B">
        <w:rPr>
          <w:lang w:val="es-ES"/>
        </w:rPr>
        <w:t xml:space="preserve">citado </w:t>
      </w:r>
      <w:r>
        <w:rPr>
          <w:lang w:val="es-ES"/>
        </w:rPr>
        <w:t>plazo máximo previsto.</w:t>
      </w:r>
    </w:p>
    <w:p w:rsidR="0058052A" w:rsidRPr="00220DAF" w:rsidRDefault="0058052A" w:rsidP="0058052A">
      <w:pPr>
        <w:pStyle w:val="texto"/>
        <w:rPr>
          <w:lang w:val="es-ES"/>
        </w:rPr>
      </w:pPr>
      <w:r>
        <w:rPr>
          <w:lang w:val="es-ES"/>
        </w:rPr>
        <w:t xml:space="preserve">En consecuencia, el Sector Administración Pública de la Comunidad Foral en 2015 ha cumplido con el principio de sostenibilidad de la deuda comercial. </w:t>
      </w:r>
    </w:p>
    <w:p w:rsidR="00617925" w:rsidRPr="00B90C65" w:rsidRDefault="00617925" w:rsidP="00E83906">
      <w:pPr>
        <w:pStyle w:val="texto"/>
        <w:rPr>
          <w:lang w:val="es-ES"/>
        </w:rPr>
      </w:pPr>
      <w:r w:rsidRPr="00B90C65">
        <w:rPr>
          <w:lang w:val="es-ES"/>
        </w:rPr>
        <w:t>Dentro de los gastos por intereses de demora contabilizados</w:t>
      </w:r>
      <w:r w:rsidR="00877470" w:rsidRPr="00B90C65">
        <w:rPr>
          <w:lang w:val="es-ES"/>
        </w:rPr>
        <w:t xml:space="preserve"> en el Gobierno de Navarra</w:t>
      </w:r>
      <w:r w:rsidRPr="00B90C65">
        <w:rPr>
          <w:lang w:val="es-ES"/>
        </w:rPr>
        <w:t xml:space="preserve">, no consta que se haya abonado importe por retraso en el pago a proveedores. </w:t>
      </w:r>
    </w:p>
    <w:p w:rsidR="00E724B8" w:rsidRPr="00E916D6" w:rsidRDefault="00D54D1C" w:rsidP="00E724B8">
      <w:pPr>
        <w:pStyle w:val="texto"/>
        <w:rPr>
          <w:lang w:val="es-ES"/>
        </w:rPr>
      </w:pPr>
      <w:r w:rsidRPr="00324440">
        <w:rPr>
          <w:b/>
          <w:lang w:val="es-ES"/>
        </w:rPr>
        <w:t>3</w:t>
      </w:r>
      <w:r w:rsidR="00324440" w:rsidRPr="00324440">
        <w:rPr>
          <w:b/>
          <w:lang w:val="es-ES"/>
        </w:rPr>
        <w:t>.</w:t>
      </w:r>
      <w:r w:rsidR="00220DAF" w:rsidRPr="00324440">
        <w:rPr>
          <w:b/>
          <w:lang w:val="es-ES"/>
        </w:rPr>
        <w:t>º</w:t>
      </w:r>
      <w:r w:rsidR="00220DAF" w:rsidRPr="00E916D6">
        <w:rPr>
          <w:lang w:val="es-ES"/>
        </w:rPr>
        <w:t xml:space="preserve"> Prudencia en avales y otras garantías</w:t>
      </w:r>
      <w:r w:rsidR="00E83906" w:rsidRPr="00E916D6">
        <w:rPr>
          <w:lang w:val="es-ES"/>
        </w:rPr>
        <w:t>.</w:t>
      </w:r>
      <w:r w:rsidR="00E724B8">
        <w:rPr>
          <w:lang w:val="es-ES"/>
        </w:rPr>
        <w:t xml:space="preserve"> </w:t>
      </w:r>
      <w:r w:rsidR="008E3983">
        <w:rPr>
          <w:lang w:val="es-ES"/>
        </w:rPr>
        <w:t>A estos efectos, l</w:t>
      </w:r>
      <w:r w:rsidR="0028329B" w:rsidRPr="0028329B">
        <w:rPr>
          <w:lang w:val="es-ES"/>
        </w:rPr>
        <w:t>a Comunidad F</w:t>
      </w:r>
      <w:r w:rsidR="0028329B" w:rsidRPr="0028329B">
        <w:rPr>
          <w:lang w:val="es-ES"/>
        </w:rPr>
        <w:t>o</w:t>
      </w:r>
      <w:r w:rsidR="0028329B" w:rsidRPr="0028329B">
        <w:rPr>
          <w:lang w:val="es-ES"/>
        </w:rPr>
        <w:t>ral</w:t>
      </w:r>
      <w:r w:rsidR="0028329B">
        <w:rPr>
          <w:lang w:val="es-ES"/>
        </w:rPr>
        <w:t xml:space="preserve"> presenta a 31 de diciembre de 2015, un volumen de avales y otras garantías </w:t>
      </w:r>
      <w:r w:rsidR="008E3983">
        <w:rPr>
          <w:lang w:val="es-ES"/>
        </w:rPr>
        <w:t>cifrado en</w:t>
      </w:r>
      <w:r w:rsidR="0028329B">
        <w:rPr>
          <w:lang w:val="es-ES"/>
        </w:rPr>
        <w:t xml:space="preserve"> 140,</w:t>
      </w:r>
      <w:r w:rsidR="006B3501">
        <w:rPr>
          <w:lang w:val="es-ES"/>
        </w:rPr>
        <w:t>2</w:t>
      </w:r>
      <w:r w:rsidR="00F63B68">
        <w:rPr>
          <w:lang w:val="es-ES"/>
        </w:rPr>
        <w:t>1</w:t>
      </w:r>
      <w:r w:rsidR="0028329B">
        <w:rPr>
          <w:lang w:val="es-ES"/>
        </w:rPr>
        <w:t xml:space="preserve"> millones</w:t>
      </w:r>
      <w:r w:rsidR="002972C9">
        <w:rPr>
          <w:lang w:val="es-ES"/>
        </w:rPr>
        <w:t xml:space="preserve"> </w:t>
      </w:r>
      <w:r w:rsidR="0028329B">
        <w:rPr>
          <w:lang w:val="es-ES"/>
        </w:rPr>
        <w:t xml:space="preserve">concedidos a personas físicas y/o jurídicas distintas de las que integran el </w:t>
      </w:r>
      <w:r w:rsidR="00E724B8">
        <w:rPr>
          <w:lang w:val="es-ES"/>
        </w:rPr>
        <w:t>S</w:t>
      </w:r>
      <w:r w:rsidR="0028329B">
        <w:rPr>
          <w:lang w:val="es-ES"/>
        </w:rPr>
        <w:t>ector Adm</w:t>
      </w:r>
      <w:r w:rsidR="00E724B8">
        <w:rPr>
          <w:lang w:val="es-ES"/>
        </w:rPr>
        <w:t>i</w:t>
      </w:r>
      <w:r w:rsidR="0028329B">
        <w:rPr>
          <w:lang w:val="es-ES"/>
        </w:rPr>
        <w:t>nistración Pública</w:t>
      </w:r>
      <w:r w:rsidR="00E724B8">
        <w:rPr>
          <w:lang w:val="es-ES"/>
        </w:rPr>
        <w:t xml:space="preserve"> definido según el SEC´2010</w:t>
      </w:r>
      <w:r w:rsidR="00127D8C">
        <w:rPr>
          <w:lang w:val="es-ES"/>
        </w:rPr>
        <w:t xml:space="preserve">; así mismo, la ley foral de Presupuestos </w:t>
      </w:r>
      <w:r w:rsidR="00DA5F67">
        <w:rPr>
          <w:lang w:val="es-ES"/>
        </w:rPr>
        <w:t>G</w:t>
      </w:r>
      <w:r w:rsidR="00127D8C">
        <w:rPr>
          <w:lang w:val="es-ES"/>
        </w:rPr>
        <w:t>enerales de Navarra de 2016 estima unas previsiones de concesión de avales de 70 millones. Por tanto, el importe de avales ascendería a 210,</w:t>
      </w:r>
      <w:r w:rsidR="00437EFF">
        <w:rPr>
          <w:lang w:val="es-ES"/>
        </w:rPr>
        <w:t>2</w:t>
      </w:r>
      <w:r w:rsidR="00127D8C">
        <w:rPr>
          <w:lang w:val="es-ES"/>
        </w:rPr>
        <w:t>1 millones</w:t>
      </w:r>
      <w:r w:rsidR="00DA5F67">
        <w:rPr>
          <w:lang w:val="es-ES"/>
        </w:rPr>
        <w:t>; este i</w:t>
      </w:r>
      <w:r w:rsidR="00E724B8">
        <w:rPr>
          <w:lang w:val="es-ES"/>
        </w:rPr>
        <w:t xml:space="preserve">mporte representa el </w:t>
      </w:r>
      <w:r w:rsidR="00127D8C">
        <w:rPr>
          <w:lang w:val="es-ES"/>
        </w:rPr>
        <w:t>1,15</w:t>
      </w:r>
      <w:r w:rsidR="00E724B8">
        <w:rPr>
          <w:lang w:val="es-ES"/>
        </w:rPr>
        <w:t xml:space="preserve"> por ciento del PIB de Navarra, porcentaje</w:t>
      </w:r>
      <w:r w:rsidR="00E724B8" w:rsidRPr="00E724B8">
        <w:rPr>
          <w:lang w:val="es-ES"/>
        </w:rPr>
        <w:t xml:space="preserve"> </w:t>
      </w:r>
      <w:r w:rsidR="00E724B8" w:rsidRPr="00E916D6">
        <w:rPr>
          <w:lang w:val="es-ES"/>
        </w:rPr>
        <w:t>inferior al límite del 1,5 por ciento que señala la legislación de prudencia, cumpliendo en consecuencia con esa norma.</w:t>
      </w:r>
    </w:p>
    <w:p w:rsidR="00220DAF" w:rsidRPr="0028329B" w:rsidRDefault="00E724B8" w:rsidP="00343DC0">
      <w:pPr>
        <w:pStyle w:val="texto"/>
        <w:rPr>
          <w:lang w:val="es-ES"/>
        </w:rPr>
      </w:pPr>
      <w:r w:rsidRPr="00E916D6">
        <w:rPr>
          <w:lang w:val="es-ES"/>
        </w:rPr>
        <w:t>P</w:t>
      </w:r>
      <w:r w:rsidR="004B12E1">
        <w:rPr>
          <w:lang w:val="es-ES"/>
        </w:rPr>
        <w:t xml:space="preserve">or otra parte, </w:t>
      </w:r>
      <w:r w:rsidRPr="00E916D6">
        <w:rPr>
          <w:lang w:val="es-ES"/>
        </w:rPr>
        <w:t>no consta que ningún tercero</w:t>
      </w:r>
      <w:r w:rsidR="004E433B">
        <w:rPr>
          <w:lang w:val="es-ES"/>
        </w:rPr>
        <w:t xml:space="preserve"> </w:t>
      </w:r>
      <w:r w:rsidR="00122828">
        <w:rPr>
          <w:lang w:val="es-ES"/>
        </w:rPr>
        <w:t>fuera</w:t>
      </w:r>
      <w:r w:rsidR="004E433B">
        <w:rPr>
          <w:lang w:val="es-ES"/>
        </w:rPr>
        <w:t xml:space="preserve"> del perímetro de consol</w:t>
      </w:r>
      <w:r w:rsidR="004E433B">
        <w:rPr>
          <w:lang w:val="es-ES"/>
        </w:rPr>
        <w:t>i</w:t>
      </w:r>
      <w:r w:rsidR="004E433B">
        <w:rPr>
          <w:lang w:val="es-ES"/>
        </w:rPr>
        <w:t>dación</w:t>
      </w:r>
      <w:r w:rsidRPr="00E916D6">
        <w:rPr>
          <w:lang w:val="es-ES"/>
        </w:rPr>
        <w:t xml:space="preserve"> haya obtenido avales u otras garantías por importe </w:t>
      </w:r>
      <w:r>
        <w:rPr>
          <w:lang w:val="es-ES"/>
        </w:rPr>
        <w:t xml:space="preserve">individual </w:t>
      </w:r>
      <w:r w:rsidRPr="00E916D6">
        <w:rPr>
          <w:lang w:val="es-ES"/>
        </w:rPr>
        <w:t xml:space="preserve">superior a 25 millones o al 0,1 por ciento del PIB de Navarra.   </w:t>
      </w:r>
    </w:p>
    <w:p w:rsidR="004C3AFE" w:rsidRPr="006848FC" w:rsidRDefault="004C3AFE" w:rsidP="004C3AFE">
      <w:pPr>
        <w:pStyle w:val="texto"/>
        <w:spacing w:before="260"/>
      </w:pPr>
      <w:r w:rsidRPr="00415F6B">
        <w:rPr>
          <w:rFonts w:ascii="Times New (W1)" w:hAnsi="Times New (W1)"/>
          <w:b/>
        </w:rPr>
        <w:t>En conclusión</w:t>
      </w:r>
      <w:r w:rsidRPr="00415F6B">
        <w:rPr>
          <w:rFonts w:ascii="Times New (W1)" w:hAnsi="Times New (W1)"/>
        </w:rPr>
        <w:t>,</w:t>
      </w:r>
      <w:r w:rsidR="00220DAF" w:rsidRPr="00220DAF">
        <w:rPr>
          <w:rFonts w:ascii="Times New (W1)" w:hAnsi="Times New (W1)"/>
        </w:rPr>
        <w:t xml:space="preserve"> </w:t>
      </w:r>
      <w:r w:rsidRPr="00415F6B">
        <w:rPr>
          <w:rFonts w:ascii="Times New (W1)" w:hAnsi="Times New (W1)"/>
        </w:rPr>
        <w:t xml:space="preserve">el Sector Administración </w:t>
      </w:r>
      <w:r w:rsidRPr="005566D2">
        <w:rPr>
          <w:rFonts w:ascii="Times New (W1)" w:hAnsi="Times New (W1)"/>
        </w:rPr>
        <w:t xml:space="preserve">Pública de la Comunidad Foral ha </w:t>
      </w:r>
      <w:r w:rsidR="00220DAF">
        <w:rPr>
          <w:rFonts w:ascii="Times New (W1)" w:hAnsi="Times New (W1)"/>
        </w:rPr>
        <w:t>in</w:t>
      </w:r>
      <w:r w:rsidRPr="005566D2">
        <w:rPr>
          <w:rFonts w:ascii="Times New (W1)" w:hAnsi="Times New (W1)"/>
        </w:rPr>
        <w:t xml:space="preserve">cumplido en el ejercicio </w:t>
      </w:r>
      <w:r w:rsidRPr="006848FC">
        <w:rPr>
          <w:rFonts w:ascii="Times New (W1)" w:hAnsi="Times New (W1)"/>
        </w:rPr>
        <w:t>201</w:t>
      </w:r>
      <w:r w:rsidR="00220DAF">
        <w:rPr>
          <w:rFonts w:ascii="Times New (W1)" w:hAnsi="Times New (W1)"/>
        </w:rPr>
        <w:t>5</w:t>
      </w:r>
      <w:r w:rsidRPr="006848FC">
        <w:rPr>
          <w:rFonts w:ascii="Times New (W1)" w:hAnsi="Times New (W1)"/>
        </w:rPr>
        <w:t xml:space="preserve"> los objetivos de estabilidad presupuestaria</w:t>
      </w:r>
      <w:r w:rsidR="00220DAF">
        <w:rPr>
          <w:rFonts w:ascii="Times New (W1)" w:hAnsi="Times New (W1)"/>
        </w:rPr>
        <w:t>, ta</w:t>
      </w:r>
      <w:r w:rsidR="00220DAF">
        <w:rPr>
          <w:rFonts w:ascii="Times New (W1)" w:hAnsi="Times New (W1)"/>
        </w:rPr>
        <w:t>n</w:t>
      </w:r>
      <w:r w:rsidR="00220DAF">
        <w:rPr>
          <w:rFonts w:ascii="Times New (W1)" w:hAnsi="Times New (W1)"/>
        </w:rPr>
        <w:t>to en lo referente a la regla de gasto como en el volumen de necesidades de f</w:t>
      </w:r>
      <w:r w:rsidR="00220DAF">
        <w:rPr>
          <w:rFonts w:ascii="Times New (W1)" w:hAnsi="Times New (W1)"/>
        </w:rPr>
        <w:t>i</w:t>
      </w:r>
      <w:r w:rsidR="00220DAF">
        <w:rPr>
          <w:rFonts w:ascii="Times New (W1)" w:hAnsi="Times New (W1)"/>
        </w:rPr>
        <w:t xml:space="preserve">nanciación y </w:t>
      </w:r>
      <w:r w:rsidR="00220DAF" w:rsidRPr="00D54D1C">
        <w:rPr>
          <w:rFonts w:ascii="Times New (W1)" w:hAnsi="Times New (W1)"/>
        </w:rPr>
        <w:t xml:space="preserve">ha cumplido con los de </w:t>
      </w:r>
      <w:r w:rsidRPr="00D54D1C">
        <w:rPr>
          <w:rFonts w:ascii="Times New (W1)" w:hAnsi="Times New (W1)"/>
        </w:rPr>
        <w:t>sostenibilidad financiera establecidos para dicho ejercicio</w:t>
      </w:r>
      <w:r w:rsidR="00220DAF" w:rsidRPr="00D54D1C">
        <w:rPr>
          <w:rFonts w:ascii="Times New (W1)" w:hAnsi="Times New (W1)"/>
        </w:rPr>
        <w:t>.</w:t>
      </w:r>
      <w:r w:rsidRPr="00D54D1C">
        <w:t xml:space="preserve"> </w:t>
      </w:r>
    </w:p>
    <w:p w:rsidR="00DC6844" w:rsidRDefault="00665759" w:rsidP="00220DAF">
      <w:pPr>
        <w:pStyle w:val="texto"/>
        <w:rPr>
          <w:lang w:val="es-ES"/>
        </w:rPr>
      </w:pPr>
      <w:r>
        <w:t>A</w:t>
      </w:r>
      <w:r w:rsidR="00DC6844">
        <w:rPr>
          <w:lang w:val="es-ES"/>
        </w:rPr>
        <w:t xml:space="preserve">tendiendo a los citados incumplimientos, el Gobierno de Navarra </w:t>
      </w:r>
      <w:r w:rsidR="00DC6844" w:rsidRPr="00D54D1C">
        <w:rPr>
          <w:lang w:val="es-ES"/>
        </w:rPr>
        <w:t xml:space="preserve">presentó </w:t>
      </w:r>
      <w:r w:rsidR="00DC6844">
        <w:rPr>
          <w:lang w:val="es-ES"/>
        </w:rPr>
        <w:t>a</w:t>
      </w:r>
      <w:r>
        <w:rPr>
          <w:lang w:val="es-ES"/>
        </w:rPr>
        <w:t xml:space="preserve"> la</w:t>
      </w:r>
      <w:r w:rsidR="00DC6844">
        <w:rPr>
          <w:lang w:val="es-ES"/>
        </w:rPr>
        <w:t xml:space="preserve"> </w:t>
      </w:r>
      <w:r w:rsidRPr="00E35E6A">
        <w:t>Autoridad Independiente de Responsabilidad Fiscal</w:t>
      </w:r>
      <w:r w:rsidR="00DC6844">
        <w:rPr>
          <w:lang w:val="es-ES"/>
        </w:rPr>
        <w:t xml:space="preserve"> un</w:t>
      </w:r>
      <w:r>
        <w:rPr>
          <w:lang w:val="es-ES"/>
        </w:rPr>
        <w:t>a</w:t>
      </w:r>
      <w:r w:rsidR="002B0232">
        <w:rPr>
          <w:lang w:val="es-ES"/>
        </w:rPr>
        <w:t xml:space="preserve"> evaluación de las previsiones presupuestarias para 2016 y 2017</w:t>
      </w:r>
      <w:r w:rsidR="0000499E">
        <w:rPr>
          <w:lang w:val="es-ES"/>
        </w:rPr>
        <w:t xml:space="preserve"> en las que se basará la elabor</w:t>
      </w:r>
      <w:r w:rsidR="0000499E">
        <w:rPr>
          <w:lang w:val="es-ES"/>
        </w:rPr>
        <w:t>a</w:t>
      </w:r>
      <w:r w:rsidR="0000499E">
        <w:rPr>
          <w:lang w:val="es-ES"/>
        </w:rPr>
        <w:t>ción del Plan Económico-Financiero de ajuste</w:t>
      </w:r>
      <w:r w:rsidR="00DC6844">
        <w:rPr>
          <w:lang w:val="es-ES"/>
        </w:rPr>
        <w:t>.</w:t>
      </w:r>
      <w:r w:rsidR="002B0232">
        <w:rPr>
          <w:lang w:val="es-ES"/>
        </w:rPr>
        <w:t xml:space="preserve"> </w:t>
      </w:r>
      <w:r w:rsidR="004405E8">
        <w:rPr>
          <w:lang w:val="es-ES"/>
        </w:rPr>
        <w:t>Se está a la espera de las actu</w:t>
      </w:r>
      <w:r w:rsidR="004405E8">
        <w:rPr>
          <w:lang w:val="es-ES"/>
        </w:rPr>
        <w:t>a</w:t>
      </w:r>
      <w:r w:rsidR="004405E8">
        <w:rPr>
          <w:lang w:val="es-ES"/>
        </w:rPr>
        <w:t>ciones a desarrollar por la Comisión Coordinadora prevista en el Convenio Económico en relación a la presentación y aprobación del</w:t>
      </w:r>
      <w:r w:rsidR="0000499E">
        <w:rPr>
          <w:lang w:val="es-ES"/>
        </w:rPr>
        <w:t xml:space="preserve"> citado</w:t>
      </w:r>
      <w:r w:rsidR="004405E8">
        <w:rPr>
          <w:lang w:val="es-ES"/>
        </w:rPr>
        <w:t xml:space="preserve"> Plan</w:t>
      </w:r>
      <w:r w:rsidR="0000499E">
        <w:rPr>
          <w:lang w:val="es-ES"/>
        </w:rPr>
        <w:t xml:space="preserve"> para los ejercicios de</w:t>
      </w:r>
      <w:r w:rsidR="004405E8">
        <w:rPr>
          <w:lang w:val="es-ES"/>
        </w:rPr>
        <w:t xml:space="preserve"> 2016</w:t>
      </w:r>
      <w:r w:rsidR="0000499E">
        <w:rPr>
          <w:lang w:val="es-ES"/>
        </w:rPr>
        <w:t xml:space="preserve"> y </w:t>
      </w:r>
      <w:r w:rsidR="004405E8">
        <w:rPr>
          <w:lang w:val="es-ES"/>
        </w:rPr>
        <w:t>2017.</w:t>
      </w:r>
    </w:p>
    <w:p w:rsidR="00220DAF" w:rsidRPr="00220DAF" w:rsidRDefault="004C3AFE" w:rsidP="00CD1EE7">
      <w:pPr>
        <w:pStyle w:val="texto"/>
        <w:spacing w:after="240"/>
        <w:rPr>
          <w:lang w:val="es-ES"/>
        </w:rPr>
      </w:pPr>
      <w:r w:rsidRPr="000E2288">
        <w:rPr>
          <w:lang w:val="es-ES"/>
        </w:rPr>
        <w:t>El Gobierno de Navarra no informa en la</w:t>
      </w:r>
      <w:r w:rsidR="00620854">
        <w:rPr>
          <w:lang w:val="es-ES"/>
        </w:rPr>
        <w:t>s cuentas generales</w:t>
      </w:r>
      <w:r w:rsidRPr="000E2288">
        <w:rPr>
          <w:lang w:val="es-ES"/>
        </w:rPr>
        <w:t xml:space="preserve"> sobre el </w:t>
      </w:r>
      <w:r w:rsidR="00EE5655">
        <w:rPr>
          <w:lang w:val="es-ES"/>
        </w:rPr>
        <w:t xml:space="preserve">grado de </w:t>
      </w:r>
      <w:r w:rsidRPr="000E2288">
        <w:rPr>
          <w:lang w:val="es-ES"/>
        </w:rPr>
        <w:t>cumplimiento de la regla de gasto ni del objetivo de sostenibilidad financi</w:t>
      </w:r>
      <w:r w:rsidRPr="000E2288">
        <w:rPr>
          <w:lang w:val="es-ES"/>
        </w:rPr>
        <w:t>e</w:t>
      </w:r>
      <w:r w:rsidRPr="000E2288">
        <w:rPr>
          <w:lang w:val="es-ES"/>
        </w:rPr>
        <w:t>ra en cuanto a la deu</w:t>
      </w:r>
      <w:r w:rsidR="00220DAF">
        <w:rPr>
          <w:lang w:val="es-ES"/>
        </w:rPr>
        <w:t xml:space="preserve">da </w:t>
      </w:r>
      <w:r w:rsidRPr="000E2288">
        <w:rPr>
          <w:lang w:val="es-ES"/>
        </w:rPr>
        <w:t>pública</w:t>
      </w:r>
      <w:r w:rsidR="00220DAF">
        <w:rPr>
          <w:lang w:val="es-ES"/>
        </w:rPr>
        <w:t>, deuda comercial y prudencia en operaciones financieras</w:t>
      </w:r>
      <w:r w:rsidRPr="000E2288">
        <w:rPr>
          <w:lang w:val="es-ES"/>
        </w:rPr>
        <w:t>.</w:t>
      </w:r>
    </w:p>
    <w:p w:rsidR="003D1006" w:rsidRDefault="003D1006" w:rsidP="003D1006">
      <w:pPr>
        <w:pStyle w:val="atitulo2"/>
        <w:spacing w:before="240"/>
      </w:pPr>
      <w:bookmarkStart w:id="46" w:name="_Toc463350251"/>
      <w:r>
        <w:lastRenderedPageBreak/>
        <w:t>IV.</w:t>
      </w:r>
      <w:r w:rsidR="00B31AA4">
        <w:t>5</w:t>
      </w:r>
      <w:r>
        <w:t xml:space="preserve">. </w:t>
      </w:r>
      <w:r w:rsidR="00B04CB5">
        <w:t>Cumplimiento de r</w:t>
      </w:r>
      <w:r>
        <w:t xml:space="preserve">ecomendaciones </w:t>
      </w:r>
      <w:r w:rsidR="00B04CB5">
        <w:t xml:space="preserve">emitidas en </w:t>
      </w:r>
      <w:r>
        <w:t>informes anteriores de esta Cámara de Comptos</w:t>
      </w:r>
      <w:bookmarkEnd w:id="46"/>
    </w:p>
    <w:p w:rsidR="009217EC" w:rsidRDefault="009217EC" w:rsidP="003D1006">
      <w:pPr>
        <w:pStyle w:val="texto"/>
        <w:tabs>
          <w:tab w:val="clear" w:pos="2835"/>
          <w:tab w:val="clear" w:pos="3969"/>
          <w:tab w:val="clear" w:pos="5103"/>
          <w:tab w:val="clear" w:pos="6237"/>
          <w:tab w:val="clear" w:pos="7371"/>
          <w:tab w:val="num" w:pos="300"/>
          <w:tab w:val="num" w:pos="720"/>
        </w:tabs>
        <w:rPr>
          <w:szCs w:val="26"/>
        </w:rPr>
      </w:pPr>
      <w:r>
        <w:rPr>
          <w:szCs w:val="26"/>
        </w:rPr>
        <w:t>De</w:t>
      </w:r>
      <w:r w:rsidR="0096490F">
        <w:rPr>
          <w:szCs w:val="26"/>
        </w:rPr>
        <w:t>l informe</w:t>
      </w:r>
      <w:r>
        <w:rPr>
          <w:szCs w:val="26"/>
        </w:rPr>
        <w:t xml:space="preserve"> de esta Cámara</w:t>
      </w:r>
      <w:r w:rsidR="0096490F">
        <w:rPr>
          <w:szCs w:val="26"/>
        </w:rPr>
        <w:t xml:space="preserve"> sobre las cuentas de 201</w:t>
      </w:r>
      <w:r w:rsidR="00220DAF">
        <w:rPr>
          <w:szCs w:val="26"/>
        </w:rPr>
        <w:t>4</w:t>
      </w:r>
      <w:r>
        <w:rPr>
          <w:szCs w:val="26"/>
        </w:rPr>
        <w:t xml:space="preserve">, se han </w:t>
      </w:r>
      <w:r w:rsidR="00164155">
        <w:rPr>
          <w:szCs w:val="26"/>
        </w:rPr>
        <w:t>implantado</w:t>
      </w:r>
      <w:r w:rsidR="005E72C5">
        <w:rPr>
          <w:szCs w:val="26"/>
        </w:rPr>
        <w:t xml:space="preserve"> o están en fase de implantación</w:t>
      </w:r>
      <w:r>
        <w:rPr>
          <w:szCs w:val="26"/>
        </w:rPr>
        <w:t xml:space="preserve"> las siguientes recomendaciones:</w:t>
      </w:r>
    </w:p>
    <w:p w:rsidR="009217EC" w:rsidRPr="009217EC" w:rsidRDefault="009217EC" w:rsidP="009217EC">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ind w:left="0" w:firstLine="290"/>
        <w:rPr>
          <w:i/>
          <w:szCs w:val="26"/>
        </w:rPr>
      </w:pPr>
      <w:r w:rsidRPr="009217EC">
        <w:rPr>
          <w:i/>
          <w:szCs w:val="26"/>
        </w:rPr>
        <w:t>Se ha incluido en la memoria la información referente a los litigios exi</w:t>
      </w:r>
      <w:r w:rsidRPr="009217EC">
        <w:rPr>
          <w:i/>
          <w:szCs w:val="26"/>
        </w:rPr>
        <w:t>s</w:t>
      </w:r>
      <w:r w:rsidRPr="009217EC">
        <w:rPr>
          <w:i/>
          <w:szCs w:val="26"/>
        </w:rPr>
        <w:t>tentes</w:t>
      </w:r>
      <w:r w:rsidR="00455847">
        <w:rPr>
          <w:i/>
          <w:szCs w:val="26"/>
        </w:rPr>
        <w:t xml:space="preserve"> cuyo importe individual excede de los 300.000 euros</w:t>
      </w:r>
      <w:r w:rsidRPr="009217EC">
        <w:rPr>
          <w:i/>
          <w:szCs w:val="26"/>
        </w:rPr>
        <w:t>.</w:t>
      </w:r>
    </w:p>
    <w:p w:rsidR="00E76B24" w:rsidRPr="00846868" w:rsidRDefault="00E76B24" w:rsidP="00E76B24">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ind w:left="0" w:firstLine="290"/>
        <w:rPr>
          <w:rFonts w:cs="Arial"/>
          <w:i/>
        </w:rPr>
      </w:pPr>
      <w:r w:rsidRPr="00846868">
        <w:rPr>
          <w:rFonts w:cs="Arial"/>
          <w:i/>
        </w:rPr>
        <w:t>Se está desarrollando el proceso de análisis y reforma del sistema de Co</w:t>
      </w:r>
      <w:r w:rsidRPr="00846868">
        <w:rPr>
          <w:rFonts w:cs="Arial"/>
          <w:i/>
        </w:rPr>
        <w:t>n</w:t>
      </w:r>
      <w:r w:rsidRPr="00846868">
        <w:rPr>
          <w:rFonts w:cs="Arial"/>
          <w:i/>
        </w:rPr>
        <w:t>tabilidad Auxiliar de Terceros (CAT), lo que permitirá mejorar tanto la gestión de los tributos como su coordinación con el sistema de contabilidad general</w:t>
      </w:r>
      <w:r w:rsidR="00D56960">
        <w:rPr>
          <w:rFonts w:cs="Arial"/>
          <w:i/>
        </w:rPr>
        <w:t xml:space="preserve"> (GE21)</w:t>
      </w:r>
      <w:r w:rsidRPr="00846868">
        <w:rPr>
          <w:rFonts w:cs="Arial"/>
          <w:i/>
        </w:rPr>
        <w:t>.</w:t>
      </w:r>
      <w:r w:rsidR="00FB14D8">
        <w:rPr>
          <w:rFonts w:cs="Arial"/>
          <w:i/>
        </w:rPr>
        <w:t xml:space="preserve"> Está prevista </w:t>
      </w:r>
      <w:r w:rsidR="00D56960">
        <w:rPr>
          <w:rFonts w:cs="Arial"/>
          <w:i/>
        </w:rPr>
        <w:t xml:space="preserve">la aplicación del nuevo enlace entre el CAT y el GE21 en </w:t>
      </w:r>
      <w:r w:rsidR="00A310AD">
        <w:rPr>
          <w:rFonts w:cs="Arial"/>
          <w:i/>
        </w:rPr>
        <w:t>el ejercicio de 2018</w:t>
      </w:r>
      <w:r w:rsidR="00D56960">
        <w:rPr>
          <w:rFonts w:cs="Arial"/>
          <w:i/>
        </w:rPr>
        <w:t>.</w:t>
      </w:r>
    </w:p>
    <w:p w:rsidR="00AB3B10" w:rsidRPr="00F73CD9" w:rsidRDefault="00580AE0" w:rsidP="00F73CD9">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ind w:left="0" w:firstLine="290"/>
        <w:rPr>
          <w:rFonts w:cs="Arial"/>
          <w:i/>
        </w:rPr>
      </w:pPr>
      <w:r>
        <w:rPr>
          <w:rFonts w:cs="Arial"/>
          <w:i/>
        </w:rPr>
        <w:t>Están en fase muy avanzada</w:t>
      </w:r>
      <w:r w:rsidR="00AB3B10">
        <w:rPr>
          <w:rFonts w:cs="Arial"/>
          <w:i/>
        </w:rPr>
        <w:t xml:space="preserve"> los trabajos para dotar a la Universidad P</w:t>
      </w:r>
      <w:r w:rsidR="00AB3B10">
        <w:rPr>
          <w:rFonts w:cs="Arial"/>
          <w:i/>
        </w:rPr>
        <w:t>ú</w:t>
      </w:r>
      <w:r w:rsidR="00AB3B10">
        <w:rPr>
          <w:rFonts w:cs="Arial"/>
          <w:i/>
        </w:rPr>
        <w:t>blica de Navarra de un marco estable de financiación plurianual para el p</w:t>
      </w:r>
      <w:r w:rsidR="00AB3B10">
        <w:rPr>
          <w:rFonts w:cs="Arial"/>
          <w:i/>
        </w:rPr>
        <w:t>e</w:t>
      </w:r>
      <w:r w:rsidR="00AB3B10">
        <w:rPr>
          <w:rFonts w:cs="Arial"/>
          <w:i/>
        </w:rPr>
        <w:t>riodo de 2017 a 2020, que comprende tanto financiación estructural como f</w:t>
      </w:r>
      <w:r w:rsidR="00AB3B10">
        <w:rPr>
          <w:rFonts w:cs="Arial"/>
          <w:i/>
        </w:rPr>
        <w:t>i</w:t>
      </w:r>
      <w:r w:rsidR="00AB3B10">
        <w:rPr>
          <w:rFonts w:cs="Arial"/>
          <w:i/>
        </w:rPr>
        <w:t>nanciación por resultados y mejoras.</w:t>
      </w:r>
    </w:p>
    <w:p w:rsidR="00E76B24" w:rsidRPr="00843D86" w:rsidRDefault="00317C06" w:rsidP="00843D86">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ind w:left="0" w:firstLine="290"/>
        <w:rPr>
          <w:rFonts w:cs="Arial"/>
          <w:i/>
        </w:rPr>
      </w:pPr>
      <w:r>
        <w:rPr>
          <w:rFonts w:cs="Arial"/>
          <w:i/>
        </w:rPr>
        <w:t>Se ha concluido</w:t>
      </w:r>
      <w:r w:rsidRPr="00317C06">
        <w:rPr>
          <w:rFonts w:cs="Arial"/>
          <w:i/>
        </w:rPr>
        <w:t xml:space="preserve"> el diseño e implantación de un procedimiento informático de seguimiento y control sobre las cuentas corrientes de los centros educativos. </w:t>
      </w:r>
    </w:p>
    <w:p w:rsidR="00E76B24" w:rsidRPr="000E2288" w:rsidRDefault="00E76B24" w:rsidP="00E76B24">
      <w:pPr>
        <w:pStyle w:val="texto"/>
        <w:rPr>
          <w:lang w:val="es-ES"/>
        </w:rPr>
      </w:pPr>
      <w:r w:rsidRPr="000E2288">
        <w:rPr>
          <w:lang w:val="es-ES"/>
        </w:rPr>
        <w:t>Siguen vigentes las siguientes recomendaciones emitidas por esta Cámara en informes de ejercicios anteriores:</w:t>
      </w:r>
    </w:p>
    <w:p w:rsidR="00A44BE3" w:rsidRPr="00C932BC" w:rsidRDefault="00A44BE3" w:rsidP="00A44BE3">
      <w:pPr>
        <w:pStyle w:val="texto"/>
        <w:numPr>
          <w:ilvl w:val="0"/>
          <w:numId w:val="1"/>
        </w:numPr>
        <w:tabs>
          <w:tab w:val="clear" w:pos="928"/>
          <w:tab w:val="clear" w:pos="2835"/>
          <w:tab w:val="clear" w:pos="3969"/>
          <w:tab w:val="clear" w:pos="5103"/>
          <w:tab w:val="clear" w:pos="6237"/>
          <w:tab w:val="clear" w:pos="7371"/>
          <w:tab w:val="left" w:pos="490"/>
          <w:tab w:val="num" w:pos="600"/>
          <w:tab w:val="num" w:pos="720"/>
        </w:tabs>
        <w:ind w:left="0" w:firstLine="290"/>
        <w:rPr>
          <w:rFonts w:cs="Arial"/>
          <w:i/>
        </w:rPr>
      </w:pPr>
      <w:r>
        <w:rPr>
          <w:rFonts w:cs="Arial"/>
          <w:i/>
        </w:rPr>
        <w:t>Analizar el actual marco de gestión presupuestaria y de contenido de</w:t>
      </w:r>
      <w:r w:rsidR="004852EA">
        <w:rPr>
          <w:rFonts w:cs="Arial"/>
          <w:i/>
        </w:rPr>
        <w:t>l pr</w:t>
      </w:r>
      <w:r w:rsidR="004852EA">
        <w:rPr>
          <w:rFonts w:cs="Arial"/>
          <w:i/>
        </w:rPr>
        <w:t>e</w:t>
      </w:r>
      <w:r w:rsidR="004852EA">
        <w:rPr>
          <w:rFonts w:cs="Arial"/>
          <w:i/>
        </w:rPr>
        <w:t xml:space="preserve">supuesto y de </w:t>
      </w:r>
      <w:r>
        <w:rPr>
          <w:rFonts w:cs="Arial"/>
          <w:i/>
        </w:rPr>
        <w:t xml:space="preserve"> las cuentas generales regulado en la Ley Foral de Hacienda P</w:t>
      </w:r>
      <w:r>
        <w:rPr>
          <w:rFonts w:cs="Arial"/>
          <w:i/>
        </w:rPr>
        <w:t>ú</w:t>
      </w:r>
      <w:r>
        <w:rPr>
          <w:rFonts w:cs="Arial"/>
          <w:i/>
        </w:rPr>
        <w:t>blica con el objeto de verificar su idoneidad para hacer frente a las exigencias de la normativa europea y estatal de estabilidad presupuestaria y sostenibil</w:t>
      </w:r>
      <w:r>
        <w:rPr>
          <w:rFonts w:cs="Arial"/>
          <w:i/>
        </w:rPr>
        <w:t>i</w:t>
      </w:r>
      <w:r>
        <w:rPr>
          <w:rFonts w:cs="Arial"/>
          <w:i/>
        </w:rPr>
        <w:t>dad financiera.</w:t>
      </w:r>
    </w:p>
    <w:p w:rsidR="00E76B24" w:rsidRPr="00846868" w:rsidRDefault="00E76B24" w:rsidP="00E76B24">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ind w:left="0" w:firstLine="290"/>
        <w:rPr>
          <w:rFonts w:cs="Arial"/>
          <w:i/>
        </w:rPr>
      </w:pPr>
      <w:r w:rsidRPr="00846868">
        <w:rPr>
          <w:rFonts w:cs="Arial"/>
          <w:i/>
        </w:rPr>
        <w:t xml:space="preserve">Aprobar el Plan General de Contabilidad Pública de la Comunidad Foral y en su defecto, aplicar en toda su extensión el Plan General de Contabilidad Pública del Sector Público Estatal, </w:t>
      </w:r>
      <w:r w:rsidR="003665A9">
        <w:rPr>
          <w:rFonts w:cs="Arial"/>
          <w:i/>
        </w:rPr>
        <w:t>vigente desde</w:t>
      </w:r>
      <w:r w:rsidRPr="00846868">
        <w:rPr>
          <w:rFonts w:cs="Arial"/>
          <w:i/>
        </w:rPr>
        <w:t xml:space="preserve"> el 1 de enero de 2011.</w:t>
      </w:r>
    </w:p>
    <w:p w:rsidR="00E76B24" w:rsidRPr="00846868" w:rsidRDefault="00E76B24" w:rsidP="00E76B24">
      <w:pPr>
        <w:pStyle w:val="texto"/>
        <w:numPr>
          <w:ilvl w:val="0"/>
          <w:numId w:val="1"/>
        </w:numPr>
        <w:tabs>
          <w:tab w:val="clear" w:pos="928"/>
          <w:tab w:val="clear" w:pos="2835"/>
          <w:tab w:val="clear" w:pos="3969"/>
          <w:tab w:val="clear" w:pos="5103"/>
          <w:tab w:val="clear" w:pos="6237"/>
          <w:tab w:val="clear" w:pos="7371"/>
          <w:tab w:val="left" w:pos="490"/>
          <w:tab w:val="num" w:pos="600"/>
          <w:tab w:val="num" w:pos="720"/>
        </w:tabs>
        <w:ind w:left="0" w:firstLine="290"/>
        <w:rPr>
          <w:rFonts w:cs="Arial"/>
          <w:i/>
        </w:rPr>
      </w:pPr>
      <w:r>
        <w:rPr>
          <w:rFonts w:cs="Arial"/>
          <w:i/>
        </w:rPr>
        <w:t>Reflejar en el balance</w:t>
      </w:r>
      <w:r w:rsidRPr="00846868">
        <w:rPr>
          <w:rFonts w:cs="Arial"/>
          <w:i/>
        </w:rPr>
        <w:t xml:space="preserve"> las obligaciones actuariales derivadas de los der</w:t>
      </w:r>
      <w:r w:rsidRPr="00846868">
        <w:rPr>
          <w:rFonts w:cs="Arial"/>
          <w:i/>
        </w:rPr>
        <w:t>e</w:t>
      </w:r>
      <w:r w:rsidRPr="00846868">
        <w:rPr>
          <w:rFonts w:cs="Arial"/>
          <w:i/>
        </w:rPr>
        <w:t>chos pasivos de los funcionarios forales.</w:t>
      </w:r>
    </w:p>
    <w:p w:rsidR="00E76B24" w:rsidRPr="00846868" w:rsidRDefault="00E76B24" w:rsidP="00E76B24">
      <w:pPr>
        <w:pStyle w:val="texto"/>
        <w:numPr>
          <w:ilvl w:val="0"/>
          <w:numId w:val="1"/>
        </w:numPr>
        <w:tabs>
          <w:tab w:val="clear" w:pos="928"/>
          <w:tab w:val="clear" w:pos="2835"/>
          <w:tab w:val="clear" w:pos="3969"/>
          <w:tab w:val="clear" w:pos="5103"/>
          <w:tab w:val="clear" w:pos="6237"/>
          <w:tab w:val="clear" w:pos="7371"/>
          <w:tab w:val="left" w:pos="490"/>
          <w:tab w:val="num" w:pos="600"/>
          <w:tab w:val="num" w:pos="720"/>
        </w:tabs>
        <w:ind w:left="0" w:firstLine="290"/>
        <w:rPr>
          <w:rFonts w:cs="Arial"/>
          <w:i/>
        </w:rPr>
      </w:pPr>
      <w:r w:rsidRPr="00846868">
        <w:rPr>
          <w:rFonts w:cs="Arial"/>
          <w:i/>
        </w:rPr>
        <w:t>Elaborar un inventario valorado de todos los bienes y derechos de la C</w:t>
      </w:r>
      <w:r w:rsidRPr="00846868">
        <w:rPr>
          <w:rFonts w:cs="Arial"/>
          <w:i/>
        </w:rPr>
        <w:t>o</w:t>
      </w:r>
      <w:r w:rsidRPr="00846868">
        <w:rPr>
          <w:rFonts w:cs="Arial"/>
          <w:i/>
        </w:rPr>
        <w:t>munidad Foral que respalde los saldos contables del inmovilizado.</w:t>
      </w:r>
      <w:r w:rsidR="007F4C71">
        <w:rPr>
          <w:rFonts w:cs="Arial"/>
          <w:i/>
        </w:rPr>
        <w:t xml:space="preserve"> Este inve</w:t>
      </w:r>
      <w:r w:rsidR="007F4C71">
        <w:rPr>
          <w:rFonts w:cs="Arial"/>
          <w:i/>
        </w:rPr>
        <w:t>n</w:t>
      </w:r>
      <w:r w:rsidR="007F4C71">
        <w:rPr>
          <w:rFonts w:cs="Arial"/>
          <w:i/>
        </w:rPr>
        <w:t xml:space="preserve">tario </w:t>
      </w:r>
      <w:r w:rsidR="00021912">
        <w:rPr>
          <w:rFonts w:cs="Arial"/>
          <w:i/>
        </w:rPr>
        <w:t>debe incorporarse o adjuntarse a</w:t>
      </w:r>
      <w:r w:rsidR="007F4C71">
        <w:rPr>
          <w:rFonts w:cs="Arial"/>
          <w:i/>
        </w:rPr>
        <w:t xml:space="preserve"> la memoria del ejercicio.</w:t>
      </w:r>
    </w:p>
    <w:p w:rsidR="000B7D8D" w:rsidRDefault="000B7D8D" w:rsidP="000B7D8D">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spacing w:after="100"/>
        <w:ind w:left="0" w:firstLine="290"/>
        <w:rPr>
          <w:rFonts w:cs="Arial"/>
          <w:i/>
        </w:rPr>
      </w:pPr>
      <w:r>
        <w:rPr>
          <w:i/>
        </w:rPr>
        <w:t>D</w:t>
      </w:r>
      <w:r>
        <w:rPr>
          <w:rFonts w:cs="Arial"/>
          <w:i/>
        </w:rPr>
        <w:t xml:space="preserve">esarrollar </w:t>
      </w:r>
      <w:r w:rsidRPr="0097595D">
        <w:rPr>
          <w:rFonts w:cs="Arial"/>
          <w:i/>
        </w:rPr>
        <w:t>el procedimiento de prórroga presupuestaria</w:t>
      </w:r>
      <w:r>
        <w:rPr>
          <w:rFonts w:cs="Arial"/>
          <w:i/>
        </w:rPr>
        <w:t xml:space="preserve"> regulado en la</w:t>
      </w:r>
      <w:r w:rsidRPr="0097595D">
        <w:rPr>
          <w:rFonts w:cs="Arial"/>
          <w:i/>
        </w:rPr>
        <w:t xml:space="preserve"> Ley de Hacienda Pública</w:t>
      </w:r>
      <w:r>
        <w:rPr>
          <w:rFonts w:cs="Arial"/>
          <w:i/>
        </w:rPr>
        <w:t>, analizando su adecuación y contemplando las</w:t>
      </w:r>
      <w:r w:rsidRPr="0097595D">
        <w:rPr>
          <w:rFonts w:cs="Arial"/>
          <w:i/>
        </w:rPr>
        <w:t xml:space="preserve"> ex</w:t>
      </w:r>
      <w:r w:rsidRPr="0097595D">
        <w:rPr>
          <w:rFonts w:cs="Arial"/>
          <w:i/>
        </w:rPr>
        <w:t>i</w:t>
      </w:r>
      <w:r w:rsidRPr="0097595D">
        <w:rPr>
          <w:rFonts w:cs="Arial"/>
          <w:i/>
        </w:rPr>
        <w:t>gencias de la Ley de Estabilidad Presupuestaria y Sostenibilidad Financiera.</w:t>
      </w:r>
    </w:p>
    <w:p w:rsidR="00E76B24" w:rsidRPr="00846868" w:rsidRDefault="00E76B24" w:rsidP="00E76B24">
      <w:pPr>
        <w:pStyle w:val="texto"/>
        <w:numPr>
          <w:ilvl w:val="0"/>
          <w:numId w:val="1"/>
        </w:numPr>
        <w:tabs>
          <w:tab w:val="clear" w:pos="928"/>
          <w:tab w:val="clear" w:pos="2835"/>
          <w:tab w:val="clear" w:pos="3969"/>
          <w:tab w:val="clear" w:pos="5103"/>
          <w:tab w:val="clear" w:pos="6237"/>
          <w:tab w:val="clear" w:pos="7371"/>
          <w:tab w:val="left" w:pos="490"/>
          <w:tab w:val="num" w:pos="600"/>
          <w:tab w:val="num" w:pos="720"/>
        </w:tabs>
        <w:ind w:left="0" w:firstLine="290"/>
        <w:rPr>
          <w:rFonts w:cs="Arial"/>
          <w:i/>
        </w:rPr>
      </w:pPr>
      <w:r w:rsidRPr="00846868">
        <w:rPr>
          <w:rFonts w:cs="Arial"/>
          <w:i/>
        </w:rPr>
        <w:t>Incluir en la memoria de las cuentas generales</w:t>
      </w:r>
      <w:r w:rsidR="00E20ADE">
        <w:rPr>
          <w:rFonts w:cs="Arial"/>
          <w:i/>
        </w:rPr>
        <w:t xml:space="preserve"> </w:t>
      </w:r>
      <w:r w:rsidRPr="00846868">
        <w:rPr>
          <w:rFonts w:cs="Arial"/>
          <w:i/>
        </w:rPr>
        <w:t>l</w:t>
      </w:r>
      <w:r w:rsidR="00E20ADE">
        <w:rPr>
          <w:rFonts w:cs="Arial"/>
          <w:i/>
        </w:rPr>
        <w:t>os siguientes estados e i</w:t>
      </w:r>
      <w:r w:rsidR="00E20ADE">
        <w:rPr>
          <w:rFonts w:cs="Arial"/>
          <w:i/>
        </w:rPr>
        <w:t>n</w:t>
      </w:r>
      <w:r w:rsidR="00E20ADE">
        <w:rPr>
          <w:rFonts w:cs="Arial"/>
          <w:i/>
        </w:rPr>
        <w:t>formaci</w:t>
      </w:r>
      <w:r w:rsidR="00967476">
        <w:rPr>
          <w:rFonts w:cs="Arial"/>
          <w:i/>
        </w:rPr>
        <w:t>ones</w:t>
      </w:r>
      <w:r w:rsidR="00E20ADE">
        <w:rPr>
          <w:rFonts w:cs="Arial"/>
          <w:i/>
        </w:rPr>
        <w:t xml:space="preserve"> complementaria</w:t>
      </w:r>
      <w:r w:rsidR="00967476">
        <w:rPr>
          <w:rFonts w:cs="Arial"/>
          <w:i/>
        </w:rPr>
        <w:t>s</w:t>
      </w:r>
      <w:r w:rsidRPr="00846868">
        <w:rPr>
          <w:rFonts w:cs="Arial"/>
          <w:i/>
        </w:rPr>
        <w:t>:</w:t>
      </w:r>
    </w:p>
    <w:p w:rsidR="00E20ADE" w:rsidRDefault="00E20ADE" w:rsidP="003041FD">
      <w:pPr>
        <w:pStyle w:val="texto"/>
        <w:numPr>
          <w:ilvl w:val="0"/>
          <w:numId w:val="5"/>
        </w:numPr>
        <w:rPr>
          <w:i/>
        </w:rPr>
      </w:pPr>
      <w:r>
        <w:rPr>
          <w:i/>
        </w:rPr>
        <w:lastRenderedPageBreak/>
        <w:t>Cuenta general de la Tesorería.</w:t>
      </w:r>
    </w:p>
    <w:p w:rsidR="00E20ADE" w:rsidRDefault="00E20ADE" w:rsidP="003041FD">
      <w:pPr>
        <w:pStyle w:val="texto"/>
        <w:numPr>
          <w:ilvl w:val="0"/>
          <w:numId w:val="5"/>
        </w:numPr>
        <w:rPr>
          <w:i/>
        </w:rPr>
      </w:pPr>
      <w:r w:rsidRPr="00E20ADE">
        <w:rPr>
          <w:i/>
        </w:rPr>
        <w:t>Cuenta general del endeudamiento de la Administración de la Comun</w:t>
      </w:r>
      <w:r w:rsidRPr="00E20ADE">
        <w:rPr>
          <w:i/>
        </w:rPr>
        <w:t>i</w:t>
      </w:r>
      <w:r w:rsidRPr="00E20ADE">
        <w:rPr>
          <w:i/>
        </w:rPr>
        <w:t>dad Foral y de sus entes dependientes</w:t>
      </w:r>
      <w:r>
        <w:rPr>
          <w:i/>
        </w:rPr>
        <w:t>.</w:t>
      </w:r>
    </w:p>
    <w:p w:rsidR="00E20ADE" w:rsidRDefault="00E20ADE" w:rsidP="003041FD">
      <w:pPr>
        <w:pStyle w:val="texto"/>
        <w:numPr>
          <w:ilvl w:val="0"/>
          <w:numId w:val="5"/>
        </w:numPr>
        <w:rPr>
          <w:i/>
        </w:rPr>
      </w:pPr>
      <w:r w:rsidRPr="00E20ADE">
        <w:rPr>
          <w:i/>
        </w:rPr>
        <w:t xml:space="preserve">Estado de avales concedidos </w:t>
      </w:r>
      <w:r>
        <w:rPr>
          <w:i/>
        </w:rPr>
        <w:t>por</w:t>
      </w:r>
      <w:r w:rsidRPr="00E20ADE">
        <w:rPr>
          <w:i/>
        </w:rPr>
        <w:t xml:space="preserve"> la Administración de la Comunidad F</w:t>
      </w:r>
      <w:r w:rsidRPr="00E20ADE">
        <w:rPr>
          <w:i/>
        </w:rPr>
        <w:t>o</w:t>
      </w:r>
      <w:r w:rsidRPr="00E20ADE">
        <w:rPr>
          <w:i/>
        </w:rPr>
        <w:t xml:space="preserve">ral y </w:t>
      </w:r>
      <w:r>
        <w:rPr>
          <w:i/>
        </w:rPr>
        <w:t>por</w:t>
      </w:r>
      <w:r w:rsidRPr="00E20ADE">
        <w:rPr>
          <w:i/>
        </w:rPr>
        <w:t xml:space="preserve"> sus entes dependientes</w:t>
      </w:r>
      <w:r>
        <w:rPr>
          <w:i/>
        </w:rPr>
        <w:t>.</w:t>
      </w:r>
      <w:r w:rsidR="00317FE4" w:rsidRPr="00E20ADE">
        <w:rPr>
          <w:i/>
        </w:rPr>
        <w:t xml:space="preserve"> </w:t>
      </w:r>
    </w:p>
    <w:p w:rsidR="00E20ADE" w:rsidRDefault="00317FE4" w:rsidP="003041FD">
      <w:pPr>
        <w:pStyle w:val="texto"/>
        <w:numPr>
          <w:ilvl w:val="0"/>
          <w:numId w:val="5"/>
        </w:numPr>
        <w:rPr>
          <w:i/>
        </w:rPr>
      </w:pPr>
      <w:r w:rsidRPr="00E20ADE">
        <w:rPr>
          <w:i/>
        </w:rPr>
        <w:t xml:space="preserve">Grado de cumplimiento de </w:t>
      </w:r>
      <w:r w:rsidR="00E76B24" w:rsidRPr="00E20ADE">
        <w:rPr>
          <w:i/>
        </w:rPr>
        <w:t>los objetivos de estabilidad presupuestaria y sostenibilidad financiera.</w:t>
      </w:r>
    </w:p>
    <w:p w:rsidR="00E20ADE" w:rsidRDefault="00E76B24" w:rsidP="003041FD">
      <w:pPr>
        <w:pStyle w:val="texto"/>
        <w:numPr>
          <w:ilvl w:val="0"/>
          <w:numId w:val="5"/>
        </w:numPr>
        <w:rPr>
          <w:i/>
        </w:rPr>
      </w:pPr>
      <w:r w:rsidRPr="00E20ADE">
        <w:rPr>
          <w:i/>
        </w:rPr>
        <w:t>Análisis de la ejecución de los beneficios fiscales.</w:t>
      </w:r>
    </w:p>
    <w:p w:rsidR="00E20ADE" w:rsidRDefault="00D32148" w:rsidP="003041FD">
      <w:pPr>
        <w:pStyle w:val="texto"/>
        <w:numPr>
          <w:ilvl w:val="0"/>
          <w:numId w:val="5"/>
        </w:numPr>
        <w:rPr>
          <w:i/>
        </w:rPr>
      </w:pPr>
      <w:r w:rsidRPr="00E20ADE">
        <w:rPr>
          <w:i/>
        </w:rPr>
        <w:t>Flujos financieros derivados del Convenio Económico con el Estado</w:t>
      </w:r>
      <w:r w:rsidR="002D0620">
        <w:rPr>
          <w:rStyle w:val="Refdenotaalpie"/>
          <w:i/>
        </w:rPr>
        <w:footnoteReference w:id="11"/>
      </w:r>
      <w:r w:rsidRPr="00E20ADE">
        <w:rPr>
          <w:i/>
        </w:rPr>
        <w:t>.</w:t>
      </w:r>
    </w:p>
    <w:p w:rsidR="00B12700" w:rsidRDefault="00B12700" w:rsidP="003041FD">
      <w:pPr>
        <w:pStyle w:val="texto"/>
        <w:numPr>
          <w:ilvl w:val="0"/>
          <w:numId w:val="5"/>
        </w:numPr>
        <w:rPr>
          <w:i/>
        </w:rPr>
      </w:pPr>
      <w:r>
        <w:rPr>
          <w:i/>
        </w:rPr>
        <w:t>Situación económica-financiera del Sector Administración Pública.</w:t>
      </w:r>
    </w:p>
    <w:p w:rsidR="009B1F41" w:rsidRPr="00E20ADE" w:rsidRDefault="009B1F41" w:rsidP="003041FD">
      <w:pPr>
        <w:pStyle w:val="texto"/>
        <w:numPr>
          <w:ilvl w:val="0"/>
          <w:numId w:val="5"/>
        </w:numPr>
        <w:rPr>
          <w:i/>
        </w:rPr>
      </w:pPr>
      <w:r w:rsidRPr="00E20ADE">
        <w:rPr>
          <w:i/>
        </w:rPr>
        <w:t>Hechos posteriores más relevantes al cierre del ejercicio.</w:t>
      </w:r>
    </w:p>
    <w:p w:rsidR="00E76B24" w:rsidRPr="00846868" w:rsidRDefault="00D32148" w:rsidP="00D32148">
      <w:pPr>
        <w:pStyle w:val="texto"/>
        <w:numPr>
          <w:ilvl w:val="0"/>
          <w:numId w:val="1"/>
        </w:numPr>
        <w:tabs>
          <w:tab w:val="clear" w:pos="928"/>
          <w:tab w:val="clear" w:pos="2835"/>
          <w:tab w:val="clear" w:pos="3969"/>
          <w:tab w:val="clear" w:pos="5103"/>
          <w:tab w:val="clear" w:pos="6237"/>
          <w:tab w:val="clear" w:pos="7371"/>
          <w:tab w:val="left" w:pos="490"/>
          <w:tab w:val="num" w:pos="600"/>
          <w:tab w:val="num" w:pos="720"/>
        </w:tabs>
        <w:ind w:left="0" w:firstLine="290"/>
        <w:rPr>
          <w:rFonts w:cs="Arial"/>
          <w:i/>
        </w:rPr>
      </w:pPr>
      <w:r>
        <w:rPr>
          <w:i/>
        </w:rPr>
        <w:t>D</w:t>
      </w:r>
      <w:r w:rsidR="00E76B24" w:rsidRPr="00846868">
        <w:rPr>
          <w:rFonts w:cs="Arial"/>
          <w:i/>
        </w:rPr>
        <w:t>esarrollar el sistema contable de manera que suministre información p</w:t>
      </w:r>
      <w:r w:rsidR="00E76B24" w:rsidRPr="00846868">
        <w:rPr>
          <w:rFonts w:cs="Arial"/>
          <w:i/>
        </w:rPr>
        <w:t>a</w:t>
      </w:r>
      <w:r w:rsidR="00E76B24" w:rsidRPr="00846868">
        <w:rPr>
          <w:rFonts w:cs="Arial"/>
          <w:i/>
        </w:rPr>
        <w:t>ra determinar el coste de los servicios públicos.</w:t>
      </w:r>
    </w:p>
    <w:p w:rsidR="00EE47AE" w:rsidRPr="00EE47AE" w:rsidRDefault="00E76B24" w:rsidP="00EE47AE">
      <w:pPr>
        <w:pStyle w:val="texto"/>
        <w:numPr>
          <w:ilvl w:val="0"/>
          <w:numId w:val="1"/>
        </w:numPr>
        <w:tabs>
          <w:tab w:val="clear" w:pos="928"/>
          <w:tab w:val="clear" w:pos="2835"/>
          <w:tab w:val="clear" w:pos="3969"/>
          <w:tab w:val="clear" w:pos="5103"/>
          <w:tab w:val="clear" w:pos="6237"/>
          <w:tab w:val="clear" w:pos="7371"/>
          <w:tab w:val="left" w:pos="490"/>
          <w:tab w:val="num" w:pos="600"/>
          <w:tab w:val="num" w:pos="720"/>
        </w:tabs>
        <w:ind w:left="0" w:firstLine="290"/>
        <w:rPr>
          <w:rFonts w:cs="Arial"/>
          <w:i/>
        </w:rPr>
      </w:pPr>
      <w:r w:rsidRPr="00846868">
        <w:rPr>
          <w:rFonts w:cs="Arial"/>
          <w:i/>
        </w:rPr>
        <w:t>Completar los programas presupuestarios con indicadores para la med</w:t>
      </w:r>
      <w:r w:rsidRPr="00846868">
        <w:rPr>
          <w:rFonts w:cs="Arial"/>
          <w:i/>
        </w:rPr>
        <w:t>i</w:t>
      </w:r>
      <w:r w:rsidRPr="00846868">
        <w:rPr>
          <w:rFonts w:cs="Arial"/>
          <w:i/>
        </w:rPr>
        <w:t xml:space="preserve">ción de los objetivos previstos, objetivos que sean cuantificables y medibles, analizando su grado de cumplimiento y las desviaciones producidas. </w:t>
      </w:r>
    </w:p>
    <w:p w:rsidR="00942001" w:rsidRDefault="00942001" w:rsidP="00942001">
      <w:pPr>
        <w:pStyle w:val="atitulo2"/>
        <w:spacing w:before="240"/>
      </w:pPr>
      <w:bookmarkStart w:id="47" w:name="_Toc463350252"/>
      <w:r>
        <w:t>IV.</w:t>
      </w:r>
      <w:r w:rsidR="00B31AA4">
        <w:t>6</w:t>
      </w:r>
      <w:r>
        <w:t xml:space="preserve">. Endeudamiento Gobierno de Navarra </w:t>
      </w:r>
      <w:r w:rsidR="0040098A">
        <w:t>y avales con</w:t>
      </w:r>
      <w:r w:rsidR="00B75A6A">
        <w:t>stituidos</w:t>
      </w:r>
      <w:r w:rsidR="00D35491" w:rsidRPr="00D35491">
        <w:t xml:space="preserve"> </w:t>
      </w:r>
      <w:r w:rsidR="00D35491">
        <w:t>a 31 de diciembre de 2015</w:t>
      </w:r>
      <w:bookmarkEnd w:id="47"/>
    </w:p>
    <w:p w:rsidR="0040098A" w:rsidRPr="0040098A" w:rsidRDefault="0040098A" w:rsidP="00071FC3">
      <w:pPr>
        <w:pStyle w:val="atitulo3"/>
      </w:pPr>
      <w:r w:rsidRPr="0040098A">
        <w:t>Endeudamiento</w:t>
      </w:r>
    </w:p>
    <w:p w:rsidR="00942001" w:rsidRDefault="00942001" w:rsidP="001A0239">
      <w:pPr>
        <w:pStyle w:val="texto"/>
        <w:spacing w:after="200"/>
        <w:rPr>
          <w:lang w:val="es-ES"/>
        </w:rPr>
      </w:pPr>
      <w:r w:rsidRPr="00FF70A3">
        <w:rPr>
          <w:lang w:val="es-ES"/>
        </w:rPr>
        <w:t xml:space="preserve">A 31 de diciembre de 2015, el endeudamiento del Gobierno de </w:t>
      </w:r>
      <w:r>
        <w:rPr>
          <w:lang w:val="es-ES"/>
        </w:rPr>
        <w:t>N</w:t>
      </w:r>
      <w:r w:rsidRPr="00FF70A3">
        <w:rPr>
          <w:lang w:val="es-ES"/>
        </w:rPr>
        <w:t>avarra</w:t>
      </w:r>
      <w:r>
        <w:rPr>
          <w:lang w:val="es-ES"/>
        </w:rPr>
        <w:t>, a coste amortizado,</w:t>
      </w:r>
      <w:r w:rsidRPr="00FF70A3">
        <w:rPr>
          <w:lang w:val="es-ES"/>
        </w:rPr>
        <w:t xml:space="preserve"> asciende a 2.898,86 millones, de acuerdo con el siguiente d</w:t>
      </w:r>
      <w:r w:rsidRPr="00FF70A3">
        <w:rPr>
          <w:lang w:val="es-ES"/>
        </w:rPr>
        <w:t>e</w:t>
      </w:r>
      <w:r w:rsidRPr="00FF70A3">
        <w:rPr>
          <w:lang w:val="es-ES"/>
        </w:rPr>
        <w:t>talle</w:t>
      </w:r>
      <w:r w:rsidR="00CD1EE7">
        <w:rPr>
          <w:lang w:val="es-ES"/>
        </w:rPr>
        <w:t>, en miles de euros</w:t>
      </w:r>
      <w:r>
        <w:rPr>
          <w:lang w:val="es-ES"/>
        </w:rPr>
        <w:t xml:space="preserve"> y su comparación con el ejercicio anterior</w:t>
      </w:r>
      <w:r w:rsidR="00CD1EE7">
        <w:rPr>
          <w:lang w:val="es-ES"/>
        </w:rPr>
        <w:t>.</w:t>
      </w:r>
    </w:p>
    <w:tbl>
      <w:tblPr>
        <w:tblW w:w="8855" w:type="dxa"/>
        <w:jc w:val="center"/>
        <w:tblCellMar>
          <w:left w:w="70" w:type="dxa"/>
          <w:right w:w="70" w:type="dxa"/>
        </w:tblCellMar>
        <w:tblLook w:val="0000" w:firstRow="0" w:lastRow="0" w:firstColumn="0" w:lastColumn="0" w:noHBand="0" w:noVBand="0"/>
      </w:tblPr>
      <w:tblGrid>
        <w:gridCol w:w="4717"/>
        <w:gridCol w:w="1488"/>
        <w:gridCol w:w="1480"/>
        <w:gridCol w:w="1170"/>
      </w:tblGrid>
      <w:tr w:rsidR="00547220" w:rsidRPr="0068118D" w:rsidTr="00A20D5E">
        <w:trPr>
          <w:trHeight w:val="284"/>
          <w:jc w:val="center"/>
        </w:trPr>
        <w:tc>
          <w:tcPr>
            <w:tcW w:w="4717" w:type="dxa"/>
            <w:tcBorders>
              <w:top w:val="single" w:sz="4" w:space="0" w:color="auto"/>
              <w:bottom w:val="single" w:sz="4" w:space="0" w:color="auto"/>
            </w:tcBorders>
            <w:shd w:val="clear" w:color="auto" w:fill="A8CBEE" w:themeFill="accent2" w:themeFillTint="66"/>
            <w:vAlign w:val="center"/>
          </w:tcPr>
          <w:p w:rsidR="00547220" w:rsidRPr="00D3443F" w:rsidRDefault="00547220" w:rsidP="005C40B1">
            <w:pPr>
              <w:pStyle w:val="cuadroCabe"/>
              <w:jc w:val="left"/>
              <w:rPr>
                <w:rFonts w:cs="Arial"/>
              </w:rPr>
            </w:pPr>
            <w:r>
              <w:rPr>
                <w:rFonts w:cs="Arial"/>
              </w:rPr>
              <w:t>Deuda Gobierno de Navarra</w:t>
            </w:r>
          </w:p>
        </w:tc>
        <w:tc>
          <w:tcPr>
            <w:tcW w:w="1488" w:type="dxa"/>
            <w:tcBorders>
              <w:top w:val="single" w:sz="4" w:space="0" w:color="auto"/>
              <w:bottom w:val="single" w:sz="4" w:space="0" w:color="auto"/>
            </w:tcBorders>
            <w:shd w:val="clear" w:color="auto" w:fill="A8CBEE" w:themeFill="accent2" w:themeFillTint="66"/>
            <w:noWrap/>
            <w:vAlign w:val="center"/>
          </w:tcPr>
          <w:p w:rsidR="00547220" w:rsidRPr="00D3443F" w:rsidRDefault="00547220" w:rsidP="005C40B1">
            <w:pPr>
              <w:pStyle w:val="cuadroCabe"/>
              <w:jc w:val="right"/>
              <w:rPr>
                <w:rFonts w:cs="Arial"/>
              </w:rPr>
            </w:pPr>
            <w:r>
              <w:rPr>
                <w:rFonts w:cs="Arial"/>
              </w:rPr>
              <w:t>31-XII-2014</w:t>
            </w:r>
          </w:p>
        </w:tc>
        <w:tc>
          <w:tcPr>
            <w:tcW w:w="1480" w:type="dxa"/>
            <w:tcBorders>
              <w:top w:val="single" w:sz="4" w:space="0" w:color="auto"/>
              <w:bottom w:val="single" w:sz="4" w:space="0" w:color="auto"/>
            </w:tcBorders>
            <w:shd w:val="clear" w:color="auto" w:fill="A8CBEE" w:themeFill="accent2" w:themeFillTint="66"/>
            <w:vAlign w:val="center"/>
          </w:tcPr>
          <w:p w:rsidR="00547220" w:rsidRPr="00D3443F" w:rsidRDefault="00547220" w:rsidP="005C40B1">
            <w:pPr>
              <w:pStyle w:val="cuadroCabe"/>
              <w:jc w:val="right"/>
              <w:rPr>
                <w:rFonts w:cs="Arial"/>
              </w:rPr>
            </w:pPr>
            <w:r>
              <w:rPr>
                <w:rFonts w:cs="Arial"/>
              </w:rPr>
              <w:t>31-XII-2015</w:t>
            </w:r>
          </w:p>
        </w:tc>
        <w:tc>
          <w:tcPr>
            <w:tcW w:w="1170" w:type="dxa"/>
            <w:tcBorders>
              <w:top w:val="single" w:sz="4" w:space="0" w:color="auto"/>
              <w:bottom w:val="single" w:sz="4" w:space="0" w:color="auto"/>
            </w:tcBorders>
            <w:shd w:val="clear" w:color="auto" w:fill="A8CBEE" w:themeFill="accent2" w:themeFillTint="66"/>
            <w:vAlign w:val="center"/>
          </w:tcPr>
          <w:p w:rsidR="00547220" w:rsidRDefault="00547220" w:rsidP="00CD1EE7">
            <w:pPr>
              <w:pStyle w:val="cuadroCabe"/>
              <w:jc w:val="right"/>
              <w:rPr>
                <w:rFonts w:cs="Arial"/>
              </w:rPr>
            </w:pPr>
            <w:r>
              <w:rPr>
                <w:rFonts w:cs="Arial"/>
              </w:rPr>
              <w:t>%</w:t>
            </w:r>
            <w:r w:rsidR="00CD1EE7">
              <w:rPr>
                <w:rFonts w:cs="Arial"/>
              </w:rPr>
              <w:t xml:space="preserve"> </w:t>
            </w:r>
            <w:r>
              <w:rPr>
                <w:rFonts w:cs="Arial"/>
              </w:rPr>
              <w:t>variación</w:t>
            </w:r>
          </w:p>
        </w:tc>
      </w:tr>
      <w:tr w:rsidR="00547220" w:rsidRPr="00AE5B59" w:rsidTr="00A20D5E">
        <w:trPr>
          <w:trHeight w:val="284"/>
          <w:jc w:val="center"/>
        </w:trPr>
        <w:tc>
          <w:tcPr>
            <w:tcW w:w="4717" w:type="dxa"/>
            <w:tcBorders>
              <w:top w:val="single" w:sz="4" w:space="0" w:color="auto"/>
              <w:bottom w:val="single" w:sz="2" w:space="0" w:color="auto"/>
            </w:tcBorders>
            <w:shd w:val="clear" w:color="auto" w:fill="auto"/>
            <w:vAlign w:val="center"/>
          </w:tcPr>
          <w:p w:rsidR="00547220" w:rsidRPr="00AE5B59" w:rsidRDefault="00547220" w:rsidP="005C40B1">
            <w:pPr>
              <w:spacing w:after="0"/>
              <w:ind w:firstLine="0"/>
              <w:jc w:val="left"/>
              <w:rPr>
                <w:rFonts w:ascii="Arial Narrow" w:hAnsi="Arial Narrow" w:cs="Arial"/>
                <w:lang w:eastAsia="es-ES"/>
              </w:rPr>
            </w:pPr>
            <w:r>
              <w:rPr>
                <w:rFonts w:ascii="Arial Narrow" w:hAnsi="Arial Narrow" w:cs="Arial"/>
                <w:lang w:eastAsia="es-ES"/>
              </w:rPr>
              <w:t>Deuda Pública de Navarra</w:t>
            </w:r>
          </w:p>
        </w:tc>
        <w:tc>
          <w:tcPr>
            <w:tcW w:w="1488" w:type="dxa"/>
            <w:tcBorders>
              <w:top w:val="single" w:sz="4" w:space="0" w:color="auto"/>
              <w:bottom w:val="single" w:sz="2" w:space="0" w:color="auto"/>
            </w:tcBorders>
            <w:shd w:val="clear" w:color="auto" w:fill="auto"/>
            <w:noWrap/>
            <w:vAlign w:val="center"/>
          </w:tcPr>
          <w:p w:rsidR="00547220" w:rsidRPr="00AE5B59" w:rsidRDefault="00547220" w:rsidP="005C40B1">
            <w:pPr>
              <w:spacing w:after="0"/>
              <w:ind w:firstLine="0"/>
              <w:jc w:val="right"/>
              <w:rPr>
                <w:rFonts w:ascii="Arial Narrow" w:hAnsi="Arial Narrow" w:cs="Arial"/>
                <w:lang w:val="es-ES" w:eastAsia="es-ES"/>
              </w:rPr>
            </w:pPr>
            <w:r>
              <w:rPr>
                <w:rFonts w:ascii="Arial Narrow" w:hAnsi="Arial Narrow" w:cs="Arial"/>
                <w:lang w:val="es-ES" w:eastAsia="es-ES"/>
              </w:rPr>
              <w:t>1.759.500</w:t>
            </w:r>
          </w:p>
        </w:tc>
        <w:tc>
          <w:tcPr>
            <w:tcW w:w="1480" w:type="dxa"/>
            <w:tcBorders>
              <w:top w:val="single" w:sz="4" w:space="0" w:color="auto"/>
              <w:bottom w:val="single" w:sz="2" w:space="0" w:color="auto"/>
            </w:tcBorders>
            <w:vAlign w:val="center"/>
          </w:tcPr>
          <w:p w:rsidR="00547220" w:rsidRPr="00AE5B59" w:rsidRDefault="00547220" w:rsidP="005C40B1">
            <w:pPr>
              <w:spacing w:after="0"/>
              <w:ind w:firstLine="0"/>
              <w:jc w:val="right"/>
              <w:rPr>
                <w:rFonts w:ascii="Arial Narrow" w:hAnsi="Arial Narrow" w:cs="Arial"/>
                <w:lang w:val="es-ES" w:eastAsia="es-ES"/>
              </w:rPr>
            </w:pPr>
            <w:r>
              <w:rPr>
                <w:rFonts w:ascii="Arial Narrow" w:hAnsi="Arial Narrow" w:cs="Arial"/>
                <w:lang w:val="es-ES" w:eastAsia="es-ES"/>
              </w:rPr>
              <w:t>1.471.492</w:t>
            </w:r>
          </w:p>
        </w:tc>
        <w:tc>
          <w:tcPr>
            <w:tcW w:w="1170" w:type="dxa"/>
            <w:tcBorders>
              <w:top w:val="single" w:sz="4" w:space="0" w:color="auto"/>
              <w:bottom w:val="single" w:sz="2" w:space="0" w:color="auto"/>
            </w:tcBorders>
            <w:vAlign w:val="center"/>
          </w:tcPr>
          <w:p w:rsidR="00547220" w:rsidRDefault="00547220" w:rsidP="00CD1EE7">
            <w:pPr>
              <w:spacing w:after="0"/>
              <w:ind w:firstLine="0"/>
              <w:jc w:val="right"/>
              <w:rPr>
                <w:rFonts w:ascii="Arial Narrow" w:hAnsi="Arial Narrow" w:cs="Arial"/>
                <w:lang w:val="es-ES" w:eastAsia="es-ES"/>
              </w:rPr>
            </w:pPr>
            <w:r>
              <w:rPr>
                <w:rFonts w:ascii="Arial Narrow" w:hAnsi="Arial Narrow" w:cs="Arial"/>
                <w:lang w:val="es-ES" w:eastAsia="es-ES"/>
              </w:rPr>
              <w:t>-16</w:t>
            </w:r>
          </w:p>
        </w:tc>
      </w:tr>
      <w:tr w:rsidR="00547220" w:rsidRPr="00AE5B59" w:rsidTr="00A20D5E">
        <w:trPr>
          <w:trHeight w:val="284"/>
          <w:jc w:val="center"/>
        </w:trPr>
        <w:tc>
          <w:tcPr>
            <w:tcW w:w="4717" w:type="dxa"/>
            <w:tcBorders>
              <w:top w:val="single" w:sz="2" w:space="0" w:color="auto"/>
              <w:bottom w:val="single" w:sz="2" w:space="0" w:color="auto"/>
            </w:tcBorders>
            <w:shd w:val="clear" w:color="auto" w:fill="auto"/>
            <w:vAlign w:val="center"/>
          </w:tcPr>
          <w:p w:rsidR="00547220" w:rsidRDefault="00547220" w:rsidP="005C40B1">
            <w:pPr>
              <w:spacing w:after="0"/>
              <w:ind w:firstLine="0"/>
              <w:jc w:val="left"/>
              <w:rPr>
                <w:rFonts w:ascii="Arial Narrow" w:hAnsi="Arial Narrow" w:cs="Arial"/>
                <w:lang w:eastAsia="es-ES"/>
              </w:rPr>
            </w:pPr>
            <w:r>
              <w:rPr>
                <w:rFonts w:ascii="Arial Narrow" w:hAnsi="Arial Narrow" w:cs="Arial"/>
                <w:lang w:eastAsia="es-ES"/>
              </w:rPr>
              <w:t>Préstamos largo plazo entidades financieras</w:t>
            </w:r>
          </w:p>
        </w:tc>
        <w:tc>
          <w:tcPr>
            <w:tcW w:w="1488" w:type="dxa"/>
            <w:tcBorders>
              <w:top w:val="single" w:sz="2" w:space="0" w:color="auto"/>
              <w:bottom w:val="single" w:sz="2" w:space="0" w:color="auto"/>
            </w:tcBorders>
            <w:shd w:val="clear" w:color="auto" w:fill="auto"/>
            <w:noWrap/>
            <w:vAlign w:val="center"/>
          </w:tcPr>
          <w:p w:rsidR="00547220" w:rsidRDefault="00547220" w:rsidP="005C40B1">
            <w:pPr>
              <w:spacing w:after="0"/>
              <w:ind w:firstLine="0"/>
              <w:jc w:val="right"/>
              <w:rPr>
                <w:rFonts w:ascii="Arial Narrow" w:hAnsi="Arial Narrow" w:cs="Arial"/>
                <w:lang w:val="es-ES" w:eastAsia="es-ES"/>
              </w:rPr>
            </w:pPr>
            <w:r>
              <w:rPr>
                <w:rFonts w:ascii="Arial Narrow" w:hAnsi="Arial Narrow" w:cs="Arial"/>
                <w:lang w:val="es-ES" w:eastAsia="es-ES"/>
              </w:rPr>
              <w:t>665.400</w:t>
            </w:r>
          </w:p>
        </w:tc>
        <w:tc>
          <w:tcPr>
            <w:tcW w:w="1480" w:type="dxa"/>
            <w:tcBorders>
              <w:top w:val="single" w:sz="2" w:space="0" w:color="auto"/>
              <w:bottom w:val="single" w:sz="2" w:space="0" w:color="auto"/>
            </w:tcBorders>
            <w:vAlign w:val="center"/>
          </w:tcPr>
          <w:p w:rsidR="00547220" w:rsidRDefault="00547220" w:rsidP="005C40B1">
            <w:pPr>
              <w:spacing w:after="0"/>
              <w:ind w:firstLine="0"/>
              <w:jc w:val="right"/>
              <w:rPr>
                <w:rFonts w:ascii="Arial Narrow" w:hAnsi="Arial Narrow" w:cs="Arial"/>
                <w:lang w:val="es-ES" w:eastAsia="es-ES"/>
              </w:rPr>
            </w:pPr>
            <w:r>
              <w:rPr>
                <w:rFonts w:ascii="Arial Narrow" w:hAnsi="Arial Narrow" w:cs="Arial"/>
                <w:lang w:val="es-ES" w:eastAsia="es-ES"/>
              </w:rPr>
              <w:t>1.055.200</w:t>
            </w:r>
          </w:p>
        </w:tc>
        <w:tc>
          <w:tcPr>
            <w:tcW w:w="1170" w:type="dxa"/>
            <w:tcBorders>
              <w:top w:val="single" w:sz="2" w:space="0" w:color="auto"/>
              <w:bottom w:val="single" w:sz="2" w:space="0" w:color="auto"/>
            </w:tcBorders>
            <w:vAlign w:val="center"/>
          </w:tcPr>
          <w:p w:rsidR="00547220" w:rsidRDefault="00547220" w:rsidP="00CD1EE7">
            <w:pPr>
              <w:spacing w:after="0"/>
              <w:ind w:firstLine="0"/>
              <w:jc w:val="right"/>
              <w:rPr>
                <w:rFonts w:ascii="Arial Narrow" w:hAnsi="Arial Narrow" w:cs="Arial"/>
                <w:lang w:val="es-ES" w:eastAsia="es-ES"/>
              </w:rPr>
            </w:pPr>
            <w:r>
              <w:rPr>
                <w:rFonts w:ascii="Arial Narrow" w:hAnsi="Arial Narrow" w:cs="Arial"/>
                <w:lang w:val="es-ES" w:eastAsia="es-ES"/>
              </w:rPr>
              <w:t>59</w:t>
            </w:r>
          </w:p>
        </w:tc>
      </w:tr>
      <w:tr w:rsidR="00547220" w:rsidRPr="00AE5B59" w:rsidTr="00A20D5E">
        <w:trPr>
          <w:trHeight w:val="284"/>
          <w:jc w:val="center"/>
        </w:trPr>
        <w:tc>
          <w:tcPr>
            <w:tcW w:w="4717" w:type="dxa"/>
            <w:tcBorders>
              <w:top w:val="single" w:sz="2" w:space="0" w:color="auto"/>
              <w:bottom w:val="single" w:sz="2" w:space="0" w:color="auto"/>
            </w:tcBorders>
            <w:shd w:val="clear" w:color="auto" w:fill="auto"/>
            <w:vAlign w:val="center"/>
          </w:tcPr>
          <w:p w:rsidR="00547220" w:rsidRPr="00AE5B59" w:rsidRDefault="00547220" w:rsidP="005C40B1">
            <w:pPr>
              <w:spacing w:after="0"/>
              <w:ind w:firstLine="0"/>
              <w:jc w:val="left"/>
              <w:rPr>
                <w:rFonts w:ascii="Arial Narrow" w:hAnsi="Arial Narrow" w:cs="Arial"/>
                <w:lang w:eastAsia="es-ES"/>
              </w:rPr>
            </w:pPr>
            <w:r>
              <w:rPr>
                <w:rFonts w:ascii="Arial Narrow" w:hAnsi="Arial Narrow" w:cs="Arial"/>
                <w:lang w:eastAsia="es-ES"/>
              </w:rPr>
              <w:t>Préstamos largo plazo sector público</w:t>
            </w:r>
          </w:p>
        </w:tc>
        <w:tc>
          <w:tcPr>
            <w:tcW w:w="1488" w:type="dxa"/>
            <w:tcBorders>
              <w:top w:val="single" w:sz="2" w:space="0" w:color="auto"/>
              <w:bottom w:val="single" w:sz="2" w:space="0" w:color="auto"/>
            </w:tcBorders>
            <w:shd w:val="clear" w:color="auto" w:fill="auto"/>
            <w:noWrap/>
            <w:vAlign w:val="center"/>
          </w:tcPr>
          <w:p w:rsidR="00547220" w:rsidRDefault="00547220" w:rsidP="005C40B1">
            <w:pPr>
              <w:spacing w:after="0"/>
              <w:ind w:firstLine="0"/>
              <w:jc w:val="right"/>
              <w:rPr>
                <w:rFonts w:ascii="Arial Narrow" w:hAnsi="Arial Narrow" w:cs="Arial"/>
                <w:lang w:val="es-ES" w:eastAsia="es-ES"/>
              </w:rPr>
            </w:pPr>
            <w:r>
              <w:rPr>
                <w:rFonts w:ascii="Arial Narrow" w:hAnsi="Arial Narrow" w:cs="Arial"/>
                <w:lang w:val="es-ES" w:eastAsia="es-ES"/>
              </w:rPr>
              <w:t>22.265</w:t>
            </w:r>
          </w:p>
        </w:tc>
        <w:tc>
          <w:tcPr>
            <w:tcW w:w="1480" w:type="dxa"/>
            <w:tcBorders>
              <w:top w:val="single" w:sz="2" w:space="0" w:color="auto"/>
              <w:bottom w:val="single" w:sz="2" w:space="0" w:color="auto"/>
            </w:tcBorders>
            <w:vAlign w:val="center"/>
          </w:tcPr>
          <w:p w:rsidR="00547220" w:rsidRDefault="00547220" w:rsidP="005C40B1">
            <w:pPr>
              <w:spacing w:after="0"/>
              <w:ind w:firstLine="0"/>
              <w:jc w:val="right"/>
              <w:rPr>
                <w:rFonts w:ascii="Arial Narrow" w:hAnsi="Arial Narrow" w:cs="Arial"/>
                <w:lang w:val="es-ES" w:eastAsia="es-ES"/>
              </w:rPr>
            </w:pPr>
            <w:r>
              <w:rPr>
                <w:rFonts w:ascii="Arial Narrow" w:hAnsi="Arial Narrow" w:cs="Arial"/>
                <w:lang w:val="es-ES" w:eastAsia="es-ES"/>
              </w:rPr>
              <w:t>22.339</w:t>
            </w:r>
          </w:p>
        </w:tc>
        <w:tc>
          <w:tcPr>
            <w:tcW w:w="1170" w:type="dxa"/>
            <w:tcBorders>
              <w:top w:val="single" w:sz="2" w:space="0" w:color="auto"/>
              <w:bottom w:val="single" w:sz="2" w:space="0" w:color="auto"/>
            </w:tcBorders>
            <w:vAlign w:val="center"/>
          </w:tcPr>
          <w:p w:rsidR="00547220" w:rsidRDefault="00547220" w:rsidP="00CD1EE7">
            <w:pPr>
              <w:spacing w:after="0"/>
              <w:ind w:firstLine="0"/>
              <w:jc w:val="right"/>
              <w:rPr>
                <w:rFonts w:ascii="Arial Narrow" w:hAnsi="Arial Narrow" w:cs="Arial"/>
                <w:lang w:val="es-ES" w:eastAsia="es-ES"/>
              </w:rPr>
            </w:pPr>
            <w:r>
              <w:rPr>
                <w:rFonts w:ascii="Arial Narrow" w:hAnsi="Arial Narrow" w:cs="Arial"/>
                <w:lang w:val="es-ES" w:eastAsia="es-ES"/>
              </w:rPr>
              <w:t>-</w:t>
            </w:r>
          </w:p>
        </w:tc>
      </w:tr>
      <w:tr w:rsidR="00547220" w:rsidRPr="00AE5B59" w:rsidTr="00A20D5E">
        <w:trPr>
          <w:trHeight w:val="284"/>
          <w:jc w:val="center"/>
        </w:trPr>
        <w:tc>
          <w:tcPr>
            <w:tcW w:w="4717" w:type="dxa"/>
            <w:tcBorders>
              <w:top w:val="single" w:sz="2" w:space="0" w:color="auto"/>
              <w:bottom w:val="single" w:sz="2" w:space="0" w:color="auto"/>
            </w:tcBorders>
            <w:shd w:val="clear" w:color="auto" w:fill="auto"/>
            <w:vAlign w:val="center"/>
          </w:tcPr>
          <w:p w:rsidR="00547220" w:rsidRPr="00FF70A3" w:rsidRDefault="00547220" w:rsidP="009C5992">
            <w:pPr>
              <w:spacing w:after="0"/>
              <w:ind w:firstLine="0"/>
              <w:jc w:val="left"/>
              <w:rPr>
                <w:rFonts w:ascii="Arial Narrow" w:hAnsi="Arial Narrow" w:cs="Arial"/>
                <w:i/>
                <w:lang w:eastAsia="es-ES"/>
              </w:rPr>
            </w:pPr>
            <w:r>
              <w:rPr>
                <w:rFonts w:ascii="Arial Narrow" w:hAnsi="Arial Narrow" w:cs="Arial"/>
                <w:i/>
                <w:lang w:eastAsia="es-ES"/>
              </w:rPr>
              <w:t>E</w:t>
            </w:r>
            <w:r w:rsidRPr="00FF70A3">
              <w:rPr>
                <w:rFonts w:ascii="Arial Narrow" w:hAnsi="Arial Narrow" w:cs="Arial"/>
                <w:i/>
                <w:lang w:eastAsia="es-ES"/>
              </w:rPr>
              <w:t>ndeudamiento a largo plazo (A)</w:t>
            </w:r>
          </w:p>
        </w:tc>
        <w:tc>
          <w:tcPr>
            <w:tcW w:w="1488" w:type="dxa"/>
            <w:tcBorders>
              <w:top w:val="single" w:sz="2" w:space="0" w:color="auto"/>
              <w:bottom w:val="single" w:sz="2" w:space="0" w:color="auto"/>
            </w:tcBorders>
            <w:shd w:val="clear" w:color="auto" w:fill="auto"/>
            <w:noWrap/>
            <w:vAlign w:val="center"/>
          </w:tcPr>
          <w:p w:rsidR="00547220" w:rsidRPr="00FF70A3" w:rsidRDefault="00547220" w:rsidP="005C40B1">
            <w:pPr>
              <w:spacing w:after="0"/>
              <w:ind w:firstLine="0"/>
              <w:jc w:val="right"/>
              <w:rPr>
                <w:rFonts w:ascii="Arial Narrow" w:hAnsi="Arial Narrow" w:cs="Arial"/>
                <w:i/>
                <w:lang w:val="es-ES" w:eastAsia="es-ES"/>
              </w:rPr>
            </w:pPr>
            <w:r>
              <w:rPr>
                <w:rFonts w:ascii="Arial Narrow" w:hAnsi="Arial Narrow" w:cs="Arial"/>
                <w:i/>
                <w:lang w:val="es-ES" w:eastAsia="es-ES"/>
              </w:rPr>
              <w:t>2.447.165</w:t>
            </w:r>
          </w:p>
        </w:tc>
        <w:tc>
          <w:tcPr>
            <w:tcW w:w="1480" w:type="dxa"/>
            <w:tcBorders>
              <w:top w:val="single" w:sz="2" w:space="0" w:color="auto"/>
              <w:bottom w:val="single" w:sz="2" w:space="0" w:color="auto"/>
            </w:tcBorders>
            <w:vAlign w:val="center"/>
          </w:tcPr>
          <w:p w:rsidR="00547220" w:rsidRPr="00FF70A3" w:rsidRDefault="00547220" w:rsidP="005C40B1">
            <w:pPr>
              <w:spacing w:after="0"/>
              <w:ind w:firstLine="0"/>
              <w:jc w:val="right"/>
              <w:rPr>
                <w:rFonts w:ascii="Arial Narrow" w:hAnsi="Arial Narrow" w:cs="Arial"/>
                <w:i/>
                <w:lang w:val="es-ES" w:eastAsia="es-ES"/>
              </w:rPr>
            </w:pPr>
            <w:r>
              <w:rPr>
                <w:rFonts w:ascii="Arial Narrow" w:hAnsi="Arial Narrow" w:cs="Arial"/>
                <w:i/>
                <w:lang w:val="es-ES" w:eastAsia="es-ES"/>
              </w:rPr>
              <w:t>2.549.031</w:t>
            </w:r>
          </w:p>
        </w:tc>
        <w:tc>
          <w:tcPr>
            <w:tcW w:w="1170" w:type="dxa"/>
            <w:tcBorders>
              <w:top w:val="single" w:sz="2" w:space="0" w:color="auto"/>
              <w:bottom w:val="single" w:sz="2" w:space="0" w:color="auto"/>
            </w:tcBorders>
            <w:vAlign w:val="center"/>
          </w:tcPr>
          <w:p w:rsidR="00547220" w:rsidRDefault="00547220" w:rsidP="00CD1EE7">
            <w:pPr>
              <w:spacing w:after="0"/>
              <w:ind w:firstLine="0"/>
              <w:jc w:val="right"/>
              <w:rPr>
                <w:rFonts w:ascii="Arial Narrow" w:hAnsi="Arial Narrow" w:cs="Arial"/>
                <w:i/>
                <w:lang w:val="es-ES" w:eastAsia="es-ES"/>
              </w:rPr>
            </w:pPr>
            <w:r>
              <w:rPr>
                <w:rFonts w:ascii="Arial Narrow" w:hAnsi="Arial Narrow" w:cs="Arial"/>
                <w:i/>
                <w:lang w:val="es-ES" w:eastAsia="es-ES"/>
              </w:rPr>
              <w:t>4</w:t>
            </w:r>
          </w:p>
        </w:tc>
      </w:tr>
      <w:tr w:rsidR="00547220" w:rsidRPr="00AE5B59" w:rsidTr="00A20D5E">
        <w:trPr>
          <w:trHeight w:val="284"/>
          <w:jc w:val="center"/>
        </w:trPr>
        <w:tc>
          <w:tcPr>
            <w:tcW w:w="4717" w:type="dxa"/>
            <w:tcBorders>
              <w:top w:val="single" w:sz="2" w:space="0" w:color="auto"/>
              <w:bottom w:val="single" w:sz="2" w:space="0" w:color="auto"/>
            </w:tcBorders>
            <w:shd w:val="clear" w:color="auto" w:fill="auto"/>
            <w:vAlign w:val="center"/>
          </w:tcPr>
          <w:p w:rsidR="00547220" w:rsidRPr="00AE5B59" w:rsidRDefault="00547220" w:rsidP="005C40B1">
            <w:pPr>
              <w:spacing w:after="0"/>
              <w:ind w:firstLine="0"/>
              <w:jc w:val="left"/>
              <w:rPr>
                <w:rFonts w:ascii="Arial Narrow" w:hAnsi="Arial Narrow" w:cs="Arial"/>
                <w:lang w:eastAsia="es-ES"/>
              </w:rPr>
            </w:pPr>
            <w:r>
              <w:rPr>
                <w:rFonts w:ascii="Arial Narrow" w:hAnsi="Arial Narrow" w:cs="Arial"/>
                <w:lang w:eastAsia="es-ES"/>
              </w:rPr>
              <w:t>Deuda Pública de Navarra a corto plazo</w:t>
            </w:r>
          </w:p>
        </w:tc>
        <w:tc>
          <w:tcPr>
            <w:tcW w:w="1488" w:type="dxa"/>
            <w:tcBorders>
              <w:top w:val="single" w:sz="2" w:space="0" w:color="auto"/>
              <w:bottom w:val="single" w:sz="2" w:space="0" w:color="auto"/>
            </w:tcBorders>
            <w:shd w:val="clear" w:color="auto" w:fill="auto"/>
            <w:noWrap/>
            <w:vAlign w:val="center"/>
          </w:tcPr>
          <w:p w:rsidR="00547220" w:rsidRDefault="00547220" w:rsidP="005C40B1">
            <w:pPr>
              <w:spacing w:after="0"/>
              <w:ind w:firstLine="0"/>
              <w:jc w:val="right"/>
              <w:rPr>
                <w:rFonts w:ascii="Arial Narrow" w:hAnsi="Arial Narrow" w:cs="Arial"/>
                <w:lang w:val="es-ES" w:eastAsia="es-ES"/>
              </w:rPr>
            </w:pPr>
            <w:r>
              <w:rPr>
                <w:rFonts w:ascii="Arial Narrow" w:hAnsi="Arial Narrow" w:cs="Arial"/>
                <w:lang w:val="es-ES" w:eastAsia="es-ES"/>
              </w:rPr>
              <w:t>250.713</w:t>
            </w:r>
          </w:p>
        </w:tc>
        <w:tc>
          <w:tcPr>
            <w:tcW w:w="1480" w:type="dxa"/>
            <w:tcBorders>
              <w:top w:val="single" w:sz="2" w:space="0" w:color="auto"/>
              <w:bottom w:val="single" w:sz="2" w:space="0" w:color="auto"/>
            </w:tcBorders>
            <w:vAlign w:val="center"/>
          </w:tcPr>
          <w:p w:rsidR="00547220" w:rsidRDefault="00547220" w:rsidP="005C40B1">
            <w:pPr>
              <w:spacing w:after="0"/>
              <w:ind w:firstLine="0"/>
              <w:jc w:val="right"/>
              <w:rPr>
                <w:rFonts w:ascii="Arial Narrow" w:hAnsi="Arial Narrow" w:cs="Arial"/>
                <w:lang w:val="es-ES" w:eastAsia="es-ES"/>
              </w:rPr>
            </w:pPr>
            <w:r>
              <w:rPr>
                <w:rFonts w:ascii="Arial Narrow" w:hAnsi="Arial Narrow" w:cs="Arial"/>
                <w:lang w:val="es-ES" w:eastAsia="es-ES"/>
              </w:rPr>
              <w:t>289.067</w:t>
            </w:r>
          </w:p>
        </w:tc>
        <w:tc>
          <w:tcPr>
            <w:tcW w:w="1170" w:type="dxa"/>
            <w:tcBorders>
              <w:top w:val="single" w:sz="2" w:space="0" w:color="auto"/>
              <w:bottom w:val="single" w:sz="2" w:space="0" w:color="auto"/>
            </w:tcBorders>
            <w:vAlign w:val="center"/>
          </w:tcPr>
          <w:p w:rsidR="00547220" w:rsidRDefault="00547220" w:rsidP="00CD1EE7">
            <w:pPr>
              <w:spacing w:after="0"/>
              <w:ind w:firstLine="0"/>
              <w:jc w:val="right"/>
              <w:rPr>
                <w:rFonts w:ascii="Arial Narrow" w:hAnsi="Arial Narrow" w:cs="Arial"/>
                <w:lang w:val="es-ES" w:eastAsia="es-ES"/>
              </w:rPr>
            </w:pPr>
            <w:r>
              <w:rPr>
                <w:rFonts w:ascii="Arial Narrow" w:hAnsi="Arial Narrow" w:cs="Arial"/>
                <w:lang w:val="es-ES" w:eastAsia="es-ES"/>
              </w:rPr>
              <w:t>15</w:t>
            </w:r>
          </w:p>
        </w:tc>
      </w:tr>
      <w:tr w:rsidR="00547220" w:rsidRPr="00AE5B59" w:rsidTr="00A20D5E">
        <w:trPr>
          <w:trHeight w:val="284"/>
          <w:jc w:val="center"/>
        </w:trPr>
        <w:tc>
          <w:tcPr>
            <w:tcW w:w="4717" w:type="dxa"/>
            <w:tcBorders>
              <w:top w:val="single" w:sz="2" w:space="0" w:color="auto"/>
              <w:bottom w:val="single" w:sz="2" w:space="0" w:color="auto"/>
            </w:tcBorders>
            <w:shd w:val="clear" w:color="auto" w:fill="auto"/>
            <w:vAlign w:val="center"/>
          </w:tcPr>
          <w:p w:rsidR="00547220" w:rsidRDefault="00547220" w:rsidP="005C40B1">
            <w:pPr>
              <w:spacing w:after="0"/>
              <w:ind w:firstLine="0"/>
              <w:jc w:val="left"/>
              <w:rPr>
                <w:rFonts w:ascii="Arial Narrow" w:hAnsi="Arial Narrow" w:cs="Arial"/>
                <w:lang w:eastAsia="es-ES"/>
              </w:rPr>
            </w:pPr>
            <w:r>
              <w:rPr>
                <w:rFonts w:ascii="Arial Narrow" w:hAnsi="Arial Narrow" w:cs="Arial"/>
                <w:lang w:eastAsia="es-ES"/>
              </w:rPr>
              <w:t>Intereses a corto plazo deuda pública</w:t>
            </w:r>
          </w:p>
        </w:tc>
        <w:tc>
          <w:tcPr>
            <w:tcW w:w="1488" w:type="dxa"/>
            <w:tcBorders>
              <w:top w:val="single" w:sz="2" w:space="0" w:color="auto"/>
              <w:bottom w:val="single" w:sz="2" w:space="0" w:color="auto"/>
            </w:tcBorders>
            <w:shd w:val="clear" w:color="auto" w:fill="auto"/>
            <w:noWrap/>
            <w:vAlign w:val="center"/>
          </w:tcPr>
          <w:p w:rsidR="00547220" w:rsidRDefault="00547220" w:rsidP="005C40B1">
            <w:pPr>
              <w:spacing w:after="0"/>
              <w:ind w:firstLine="0"/>
              <w:jc w:val="right"/>
              <w:rPr>
                <w:rFonts w:ascii="Arial Narrow" w:hAnsi="Arial Narrow" w:cs="Arial"/>
                <w:lang w:val="es-ES" w:eastAsia="es-ES"/>
              </w:rPr>
            </w:pPr>
            <w:r>
              <w:rPr>
                <w:rFonts w:ascii="Arial Narrow" w:hAnsi="Arial Narrow" w:cs="Arial"/>
                <w:lang w:val="es-ES" w:eastAsia="es-ES"/>
              </w:rPr>
              <w:t>53.583</w:t>
            </w:r>
          </w:p>
        </w:tc>
        <w:tc>
          <w:tcPr>
            <w:tcW w:w="1480" w:type="dxa"/>
            <w:tcBorders>
              <w:top w:val="single" w:sz="2" w:space="0" w:color="auto"/>
              <w:bottom w:val="single" w:sz="2" w:space="0" w:color="auto"/>
            </w:tcBorders>
            <w:vAlign w:val="center"/>
          </w:tcPr>
          <w:p w:rsidR="00547220" w:rsidRDefault="00547220" w:rsidP="005C40B1">
            <w:pPr>
              <w:spacing w:after="0"/>
              <w:ind w:firstLine="0"/>
              <w:jc w:val="right"/>
              <w:rPr>
                <w:rFonts w:ascii="Arial Narrow" w:hAnsi="Arial Narrow" w:cs="Arial"/>
                <w:lang w:val="es-ES" w:eastAsia="es-ES"/>
              </w:rPr>
            </w:pPr>
            <w:r>
              <w:rPr>
                <w:rFonts w:ascii="Arial Narrow" w:hAnsi="Arial Narrow" w:cs="Arial"/>
                <w:lang w:val="es-ES" w:eastAsia="es-ES"/>
              </w:rPr>
              <w:t>48.661</w:t>
            </w:r>
          </w:p>
        </w:tc>
        <w:tc>
          <w:tcPr>
            <w:tcW w:w="1170" w:type="dxa"/>
            <w:tcBorders>
              <w:top w:val="single" w:sz="2" w:space="0" w:color="auto"/>
              <w:bottom w:val="single" w:sz="2" w:space="0" w:color="auto"/>
            </w:tcBorders>
            <w:vAlign w:val="center"/>
          </w:tcPr>
          <w:p w:rsidR="00547220" w:rsidRDefault="00547220" w:rsidP="00CD1EE7">
            <w:pPr>
              <w:spacing w:after="0"/>
              <w:ind w:firstLine="0"/>
              <w:jc w:val="right"/>
              <w:rPr>
                <w:rFonts w:ascii="Arial Narrow" w:hAnsi="Arial Narrow" w:cs="Arial"/>
                <w:lang w:val="es-ES" w:eastAsia="es-ES"/>
              </w:rPr>
            </w:pPr>
            <w:r>
              <w:rPr>
                <w:rFonts w:ascii="Arial Narrow" w:hAnsi="Arial Narrow" w:cs="Arial"/>
                <w:lang w:val="es-ES" w:eastAsia="es-ES"/>
              </w:rPr>
              <w:t>-9</w:t>
            </w:r>
          </w:p>
        </w:tc>
      </w:tr>
      <w:tr w:rsidR="00547220" w:rsidRPr="00AE5B59" w:rsidTr="00A20D5E">
        <w:trPr>
          <w:trHeight w:val="284"/>
          <w:jc w:val="center"/>
        </w:trPr>
        <w:tc>
          <w:tcPr>
            <w:tcW w:w="4717" w:type="dxa"/>
            <w:tcBorders>
              <w:top w:val="single" w:sz="2" w:space="0" w:color="auto"/>
              <w:bottom w:val="single" w:sz="2" w:space="0" w:color="auto"/>
            </w:tcBorders>
            <w:shd w:val="clear" w:color="auto" w:fill="auto"/>
            <w:vAlign w:val="center"/>
          </w:tcPr>
          <w:p w:rsidR="00547220" w:rsidRPr="00AE5B59" w:rsidRDefault="00547220" w:rsidP="005C40B1">
            <w:pPr>
              <w:spacing w:after="0"/>
              <w:ind w:firstLine="0"/>
              <w:jc w:val="left"/>
              <w:rPr>
                <w:rFonts w:ascii="Arial Narrow" w:hAnsi="Arial Narrow" w:cs="Arial"/>
                <w:lang w:eastAsia="es-ES"/>
              </w:rPr>
            </w:pPr>
            <w:r>
              <w:rPr>
                <w:rFonts w:ascii="Arial Narrow" w:hAnsi="Arial Narrow" w:cs="Arial"/>
                <w:lang w:eastAsia="es-ES"/>
              </w:rPr>
              <w:t>Intereses a corto plazo préstamos</w:t>
            </w:r>
          </w:p>
        </w:tc>
        <w:tc>
          <w:tcPr>
            <w:tcW w:w="1488" w:type="dxa"/>
            <w:tcBorders>
              <w:top w:val="single" w:sz="2" w:space="0" w:color="auto"/>
              <w:bottom w:val="single" w:sz="2" w:space="0" w:color="auto"/>
            </w:tcBorders>
            <w:shd w:val="clear" w:color="auto" w:fill="auto"/>
            <w:noWrap/>
            <w:vAlign w:val="center"/>
          </w:tcPr>
          <w:p w:rsidR="00547220" w:rsidRDefault="00547220" w:rsidP="005C40B1">
            <w:pPr>
              <w:spacing w:after="0"/>
              <w:ind w:firstLine="0"/>
              <w:jc w:val="right"/>
              <w:rPr>
                <w:rFonts w:ascii="Arial Narrow" w:hAnsi="Arial Narrow" w:cs="Arial"/>
                <w:lang w:val="es-ES" w:eastAsia="es-ES"/>
              </w:rPr>
            </w:pPr>
            <w:r>
              <w:rPr>
                <w:rFonts w:ascii="Arial Narrow" w:hAnsi="Arial Narrow" w:cs="Arial"/>
                <w:lang w:val="es-ES" w:eastAsia="es-ES"/>
              </w:rPr>
              <w:t>8.153</w:t>
            </w:r>
          </w:p>
        </w:tc>
        <w:tc>
          <w:tcPr>
            <w:tcW w:w="1480" w:type="dxa"/>
            <w:tcBorders>
              <w:top w:val="single" w:sz="2" w:space="0" w:color="auto"/>
              <w:bottom w:val="single" w:sz="2" w:space="0" w:color="auto"/>
            </w:tcBorders>
            <w:vAlign w:val="center"/>
          </w:tcPr>
          <w:p w:rsidR="00547220" w:rsidRDefault="00547220" w:rsidP="005C40B1">
            <w:pPr>
              <w:spacing w:after="0"/>
              <w:ind w:firstLine="0"/>
              <w:jc w:val="right"/>
              <w:rPr>
                <w:rFonts w:ascii="Arial Narrow" w:hAnsi="Arial Narrow" w:cs="Arial"/>
                <w:lang w:val="es-ES" w:eastAsia="es-ES"/>
              </w:rPr>
            </w:pPr>
            <w:r>
              <w:rPr>
                <w:rFonts w:ascii="Arial Narrow" w:hAnsi="Arial Narrow" w:cs="Arial"/>
                <w:lang w:val="es-ES" w:eastAsia="es-ES"/>
              </w:rPr>
              <w:t>12.102</w:t>
            </w:r>
          </w:p>
        </w:tc>
        <w:tc>
          <w:tcPr>
            <w:tcW w:w="1170" w:type="dxa"/>
            <w:tcBorders>
              <w:top w:val="single" w:sz="2" w:space="0" w:color="auto"/>
              <w:bottom w:val="single" w:sz="2" w:space="0" w:color="auto"/>
            </w:tcBorders>
            <w:vAlign w:val="center"/>
          </w:tcPr>
          <w:p w:rsidR="00547220" w:rsidRDefault="00547220" w:rsidP="00CD1EE7">
            <w:pPr>
              <w:spacing w:after="0"/>
              <w:ind w:firstLine="0"/>
              <w:jc w:val="right"/>
              <w:rPr>
                <w:rFonts w:ascii="Arial Narrow" w:hAnsi="Arial Narrow" w:cs="Arial"/>
                <w:lang w:val="es-ES" w:eastAsia="es-ES"/>
              </w:rPr>
            </w:pPr>
            <w:r>
              <w:rPr>
                <w:rFonts w:ascii="Arial Narrow" w:hAnsi="Arial Narrow" w:cs="Arial"/>
                <w:lang w:val="es-ES" w:eastAsia="es-ES"/>
              </w:rPr>
              <w:t>48</w:t>
            </w:r>
          </w:p>
        </w:tc>
      </w:tr>
      <w:tr w:rsidR="00547220" w:rsidRPr="00AE5B59" w:rsidTr="00A20D5E">
        <w:trPr>
          <w:trHeight w:val="284"/>
          <w:jc w:val="center"/>
        </w:trPr>
        <w:tc>
          <w:tcPr>
            <w:tcW w:w="4717" w:type="dxa"/>
            <w:tcBorders>
              <w:top w:val="single" w:sz="4" w:space="0" w:color="auto"/>
              <w:bottom w:val="single" w:sz="2" w:space="0" w:color="auto"/>
            </w:tcBorders>
            <w:shd w:val="clear" w:color="auto" w:fill="auto"/>
            <w:vAlign w:val="center"/>
          </w:tcPr>
          <w:p w:rsidR="00547220" w:rsidRPr="00FF70A3" w:rsidRDefault="00547220" w:rsidP="009C5992">
            <w:pPr>
              <w:spacing w:after="0"/>
              <w:ind w:firstLine="0"/>
              <w:jc w:val="left"/>
              <w:rPr>
                <w:rFonts w:ascii="Arial Narrow" w:hAnsi="Arial Narrow" w:cs="Arial"/>
                <w:i/>
                <w:lang w:eastAsia="es-ES"/>
              </w:rPr>
            </w:pPr>
            <w:r>
              <w:rPr>
                <w:rFonts w:ascii="Arial Narrow" w:hAnsi="Arial Narrow" w:cs="Arial"/>
                <w:i/>
                <w:lang w:eastAsia="es-ES"/>
              </w:rPr>
              <w:t>E</w:t>
            </w:r>
            <w:r w:rsidRPr="00FF70A3">
              <w:rPr>
                <w:rFonts w:ascii="Arial Narrow" w:hAnsi="Arial Narrow" w:cs="Arial"/>
                <w:i/>
                <w:lang w:eastAsia="es-ES"/>
              </w:rPr>
              <w:t>ndeudamiento a corto plazo (B)</w:t>
            </w:r>
          </w:p>
        </w:tc>
        <w:tc>
          <w:tcPr>
            <w:tcW w:w="1488" w:type="dxa"/>
            <w:tcBorders>
              <w:top w:val="single" w:sz="4" w:space="0" w:color="auto"/>
              <w:bottom w:val="single" w:sz="2" w:space="0" w:color="auto"/>
            </w:tcBorders>
            <w:shd w:val="clear" w:color="auto" w:fill="auto"/>
            <w:noWrap/>
            <w:vAlign w:val="center"/>
          </w:tcPr>
          <w:p w:rsidR="00547220" w:rsidRPr="00FF70A3" w:rsidRDefault="00547220" w:rsidP="005C40B1">
            <w:pPr>
              <w:spacing w:after="0"/>
              <w:ind w:firstLine="0"/>
              <w:jc w:val="right"/>
              <w:rPr>
                <w:rFonts w:ascii="Arial Narrow" w:hAnsi="Arial Narrow" w:cs="Arial"/>
                <w:i/>
                <w:lang w:val="es-ES" w:eastAsia="es-ES"/>
              </w:rPr>
            </w:pPr>
            <w:r>
              <w:rPr>
                <w:rFonts w:ascii="Arial Narrow" w:hAnsi="Arial Narrow" w:cs="Arial"/>
                <w:i/>
                <w:lang w:val="es-ES" w:eastAsia="es-ES"/>
              </w:rPr>
              <w:t>312.449</w:t>
            </w:r>
          </w:p>
        </w:tc>
        <w:tc>
          <w:tcPr>
            <w:tcW w:w="1480" w:type="dxa"/>
            <w:tcBorders>
              <w:top w:val="single" w:sz="4" w:space="0" w:color="auto"/>
              <w:bottom w:val="single" w:sz="2" w:space="0" w:color="auto"/>
            </w:tcBorders>
            <w:vAlign w:val="center"/>
          </w:tcPr>
          <w:p w:rsidR="00547220" w:rsidRPr="00FF70A3" w:rsidRDefault="00547220" w:rsidP="005C40B1">
            <w:pPr>
              <w:spacing w:after="0"/>
              <w:ind w:firstLine="0"/>
              <w:jc w:val="right"/>
              <w:rPr>
                <w:rFonts w:ascii="Arial Narrow" w:hAnsi="Arial Narrow" w:cs="Arial"/>
                <w:i/>
                <w:lang w:val="es-ES" w:eastAsia="es-ES"/>
              </w:rPr>
            </w:pPr>
            <w:r>
              <w:rPr>
                <w:rFonts w:ascii="Arial Narrow" w:hAnsi="Arial Narrow" w:cs="Arial"/>
                <w:i/>
                <w:lang w:val="es-ES" w:eastAsia="es-ES"/>
              </w:rPr>
              <w:t>349.830</w:t>
            </w:r>
          </w:p>
        </w:tc>
        <w:tc>
          <w:tcPr>
            <w:tcW w:w="1170" w:type="dxa"/>
            <w:tcBorders>
              <w:top w:val="single" w:sz="4" w:space="0" w:color="auto"/>
              <w:bottom w:val="single" w:sz="2" w:space="0" w:color="auto"/>
            </w:tcBorders>
            <w:vAlign w:val="center"/>
          </w:tcPr>
          <w:p w:rsidR="00547220" w:rsidRDefault="00547220" w:rsidP="00CD1EE7">
            <w:pPr>
              <w:spacing w:after="0"/>
              <w:ind w:firstLine="0"/>
              <w:jc w:val="right"/>
              <w:rPr>
                <w:rFonts w:ascii="Arial Narrow" w:hAnsi="Arial Narrow" w:cs="Arial"/>
                <w:i/>
                <w:lang w:val="es-ES" w:eastAsia="es-ES"/>
              </w:rPr>
            </w:pPr>
            <w:r>
              <w:rPr>
                <w:rFonts w:ascii="Arial Narrow" w:hAnsi="Arial Narrow" w:cs="Arial"/>
                <w:i/>
                <w:lang w:val="es-ES" w:eastAsia="es-ES"/>
              </w:rPr>
              <w:t>12</w:t>
            </w:r>
          </w:p>
        </w:tc>
      </w:tr>
      <w:tr w:rsidR="00547220" w:rsidRPr="00FD1EFF" w:rsidTr="00A20D5E">
        <w:trPr>
          <w:trHeight w:val="284"/>
          <w:jc w:val="center"/>
        </w:trPr>
        <w:tc>
          <w:tcPr>
            <w:tcW w:w="4717" w:type="dxa"/>
            <w:tcBorders>
              <w:top w:val="single" w:sz="2" w:space="0" w:color="auto"/>
              <w:bottom w:val="single" w:sz="4" w:space="0" w:color="auto"/>
            </w:tcBorders>
            <w:shd w:val="clear" w:color="auto" w:fill="A8CBEE" w:themeFill="accent2" w:themeFillTint="66"/>
            <w:vAlign w:val="center"/>
          </w:tcPr>
          <w:p w:rsidR="00547220" w:rsidRPr="00FD1EFF" w:rsidRDefault="00547220" w:rsidP="005C40B1">
            <w:pPr>
              <w:pStyle w:val="cuadroCabe"/>
              <w:rPr>
                <w:lang w:val="es-ES" w:eastAsia="es-ES"/>
              </w:rPr>
            </w:pPr>
            <w:r>
              <w:rPr>
                <w:lang w:val="es-ES" w:eastAsia="es-ES"/>
              </w:rPr>
              <w:t>Total Endeudamiento (A+B)</w:t>
            </w:r>
          </w:p>
        </w:tc>
        <w:tc>
          <w:tcPr>
            <w:tcW w:w="1488" w:type="dxa"/>
            <w:tcBorders>
              <w:top w:val="single" w:sz="2" w:space="0" w:color="auto"/>
              <w:bottom w:val="single" w:sz="4" w:space="0" w:color="auto"/>
            </w:tcBorders>
            <w:shd w:val="clear" w:color="auto" w:fill="A8CBEE" w:themeFill="accent2" w:themeFillTint="66"/>
            <w:noWrap/>
            <w:vAlign w:val="center"/>
          </w:tcPr>
          <w:p w:rsidR="00547220" w:rsidRPr="00FD1EFF" w:rsidRDefault="00547220" w:rsidP="005C40B1">
            <w:pPr>
              <w:pStyle w:val="cuadroCabe"/>
              <w:jc w:val="right"/>
              <w:rPr>
                <w:lang w:val="es-ES" w:eastAsia="es-ES"/>
              </w:rPr>
            </w:pPr>
            <w:r>
              <w:rPr>
                <w:lang w:val="es-ES" w:eastAsia="es-ES"/>
              </w:rPr>
              <w:t>2.759.614</w:t>
            </w:r>
          </w:p>
        </w:tc>
        <w:tc>
          <w:tcPr>
            <w:tcW w:w="1480" w:type="dxa"/>
            <w:tcBorders>
              <w:top w:val="single" w:sz="2" w:space="0" w:color="auto"/>
              <w:bottom w:val="single" w:sz="4" w:space="0" w:color="auto"/>
            </w:tcBorders>
            <w:shd w:val="clear" w:color="auto" w:fill="A8CBEE" w:themeFill="accent2" w:themeFillTint="66"/>
            <w:vAlign w:val="center"/>
          </w:tcPr>
          <w:p w:rsidR="00547220" w:rsidRPr="00FD1EFF" w:rsidRDefault="00547220" w:rsidP="005C40B1">
            <w:pPr>
              <w:pStyle w:val="cuadroCabe"/>
              <w:jc w:val="right"/>
              <w:rPr>
                <w:lang w:val="es-ES" w:eastAsia="es-ES"/>
              </w:rPr>
            </w:pPr>
            <w:r>
              <w:rPr>
                <w:lang w:val="es-ES" w:eastAsia="es-ES"/>
              </w:rPr>
              <w:t>2.898.861</w:t>
            </w:r>
          </w:p>
        </w:tc>
        <w:tc>
          <w:tcPr>
            <w:tcW w:w="1170" w:type="dxa"/>
            <w:tcBorders>
              <w:top w:val="single" w:sz="2" w:space="0" w:color="auto"/>
              <w:bottom w:val="single" w:sz="4" w:space="0" w:color="auto"/>
            </w:tcBorders>
            <w:shd w:val="clear" w:color="auto" w:fill="A8CBEE" w:themeFill="accent2" w:themeFillTint="66"/>
            <w:vAlign w:val="center"/>
          </w:tcPr>
          <w:p w:rsidR="00547220" w:rsidRDefault="00547220" w:rsidP="00CD1EE7">
            <w:pPr>
              <w:pStyle w:val="cuadroCabe"/>
              <w:jc w:val="right"/>
              <w:rPr>
                <w:lang w:val="es-ES" w:eastAsia="es-ES"/>
              </w:rPr>
            </w:pPr>
            <w:r>
              <w:rPr>
                <w:lang w:val="es-ES" w:eastAsia="es-ES"/>
              </w:rPr>
              <w:t>5</w:t>
            </w:r>
          </w:p>
        </w:tc>
      </w:tr>
    </w:tbl>
    <w:p w:rsidR="00942001" w:rsidRDefault="00942001" w:rsidP="001A0239">
      <w:pPr>
        <w:pStyle w:val="texto"/>
        <w:spacing w:before="200" w:after="120"/>
        <w:rPr>
          <w:lang w:val="es-ES"/>
        </w:rPr>
      </w:pPr>
      <w:r>
        <w:rPr>
          <w:lang w:val="es-ES"/>
        </w:rPr>
        <w:lastRenderedPageBreak/>
        <w:t xml:space="preserve">Previamente conviene aclarar </w:t>
      </w:r>
      <w:r w:rsidRPr="005E3C01">
        <w:rPr>
          <w:lang w:val="es-ES"/>
        </w:rPr>
        <w:t xml:space="preserve">que </w:t>
      </w:r>
      <w:r>
        <w:rPr>
          <w:lang w:val="es-ES"/>
        </w:rPr>
        <w:t>los datos anteriores presentan una difere</w:t>
      </w:r>
      <w:r>
        <w:rPr>
          <w:lang w:val="es-ES"/>
        </w:rPr>
        <w:t>n</w:t>
      </w:r>
      <w:r>
        <w:rPr>
          <w:lang w:val="es-ES"/>
        </w:rPr>
        <w:t>cia con lo reflejado en el balance del Gobierno de Navarra</w:t>
      </w:r>
      <w:r w:rsidR="009B5A35">
        <w:rPr>
          <w:lang w:val="es-ES"/>
        </w:rPr>
        <w:t xml:space="preserve"> –acreedores a largo plazo</w:t>
      </w:r>
      <w:r w:rsidR="00A20D5E">
        <w:rPr>
          <w:lang w:val="es-ES"/>
        </w:rPr>
        <w:t>–</w:t>
      </w:r>
      <w:r>
        <w:rPr>
          <w:lang w:val="es-ES"/>
        </w:rPr>
        <w:t xml:space="preserve"> derivada de:</w:t>
      </w:r>
    </w:p>
    <w:p w:rsidR="00942001" w:rsidRDefault="00942001" w:rsidP="00942001">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Pr>
          <w:lang w:val="es-ES"/>
        </w:rPr>
        <w:t>En los balances de situación de 2014 y 2015, se incluyen dentro de</w:t>
      </w:r>
      <w:r w:rsidR="009B5A35">
        <w:rPr>
          <w:lang w:val="es-ES"/>
        </w:rPr>
        <w:t xml:space="preserve"> acre</w:t>
      </w:r>
      <w:r w:rsidR="009B5A35">
        <w:rPr>
          <w:lang w:val="es-ES"/>
        </w:rPr>
        <w:t>e</w:t>
      </w:r>
      <w:r w:rsidR="009B5A35">
        <w:rPr>
          <w:lang w:val="es-ES"/>
        </w:rPr>
        <w:t>dores a largo plazo</w:t>
      </w:r>
      <w:r>
        <w:rPr>
          <w:lang w:val="es-ES"/>
        </w:rPr>
        <w:t>, las fianzas recibidas por importe de 0,47 y 0,45 millones, respectivamente.</w:t>
      </w:r>
    </w:p>
    <w:p w:rsidR="00942001" w:rsidRPr="00671BAC" w:rsidRDefault="009B5A35" w:rsidP="00942001">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Pr>
          <w:lang w:val="es-ES"/>
        </w:rPr>
        <w:t>E</w:t>
      </w:r>
      <w:r w:rsidR="00942001">
        <w:rPr>
          <w:lang w:val="es-ES"/>
        </w:rPr>
        <w:t xml:space="preserve">l balance de 2015 </w:t>
      </w:r>
      <w:r>
        <w:rPr>
          <w:lang w:val="es-ES"/>
        </w:rPr>
        <w:t>contiene una</w:t>
      </w:r>
      <w:r w:rsidR="00942001">
        <w:rPr>
          <w:lang w:val="es-ES"/>
        </w:rPr>
        <w:t xml:space="preserve"> “Provisión de Inmovilizado a largo plazo de los bienes del Club Atlético Osasuna” por importe de 10,87 millones. Esta provisión deriva de la aplicación de la Ley Foral 26/2014, de reestructuración de la deuda tributaria del citado Club con la Hacienda Foral y corresponde al valor de </w:t>
      </w:r>
      <w:r w:rsidR="0066463C">
        <w:rPr>
          <w:lang w:val="es-ES"/>
        </w:rPr>
        <w:t>las obligaciones contraídas por el Club a favor de terceros garantizadas con esos inmuebles</w:t>
      </w:r>
      <w:r w:rsidR="00942001">
        <w:rPr>
          <w:lang w:val="es-ES"/>
        </w:rPr>
        <w:t xml:space="preserve">. Esta provisión se ha creado para hacer frente, en su caso, a posibles impagos del citado Club y su importe se irá ajustando conforme el mismo abone tales cargas hipotecarias. </w:t>
      </w:r>
    </w:p>
    <w:p w:rsidR="00AB553D" w:rsidRDefault="00AB553D" w:rsidP="00942001">
      <w:pPr>
        <w:pStyle w:val="texto"/>
        <w:spacing w:after="120"/>
        <w:rPr>
          <w:lang w:val="es-ES"/>
        </w:rPr>
      </w:pPr>
      <w:r>
        <w:rPr>
          <w:lang w:val="es-ES"/>
        </w:rPr>
        <w:t>Consideramos que ambas cuentas no son estrictamente endeudamiento</w:t>
      </w:r>
      <w:r w:rsidR="00075E69">
        <w:rPr>
          <w:lang w:val="es-ES"/>
        </w:rPr>
        <w:t xml:space="preserve"> a los efectos de este informe</w:t>
      </w:r>
      <w:r>
        <w:rPr>
          <w:lang w:val="es-ES"/>
        </w:rPr>
        <w:t>.</w:t>
      </w:r>
    </w:p>
    <w:p w:rsidR="00942001" w:rsidRDefault="00942001" w:rsidP="00942001">
      <w:pPr>
        <w:pStyle w:val="texto"/>
        <w:spacing w:after="120"/>
        <w:rPr>
          <w:lang w:val="es-ES"/>
        </w:rPr>
      </w:pPr>
      <w:r>
        <w:rPr>
          <w:lang w:val="es-ES"/>
        </w:rPr>
        <w:t>De la revisión efectuada, destacamos:</w:t>
      </w:r>
    </w:p>
    <w:p w:rsidR="00942001" w:rsidRPr="00CD1EE7" w:rsidRDefault="00942001" w:rsidP="00942001">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spacing w:val="4"/>
          <w:lang w:val="es-ES"/>
        </w:rPr>
      </w:pPr>
      <w:r>
        <w:rPr>
          <w:lang w:val="es-ES"/>
        </w:rPr>
        <w:t>El endeudamiento total se ha incrementado en un cinco por ciento, esto es, en 139</w:t>
      </w:r>
      <w:r w:rsidR="00DA3F2E">
        <w:rPr>
          <w:lang w:val="es-ES"/>
        </w:rPr>
        <w:t>,25</w:t>
      </w:r>
      <w:r>
        <w:rPr>
          <w:lang w:val="es-ES"/>
        </w:rPr>
        <w:t xml:space="preserve"> millones</w:t>
      </w:r>
      <w:r w:rsidR="00DA3F2E">
        <w:rPr>
          <w:lang w:val="es-ES"/>
        </w:rPr>
        <w:t xml:space="preserve">; sin contar los intereses a corto, el incremento ha sido de </w:t>
      </w:r>
      <w:r w:rsidR="0094478F">
        <w:rPr>
          <w:lang w:val="es-ES"/>
        </w:rPr>
        <w:t>140,22 millones</w:t>
      </w:r>
      <w:r>
        <w:rPr>
          <w:lang w:val="es-ES"/>
        </w:rPr>
        <w:t xml:space="preserve">. </w:t>
      </w:r>
      <w:r w:rsidRPr="00CD1EE7">
        <w:rPr>
          <w:spacing w:val="4"/>
          <w:lang w:val="es-ES"/>
        </w:rPr>
        <w:t>El peso relativo de la deuda pública</w:t>
      </w:r>
      <w:r w:rsidR="009C5992" w:rsidRPr="00CD1EE7">
        <w:rPr>
          <w:spacing w:val="4"/>
          <w:lang w:val="es-ES"/>
        </w:rPr>
        <w:t xml:space="preserve">, respecto a 2014, </w:t>
      </w:r>
      <w:r w:rsidRPr="00CD1EE7">
        <w:rPr>
          <w:spacing w:val="4"/>
          <w:lang w:val="es-ES"/>
        </w:rPr>
        <w:t xml:space="preserve"> se ha r</w:t>
      </w:r>
      <w:r w:rsidRPr="00CD1EE7">
        <w:rPr>
          <w:spacing w:val="4"/>
          <w:lang w:val="es-ES"/>
        </w:rPr>
        <w:t>e</w:t>
      </w:r>
      <w:r w:rsidRPr="00CD1EE7">
        <w:rPr>
          <w:spacing w:val="4"/>
          <w:lang w:val="es-ES"/>
        </w:rPr>
        <w:t>ducido sobre el total del endeudamiento</w:t>
      </w:r>
      <w:r w:rsidR="009C5992" w:rsidRPr="00CD1EE7">
        <w:rPr>
          <w:spacing w:val="4"/>
          <w:lang w:val="es-ES"/>
        </w:rPr>
        <w:t xml:space="preserve"> </w:t>
      </w:r>
      <w:r w:rsidRPr="00CD1EE7">
        <w:rPr>
          <w:spacing w:val="4"/>
          <w:lang w:val="es-ES"/>
        </w:rPr>
        <w:t>al pasar del 75 al 62 por ciento; lógic</w:t>
      </w:r>
      <w:r w:rsidRPr="00CD1EE7">
        <w:rPr>
          <w:spacing w:val="4"/>
          <w:lang w:val="es-ES"/>
        </w:rPr>
        <w:t>a</w:t>
      </w:r>
      <w:r w:rsidRPr="00CD1EE7">
        <w:rPr>
          <w:spacing w:val="4"/>
          <w:lang w:val="es-ES"/>
        </w:rPr>
        <w:t>mente ese descenso se ha trasladado a un mayor peso relativo de los préstamos.</w:t>
      </w:r>
    </w:p>
    <w:p w:rsidR="00DA3F2E" w:rsidRPr="001A0239" w:rsidRDefault="00DA3F2E" w:rsidP="00DA3F2E">
      <w:pPr>
        <w:pStyle w:val="texto"/>
        <w:tabs>
          <w:tab w:val="num" w:pos="300"/>
        </w:tabs>
        <w:spacing w:after="120"/>
        <w:rPr>
          <w:spacing w:val="2"/>
          <w:lang w:val="es-ES"/>
        </w:rPr>
      </w:pPr>
      <w:r w:rsidRPr="001A0239">
        <w:rPr>
          <w:spacing w:val="2"/>
          <w:lang w:val="es-ES"/>
        </w:rPr>
        <w:t>El Acuerdo del Gobierno por el que se prorrogan los presupuestos de 2012 para el ejercicio 2015, establece que el volumen de endeudamiento no podrá superar en más de 158,34 millones el correspondiente al saldo vivo a 1 de enero de 2015. De acuerdo con los datos anteriores, se ha cumplido con este límite global.</w:t>
      </w:r>
    </w:p>
    <w:p w:rsidR="00EE329E" w:rsidRPr="00DA3F2E" w:rsidRDefault="00EE329E" w:rsidP="00DA3F2E">
      <w:pPr>
        <w:pStyle w:val="texto"/>
        <w:tabs>
          <w:tab w:val="num" w:pos="300"/>
        </w:tabs>
        <w:spacing w:after="120"/>
        <w:rPr>
          <w:lang w:val="es-ES"/>
        </w:rPr>
      </w:pPr>
      <w:r>
        <w:rPr>
          <w:lang w:val="es-ES"/>
        </w:rPr>
        <w:t>No consta captación de endeudamiento específico para las obras del TAV.</w:t>
      </w:r>
    </w:p>
    <w:p w:rsidR="00942001" w:rsidRDefault="00942001" w:rsidP="00942001">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Pr>
          <w:lang w:val="es-ES"/>
        </w:rPr>
        <w:t xml:space="preserve">En 2015, no se ha emitido deuda pública. </w:t>
      </w:r>
      <w:r w:rsidR="00833813">
        <w:rPr>
          <w:lang w:val="es-ES"/>
        </w:rPr>
        <w:t>Según</w:t>
      </w:r>
      <w:r>
        <w:rPr>
          <w:lang w:val="es-ES"/>
        </w:rPr>
        <w:t xml:space="preserve"> lo </w:t>
      </w:r>
      <w:r w:rsidR="000775FC">
        <w:rPr>
          <w:lang w:val="es-ES"/>
        </w:rPr>
        <w:t>indicado</w:t>
      </w:r>
      <w:r>
        <w:rPr>
          <w:lang w:val="es-ES"/>
        </w:rPr>
        <w:t xml:space="preserve"> en la memoria, las condiciones del mercado financiero </w:t>
      </w:r>
      <w:r w:rsidR="00833813">
        <w:rPr>
          <w:lang w:val="es-ES"/>
        </w:rPr>
        <w:t>resultaban</w:t>
      </w:r>
      <w:r>
        <w:rPr>
          <w:lang w:val="es-ES"/>
        </w:rPr>
        <w:t xml:space="preserve"> más favorables para la ca</w:t>
      </w:r>
      <w:r>
        <w:rPr>
          <w:lang w:val="es-ES"/>
        </w:rPr>
        <w:t>p</w:t>
      </w:r>
      <w:r>
        <w:rPr>
          <w:lang w:val="es-ES"/>
        </w:rPr>
        <w:t xml:space="preserve">tación de financiación a través de préstamos. </w:t>
      </w:r>
    </w:p>
    <w:p w:rsidR="00942001" w:rsidRDefault="00942001" w:rsidP="00942001">
      <w:pPr>
        <w:pStyle w:val="texto"/>
        <w:tabs>
          <w:tab w:val="num" w:pos="300"/>
        </w:tabs>
        <w:spacing w:after="120"/>
        <w:rPr>
          <w:lang w:val="es-ES"/>
        </w:rPr>
      </w:pPr>
      <w:r w:rsidRPr="00E11DCF">
        <w:rPr>
          <w:lang w:val="es-ES"/>
        </w:rPr>
        <w:t>La reducción</w:t>
      </w:r>
      <w:r w:rsidR="00833813">
        <w:rPr>
          <w:lang w:val="es-ES"/>
        </w:rPr>
        <w:t xml:space="preserve"> en el balance</w:t>
      </w:r>
      <w:r w:rsidRPr="00E11DCF">
        <w:rPr>
          <w:lang w:val="es-ES"/>
        </w:rPr>
        <w:t xml:space="preserve"> de</w:t>
      </w:r>
      <w:r>
        <w:rPr>
          <w:lang w:val="es-ES"/>
        </w:rPr>
        <w:t xml:space="preserve">l </w:t>
      </w:r>
      <w:r w:rsidRPr="00E11DCF">
        <w:rPr>
          <w:lang w:val="es-ES"/>
        </w:rPr>
        <w:t xml:space="preserve">saldo a largo plazo </w:t>
      </w:r>
      <w:r>
        <w:rPr>
          <w:lang w:val="es-ES"/>
        </w:rPr>
        <w:t xml:space="preserve">de la deuda de 2015 </w:t>
      </w:r>
      <w:r w:rsidRPr="00E11DCF">
        <w:rPr>
          <w:lang w:val="es-ES"/>
        </w:rPr>
        <w:t>der</w:t>
      </w:r>
      <w:r w:rsidRPr="00E11DCF">
        <w:rPr>
          <w:lang w:val="es-ES"/>
        </w:rPr>
        <w:t>i</w:t>
      </w:r>
      <w:r w:rsidRPr="00E11DCF">
        <w:rPr>
          <w:lang w:val="es-ES"/>
        </w:rPr>
        <w:t>va de la reclasificación a corto plazo de la deuda que vence en 2016 y que c</w:t>
      </w:r>
      <w:r w:rsidRPr="00E11DCF">
        <w:rPr>
          <w:lang w:val="es-ES"/>
        </w:rPr>
        <w:t>o</w:t>
      </w:r>
      <w:r w:rsidRPr="00E11DCF">
        <w:rPr>
          <w:lang w:val="es-ES"/>
        </w:rPr>
        <w:t>rresponden a emisiones de 2011 y 2013 y por un importe de 289 millones.</w:t>
      </w:r>
    </w:p>
    <w:p w:rsidR="00942001" w:rsidRDefault="009C5992" w:rsidP="00942001">
      <w:pPr>
        <w:pStyle w:val="texto"/>
        <w:tabs>
          <w:tab w:val="num" w:pos="300"/>
        </w:tabs>
        <w:spacing w:after="120"/>
        <w:rPr>
          <w:lang w:val="es-ES"/>
        </w:rPr>
      </w:pPr>
      <w:r>
        <w:rPr>
          <w:lang w:val="es-ES"/>
        </w:rPr>
        <w:t>En este ejercicio, s</w:t>
      </w:r>
      <w:r w:rsidR="00942001">
        <w:rPr>
          <w:lang w:val="es-ES"/>
        </w:rPr>
        <w:t xml:space="preserve">e </w:t>
      </w:r>
      <w:r w:rsidR="007A7AFB">
        <w:rPr>
          <w:lang w:val="es-ES"/>
        </w:rPr>
        <w:t xml:space="preserve">ha </w:t>
      </w:r>
      <w:r w:rsidR="00942001">
        <w:rPr>
          <w:lang w:val="es-ES"/>
        </w:rPr>
        <w:t xml:space="preserve">amortizado deuda por </w:t>
      </w:r>
      <w:r w:rsidR="00B04999">
        <w:rPr>
          <w:lang w:val="es-ES"/>
        </w:rPr>
        <w:t>un nominal de 250,2</w:t>
      </w:r>
      <w:r w:rsidR="00942001">
        <w:rPr>
          <w:lang w:val="es-ES"/>
        </w:rPr>
        <w:t xml:space="preserve"> millones, contabiliza</w:t>
      </w:r>
      <w:r>
        <w:rPr>
          <w:lang w:val="es-ES"/>
        </w:rPr>
        <w:t>da</w:t>
      </w:r>
      <w:r w:rsidR="00833813">
        <w:rPr>
          <w:lang w:val="es-ES"/>
        </w:rPr>
        <w:t>, en el balance,</w:t>
      </w:r>
      <w:r>
        <w:rPr>
          <w:lang w:val="es-ES"/>
        </w:rPr>
        <w:t xml:space="preserve"> </w:t>
      </w:r>
      <w:r w:rsidR="00942001">
        <w:rPr>
          <w:lang w:val="es-ES"/>
        </w:rPr>
        <w:t>dentro de</w:t>
      </w:r>
      <w:r>
        <w:rPr>
          <w:lang w:val="es-ES"/>
        </w:rPr>
        <w:t>l</w:t>
      </w:r>
      <w:r w:rsidR="00942001">
        <w:rPr>
          <w:lang w:val="es-ES"/>
        </w:rPr>
        <w:t xml:space="preserve"> corto plazo.</w:t>
      </w:r>
    </w:p>
    <w:p w:rsidR="0011458F" w:rsidRDefault="0011458F" w:rsidP="00942001">
      <w:pPr>
        <w:pStyle w:val="texto"/>
        <w:tabs>
          <w:tab w:val="num" w:pos="300"/>
        </w:tabs>
        <w:spacing w:after="120"/>
        <w:rPr>
          <w:lang w:val="es-ES"/>
        </w:rPr>
      </w:pPr>
    </w:p>
    <w:p w:rsidR="0011458F" w:rsidRPr="00E11DCF" w:rsidRDefault="0011458F" w:rsidP="00942001">
      <w:pPr>
        <w:pStyle w:val="texto"/>
        <w:tabs>
          <w:tab w:val="num" w:pos="300"/>
        </w:tabs>
        <w:spacing w:after="120"/>
        <w:rPr>
          <w:lang w:val="es-ES"/>
        </w:rPr>
      </w:pPr>
    </w:p>
    <w:p w:rsidR="00942001" w:rsidRDefault="00942001" w:rsidP="0011458F">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0"/>
        <w:ind w:left="0" w:firstLine="289"/>
        <w:rPr>
          <w:rFonts w:cs="Arial"/>
        </w:rPr>
      </w:pPr>
      <w:r w:rsidRPr="002B2706">
        <w:rPr>
          <w:rFonts w:cs="Arial"/>
        </w:rPr>
        <w:lastRenderedPageBreak/>
        <w:t>Atendiendo a</w:t>
      </w:r>
      <w:r>
        <w:rPr>
          <w:rFonts w:cs="Arial"/>
        </w:rPr>
        <w:t>l</w:t>
      </w:r>
      <w:r w:rsidRPr="002B2706">
        <w:rPr>
          <w:rFonts w:cs="Arial"/>
        </w:rPr>
        <w:t xml:space="preserve"> sector concedente, el saldo neto</w:t>
      </w:r>
      <w:r w:rsidR="009C5992">
        <w:rPr>
          <w:rFonts w:cs="Arial"/>
        </w:rPr>
        <w:t xml:space="preserve"> </w:t>
      </w:r>
      <w:r w:rsidRPr="002B2706">
        <w:rPr>
          <w:rFonts w:cs="Arial"/>
        </w:rPr>
        <w:t>de los préstamos concert</w:t>
      </w:r>
      <w:r w:rsidRPr="002B2706">
        <w:rPr>
          <w:rFonts w:cs="Arial"/>
        </w:rPr>
        <w:t>a</w:t>
      </w:r>
      <w:r w:rsidRPr="002B2706">
        <w:rPr>
          <w:rFonts w:cs="Arial"/>
        </w:rPr>
        <w:t>dos por el Gobierno de Navarra procede de</w:t>
      </w:r>
      <w:r>
        <w:rPr>
          <w:rFonts w:cs="Arial"/>
        </w:rPr>
        <w:t>:</w:t>
      </w:r>
    </w:p>
    <w:p w:rsidR="00324440" w:rsidRPr="00846EDC" w:rsidRDefault="008E1787" w:rsidP="00324440">
      <w:pPr>
        <w:pStyle w:val="recomen"/>
        <w:numPr>
          <w:ilvl w:val="0"/>
          <w:numId w:val="0"/>
        </w:numPr>
        <w:spacing w:after="40"/>
        <w:ind w:left="1588"/>
        <w:jc w:val="right"/>
        <w:rPr>
          <w:rFonts w:ascii="Arial Narrow" w:hAnsi="Arial Narrow"/>
          <w:i w:val="0"/>
          <w:sz w:val="18"/>
          <w:szCs w:val="18"/>
        </w:rPr>
      </w:pPr>
      <w:r w:rsidRPr="00846EDC">
        <w:rPr>
          <w:rFonts w:ascii="Arial Narrow" w:hAnsi="Arial Narrow"/>
          <w:i w:val="0"/>
          <w:sz w:val="18"/>
          <w:szCs w:val="18"/>
        </w:rPr>
        <w:t>Miles</w:t>
      </w:r>
      <w:r w:rsidR="00324440" w:rsidRPr="00846EDC">
        <w:rPr>
          <w:rFonts w:ascii="Arial Narrow" w:hAnsi="Arial Narrow"/>
          <w:i w:val="0"/>
          <w:sz w:val="18"/>
          <w:szCs w:val="18"/>
        </w:rPr>
        <w:t xml:space="preserve"> de euros</w:t>
      </w:r>
    </w:p>
    <w:tbl>
      <w:tblPr>
        <w:tblW w:w="0" w:type="auto"/>
        <w:jc w:val="center"/>
        <w:tblLayout w:type="fixed"/>
        <w:tblLook w:val="01E0" w:firstRow="1" w:lastRow="1" w:firstColumn="1" w:lastColumn="1" w:noHBand="0" w:noVBand="0"/>
      </w:tblPr>
      <w:tblGrid>
        <w:gridCol w:w="4979"/>
        <w:gridCol w:w="1920"/>
        <w:gridCol w:w="1920"/>
      </w:tblGrid>
      <w:tr w:rsidR="00942001" w:rsidTr="00A20D5E">
        <w:trPr>
          <w:trHeight w:val="284"/>
          <w:jc w:val="center"/>
        </w:trPr>
        <w:tc>
          <w:tcPr>
            <w:tcW w:w="4979" w:type="dxa"/>
            <w:tcBorders>
              <w:top w:val="single" w:sz="4" w:space="0" w:color="auto"/>
              <w:left w:val="nil"/>
              <w:bottom w:val="single" w:sz="4" w:space="0" w:color="auto"/>
              <w:right w:val="nil"/>
            </w:tcBorders>
            <w:shd w:val="clear" w:color="auto" w:fill="A8CBEE" w:themeFill="accent2" w:themeFillTint="66"/>
            <w:vAlign w:val="center"/>
          </w:tcPr>
          <w:p w:rsidR="00942001" w:rsidRDefault="00942001" w:rsidP="005C40B1">
            <w:pPr>
              <w:pStyle w:val="cuadroCabe"/>
              <w:jc w:val="left"/>
              <w:rPr>
                <w:rFonts w:cs="Arial"/>
              </w:rPr>
            </w:pPr>
            <w:r>
              <w:rPr>
                <w:rFonts w:cs="Arial"/>
              </w:rPr>
              <w:t>Sector concedente</w:t>
            </w:r>
          </w:p>
        </w:tc>
        <w:tc>
          <w:tcPr>
            <w:tcW w:w="1920" w:type="dxa"/>
            <w:tcBorders>
              <w:top w:val="single" w:sz="4" w:space="0" w:color="auto"/>
              <w:left w:val="nil"/>
              <w:bottom w:val="single" w:sz="4" w:space="0" w:color="auto"/>
              <w:right w:val="nil"/>
            </w:tcBorders>
            <w:shd w:val="clear" w:color="auto" w:fill="A8CBEE" w:themeFill="accent2" w:themeFillTint="66"/>
            <w:vAlign w:val="center"/>
          </w:tcPr>
          <w:p w:rsidR="00942001" w:rsidRDefault="00942001" w:rsidP="005C40B1">
            <w:pPr>
              <w:pStyle w:val="cuadroCabe"/>
              <w:jc w:val="right"/>
              <w:rPr>
                <w:rFonts w:cs="Arial"/>
              </w:rPr>
            </w:pPr>
            <w:r>
              <w:rPr>
                <w:rFonts w:cs="Arial"/>
              </w:rPr>
              <w:t>2014</w:t>
            </w:r>
          </w:p>
        </w:tc>
        <w:tc>
          <w:tcPr>
            <w:tcW w:w="1920" w:type="dxa"/>
            <w:tcBorders>
              <w:top w:val="single" w:sz="4" w:space="0" w:color="auto"/>
              <w:left w:val="nil"/>
              <w:bottom w:val="single" w:sz="4" w:space="0" w:color="auto"/>
              <w:right w:val="nil"/>
            </w:tcBorders>
            <w:shd w:val="clear" w:color="auto" w:fill="A8CBEE" w:themeFill="accent2" w:themeFillTint="66"/>
            <w:vAlign w:val="center"/>
          </w:tcPr>
          <w:p w:rsidR="00942001" w:rsidRDefault="00942001" w:rsidP="005C40B1">
            <w:pPr>
              <w:pStyle w:val="cuadroCabe"/>
              <w:jc w:val="right"/>
              <w:rPr>
                <w:rFonts w:cs="Arial"/>
              </w:rPr>
            </w:pPr>
            <w:r>
              <w:rPr>
                <w:rFonts w:cs="Arial"/>
              </w:rPr>
              <w:t>2015</w:t>
            </w:r>
          </w:p>
        </w:tc>
      </w:tr>
      <w:tr w:rsidR="00942001" w:rsidTr="00A20D5E">
        <w:trPr>
          <w:trHeight w:val="284"/>
          <w:jc w:val="center"/>
        </w:trPr>
        <w:tc>
          <w:tcPr>
            <w:tcW w:w="4979" w:type="dxa"/>
            <w:tcBorders>
              <w:top w:val="single" w:sz="4" w:space="0" w:color="auto"/>
              <w:left w:val="nil"/>
              <w:bottom w:val="single" w:sz="2" w:space="0" w:color="auto"/>
              <w:right w:val="nil"/>
            </w:tcBorders>
            <w:vAlign w:val="center"/>
          </w:tcPr>
          <w:p w:rsidR="00942001" w:rsidRPr="00E11E76" w:rsidRDefault="00942001" w:rsidP="005C40B1">
            <w:pPr>
              <w:spacing w:after="0"/>
              <w:ind w:firstLine="0"/>
              <w:jc w:val="left"/>
              <w:rPr>
                <w:rFonts w:ascii="Arial Narrow" w:hAnsi="Arial Narrow" w:cs="Arial"/>
                <w:lang w:eastAsia="es-ES"/>
              </w:rPr>
            </w:pPr>
            <w:r w:rsidRPr="00E11E76">
              <w:rPr>
                <w:rFonts w:ascii="Arial Narrow" w:hAnsi="Arial Narrow" w:cs="Arial"/>
                <w:lang w:eastAsia="es-ES"/>
              </w:rPr>
              <w:t>Entidades Financieras</w:t>
            </w:r>
          </w:p>
        </w:tc>
        <w:tc>
          <w:tcPr>
            <w:tcW w:w="1920" w:type="dxa"/>
            <w:tcBorders>
              <w:top w:val="single" w:sz="4" w:space="0" w:color="auto"/>
              <w:left w:val="nil"/>
              <w:bottom w:val="single" w:sz="2" w:space="0" w:color="auto"/>
              <w:right w:val="nil"/>
            </w:tcBorders>
            <w:vAlign w:val="center"/>
          </w:tcPr>
          <w:p w:rsidR="00942001" w:rsidRPr="00E11E76" w:rsidRDefault="00942001" w:rsidP="005C40B1">
            <w:pPr>
              <w:spacing w:after="0"/>
              <w:ind w:firstLine="0"/>
              <w:jc w:val="right"/>
              <w:rPr>
                <w:rFonts w:ascii="Arial Narrow" w:hAnsi="Arial Narrow" w:cs="Arial"/>
                <w:lang w:val="es-ES" w:eastAsia="es-ES"/>
              </w:rPr>
            </w:pPr>
            <w:r w:rsidRPr="00E11E76">
              <w:rPr>
                <w:rFonts w:ascii="Arial Narrow" w:hAnsi="Arial Narrow" w:cs="Arial"/>
                <w:lang w:val="es-ES" w:eastAsia="es-ES"/>
              </w:rPr>
              <w:t>365.400</w:t>
            </w:r>
          </w:p>
        </w:tc>
        <w:tc>
          <w:tcPr>
            <w:tcW w:w="1920" w:type="dxa"/>
            <w:tcBorders>
              <w:top w:val="single" w:sz="4" w:space="0" w:color="auto"/>
              <w:left w:val="nil"/>
              <w:bottom w:val="single" w:sz="2" w:space="0" w:color="auto"/>
              <w:right w:val="nil"/>
            </w:tcBorders>
            <w:vAlign w:val="center"/>
          </w:tcPr>
          <w:p w:rsidR="00942001" w:rsidRPr="00E11E76" w:rsidRDefault="00942001" w:rsidP="005C40B1">
            <w:pPr>
              <w:spacing w:after="0"/>
              <w:ind w:firstLine="0"/>
              <w:jc w:val="right"/>
              <w:rPr>
                <w:rFonts w:ascii="Arial Narrow" w:hAnsi="Arial Narrow" w:cs="Arial"/>
                <w:lang w:val="es-ES" w:eastAsia="es-ES"/>
              </w:rPr>
            </w:pPr>
            <w:r>
              <w:rPr>
                <w:rFonts w:ascii="Arial Narrow" w:hAnsi="Arial Narrow" w:cs="Arial"/>
                <w:lang w:val="es-ES" w:eastAsia="es-ES"/>
              </w:rPr>
              <w:t>755.200</w:t>
            </w:r>
          </w:p>
        </w:tc>
      </w:tr>
      <w:tr w:rsidR="00942001" w:rsidTr="00A20D5E">
        <w:trPr>
          <w:trHeight w:val="284"/>
          <w:jc w:val="center"/>
        </w:trPr>
        <w:tc>
          <w:tcPr>
            <w:tcW w:w="4979" w:type="dxa"/>
            <w:tcBorders>
              <w:top w:val="single" w:sz="2" w:space="0" w:color="auto"/>
              <w:left w:val="nil"/>
              <w:bottom w:val="single" w:sz="2" w:space="0" w:color="auto"/>
              <w:right w:val="nil"/>
            </w:tcBorders>
            <w:vAlign w:val="center"/>
          </w:tcPr>
          <w:p w:rsidR="00942001" w:rsidRPr="00E11E76" w:rsidRDefault="00942001" w:rsidP="005C40B1">
            <w:pPr>
              <w:spacing w:after="0"/>
              <w:ind w:firstLine="0"/>
              <w:jc w:val="left"/>
              <w:rPr>
                <w:rFonts w:ascii="Arial Narrow" w:hAnsi="Arial Narrow" w:cs="Arial"/>
                <w:lang w:eastAsia="es-ES"/>
              </w:rPr>
            </w:pPr>
            <w:r w:rsidRPr="00E11E76">
              <w:rPr>
                <w:rFonts w:ascii="Arial Narrow" w:hAnsi="Arial Narrow" w:cs="Arial"/>
                <w:lang w:eastAsia="es-ES"/>
              </w:rPr>
              <w:t>Banco Europeo de Inversiones</w:t>
            </w:r>
          </w:p>
        </w:tc>
        <w:tc>
          <w:tcPr>
            <w:tcW w:w="1920" w:type="dxa"/>
            <w:tcBorders>
              <w:top w:val="single" w:sz="2" w:space="0" w:color="auto"/>
              <w:left w:val="nil"/>
              <w:bottom w:val="single" w:sz="2" w:space="0" w:color="auto"/>
              <w:right w:val="nil"/>
            </w:tcBorders>
            <w:vAlign w:val="center"/>
          </w:tcPr>
          <w:p w:rsidR="00942001" w:rsidRPr="00E11E76" w:rsidRDefault="00942001" w:rsidP="005C40B1">
            <w:pPr>
              <w:spacing w:after="0"/>
              <w:ind w:firstLine="0"/>
              <w:jc w:val="right"/>
              <w:rPr>
                <w:rFonts w:ascii="Arial Narrow" w:hAnsi="Arial Narrow" w:cs="Arial"/>
                <w:lang w:val="es-ES" w:eastAsia="es-ES"/>
              </w:rPr>
            </w:pPr>
            <w:r>
              <w:rPr>
                <w:rFonts w:ascii="Arial Narrow" w:hAnsi="Arial Narrow" w:cs="Arial"/>
                <w:lang w:val="es-ES" w:eastAsia="es-ES"/>
              </w:rPr>
              <w:t>300.000</w:t>
            </w:r>
          </w:p>
        </w:tc>
        <w:tc>
          <w:tcPr>
            <w:tcW w:w="1920" w:type="dxa"/>
            <w:tcBorders>
              <w:top w:val="single" w:sz="2" w:space="0" w:color="auto"/>
              <w:left w:val="nil"/>
              <w:bottom w:val="single" w:sz="2" w:space="0" w:color="auto"/>
              <w:right w:val="nil"/>
            </w:tcBorders>
            <w:vAlign w:val="center"/>
          </w:tcPr>
          <w:p w:rsidR="00942001" w:rsidRPr="00E11E76" w:rsidRDefault="00942001" w:rsidP="005C40B1">
            <w:pPr>
              <w:spacing w:after="0"/>
              <w:ind w:firstLine="0"/>
              <w:jc w:val="right"/>
              <w:rPr>
                <w:rFonts w:ascii="Arial Narrow" w:hAnsi="Arial Narrow" w:cs="Arial"/>
                <w:lang w:val="es-ES" w:eastAsia="es-ES"/>
              </w:rPr>
            </w:pPr>
            <w:r>
              <w:rPr>
                <w:rFonts w:ascii="Arial Narrow" w:hAnsi="Arial Narrow" w:cs="Arial"/>
                <w:lang w:val="es-ES" w:eastAsia="es-ES"/>
              </w:rPr>
              <w:t>300.000</w:t>
            </w:r>
          </w:p>
        </w:tc>
      </w:tr>
      <w:tr w:rsidR="00942001" w:rsidTr="00A20D5E">
        <w:trPr>
          <w:trHeight w:val="284"/>
          <w:jc w:val="center"/>
        </w:trPr>
        <w:tc>
          <w:tcPr>
            <w:tcW w:w="4979" w:type="dxa"/>
            <w:tcBorders>
              <w:top w:val="single" w:sz="2" w:space="0" w:color="auto"/>
              <w:left w:val="nil"/>
              <w:bottom w:val="single" w:sz="2" w:space="0" w:color="auto"/>
              <w:right w:val="nil"/>
            </w:tcBorders>
            <w:vAlign w:val="center"/>
          </w:tcPr>
          <w:p w:rsidR="00942001" w:rsidRPr="00E11E76" w:rsidRDefault="00942001" w:rsidP="005C40B1">
            <w:pPr>
              <w:spacing w:after="0"/>
              <w:ind w:firstLine="0"/>
              <w:jc w:val="left"/>
              <w:rPr>
                <w:rFonts w:ascii="Arial Narrow" w:hAnsi="Arial Narrow" w:cs="Arial"/>
                <w:lang w:eastAsia="es-ES"/>
              </w:rPr>
            </w:pPr>
            <w:r w:rsidRPr="00E11E76">
              <w:rPr>
                <w:rFonts w:ascii="Arial Narrow" w:hAnsi="Arial Narrow" w:cs="Arial"/>
                <w:lang w:eastAsia="es-ES"/>
              </w:rPr>
              <w:t>Seguridad Social</w:t>
            </w:r>
          </w:p>
        </w:tc>
        <w:tc>
          <w:tcPr>
            <w:tcW w:w="1920" w:type="dxa"/>
            <w:tcBorders>
              <w:top w:val="single" w:sz="2" w:space="0" w:color="auto"/>
              <w:left w:val="nil"/>
              <w:bottom w:val="single" w:sz="2" w:space="0" w:color="auto"/>
              <w:right w:val="nil"/>
            </w:tcBorders>
            <w:vAlign w:val="center"/>
          </w:tcPr>
          <w:p w:rsidR="00942001" w:rsidRPr="00E11E76" w:rsidRDefault="00942001" w:rsidP="005C40B1">
            <w:pPr>
              <w:spacing w:after="0"/>
              <w:ind w:firstLine="0"/>
              <w:jc w:val="right"/>
              <w:rPr>
                <w:rFonts w:ascii="Arial Narrow" w:hAnsi="Arial Narrow" w:cs="Arial"/>
                <w:lang w:val="es-ES" w:eastAsia="es-ES"/>
              </w:rPr>
            </w:pPr>
            <w:r>
              <w:rPr>
                <w:rFonts w:ascii="Arial Narrow" w:hAnsi="Arial Narrow" w:cs="Arial"/>
                <w:lang w:val="es-ES" w:eastAsia="es-ES"/>
              </w:rPr>
              <w:t>9.686</w:t>
            </w:r>
          </w:p>
        </w:tc>
        <w:tc>
          <w:tcPr>
            <w:tcW w:w="1920" w:type="dxa"/>
            <w:tcBorders>
              <w:top w:val="single" w:sz="2" w:space="0" w:color="auto"/>
              <w:left w:val="nil"/>
              <w:bottom w:val="single" w:sz="2" w:space="0" w:color="auto"/>
              <w:right w:val="nil"/>
            </w:tcBorders>
            <w:vAlign w:val="center"/>
          </w:tcPr>
          <w:p w:rsidR="00942001" w:rsidRPr="00E11E76" w:rsidRDefault="00942001" w:rsidP="005C40B1">
            <w:pPr>
              <w:spacing w:after="0"/>
              <w:ind w:firstLine="0"/>
              <w:jc w:val="right"/>
              <w:rPr>
                <w:rFonts w:ascii="Arial Narrow" w:hAnsi="Arial Narrow" w:cs="Arial"/>
                <w:lang w:val="es-ES" w:eastAsia="es-ES"/>
              </w:rPr>
            </w:pPr>
            <w:r>
              <w:rPr>
                <w:rFonts w:ascii="Arial Narrow" w:hAnsi="Arial Narrow" w:cs="Arial"/>
                <w:lang w:val="es-ES" w:eastAsia="es-ES"/>
              </w:rPr>
              <w:t>9.686</w:t>
            </w:r>
          </w:p>
        </w:tc>
      </w:tr>
      <w:tr w:rsidR="00942001" w:rsidTr="00A20D5E">
        <w:trPr>
          <w:trHeight w:val="284"/>
          <w:jc w:val="center"/>
        </w:trPr>
        <w:tc>
          <w:tcPr>
            <w:tcW w:w="4979" w:type="dxa"/>
            <w:tcBorders>
              <w:top w:val="single" w:sz="2" w:space="0" w:color="auto"/>
              <w:left w:val="nil"/>
              <w:bottom w:val="single" w:sz="2" w:space="0" w:color="auto"/>
              <w:right w:val="nil"/>
            </w:tcBorders>
            <w:vAlign w:val="center"/>
          </w:tcPr>
          <w:p w:rsidR="00942001" w:rsidRPr="00E11E76" w:rsidRDefault="00942001" w:rsidP="005C40B1">
            <w:pPr>
              <w:spacing w:after="0"/>
              <w:ind w:firstLine="0"/>
              <w:jc w:val="left"/>
              <w:rPr>
                <w:rFonts w:ascii="Arial Narrow" w:hAnsi="Arial Narrow" w:cs="Arial"/>
                <w:lang w:eastAsia="es-ES"/>
              </w:rPr>
            </w:pPr>
            <w:r w:rsidRPr="00E11E76">
              <w:rPr>
                <w:rFonts w:ascii="Arial Narrow" w:hAnsi="Arial Narrow" w:cs="Arial"/>
                <w:lang w:eastAsia="es-ES"/>
              </w:rPr>
              <w:t>Resto Sector Público</w:t>
            </w:r>
          </w:p>
        </w:tc>
        <w:tc>
          <w:tcPr>
            <w:tcW w:w="1920" w:type="dxa"/>
            <w:tcBorders>
              <w:top w:val="single" w:sz="2" w:space="0" w:color="auto"/>
              <w:left w:val="nil"/>
              <w:bottom w:val="single" w:sz="2" w:space="0" w:color="auto"/>
              <w:right w:val="nil"/>
            </w:tcBorders>
            <w:vAlign w:val="center"/>
          </w:tcPr>
          <w:p w:rsidR="00942001" w:rsidRPr="00E11E76" w:rsidRDefault="00942001" w:rsidP="005C40B1">
            <w:pPr>
              <w:spacing w:after="0"/>
              <w:ind w:firstLine="0"/>
              <w:jc w:val="right"/>
              <w:rPr>
                <w:rFonts w:ascii="Arial Narrow" w:hAnsi="Arial Narrow" w:cs="Arial"/>
                <w:lang w:val="es-ES" w:eastAsia="es-ES"/>
              </w:rPr>
            </w:pPr>
            <w:r>
              <w:rPr>
                <w:rFonts w:ascii="Arial Narrow" w:hAnsi="Arial Narrow" w:cs="Arial"/>
                <w:lang w:val="es-ES" w:eastAsia="es-ES"/>
              </w:rPr>
              <w:t>12.579</w:t>
            </w:r>
          </w:p>
        </w:tc>
        <w:tc>
          <w:tcPr>
            <w:tcW w:w="1920" w:type="dxa"/>
            <w:tcBorders>
              <w:top w:val="single" w:sz="2" w:space="0" w:color="auto"/>
              <w:left w:val="nil"/>
              <w:bottom w:val="single" w:sz="2" w:space="0" w:color="auto"/>
              <w:right w:val="nil"/>
            </w:tcBorders>
            <w:vAlign w:val="center"/>
          </w:tcPr>
          <w:p w:rsidR="00942001" w:rsidRPr="00E11E76" w:rsidRDefault="00942001" w:rsidP="005C40B1">
            <w:pPr>
              <w:spacing w:after="0"/>
              <w:ind w:firstLine="0"/>
              <w:jc w:val="right"/>
              <w:rPr>
                <w:rFonts w:ascii="Arial Narrow" w:hAnsi="Arial Narrow" w:cs="Arial"/>
                <w:lang w:val="es-ES" w:eastAsia="es-ES"/>
              </w:rPr>
            </w:pPr>
            <w:r>
              <w:rPr>
                <w:rFonts w:ascii="Arial Narrow" w:hAnsi="Arial Narrow" w:cs="Arial"/>
                <w:lang w:val="es-ES" w:eastAsia="es-ES"/>
              </w:rPr>
              <w:t>12.653</w:t>
            </w:r>
          </w:p>
        </w:tc>
      </w:tr>
      <w:tr w:rsidR="00942001" w:rsidTr="00A20D5E">
        <w:trPr>
          <w:trHeight w:val="284"/>
          <w:jc w:val="center"/>
        </w:trPr>
        <w:tc>
          <w:tcPr>
            <w:tcW w:w="4979" w:type="dxa"/>
            <w:tcBorders>
              <w:top w:val="single" w:sz="4" w:space="0" w:color="auto"/>
              <w:left w:val="nil"/>
              <w:bottom w:val="single" w:sz="4" w:space="0" w:color="auto"/>
              <w:right w:val="nil"/>
            </w:tcBorders>
            <w:shd w:val="clear" w:color="auto" w:fill="A8CBEE" w:themeFill="accent2" w:themeFillTint="66"/>
            <w:vAlign w:val="center"/>
          </w:tcPr>
          <w:p w:rsidR="00942001" w:rsidRDefault="00942001" w:rsidP="005C40B1">
            <w:pPr>
              <w:pStyle w:val="cuadroCabe"/>
              <w:rPr>
                <w:lang w:val="es-ES" w:eastAsia="es-ES"/>
              </w:rPr>
            </w:pPr>
            <w:r>
              <w:rPr>
                <w:lang w:val="es-ES" w:eastAsia="es-ES"/>
              </w:rPr>
              <w:t>Total préstamos largo plazo</w:t>
            </w:r>
          </w:p>
        </w:tc>
        <w:tc>
          <w:tcPr>
            <w:tcW w:w="1920" w:type="dxa"/>
            <w:tcBorders>
              <w:top w:val="single" w:sz="4" w:space="0" w:color="auto"/>
              <w:left w:val="nil"/>
              <w:bottom w:val="single" w:sz="4" w:space="0" w:color="auto"/>
              <w:right w:val="nil"/>
            </w:tcBorders>
            <w:shd w:val="clear" w:color="auto" w:fill="A8CBEE" w:themeFill="accent2" w:themeFillTint="66"/>
            <w:vAlign w:val="center"/>
          </w:tcPr>
          <w:p w:rsidR="00942001" w:rsidRPr="00D36FE5" w:rsidRDefault="00942001" w:rsidP="005C40B1">
            <w:pPr>
              <w:pStyle w:val="cuadroCabe"/>
              <w:jc w:val="right"/>
              <w:rPr>
                <w:lang w:val="es-ES" w:eastAsia="es-ES"/>
              </w:rPr>
            </w:pPr>
            <w:r w:rsidRPr="00D36FE5">
              <w:rPr>
                <w:lang w:val="es-ES" w:eastAsia="es-ES"/>
              </w:rPr>
              <w:t>687.665</w:t>
            </w:r>
          </w:p>
        </w:tc>
        <w:tc>
          <w:tcPr>
            <w:tcW w:w="1920" w:type="dxa"/>
            <w:tcBorders>
              <w:top w:val="single" w:sz="4" w:space="0" w:color="auto"/>
              <w:left w:val="nil"/>
              <w:bottom w:val="single" w:sz="4" w:space="0" w:color="auto"/>
              <w:right w:val="nil"/>
            </w:tcBorders>
            <w:shd w:val="clear" w:color="auto" w:fill="A8CBEE" w:themeFill="accent2" w:themeFillTint="66"/>
            <w:vAlign w:val="center"/>
          </w:tcPr>
          <w:p w:rsidR="00942001" w:rsidRPr="00D36FE5" w:rsidRDefault="00942001" w:rsidP="005C40B1">
            <w:pPr>
              <w:pStyle w:val="cuadroCabe"/>
              <w:jc w:val="right"/>
              <w:rPr>
                <w:lang w:val="es-ES" w:eastAsia="es-ES"/>
              </w:rPr>
            </w:pPr>
            <w:r w:rsidRPr="00D36FE5">
              <w:rPr>
                <w:lang w:val="es-ES" w:eastAsia="es-ES"/>
              </w:rPr>
              <w:t>1.077.539</w:t>
            </w:r>
          </w:p>
        </w:tc>
      </w:tr>
    </w:tbl>
    <w:p w:rsidR="00942001" w:rsidRDefault="00942001" w:rsidP="00CD1EE7">
      <w:pPr>
        <w:pStyle w:val="texto"/>
        <w:spacing w:before="240"/>
        <w:rPr>
          <w:rFonts w:cs="Arial"/>
        </w:rPr>
      </w:pPr>
      <w:r w:rsidRPr="009E1C5A">
        <w:rPr>
          <w:rFonts w:cs="Arial"/>
        </w:rPr>
        <w:t>En 2015 se han concertado préstamos por un importe de 446,81 millones y se han amortizado un total de 5</w:t>
      </w:r>
      <w:r w:rsidR="00B04999">
        <w:rPr>
          <w:rFonts w:cs="Arial"/>
        </w:rPr>
        <w:t>6,2</w:t>
      </w:r>
      <w:r w:rsidRPr="009E1C5A">
        <w:rPr>
          <w:rFonts w:cs="Arial"/>
        </w:rPr>
        <w:t xml:space="preserve"> millones.</w:t>
      </w:r>
    </w:p>
    <w:p w:rsidR="00E66782" w:rsidRPr="009E1C5A" w:rsidRDefault="00E66782" w:rsidP="001A0239">
      <w:pPr>
        <w:pStyle w:val="texto"/>
        <w:rPr>
          <w:rFonts w:cs="Arial"/>
        </w:rPr>
      </w:pPr>
      <w:r>
        <w:rPr>
          <w:rFonts w:cs="Arial"/>
        </w:rPr>
        <w:t>Dentro del préstamo de la Seguridad Social, no se ha registrado una compe</w:t>
      </w:r>
      <w:r>
        <w:rPr>
          <w:rFonts w:cs="Arial"/>
        </w:rPr>
        <w:t>n</w:t>
      </w:r>
      <w:r>
        <w:rPr>
          <w:rFonts w:cs="Arial"/>
        </w:rPr>
        <w:t>sación por importe de 9.180 euros, por lo que el saldo del citado préstamo está sobrevalorado en ese importe.</w:t>
      </w:r>
    </w:p>
    <w:p w:rsidR="00942001" w:rsidRPr="009E1C5A" w:rsidRDefault="00942001" w:rsidP="001A0239">
      <w:pPr>
        <w:pStyle w:val="texto"/>
        <w:rPr>
          <w:rFonts w:cs="Arial"/>
        </w:rPr>
      </w:pPr>
      <w:r w:rsidRPr="009E1C5A">
        <w:rPr>
          <w:rFonts w:cs="Arial"/>
        </w:rPr>
        <w:t xml:space="preserve">Los </w:t>
      </w:r>
      <w:r w:rsidR="007D6A48">
        <w:rPr>
          <w:rFonts w:cs="Arial"/>
        </w:rPr>
        <w:t xml:space="preserve">nuevos </w:t>
      </w:r>
      <w:r w:rsidRPr="009E1C5A">
        <w:rPr>
          <w:rFonts w:cs="Arial"/>
        </w:rPr>
        <w:t xml:space="preserve">préstamos concertados en </w:t>
      </w:r>
      <w:r w:rsidR="00F73CD9">
        <w:rPr>
          <w:rFonts w:cs="Arial"/>
        </w:rPr>
        <w:t xml:space="preserve">mayo de </w:t>
      </w:r>
      <w:r w:rsidRPr="009E1C5A">
        <w:rPr>
          <w:rFonts w:cs="Arial"/>
        </w:rPr>
        <w:t>2015 con entidades financi</w:t>
      </w:r>
      <w:r w:rsidRPr="009E1C5A">
        <w:rPr>
          <w:rFonts w:cs="Arial"/>
        </w:rPr>
        <w:t>e</w:t>
      </w:r>
      <w:r w:rsidRPr="009E1C5A">
        <w:rPr>
          <w:rFonts w:cs="Arial"/>
        </w:rPr>
        <w:t>ras</w:t>
      </w:r>
      <w:r>
        <w:rPr>
          <w:rFonts w:cs="Arial"/>
        </w:rPr>
        <w:t>, 446 millones,</w:t>
      </w:r>
      <w:r w:rsidR="00E66782">
        <w:rPr>
          <w:rFonts w:cs="Arial"/>
        </w:rPr>
        <w:t xml:space="preserve"> han sido los siguientes:</w:t>
      </w:r>
    </w:p>
    <w:p w:rsidR="00942001" w:rsidRDefault="00945973" w:rsidP="00945973">
      <w:pPr>
        <w:pStyle w:val="texto"/>
        <w:rPr>
          <w:rFonts w:cs="Arial"/>
        </w:rPr>
      </w:pPr>
      <w:r>
        <w:rPr>
          <w:rFonts w:cs="Arial"/>
        </w:rPr>
        <w:t xml:space="preserve">a) </w:t>
      </w:r>
      <w:r w:rsidR="00942001">
        <w:rPr>
          <w:rFonts w:cs="Arial"/>
        </w:rPr>
        <w:t>Dos préstamos con Caixabank por importe de 300 y 85 millones</w:t>
      </w:r>
      <w:r w:rsidR="000775FC">
        <w:rPr>
          <w:rFonts w:cs="Arial"/>
        </w:rPr>
        <w:t>, tipo de interés fijo del 1,918 y del 2,2 por ciento</w:t>
      </w:r>
      <w:r w:rsidR="00942001">
        <w:rPr>
          <w:rFonts w:cs="Arial"/>
        </w:rPr>
        <w:t xml:space="preserve"> y con vencimiento en 2027 y 2030</w:t>
      </w:r>
      <w:r w:rsidR="00204745">
        <w:rPr>
          <w:rFonts w:cs="Arial"/>
        </w:rPr>
        <w:t>, respectivamente</w:t>
      </w:r>
      <w:r w:rsidR="00942001">
        <w:rPr>
          <w:rFonts w:cs="Arial"/>
        </w:rPr>
        <w:t>.</w:t>
      </w:r>
    </w:p>
    <w:p w:rsidR="000775FC" w:rsidRPr="000775FC" w:rsidRDefault="00945973" w:rsidP="00945973">
      <w:pPr>
        <w:pStyle w:val="texto"/>
        <w:rPr>
          <w:rFonts w:cs="Arial"/>
        </w:rPr>
      </w:pPr>
      <w:r>
        <w:rPr>
          <w:rFonts w:cs="Arial"/>
        </w:rPr>
        <w:t xml:space="preserve">b) </w:t>
      </w:r>
      <w:r w:rsidR="00942001">
        <w:rPr>
          <w:rFonts w:cs="Arial"/>
        </w:rPr>
        <w:t>Un préstamo con Bankia por importe de 61 millones</w:t>
      </w:r>
      <w:r w:rsidR="000775FC">
        <w:rPr>
          <w:rFonts w:cs="Arial"/>
        </w:rPr>
        <w:t>,</w:t>
      </w:r>
      <w:r w:rsidR="00942001">
        <w:rPr>
          <w:rFonts w:cs="Arial"/>
        </w:rPr>
        <w:t xml:space="preserve"> con vencimien</w:t>
      </w:r>
      <w:r w:rsidR="000775FC">
        <w:rPr>
          <w:rFonts w:cs="Arial"/>
        </w:rPr>
        <w:t>to en 2019 y a un tipo de interés referenciado al euribor a seis meses más un difere</w:t>
      </w:r>
      <w:r w:rsidR="000775FC">
        <w:rPr>
          <w:rFonts w:cs="Arial"/>
        </w:rPr>
        <w:t>n</w:t>
      </w:r>
      <w:r w:rsidR="000775FC">
        <w:rPr>
          <w:rFonts w:cs="Arial"/>
        </w:rPr>
        <w:t>cial del 0,309 por ciento</w:t>
      </w:r>
      <w:r w:rsidR="000775FC">
        <w:rPr>
          <w:rStyle w:val="Refdenotaalpie"/>
          <w:rFonts w:cs="Arial"/>
        </w:rPr>
        <w:footnoteReference w:id="12"/>
      </w:r>
      <w:r w:rsidR="000775FC">
        <w:rPr>
          <w:rFonts w:cs="Arial"/>
        </w:rPr>
        <w:t xml:space="preserve">. </w:t>
      </w:r>
    </w:p>
    <w:p w:rsidR="00942001" w:rsidRPr="00CD1EE7" w:rsidRDefault="00942001" w:rsidP="00942001">
      <w:pPr>
        <w:pStyle w:val="texto"/>
        <w:rPr>
          <w:rFonts w:cs="Arial"/>
          <w:spacing w:val="4"/>
        </w:rPr>
      </w:pPr>
      <w:r>
        <w:rPr>
          <w:rFonts w:cs="Arial"/>
        </w:rPr>
        <w:t>Los tres présta</w:t>
      </w:r>
      <w:r w:rsidR="007A7AFB">
        <w:rPr>
          <w:rFonts w:cs="Arial"/>
        </w:rPr>
        <w:t xml:space="preserve">mos anteriores se amortizan </w:t>
      </w:r>
      <w:r w:rsidR="007E7062">
        <w:rPr>
          <w:rFonts w:cs="Arial"/>
        </w:rPr>
        <w:t>mediante la fórmula de</w:t>
      </w:r>
      <w:r>
        <w:rPr>
          <w:rFonts w:cs="Arial"/>
        </w:rPr>
        <w:t xml:space="preserve"> pago ún</w:t>
      </w:r>
      <w:r>
        <w:rPr>
          <w:rFonts w:cs="Arial"/>
        </w:rPr>
        <w:t>i</w:t>
      </w:r>
      <w:r>
        <w:rPr>
          <w:rFonts w:cs="Arial"/>
        </w:rPr>
        <w:t>co del principal al final de su vencimiento.</w:t>
      </w:r>
      <w:r w:rsidR="000B7D8D">
        <w:rPr>
          <w:rFonts w:cs="Arial"/>
        </w:rPr>
        <w:t xml:space="preserve"> </w:t>
      </w:r>
      <w:r w:rsidR="000B7D8D" w:rsidRPr="00CD1EE7">
        <w:rPr>
          <w:rFonts w:cs="Arial"/>
          <w:spacing w:val="4"/>
        </w:rPr>
        <w:t>Con este sistema, semejante al apl</w:t>
      </w:r>
      <w:r w:rsidR="000B7D8D" w:rsidRPr="00CD1EE7">
        <w:rPr>
          <w:rFonts w:cs="Arial"/>
          <w:spacing w:val="4"/>
        </w:rPr>
        <w:t>i</w:t>
      </w:r>
      <w:r w:rsidR="000B7D8D" w:rsidRPr="00CD1EE7">
        <w:rPr>
          <w:rFonts w:cs="Arial"/>
          <w:spacing w:val="4"/>
        </w:rPr>
        <w:t>cado para emisiones de la deuda pública, se abonan solo intereses a lo largo de l</w:t>
      </w:r>
      <w:r w:rsidR="005A1E86" w:rsidRPr="00CD1EE7">
        <w:rPr>
          <w:rFonts w:cs="Arial"/>
          <w:spacing w:val="4"/>
        </w:rPr>
        <w:t>os años de vigencia del</w:t>
      </w:r>
      <w:r w:rsidR="000B7D8D" w:rsidRPr="00CD1EE7">
        <w:rPr>
          <w:rFonts w:cs="Arial"/>
          <w:spacing w:val="4"/>
        </w:rPr>
        <w:t xml:space="preserve"> préstamo, amortizando su principal al final de la misma. </w:t>
      </w:r>
    </w:p>
    <w:p w:rsidR="00307A0D" w:rsidRDefault="00307A0D" w:rsidP="00942001">
      <w:pPr>
        <w:pStyle w:val="texto"/>
        <w:rPr>
          <w:rFonts w:cs="Arial"/>
        </w:rPr>
      </w:pPr>
      <w:r>
        <w:rPr>
          <w:rFonts w:cs="Arial"/>
        </w:rPr>
        <w:t>El importe conjunto de estos préstamos, según el Acuerdo del Gobierno de 15 de abril de 2015, se destina a financiar: el déficit previsto del ejercicio -128,26 millones</w:t>
      </w:r>
      <w:r w:rsidR="00833813">
        <w:rPr>
          <w:rFonts w:cs="Arial"/>
        </w:rPr>
        <w:t>, es decir, el 0,7 por ciento del PIB</w:t>
      </w:r>
      <w:r>
        <w:rPr>
          <w:rFonts w:cs="Arial"/>
        </w:rPr>
        <w:t>, refinanciación de venc</w:t>
      </w:r>
      <w:r>
        <w:rPr>
          <w:rFonts w:cs="Arial"/>
        </w:rPr>
        <w:t>i</w:t>
      </w:r>
      <w:r>
        <w:rPr>
          <w:rFonts w:cs="Arial"/>
        </w:rPr>
        <w:t xml:space="preserve">mientos de empresas públicas </w:t>
      </w:r>
      <w:r w:rsidR="001A0239">
        <w:rPr>
          <w:rFonts w:cs="Arial"/>
        </w:rPr>
        <w:t>–</w:t>
      </w:r>
      <w:r>
        <w:rPr>
          <w:rFonts w:cs="Arial"/>
        </w:rPr>
        <w:t>11,40 millones</w:t>
      </w:r>
      <w:r w:rsidR="001A0239">
        <w:rPr>
          <w:rFonts w:cs="Arial"/>
        </w:rPr>
        <w:t>–</w:t>
      </w:r>
      <w:r>
        <w:rPr>
          <w:rFonts w:cs="Arial"/>
        </w:rPr>
        <w:t xml:space="preserve"> y a la refinanciación de venc</w:t>
      </w:r>
      <w:r>
        <w:rPr>
          <w:rFonts w:cs="Arial"/>
        </w:rPr>
        <w:t>i</w:t>
      </w:r>
      <w:r>
        <w:rPr>
          <w:rFonts w:cs="Arial"/>
        </w:rPr>
        <w:t xml:space="preserve">mientos de la Administración General </w:t>
      </w:r>
      <w:r w:rsidR="001A0239">
        <w:rPr>
          <w:rFonts w:cs="Arial"/>
        </w:rPr>
        <w:t>–</w:t>
      </w:r>
      <w:r>
        <w:rPr>
          <w:rFonts w:cs="Arial"/>
        </w:rPr>
        <w:t>306,40 millones</w:t>
      </w:r>
      <w:r w:rsidR="001A0239">
        <w:rPr>
          <w:rFonts w:cs="Arial"/>
        </w:rPr>
        <w:t>–</w:t>
      </w:r>
      <w:r>
        <w:rPr>
          <w:rFonts w:cs="Arial"/>
        </w:rPr>
        <w:t>.</w:t>
      </w:r>
    </w:p>
    <w:p w:rsidR="00BA0CBF" w:rsidRDefault="00BA0CBF" w:rsidP="00942001">
      <w:pPr>
        <w:pStyle w:val="texto"/>
        <w:rPr>
          <w:rFonts w:cs="Arial"/>
        </w:rPr>
      </w:pPr>
      <w:r>
        <w:rPr>
          <w:rFonts w:cs="Arial"/>
        </w:rPr>
        <w:t>El resto de pr</w:t>
      </w:r>
      <w:r w:rsidR="00321AB9">
        <w:rPr>
          <w:rFonts w:cs="Arial"/>
        </w:rPr>
        <w:t>é</w:t>
      </w:r>
      <w:r>
        <w:rPr>
          <w:rFonts w:cs="Arial"/>
        </w:rPr>
        <w:t xml:space="preserve">stamos obtenidos en el ejercicio </w:t>
      </w:r>
      <w:r w:rsidR="00321AB9">
        <w:rPr>
          <w:rFonts w:cs="Arial"/>
        </w:rPr>
        <w:t>provienen de los Ministerios de Educación y del de Ciencia e Innovación.</w:t>
      </w:r>
      <w:r>
        <w:rPr>
          <w:rFonts w:cs="Arial"/>
        </w:rPr>
        <w:t xml:space="preserve"> </w:t>
      </w:r>
    </w:p>
    <w:p w:rsidR="007E1C86" w:rsidRDefault="007E1C86" w:rsidP="00942001">
      <w:pPr>
        <w:pStyle w:val="texto"/>
        <w:rPr>
          <w:rFonts w:cs="Arial"/>
        </w:rPr>
      </w:pPr>
    </w:p>
    <w:p w:rsidR="007E1C86" w:rsidRDefault="007E1C86" w:rsidP="00942001">
      <w:pPr>
        <w:pStyle w:val="texto"/>
        <w:rPr>
          <w:rFonts w:cs="Arial"/>
        </w:rPr>
      </w:pPr>
    </w:p>
    <w:p w:rsidR="00B77894" w:rsidRDefault="0033770F" w:rsidP="00324440">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240"/>
        <w:ind w:left="0" w:firstLine="289"/>
        <w:rPr>
          <w:rFonts w:cs="Arial"/>
        </w:rPr>
      </w:pPr>
      <w:r w:rsidRPr="00A20D5E">
        <w:rPr>
          <w:rFonts w:cs="Arial"/>
        </w:rPr>
        <w:lastRenderedPageBreak/>
        <w:t>En el siguiente cuadro mostramos</w:t>
      </w:r>
      <w:r w:rsidR="001A0239" w:rsidRPr="00A20D5E">
        <w:rPr>
          <w:rFonts w:cs="Arial"/>
        </w:rPr>
        <w:t>, en miles de euros,</w:t>
      </w:r>
      <w:r w:rsidRPr="00A20D5E">
        <w:rPr>
          <w:rFonts w:cs="Arial"/>
        </w:rPr>
        <w:t xml:space="preserve"> el peso</w:t>
      </w:r>
      <w:r w:rsidR="0025028C" w:rsidRPr="00A20D5E">
        <w:rPr>
          <w:rFonts w:cs="Arial"/>
        </w:rPr>
        <w:t xml:space="preserve"> relativo</w:t>
      </w:r>
      <w:r w:rsidRPr="00A20D5E">
        <w:rPr>
          <w:rFonts w:cs="Arial"/>
        </w:rPr>
        <w:t xml:space="preserve"> que</w:t>
      </w:r>
      <w:r w:rsidR="005A1E86" w:rsidRPr="00A20D5E">
        <w:rPr>
          <w:rFonts w:cs="Arial"/>
        </w:rPr>
        <w:t>,</w:t>
      </w:r>
      <w:r w:rsidR="00335EF7" w:rsidRPr="00A20D5E">
        <w:rPr>
          <w:rFonts w:cs="Arial"/>
        </w:rPr>
        <w:t xml:space="preserve"> los préstamos con entidades financieras concertados bajo el</w:t>
      </w:r>
      <w:r w:rsidRPr="00A20D5E">
        <w:rPr>
          <w:rFonts w:cs="Arial"/>
        </w:rPr>
        <w:t xml:space="preserve"> sistema de amort</w:t>
      </w:r>
      <w:r w:rsidRPr="00A20D5E">
        <w:rPr>
          <w:rFonts w:cs="Arial"/>
        </w:rPr>
        <w:t>i</w:t>
      </w:r>
      <w:r w:rsidRPr="00A20D5E">
        <w:rPr>
          <w:rFonts w:cs="Arial"/>
        </w:rPr>
        <w:t>zación del principal al final del vencimiento</w:t>
      </w:r>
      <w:r w:rsidR="00A51968" w:rsidRPr="00A20D5E">
        <w:rPr>
          <w:rFonts w:cs="Arial"/>
        </w:rPr>
        <w:t>,</w:t>
      </w:r>
      <w:r w:rsidRPr="00A20D5E">
        <w:rPr>
          <w:rFonts w:cs="Arial"/>
        </w:rPr>
        <w:t xml:space="preserve"> </w:t>
      </w:r>
      <w:r w:rsidR="0025028C" w:rsidRPr="00A20D5E">
        <w:rPr>
          <w:rFonts w:cs="Arial"/>
        </w:rPr>
        <w:t>representa</w:t>
      </w:r>
      <w:r w:rsidR="003A2F01" w:rsidRPr="00A20D5E">
        <w:rPr>
          <w:rFonts w:cs="Arial"/>
        </w:rPr>
        <w:t>n</w:t>
      </w:r>
      <w:r w:rsidRPr="00A20D5E">
        <w:rPr>
          <w:rFonts w:cs="Arial"/>
        </w:rPr>
        <w:t xml:space="preserve"> sobre el total de pré</w:t>
      </w:r>
      <w:r w:rsidRPr="00A20D5E">
        <w:rPr>
          <w:rFonts w:cs="Arial"/>
        </w:rPr>
        <w:t>s</w:t>
      </w:r>
      <w:r w:rsidRPr="00A20D5E">
        <w:rPr>
          <w:rFonts w:cs="Arial"/>
        </w:rPr>
        <w:t>tamos</w:t>
      </w:r>
      <w:r w:rsidR="001A0239" w:rsidRPr="00A20D5E">
        <w:rPr>
          <w:rFonts w:cs="Arial"/>
        </w:rPr>
        <w:t>.</w:t>
      </w:r>
    </w:p>
    <w:tbl>
      <w:tblPr>
        <w:tblW w:w="8875" w:type="dxa"/>
        <w:jc w:val="center"/>
        <w:tblLayout w:type="fixed"/>
        <w:tblLook w:val="01E0" w:firstRow="1" w:lastRow="1" w:firstColumn="1" w:lastColumn="1" w:noHBand="0" w:noVBand="0"/>
      </w:tblPr>
      <w:tblGrid>
        <w:gridCol w:w="2844"/>
        <w:gridCol w:w="1422"/>
        <w:gridCol w:w="1559"/>
        <w:gridCol w:w="1560"/>
        <w:gridCol w:w="1490"/>
      </w:tblGrid>
      <w:tr w:rsidR="00A46A53" w:rsidRPr="002141E2" w:rsidTr="001A0239">
        <w:trPr>
          <w:trHeight w:val="284"/>
          <w:jc w:val="center"/>
        </w:trPr>
        <w:tc>
          <w:tcPr>
            <w:tcW w:w="2844" w:type="dxa"/>
            <w:tcBorders>
              <w:top w:val="single" w:sz="4" w:space="0" w:color="auto"/>
              <w:left w:val="nil"/>
              <w:bottom w:val="single" w:sz="4" w:space="0" w:color="auto"/>
              <w:right w:val="nil"/>
            </w:tcBorders>
            <w:shd w:val="clear" w:color="auto" w:fill="A8CBEE" w:themeFill="accent2" w:themeFillTint="66"/>
            <w:vAlign w:val="center"/>
          </w:tcPr>
          <w:p w:rsidR="00335EF7" w:rsidRDefault="00A46A53" w:rsidP="00335EF7">
            <w:pPr>
              <w:pStyle w:val="cuadroCabe"/>
              <w:jc w:val="left"/>
              <w:rPr>
                <w:rFonts w:cs="Arial"/>
              </w:rPr>
            </w:pPr>
            <w:r>
              <w:rPr>
                <w:rFonts w:cs="Arial"/>
              </w:rPr>
              <w:t>Préstamos</w:t>
            </w:r>
            <w:r w:rsidR="00335EF7">
              <w:rPr>
                <w:rFonts w:cs="Arial"/>
              </w:rPr>
              <w:t xml:space="preserve"> con entidades </w:t>
            </w:r>
          </w:p>
          <w:p w:rsidR="00A46A53" w:rsidRPr="00987F75" w:rsidRDefault="00335EF7" w:rsidP="00335EF7">
            <w:pPr>
              <w:pStyle w:val="cuadroCabe"/>
              <w:jc w:val="left"/>
              <w:rPr>
                <w:rFonts w:cs="Arial"/>
              </w:rPr>
            </w:pPr>
            <w:r>
              <w:rPr>
                <w:rFonts w:cs="Arial"/>
              </w:rPr>
              <w:t>financieras</w:t>
            </w:r>
          </w:p>
        </w:tc>
        <w:tc>
          <w:tcPr>
            <w:tcW w:w="1422" w:type="dxa"/>
            <w:tcBorders>
              <w:top w:val="single" w:sz="4" w:space="0" w:color="auto"/>
              <w:left w:val="nil"/>
              <w:bottom w:val="single" w:sz="4" w:space="0" w:color="auto"/>
              <w:right w:val="nil"/>
            </w:tcBorders>
            <w:shd w:val="clear" w:color="auto" w:fill="A8CBEE" w:themeFill="accent2" w:themeFillTint="66"/>
            <w:vAlign w:val="center"/>
          </w:tcPr>
          <w:p w:rsidR="00A46A53" w:rsidRPr="00987F75" w:rsidRDefault="00A46A53" w:rsidP="00335EF7">
            <w:pPr>
              <w:pStyle w:val="cuadroCabe"/>
              <w:jc w:val="right"/>
              <w:rPr>
                <w:rFonts w:cs="Arial"/>
              </w:rPr>
            </w:pPr>
            <w:r>
              <w:rPr>
                <w:rFonts w:cs="Arial"/>
              </w:rPr>
              <w:t>Importe</w:t>
            </w:r>
            <w:r w:rsidR="00DB1069">
              <w:rPr>
                <w:rFonts w:cs="Arial"/>
              </w:rPr>
              <w:t xml:space="preserve"> saldo 31/XII/2015</w:t>
            </w:r>
          </w:p>
        </w:tc>
        <w:tc>
          <w:tcPr>
            <w:tcW w:w="1559" w:type="dxa"/>
            <w:tcBorders>
              <w:top w:val="single" w:sz="4" w:space="0" w:color="auto"/>
              <w:left w:val="nil"/>
              <w:bottom w:val="single" w:sz="4" w:space="0" w:color="auto"/>
              <w:right w:val="nil"/>
            </w:tcBorders>
            <w:shd w:val="clear" w:color="auto" w:fill="A8CBEE" w:themeFill="accent2" w:themeFillTint="66"/>
            <w:vAlign w:val="center"/>
          </w:tcPr>
          <w:p w:rsidR="00A46A53" w:rsidRPr="00987F75" w:rsidRDefault="00A46A53" w:rsidP="00A46A53">
            <w:pPr>
              <w:pStyle w:val="cuadroCabe"/>
              <w:jc w:val="right"/>
              <w:rPr>
                <w:rFonts w:cs="Arial"/>
              </w:rPr>
            </w:pPr>
            <w:r>
              <w:rPr>
                <w:rFonts w:cs="Arial"/>
              </w:rPr>
              <w:t>Amortización al vencimiento</w:t>
            </w:r>
          </w:p>
        </w:tc>
        <w:tc>
          <w:tcPr>
            <w:tcW w:w="1560" w:type="dxa"/>
            <w:tcBorders>
              <w:top w:val="single" w:sz="4" w:space="0" w:color="auto"/>
              <w:left w:val="nil"/>
              <w:bottom w:val="single" w:sz="4" w:space="0" w:color="auto"/>
              <w:right w:val="nil"/>
            </w:tcBorders>
            <w:shd w:val="clear" w:color="auto" w:fill="A8CBEE" w:themeFill="accent2" w:themeFillTint="66"/>
            <w:vAlign w:val="center"/>
          </w:tcPr>
          <w:p w:rsidR="00A46A53" w:rsidRPr="00987F75" w:rsidRDefault="00A46A53" w:rsidP="00A46A53">
            <w:pPr>
              <w:pStyle w:val="cuadroCabe"/>
              <w:jc w:val="right"/>
              <w:rPr>
                <w:rFonts w:cs="Arial"/>
              </w:rPr>
            </w:pPr>
            <w:r>
              <w:rPr>
                <w:rFonts w:cs="Arial"/>
              </w:rPr>
              <w:t>% amortización</w:t>
            </w:r>
            <w:r w:rsidR="00EE6308">
              <w:rPr>
                <w:rFonts w:cs="Arial"/>
              </w:rPr>
              <w:t xml:space="preserve"> al vencimiento</w:t>
            </w:r>
          </w:p>
        </w:tc>
        <w:tc>
          <w:tcPr>
            <w:tcW w:w="1490" w:type="dxa"/>
            <w:tcBorders>
              <w:top w:val="single" w:sz="4" w:space="0" w:color="auto"/>
              <w:left w:val="nil"/>
              <w:bottom w:val="single" w:sz="4" w:space="0" w:color="auto"/>
              <w:right w:val="nil"/>
            </w:tcBorders>
            <w:shd w:val="clear" w:color="auto" w:fill="A8CBEE" w:themeFill="accent2" w:themeFillTint="66"/>
            <w:vAlign w:val="center"/>
          </w:tcPr>
          <w:p w:rsidR="00A46A53" w:rsidRPr="00987F75" w:rsidRDefault="00A46A53" w:rsidP="00335EF7">
            <w:pPr>
              <w:pStyle w:val="cuadroCabe"/>
              <w:jc w:val="right"/>
              <w:rPr>
                <w:rFonts w:cs="Arial"/>
              </w:rPr>
            </w:pPr>
            <w:r>
              <w:rPr>
                <w:rFonts w:cs="Arial"/>
              </w:rPr>
              <w:t>Promedio año amortización</w:t>
            </w:r>
          </w:p>
        </w:tc>
      </w:tr>
      <w:tr w:rsidR="00A46A53" w:rsidRPr="002141E2" w:rsidTr="00A20D5E">
        <w:trPr>
          <w:trHeight w:val="284"/>
          <w:jc w:val="center"/>
        </w:trPr>
        <w:tc>
          <w:tcPr>
            <w:tcW w:w="2844" w:type="dxa"/>
            <w:tcBorders>
              <w:top w:val="single" w:sz="2" w:space="0" w:color="auto"/>
              <w:left w:val="nil"/>
              <w:bottom w:val="single" w:sz="2" w:space="0" w:color="auto"/>
              <w:right w:val="nil"/>
            </w:tcBorders>
            <w:vAlign w:val="center"/>
          </w:tcPr>
          <w:p w:rsidR="00A46A53" w:rsidRPr="000B55D6" w:rsidRDefault="00A46A53" w:rsidP="00CD1EE7">
            <w:pPr>
              <w:spacing w:after="0"/>
              <w:ind w:firstLine="0"/>
              <w:jc w:val="left"/>
              <w:rPr>
                <w:rFonts w:ascii="Arial Narrow" w:hAnsi="Arial Narrow" w:cs="Arial"/>
                <w:lang w:eastAsia="es-ES"/>
              </w:rPr>
            </w:pPr>
            <w:r w:rsidRPr="000B55D6">
              <w:rPr>
                <w:rFonts w:ascii="Arial Narrow" w:hAnsi="Arial Narrow" w:cs="Arial"/>
                <w:lang w:eastAsia="es-ES"/>
              </w:rPr>
              <w:t>Préstamos con entidades finan</w:t>
            </w:r>
            <w:r w:rsidR="00CD1EE7">
              <w:rPr>
                <w:rFonts w:ascii="Arial Narrow" w:hAnsi="Arial Narrow" w:cs="Arial"/>
                <w:lang w:eastAsia="es-ES"/>
              </w:rPr>
              <w:t>.</w:t>
            </w:r>
          </w:p>
        </w:tc>
        <w:tc>
          <w:tcPr>
            <w:tcW w:w="1422" w:type="dxa"/>
            <w:tcBorders>
              <w:top w:val="single" w:sz="2" w:space="0" w:color="auto"/>
              <w:left w:val="nil"/>
              <w:bottom w:val="single" w:sz="2" w:space="0" w:color="auto"/>
              <w:right w:val="nil"/>
            </w:tcBorders>
            <w:vAlign w:val="center"/>
          </w:tcPr>
          <w:p w:rsidR="00A46A53" w:rsidRPr="000B55D6" w:rsidRDefault="00A46A53" w:rsidP="00335EF7">
            <w:pPr>
              <w:spacing w:after="0"/>
              <w:ind w:firstLine="0"/>
              <w:jc w:val="right"/>
              <w:rPr>
                <w:rFonts w:ascii="Arial Narrow" w:hAnsi="Arial Narrow" w:cs="Arial"/>
                <w:lang w:val="es-ES" w:eastAsia="es-ES"/>
              </w:rPr>
            </w:pPr>
            <w:r>
              <w:rPr>
                <w:rFonts w:ascii="Arial Narrow" w:hAnsi="Arial Narrow" w:cs="Arial"/>
                <w:lang w:val="es-ES" w:eastAsia="es-ES"/>
              </w:rPr>
              <w:t>755.200</w:t>
            </w:r>
          </w:p>
        </w:tc>
        <w:tc>
          <w:tcPr>
            <w:tcW w:w="1559" w:type="dxa"/>
            <w:tcBorders>
              <w:top w:val="single" w:sz="2" w:space="0" w:color="auto"/>
              <w:left w:val="nil"/>
              <w:bottom w:val="single" w:sz="2" w:space="0" w:color="auto"/>
              <w:right w:val="nil"/>
            </w:tcBorders>
            <w:vAlign w:val="center"/>
          </w:tcPr>
          <w:p w:rsidR="00A46A53" w:rsidRPr="000B55D6" w:rsidRDefault="00A46A53" w:rsidP="00335EF7">
            <w:pPr>
              <w:spacing w:after="0"/>
              <w:ind w:firstLine="0"/>
              <w:jc w:val="right"/>
              <w:rPr>
                <w:rFonts w:ascii="Arial Narrow" w:hAnsi="Arial Narrow" w:cs="Arial"/>
                <w:lang w:val="es-ES" w:eastAsia="es-ES"/>
              </w:rPr>
            </w:pPr>
            <w:r>
              <w:rPr>
                <w:rFonts w:ascii="Arial Narrow" w:hAnsi="Arial Narrow" w:cs="Arial"/>
                <w:lang w:val="es-ES" w:eastAsia="es-ES"/>
              </w:rPr>
              <w:t>629.000</w:t>
            </w:r>
          </w:p>
        </w:tc>
        <w:tc>
          <w:tcPr>
            <w:tcW w:w="1560" w:type="dxa"/>
            <w:tcBorders>
              <w:top w:val="single" w:sz="2" w:space="0" w:color="auto"/>
              <w:left w:val="nil"/>
              <w:bottom w:val="single" w:sz="2" w:space="0" w:color="auto"/>
              <w:right w:val="nil"/>
            </w:tcBorders>
            <w:vAlign w:val="center"/>
          </w:tcPr>
          <w:p w:rsidR="00A46A53" w:rsidRPr="000B55D6" w:rsidRDefault="00A46A53" w:rsidP="00335EF7">
            <w:pPr>
              <w:spacing w:after="0"/>
              <w:ind w:firstLine="0"/>
              <w:jc w:val="right"/>
              <w:rPr>
                <w:rFonts w:ascii="Arial Narrow" w:hAnsi="Arial Narrow" w:cs="Arial"/>
                <w:lang w:val="es-ES" w:eastAsia="es-ES"/>
              </w:rPr>
            </w:pPr>
            <w:r>
              <w:rPr>
                <w:rFonts w:ascii="Arial Narrow" w:hAnsi="Arial Narrow" w:cs="Arial"/>
                <w:lang w:val="es-ES" w:eastAsia="es-ES"/>
              </w:rPr>
              <w:t>83</w:t>
            </w:r>
          </w:p>
        </w:tc>
        <w:tc>
          <w:tcPr>
            <w:tcW w:w="1490" w:type="dxa"/>
            <w:tcBorders>
              <w:top w:val="single" w:sz="2" w:space="0" w:color="auto"/>
              <w:left w:val="nil"/>
              <w:bottom w:val="single" w:sz="2" w:space="0" w:color="auto"/>
              <w:right w:val="nil"/>
            </w:tcBorders>
            <w:vAlign w:val="center"/>
          </w:tcPr>
          <w:p w:rsidR="00A46A53" w:rsidRPr="000B55D6" w:rsidRDefault="00A46A53" w:rsidP="00335EF7">
            <w:pPr>
              <w:spacing w:after="0"/>
              <w:ind w:firstLine="0"/>
              <w:jc w:val="right"/>
              <w:rPr>
                <w:rFonts w:ascii="Arial Narrow" w:hAnsi="Arial Narrow" w:cs="Arial"/>
                <w:lang w:val="es-ES" w:eastAsia="es-ES"/>
              </w:rPr>
            </w:pPr>
            <w:r>
              <w:rPr>
                <w:rFonts w:ascii="Arial Narrow" w:hAnsi="Arial Narrow" w:cs="Arial"/>
                <w:lang w:val="es-ES" w:eastAsia="es-ES"/>
              </w:rPr>
              <w:t>2023</w:t>
            </w:r>
          </w:p>
        </w:tc>
      </w:tr>
      <w:tr w:rsidR="00A46A53" w:rsidRPr="002141E2" w:rsidTr="00A20D5E">
        <w:trPr>
          <w:trHeight w:val="284"/>
          <w:jc w:val="center"/>
        </w:trPr>
        <w:tc>
          <w:tcPr>
            <w:tcW w:w="2844" w:type="dxa"/>
            <w:tcBorders>
              <w:top w:val="single" w:sz="2" w:space="0" w:color="auto"/>
              <w:left w:val="nil"/>
              <w:bottom w:val="single" w:sz="2" w:space="0" w:color="auto"/>
              <w:right w:val="nil"/>
            </w:tcBorders>
            <w:vAlign w:val="center"/>
          </w:tcPr>
          <w:p w:rsidR="00A46A53" w:rsidRPr="000B55D6" w:rsidRDefault="00A46A53" w:rsidP="00A46A53">
            <w:pPr>
              <w:spacing w:after="0"/>
              <w:ind w:firstLine="0"/>
              <w:jc w:val="left"/>
              <w:rPr>
                <w:rFonts w:ascii="Arial Narrow" w:hAnsi="Arial Narrow" w:cs="Arial"/>
                <w:lang w:eastAsia="es-ES"/>
              </w:rPr>
            </w:pPr>
            <w:r w:rsidRPr="000B55D6">
              <w:rPr>
                <w:rFonts w:ascii="Arial Narrow" w:hAnsi="Arial Narrow" w:cs="Arial"/>
                <w:lang w:eastAsia="es-ES"/>
              </w:rPr>
              <w:t>Préstamos con el B</w:t>
            </w:r>
            <w:r w:rsidR="005D54C6">
              <w:rPr>
                <w:rFonts w:ascii="Arial Narrow" w:hAnsi="Arial Narrow" w:cs="Arial"/>
                <w:lang w:eastAsia="es-ES"/>
              </w:rPr>
              <w:t xml:space="preserve">. </w:t>
            </w:r>
            <w:r>
              <w:rPr>
                <w:rFonts w:ascii="Arial Narrow" w:hAnsi="Arial Narrow" w:cs="Arial"/>
                <w:lang w:eastAsia="es-ES"/>
              </w:rPr>
              <w:t>E</w:t>
            </w:r>
            <w:r w:rsidR="005D54C6">
              <w:rPr>
                <w:rFonts w:ascii="Arial Narrow" w:hAnsi="Arial Narrow" w:cs="Arial"/>
                <w:lang w:eastAsia="es-ES"/>
              </w:rPr>
              <w:t xml:space="preserve">uropeo </w:t>
            </w:r>
            <w:r>
              <w:rPr>
                <w:rFonts w:ascii="Arial Narrow" w:hAnsi="Arial Narrow" w:cs="Arial"/>
                <w:lang w:eastAsia="es-ES"/>
              </w:rPr>
              <w:t>I</w:t>
            </w:r>
            <w:r w:rsidR="005D54C6">
              <w:rPr>
                <w:rFonts w:ascii="Arial Narrow" w:hAnsi="Arial Narrow" w:cs="Arial"/>
                <w:lang w:eastAsia="es-ES"/>
              </w:rPr>
              <w:t>nv.</w:t>
            </w:r>
          </w:p>
        </w:tc>
        <w:tc>
          <w:tcPr>
            <w:tcW w:w="1422" w:type="dxa"/>
            <w:tcBorders>
              <w:top w:val="single" w:sz="2" w:space="0" w:color="auto"/>
              <w:left w:val="nil"/>
              <w:bottom w:val="single" w:sz="2" w:space="0" w:color="auto"/>
              <w:right w:val="nil"/>
            </w:tcBorders>
            <w:vAlign w:val="center"/>
          </w:tcPr>
          <w:p w:rsidR="00A46A53" w:rsidRPr="000B55D6" w:rsidRDefault="00A46A53" w:rsidP="00335EF7">
            <w:pPr>
              <w:spacing w:after="0"/>
              <w:ind w:firstLine="0"/>
              <w:jc w:val="right"/>
              <w:rPr>
                <w:rFonts w:ascii="Arial Narrow" w:hAnsi="Arial Narrow" w:cs="Arial"/>
                <w:lang w:val="es-ES" w:eastAsia="es-ES"/>
              </w:rPr>
            </w:pPr>
            <w:r>
              <w:rPr>
                <w:rFonts w:ascii="Arial Narrow" w:hAnsi="Arial Narrow" w:cs="Arial"/>
                <w:lang w:val="es-ES" w:eastAsia="es-ES"/>
              </w:rPr>
              <w:t>300.000</w:t>
            </w:r>
          </w:p>
        </w:tc>
        <w:tc>
          <w:tcPr>
            <w:tcW w:w="1559" w:type="dxa"/>
            <w:tcBorders>
              <w:top w:val="single" w:sz="2" w:space="0" w:color="auto"/>
              <w:left w:val="nil"/>
              <w:bottom w:val="single" w:sz="2" w:space="0" w:color="auto"/>
              <w:right w:val="nil"/>
            </w:tcBorders>
            <w:vAlign w:val="center"/>
          </w:tcPr>
          <w:p w:rsidR="00A46A53" w:rsidRPr="000B55D6" w:rsidRDefault="00A46A53" w:rsidP="00335EF7">
            <w:pPr>
              <w:spacing w:after="0"/>
              <w:ind w:firstLine="0"/>
              <w:jc w:val="right"/>
              <w:rPr>
                <w:rFonts w:ascii="Arial Narrow" w:hAnsi="Arial Narrow" w:cs="Arial"/>
                <w:lang w:val="es-ES" w:eastAsia="es-ES"/>
              </w:rPr>
            </w:pPr>
            <w:r>
              <w:rPr>
                <w:rFonts w:ascii="Arial Narrow" w:hAnsi="Arial Narrow" w:cs="Arial"/>
                <w:lang w:val="es-ES" w:eastAsia="es-ES"/>
              </w:rPr>
              <w:t>300.000</w:t>
            </w:r>
          </w:p>
        </w:tc>
        <w:tc>
          <w:tcPr>
            <w:tcW w:w="1560" w:type="dxa"/>
            <w:tcBorders>
              <w:top w:val="single" w:sz="2" w:space="0" w:color="auto"/>
              <w:left w:val="nil"/>
              <w:bottom w:val="single" w:sz="2" w:space="0" w:color="auto"/>
              <w:right w:val="nil"/>
            </w:tcBorders>
            <w:vAlign w:val="center"/>
          </w:tcPr>
          <w:p w:rsidR="00A46A53" w:rsidRPr="000B55D6" w:rsidRDefault="00A46A53" w:rsidP="00335EF7">
            <w:pPr>
              <w:spacing w:after="0"/>
              <w:ind w:firstLine="0"/>
              <w:jc w:val="right"/>
              <w:rPr>
                <w:rFonts w:ascii="Arial Narrow" w:hAnsi="Arial Narrow" w:cs="Arial"/>
                <w:lang w:val="es-ES" w:eastAsia="es-ES"/>
              </w:rPr>
            </w:pPr>
            <w:r>
              <w:rPr>
                <w:rFonts w:ascii="Arial Narrow" w:hAnsi="Arial Narrow" w:cs="Arial"/>
                <w:lang w:val="es-ES" w:eastAsia="es-ES"/>
              </w:rPr>
              <w:t>100</w:t>
            </w:r>
          </w:p>
        </w:tc>
        <w:tc>
          <w:tcPr>
            <w:tcW w:w="1490" w:type="dxa"/>
            <w:tcBorders>
              <w:top w:val="single" w:sz="2" w:space="0" w:color="auto"/>
              <w:left w:val="nil"/>
              <w:bottom w:val="single" w:sz="2" w:space="0" w:color="auto"/>
              <w:right w:val="nil"/>
            </w:tcBorders>
            <w:vAlign w:val="center"/>
          </w:tcPr>
          <w:p w:rsidR="00A46A53" w:rsidRPr="000B55D6" w:rsidRDefault="00A46A53" w:rsidP="00335EF7">
            <w:pPr>
              <w:spacing w:after="0"/>
              <w:ind w:firstLine="0"/>
              <w:jc w:val="right"/>
              <w:rPr>
                <w:rFonts w:ascii="Arial Narrow" w:hAnsi="Arial Narrow" w:cs="Arial"/>
                <w:lang w:val="es-ES" w:eastAsia="es-ES"/>
              </w:rPr>
            </w:pPr>
            <w:r>
              <w:rPr>
                <w:rFonts w:ascii="Arial Narrow" w:hAnsi="Arial Narrow" w:cs="Arial"/>
                <w:lang w:val="es-ES" w:eastAsia="es-ES"/>
              </w:rPr>
              <w:t>2024</w:t>
            </w:r>
          </w:p>
        </w:tc>
      </w:tr>
      <w:tr w:rsidR="00A46A53" w:rsidRPr="002141E2" w:rsidTr="00A20D5E">
        <w:trPr>
          <w:trHeight w:val="284"/>
          <w:jc w:val="center"/>
        </w:trPr>
        <w:tc>
          <w:tcPr>
            <w:tcW w:w="2844" w:type="dxa"/>
            <w:tcBorders>
              <w:top w:val="single" w:sz="4" w:space="0" w:color="auto"/>
              <w:left w:val="nil"/>
              <w:bottom w:val="single" w:sz="4" w:space="0" w:color="auto"/>
              <w:right w:val="nil"/>
            </w:tcBorders>
            <w:shd w:val="clear" w:color="auto" w:fill="A8CBEE" w:themeFill="accent2" w:themeFillTint="66"/>
            <w:vAlign w:val="center"/>
          </w:tcPr>
          <w:p w:rsidR="00A46A53" w:rsidRPr="002141E2" w:rsidRDefault="00A46A53" w:rsidP="00335EF7">
            <w:pPr>
              <w:pStyle w:val="cuadroCabe"/>
              <w:jc w:val="left"/>
              <w:rPr>
                <w:sz w:val="16"/>
                <w:szCs w:val="16"/>
              </w:rPr>
            </w:pPr>
            <w:r w:rsidRPr="00987F75">
              <w:rPr>
                <w:rFonts w:cs="Arial"/>
              </w:rPr>
              <w:t xml:space="preserve">Total </w:t>
            </w:r>
          </w:p>
        </w:tc>
        <w:tc>
          <w:tcPr>
            <w:tcW w:w="1422" w:type="dxa"/>
            <w:tcBorders>
              <w:top w:val="single" w:sz="4" w:space="0" w:color="auto"/>
              <w:left w:val="nil"/>
              <w:bottom w:val="single" w:sz="4" w:space="0" w:color="auto"/>
              <w:right w:val="nil"/>
            </w:tcBorders>
            <w:shd w:val="clear" w:color="auto" w:fill="A8CBEE" w:themeFill="accent2" w:themeFillTint="66"/>
            <w:vAlign w:val="center"/>
          </w:tcPr>
          <w:p w:rsidR="00A46A53" w:rsidRPr="000B55D6" w:rsidRDefault="00A46A53" w:rsidP="00335EF7">
            <w:pPr>
              <w:pStyle w:val="cuadroCabe"/>
              <w:jc w:val="right"/>
              <w:rPr>
                <w:lang w:val="es-ES" w:eastAsia="es-ES"/>
              </w:rPr>
            </w:pPr>
            <w:r>
              <w:rPr>
                <w:lang w:val="es-ES" w:eastAsia="es-ES"/>
              </w:rPr>
              <w:t>1.055.200</w:t>
            </w:r>
          </w:p>
        </w:tc>
        <w:tc>
          <w:tcPr>
            <w:tcW w:w="1559" w:type="dxa"/>
            <w:tcBorders>
              <w:top w:val="single" w:sz="4" w:space="0" w:color="auto"/>
              <w:left w:val="nil"/>
              <w:bottom w:val="single" w:sz="4" w:space="0" w:color="auto"/>
              <w:right w:val="nil"/>
            </w:tcBorders>
            <w:shd w:val="clear" w:color="auto" w:fill="A8CBEE" w:themeFill="accent2" w:themeFillTint="66"/>
            <w:vAlign w:val="center"/>
          </w:tcPr>
          <w:p w:rsidR="00A46A53" w:rsidRPr="000B55D6" w:rsidRDefault="00A46A53" w:rsidP="00335EF7">
            <w:pPr>
              <w:pStyle w:val="cuadroCabe"/>
              <w:jc w:val="right"/>
              <w:rPr>
                <w:lang w:val="es-ES" w:eastAsia="es-ES"/>
              </w:rPr>
            </w:pPr>
            <w:r>
              <w:rPr>
                <w:lang w:val="es-ES" w:eastAsia="es-ES"/>
              </w:rPr>
              <w:t>929.000</w:t>
            </w:r>
          </w:p>
        </w:tc>
        <w:tc>
          <w:tcPr>
            <w:tcW w:w="1560" w:type="dxa"/>
            <w:tcBorders>
              <w:top w:val="single" w:sz="4" w:space="0" w:color="auto"/>
              <w:left w:val="nil"/>
              <w:bottom w:val="single" w:sz="4" w:space="0" w:color="auto"/>
              <w:right w:val="nil"/>
            </w:tcBorders>
            <w:shd w:val="clear" w:color="auto" w:fill="A8CBEE" w:themeFill="accent2" w:themeFillTint="66"/>
            <w:vAlign w:val="center"/>
          </w:tcPr>
          <w:p w:rsidR="00A46A53" w:rsidRPr="000B55D6" w:rsidRDefault="00A46A53" w:rsidP="008C239E">
            <w:pPr>
              <w:pStyle w:val="cuadroCabe"/>
              <w:jc w:val="right"/>
              <w:rPr>
                <w:lang w:val="es-ES" w:eastAsia="es-ES"/>
              </w:rPr>
            </w:pPr>
            <w:r>
              <w:rPr>
                <w:lang w:val="es-ES" w:eastAsia="es-ES"/>
              </w:rPr>
              <w:t>8</w:t>
            </w:r>
            <w:r w:rsidR="008C239E">
              <w:rPr>
                <w:lang w:val="es-ES" w:eastAsia="es-ES"/>
              </w:rPr>
              <w:t>8</w:t>
            </w:r>
          </w:p>
        </w:tc>
        <w:tc>
          <w:tcPr>
            <w:tcW w:w="1490" w:type="dxa"/>
            <w:tcBorders>
              <w:top w:val="single" w:sz="4" w:space="0" w:color="auto"/>
              <w:left w:val="nil"/>
              <w:bottom w:val="single" w:sz="4" w:space="0" w:color="auto"/>
              <w:right w:val="nil"/>
            </w:tcBorders>
            <w:shd w:val="clear" w:color="auto" w:fill="A8CBEE" w:themeFill="accent2" w:themeFillTint="66"/>
            <w:vAlign w:val="center"/>
          </w:tcPr>
          <w:p w:rsidR="00A46A53" w:rsidRPr="000B55D6" w:rsidRDefault="00A46A53" w:rsidP="00335EF7">
            <w:pPr>
              <w:pStyle w:val="cuadroCabe"/>
              <w:jc w:val="right"/>
              <w:rPr>
                <w:lang w:val="es-ES" w:eastAsia="es-ES"/>
              </w:rPr>
            </w:pPr>
          </w:p>
        </w:tc>
      </w:tr>
    </w:tbl>
    <w:p w:rsidR="00A20D5E" w:rsidRDefault="00335EF7" w:rsidP="00754AAC">
      <w:pPr>
        <w:pStyle w:val="texto"/>
        <w:spacing w:before="240"/>
        <w:rPr>
          <w:rFonts w:cs="Arial"/>
        </w:rPr>
      </w:pPr>
      <w:r w:rsidRPr="00335EF7">
        <w:rPr>
          <w:rFonts w:cs="Arial"/>
        </w:rPr>
        <w:t>Es decir, el 8</w:t>
      </w:r>
      <w:r w:rsidR="00A51968">
        <w:rPr>
          <w:rFonts w:cs="Arial"/>
        </w:rPr>
        <w:t>8</w:t>
      </w:r>
      <w:r w:rsidRPr="00335EF7">
        <w:rPr>
          <w:rFonts w:cs="Arial"/>
        </w:rPr>
        <w:t xml:space="preserve"> por c</w:t>
      </w:r>
      <w:r>
        <w:rPr>
          <w:rFonts w:cs="Arial"/>
        </w:rPr>
        <w:t>ie</w:t>
      </w:r>
      <w:r w:rsidRPr="00335EF7">
        <w:rPr>
          <w:rFonts w:cs="Arial"/>
        </w:rPr>
        <w:t xml:space="preserve">nto </w:t>
      </w:r>
      <w:r>
        <w:rPr>
          <w:rFonts w:cs="Arial"/>
        </w:rPr>
        <w:t>de los pr</w:t>
      </w:r>
      <w:r w:rsidRPr="00335EF7">
        <w:rPr>
          <w:rFonts w:cs="Arial"/>
        </w:rPr>
        <w:t>ést</w:t>
      </w:r>
      <w:r>
        <w:rPr>
          <w:rFonts w:cs="Arial"/>
        </w:rPr>
        <w:t>a</w:t>
      </w:r>
      <w:r w:rsidRPr="00335EF7">
        <w:rPr>
          <w:rFonts w:cs="Arial"/>
        </w:rPr>
        <w:t>mos vivos a 31 de diciembre de 2015 han sido concertados bajo esta fórmula</w:t>
      </w:r>
      <w:r w:rsidR="003A2F01">
        <w:rPr>
          <w:rFonts w:cs="Arial"/>
        </w:rPr>
        <w:t>, que repercutirá</w:t>
      </w:r>
      <w:r>
        <w:rPr>
          <w:rFonts w:cs="Arial"/>
        </w:rPr>
        <w:t xml:space="preserve"> especialmente en los presupuestos de 2023 y 2024.</w:t>
      </w:r>
    </w:p>
    <w:p w:rsidR="00942001" w:rsidRPr="006D43A7" w:rsidRDefault="00EE6308" w:rsidP="00F35AED">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0"/>
        <w:ind w:left="0" w:firstLine="289"/>
        <w:rPr>
          <w:lang w:val="es-ES"/>
        </w:rPr>
      </w:pPr>
      <w:r>
        <w:rPr>
          <w:rFonts w:cs="Arial"/>
          <w:lang w:val="es-ES"/>
        </w:rPr>
        <w:t>E</w:t>
      </w:r>
      <w:r w:rsidR="00942001" w:rsidRPr="000351F6">
        <w:rPr>
          <w:rFonts w:cs="Arial"/>
        </w:rPr>
        <w:t>l tipo de i</w:t>
      </w:r>
      <w:r w:rsidR="00942001">
        <w:rPr>
          <w:rFonts w:cs="Arial"/>
        </w:rPr>
        <w:t>nterés medio del endeudamiento concertado</w:t>
      </w:r>
      <w:r w:rsidR="00942001" w:rsidRPr="006D43A7">
        <w:rPr>
          <w:lang w:val="es-ES"/>
        </w:rPr>
        <w:t xml:space="preserve"> en 201</w:t>
      </w:r>
      <w:r w:rsidR="00942001">
        <w:rPr>
          <w:lang w:val="es-ES"/>
        </w:rPr>
        <w:t>5</w:t>
      </w:r>
      <w:r w:rsidR="00942001" w:rsidRPr="006D43A7">
        <w:rPr>
          <w:lang w:val="es-ES"/>
        </w:rPr>
        <w:t xml:space="preserve"> y del e</w:t>
      </w:r>
      <w:r w:rsidR="00942001" w:rsidRPr="006D43A7">
        <w:rPr>
          <w:lang w:val="es-ES"/>
        </w:rPr>
        <w:t>n</w:t>
      </w:r>
      <w:r w:rsidR="00942001" w:rsidRPr="006D43A7">
        <w:rPr>
          <w:lang w:val="es-ES"/>
        </w:rPr>
        <w:t>deudamiento total</w:t>
      </w:r>
      <w:r>
        <w:rPr>
          <w:lang w:val="es-ES"/>
        </w:rPr>
        <w:t>, se muestra a continuación:</w:t>
      </w:r>
    </w:p>
    <w:p w:rsidR="00942001" w:rsidRDefault="00942001" w:rsidP="001E7B19">
      <w:pPr>
        <w:pStyle w:val="texto"/>
        <w:spacing w:after="80"/>
        <w:ind w:left="6237" w:firstLine="970"/>
        <w:jc w:val="right"/>
      </w:pPr>
      <w:r w:rsidRPr="00E05116">
        <w:rPr>
          <w:rFonts w:ascii="Arial" w:hAnsi="Arial" w:cs="Arial"/>
          <w:sz w:val="16"/>
          <w:szCs w:val="16"/>
          <w:lang w:val="es-ES" w:eastAsia="es-ES"/>
        </w:rPr>
        <w:t>(</w:t>
      </w:r>
      <w:r w:rsidR="008E1787">
        <w:rPr>
          <w:rFonts w:ascii="Arial" w:hAnsi="Arial" w:cs="Arial"/>
          <w:sz w:val="16"/>
          <w:szCs w:val="16"/>
          <w:lang w:val="es-ES" w:eastAsia="es-ES"/>
        </w:rPr>
        <w:t>Miles</w:t>
      </w:r>
      <w:r w:rsidRPr="00E05116">
        <w:rPr>
          <w:rFonts w:ascii="Arial" w:hAnsi="Arial" w:cs="Arial"/>
          <w:sz w:val="16"/>
          <w:szCs w:val="16"/>
          <w:lang w:val="es-ES" w:eastAsia="es-ES"/>
        </w:rPr>
        <w:t xml:space="preserve"> de euros)</w:t>
      </w:r>
    </w:p>
    <w:tbl>
      <w:tblPr>
        <w:tblW w:w="8737" w:type="dxa"/>
        <w:jc w:val="center"/>
        <w:tblLayout w:type="fixed"/>
        <w:tblLook w:val="01E0" w:firstRow="1" w:lastRow="1" w:firstColumn="1" w:lastColumn="1" w:noHBand="0" w:noVBand="0"/>
      </w:tblPr>
      <w:tblGrid>
        <w:gridCol w:w="3277"/>
        <w:gridCol w:w="1541"/>
        <w:gridCol w:w="1250"/>
        <w:gridCol w:w="1589"/>
        <w:gridCol w:w="1080"/>
      </w:tblGrid>
      <w:tr w:rsidR="00942001" w:rsidRPr="002141E2" w:rsidTr="00F35AED">
        <w:trPr>
          <w:trHeight w:val="255"/>
          <w:jc w:val="center"/>
        </w:trPr>
        <w:tc>
          <w:tcPr>
            <w:tcW w:w="3277" w:type="dxa"/>
            <w:tcBorders>
              <w:top w:val="single" w:sz="4" w:space="0" w:color="auto"/>
              <w:left w:val="nil"/>
              <w:bottom w:val="single" w:sz="4" w:space="0" w:color="auto"/>
              <w:right w:val="nil"/>
            </w:tcBorders>
            <w:shd w:val="clear" w:color="auto" w:fill="A8CBEE" w:themeFill="accent2" w:themeFillTint="66"/>
            <w:vAlign w:val="center"/>
          </w:tcPr>
          <w:p w:rsidR="00942001" w:rsidRPr="00987F75" w:rsidRDefault="00942001" w:rsidP="00CD1EE7">
            <w:pPr>
              <w:pStyle w:val="cuadroCabe"/>
              <w:tabs>
                <w:tab w:val="clear" w:pos="2835"/>
              </w:tabs>
              <w:jc w:val="left"/>
              <w:rPr>
                <w:rFonts w:cs="Arial"/>
              </w:rPr>
            </w:pPr>
            <w:r w:rsidRPr="00987F75">
              <w:rPr>
                <w:rFonts w:cs="Arial"/>
              </w:rPr>
              <w:t>Modalidad de endeudamiento</w:t>
            </w:r>
          </w:p>
        </w:tc>
        <w:tc>
          <w:tcPr>
            <w:tcW w:w="1541" w:type="dxa"/>
            <w:tcBorders>
              <w:top w:val="single" w:sz="4" w:space="0" w:color="auto"/>
              <w:left w:val="nil"/>
              <w:bottom w:val="single" w:sz="4" w:space="0" w:color="auto"/>
              <w:right w:val="nil"/>
            </w:tcBorders>
            <w:shd w:val="clear" w:color="auto" w:fill="A8CBEE" w:themeFill="accent2" w:themeFillTint="66"/>
            <w:vAlign w:val="center"/>
          </w:tcPr>
          <w:p w:rsidR="00942001" w:rsidRPr="00987F75" w:rsidRDefault="00942001" w:rsidP="001A0239">
            <w:pPr>
              <w:pStyle w:val="cuadroCabe"/>
              <w:ind w:hanging="127"/>
              <w:jc w:val="right"/>
              <w:rPr>
                <w:rFonts w:cs="Arial"/>
              </w:rPr>
            </w:pPr>
            <w:r w:rsidRPr="00987F75">
              <w:rPr>
                <w:rFonts w:cs="Arial"/>
              </w:rPr>
              <w:t>Endeudamiento concertado</w:t>
            </w:r>
            <w:r w:rsidR="00CD1EE7">
              <w:rPr>
                <w:rFonts w:cs="Arial"/>
              </w:rPr>
              <w:t xml:space="preserve"> </w:t>
            </w:r>
            <w:r w:rsidRPr="00987F75">
              <w:rPr>
                <w:rFonts w:cs="Arial"/>
              </w:rPr>
              <w:t>2015</w:t>
            </w:r>
          </w:p>
        </w:tc>
        <w:tc>
          <w:tcPr>
            <w:tcW w:w="1250" w:type="dxa"/>
            <w:tcBorders>
              <w:top w:val="single" w:sz="4" w:space="0" w:color="auto"/>
              <w:left w:val="nil"/>
              <w:bottom w:val="single" w:sz="4" w:space="0" w:color="auto"/>
              <w:right w:val="nil"/>
            </w:tcBorders>
            <w:shd w:val="clear" w:color="auto" w:fill="A8CBEE" w:themeFill="accent2" w:themeFillTint="66"/>
            <w:vAlign w:val="center"/>
          </w:tcPr>
          <w:p w:rsidR="00942001" w:rsidRPr="00987F75" w:rsidRDefault="00942001" w:rsidP="001A0239">
            <w:pPr>
              <w:pStyle w:val="cuadroCabe"/>
              <w:ind w:hanging="133"/>
              <w:jc w:val="right"/>
              <w:rPr>
                <w:rFonts w:cs="Arial"/>
              </w:rPr>
            </w:pPr>
            <w:r w:rsidRPr="00987F75">
              <w:rPr>
                <w:rFonts w:cs="Arial"/>
              </w:rPr>
              <w:t>Tipo interés</w:t>
            </w:r>
            <w:r w:rsidR="00CD1EE7">
              <w:rPr>
                <w:rFonts w:cs="Arial"/>
              </w:rPr>
              <w:t xml:space="preserve"> </w:t>
            </w:r>
            <w:r w:rsidRPr="00987F75">
              <w:rPr>
                <w:rFonts w:cs="Arial"/>
              </w:rPr>
              <w:t>medio 2015</w:t>
            </w:r>
          </w:p>
        </w:tc>
        <w:tc>
          <w:tcPr>
            <w:tcW w:w="1589" w:type="dxa"/>
            <w:tcBorders>
              <w:top w:val="single" w:sz="4" w:space="0" w:color="auto"/>
              <w:left w:val="nil"/>
              <w:bottom w:val="single" w:sz="4" w:space="0" w:color="auto"/>
              <w:right w:val="nil"/>
            </w:tcBorders>
            <w:shd w:val="clear" w:color="auto" w:fill="A8CBEE" w:themeFill="accent2" w:themeFillTint="66"/>
            <w:vAlign w:val="center"/>
          </w:tcPr>
          <w:p w:rsidR="00942001" w:rsidRPr="00987F75" w:rsidRDefault="00942001" w:rsidP="001A0239">
            <w:pPr>
              <w:pStyle w:val="cuadroCabe"/>
              <w:ind w:hanging="127"/>
              <w:jc w:val="right"/>
              <w:rPr>
                <w:rFonts w:cs="Arial"/>
              </w:rPr>
            </w:pPr>
            <w:r w:rsidRPr="00987F75">
              <w:rPr>
                <w:rFonts w:cs="Arial"/>
              </w:rPr>
              <w:t xml:space="preserve">Total </w:t>
            </w:r>
          </w:p>
          <w:p w:rsidR="00942001" w:rsidRPr="00987F75" w:rsidRDefault="001A0239" w:rsidP="001A0239">
            <w:pPr>
              <w:pStyle w:val="cuadroCabe"/>
              <w:ind w:hanging="127"/>
              <w:jc w:val="right"/>
              <w:rPr>
                <w:rFonts w:cs="Arial"/>
              </w:rPr>
            </w:pPr>
            <w:r w:rsidRPr="00987F75">
              <w:rPr>
                <w:rFonts w:cs="Arial"/>
              </w:rPr>
              <w:t>E</w:t>
            </w:r>
            <w:r w:rsidR="00942001" w:rsidRPr="00987F75">
              <w:rPr>
                <w:rFonts w:cs="Arial"/>
              </w:rPr>
              <w:t>ndeudamiento</w:t>
            </w:r>
            <w:r>
              <w:rPr>
                <w:rFonts w:cs="Arial"/>
              </w:rPr>
              <w:t xml:space="preserve"> </w:t>
            </w:r>
            <w:r w:rsidR="00942001" w:rsidRPr="00987F75">
              <w:rPr>
                <w:rFonts w:cs="Arial"/>
              </w:rPr>
              <w:t>31/12/2015</w:t>
            </w:r>
          </w:p>
        </w:tc>
        <w:tc>
          <w:tcPr>
            <w:tcW w:w="1080" w:type="dxa"/>
            <w:tcBorders>
              <w:top w:val="single" w:sz="4" w:space="0" w:color="auto"/>
              <w:left w:val="nil"/>
              <w:bottom w:val="single" w:sz="4" w:space="0" w:color="auto"/>
              <w:right w:val="nil"/>
            </w:tcBorders>
            <w:shd w:val="clear" w:color="auto" w:fill="A8CBEE" w:themeFill="accent2" w:themeFillTint="66"/>
            <w:vAlign w:val="center"/>
          </w:tcPr>
          <w:p w:rsidR="00942001" w:rsidRPr="00987F75" w:rsidRDefault="00942001" w:rsidP="001A0239">
            <w:pPr>
              <w:pStyle w:val="cuadroCabe"/>
              <w:ind w:hanging="127"/>
              <w:jc w:val="right"/>
              <w:rPr>
                <w:rFonts w:cs="Arial"/>
              </w:rPr>
            </w:pPr>
            <w:r w:rsidRPr="00987F75">
              <w:rPr>
                <w:rFonts w:cs="Arial"/>
              </w:rPr>
              <w:t xml:space="preserve">Tipo </w:t>
            </w:r>
          </w:p>
          <w:p w:rsidR="00942001" w:rsidRPr="00987F75" w:rsidRDefault="00942001" w:rsidP="001A0239">
            <w:pPr>
              <w:pStyle w:val="cuadroCabe"/>
              <w:ind w:hanging="127"/>
              <w:jc w:val="right"/>
              <w:rPr>
                <w:rFonts w:cs="Arial"/>
              </w:rPr>
            </w:pPr>
            <w:r w:rsidRPr="00987F75">
              <w:rPr>
                <w:rFonts w:cs="Arial"/>
              </w:rPr>
              <w:t>interés</w:t>
            </w:r>
          </w:p>
          <w:p w:rsidR="00942001" w:rsidRPr="00987F75" w:rsidRDefault="00942001" w:rsidP="001A0239">
            <w:pPr>
              <w:pStyle w:val="cuadroCabe"/>
              <w:ind w:hanging="127"/>
              <w:jc w:val="right"/>
              <w:rPr>
                <w:rFonts w:cs="Arial"/>
              </w:rPr>
            </w:pPr>
            <w:r w:rsidRPr="00987F75">
              <w:rPr>
                <w:rFonts w:cs="Arial"/>
              </w:rPr>
              <w:t xml:space="preserve"> medio</w:t>
            </w:r>
          </w:p>
        </w:tc>
      </w:tr>
      <w:tr w:rsidR="00942001" w:rsidRPr="002141E2" w:rsidTr="00A20D5E">
        <w:trPr>
          <w:trHeight w:val="284"/>
          <w:jc w:val="center"/>
        </w:trPr>
        <w:tc>
          <w:tcPr>
            <w:tcW w:w="3277" w:type="dxa"/>
            <w:tcBorders>
              <w:top w:val="single" w:sz="4" w:space="0" w:color="auto"/>
              <w:left w:val="nil"/>
              <w:bottom w:val="single" w:sz="2" w:space="0" w:color="auto"/>
              <w:right w:val="nil"/>
            </w:tcBorders>
            <w:vAlign w:val="center"/>
          </w:tcPr>
          <w:p w:rsidR="00942001" w:rsidRPr="000B55D6" w:rsidRDefault="00942001" w:rsidP="00CD1EE7">
            <w:pPr>
              <w:spacing w:after="0"/>
              <w:ind w:firstLine="0"/>
              <w:jc w:val="left"/>
              <w:rPr>
                <w:rFonts w:ascii="Arial Narrow" w:hAnsi="Arial Narrow" w:cs="Arial"/>
                <w:lang w:eastAsia="es-ES"/>
              </w:rPr>
            </w:pPr>
            <w:r w:rsidRPr="000B55D6">
              <w:rPr>
                <w:rFonts w:ascii="Arial Narrow" w:hAnsi="Arial Narrow" w:cs="Arial"/>
                <w:lang w:eastAsia="es-ES"/>
              </w:rPr>
              <w:t>Deuda Pública</w:t>
            </w:r>
            <w:r w:rsidR="00334416">
              <w:rPr>
                <w:rFonts w:ascii="Arial Narrow" w:hAnsi="Arial Narrow" w:cs="Arial"/>
                <w:lang w:eastAsia="es-ES"/>
              </w:rPr>
              <w:t xml:space="preserve"> de Navarra</w:t>
            </w:r>
          </w:p>
        </w:tc>
        <w:tc>
          <w:tcPr>
            <w:tcW w:w="1541" w:type="dxa"/>
            <w:tcBorders>
              <w:top w:val="single" w:sz="4" w:space="0" w:color="auto"/>
              <w:left w:val="nil"/>
              <w:bottom w:val="single" w:sz="2" w:space="0" w:color="auto"/>
              <w:right w:val="nil"/>
            </w:tcBorders>
            <w:vAlign w:val="center"/>
          </w:tcPr>
          <w:p w:rsidR="00942001" w:rsidRPr="000B55D6" w:rsidRDefault="00942001" w:rsidP="001A0239">
            <w:pPr>
              <w:spacing w:after="0"/>
              <w:ind w:hanging="127"/>
              <w:jc w:val="right"/>
              <w:rPr>
                <w:rFonts w:ascii="Arial Narrow" w:hAnsi="Arial Narrow" w:cs="Arial"/>
                <w:lang w:val="es-ES" w:eastAsia="es-ES"/>
              </w:rPr>
            </w:pPr>
            <w:r w:rsidRPr="000B55D6">
              <w:rPr>
                <w:rFonts w:ascii="Arial Narrow" w:hAnsi="Arial Narrow" w:cs="Arial"/>
                <w:lang w:val="es-ES" w:eastAsia="es-ES"/>
              </w:rPr>
              <w:t>-</w:t>
            </w:r>
          </w:p>
        </w:tc>
        <w:tc>
          <w:tcPr>
            <w:tcW w:w="1250" w:type="dxa"/>
            <w:tcBorders>
              <w:top w:val="single" w:sz="4" w:space="0" w:color="auto"/>
              <w:left w:val="nil"/>
              <w:bottom w:val="single" w:sz="2" w:space="0" w:color="auto"/>
              <w:right w:val="nil"/>
            </w:tcBorders>
            <w:vAlign w:val="center"/>
          </w:tcPr>
          <w:p w:rsidR="00942001" w:rsidRPr="000B55D6" w:rsidRDefault="00942001" w:rsidP="001A0239">
            <w:pPr>
              <w:spacing w:after="0"/>
              <w:ind w:hanging="127"/>
              <w:jc w:val="right"/>
              <w:rPr>
                <w:rFonts w:ascii="Arial Narrow" w:hAnsi="Arial Narrow" w:cs="Arial"/>
                <w:lang w:val="es-ES" w:eastAsia="es-ES"/>
              </w:rPr>
            </w:pPr>
            <w:r w:rsidRPr="000B55D6">
              <w:rPr>
                <w:rFonts w:ascii="Arial Narrow" w:hAnsi="Arial Narrow" w:cs="Arial"/>
                <w:lang w:val="es-ES" w:eastAsia="es-ES"/>
              </w:rPr>
              <w:t>-</w:t>
            </w:r>
          </w:p>
        </w:tc>
        <w:tc>
          <w:tcPr>
            <w:tcW w:w="1589" w:type="dxa"/>
            <w:tcBorders>
              <w:top w:val="single" w:sz="4" w:space="0" w:color="auto"/>
              <w:left w:val="nil"/>
              <w:bottom w:val="single" w:sz="2" w:space="0" w:color="auto"/>
              <w:right w:val="nil"/>
            </w:tcBorders>
            <w:vAlign w:val="center"/>
          </w:tcPr>
          <w:p w:rsidR="00942001" w:rsidRPr="000B55D6" w:rsidRDefault="00942001" w:rsidP="001A0239">
            <w:pPr>
              <w:spacing w:after="0"/>
              <w:ind w:hanging="127"/>
              <w:jc w:val="right"/>
              <w:rPr>
                <w:rFonts w:ascii="Arial Narrow" w:hAnsi="Arial Narrow" w:cs="Arial"/>
                <w:lang w:val="es-ES" w:eastAsia="es-ES"/>
              </w:rPr>
            </w:pPr>
            <w:r w:rsidRPr="000B55D6">
              <w:rPr>
                <w:rFonts w:ascii="Arial Narrow" w:hAnsi="Arial Narrow" w:cs="Arial"/>
                <w:lang w:val="es-ES" w:eastAsia="es-ES"/>
              </w:rPr>
              <w:t>1.760.559</w:t>
            </w:r>
          </w:p>
        </w:tc>
        <w:tc>
          <w:tcPr>
            <w:tcW w:w="1080" w:type="dxa"/>
            <w:tcBorders>
              <w:top w:val="single" w:sz="4" w:space="0" w:color="auto"/>
              <w:left w:val="nil"/>
              <w:bottom w:val="single" w:sz="2" w:space="0" w:color="auto"/>
              <w:right w:val="nil"/>
            </w:tcBorders>
            <w:vAlign w:val="center"/>
          </w:tcPr>
          <w:p w:rsidR="00942001" w:rsidRPr="000B55D6" w:rsidRDefault="00942001" w:rsidP="001A0239">
            <w:pPr>
              <w:spacing w:after="0"/>
              <w:ind w:hanging="127"/>
              <w:jc w:val="right"/>
              <w:rPr>
                <w:rFonts w:ascii="Arial Narrow" w:hAnsi="Arial Narrow" w:cs="Arial"/>
                <w:lang w:val="es-ES" w:eastAsia="es-ES"/>
              </w:rPr>
            </w:pPr>
            <w:r w:rsidRPr="000B55D6">
              <w:rPr>
                <w:rFonts w:ascii="Arial Narrow" w:hAnsi="Arial Narrow" w:cs="Arial"/>
                <w:lang w:val="es-ES" w:eastAsia="es-ES"/>
              </w:rPr>
              <w:t>4,29</w:t>
            </w:r>
          </w:p>
        </w:tc>
      </w:tr>
      <w:tr w:rsidR="00942001" w:rsidRPr="002141E2" w:rsidTr="00A20D5E">
        <w:trPr>
          <w:trHeight w:val="284"/>
          <w:jc w:val="center"/>
        </w:trPr>
        <w:tc>
          <w:tcPr>
            <w:tcW w:w="3277" w:type="dxa"/>
            <w:tcBorders>
              <w:top w:val="single" w:sz="2" w:space="0" w:color="auto"/>
              <w:left w:val="nil"/>
              <w:bottom w:val="single" w:sz="2" w:space="0" w:color="auto"/>
              <w:right w:val="nil"/>
            </w:tcBorders>
            <w:vAlign w:val="center"/>
          </w:tcPr>
          <w:p w:rsidR="00942001" w:rsidRPr="000B55D6" w:rsidRDefault="00942001" w:rsidP="00CD1EE7">
            <w:pPr>
              <w:spacing w:after="0"/>
              <w:ind w:firstLine="0"/>
              <w:jc w:val="left"/>
              <w:rPr>
                <w:rFonts w:ascii="Arial Narrow" w:hAnsi="Arial Narrow" w:cs="Arial"/>
                <w:lang w:eastAsia="es-ES"/>
              </w:rPr>
            </w:pPr>
            <w:r w:rsidRPr="000B55D6">
              <w:rPr>
                <w:rFonts w:ascii="Arial Narrow" w:hAnsi="Arial Narrow" w:cs="Arial"/>
                <w:lang w:eastAsia="es-ES"/>
              </w:rPr>
              <w:t>Préstamos con entidades financieras</w:t>
            </w:r>
          </w:p>
        </w:tc>
        <w:tc>
          <w:tcPr>
            <w:tcW w:w="1541" w:type="dxa"/>
            <w:tcBorders>
              <w:top w:val="single" w:sz="2" w:space="0" w:color="auto"/>
              <w:left w:val="nil"/>
              <w:bottom w:val="single" w:sz="2" w:space="0" w:color="auto"/>
              <w:right w:val="nil"/>
            </w:tcBorders>
            <w:vAlign w:val="center"/>
          </w:tcPr>
          <w:p w:rsidR="00942001" w:rsidRPr="000B55D6" w:rsidRDefault="00942001" w:rsidP="001A0239">
            <w:pPr>
              <w:spacing w:after="0"/>
              <w:ind w:hanging="127"/>
              <w:jc w:val="right"/>
              <w:rPr>
                <w:rFonts w:ascii="Arial Narrow" w:hAnsi="Arial Narrow" w:cs="Arial"/>
                <w:lang w:val="es-ES" w:eastAsia="es-ES"/>
              </w:rPr>
            </w:pPr>
            <w:r w:rsidRPr="000B55D6">
              <w:rPr>
                <w:rFonts w:ascii="Arial Narrow" w:hAnsi="Arial Narrow" w:cs="Arial"/>
                <w:lang w:val="es-ES" w:eastAsia="es-ES"/>
              </w:rPr>
              <w:t>446.000</w:t>
            </w:r>
          </w:p>
        </w:tc>
        <w:tc>
          <w:tcPr>
            <w:tcW w:w="1250" w:type="dxa"/>
            <w:tcBorders>
              <w:top w:val="single" w:sz="2" w:space="0" w:color="auto"/>
              <w:left w:val="nil"/>
              <w:bottom w:val="single" w:sz="2" w:space="0" w:color="auto"/>
              <w:right w:val="nil"/>
            </w:tcBorders>
            <w:vAlign w:val="center"/>
          </w:tcPr>
          <w:p w:rsidR="00942001" w:rsidRPr="000B55D6" w:rsidRDefault="00942001" w:rsidP="001A0239">
            <w:pPr>
              <w:spacing w:after="0"/>
              <w:ind w:hanging="127"/>
              <w:jc w:val="right"/>
              <w:rPr>
                <w:rFonts w:ascii="Arial Narrow" w:hAnsi="Arial Narrow" w:cs="Arial"/>
                <w:lang w:val="es-ES" w:eastAsia="es-ES"/>
              </w:rPr>
            </w:pPr>
            <w:r w:rsidRPr="000B55D6">
              <w:rPr>
                <w:rFonts w:ascii="Arial Narrow" w:hAnsi="Arial Narrow" w:cs="Arial"/>
                <w:lang w:val="es-ES" w:eastAsia="es-ES"/>
              </w:rPr>
              <w:t>1,76</w:t>
            </w:r>
          </w:p>
        </w:tc>
        <w:tc>
          <w:tcPr>
            <w:tcW w:w="1589" w:type="dxa"/>
            <w:tcBorders>
              <w:top w:val="single" w:sz="2" w:space="0" w:color="auto"/>
              <w:left w:val="nil"/>
              <w:bottom w:val="single" w:sz="2" w:space="0" w:color="auto"/>
              <w:right w:val="nil"/>
            </w:tcBorders>
            <w:vAlign w:val="center"/>
          </w:tcPr>
          <w:p w:rsidR="00942001" w:rsidRPr="000B55D6" w:rsidRDefault="00942001" w:rsidP="001A0239">
            <w:pPr>
              <w:spacing w:after="0"/>
              <w:ind w:hanging="127"/>
              <w:jc w:val="right"/>
              <w:rPr>
                <w:rFonts w:ascii="Arial Narrow" w:hAnsi="Arial Narrow" w:cs="Arial"/>
                <w:lang w:val="es-ES" w:eastAsia="es-ES"/>
              </w:rPr>
            </w:pPr>
            <w:r w:rsidRPr="000B55D6">
              <w:rPr>
                <w:rFonts w:ascii="Arial Narrow" w:hAnsi="Arial Narrow" w:cs="Arial"/>
                <w:lang w:val="es-ES" w:eastAsia="es-ES"/>
              </w:rPr>
              <w:t>755.200</w:t>
            </w:r>
          </w:p>
        </w:tc>
        <w:tc>
          <w:tcPr>
            <w:tcW w:w="1080" w:type="dxa"/>
            <w:tcBorders>
              <w:top w:val="single" w:sz="2" w:space="0" w:color="auto"/>
              <w:left w:val="nil"/>
              <w:bottom w:val="single" w:sz="2" w:space="0" w:color="auto"/>
              <w:right w:val="nil"/>
            </w:tcBorders>
            <w:vAlign w:val="center"/>
          </w:tcPr>
          <w:p w:rsidR="00942001" w:rsidRPr="000B55D6" w:rsidRDefault="00942001" w:rsidP="001A0239">
            <w:pPr>
              <w:spacing w:after="0"/>
              <w:ind w:hanging="127"/>
              <w:jc w:val="right"/>
              <w:rPr>
                <w:rFonts w:ascii="Arial Narrow" w:hAnsi="Arial Narrow" w:cs="Arial"/>
                <w:lang w:val="es-ES" w:eastAsia="es-ES"/>
              </w:rPr>
            </w:pPr>
            <w:r w:rsidRPr="000B55D6">
              <w:rPr>
                <w:rFonts w:ascii="Arial Narrow" w:hAnsi="Arial Narrow" w:cs="Arial"/>
                <w:lang w:val="es-ES" w:eastAsia="es-ES"/>
              </w:rPr>
              <w:t>2,86</w:t>
            </w:r>
          </w:p>
        </w:tc>
      </w:tr>
      <w:tr w:rsidR="00942001" w:rsidRPr="002141E2" w:rsidTr="00A20D5E">
        <w:trPr>
          <w:trHeight w:val="284"/>
          <w:jc w:val="center"/>
        </w:trPr>
        <w:tc>
          <w:tcPr>
            <w:tcW w:w="3277" w:type="dxa"/>
            <w:tcBorders>
              <w:top w:val="single" w:sz="2" w:space="0" w:color="auto"/>
              <w:left w:val="nil"/>
              <w:bottom w:val="single" w:sz="2" w:space="0" w:color="auto"/>
              <w:right w:val="nil"/>
            </w:tcBorders>
            <w:vAlign w:val="center"/>
          </w:tcPr>
          <w:p w:rsidR="00942001" w:rsidRPr="000B55D6" w:rsidRDefault="00CD1EE7" w:rsidP="005D54C6">
            <w:pPr>
              <w:spacing w:after="0"/>
              <w:ind w:firstLine="0"/>
              <w:jc w:val="left"/>
              <w:rPr>
                <w:rFonts w:ascii="Arial Narrow" w:hAnsi="Arial Narrow" w:cs="Arial"/>
                <w:lang w:eastAsia="es-ES"/>
              </w:rPr>
            </w:pPr>
            <w:r>
              <w:rPr>
                <w:rFonts w:ascii="Arial Narrow" w:hAnsi="Arial Narrow" w:cs="Arial"/>
                <w:lang w:eastAsia="es-ES"/>
              </w:rPr>
              <w:t xml:space="preserve">Préstamos con </w:t>
            </w:r>
            <w:r w:rsidR="00B10FC2">
              <w:rPr>
                <w:rFonts w:ascii="Arial Narrow" w:hAnsi="Arial Narrow" w:cs="Arial"/>
                <w:lang w:eastAsia="es-ES"/>
              </w:rPr>
              <w:t>B</w:t>
            </w:r>
            <w:r w:rsidR="005D54C6">
              <w:rPr>
                <w:rFonts w:ascii="Arial Narrow" w:hAnsi="Arial Narrow" w:cs="Arial"/>
                <w:lang w:eastAsia="es-ES"/>
              </w:rPr>
              <w:t>.</w:t>
            </w:r>
            <w:r w:rsidR="00942001" w:rsidRPr="000B55D6">
              <w:rPr>
                <w:rFonts w:ascii="Arial Narrow" w:hAnsi="Arial Narrow" w:cs="Arial"/>
                <w:lang w:eastAsia="es-ES"/>
              </w:rPr>
              <w:t xml:space="preserve"> Europeo Inversiones</w:t>
            </w:r>
          </w:p>
        </w:tc>
        <w:tc>
          <w:tcPr>
            <w:tcW w:w="1541" w:type="dxa"/>
            <w:tcBorders>
              <w:top w:val="single" w:sz="2" w:space="0" w:color="auto"/>
              <w:left w:val="nil"/>
              <w:bottom w:val="single" w:sz="2" w:space="0" w:color="auto"/>
              <w:right w:val="nil"/>
            </w:tcBorders>
            <w:vAlign w:val="center"/>
          </w:tcPr>
          <w:p w:rsidR="00942001" w:rsidRPr="000B55D6" w:rsidRDefault="00942001" w:rsidP="001A0239">
            <w:pPr>
              <w:spacing w:after="0"/>
              <w:ind w:hanging="127"/>
              <w:jc w:val="right"/>
              <w:rPr>
                <w:rFonts w:ascii="Arial Narrow" w:hAnsi="Arial Narrow" w:cs="Arial"/>
                <w:lang w:val="es-ES" w:eastAsia="es-ES"/>
              </w:rPr>
            </w:pPr>
            <w:r w:rsidRPr="000B55D6">
              <w:rPr>
                <w:rFonts w:ascii="Arial Narrow" w:hAnsi="Arial Narrow" w:cs="Arial"/>
                <w:lang w:val="es-ES" w:eastAsia="es-ES"/>
              </w:rPr>
              <w:t>-</w:t>
            </w:r>
          </w:p>
        </w:tc>
        <w:tc>
          <w:tcPr>
            <w:tcW w:w="1250" w:type="dxa"/>
            <w:tcBorders>
              <w:top w:val="single" w:sz="2" w:space="0" w:color="auto"/>
              <w:left w:val="nil"/>
              <w:bottom w:val="single" w:sz="2" w:space="0" w:color="auto"/>
              <w:right w:val="nil"/>
            </w:tcBorders>
            <w:vAlign w:val="center"/>
          </w:tcPr>
          <w:p w:rsidR="00942001" w:rsidRPr="000B55D6" w:rsidRDefault="00942001" w:rsidP="001A0239">
            <w:pPr>
              <w:spacing w:after="0"/>
              <w:ind w:hanging="127"/>
              <w:jc w:val="right"/>
              <w:rPr>
                <w:rFonts w:ascii="Arial Narrow" w:hAnsi="Arial Narrow" w:cs="Arial"/>
                <w:lang w:val="es-ES" w:eastAsia="es-ES"/>
              </w:rPr>
            </w:pPr>
            <w:r w:rsidRPr="000B55D6">
              <w:rPr>
                <w:rFonts w:ascii="Arial Narrow" w:hAnsi="Arial Narrow" w:cs="Arial"/>
                <w:lang w:val="es-ES" w:eastAsia="es-ES"/>
              </w:rPr>
              <w:t>-</w:t>
            </w:r>
          </w:p>
        </w:tc>
        <w:tc>
          <w:tcPr>
            <w:tcW w:w="1589" w:type="dxa"/>
            <w:tcBorders>
              <w:top w:val="single" w:sz="2" w:space="0" w:color="auto"/>
              <w:left w:val="nil"/>
              <w:bottom w:val="single" w:sz="2" w:space="0" w:color="auto"/>
              <w:right w:val="nil"/>
            </w:tcBorders>
            <w:vAlign w:val="center"/>
          </w:tcPr>
          <w:p w:rsidR="00942001" w:rsidRPr="000B55D6" w:rsidRDefault="00942001" w:rsidP="001A0239">
            <w:pPr>
              <w:spacing w:after="0"/>
              <w:ind w:hanging="127"/>
              <w:jc w:val="right"/>
              <w:rPr>
                <w:rFonts w:ascii="Arial Narrow" w:hAnsi="Arial Narrow" w:cs="Arial"/>
                <w:lang w:val="es-ES" w:eastAsia="es-ES"/>
              </w:rPr>
            </w:pPr>
            <w:r w:rsidRPr="000B55D6">
              <w:rPr>
                <w:rFonts w:ascii="Arial Narrow" w:hAnsi="Arial Narrow" w:cs="Arial"/>
                <w:lang w:val="es-ES" w:eastAsia="es-ES"/>
              </w:rPr>
              <w:t>300.000</w:t>
            </w:r>
          </w:p>
        </w:tc>
        <w:tc>
          <w:tcPr>
            <w:tcW w:w="1080" w:type="dxa"/>
            <w:tcBorders>
              <w:top w:val="single" w:sz="2" w:space="0" w:color="auto"/>
              <w:left w:val="nil"/>
              <w:bottom w:val="single" w:sz="2" w:space="0" w:color="auto"/>
              <w:right w:val="nil"/>
            </w:tcBorders>
            <w:vAlign w:val="center"/>
          </w:tcPr>
          <w:p w:rsidR="00942001" w:rsidRPr="000B55D6" w:rsidRDefault="00942001" w:rsidP="001A0239">
            <w:pPr>
              <w:spacing w:after="0"/>
              <w:ind w:hanging="127"/>
              <w:jc w:val="right"/>
              <w:rPr>
                <w:rFonts w:ascii="Arial Narrow" w:hAnsi="Arial Narrow" w:cs="Arial"/>
                <w:lang w:val="es-ES" w:eastAsia="es-ES"/>
              </w:rPr>
            </w:pPr>
            <w:r w:rsidRPr="000B55D6">
              <w:rPr>
                <w:rFonts w:ascii="Arial Narrow" w:hAnsi="Arial Narrow" w:cs="Arial"/>
                <w:lang w:val="es-ES" w:eastAsia="es-ES"/>
              </w:rPr>
              <w:t>1,79</w:t>
            </w:r>
          </w:p>
        </w:tc>
      </w:tr>
      <w:tr w:rsidR="00942001" w:rsidRPr="002141E2" w:rsidTr="00A20D5E">
        <w:trPr>
          <w:trHeight w:val="284"/>
          <w:jc w:val="center"/>
        </w:trPr>
        <w:tc>
          <w:tcPr>
            <w:tcW w:w="3277" w:type="dxa"/>
            <w:tcBorders>
              <w:top w:val="single" w:sz="2" w:space="0" w:color="auto"/>
              <w:left w:val="nil"/>
              <w:bottom w:val="single" w:sz="2" w:space="0" w:color="auto"/>
              <w:right w:val="nil"/>
            </w:tcBorders>
            <w:vAlign w:val="center"/>
          </w:tcPr>
          <w:p w:rsidR="00942001" w:rsidRPr="000B55D6" w:rsidRDefault="00942001" w:rsidP="00CD1EE7">
            <w:pPr>
              <w:spacing w:after="0"/>
              <w:ind w:firstLine="0"/>
              <w:jc w:val="left"/>
              <w:rPr>
                <w:rFonts w:ascii="Arial Narrow" w:hAnsi="Arial Narrow" w:cs="Arial"/>
                <w:lang w:eastAsia="es-ES"/>
              </w:rPr>
            </w:pPr>
            <w:r w:rsidRPr="000B55D6">
              <w:rPr>
                <w:rFonts w:ascii="Arial Narrow" w:hAnsi="Arial Narrow" w:cs="Arial"/>
                <w:lang w:eastAsia="es-ES"/>
              </w:rPr>
              <w:t>Préstamo con la Seguridad Social</w:t>
            </w:r>
          </w:p>
        </w:tc>
        <w:tc>
          <w:tcPr>
            <w:tcW w:w="1541" w:type="dxa"/>
            <w:tcBorders>
              <w:top w:val="single" w:sz="2" w:space="0" w:color="auto"/>
              <w:left w:val="nil"/>
              <w:bottom w:val="single" w:sz="2" w:space="0" w:color="auto"/>
              <w:right w:val="nil"/>
            </w:tcBorders>
            <w:vAlign w:val="center"/>
          </w:tcPr>
          <w:p w:rsidR="00942001" w:rsidRPr="000B55D6" w:rsidRDefault="00942001" w:rsidP="001A0239">
            <w:pPr>
              <w:spacing w:after="0"/>
              <w:ind w:hanging="127"/>
              <w:jc w:val="right"/>
              <w:rPr>
                <w:rFonts w:ascii="Arial Narrow" w:hAnsi="Arial Narrow" w:cs="Arial"/>
                <w:lang w:val="es-ES" w:eastAsia="es-ES"/>
              </w:rPr>
            </w:pPr>
            <w:r w:rsidRPr="000B55D6">
              <w:rPr>
                <w:rFonts w:ascii="Arial Narrow" w:hAnsi="Arial Narrow" w:cs="Arial"/>
                <w:lang w:val="es-ES" w:eastAsia="es-ES"/>
              </w:rPr>
              <w:t>-</w:t>
            </w:r>
          </w:p>
        </w:tc>
        <w:tc>
          <w:tcPr>
            <w:tcW w:w="1250" w:type="dxa"/>
            <w:tcBorders>
              <w:top w:val="single" w:sz="2" w:space="0" w:color="auto"/>
              <w:left w:val="nil"/>
              <w:bottom w:val="single" w:sz="2" w:space="0" w:color="auto"/>
              <w:right w:val="nil"/>
            </w:tcBorders>
            <w:vAlign w:val="center"/>
          </w:tcPr>
          <w:p w:rsidR="00942001" w:rsidRPr="000B55D6" w:rsidRDefault="00942001" w:rsidP="001A0239">
            <w:pPr>
              <w:spacing w:after="0"/>
              <w:ind w:hanging="127"/>
              <w:jc w:val="right"/>
              <w:rPr>
                <w:rFonts w:ascii="Arial Narrow" w:hAnsi="Arial Narrow" w:cs="Arial"/>
                <w:lang w:val="es-ES" w:eastAsia="es-ES"/>
              </w:rPr>
            </w:pPr>
            <w:r w:rsidRPr="000B55D6">
              <w:rPr>
                <w:rFonts w:ascii="Arial Narrow" w:hAnsi="Arial Narrow" w:cs="Arial"/>
                <w:lang w:val="es-ES" w:eastAsia="es-ES"/>
              </w:rPr>
              <w:t>-</w:t>
            </w:r>
          </w:p>
        </w:tc>
        <w:tc>
          <w:tcPr>
            <w:tcW w:w="1589" w:type="dxa"/>
            <w:tcBorders>
              <w:top w:val="single" w:sz="2" w:space="0" w:color="auto"/>
              <w:left w:val="nil"/>
              <w:bottom w:val="single" w:sz="2" w:space="0" w:color="auto"/>
              <w:right w:val="nil"/>
            </w:tcBorders>
            <w:vAlign w:val="center"/>
          </w:tcPr>
          <w:p w:rsidR="00942001" w:rsidRPr="000B55D6" w:rsidRDefault="00942001" w:rsidP="001A0239">
            <w:pPr>
              <w:spacing w:after="0"/>
              <w:ind w:hanging="127"/>
              <w:jc w:val="right"/>
              <w:rPr>
                <w:rFonts w:ascii="Arial Narrow" w:hAnsi="Arial Narrow" w:cs="Arial"/>
                <w:lang w:val="es-ES" w:eastAsia="es-ES"/>
              </w:rPr>
            </w:pPr>
            <w:r w:rsidRPr="000B55D6">
              <w:rPr>
                <w:rFonts w:ascii="Arial Narrow" w:hAnsi="Arial Narrow" w:cs="Arial"/>
                <w:lang w:val="es-ES" w:eastAsia="es-ES"/>
              </w:rPr>
              <w:t>9.686</w:t>
            </w:r>
          </w:p>
        </w:tc>
        <w:tc>
          <w:tcPr>
            <w:tcW w:w="1080" w:type="dxa"/>
            <w:tcBorders>
              <w:top w:val="single" w:sz="2" w:space="0" w:color="auto"/>
              <w:left w:val="nil"/>
              <w:bottom w:val="single" w:sz="2" w:space="0" w:color="auto"/>
              <w:right w:val="nil"/>
            </w:tcBorders>
            <w:vAlign w:val="center"/>
          </w:tcPr>
          <w:p w:rsidR="00942001" w:rsidRPr="000B55D6" w:rsidRDefault="00942001" w:rsidP="001A0239">
            <w:pPr>
              <w:spacing w:after="0"/>
              <w:ind w:hanging="127"/>
              <w:jc w:val="right"/>
              <w:rPr>
                <w:rFonts w:ascii="Arial Narrow" w:hAnsi="Arial Narrow" w:cs="Arial"/>
                <w:lang w:val="es-ES" w:eastAsia="es-ES"/>
              </w:rPr>
            </w:pPr>
            <w:r w:rsidRPr="000B55D6">
              <w:rPr>
                <w:rFonts w:ascii="Arial Narrow" w:hAnsi="Arial Narrow" w:cs="Arial"/>
                <w:lang w:val="es-ES" w:eastAsia="es-ES"/>
              </w:rPr>
              <w:t>0</w:t>
            </w:r>
          </w:p>
        </w:tc>
      </w:tr>
      <w:tr w:rsidR="00942001" w:rsidRPr="002141E2" w:rsidTr="00A20D5E">
        <w:trPr>
          <w:trHeight w:val="284"/>
          <w:jc w:val="center"/>
        </w:trPr>
        <w:tc>
          <w:tcPr>
            <w:tcW w:w="3277" w:type="dxa"/>
            <w:tcBorders>
              <w:top w:val="single" w:sz="2" w:space="0" w:color="auto"/>
              <w:left w:val="nil"/>
              <w:bottom w:val="single" w:sz="4" w:space="0" w:color="auto"/>
              <w:right w:val="nil"/>
            </w:tcBorders>
            <w:vAlign w:val="center"/>
          </w:tcPr>
          <w:p w:rsidR="00942001" w:rsidRPr="000B55D6" w:rsidRDefault="00942001" w:rsidP="00CD1EE7">
            <w:pPr>
              <w:spacing w:after="0"/>
              <w:ind w:firstLine="0"/>
              <w:jc w:val="left"/>
              <w:rPr>
                <w:rFonts w:ascii="Arial Narrow" w:hAnsi="Arial Narrow" w:cs="Arial"/>
                <w:lang w:eastAsia="es-ES"/>
              </w:rPr>
            </w:pPr>
            <w:r w:rsidRPr="000B55D6">
              <w:rPr>
                <w:rFonts w:ascii="Arial Narrow" w:hAnsi="Arial Narrow" w:cs="Arial"/>
                <w:lang w:eastAsia="es-ES"/>
              </w:rPr>
              <w:t>Préstamos con otro Sector Público</w:t>
            </w:r>
          </w:p>
        </w:tc>
        <w:tc>
          <w:tcPr>
            <w:tcW w:w="1541" w:type="dxa"/>
            <w:tcBorders>
              <w:top w:val="single" w:sz="2" w:space="0" w:color="auto"/>
              <w:left w:val="nil"/>
              <w:bottom w:val="single" w:sz="4" w:space="0" w:color="auto"/>
              <w:right w:val="nil"/>
            </w:tcBorders>
            <w:vAlign w:val="center"/>
          </w:tcPr>
          <w:p w:rsidR="00942001" w:rsidRPr="000B55D6" w:rsidRDefault="00942001" w:rsidP="001A0239">
            <w:pPr>
              <w:spacing w:after="0"/>
              <w:ind w:hanging="127"/>
              <w:jc w:val="right"/>
              <w:rPr>
                <w:rFonts w:ascii="Arial Narrow" w:hAnsi="Arial Narrow" w:cs="Arial"/>
                <w:lang w:val="es-ES" w:eastAsia="es-ES"/>
              </w:rPr>
            </w:pPr>
            <w:r w:rsidRPr="000B55D6">
              <w:rPr>
                <w:rFonts w:ascii="Arial Narrow" w:hAnsi="Arial Narrow" w:cs="Arial"/>
                <w:lang w:val="es-ES" w:eastAsia="es-ES"/>
              </w:rPr>
              <w:t>814</w:t>
            </w:r>
          </w:p>
        </w:tc>
        <w:tc>
          <w:tcPr>
            <w:tcW w:w="1250" w:type="dxa"/>
            <w:tcBorders>
              <w:top w:val="single" w:sz="2" w:space="0" w:color="auto"/>
              <w:left w:val="nil"/>
              <w:bottom w:val="single" w:sz="4" w:space="0" w:color="auto"/>
              <w:right w:val="nil"/>
            </w:tcBorders>
            <w:vAlign w:val="center"/>
          </w:tcPr>
          <w:p w:rsidR="00942001" w:rsidRPr="000B55D6" w:rsidRDefault="00942001" w:rsidP="001A0239">
            <w:pPr>
              <w:spacing w:after="0"/>
              <w:ind w:hanging="127"/>
              <w:jc w:val="right"/>
              <w:rPr>
                <w:rFonts w:ascii="Arial Narrow" w:hAnsi="Arial Narrow" w:cs="Arial"/>
                <w:lang w:val="es-ES" w:eastAsia="es-ES"/>
              </w:rPr>
            </w:pPr>
            <w:r w:rsidRPr="000B55D6">
              <w:rPr>
                <w:rFonts w:ascii="Arial Narrow" w:hAnsi="Arial Narrow" w:cs="Arial"/>
                <w:lang w:val="es-ES" w:eastAsia="es-ES"/>
              </w:rPr>
              <w:t>0</w:t>
            </w:r>
          </w:p>
        </w:tc>
        <w:tc>
          <w:tcPr>
            <w:tcW w:w="1589" w:type="dxa"/>
            <w:tcBorders>
              <w:top w:val="single" w:sz="2" w:space="0" w:color="auto"/>
              <w:left w:val="nil"/>
              <w:bottom w:val="single" w:sz="4" w:space="0" w:color="auto"/>
              <w:right w:val="nil"/>
            </w:tcBorders>
            <w:vAlign w:val="center"/>
          </w:tcPr>
          <w:p w:rsidR="00942001" w:rsidRPr="000B55D6" w:rsidRDefault="00942001" w:rsidP="001A0239">
            <w:pPr>
              <w:spacing w:after="0"/>
              <w:ind w:hanging="127"/>
              <w:jc w:val="right"/>
              <w:rPr>
                <w:rFonts w:ascii="Arial Narrow" w:hAnsi="Arial Narrow" w:cs="Arial"/>
                <w:lang w:val="es-ES" w:eastAsia="es-ES"/>
              </w:rPr>
            </w:pPr>
            <w:r w:rsidRPr="000B55D6">
              <w:rPr>
                <w:rFonts w:ascii="Arial Narrow" w:hAnsi="Arial Narrow" w:cs="Arial"/>
                <w:lang w:val="es-ES" w:eastAsia="es-ES"/>
              </w:rPr>
              <w:t>12.653</w:t>
            </w:r>
          </w:p>
        </w:tc>
        <w:tc>
          <w:tcPr>
            <w:tcW w:w="1080" w:type="dxa"/>
            <w:tcBorders>
              <w:top w:val="single" w:sz="2" w:space="0" w:color="auto"/>
              <w:left w:val="nil"/>
              <w:bottom w:val="single" w:sz="4" w:space="0" w:color="auto"/>
              <w:right w:val="nil"/>
            </w:tcBorders>
            <w:vAlign w:val="center"/>
          </w:tcPr>
          <w:p w:rsidR="00942001" w:rsidRPr="000B55D6" w:rsidRDefault="00942001" w:rsidP="001A0239">
            <w:pPr>
              <w:spacing w:after="0"/>
              <w:ind w:hanging="127"/>
              <w:jc w:val="right"/>
              <w:rPr>
                <w:rFonts w:ascii="Arial Narrow" w:hAnsi="Arial Narrow" w:cs="Arial"/>
                <w:lang w:val="es-ES" w:eastAsia="es-ES"/>
              </w:rPr>
            </w:pPr>
            <w:r w:rsidRPr="000B55D6">
              <w:rPr>
                <w:rFonts w:ascii="Arial Narrow" w:hAnsi="Arial Narrow" w:cs="Arial"/>
                <w:lang w:val="es-ES" w:eastAsia="es-ES"/>
              </w:rPr>
              <w:t>0,08</w:t>
            </w:r>
          </w:p>
        </w:tc>
      </w:tr>
      <w:tr w:rsidR="00942001" w:rsidRPr="002141E2" w:rsidTr="00A20D5E">
        <w:trPr>
          <w:trHeight w:val="284"/>
          <w:jc w:val="center"/>
        </w:trPr>
        <w:tc>
          <w:tcPr>
            <w:tcW w:w="3277" w:type="dxa"/>
            <w:tcBorders>
              <w:top w:val="single" w:sz="4" w:space="0" w:color="auto"/>
              <w:left w:val="nil"/>
              <w:bottom w:val="single" w:sz="4" w:space="0" w:color="auto"/>
              <w:right w:val="nil"/>
            </w:tcBorders>
            <w:shd w:val="clear" w:color="auto" w:fill="A8CBEE" w:themeFill="accent2" w:themeFillTint="66"/>
            <w:vAlign w:val="center"/>
          </w:tcPr>
          <w:p w:rsidR="00942001" w:rsidRPr="002141E2" w:rsidRDefault="00942001" w:rsidP="00CD1EE7">
            <w:pPr>
              <w:pStyle w:val="cuadroCabe"/>
              <w:tabs>
                <w:tab w:val="clear" w:pos="2835"/>
              </w:tabs>
              <w:jc w:val="left"/>
              <w:rPr>
                <w:sz w:val="16"/>
                <w:szCs w:val="16"/>
              </w:rPr>
            </w:pPr>
            <w:r w:rsidRPr="00987F75">
              <w:rPr>
                <w:rFonts w:cs="Arial"/>
              </w:rPr>
              <w:t>Total endeudamiento</w:t>
            </w:r>
          </w:p>
        </w:tc>
        <w:tc>
          <w:tcPr>
            <w:tcW w:w="1541" w:type="dxa"/>
            <w:tcBorders>
              <w:top w:val="single" w:sz="4" w:space="0" w:color="auto"/>
              <w:left w:val="nil"/>
              <w:bottom w:val="single" w:sz="4" w:space="0" w:color="auto"/>
              <w:right w:val="nil"/>
            </w:tcBorders>
            <w:shd w:val="clear" w:color="auto" w:fill="A8CBEE" w:themeFill="accent2" w:themeFillTint="66"/>
            <w:vAlign w:val="center"/>
          </w:tcPr>
          <w:p w:rsidR="00942001" w:rsidRPr="000B55D6" w:rsidRDefault="00942001" w:rsidP="001A0239">
            <w:pPr>
              <w:pStyle w:val="cuadroCabe"/>
              <w:ind w:hanging="127"/>
              <w:jc w:val="right"/>
              <w:rPr>
                <w:lang w:val="es-ES" w:eastAsia="es-ES"/>
              </w:rPr>
            </w:pPr>
            <w:r w:rsidRPr="000B55D6">
              <w:rPr>
                <w:lang w:val="es-ES" w:eastAsia="es-ES"/>
              </w:rPr>
              <w:t>446.814</w:t>
            </w:r>
          </w:p>
        </w:tc>
        <w:tc>
          <w:tcPr>
            <w:tcW w:w="1250" w:type="dxa"/>
            <w:tcBorders>
              <w:top w:val="single" w:sz="4" w:space="0" w:color="auto"/>
              <w:left w:val="nil"/>
              <w:bottom w:val="single" w:sz="4" w:space="0" w:color="auto"/>
              <w:right w:val="nil"/>
            </w:tcBorders>
            <w:shd w:val="clear" w:color="auto" w:fill="A8CBEE" w:themeFill="accent2" w:themeFillTint="66"/>
            <w:vAlign w:val="center"/>
          </w:tcPr>
          <w:p w:rsidR="00942001" w:rsidRPr="000B55D6" w:rsidRDefault="00334416" w:rsidP="001A0239">
            <w:pPr>
              <w:pStyle w:val="cuadroCabe"/>
              <w:ind w:hanging="127"/>
              <w:jc w:val="right"/>
              <w:rPr>
                <w:lang w:val="es-ES" w:eastAsia="es-ES"/>
              </w:rPr>
            </w:pPr>
            <w:r>
              <w:rPr>
                <w:lang w:val="es-ES" w:eastAsia="es-ES"/>
              </w:rPr>
              <w:t>1,76</w:t>
            </w:r>
          </w:p>
        </w:tc>
        <w:tc>
          <w:tcPr>
            <w:tcW w:w="1589" w:type="dxa"/>
            <w:tcBorders>
              <w:top w:val="single" w:sz="4" w:space="0" w:color="auto"/>
              <w:left w:val="nil"/>
              <w:bottom w:val="single" w:sz="4" w:space="0" w:color="auto"/>
              <w:right w:val="nil"/>
            </w:tcBorders>
            <w:shd w:val="clear" w:color="auto" w:fill="A8CBEE" w:themeFill="accent2" w:themeFillTint="66"/>
            <w:vAlign w:val="center"/>
          </w:tcPr>
          <w:p w:rsidR="00942001" w:rsidRPr="000B55D6" w:rsidRDefault="00942001" w:rsidP="001A0239">
            <w:pPr>
              <w:pStyle w:val="cuadroCabe"/>
              <w:ind w:hanging="127"/>
              <w:jc w:val="right"/>
              <w:rPr>
                <w:lang w:val="es-ES" w:eastAsia="es-ES"/>
              </w:rPr>
            </w:pPr>
            <w:r w:rsidRPr="000B55D6">
              <w:rPr>
                <w:lang w:val="es-ES" w:eastAsia="es-ES"/>
              </w:rPr>
              <w:t>2.838.098</w:t>
            </w:r>
          </w:p>
        </w:tc>
        <w:tc>
          <w:tcPr>
            <w:tcW w:w="1080" w:type="dxa"/>
            <w:tcBorders>
              <w:top w:val="single" w:sz="4" w:space="0" w:color="auto"/>
              <w:left w:val="nil"/>
              <w:bottom w:val="single" w:sz="4" w:space="0" w:color="auto"/>
              <w:right w:val="nil"/>
            </w:tcBorders>
            <w:shd w:val="clear" w:color="auto" w:fill="A8CBEE" w:themeFill="accent2" w:themeFillTint="66"/>
            <w:vAlign w:val="center"/>
          </w:tcPr>
          <w:p w:rsidR="00942001" w:rsidRPr="000B55D6" w:rsidRDefault="00334416" w:rsidP="001A0239">
            <w:pPr>
              <w:pStyle w:val="cuadroCabe"/>
              <w:ind w:hanging="127"/>
              <w:jc w:val="right"/>
              <w:rPr>
                <w:lang w:val="es-ES" w:eastAsia="es-ES"/>
              </w:rPr>
            </w:pPr>
            <w:r>
              <w:rPr>
                <w:lang w:val="es-ES" w:eastAsia="es-ES"/>
              </w:rPr>
              <w:t>3,62</w:t>
            </w:r>
          </w:p>
        </w:tc>
      </w:tr>
    </w:tbl>
    <w:p w:rsidR="000B55D6" w:rsidRDefault="000B55D6" w:rsidP="00F35AED">
      <w:pPr>
        <w:pStyle w:val="texto"/>
        <w:spacing w:before="180"/>
        <w:rPr>
          <w:rFonts w:cs="Arial"/>
        </w:rPr>
      </w:pPr>
      <w:r w:rsidRPr="000B55D6">
        <w:rPr>
          <w:rFonts w:cs="Arial"/>
        </w:rPr>
        <w:t>Como se observa, el tipo de interés</w:t>
      </w:r>
      <w:r w:rsidR="005E0FD5">
        <w:rPr>
          <w:rFonts w:cs="Arial"/>
        </w:rPr>
        <w:t xml:space="preserve"> medio</w:t>
      </w:r>
      <w:r w:rsidRPr="000B55D6">
        <w:rPr>
          <w:rFonts w:cs="Arial"/>
        </w:rPr>
        <w:t xml:space="preserve"> de la deuda instrumentalizada en préstamos es notablemente inferior al de deuda pública.</w:t>
      </w:r>
    </w:p>
    <w:p w:rsidR="007D6A48" w:rsidRDefault="00F73CD9" w:rsidP="007D6A48">
      <w:pPr>
        <w:pStyle w:val="texto"/>
        <w:rPr>
          <w:rFonts w:cs="Arial"/>
        </w:rPr>
      </w:pPr>
      <w:r w:rsidRPr="00334416">
        <w:rPr>
          <w:rFonts w:cs="Arial"/>
        </w:rPr>
        <w:t xml:space="preserve">El tipo de interés </w:t>
      </w:r>
      <w:r w:rsidR="00334416" w:rsidRPr="00334416">
        <w:rPr>
          <w:rFonts w:cs="Arial"/>
        </w:rPr>
        <w:t xml:space="preserve">medio </w:t>
      </w:r>
      <w:r w:rsidRPr="00334416">
        <w:rPr>
          <w:rFonts w:cs="Arial"/>
        </w:rPr>
        <w:t>global de la deuda en 2015</w:t>
      </w:r>
      <w:r w:rsidR="00334416" w:rsidRPr="00334416">
        <w:rPr>
          <w:rFonts w:cs="Arial"/>
        </w:rPr>
        <w:t xml:space="preserve"> se ha reducido respecto al ejercic</w:t>
      </w:r>
      <w:r w:rsidR="00334416">
        <w:rPr>
          <w:rFonts w:cs="Arial"/>
        </w:rPr>
        <w:t>i</w:t>
      </w:r>
      <w:r w:rsidR="00334416" w:rsidRPr="00334416">
        <w:rPr>
          <w:rFonts w:cs="Arial"/>
        </w:rPr>
        <w:t xml:space="preserve">o </w:t>
      </w:r>
      <w:r w:rsidR="00334416">
        <w:rPr>
          <w:rFonts w:cs="Arial"/>
        </w:rPr>
        <w:t>d</w:t>
      </w:r>
      <w:r w:rsidR="00334416" w:rsidRPr="00334416">
        <w:rPr>
          <w:rFonts w:cs="Arial"/>
        </w:rPr>
        <w:t>e 2014, del 4,02 al 3,62 por ciento.</w:t>
      </w:r>
    </w:p>
    <w:p w:rsidR="00942001" w:rsidRDefault="00942001" w:rsidP="001A0239">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200"/>
        <w:ind w:left="0" w:firstLine="289"/>
        <w:rPr>
          <w:rFonts w:cs="Arial"/>
        </w:rPr>
      </w:pPr>
      <w:r w:rsidRPr="00AF3F29">
        <w:rPr>
          <w:rFonts w:cs="Arial"/>
        </w:rPr>
        <w:t>En el cuadro siguiente se muestra un conjunto de indicadores sobre esta deuda del Gobierno de Navarra:</w:t>
      </w:r>
    </w:p>
    <w:tbl>
      <w:tblPr>
        <w:tblW w:w="8757" w:type="dxa"/>
        <w:jc w:val="center"/>
        <w:tblCellMar>
          <w:left w:w="70" w:type="dxa"/>
          <w:right w:w="70" w:type="dxa"/>
        </w:tblCellMar>
        <w:tblLook w:val="0000" w:firstRow="0" w:lastRow="0" w:firstColumn="0" w:lastColumn="0" w:noHBand="0" w:noVBand="0"/>
      </w:tblPr>
      <w:tblGrid>
        <w:gridCol w:w="5838"/>
        <w:gridCol w:w="1422"/>
        <w:gridCol w:w="1497"/>
      </w:tblGrid>
      <w:tr w:rsidR="00942001" w:rsidRPr="00AF3F29" w:rsidTr="00A20D5E">
        <w:trPr>
          <w:trHeight w:hRule="exact" w:val="284"/>
          <w:jc w:val="center"/>
        </w:trPr>
        <w:tc>
          <w:tcPr>
            <w:tcW w:w="5838" w:type="dxa"/>
            <w:tcBorders>
              <w:top w:val="single" w:sz="4" w:space="0" w:color="auto"/>
              <w:left w:val="nil"/>
              <w:bottom w:val="single" w:sz="4" w:space="0" w:color="auto"/>
              <w:right w:val="nil"/>
            </w:tcBorders>
            <w:shd w:val="clear" w:color="auto" w:fill="A8CBEE" w:themeFill="accent2" w:themeFillTint="66"/>
            <w:vAlign w:val="center"/>
          </w:tcPr>
          <w:p w:rsidR="00942001" w:rsidRPr="00AF3F29" w:rsidRDefault="00942001" w:rsidP="005C40B1">
            <w:pPr>
              <w:pStyle w:val="cuadroCabe"/>
              <w:jc w:val="left"/>
              <w:rPr>
                <w:rFonts w:cs="Arial"/>
              </w:rPr>
            </w:pPr>
            <w:r w:rsidRPr="00AF3F29">
              <w:rPr>
                <w:rFonts w:cs="Arial"/>
              </w:rPr>
              <w:t>Indicadores de deuda del Gobierno de Navarra(coste amortizado)</w:t>
            </w:r>
          </w:p>
        </w:tc>
        <w:tc>
          <w:tcPr>
            <w:tcW w:w="1422" w:type="dxa"/>
            <w:tcBorders>
              <w:top w:val="single" w:sz="4" w:space="0" w:color="auto"/>
              <w:left w:val="nil"/>
              <w:bottom w:val="single" w:sz="4" w:space="0" w:color="auto"/>
              <w:right w:val="nil"/>
            </w:tcBorders>
            <w:shd w:val="clear" w:color="auto" w:fill="A8CBEE" w:themeFill="accent2" w:themeFillTint="66"/>
            <w:vAlign w:val="center"/>
          </w:tcPr>
          <w:p w:rsidR="00942001" w:rsidRPr="00AF3F29" w:rsidRDefault="00942001" w:rsidP="005C40B1">
            <w:pPr>
              <w:pStyle w:val="cuadroCabe"/>
              <w:jc w:val="right"/>
              <w:rPr>
                <w:rFonts w:cs="Arial"/>
              </w:rPr>
            </w:pPr>
            <w:r>
              <w:rPr>
                <w:rFonts w:cs="Arial"/>
              </w:rPr>
              <w:t>2014</w:t>
            </w:r>
          </w:p>
        </w:tc>
        <w:tc>
          <w:tcPr>
            <w:tcW w:w="1497" w:type="dxa"/>
            <w:tcBorders>
              <w:top w:val="single" w:sz="4" w:space="0" w:color="auto"/>
              <w:left w:val="nil"/>
              <w:bottom w:val="single" w:sz="4" w:space="0" w:color="auto"/>
              <w:right w:val="nil"/>
            </w:tcBorders>
            <w:shd w:val="clear" w:color="auto" w:fill="A8CBEE" w:themeFill="accent2" w:themeFillTint="66"/>
            <w:vAlign w:val="center"/>
          </w:tcPr>
          <w:p w:rsidR="00942001" w:rsidRPr="00AF3F29" w:rsidRDefault="00942001" w:rsidP="005C40B1">
            <w:pPr>
              <w:pStyle w:val="cuadroCabe"/>
              <w:jc w:val="right"/>
              <w:rPr>
                <w:rFonts w:cs="Arial"/>
              </w:rPr>
            </w:pPr>
            <w:r>
              <w:rPr>
                <w:rFonts w:cs="Arial"/>
              </w:rPr>
              <w:t>2015</w:t>
            </w:r>
          </w:p>
        </w:tc>
      </w:tr>
      <w:tr w:rsidR="00942001" w:rsidRPr="00AF3F29" w:rsidTr="00A20D5E">
        <w:trPr>
          <w:trHeight w:hRule="exact" w:val="284"/>
          <w:jc w:val="center"/>
        </w:trPr>
        <w:tc>
          <w:tcPr>
            <w:tcW w:w="5838" w:type="dxa"/>
            <w:tcBorders>
              <w:top w:val="single" w:sz="4" w:space="0" w:color="auto"/>
              <w:left w:val="nil"/>
              <w:bottom w:val="single" w:sz="2" w:space="0" w:color="auto"/>
              <w:right w:val="nil"/>
            </w:tcBorders>
            <w:vAlign w:val="center"/>
          </w:tcPr>
          <w:p w:rsidR="00942001" w:rsidRPr="00AF3F29" w:rsidRDefault="00942001" w:rsidP="005C40B1">
            <w:pPr>
              <w:spacing w:after="0"/>
              <w:ind w:firstLine="0"/>
              <w:jc w:val="left"/>
              <w:rPr>
                <w:rFonts w:ascii="Arial Narrow" w:hAnsi="Arial Narrow" w:cs="Arial"/>
                <w:sz w:val="18"/>
                <w:szCs w:val="18"/>
                <w:lang w:val="es-ES" w:eastAsia="es-ES"/>
              </w:rPr>
            </w:pPr>
            <w:r w:rsidRPr="00AF3F29">
              <w:rPr>
                <w:rFonts w:ascii="Arial Narrow" w:hAnsi="Arial Narrow" w:cs="Arial"/>
                <w:sz w:val="18"/>
                <w:szCs w:val="18"/>
                <w:lang w:val="es-ES" w:eastAsia="es-ES"/>
              </w:rPr>
              <w:t>Deuda GN (en millones)</w:t>
            </w:r>
          </w:p>
        </w:tc>
        <w:tc>
          <w:tcPr>
            <w:tcW w:w="1422" w:type="dxa"/>
            <w:tcBorders>
              <w:top w:val="single" w:sz="4" w:space="0" w:color="auto"/>
              <w:left w:val="nil"/>
              <w:bottom w:val="single" w:sz="2" w:space="0" w:color="auto"/>
              <w:right w:val="nil"/>
            </w:tcBorders>
            <w:vAlign w:val="center"/>
          </w:tcPr>
          <w:p w:rsidR="00942001" w:rsidRPr="00AF3F29" w:rsidRDefault="00942001" w:rsidP="005C40B1">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2.760</w:t>
            </w:r>
          </w:p>
        </w:tc>
        <w:tc>
          <w:tcPr>
            <w:tcW w:w="1497" w:type="dxa"/>
            <w:tcBorders>
              <w:top w:val="single" w:sz="4" w:space="0" w:color="auto"/>
              <w:left w:val="nil"/>
              <w:bottom w:val="single" w:sz="2" w:space="0" w:color="auto"/>
              <w:right w:val="nil"/>
            </w:tcBorders>
            <w:vAlign w:val="center"/>
          </w:tcPr>
          <w:p w:rsidR="00942001" w:rsidRPr="00AF3F29" w:rsidRDefault="00942001" w:rsidP="005C40B1">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2.899</w:t>
            </w:r>
          </w:p>
        </w:tc>
      </w:tr>
      <w:tr w:rsidR="00942001" w:rsidRPr="00AF3F29" w:rsidTr="00A20D5E">
        <w:trPr>
          <w:trHeight w:hRule="exact" w:val="284"/>
          <w:jc w:val="center"/>
        </w:trPr>
        <w:tc>
          <w:tcPr>
            <w:tcW w:w="5838" w:type="dxa"/>
            <w:tcBorders>
              <w:top w:val="single" w:sz="2" w:space="0" w:color="auto"/>
              <w:left w:val="nil"/>
              <w:bottom w:val="single" w:sz="2" w:space="0" w:color="auto"/>
              <w:right w:val="nil"/>
            </w:tcBorders>
            <w:vAlign w:val="center"/>
          </w:tcPr>
          <w:p w:rsidR="00942001" w:rsidRPr="00AF3F29" w:rsidRDefault="00942001" w:rsidP="005C40B1">
            <w:pPr>
              <w:spacing w:after="0"/>
              <w:ind w:firstLine="0"/>
              <w:jc w:val="left"/>
              <w:rPr>
                <w:rFonts w:ascii="Arial Narrow" w:hAnsi="Arial Narrow" w:cs="Arial"/>
                <w:sz w:val="18"/>
                <w:szCs w:val="18"/>
                <w:lang w:val="es-ES" w:eastAsia="es-ES"/>
              </w:rPr>
            </w:pPr>
            <w:r w:rsidRPr="00AF3F29">
              <w:rPr>
                <w:rFonts w:ascii="Arial Narrow" w:hAnsi="Arial Narrow" w:cs="Arial"/>
                <w:sz w:val="18"/>
                <w:szCs w:val="18"/>
                <w:lang w:val="es-ES" w:eastAsia="es-ES"/>
              </w:rPr>
              <w:t xml:space="preserve">Porcentaje deuda viva sobre ingresos corrientes </w:t>
            </w:r>
          </w:p>
        </w:tc>
        <w:tc>
          <w:tcPr>
            <w:tcW w:w="1422" w:type="dxa"/>
            <w:tcBorders>
              <w:top w:val="single" w:sz="2" w:space="0" w:color="auto"/>
              <w:left w:val="nil"/>
              <w:bottom w:val="single" w:sz="2" w:space="0" w:color="auto"/>
              <w:right w:val="nil"/>
            </w:tcBorders>
            <w:vAlign w:val="center"/>
          </w:tcPr>
          <w:p w:rsidR="00942001" w:rsidRPr="00AF3F29" w:rsidRDefault="00942001" w:rsidP="005C40B1">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86</w:t>
            </w:r>
          </w:p>
        </w:tc>
        <w:tc>
          <w:tcPr>
            <w:tcW w:w="1497" w:type="dxa"/>
            <w:tcBorders>
              <w:top w:val="single" w:sz="2" w:space="0" w:color="auto"/>
              <w:left w:val="nil"/>
              <w:bottom w:val="single" w:sz="2" w:space="0" w:color="auto"/>
              <w:right w:val="nil"/>
            </w:tcBorders>
            <w:vAlign w:val="center"/>
          </w:tcPr>
          <w:p w:rsidR="00942001" w:rsidRPr="00AF3F29" w:rsidRDefault="00942001" w:rsidP="005C40B1">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88</w:t>
            </w:r>
          </w:p>
        </w:tc>
      </w:tr>
      <w:tr w:rsidR="00942001" w:rsidRPr="00AF3F29" w:rsidTr="00A20D5E">
        <w:trPr>
          <w:trHeight w:hRule="exact" w:val="284"/>
          <w:jc w:val="center"/>
        </w:trPr>
        <w:tc>
          <w:tcPr>
            <w:tcW w:w="5838" w:type="dxa"/>
            <w:tcBorders>
              <w:top w:val="single" w:sz="2" w:space="0" w:color="auto"/>
              <w:left w:val="nil"/>
              <w:bottom w:val="single" w:sz="2" w:space="0" w:color="auto"/>
              <w:right w:val="nil"/>
            </w:tcBorders>
            <w:vAlign w:val="center"/>
          </w:tcPr>
          <w:p w:rsidR="00942001" w:rsidRPr="00AF3F29" w:rsidRDefault="00942001" w:rsidP="005C40B1">
            <w:pPr>
              <w:spacing w:after="0"/>
              <w:ind w:firstLine="0"/>
              <w:jc w:val="left"/>
              <w:rPr>
                <w:rFonts w:ascii="Arial Narrow" w:hAnsi="Arial Narrow" w:cs="Arial"/>
                <w:sz w:val="18"/>
                <w:szCs w:val="18"/>
                <w:lang w:val="es-ES" w:eastAsia="es-ES"/>
              </w:rPr>
            </w:pPr>
            <w:r w:rsidRPr="00AF3F29">
              <w:rPr>
                <w:rFonts w:ascii="Arial Narrow" w:hAnsi="Arial Narrow" w:cs="Arial"/>
                <w:sz w:val="18"/>
                <w:szCs w:val="18"/>
                <w:lang w:val="es-ES" w:eastAsia="es-ES"/>
              </w:rPr>
              <w:t xml:space="preserve">Porcentaje deuda sobre PIB de Navarra </w:t>
            </w:r>
          </w:p>
        </w:tc>
        <w:tc>
          <w:tcPr>
            <w:tcW w:w="1422" w:type="dxa"/>
            <w:tcBorders>
              <w:top w:val="single" w:sz="2" w:space="0" w:color="auto"/>
              <w:left w:val="nil"/>
              <w:bottom w:val="single" w:sz="2" w:space="0" w:color="auto"/>
              <w:right w:val="nil"/>
            </w:tcBorders>
            <w:vAlign w:val="center"/>
          </w:tcPr>
          <w:p w:rsidR="00942001" w:rsidRPr="00AF3F29" w:rsidRDefault="00942001" w:rsidP="005C40B1">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15</w:t>
            </w:r>
          </w:p>
        </w:tc>
        <w:tc>
          <w:tcPr>
            <w:tcW w:w="1497" w:type="dxa"/>
            <w:tcBorders>
              <w:top w:val="single" w:sz="2" w:space="0" w:color="auto"/>
              <w:left w:val="nil"/>
              <w:bottom w:val="single" w:sz="2" w:space="0" w:color="auto"/>
              <w:right w:val="nil"/>
            </w:tcBorders>
            <w:vAlign w:val="center"/>
          </w:tcPr>
          <w:p w:rsidR="00942001" w:rsidRPr="00AF3F29" w:rsidRDefault="00942001" w:rsidP="005C40B1">
            <w:pPr>
              <w:spacing w:after="0"/>
              <w:ind w:firstLine="0"/>
              <w:jc w:val="right"/>
              <w:rPr>
                <w:rFonts w:ascii="Arial Narrow" w:hAnsi="Arial Narrow" w:cs="Arial"/>
                <w:sz w:val="18"/>
                <w:szCs w:val="18"/>
                <w:lang w:val="es-ES" w:eastAsia="es-ES"/>
              </w:rPr>
            </w:pPr>
            <w:r w:rsidRPr="00AF3F29">
              <w:rPr>
                <w:rFonts w:ascii="Arial Narrow" w:hAnsi="Arial Narrow" w:cs="Arial"/>
                <w:sz w:val="18"/>
                <w:szCs w:val="18"/>
                <w:lang w:val="es-ES" w:eastAsia="es-ES"/>
              </w:rPr>
              <w:t>16</w:t>
            </w:r>
          </w:p>
        </w:tc>
      </w:tr>
      <w:tr w:rsidR="00942001" w:rsidRPr="00AF3F29" w:rsidTr="00A20D5E">
        <w:trPr>
          <w:trHeight w:hRule="exact" w:val="284"/>
          <w:jc w:val="center"/>
        </w:trPr>
        <w:tc>
          <w:tcPr>
            <w:tcW w:w="5838" w:type="dxa"/>
            <w:tcBorders>
              <w:top w:val="single" w:sz="4" w:space="0" w:color="auto"/>
              <w:left w:val="nil"/>
              <w:bottom w:val="single" w:sz="4" w:space="0" w:color="auto"/>
              <w:right w:val="nil"/>
            </w:tcBorders>
            <w:vAlign w:val="center"/>
          </w:tcPr>
          <w:p w:rsidR="00942001" w:rsidRPr="00136768" w:rsidRDefault="00942001" w:rsidP="005C40B1">
            <w:pPr>
              <w:spacing w:after="0"/>
              <w:ind w:firstLine="0"/>
              <w:jc w:val="left"/>
              <w:rPr>
                <w:rFonts w:ascii="Arial Narrow" w:hAnsi="Arial Narrow" w:cs="Arial"/>
                <w:sz w:val="18"/>
                <w:szCs w:val="18"/>
                <w:lang w:val="es-ES" w:eastAsia="es-ES"/>
              </w:rPr>
            </w:pPr>
            <w:r w:rsidRPr="00136768">
              <w:rPr>
                <w:rFonts w:ascii="Arial Narrow" w:hAnsi="Arial Narrow" w:cs="Arial"/>
                <w:sz w:val="18"/>
                <w:szCs w:val="18"/>
                <w:lang w:val="es-ES" w:eastAsia="es-ES"/>
              </w:rPr>
              <w:t>Deuda viva por habitante (en euros)</w:t>
            </w:r>
          </w:p>
        </w:tc>
        <w:tc>
          <w:tcPr>
            <w:tcW w:w="1422" w:type="dxa"/>
            <w:tcBorders>
              <w:top w:val="single" w:sz="4" w:space="0" w:color="auto"/>
              <w:left w:val="nil"/>
              <w:bottom w:val="single" w:sz="4" w:space="0" w:color="auto"/>
              <w:right w:val="nil"/>
            </w:tcBorders>
            <w:vAlign w:val="center"/>
          </w:tcPr>
          <w:p w:rsidR="00942001" w:rsidRPr="00136768" w:rsidRDefault="00942001" w:rsidP="005C40B1">
            <w:pPr>
              <w:spacing w:after="0"/>
              <w:ind w:firstLine="0"/>
              <w:jc w:val="right"/>
              <w:rPr>
                <w:rFonts w:ascii="Arial Narrow" w:hAnsi="Arial Narrow" w:cs="Arial"/>
                <w:sz w:val="18"/>
                <w:szCs w:val="18"/>
                <w:lang w:val="es-ES" w:eastAsia="es-ES"/>
              </w:rPr>
            </w:pPr>
            <w:r w:rsidRPr="00136768">
              <w:rPr>
                <w:rFonts w:ascii="Arial Narrow" w:hAnsi="Arial Narrow" w:cs="Arial"/>
                <w:sz w:val="18"/>
                <w:szCs w:val="18"/>
                <w:lang w:val="es-ES" w:eastAsia="es-ES"/>
              </w:rPr>
              <w:t>4.300</w:t>
            </w:r>
          </w:p>
        </w:tc>
        <w:tc>
          <w:tcPr>
            <w:tcW w:w="1497" w:type="dxa"/>
            <w:tcBorders>
              <w:top w:val="single" w:sz="4" w:space="0" w:color="auto"/>
              <w:left w:val="nil"/>
              <w:bottom w:val="single" w:sz="4" w:space="0" w:color="auto"/>
              <w:right w:val="nil"/>
            </w:tcBorders>
            <w:vAlign w:val="center"/>
          </w:tcPr>
          <w:p w:rsidR="00942001" w:rsidRPr="00136768" w:rsidRDefault="00942001" w:rsidP="005C40B1">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4.526</w:t>
            </w:r>
          </w:p>
        </w:tc>
      </w:tr>
    </w:tbl>
    <w:p w:rsidR="00942001" w:rsidRPr="00AF3F29" w:rsidRDefault="00942001" w:rsidP="001A0239">
      <w:pPr>
        <w:pStyle w:val="texto"/>
        <w:spacing w:before="200"/>
        <w:rPr>
          <w:rFonts w:cs="Arial"/>
        </w:rPr>
      </w:pPr>
      <w:r w:rsidRPr="00AF3F29">
        <w:rPr>
          <w:rFonts w:cs="Arial"/>
        </w:rPr>
        <w:t xml:space="preserve">a) Este volumen de deuda equivale al </w:t>
      </w:r>
      <w:r>
        <w:rPr>
          <w:rFonts w:cs="Arial"/>
        </w:rPr>
        <w:t>88</w:t>
      </w:r>
      <w:r w:rsidRPr="00AF3F29">
        <w:rPr>
          <w:rFonts w:cs="Arial"/>
        </w:rPr>
        <w:t xml:space="preserve"> por ciento de sus ingresos corrie</w:t>
      </w:r>
      <w:r w:rsidRPr="00AF3F29">
        <w:rPr>
          <w:rFonts w:cs="Arial"/>
        </w:rPr>
        <w:t>n</w:t>
      </w:r>
      <w:r w:rsidRPr="00AF3F29">
        <w:rPr>
          <w:rFonts w:cs="Arial"/>
        </w:rPr>
        <w:t>tes –en 201</w:t>
      </w:r>
      <w:r>
        <w:rPr>
          <w:rFonts w:cs="Arial"/>
        </w:rPr>
        <w:t>4</w:t>
      </w:r>
      <w:r w:rsidRPr="00AF3F29">
        <w:rPr>
          <w:rFonts w:cs="Arial"/>
        </w:rPr>
        <w:t xml:space="preserve">, el </w:t>
      </w:r>
      <w:r>
        <w:rPr>
          <w:rFonts w:cs="Arial"/>
        </w:rPr>
        <w:t>86</w:t>
      </w:r>
      <w:r w:rsidRPr="00AF3F29">
        <w:rPr>
          <w:rFonts w:cs="Arial"/>
        </w:rPr>
        <w:t xml:space="preserve"> por ciento– y representa una deuda por habitante de </w:t>
      </w:r>
      <w:r>
        <w:rPr>
          <w:rFonts w:cs="Arial"/>
        </w:rPr>
        <w:t>4.526</w:t>
      </w:r>
      <w:r w:rsidRPr="00AF3F29">
        <w:rPr>
          <w:rFonts w:cs="Arial"/>
        </w:rPr>
        <w:t xml:space="preserve"> euros –</w:t>
      </w:r>
      <w:r>
        <w:rPr>
          <w:rFonts w:cs="Arial"/>
        </w:rPr>
        <w:t>126</w:t>
      </w:r>
      <w:r w:rsidRPr="00AF3F29">
        <w:rPr>
          <w:rFonts w:cs="Arial"/>
        </w:rPr>
        <w:t xml:space="preserve"> euros más que en 201</w:t>
      </w:r>
      <w:r>
        <w:rPr>
          <w:rFonts w:cs="Arial"/>
        </w:rPr>
        <w:t>4</w:t>
      </w:r>
      <w:r w:rsidRPr="00AF3F29">
        <w:rPr>
          <w:rFonts w:cs="Arial"/>
        </w:rPr>
        <w:t>–.</w:t>
      </w:r>
    </w:p>
    <w:p w:rsidR="00942001" w:rsidRPr="00AF3F29" w:rsidRDefault="00942001" w:rsidP="00942001">
      <w:pPr>
        <w:pStyle w:val="texto"/>
        <w:rPr>
          <w:rFonts w:cs="Arial"/>
        </w:rPr>
      </w:pPr>
      <w:r>
        <w:rPr>
          <w:rFonts w:cs="Arial"/>
        </w:rPr>
        <w:t>b</w:t>
      </w:r>
      <w:r w:rsidRPr="00AF3F29">
        <w:rPr>
          <w:rFonts w:cs="Arial"/>
        </w:rPr>
        <w:t>) Sobre el PIB de Navarra de 201</w:t>
      </w:r>
      <w:r>
        <w:rPr>
          <w:rFonts w:cs="Arial"/>
        </w:rPr>
        <w:t>5</w:t>
      </w:r>
      <w:r w:rsidRPr="00AF3F29">
        <w:rPr>
          <w:rFonts w:cs="Arial"/>
        </w:rPr>
        <w:t xml:space="preserve"> supone el 1</w:t>
      </w:r>
      <w:r>
        <w:rPr>
          <w:rFonts w:cs="Arial"/>
        </w:rPr>
        <w:t>6</w:t>
      </w:r>
      <w:r w:rsidRPr="00AF3F29">
        <w:rPr>
          <w:rFonts w:cs="Arial"/>
        </w:rPr>
        <w:t xml:space="preserve"> por ciento; en 201</w:t>
      </w:r>
      <w:r>
        <w:rPr>
          <w:rFonts w:cs="Arial"/>
        </w:rPr>
        <w:t>4</w:t>
      </w:r>
      <w:r w:rsidR="00B77894">
        <w:rPr>
          <w:rFonts w:cs="Arial"/>
        </w:rPr>
        <w:t xml:space="preserve">, </w:t>
      </w:r>
      <w:r w:rsidRPr="00AF3F29">
        <w:rPr>
          <w:rFonts w:cs="Arial"/>
        </w:rPr>
        <w:t>ese porcentaje era del 1</w:t>
      </w:r>
      <w:r>
        <w:rPr>
          <w:rFonts w:cs="Arial"/>
        </w:rPr>
        <w:t>5</w:t>
      </w:r>
      <w:r w:rsidRPr="00AF3F29">
        <w:rPr>
          <w:rFonts w:cs="Arial"/>
        </w:rPr>
        <w:t xml:space="preserve"> por ciento.</w:t>
      </w:r>
    </w:p>
    <w:p w:rsidR="00942001" w:rsidRPr="00324440" w:rsidRDefault="00942001" w:rsidP="001A0239">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200"/>
        <w:ind w:left="0" w:firstLine="289"/>
        <w:rPr>
          <w:rFonts w:ascii="Times New (W1)" w:hAnsi="Times New (W1)" w:cs="Arial"/>
        </w:rPr>
      </w:pPr>
      <w:r w:rsidRPr="00324440">
        <w:rPr>
          <w:rFonts w:ascii="Times New (W1)" w:hAnsi="Times New (W1)" w:cs="Arial"/>
        </w:rPr>
        <w:lastRenderedPageBreak/>
        <w:t>La evolución (2011 a 2015) de la carga financiera (capítulo 3 y 9 de pres</w:t>
      </w:r>
      <w:r w:rsidRPr="00324440">
        <w:rPr>
          <w:rFonts w:ascii="Times New (W1)" w:hAnsi="Times New (W1)" w:cs="Arial"/>
        </w:rPr>
        <w:t>u</w:t>
      </w:r>
      <w:r w:rsidRPr="00324440">
        <w:rPr>
          <w:rFonts w:ascii="Times New (W1)" w:hAnsi="Times New (W1)" w:cs="Arial"/>
        </w:rPr>
        <w:t>puesto) derivada del conjunto de la deuda del Gobierno de Navarra se muestra en el cuadro siguiente junto al porcentaje que representa sobre los ingresos c</w:t>
      </w:r>
      <w:r w:rsidRPr="00324440">
        <w:rPr>
          <w:rFonts w:ascii="Times New (W1)" w:hAnsi="Times New (W1)" w:cs="Arial"/>
        </w:rPr>
        <w:t>o</w:t>
      </w:r>
      <w:r w:rsidRPr="00324440">
        <w:rPr>
          <w:rFonts w:ascii="Times New (W1)" w:hAnsi="Times New (W1)" w:cs="Arial"/>
        </w:rPr>
        <w:t>rrientes.</w:t>
      </w:r>
    </w:p>
    <w:tbl>
      <w:tblPr>
        <w:tblW w:w="8723" w:type="dxa"/>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3475"/>
        <w:gridCol w:w="1042"/>
        <w:gridCol w:w="1042"/>
        <w:gridCol w:w="1042"/>
        <w:gridCol w:w="1042"/>
        <w:gridCol w:w="1080"/>
      </w:tblGrid>
      <w:tr w:rsidR="00942001" w:rsidRPr="0065254B" w:rsidTr="00A20D5E">
        <w:trPr>
          <w:trHeight w:hRule="exact" w:val="284"/>
          <w:jc w:val="center"/>
        </w:trPr>
        <w:tc>
          <w:tcPr>
            <w:tcW w:w="3475" w:type="dxa"/>
            <w:tcBorders>
              <w:top w:val="single" w:sz="4" w:space="0" w:color="auto"/>
              <w:left w:val="nil"/>
              <w:bottom w:val="single" w:sz="4" w:space="0" w:color="auto"/>
              <w:right w:val="nil"/>
            </w:tcBorders>
            <w:shd w:val="clear" w:color="auto" w:fill="A8CBEE" w:themeFill="accent2" w:themeFillTint="66"/>
            <w:noWrap/>
            <w:vAlign w:val="center"/>
          </w:tcPr>
          <w:p w:rsidR="00942001" w:rsidRPr="0065254B" w:rsidRDefault="00942001" w:rsidP="001A0239">
            <w:pPr>
              <w:pStyle w:val="cuadroCabe"/>
              <w:jc w:val="center"/>
              <w:rPr>
                <w:rFonts w:cs="Arial"/>
              </w:rPr>
            </w:pPr>
          </w:p>
        </w:tc>
        <w:tc>
          <w:tcPr>
            <w:tcW w:w="1042" w:type="dxa"/>
            <w:tcBorders>
              <w:top w:val="single" w:sz="4" w:space="0" w:color="auto"/>
              <w:left w:val="nil"/>
              <w:bottom w:val="single" w:sz="4" w:space="0" w:color="auto"/>
              <w:right w:val="nil"/>
            </w:tcBorders>
            <w:shd w:val="clear" w:color="auto" w:fill="A8CBEE" w:themeFill="accent2" w:themeFillTint="66"/>
            <w:vAlign w:val="center"/>
          </w:tcPr>
          <w:p w:rsidR="00942001" w:rsidRPr="0065254B" w:rsidRDefault="00942001" w:rsidP="001A0239">
            <w:pPr>
              <w:pStyle w:val="cuadroCabe"/>
              <w:jc w:val="right"/>
              <w:rPr>
                <w:rFonts w:cs="Arial"/>
              </w:rPr>
            </w:pPr>
            <w:r w:rsidRPr="0065254B">
              <w:rPr>
                <w:rFonts w:cs="Arial"/>
              </w:rPr>
              <w:t>2011</w:t>
            </w:r>
          </w:p>
        </w:tc>
        <w:tc>
          <w:tcPr>
            <w:tcW w:w="1042" w:type="dxa"/>
            <w:tcBorders>
              <w:top w:val="single" w:sz="4" w:space="0" w:color="auto"/>
              <w:left w:val="nil"/>
              <w:bottom w:val="single" w:sz="4" w:space="0" w:color="auto"/>
              <w:right w:val="nil"/>
            </w:tcBorders>
            <w:shd w:val="clear" w:color="auto" w:fill="A8CBEE" w:themeFill="accent2" w:themeFillTint="66"/>
            <w:vAlign w:val="center"/>
          </w:tcPr>
          <w:p w:rsidR="00942001" w:rsidRPr="0065254B" w:rsidRDefault="00942001" w:rsidP="001A0239">
            <w:pPr>
              <w:pStyle w:val="cuadroCabe"/>
              <w:jc w:val="right"/>
              <w:rPr>
                <w:rFonts w:cs="Arial"/>
              </w:rPr>
            </w:pPr>
            <w:r w:rsidRPr="0065254B">
              <w:rPr>
                <w:rFonts w:cs="Arial"/>
              </w:rPr>
              <w:t>2012</w:t>
            </w:r>
          </w:p>
        </w:tc>
        <w:tc>
          <w:tcPr>
            <w:tcW w:w="1042" w:type="dxa"/>
            <w:tcBorders>
              <w:top w:val="single" w:sz="4" w:space="0" w:color="auto"/>
              <w:left w:val="nil"/>
              <w:bottom w:val="single" w:sz="4" w:space="0" w:color="auto"/>
              <w:right w:val="nil"/>
            </w:tcBorders>
            <w:shd w:val="clear" w:color="auto" w:fill="A8CBEE" w:themeFill="accent2" w:themeFillTint="66"/>
            <w:vAlign w:val="center"/>
          </w:tcPr>
          <w:p w:rsidR="00942001" w:rsidRPr="0065254B" w:rsidRDefault="00942001" w:rsidP="001A0239">
            <w:pPr>
              <w:pStyle w:val="cuadroCabe"/>
              <w:jc w:val="right"/>
              <w:rPr>
                <w:rFonts w:cs="Arial"/>
              </w:rPr>
            </w:pPr>
            <w:r w:rsidRPr="0065254B">
              <w:rPr>
                <w:rFonts w:cs="Arial"/>
              </w:rPr>
              <w:t>2013</w:t>
            </w:r>
          </w:p>
        </w:tc>
        <w:tc>
          <w:tcPr>
            <w:tcW w:w="1042" w:type="dxa"/>
            <w:tcBorders>
              <w:top w:val="single" w:sz="4" w:space="0" w:color="auto"/>
              <w:left w:val="nil"/>
              <w:bottom w:val="single" w:sz="4" w:space="0" w:color="auto"/>
              <w:right w:val="nil"/>
            </w:tcBorders>
            <w:shd w:val="clear" w:color="auto" w:fill="A8CBEE" w:themeFill="accent2" w:themeFillTint="66"/>
            <w:noWrap/>
            <w:vAlign w:val="center"/>
          </w:tcPr>
          <w:p w:rsidR="00942001" w:rsidRPr="0065254B" w:rsidRDefault="00942001" w:rsidP="001A0239">
            <w:pPr>
              <w:pStyle w:val="cuadroCabe"/>
              <w:jc w:val="right"/>
              <w:rPr>
                <w:rFonts w:cs="Arial"/>
              </w:rPr>
            </w:pPr>
            <w:r w:rsidRPr="0065254B">
              <w:rPr>
                <w:rFonts w:cs="Arial"/>
              </w:rPr>
              <w:t>2014</w:t>
            </w:r>
          </w:p>
        </w:tc>
        <w:tc>
          <w:tcPr>
            <w:tcW w:w="1080" w:type="dxa"/>
            <w:tcBorders>
              <w:top w:val="single" w:sz="4" w:space="0" w:color="auto"/>
              <w:left w:val="nil"/>
              <w:bottom w:val="single" w:sz="4" w:space="0" w:color="auto"/>
              <w:right w:val="nil"/>
            </w:tcBorders>
            <w:shd w:val="clear" w:color="auto" w:fill="A8CBEE" w:themeFill="accent2" w:themeFillTint="66"/>
            <w:noWrap/>
            <w:vAlign w:val="center"/>
          </w:tcPr>
          <w:p w:rsidR="00942001" w:rsidRPr="0065254B" w:rsidRDefault="00942001" w:rsidP="001A0239">
            <w:pPr>
              <w:pStyle w:val="cuadroCabe"/>
              <w:jc w:val="right"/>
              <w:rPr>
                <w:rFonts w:cs="Arial"/>
              </w:rPr>
            </w:pPr>
            <w:r w:rsidRPr="0065254B">
              <w:rPr>
                <w:rFonts w:cs="Arial"/>
              </w:rPr>
              <w:t>2015</w:t>
            </w:r>
          </w:p>
        </w:tc>
      </w:tr>
      <w:tr w:rsidR="00942001" w:rsidRPr="001A0239" w:rsidTr="00A20D5E">
        <w:trPr>
          <w:trHeight w:hRule="exact" w:val="284"/>
          <w:jc w:val="center"/>
        </w:trPr>
        <w:tc>
          <w:tcPr>
            <w:tcW w:w="3475" w:type="dxa"/>
            <w:tcBorders>
              <w:top w:val="single" w:sz="4" w:space="0" w:color="auto"/>
              <w:left w:val="nil"/>
              <w:bottom w:val="single" w:sz="2" w:space="0" w:color="auto"/>
              <w:right w:val="nil"/>
            </w:tcBorders>
            <w:noWrap/>
            <w:vAlign w:val="center"/>
          </w:tcPr>
          <w:p w:rsidR="00942001" w:rsidRPr="001A0239" w:rsidRDefault="00942001" w:rsidP="001A0239">
            <w:pPr>
              <w:spacing w:after="0"/>
              <w:ind w:firstLine="0"/>
              <w:jc w:val="left"/>
              <w:rPr>
                <w:rFonts w:ascii="Arial Narrow" w:hAnsi="Arial Narrow" w:cs="Arial"/>
                <w:lang w:val="es-ES" w:eastAsia="es-ES"/>
              </w:rPr>
            </w:pPr>
            <w:r w:rsidRPr="001A0239">
              <w:rPr>
                <w:rFonts w:ascii="Arial Narrow" w:hAnsi="Arial Narrow" w:cs="Arial"/>
                <w:lang w:val="es-ES" w:eastAsia="es-ES"/>
              </w:rPr>
              <w:t>Carga financiera (en millones)</w:t>
            </w:r>
          </w:p>
        </w:tc>
        <w:tc>
          <w:tcPr>
            <w:tcW w:w="1042" w:type="dxa"/>
            <w:tcBorders>
              <w:top w:val="single" w:sz="4" w:space="0" w:color="auto"/>
              <w:left w:val="nil"/>
              <w:bottom w:val="single" w:sz="2" w:space="0" w:color="auto"/>
              <w:right w:val="nil"/>
            </w:tcBorders>
            <w:vAlign w:val="center"/>
          </w:tcPr>
          <w:p w:rsidR="00942001" w:rsidRPr="001A0239" w:rsidRDefault="00942001" w:rsidP="001A0239">
            <w:pPr>
              <w:spacing w:after="0"/>
              <w:ind w:firstLine="0"/>
              <w:jc w:val="right"/>
              <w:rPr>
                <w:rFonts w:ascii="Arial Narrow" w:hAnsi="Arial Narrow" w:cs="Arial"/>
                <w:lang w:val="es-ES" w:eastAsia="es-ES"/>
              </w:rPr>
            </w:pPr>
            <w:r w:rsidRPr="001A0239">
              <w:rPr>
                <w:rFonts w:ascii="Arial Narrow" w:hAnsi="Arial Narrow" w:cs="Arial"/>
                <w:lang w:val="es-ES" w:eastAsia="es-ES"/>
              </w:rPr>
              <w:t>148,83</w:t>
            </w:r>
          </w:p>
        </w:tc>
        <w:tc>
          <w:tcPr>
            <w:tcW w:w="1042" w:type="dxa"/>
            <w:tcBorders>
              <w:top w:val="single" w:sz="4" w:space="0" w:color="auto"/>
              <w:left w:val="nil"/>
              <w:bottom w:val="single" w:sz="2" w:space="0" w:color="auto"/>
              <w:right w:val="nil"/>
            </w:tcBorders>
            <w:vAlign w:val="center"/>
          </w:tcPr>
          <w:p w:rsidR="00942001" w:rsidRPr="001A0239" w:rsidRDefault="00942001" w:rsidP="001A0239">
            <w:pPr>
              <w:spacing w:after="0"/>
              <w:ind w:firstLine="0"/>
              <w:jc w:val="right"/>
              <w:rPr>
                <w:rFonts w:ascii="Arial Narrow" w:hAnsi="Arial Narrow" w:cs="Arial"/>
                <w:lang w:val="es-ES" w:eastAsia="es-ES"/>
              </w:rPr>
            </w:pPr>
            <w:r w:rsidRPr="001A0239">
              <w:rPr>
                <w:rFonts w:ascii="Arial Narrow" w:hAnsi="Arial Narrow" w:cs="Arial"/>
                <w:lang w:val="es-ES" w:eastAsia="es-ES"/>
              </w:rPr>
              <w:t>200,30</w:t>
            </w:r>
          </w:p>
        </w:tc>
        <w:tc>
          <w:tcPr>
            <w:tcW w:w="1042" w:type="dxa"/>
            <w:tcBorders>
              <w:top w:val="single" w:sz="4" w:space="0" w:color="auto"/>
              <w:left w:val="nil"/>
              <w:bottom w:val="single" w:sz="2" w:space="0" w:color="auto"/>
              <w:right w:val="nil"/>
            </w:tcBorders>
            <w:vAlign w:val="center"/>
          </w:tcPr>
          <w:p w:rsidR="00942001" w:rsidRPr="001A0239" w:rsidRDefault="00942001" w:rsidP="001A0239">
            <w:pPr>
              <w:spacing w:after="0"/>
              <w:ind w:firstLine="0"/>
              <w:jc w:val="right"/>
              <w:rPr>
                <w:rFonts w:ascii="Arial Narrow" w:hAnsi="Arial Narrow" w:cs="Arial"/>
                <w:lang w:val="es-ES" w:eastAsia="es-ES"/>
              </w:rPr>
            </w:pPr>
            <w:r w:rsidRPr="001A0239">
              <w:rPr>
                <w:rFonts w:ascii="Arial Narrow" w:hAnsi="Arial Narrow" w:cs="Arial"/>
                <w:lang w:val="es-ES" w:eastAsia="es-ES"/>
              </w:rPr>
              <w:t>300,54</w:t>
            </w:r>
          </w:p>
        </w:tc>
        <w:tc>
          <w:tcPr>
            <w:tcW w:w="1042" w:type="dxa"/>
            <w:tcBorders>
              <w:top w:val="single" w:sz="4" w:space="0" w:color="auto"/>
              <w:left w:val="nil"/>
              <w:bottom w:val="single" w:sz="2" w:space="0" w:color="auto"/>
              <w:right w:val="nil"/>
            </w:tcBorders>
            <w:noWrap/>
            <w:vAlign w:val="center"/>
          </w:tcPr>
          <w:p w:rsidR="00942001" w:rsidRPr="001A0239" w:rsidRDefault="00942001" w:rsidP="001A0239">
            <w:pPr>
              <w:spacing w:after="0"/>
              <w:ind w:firstLine="0"/>
              <w:jc w:val="right"/>
              <w:rPr>
                <w:rFonts w:ascii="Arial Narrow" w:hAnsi="Arial Narrow" w:cs="Arial"/>
                <w:lang w:val="es-ES" w:eastAsia="es-ES"/>
              </w:rPr>
            </w:pPr>
            <w:r w:rsidRPr="001A0239">
              <w:rPr>
                <w:rFonts w:ascii="Arial Narrow" w:hAnsi="Arial Narrow" w:cs="Arial"/>
                <w:lang w:val="es-ES" w:eastAsia="es-ES"/>
              </w:rPr>
              <w:t>401,48</w:t>
            </w:r>
          </w:p>
        </w:tc>
        <w:tc>
          <w:tcPr>
            <w:tcW w:w="1080" w:type="dxa"/>
            <w:tcBorders>
              <w:top w:val="single" w:sz="4" w:space="0" w:color="auto"/>
              <w:left w:val="nil"/>
              <w:bottom w:val="single" w:sz="2" w:space="0" w:color="auto"/>
              <w:right w:val="nil"/>
            </w:tcBorders>
            <w:noWrap/>
            <w:vAlign w:val="center"/>
          </w:tcPr>
          <w:p w:rsidR="00942001" w:rsidRPr="001A0239" w:rsidRDefault="00942001" w:rsidP="001A0239">
            <w:pPr>
              <w:spacing w:after="0"/>
              <w:ind w:firstLine="0"/>
              <w:jc w:val="right"/>
              <w:rPr>
                <w:rFonts w:ascii="Arial Narrow" w:hAnsi="Arial Narrow" w:cs="Arial"/>
                <w:lang w:val="es-ES" w:eastAsia="es-ES"/>
              </w:rPr>
            </w:pPr>
            <w:r w:rsidRPr="001A0239">
              <w:rPr>
                <w:rFonts w:ascii="Arial Narrow" w:hAnsi="Arial Narrow" w:cs="Arial"/>
                <w:lang w:val="es-ES" w:eastAsia="es-ES"/>
              </w:rPr>
              <w:t>415,74</w:t>
            </w:r>
          </w:p>
        </w:tc>
      </w:tr>
      <w:tr w:rsidR="00942001" w:rsidRPr="001A0239" w:rsidTr="00A20D5E">
        <w:trPr>
          <w:trHeight w:hRule="exact" w:val="284"/>
          <w:jc w:val="center"/>
        </w:trPr>
        <w:tc>
          <w:tcPr>
            <w:tcW w:w="3475" w:type="dxa"/>
            <w:tcBorders>
              <w:top w:val="single" w:sz="2" w:space="0" w:color="auto"/>
              <w:left w:val="nil"/>
              <w:bottom w:val="single" w:sz="2" w:space="0" w:color="auto"/>
              <w:right w:val="nil"/>
            </w:tcBorders>
            <w:noWrap/>
            <w:vAlign w:val="center"/>
          </w:tcPr>
          <w:p w:rsidR="00942001" w:rsidRPr="001A0239" w:rsidRDefault="00942001" w:rsidP="001A0239">
            <w:pPr>
              <w:spacing w:after="0"/>
              <w:ind w:firstLine="0"/>
              <w:jc w:val="left"/>
              <w:rPr>
                <w:rFonts w:ascii="Arial Narrow" w:hAnsi="Arial Narrow" w:cs="Arial"/>
                <w:lang w:val="es-ES" w:eastAsia="es-ES"/>
              </w:rPr>
            </w:pPr>
            <w:r w:rsidRPr="001A0239">
              <w:rPr>
                <w:rFonts w:ascii="Arial Narrow" w:hAnsi="Arial Narrow" w:cs="Arial"/>
                <w:lang w:val="es-ES" w:eastAsia="es-ES"/>
              </w:rPr>
              <w:t>Índice</w:t>
            </w:r>
          </w:p>
        </w:tc>
        <w:tc>
          <w:tcPr>
            <w:tcW w:w="1042" w:type="dxa"/>
            <w:tcBorders>
              <w:top w:val="single" w:sz="2" w:space="0" w:color="auto"/>
              <w:left w:val="nil"/>
              <w:bottom w:val="single" w:sz="2" w:space="0" w:color="auto"/>
              <w:right w:val="nil"/>
            </w:tcBorders>
            <w:vAlign w:val="center"/>
          </w:tcPr>
          <w:p w:rsidR="00942001" w:rsidRPr="001A0239" w:rsidRDefault="00942001" w:rsidP="001A0239">
            <w:pPr>
              <w:spacing w:after="0"/>
              <w:ind w:firstLine="0"/>
              <w:jc w:val="right"/>
              <w:rPr>
                <w:rFonts w:ascii="Arial Narrow" w:hAnsi="Arial Narrow" w:cs="Arial"/>
                <w:lang w:val="es-ES" w:eastAsia="es-ES"/>
              </w:rPr>
            </w:pPr>
            <w:r w:rsidRPr="001A0239">
              <w:rPr>
                <w:rFonts w:ascii="Arial Narrow" w:hAnsi="Arial Narrow" w:cs="Arial"/>
                <w:lang w:val="es-ES" w:eastAsia="es-ES"/>
              </w:rPr>
              <w:t>100</w:t>
            </w:r>
          </w:p>
        </w:tc>
        <w:tc>
          <w:tcPr>
            <w:tcW w:w="1042" w:type="dxa"/>
            <w:tcBorders>
              <w:top w:val="single" w:sz="2" w:space="0" w:color="auto"/>
              <w:left w:val="nil"/>
              <w:bottom w:val="single" w:sz="2" w:space="0" w:color="auto"/>
              <w:right w:val="nil"/>
            </w:tcBorders>
            <w:vAlign w:val="center"/>
          </w:tcPr>
          <w:p w:rsidR="00942001" w:rsidRPr="001A0239" w:rsidRDefault="00942001" w:rsidP="001A0239">
            <w:pPr>
              <w:spacing w:after="0"/>
              <w:ind w:firstLine="0"/>
              <w:jc w:val="right"/>
              <w:rPr>
                <w:rFonts w:ascii="Arial Narrow" w:hAnsi="Arial Narrow" w:cs="Arial"/>
                <w:lang w:val="es-ES" w:eastAsia="es-ES"/>
              </w:rPr>
            </w:pPr>
            <w:r w:rsidRPr="001A0239">
              <w:rPr>
                <w:rFonts w:ascii="Arial Narrow" w:hAnsi="Arial Narrow" w:cs="Arial"/>
                <w:lang w:val="es-ES" w:eastAsia="es-ES"/>
              </w:rPr>
              <w:t>135</w:t>
            </w:r>
          </w:p>
        </w:tc>
        <w:tc>
          <w:tcPr>
            <w:tcW w:w="1042" w:type="dxa"/>
            <w:tcBorders>
              <w:top w:val="single" w:sz="2" w:space="0" w:color="auto"/>
              <w:left w:val="nil"/>
              <w:bottom w:val="single" w:sz="2" w:space="0" w:color="auto"/>
              <w:right w:val="nil"/>
            </w:tcBorders>
            <w:vAlign w:val="center"/>
          </w:tcPr>
          <w:p w:rsidR="00942001" w:rsidRPr="001A0239" w:rsidRDefault="00942001" w:rsidP="001A0239">
            <w:pPr>
              <w:spacing w:after="0"/>
              <w:ind w:firstLine="0"/>
              <w:jc w:val="right"/>
              <w:rPr>
                <w:rFonts w:ascii="Arial Narrow" w:hAnsi="Arial Narrow" w:cs="Arial"/>
                <w:lang w:val="es-ES" w:eastAsia="es-ES"/>
              </w:rPr>
            </w:pPr>
            <w:r w:rsidRPr="001A0239">
              <w:rPr>
                <w:rFonts w:ascii="Arial Narrow" w:hAnsi="Arial Narrow" w:cs="Arial"/>
                <w:lang w:val="es-ES" w:eastAsia="es-ES"/>
              </w:rPr>
              <w:t>202</w:t>
            </w:r>
          </w:p>
        </w:tc>
        <w:tc>
          <w:tcPr>
            <w:tcW w:w="1042" w:type="dxa"/>
            <w:tcBorders>
              <w:top w:val="single" w:sz="2" w:space="0" w:color="auto"/>
              <w:left w:val="nil"/>
              <w:bottom w:val="single" w:sz="2" w:space="0" w:color="auto"/>
              <w:right w:val="nil"/>
            </w:tcBorders>
            <w:noWrap/>
            <w:vAlign w:val="center"/>
          </w:tcPr>
          <w:p w:rsidR="00942001" w:rsidRPr="001A0239" w:rsidRDefault="00942001" w:rsidP="001A0239">
            <w:pPr>
              <w:spacing w:after="0"/>
              <w:ind w:firstLine="0"/>
              <w:jc w:val="right"/>
              <w:rPr>
                <w:rFonts w:ascii="Arial Narrow" w:hAnsi="Arial Narrow" w:cs="Arial"/>
                <w:lang w:val="es-ES" w:eastAsia="es-ES"/>
              </w:rPr>
            </w:pPr>
            <w:r w:rsidRPr="001A0239">
              <w:rPr>
                <w:rFonts w:ascii="Arial Narrow" w:hAnsi="Arial Narrow" w:cs="Arial"/>
                <w:lang w:val="es-ES" w:eastAsia="es-ES"/>
              </w:rPr>
              <w:t>270</w:t>
            </w:r>
          </w:p>
        </w:tc>
        <w:tc>
          <w:tcPr>
            <w:tcW w:w="1080" w:type="dxa"/>
            <w:tcBorders>
              <w:top w:val="single" w:sz="2" w:space="0" w:color="auto"/>
              <w:left w:val="nil"/>
              <w:bottom w:val="single" w:sz="2" w:space="0" w:color="auto"/>
              <w:right w:val="nil"/>
            </w:tcBorders>
            <w:noWrap/>
            <w:vAlign w:val="center"/>
          </w:tcPr>
          <w:p w:rsidR="00942001" w:rsidRPr="001A0239" w:rsidRDefault="00942001" w:rsidP="001A0239">
            <w:pPr>
              <w:spacing w:after="0"/>
              <w:ind w:firstLine="0"/>
              <w:jc w:val="right"/>
              <w:rPr>
                <w:rFonts w:ascii="Arial Narrow" w:hAnsi="Arial Narrow" w:cs="Arial"/>
                <w:lang w:val="es-ES" w:eastAsia="es-ES"/>
              </w:rPr>
            </w:pPr>
            <w:r w:rsidRPr="001A0239">
              <w:rPr>
                <w:rFonts w:ascii="Arial Narrow" w:hAnsi="Arial Narrow" w:cs="Arial"/>
                <w:lang w:val="es-ES" w:eastAsia="es-ES"/>
              </w:rPr>
              <w:t>279</w:t>
            </w:r>
          </w:p>
        </w:tc>
      </w:tr>
      <w:tr w:rsidR="00942001" w:rsidRPr="001A0239" w:rsidTr="00A20D5E">
        <w:trPr>
          <w:trHeight w:hRule="exact" w:val="284"/>
          <w:jc w:val="center"/>
        </w:trPr>
        <w:tc>
          <w:tcPr>
            <w:tcW w:w="3475" w:type="dxa"/>
            <w:tcBorders>
              <w:top w:val="single" w:sz="2" w:space="0" w:color="auto"/>
              <w:left w:val="nil"/>
              <w:bottom w:val="single" w:sz="4" w:space="0" w:color="auto"/>
              <w:right w:val="nil"/>
            </w:tcBorders>
            <w:noWrap/>
            <w:vAlign w:val="center"/>
          </w:tcPr>
          <w:p w:rsidR="00942001" w:rsidRPr="001A0239" w:rsidRDefault="00942001" w:rsidP="001A0239">
            <w:pPr>
              <w:spacing w:after="0"/>
              <w:ind w:firstLine="0"/>
              <w:jc w:val="left"/>
              <w:rPr>
                <w:rFonts w:ascii="Arial Narrow" w:hAnsi="Arial Narrow" w:cs="Arial"/>
                <w:lang w:val="es-ES" w:eastAsia="es-ES"/>
              </w:rPr>
            </w:pPr>
            <w:r w:rsidRPr="001A0239">
              <w:rPr>
                <w:rFonts w:ascii="Arial Narrow" w:hAnsi="Arial Narrow" w:cs="Arial"/>
                <w:lang w:val="es-ES" w:eastAsia="es-ES"/>
              </w:rPr>
              <w:t>Porcentaje sobre ingresos corrientes</w:t>
            </w:r>
          </w:p>
        </w:tc>
        <w:tc>
          <w:tcPr>
            <w:tcW w:w="1042" w:type="dxa"/>
            <w:tcBorders>
              <w:top w:val="single" w:sz="2" w:space="0" w:color="auto"/>
              <w:left w:val="nil"/>
              <w:bottom w:val="single" w:sz="4" w:space="0" w:color="auto"/>
              <w:right w:val="nil"/>
            </w:tcBorders>
            <w:vAlign w:val="center"/>
          </w:tcPr>
          <w:p w:rsidR="00942001" w:rsidRPr="001A0239" w:rsidRDefault="00942001" w:rsidP="001A0239">
            <w:pPr>
              <w:spacing w:after="0"/>
              <w:ind w:firstLine="0"/>
              <w:jc w:val="right"/>
              <w:rPr>
                <w:rFonts w:ascii="Arial Narrow" w:hAnsi="Arial Narrow" w:cs="Arial"/>
                <w:lang w:val="es-ES" w:eastAsia="es-ES"/>
              </w:rPr>
            </w:pPr>
            <w:r w:rsidRPr="001A0239">
              <w:rPr>
                <w:rFonts w:ascii="Arial Narrow" w:hAnsi="Arial Narrow" w:cs="Arial"/>
                <w:lang w:val="es-ES" w:eastAsia="es-ES"/>
              </w:rPr>
              <w:t>5</w:t>
            </w:r>
          </w:p>
        </w:tc>
        <w:tc>
          <w:tcPr>
            <w:tcW w:w="1042" w:type="dxa"/>
            <w:tcBorders>
              <w:top w:val="single" w:sz="2" w:space="0" w:color="auto"/>
              <w:left w:val="nil"/>
              <w:bottom w:val="single" w:sz="4" w:space="0" w:color="auto"/>
              <w:right w:val="nil"/>
            </w:tcBorders>
            <w:vAlign w:val="center"/>
          </w:tcPr>
          <w:p w:rsidR="00942001" w:rsidRPr="001A0239" w:rsidRDefault="00942001" w:rsidP="001A0239">
            <w:pPr>
              <w:spacing w:after="0"/>
              <w:ind w:firstLine="0"/>
              <w:jc w:val="right"/>
              <w:rPr>
                <w:rFonts w:ascii="Arial Narrow" w:hAnsi="Arial Narrow" w:cs="Arial"/>
                <w:lang w:val="es-ES" w:eastAsia="es-ES"/>
              </w:rPr>
            </w:pPr>
            <w:r w:rsidRPr="001A0239">
              <w:rPr>
                <w:rFonts w:ascii="Arial Narrow" w:hAnsi="Arial Narrow" w:cs="Arial"/>
                <w:lang w:val="es-ES" w:eastAsia="es-ES"/>
              </w:rPr>
              <w:t>6</w:t>
            </w:r>
          </w:p>
        </w:tc>
        <w:tc>
          <w:tcPr>
            <w:tcW w:w="1042" w:type="dxa"/>
            <w:tcBorders>
              <w:top w:val="single" w:sz="2" w:space="0" w:color="auto"/>
              <w:left w:val="nil"/>
              <w:bottom w:val="single" w:sz="4" w:space="0" w:color="auto"/>
              <w:right w:val="nil"/>
            </w:tcBorders>
            <w:vAlign w:val="center"/>
          </w:tcPr>
          <w:p w:rsidR="00942001" w:rsidRPr="001A0239" w:rsidRDefault="00942001" w:rsidP="001A0239">
            <w:pPr>
              <w:spacing w:after="0"/>
              <w:ind w:firstLine="0"/>
              <w:jc w:val="right"/>
              <w:rPr>
                <w:rFonts w:ascii="Arial Narrow" w:hAnsi="Arial Narrow" w:cs="Arial"/>
                <w:lang w:val="es-ES" w:eastAsia="es-ES"/>
              </w:rPr>
            </w:pPr>
            <w:r w:rsidRPr="001A0239">
              <w:rPr>
                <w:rFonts w:ascii="Arial Narrow" w:hAnsi="Arial Narrow" w:cs="Arial"/>
                <w:lang w:val="es-ES" w:eastAsia="es-ES"/>
              </w:rPr>
              <w:t>9</w:t>
            </w:r>
          </w:p>
        </w:tc>
        <w:tc>
          <w:tcPr>
            <w:tcW w:w="1042" w:type="dxa"/>
            <w:tcBorders>
              <w:top w:val="single" w:sz="2" w:space="0" w:color="auto"/>
              <w:left w:val="nil"/>
              <w:bottom w:val="single" w:sz="4" w:space="0" w:color="auto"/>
              <w:right w:val="nil"/>
            </w:tcBorders>
            <w:noWrap/>
            <w:vAlign w:val="center"/>
          </w:tcPr>
          <w:p w:rsidR="00942001" w:rsidRPr="001A0239" w:rsidRDefault="00942001" w:rsidP="001A0239">
            <w:pPr>
              <w:spacing w:after="0"/>
              <w:ind w:firstLine="0"/>
              <w:jc w:val="right"/>
              <w:rPr>
                <w:rFonts w:ascii="Arial Narrow" w:hAnsi="Arial Narrow" w:cs="Arial"/>
                <w:lang w:val="es-ES" w:eastAsia="es-ES"/>
              </w:rPr>
            </w:pPr>
            <w:r w:rsidRPr="001A0239">
              <w:rPr>
                <w:rFonts w:ascii="Arial Narrow" w:hAnsi="Arial Narrow" w:cs="Arial"/>
                <w:lang w:val="es-ES" w:eastAsia="es-ES"/>
              </w:rPr>
              <w:t>12</w:t>
            </w:r>
          </w:p>
        </w:tc>
        <w:tc>
          <w:tcPr>
            <w:tcW w:w="1080" w:type="dxa"/>
            <w:tcBorders>
              <w:top w:val="single" w:sz="2" w:space="0" w:color="auto"/>
              <w:left w:val="nil"/>
              <w:bottom w:val="single" w:sz="4" w:space="0" w:color="auto"/>
              <w:right w:val="nil"/>
            </w:tcBorders>
            <w:noWrap/>
            <w:vAlign w:val="center"/>
          </w:tcPr>
          <w:p w:rsidR="00942001" w:rsidRPr="001A0239" w:rsidRDefault="00942001" w:rsidP="001A0239">
            <w:pPr>
              <w:spacing w:after="0"/>
              <w:ind w:firstLine="0"/>
              <w:jc w:val="right"/>
              <w:rPr>
                <w:rFonts w:ascii="Arial Narrow" w:hAnsi="Arial Narrow" w:cs="Arial"/>
                <w:lang w:val="es-ES" w:eastAsia="es-ES"/>
              </w:rPr>
            </w:pPr>
            <w:r w:rsidRPr="001A0239">
              <w:rPr>
                <w:rFonts w:ascii="Arial Narrow" w:hAnsi="Arial Narrow" w:cs="Arial"/>
                <w:lang w:val="es-ES" w:eastAsia="es-ES"/>
              </w:rPr>
              <w:t>13</w:t>
            </w:r>
          </w:p>
        </w:tc>
      </w:tr>
    </w:tbl>
    <w:p w:rsidR="00942001" w:rsidRDefault="00942001" w:rsidP="001A0239">
      <w:pPr>
        <w:pStyle w:val="texto"/>
        <w:spacing w:before="200"/>
        <w:rPr>
          <w:rFonts w:cs="Arial"/>
        </w:rPr>
      </w:pPr>
      <w:r w:rsidRPr="0065254B">
        <w:rPr>
          <w:rFonts w:cs="Arial"/>
        </w:rPr>
        <w:t>Es decir, la carga financiera se ha incrementado en el periodo analizado en un 179 por ciento</w:t>
      </w:r>
      <w:r w:rsidR="007D6A48">
        <w:rPr>
          <w:rFonts w:cs="Arial"/>
        </w:rPr>
        <w:t>, si bien se observa cierta estabilización en 2015 sobre 2014</w:t>
      </w:r>
      <w:r w:rsidRPr="0065254B">
        <w:rPr>
          <w:rFonts w:cs="Arial"/>
        </w:rPr>
        <w:t xml:space="preserve">. </w:t>
      </w:r>
      <w:r w:rsidR="005A1E86">
        <w:rPr>
          <w:rFonts w:cs="Arial"/>
        </w:rPr>
        <w:t>Así mismo</w:t>
      </w:r>
      <w:r w:rsidRPr="0065254B">
        <w:rPr>
          <w:rFonts w:cs="Arial"/>
        </w:rPr>
        <w:t>, su importancia sobre los ingresos corrientes es creciente, alcanza</w:t>
      </w:r>
      <w:r w:rsidRPr="0065254B">
        <w:rPr>
          <w:rFonts w:cs="Arial"/>
        </w:rPr>
        <w:t>n</w:t>
      </w:r>
      <w:r w:rsidRPr="0065254B">
        <w:rPr>
          <w:rFonts w:cs="Arial"/>
        </w:rPr>
        <w:t>do en 2015, el 13 por ciento de los mismos.</w:t>
      </w:r>
    </w:p>
    <w:p w:rsidR="000B55D6" w:rsidRPr="00F35AED" w:rsidRDefault="000B55D6" w:rsidP="00942001">
      <w:pPr>
        <w:pStyle w:val="texto"/>
        <w:rPr>
          <w:rFonts w:cs="Arial"/>
        </w:rPr>
      </w:pPr>
      <w:r w:rsidRPr="00F35AED">
        <w:rPr>
          <w:rFonts w:cs="Arial"/>
        </w:rPr>
        <w:t>Por otra parte</w:t>
      </w:r>
      <w:r w:rsidR="00D845E2" w:rsidRPr="00F35AED">
        <w:rPr>
          <w:rFonts w:cs="Arial"/>
        </w:rPr>
        <w:t>, de acuerdo con los gastos comprometidos para ejercicios fut</w:t>
      </w:r>
      <w:r w:rsidR="00D845E2" w:rsidRPr="00F35AED">
        <w:rPr>
          <w:rFonts w:cs="Arial"/>
        </w:rPr>
        <w:t>u</w:t>
      </w:r>
      <w:r w:rsidR="00D845E2" w:rsidRPr="00F35AED">
        <w:rPr>
          <w:rFonts w:cs="Arial"/>
        </w:rPr>
        <w:t xml:space="preserve">ros, la carga financiera del endeudamiento representa un importe de </w:t>
      </w:r>
      <w:r w:rsidR="0074261A" w:rsidRPr="00F35AED">
        <w:rPr>
          <w:rFonts w:cs="Arial"/>
        </w:rPr>
        <w:t>3.330</w:t>
      </w:r>
      <w:r w:rsidR="00D845E2" w:rsidRPr="00F35AED">
        <w:rPr>
          <w:rFonts w:cs="Arial"/>
        </w:rPr>
        <w:t xml:space="preserve"> m</w:t>
      </w:r>
      <w:r w:rsidR="00D845E2" w:rsidRPr="00F35AED">
        <w:rPr>
          <w:rFonts w:cs="Arial"/>
        </w:rPr>
        <w:t>i</w:t>
      </w:r>
      <w:r w:rsidR="00D845E2" w:rsidRPr="00F35AED">
        <w:rPr>
          <w:rFonts w:cs="Arial"/>
        </w:rPr>
        <w:t>llones.</w:t>
      </w:r>
    </w:p>
    <w:p w:rsidR="00942001" w:rsidRDefault="00942001" w:rsidP="00F33DBB">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120"/>
        <w:ind w:left="0" w:firstLine="289"/>
        <w:rPr>
          <w:rFonts w:ascii="Times New (W1)" w:hAnsi="Times New (W1)" w:cs="Arial"/>
        </w:rPr>
      </w:pPr>
      <w:r w:rsidRPr="00F35AED">
        <w:rPr>
          <w:rFonts w:ascii="Times New (W1)" w:hAnsi="Times New (W1)" w:cs="Arial"/>
        </w:rPr>
        <w:t>En el cuadro siguiente se indican las previsiones de amortización del co</w:t>
      </w:r>
      <w:r w:rsidRPr="00F35AED">
        <w:rPr>
          <w:rFonts w:ascii="Times New (W1)" w:hAnsi="Times New (W1)" w:cs="Arial"/>
        </w:rPr>
        <w:t>n</w:t>
      </w:r>
      <w:r w:rsidRPr="00F35AED">
        <w:rPr>
          <w:rFonts w:ascii="Times New (W1)" w:hAnsi="Times New (W1)" w:cs="Arial"/>
        </w:rPr>
        <w:t>junto de la deuda del Gobierno en los próximos ejercicios, en miles de euros.</w:t>
      </w:r>
    </w:p>
    <w:p w:rsidR="00F33DBB" w:rsidRPr="00846EDC" w:rsidRDefault="001E7B19" w:rsidP="00F33DBB">
      <w:pPr>
        <w:pStyle w:val="recomen"/>
        <w:numPr>
          <w:ilvl w:val="0"/>
          <w:numId w:val="0"/>
        </w:numPr>
        <w:spacing w:after="40"/>
        <w:ind w:left="1588"/>
        <w:jc w:val="right"/>
        <w:rPr>
          <w:rFonts w:ascii="Arial Narrow" w:hAnsi="Arial Narrow"/>
          <w:i w:val="0"/>
          <w:sz w:val="18"/>
          <w:szCs w:val="18"/>
        </w:rPr>
      </w:pPr>
      <w:r>
        <w:rPr>
          <w:rFonts w:ascii="Arial Narrow" w:hAnsi="Arial Narrow"/>
          <w:i w:val="0"/>
          <w:sz w:val="18"/>
          <w:szCs w:val="18"/>
        </w:rPr>
        <w:t>M</w:t>
      </w:r>
      <w:r w:rsidR="00F33DBB" w:rsidRPr="00846EDC">
        <w:rPr>
          <w:rFonts w:ascii="Arial Narrow" w:hAnsi="Arial Narrow"/>
          <w:i w:val="0"/>
          <w:sz w:val="18"/>
          <w:szCs w:val="18"/>
        </w:rPr>
        <w:t>iles de euros</w:t>
      </w:r>
    </w:p>
    <w:tbl>
      <w:tblPr>
        <w:tblW w:w="8910" w:type="dxa"/>
        <w:jc w:val="center"/>
        <w:tblBorders>
          <w:top w:val="single" w:sz="2" w:space="0" w:color="auto"/>
          <w:bottom w:val="single" w:sz="2" w:space="0" w:color="auto"/>
          <w:insideH w:val="single" w:sz="2" w:space="0" w:color="auto"/>
        </w:tblBorders>
        <w:tblCellMar>
          <w:left w:w="70" w:type="dxa"/>
          <w:right w:w="70" w:type="dxa"/>
        </w:tblCellMar>
        <w:tblLook w:val="0000" w:firstRow="0" w:lastRow="0" w:firstColumn="0" w:lastColumn="0" w:noHBand="0" w:noVBand="0"/>
      </w:tblPr>
      <w:tblGrid>
        <w:gridCol w:w="1570"/>
        <w:gridCol w:w="3771"/>
        <w:gridCol w:w="1307"/>
        <w:gridCol w:w="2262"/>
      </w:tblGrid>
      <w:tr w:rsidR="00942001" w:rsidRPr="00D3284D" w:rsidTr="00F33DBB">
        <w:trPr>
          <w:trHeight w:val="284"/>
          <w:jc w:val="center"/>
        </w:trPr>
        <w:tc>
          <w:tcPr>
            <w:tcW w:w="1570" w:type="dxa"/>
            <w:tcBorders>
              <w:top w:val="single" w:sz="4" w:space="0" w:color="auto"/>
              <w:bottom w:val="single" w:sz="4" w:space="0" w:color="auto"/>
            </w:tcBorders>
            <w:shd w:val="clear" w:color="auto" w:fill="A8CBEE" w:themeFill="accent2" w:themeFillTint="66"/>
            <w:noWrap/>
            <w:vAlign w:val="center"/>
          </w:tcPr>
          <w:p w:rsidR="00942001" w:rsidRPr="00D3284D" w:rsidRDefault="00942001" w:rsidP="00A20D5E">
            <w:pPr>
              <w:pStyle w:val="cuadroCabe"/>
              <w:jc w:val="left"/>
              <w:rPr>
                <w:rFonts w:cs="Arial"/>
              </w:rPr>
            </w:pPr>
            <w:r w:rsidRPr="00D3284D">
              <w:rPr>
                <w:rFonts w:cs="Arial"/>
              </w:rPr>
              <w:t>Ejercicio</w:t>
            </w:r>
          </w:p>
        </w:tc>
        <w:tc>
          <w:tcPr>
            <w:tcW w:w="3771" w:type="dxa"/>
            <w:tcBorders>
              <w:top w:val="single" w:sz="4" w:space="0" w:color="auto"/>
              <w:bottom w:val="single" w:sz="4" w:space="0" w:color="auto"/>
            </w:tcBorders>
            <w:shd w:val="clear" w:color="auto" w:fill="A8CBEE" w:themeFill="accent2" w:themeFillTint="66"/>
            <w:noWrap/>
            <w:vAlign w:val="center"/>
          </w:tcPr>
          <w:p w:rsidR="00942001" w:rsidRPr="00D3284D" w:rsidRDefault="00942001" w:rsidP="00A20D5E">
            <w:pPr>
              <w:pStyle w:val="cuadroCabe"/>
              <w:jc w:val="right"/>
              <w:rPr>
                <w:rFonts w:cs="Arial"/>
              </w:rPr>
            </w:pPr>
            <w:r w:rsidRPr="00D3284D">
              <w:rPr>
                <w:rFonts w:cs="Arial"/>
              </w:rPr>
              <w:t>Importe total a amortizar</w:t>
            </w:r>
          </w:p>
        </w:tc>
        <w:tc>
          <w:tcPr>
            <w:tcW w:w="1307" w:type="dxa"/>
            <w:tcBorders>
              <w:top w:val="single" w:sz="4" w:space="0" w:color="auto"/>
              <w:bottom w:val="single" w:sz="4" w:space="0" w:color="auto"/>
            </w:tcBorders>
            <w:shd w:val="clear" w:color="auto" w:fill="A8CBEE" w:themeFill="accent2" w:themeFillTint="66"/>
            <w:noWrap/>
            <w:vAlign w:val="center"/>
          </w:tcPr>
          <w:p w:rsidR="00942001" w:rsidRPr="00D3284D" w:rsidRDefault="00942001" w:rsidP="00A20D5E">
            <w:pPr>
              <w:pStyle w:val="cuadroCabe"/>
              <w:jc w:val="right"/>
              <w:rPr>
                <w:rFonts w:cs="Arial"/>
              </w:rPr>
            </w:pPr>
            <w:r w:rsidRPr="00D3284D">
              <w:rPr>
                <w:rFonts w:cs="Arial"/>
              </w:rPr>
              <w:t>Porcentaje</w:t>
            </w:r>
          </w:p>
        </w:tc>
        <w:tc>
          <w:tcPr>
            <w:tcW w:w="2262" w:type="dxa"/>
            <w:tcBorders>
              <w:top w:val="single" w:sz="4" w:space="0" w:color="auto"/>
              <w:bottom w:val="single" w:sz="4" w:space="0" w:color="auto"/>
            </w:tcBorders>
            <w:shd w:val="clear" w:color="auto" w:fill="A8CBEE" w:themeFill="accent2" w:themeFillTint="66"/>
            <w:noWrap/>
            <w:vAlign w:val="center"/>
          </w:tcPr>
          <w:p w:rsidR="00942001" w:rsidRPr="00D3284D" w:rsidRDefault="00942001" w:rsidP="00A20D5E">
            <w:pPr>
              <w:pStyle w:val="cuadroCabe"/>
              <w:jc w:val="right"/>
              <w:rPr>
                <w:rFonts w:cs="Arial"/>
              </w:rPr>
            </w:pPr>
            <w:r w:rsidRPr="00D3284D">
              <w:rPr>
                <w:rFonts w:cs="Arial"/>
              </w:rPr>
              <w:t>Porcentaje acumulado</w:t>
            </w:r>
          </w:p>
        </w:tc>
      </w:tr>
      <w:tr w:rsidR="00942001" w:rsidRPr="00AF3F29" w:rsidTr="00F33DBB">
        <w:trPr>
          <w:trHeight w:val="284"/>
          <w:jc w:val="center"/>
        </w:trPr>
        <w:tc>
          <w:tcPr>
            <w:tcW w:w="1570" w:type="dxa"/>
            <w:noWrap/>
            <w:vAlign w:val="center"/>
          </w:tcPr>
          <w:p w:rsidR="00942001" w:rsidRPr="00D3284D" w:rsidRDefault="00942001" w:rsidP="00324440">
            <w:pPr>
              <w:spacing w:after="0"/>
              <w:ind w:firstLine="0"/>
              <w:jc w:val="left"/>
              <w:rPr>
                <w:rFonts w:ascii="Arial Narrow" w:hAnsi="Arial Narrow" w:cs="Arial"/>
                <w:sz w:val="18"/>
                <w:szCs w:val="18"/>
                <w:lang w:val="es-ES" w:eastAsia="es-ES"/>
              </w:rPr>
            </w:pPr>
            <w:r w:rsidRPr="00D3284D">
              <w:rPr>
                <w:rFonts w:ascii="Arial Narrow" w:hAnsi="Arial Narrow" w:cs="Arial"/>
                <w:sz w:val="18"/>
                <w:szCs w:val="18"/>
                <w:lang w:val="es-ES" w:eastAsia="es-ES"/>
              </w:rPr>
              <w:t>2016</w:t>
            </w:r>
          </w:p>
        </w:tc>
        <w:tc>
          <w:tcPr>
            <w:tcW w:w="3771" w:type="dxa"/>
            <w:noWrap/>
            <w:vAlign w:val="center"/>
          </w:tcPr>
          <w:p w:rsidR="00942001" w:rsidRPr="00D3284D" w:rsidRDefault="00942001" w:rsidP="00324440">
            <w:pPr>
              <w:spacing w:after="0"/>
              <w:ind w:firstLine="0"/>
              <w:jc w:val="right"/>
              <w:rPr>
                <w:rFonts w:ascii="Arial Narrow" w:hAnsi="Arial Narrow" w:cs="Arial"/>
                <w:sz w:val="18"/>
                <w:szCs w:val="18"/>
                <w:lang w:val="es-ES" w:eastAsia="es-ES"/>
              </w:rPr>
            </w:pPr>
            <w:r w:rsidRPr="00D3284D">
              <w:rPr>
                <w:rFonts w:ascii="Arial Narrow" w:hAnsi="Arial Narrow" w:cs="Arial"/>
                <w:sz w:val="18"/>
                <w:szCs w:val="18"/>
                <w:lang w:val="es-ES" w:eastAsia="es-ES"/>
              </w:rPr>
              <w:t>330.267</w:t>
            </w:r>
          </w:p>
        </w:tc>
        <w:tc>
          <w:tcPr>
            <w:tcW w:w="1307" w:type="dxa"/>
            <w:noWrap/>
            <w:vAlign w:val="center"/>
          </w:tcPr>
          <w:p w:rsidR="00942001" w:rsidRPr="00D3284D" w:rsidRDefault="00942001" w:rsidP="00324440">
            <w:pPr>
              <w:spacing w:after="0"/>
              <w:ind w:firstLine="0"/>
              <w:jc w:val="right"/>
              <w:rPr>
                <w:rFonts w:ascii="Arial Narrow" w:hAnsi="Arial Narrow" w:cs="Arial"/>
                <w:sz w:val="18"/>
                <w:szCs w:val="18"/>
                <w:lang w:val="es-ES" w:eastAsia="es-ES"/>
              </w:rPr>
            </w:pPr>
            <w:r w:rsidRPr="00D3284D">
              <w:rPr>
                <w:rFonts w:ascii="Arial Narrow" w:hAnsi="Arial Narrow" w:cs="Arial"/>
                <w:sz w:val="18"/>
                <w:szCs w:val="18"/>
                <w:lang w:val="es-ES" w:eastAsia="es-ES"/>
              </w:rPr>
              <w:t>11,64</w:t>
            </w:r>
          </w:p>
        </w:tc>
        <w:tc>
          <w:tcPr>
            <w:tcW w:w="2262" w:type="dxa"/>
            <w:noWrap/>
            <w:vAlign w:val="center"/>
          </w:tcPr>
          <w:p w:rsidR="00942001" w:rsidRPr="00D3284D" w:rsidRDefault="00942001" w:rsidP="00324440">
            <w:pPr>
              <w:spacing w:after="0"/>
              <w:ind w:firstLine="0"/>
              <w:jc w:val="right"/>
              <w:rPr>
                <w:rFonts w:ascii="Arial Narrow" w:hAnsi="Arial Narrow" w:cs="Arial"/>
                <w:sz w:val="18"/>
                <w:szCs w:val="18"/>
                <w:lang w:val="es-ES" w:eastAsia="es-ES"/>
              </w:rPr>
            </w:pPr>
            <w:r w:rsidRPr="00D3284D">
              <w:rPr>
                <w:rFonts w:ascii="Arial Narrow" w:hAnsi="Arial Narrow" w:cs="Arial"/>
                <w:sz w:val="18"/>
                <w:szCs w:val="18"/>
                <w:lang w:val="es-ES" w:eastAsia="es-ES"/>
              </w:rPr>
              <w:t>11,6</w:t>
            </w:r>
            <w:r w:rsidR="00D52132">
              <w:rPr>
                <w:rFonts w:ascii="Arial Narrow" w:hAnsi="Arial Narrow" w:cs="Arial"/>
                <w:sz w:val="18"/>
                <w:szCs w:val="18"/>
                <w:lang w:val="es-ES" w:eastAsia="es-ES"/>
              </w:rPr>
              <w:t>4</w:t>
            </w:r>
          </w:p>
        </w:tc>
      </w:tr>
      <w:tr w:rsidR="00942001" w:rsidRPr="00AF3F29" w:rsidTr="00F33DBB">
        <w:trPr>
          <w:trHeight w:val="284"/>
          <w:jc w:val="center"/>
        </w:trPr>
        <w:tc>
          <w:tcPr>
            <w:tcW w:w="1570" w:type="dxa"/>
            <w:noWrap/>
            <w:vAlign w:val="center"/>
          </w:tcPr>
          <w:p w:rsidR="00942001" w:rsidRPr="00D3284D" w:rsidRDefault="00942001" w:rsidP="00324440">
            <w:pPr>
              <w:spacing w:after="0"/>
              <w:ind w:firstLine="0"/>
              <w:jc w:val="left"/>
              <w:rPr>
                <w:rFonts w:ascii="Arial Narrow" w:hAnsi="Arial Narrow" w:cs="Arial"/>
                <w:sz w:val="18"/>
                <w:szCs w:val="18"/>
                <w:lang w:val="es-ES" w:eastAsia="es-ES"/>
              </w:rPr>
            </w:pPr>
            <w:r w:rsidRPr="00D3284D">
              <w:rPr>
                <w:rFonts w:ascii="Arial Narrow" w:hAnsi="Arial Narrow" w:cs="Arial"/>
                <w:sz w:val="18"/>
                <w:szCs w:val="18"/>
                <w:lang w:val="es-ES" w:eastAsia="es-ES"/>
              </w:rPr>
              <w:t>2017</w:t>
            </w:r>
          </w:p>
        </w:tc>
        <w:tc>
          <w:tcPr>
            <w:tcW w:w="3771" w:type="dxa"/>
            <w:noWrap/>
            <w:vAlign w:val="center"/>
          </w:tcPr>
          <w:p w:rsidR="00942001" w:rsidRPr="00D3284D" w:rsidRDefault="00942001" w:rsidP="00324440">
            <w:pPr>
              <w:spacing w:after="0"/>
              <w:ind w:firstLine="0"/>
              <w:jc w:val="right"/>
              <w:rPr>
                <w:rFonts w:ascii="Arial Narrow" w:hAnsi="Arial Narrow" w:cs="Arial"/>
                <w:sz w:val="18"/>
                <w:szCs w:val="18"/>
                <w:lang w:val="es-ES" w:eastAsia="es-ES"/>
              </w:rPr>
            </w:pPr>
            <w:r w:rsidRPr="00D3284D">
              <w:rPr>
                <w:rFonts w:ascii="Arial Narrow" w:hAnsi="Arial Narrow" w:cs="Arial"/>
                <w:sz w:val="18"/>
                <w:szCs w:val="18"/>
                <w:lang w:val="es-ES" w:eastAsia="es-ES"/>
              </w:rPr>
              <w:t>292.382</w:t>
            </w:r>
          </w:p>
        </w:tc>
        <w:tc>
          <w:tcPr>
            <w:tcW w:w="1307" w:type="dxa"/>
            <w:noWrap/>
            <w:vAlign w:val="center"/>
          </w:tcPr>
          <w:p w:rsidR="00942001" w:rsidRPr="00D3284D" w:rsidRDefault="00942001" w:rsidP="00324440">
            <w:pPr>
              <w:spacing w:after="0"/>
              <w:ind w:firstLine="0"/>
              <w:jc w:val="right"/>
              <w:rPr>
                <w:rFonts w:ascii="Arial Narrow" w:hAnsi="Arial Narrow" w:cs="Arial"/>
                <w:sz w:val="18"/>
                <w:szCs w:val="18"/>
                <w:lang w:val="es-ES" w:eastAsia="es-ES"/>
              </w:rPr>
            </w:pPr>
            <w:r w:rsidRPr="00D3284D">
              <w:rPr>
                <w:rFonts w:ascii="Arial Narrow" w:hAnsi="Arial Narrow" w:cs="Arial"/>
                <w:sz w:val="18"/>
                <w:szCs w:val="18"/>
                <w:lang w:val="es-ES" w:eastAsia="es-ES"/>
              </w:rPr>
              <w:t>10,30</w:t>
            </w:r>
          </w:p>
        </w:tc>
        <w:tc>
          <w:tcPr>
            <w:tcW w:w="2262" w:type="dxa"/>
            <w:noWrap/>
            <w:vAlign w:val="center"/>
          </w:tcPr>
          <w:p w:rsidR="00942001" w:rsidRPr="00D3284D" w:rsidRDefault="00942001" w:rsidP="00324440">
            <w:pPr>
              <w:spacing w:after="0"/>
              <w:ind w:firstLine="0"/>
              <w:jc w:val="right"/>
              <w:rPr>
                <w:rFonts w:ascii="Arial Narrow" w:hAnsi="Arial Narrow" w:cs="Arial"/>
                <w:sz w:val="18"/>
                <w:szCs w:val="18"/>
                <w:lang w:val="es-ES" w:eastAsia="es-ES"/>
              </w:rPr>
            </w:pPr>
            <w:r w:rsidRPr="00D3284D">
              <w:rPr>
                <w:rFonts w:ascii="Arial Narrow" w:hAnsi="Arial Narrow" w:cs="Arial"/>
                <w:sz w:val="18"/>
                <w:szCs w:val="18"/>
                <w:lang w:val="es-ES" w:eastAsia="es-ES"/>
              </w:rPr>
              <w:t>21,9</w:t>
            </w:r>
            <w:r w:rsidR="00D52132">
              <w:rPr>
                <w:rFonts w:ascii="Arial Narrow" w:hAnsi="Arial Narrow" w:cs="Arial"/>
                <w:sz w:val="18"/>
                <w:szCs w:val="18"/>
                <w:lang w:val="es-ES" w:eastAsia="es-ES"/>
              </w:rPr>
              <w:t>4</w:t>
            </w:r>
          </w:p>
        </w:tc>
      </w:tr>
      <w:tr w:rsidR="00942001" w:rsidRPr="00AF3F29" w:rsidTr="00F33DBB">
        <w:trPr>
          <w:trHeight w:val="284"/>
          <w:jc w:val="center"/>
        </w:trPr>
        <w:tc>
          <w:tcPr>
            <w:tcW w:w="1570" w:type="dxa"/>
            <w:noWrap/>
            <w:vAlign w:val="center"/>
          </w:tcPr>
          <w:p w:rsidR="00942001" w:rsidRPr="00D3284D" w:rsidRDefault="00942001" w:rsidP="00324440">
            <w:pPr>
              <w:spacing w:after="0"/>
              <w:ind w:firstLine="0"/>
              <w:jc w:val="left"/>
              <w:rPr>
                <w:rFonts w:ascii="Arial Narrow" w:hAnsi="Arial Narrow" w:cs="Arial"/>
                <w:sz w:val="18"/>
                <w:szCs w:val="18"/>
                <w:lang w:val="es-ES" w:eastAsia="es-ES"/>
              </w:rPr>
            </w:pPr>
            <w:r w:rsidRPr="00D3284D">
              <w:rPr>
                <w:rFonts w:ascii="Arial Narrow" w:hAnsi="Arial Narrow" w:cs="Arial"/>
                <w:sz w:val="18"/>
                <w:szCs w:val="18"/>
                <w:lang w:val="es-ES" w:eastAsia="es-ES"/>
              </w:rPr>
              <w:t>2018</w:t>
            </w:r>
          </w:p>
        </w:tc>
        <w:tc>
          <w:tcPr>
            <w:tcW w:w="3771" w:type="dxa"/>
            <w:noWrap/>
            <w:vAlign w:val="center"/>
          </w:tcPr>
          <w:p w:rsidR="00942001" w:rsidRPr="00D3284D" w:rsidRDefault="00942001" w:rsidP="00324440">
            <w:pPr>
              <w:spacing w:after="0"/>
              <w:ind w:firstLine="0"/>
              <w:jc w:val="right"/>
              <w:rPr>
                <w:rFonts w:ascii="Arial Narrow" w:hAnsi="Arial Narrow" w:cs="Arial"/>
                <w:sz w:val="18"/>
                <w:szCs w:val="18"/>
                <w:lang w:val="es-ES" w:eastAsia="es-ES"/>
              </w:rPr>
            </w:pPr>
            <w:r w:rsidRPr="00D3284D">
              <w:rPr>
                <w:rFonts w:ascii="Arial Narrow" w:hAnsi="Arial Narrow" w:cs="Arial"/>
                <w:sz w:val="18"/>
                <w:szCs w:val="18"/>
                <w:lang w:val="es-ES" w:eastAsia="es-ES"/>
              </w:rPr>
              <w:t>240.617</w:t>
            </w:r>
          </w:p>
        </w:tc>
        <w:tc>
          <w:tcPr>
            <w:tcW w:w="1307" w:type="dxa"/>
            <w:noWrap/>
            <w:vAlign w:val="center"/>
          </w:tcPr>
          <w:p w:rsidR="00942001" w:rsidRPr="00D3284D" w:rsidRDefault="00942001" w:rsidP="00324440">
            <w:pPr>
              <w:spacing w:after="0"/>
              <w:ind w:firstLine="0"/>
              <w:jc w:val="right"/>
              <w:rPr>
                <w:rFonts w:ascii="Arial Narrow" w:hAnsi="Arial Narrow" w:cs="Arial"/>
                <w:sz w:val="18"/>
                <w:szCs w:val="18"/>
                <w:lang w:val="es-ES" w:eastAsia="es-ES"/>
              </w:rPr>
            </w:pPr>
            <w:r w:rsidRPr="00D3284D">
              <w:rPr>
                <w:rFonts w:ascii="Arial Narrow" w:hAnsi="Arial Narrow" w:cs="Arial"/>
                <w:sz w:val="18"/>
                <w:szCs w:val="18"/>
                <w:lang w:val="es-ES" w:eastAsia="es-ES"/>
              </w:rPr>
              <w:t>8,48</w:t>
            </w:r>
          </w:p>
        </w:tc>
        <w:tc>
          <w:tcPr>
            <w:tcW w:w="2262" w:type="dxa"/>
            <w:noWrap/>
            <w:vAlign w:val="center"/>
          </w:tcPr>
          <w:p w:rsidR="00942001" w:rsidRPr="00D3284D" w:rsidRDefault="00942001" w:rsidP="00324440">
            <w:pPr>
              <w:spacing w:after="0"/>
              <w:ind w:firstLine="0"/>
              <w:jc w:val="right"/>
              <w:rPr>
                <w:rFonts w:ascii="Arial Narrow" w:hAnsi="Arial Narrow" w:cs="Arial"/>
                <w:sz w:val="18"/>
                <w:szCs w:val="18"/>
                <w:lang w:val="es-ES" w:eastAsia="es-ES"/>
              </w:rPr>
            </w:pPr>
            <w:r w:rsidRPr="00D3284D">
              <w:rPr>
                <w:rFonts w:ascii="Arial Narrow" w:hAnsi="Arial Narrow" w:cs="Arial"/>
                <w:sz w:val="18"/>
                <w:szCs w:val="18"/>
                <w:lang w:val="es-ES" w:eastAsia="es-ES"/>
              </w:rPr>
              <w:t>30,4</w:t>
            </w:r>
            <w:r w:rsidR="003A2F01">
              <w:rPr>
                <w:rFonts w:ascii="Arial Narrow" w:hAnsi="Arial Narrow" w:cs="Arial"/>
                <w:sz w:val="18"/>
                <w:szCs w:val="18"/>
                <w:lang w:val="es-ES" w:eastAsia="es-ES"/>
              </w:rPr>
              <w:t>2</w:t>
            </w:r>
          </w:p>
        </w:tc>
      </w:tr>
      <w:tr w:rsidR="00942001" w:rsidRPr="00AF3F29" w:rsidTr="00F33DBB">
        <w:trPr>
          <w:trHeight w:val="284"/>
          <w:jc w:val="center"/>
        </w:trPr>
        <w:tc>
          <w:tcPr>
            <w:tcW w:w="1570" w:type="dxa"/>
            <w:noWrap/>
            <w:vAlign w:val="center"/>
          </w:tcPr>
          <w:p w:rsidR="00942001" w:rsidRPr="00D3284D" w:rsidRDefault="00942001" w:rsidP="00324440">
            <w:pPr>
              <w:spacing w:after="0"/>
              <w:ind w:firstLine="0"/>
              <w:jc w:val="left"/>
              <w:rPr>
                <w:rFonts w:ascii="Arial Narrow" w:hAnsi="Arial Narrow" w:cs="Arial"/>
                <w:sz w:val="18"/>
                <w:szCs w:val="18"/>
                <w:lang w:val="es-ES" w:eastAsia="es-ES"/>
              </w:rPr>
            </w:pPr>
            <w:r w:rsidRPr="00D3284D">
              <w:rPr>
                <w:rFonts w:ascii="Arial Narrow" w:hAnsi="Arial Narrow" w:cs="Arial"/>
                <w:sz w:val="18"/>
                <w:szCs w:val="18"/>
                <w:lang w:val="es-ES" w:eastAsia="es-ES"/>
              </w:rPr>
              <w:t>2019</w:t>
            </w:r>
          </w:p>
        </w:tc>
        <w:tc>
          <w:tcPr>
            <w:tcW w:w="3771" w:type="dxa"/>
            <w:noWrap/>
            <w:vAlign w:val="center"/>
          </w:tcPr>
          <w:p w:rsidR="00942001" w:rsidRPr="00D3284D" w:rsidRDefault="00942001" w:rsidP="00324440">
            <w:pPr>
              <w:spacing w:after="0"/>
              <w:ind w:firstLine="0"/>
              <w:jc w:val="right"/>
              <w:rPr>
                <w:rFonts w:ascii="Arial Narrow" w:hAnsi="Arial Narrow" w:cs="Arial"/>
                <w:sz w:val="18"/>
                <w:szCs w:val="18"/>
                <w:lang w:val="es-ES" w:eastAsia="es-ES"/>
              </w:rPr>
            </w:pPr>
            <w:r w:rsidRPr="00D3284D">
              <w:rPr>
                <w:rFonts w:ascii="Arial Narrow" w:hAnsi="Arial Narrow" w:cs="Arial"/>
                <w:sz w:val="18"/>
                <w:szCs w:val="18"/>
                <w:lang w:val="es-ES" w:eastAsia="es-ES"/>
              </w:rPr>
              <w:t>340.599</w:t>
            </w:r>
          </w:p>
        </w:tc>
        <w:tc>
          <w:tcPr>
            <w:tcW w:w="1307" w:type="dxa"/>
            <w:noWrap/>
            <w:vAlign w:val="center"/>
          </w:tcPr>
          <w:p w:rsidR="00942001" w:rsidRPr="00D3284D" w:rsidRDefault="00942001" w:rsidP="00324440">
            <w:pPr>
              <w:spacing w:after="0"/>
              <w:ind w:firstLine="0"/>
              <w:jc w:val="right"/>
              <w:rPr>
                <w:rFonts w:ascii="Arial Narrow" w:hAnsi="Arial Narrow" w:cs="Arial"/>
                <w:sz w:val="18"/>
                <w:szCs w:val="18"/>
                <w:lang w:val="es-ES" w:eastAsia="es-ES"/>
              </w:rPr>
            </w:pPr>
            <w:r w:rsidRPr="00D3284D">
              <w:rPr>
                <w:rFonts w:ascii="Arial Narrow" w:hAnsi="Arial Narrow" w:cs="Arial"/>
                <w:sz w:val="18"/>
                <w:szCs w:val="18"/>
                <w:lang w:val="es-ES" w:eastAsia="es-ES"/>
              </w:rPr>
              <w:t>12,00</w:t>
            </w:r>
          </w:p>
        </w:tc>
        <w:tc>
          <w:tcPr>
            <w:tcW w:w="2262" w:type="dxa"/>
            <w:noWrap/>
            <w:vAlign w:val="center"/>
          </w:tcPr>
          <w:p w:rsidR="00942001" w:rsidRPr="00D3284D" w:rsidRDefault="00942001" w:rsidP="00324440">
            <w:pPr>
              <w:spacing w:after="0"/>
              <w:ind w:firstLine="0"/>
              <w:jc w:val="right"/>
              <w:rPr>
                <w:rFonts w:ascii="Arial Narrow" w:hAnsi="Arial Narrow" w:cs="Arial"/>
                <w:sz w:val="18"/>
                <w:szCs w:val="18"/>
                <w:lang w:val="es-ES" w:eastAsia="es-ES"/>
              </w:rPr>
            </w:pPr>
            <w:r w:rsidRPr="00D3284D">
              <w:rPr>
                <w:rFonts w:ascii="Arial Narrow" w:hAnsi="Arial Narrow" w:cs="Arial"/>
                <w:sz w:val="18"/>
                <w:szCs w:val="18"/>
                <w:lang w:val="es-ES" w:eastAsia="es-ES"/>
              </w:rPr>
              <w:t>42,4</w:t>
            </w:r>
            <w:r w:rsidR="003A2F01">
              <w:rPr>
                <w:rFonts w:ascii="Arial Narrow" w:hAnsi="Arial Narrow" w:cs="Arial"/>
                <w:sz w:val="18"/>
                <w:szCs w:val="18"/>
                <w:lang w:val="es-ES" w:eastAsia="es-ES"/>
              </w:rPr>
              <w:t>2</w:t>
            </w:r>
          </w:p>
        </w:tc>
      </w:tr>
      <w:tr w:rsidR="00942001" w:rsidRPr="00AF3F29" w:rsidTr="00F33DBB">
        <w:trPr>
          <w:trHeight w:val="284"/>
          <w:jc w:val="center"/>
        </w:trPr>
        <w:tc>
          <w:tcPr>
            <w:tcW w:w="1570" w:type="dxa"/>
            <w:noWrap/>
            <w:vAlign w:val="center"/>
          </w:tcPr>
          <w:p w:rsidR="00942001" w:rsidRPr="00D3284D" w:rsidRDefault="00942001" w:rsidP="00324440">
            <w:pPr>
              <w:spacing w:after="0"/>
              <w:ind w:firstLine="0"/>
              <w:jc w:val="left"/>
              <w:rPr>
                <w:rFonts w:ascii="Arial Narrow" w:hAnsi="Arial Narrow" w:cs="Arial"/>
                <w:sz w:val="18"/>
                <w:szCs w:val="18"/>
                <w:lang w:val="es-ES" w:eastAsia="es-ES"/>
              </w:rPr>
            </w:pPr>
            <w:r w:rsidRPr="00D3284D">
              <w:rPr>
                <w:rFonts w:ascii="Arial Narrow" w:hAnsi="Arial Narrow" w:cs="Arial"/>
                <w:sz w:val="18"/>
                <w:szCs w:val="18"/>
                <w:lang w:val="es-ES" w:eastAsia="es-ES"/>
              </w:rPr>
              <w:t>2020</w:t>
            </w:r>
          </w:p>
        </w:tc>
        <w:tc>
          <w:tcPr>
            <w:tcW w:w="3771" w:type="dxa"/>
            <w:noWrap/>
            <w:vAlign w:val="center"/>
          </w:tcPr>
          <w:p w:rsidR="00942001" w:rsidRPr="00D3284D" w:rsidRDefault="00942001" w:rsidP="00324440">
            <w:pPr>
              <w:spacing w:after="0"/>
              <w:ind w:firstLine="0"/>
              <w:jc w:val="right"/>
              <w:rPr>
                <w:rFonts w:ascii="Arial Narrow" w:hAnsi="Arial Narrow" w:cs="Arial"/>
                <w:sz w:val="18"/>
                <w:szCs w:val="18"/>
                <w:lang w:val="es-ES" w:eastAsia="es-ES"/>
              </w:rPr>
            </w:pPr>
            <w:r w:rsidRPr="00D3284D">
              <w:rPr>
                <w:rFonts w:ascii="Arial Narrow" w:hAnsi="Arial Narrow" w:cs="Arial"/>
                <w:sz w:val="18"/>
                <w:szCs w:val="18"/>
                <w:lang w:val="es-ES" w:eastAsia="es-ES"/>
              </w:rPr>
              <w:t>218.661</w:t>
            </w:r>
          </w:p>
        </w:tc>
        <w:tc>
          <w:tcPr>
            <w:tcW w:w="1307" w:type="dxa"/>
            <w:noWrap/>
            <w:vAlign w:val="center"/>
          </w:tcPr>
          <w:p w:rsidR="00942001" w:rsidRPr="00D3284D" w:rsidRDefault="00942001" w:rsidP="00324440">
            <w:pPr>
              <w:spacing w:after="0"/>
              <w:ind w:firstLine="0"/>
              <w:jc w:val="right"/>
              <w:rPr>
                <w:rFonts w:ascii="Arial Narrow" w:hAnsi="Arial Narrow" w:cs="Arial"/>
                <w:sz w:val="18"/>
                <w:szCs w:val="18"/>
                <w:lang w:val="es-ES" w:eastAsia="es-ES"/>
              </w:rPr>
            </w:pPr>
            <w:r w:rsidRPr="00D3284D">
              <w:rPr>
                <w:rFonts w:ascii="Arial Narrow" w:hAnsi="Arial Narrow" w:cs="Arial"/>
                <w:sz w:val="18"/>
                <w:szCs w:val="18"/>
                <w:lang w:val="es-ES" w:eastAsia="es-ES"/>
              </w:rPr>
              <w:t>7,70</w:t>
            </w:r>
          </w:p>
        </w:tc>
        <w:tc>
          <w:tcPr>
            <w:tcW w:w="2262" w:type="dxa"/>
            <w:noWrap/>
            <w:vAlign w:val="center"/>
          </w:tcPr>
          <w:p w:rsidR="00942001" w:rsidRPr="00D3284D" w:rsidRDefault="00942001" w:rsidP="00324440">
            <w:pPr>
              <w:spacing w:after="0"/>
              <w:ind w:firstLine="0"/>
              <w:jc w:val="right"/>
              <w:rPr>
                <w:rFonts w:ascii="Arial Narrow" w:hAnsi="Arial Narrow" w:cs="Arial"/>
                <w:sz w:val="18"/>
                <w:szCs w:val="18"/>
                <w:lang w:val="es-ES" w:eastAsia="es-ES"/>
              </w:rPr>
            </w:pPr>
            <w:r w:rsidRPr="00D3284D">
              <w:rPr>
                <w:rFonts w:ascii="Arial Narrow" w:hAnsi="Arial Narrow" w:cs="Arial"/>
                <w:sz w:val="18"/>
                <w:szCs w:val="18"/>
                <w:lang w:val="es-ES" w:eastAsia="es-ES"/>
              </w:rPr>
              <w:t>50,1</w:t>
            </w:r>
            <w:r w:rsidR="003A2F01">
              <w:rPr>
                <w:rFonts w:ascii="Arial Narrow" w:hAnsi="Arial Narrow" w:cs="Arial"/>
                <w:sz w:val="18"/>
                <w:szCs w:val="18"/>
                <w:lang w:val="es-ES" w:eastAsia="es-ES"/>
              </w:rPr>
              <w:t>2</w:t>
            </w:r>
          </w:p>
        </w:tc>
      </w:tr>
      <w:tr w:rsidR="00942001" w:rsidRPr="00AF3F29" w:rsidTr="00F33DBB">
        <w:trPr>
          <w:trHeight w:val="284"/>
          <w:jc w:val="center"/>
        </w:trPr>
        <w:tc>
          <w:tcPr>
            <w:tcW w:w="1570" w:type="dxa"/>
            <w:noWrap/>
            <w:vAlign w:val="center"/>
          </w:tcPr>
          <w:p w:rsidR="00942001" w:rsidRPr="00D3284D" w:rsidRDefault="00942001" w:rsidP="00324440">
            <w:pPr>
              <w:spacing w:after="0"/>
              <w:ind w:firstLine="0"/>
              <w:jc w:val="left"/>
              <w:rPr>
                <w:rFonts w:ascii="Arial Narrow" w:hAnsi="Arial Narrow" w:cs="Arial"/>
                <w:sz w:val="18"/>
                <w:szCs w:val="18"/>
                <w:lang w:val="es-ES" w:eastAsia="es-ES"/>
              </w:rPr>
            </w:pPr>
            <w:r w:rsidRPr="00D3284D">
              <w:rPr>
                <w:rFonts w:ascii="Arial Narrow" w:hAnsi="Arial Narrow" w:cs="Arial"/>
                <w:sz w:val="18"/>
                <w:szCs w:val="18"/>
                <w:lang w:val="es-ES" w:eastAsia="es-ES"/>
              </w:rPr>
              <w:t>2021</w:t>
            </w:r>
          </w:p>
        </w:tc>
        <w:tc>
          <w:tcPr>
            <w:tcW w:w="3771" w:type="dxa"/>
            <w:noWrap/>
            <w:vAlign w:val="center"/>
          </w:tcPr>
          <w:p w:rsidR="00942001" w:rsidRPr="00D3284D" w:rsidRDefault="00942001" w:rsidP="00324440">
            <w:pPr>
              <w:spacing w:after="0"/>
              <w:ind w:firstLine="0"/>
              <w:jc w:val="right"/>
              <w:rPr>
                <w:rFonts w:ascii="Arial Narrow" w:hAnsi="Arial Narrow" w:cs="Arial"/>
                <w:sz w:val="18"/>
                <w:szCs w:val="18"/>
                <w:lang w:val="es-ES" w:eastAsia="es-ES"/>
              </w:rPr>
            </w:pPr>
            <w:r w:rsidRPr="00D3284D">
              <w:rPr>
                <w:rFonts w:ascii="Arial Narrow" w:hAnsi="Arial Narrow" w:cs="Arial"/>
                <w:sz w:val="18"/>
                <w:szCs w:val="18"/>
                <w:lang w:val="es-ES" w:eastAsia="es-ES"/>
              </w:rPr>
              <w:t>200.951</w:t>
            </w:r>
          </w:p>
        </w:tc>
        <w:tc>
          <w:tcPr>
            <w:tcW w:w="1307" w:type="dxa"/>
            <w:noWrap/>
            <w:vAlign w:val="center"/>
          </w:tcPr>
          <w:p w:rsidR="00942001" w:rsidRPr="00D3284D" w:rsidRDefault="00942001" w:rsidP="00324440">
            <w:pPr>
              <w:spacing w:after="0"/>
              <w:ind w:firstLine="0"/>
              <w:jc w:val="right"/>
              <w:rPr>
                <w:rFonts w:ascii="Arial Narrow" w:hAnsi="Arial Narrow" w:cs="Arial"/>
                <w:sz w:val="18"/>
                <w:szCs w:val="18"/>
                <w:lang w:val="es-ES" w:eastAsia="es-ES"/>
              </w:rPr>
            </w:pPr>
            <w:r w:rsidRPr="00D3284D">
              <w:rPr>
                <w:rFonts w:ascii="Arial Narrow" w:hAnsi="Arial Narrow" w:cs="Arial"/>
                <w:sz w:val="18"/>
                <w:szCs w:val="18"/>
                <w:lang w:val="es-ES" w:eastAsia="es-ES"/>
              </w:rPr>
              <w:t>7,08</w:t>
            </w:r>
          </w:p>
        </w:tc>
        <w:tc>
          <w:tcPr>
            <w:tcW w:w="2262" w:type="dxa"/>
            <w:noWrap/>
            <w:vAlign w:val="center"/>
          </w:tcPr>
          <w:p w:rsidR="00942001" w:rsidRPr="00D3284D" w:rsidRDefault="00942001" w:rsidP="00324440">
            <w:pPr>
              <w:spacing w:after="0"/>
              <w:ind w:firstLine="0"/>
              <w:jc w:val="right"/>
              <w:rPr>
                <w:rFonts w:ascii="Arial Narrow" w:hAnsi="Arial Narrow" w:cs="Arial"/>
                <w:sz w:val="18"/>
                <w:szCs w:val="18"/>
                <w:lang w:val="es-ES" w:eastAsia="es-ES"/>
              </w:rPr>
            </w:pPr>
            <w:r w:rsidRPr="00D3284D">
              <w:rPr>
                <w:rFonts w:ascii="Arial Narrow" w:hAnsi="Arial Narrow" w:cs="Arial"/>
                <w:sz w:val="18"/>
                <w:szCs w:val="18"/>
                <w:lang w:val="es-ES" w:eastAsia="es-ES"/>
              </w:rPr>
              <w:t>57,</w:t>
            </w:r>
            <w:r w:rsidR="003A2F01">
              <w:rPr>
                <w:rFonts w:ascii="Arial Narrow" w:hAnsi="Arial Narrow" w:cs="Arial"/>
                <w:sz w:val="18"/>
                <w:szCs w:val="18"/>
                <w:lang w:val="es-ES" w:eastAsia="es-ES"/>
              </w:rPr>
              <w:t>20</w:t>
            </w:r>
          </w:p>
        </w:tc>
      </w:tr>
      <w:tr w:rsidR="00942001" w:rsidRPr="00AF3F29" w:rsidTr="00F33DBB">
        <w:trPr>
          <w:trHeight w:val="284"/>
          <w:jc w:val="center"/>
        </w:trPr>
        <w:tc>
          <w:tcPr>
            <w:tcW w:w="1570" w:type="dxa"/>
            <w:noWrap/>
            <w:vAlign w:val="center"/>
          </w:tcPr>
          <w:p w:rsidR="00942001" w:rsidRPr="00D3284D" w:rsidRDefault="00942001" w:rsidP="00324440">
            <w:pPr>
              <w:spacing w:after="0"/>
              <w:ind w:firstLine="0"/>
              <w:jc w:val="left"/>
              <w:rPr>
                <w:rFonts w:ascii="Arial Narrow" w:hAnsi="Arial Narrow" w:cs="Arial"/>
                <w:sz w:val="18"/>
                <w:szCs w:val="18"/>
                <w:lang w:val="es-ES" w:eastAsia="es-ES"/>
              </w:rPr>
            </w:pPr>
            <w:r w:rsidRPr="00D3284D">
              <w:rPr>
                <w:rFonts w:ascii="Arial Narrow" w:hAnsi="Arial Narrow" w:cs="Arial"/>
                <w:sz w:val="18"/>
                <w:szCs w:val="18"/>
                <w:lang w:val="es-ES" w:eastAsia="es-ES"/>
              </w:rPr>
              <w:t>2022</w:t>
            </w:r>
          </w:p>
        </w:tc>
        <w:tc>
          <w:tcPr>
            <w:tcW w:w="3771" w:type="dxa"/>
            <w:noWrap/>
            <w:vAlign w:val="center"/>
          </w:tcPr>
          <w:p w:rsidR="00942001" w:rsidRPr="00D3284D" w:rsidRDefault="00942001" w:rsidP="00324440">
            <w:pPr>
              <w:spacing w:after="0"/>
              <w:ind w:firstLine="0"/>
              <w:jc w:val="right"/>
              <w:rPr>
                <w:rFonts w:ascii="Arial Narrow" w:hAnsi="Arial Narrow" w:cs="Arial"/>
                <w:sz w:val="18"/>
                <w:szCs w:val="18"/>
                <w:lang w:val="es-ES" w:eastAsia="es-ES"/>
              </w:rPr>
            </w:pPr>
            <w:r w:rsidRPr="00D3284D">
              <w:rPr>
                <w:rFonts w:ascii="Arial Narrow" w:hAnsi="Arial Narrow" w:cs="Arial"/>
                <w:sz w:val="18"/>
                <w:szCs w:val="18"/>
                <w:lang w:val="es-ES" w:eastAsia="es-ES"/>
              </w:rPr>
              <w:t>139.999</w:t>
            </w:r>
          </w:p>
        </w:tc>
        <w:tc>
          <w:tcPr>
            <w:tcW w:w="1307" w:type="dxa"/>
            <w:noWrap/>
            <w:vAlign w:val="center"/>
          </w:tcPr>
          <w:p w:rsidR="00942001" w:rsidRPr="00D3284D" w:rsidRDefault="00942001" w:rsidP="00324440">
            <w:pPr>
              <w:spacing w:after="0"/>
              <w:ind w:firstLine="0"/>
              <w:jc w:val="right"/>
              <w:rPr>
                <w:rFonts w:ascii="Arial Narrow" w:hAnsi="Arial Narrow" w:cs="Arial"/>
                <w:sz w:val="18"/>
                <w:szCs w:val="18"/>
                <w:lang w:val="es-ES" w:eastAsia="es-ES"/>
              </w:rPr>
            </w:pPr>
            <w:r w:rsidRPr="00D3284D">
              <w:rPr>
                <w:rFonts w:ascii="Arial Narrow" w:hAnsi="Arial Narrow" w:cs="Arial"/>
                <w:sz w:val="18"/>
                <w:szCs w:val="18"/>
                <w:lang w:val="es-ES" w:eastAsia="es-ES"/>
              </w:rPr>
              <w:t>4,93</w:t>
            </w:r>
          </w:p>
        </w:tc>
        <w:tc>
          <w:tcPr>
            <w:tcW w:w="2262" w:type="dxa"/>
            <w:noWrap/>
            <w:vAlign w:val="center"/>
          </w:tcPr>
          <w:p w:rsidR="00942001" w:rsidRPr="00D3284D" w:rsidRDefault="00942001" w:rsidP="00324440">
            <w:pPr>
              <w:spacing w:after="0"/>
              <w:ind w:firstLine="0"/>
              <w:jc w:val="right"/>
              <w:rPr>
                <w:rFonts w:ascii="Arial Narrow" w:hAnsi="Arial Narrow" w:cs="Arial"/>
                <w:sz w:val="18"/>
                <w:szCs w:val="18"/>
                <w:lang w:val="es-ES" w:eastAsia="es-ES"/>
              </w:rPr>
            </w:pPr>
            <w:r w:rsidRPr="00D3284D">
              <w:rPr>
                <w:rFonts w:ascii="Arial Narrow" w:hAnsi="Arial Narrow" w:cs="Arial"/>
                <w:sz w:val="18"/>
                <w:szCs w:val="18"/>
                <w:lang w:val="es-ES" w:eastAsia="es-ES"/>
              </w:rPr>
              <w:t>62,1</w:t>
            </w:r>
            <w:r w:rsidR="003A2F01">
              <w:rPr>
                <w:rFonts w:ascii="Arial Narrow" w:hAnsi="Arial Narrow" w:cs="Arial"/>
                <w:sz w:val="18"/>
                <w:szCs w:val="18"/>
                <w:lang w:val="es-ES" w:eastAsia="es-ES"/>
              </w:rPr>
              <w:t>4</w:t>
            </w:r>
          </w:p>
        </w:tc>
      </w:tr>
      <w:tr w:rsidR="00942001" w:rsidRPr="00AF3F29" w:rsidTr="00F33DBB">
        <w:trPr>
          <w:trHeight w:val="284"/>
          <w:jc w:val="center"/>
        </w:trPr>
        <w:tc>
          <w:tcPr>
            <w:tcW w:w="1570" w:type="dxa"/>
            <w:noWrap/>
            <w:vAlign w:val="center"/>
          </w:tcPr>
          <w:p w:rsidR="00942001" w:rsidRPr="00D3284D" w:rsidRDefault="00942001" w:rsidP="00324440">
            <w:pPr>
              <w:spacing w:after="0"/>
              <w:ind w:firstLine="0"/>
              <w:jc w:val="left"/>
              <w:rPr>
                <w:rFonts w:ascii="Arial Narrow" w:hAnsi="Arial Narrow" w:cs="Arial"/>
                <w:sz w:val="18"/>
                <w:szCs w:val="18"/>
                <w:lang w:val="es-ES" w:eastAsia="es-ES"/>
              </w:rPr>
            </w:pPr>
            <w:r w:rsidRPr="00D3284D">
              <w:rPr>
                <w:rFonts w:ascii="Arial Narrow" w:hAnsi="Arial Narrow" w:cs="Arial"/>
                <w:sz w:val="18"/>
                <w:szCs w:val="18"/>
                <w:lang w:val="es-ES" w:eastAsia="es-ES"/>
              </w:rPr>
              <w:t>2023</w:t>
            </w:r>
          </w:p>
        </w:tc>
        <w:tc>
          <w:tcPr>
            <w:tcW w:w="3771" w:type="dxa"/>
            <w:noWrap/>
            <w:vAlign w:val="center"/>
          </w:tcPr>
          <w:p w:rsidR="00942001" w:rsidRPr="00D3284D" w:rsidRDefault="00942001" w:rsidP="00324440">
            <w:pPr>
              <w:spacing w:after="0"/>
              <w:ind w:firstLine="0"/>
              <w:jc w:val="right"/>
              <w:rPr>
                <w:rFonts w:ascii="Arial Narrow" w:hAnsi="Arial Narrow" w:cs="Arial"/>
                <w:sz w:val="18"/>
                <w:szCs w:val="18"/>
                <w:lang w:val="es-ES" w:eastAsia="es-ES"/>
              </w:rPr>
            </w:pPr>
            <w:r w:rsidRPr="00D3284D">
              <w:rPr>
                <w:rFonts w:ascii="Arial Narrow" w:hAnsi="Arial Narrow" w:cs="Arial"/>
                <w:sz w:val="18"/>
                <w:szCs w:val="18"/>
                <w:lang w:val="es-ES" w:eastAsia="es-ES"/>
              </w:rPr>
              <w:t>153.949</w:t>
            </w:r>
          </w:p>
        </w:tc>
        <w:tc>
          <w:tcPr>
            <w:tcW w:w="1307" w:type="dxa"/>
            <w:noWrap/>
            <w:vAlign w:val="center"/>
          </w:tcPr>
          <w:p w:rsidR="00942001" w:rsidRPr="00D3284D" w:rsidRDefault="00942001" w:rsidP="00324440">
            <w:pPr>
              <w:spacing w:after="0"/>
              <w:ind w:firstLine="0"/>
              <w:jc w:val="right"/>
              <w:rPr>
                <w:rFonts w:ascii="Arial Narrow" w:hAnsi="Arial Narrow" w:cs="Arial"/>
                <w:sz w:val="18"/>
                <w:szCs w:val="18"/>
                <w:lang w:val="es-ES" w:eastAsia="es-ES"/>
              </w:rPr>
            </w:pPr>
            <w:r w:rsidRPr="00D3284D">
              <w:rPr>
                <w:rFonts w:ascii="Arial Narrow" w:hAnsi="Arial Narrow" w:cs="Arial"/>
                <w:sz w:val="18"/>
                <w:szCs w:val="18"/>
                <w:lang w:val="es-ES" w:eastAsia="es-ES"/>
              </w:rPr>
              <w:t>5,42</w:t>
            </w:r>
          </w:p>
        </w:tc>
        <w:tc>
          <w:tcPr>
            <w:tcW w:w="2262" w:type="dxa"/>
            <w:noWrap/>
            <w:vAlign w:val="center"/>
          </w:tcPr>
          <w:p w:rsidR="00942001" w:rsidRPr="00D3284D" w:rsidRDefault="00942001" w:rsidP="00324440">
            <w:pPr>
              <w:spacing w:after="0"/>
              <w:ind w:firstLine="0"/>
              <w:jc w:val="right"/>
              <w:rPr>
                <w:rFonts w:ascii="Arial Narrow" w:hAnsi="Arial Narrow" w:cs="Arial"/>
                <w:sz w:val="18"/>
                <w:szCs w:val="18"/>
                <w:lang w:val="es-ES" w:eastAsia="es-ES"/>
              </w:rPr>
            </w:pPr>
            <w:r w:rsidRPr="00D3284D">
              <w:rPr>
                <w:rFonts w:ascii="Arial Narrow" w:hAnsi="Arial Narrow" w:cs="Arial"/>
                <w:sz w:val="18"/>
                <w:szCs w:val="18"/>
                <w:lang w:val="es-ES" w:eastAsia="es-ES"/>
              </w:rPr>
              <w:t>67,</w:t>
            </w:r>
            <w:r w:rsidR="003A2F01">
              <w:rPr>
                <w:rFonts w:ascii="Arial Narrow" w:hAnsi="Arial Narrow" w:cs="Arial"/>
                <w:sz w:val="18"/>
                <w:szCs w:val="18"/>
                <w:lang w:val="es-ES" w:eastAsia="es-ES"/>
              </w:rPr>
              <w:t>56</w:t>
            </w:r>
          </w:p>
        </w:tc>
      </w:tr>
      <w:tr w:rsidR="00942001" w:rsidRPr="00AF3F29" w:rsidTr="00F33DBB">
        <w:trPr>
          <w:trHeight w:val="284"/>
          <w:jc w:val="center"/>
        </w:trPr>
        <w:tc>
          <w:tcPr>
            <w:tcW w:w="1570" w:type="dxa"/>
            <w:noWrap/>
            <w:vAlign w:val="center"/>
          </w:tcPr>
          <w:p w:rsidR="00942001" w:rsidRPr="00D3284D" w:rsidRDefault="00942001" w:rsidP="00324440">
            <w:pPr>
              <w:spacing w:after="0"/>
              <w:ind w:firstLine="0"/>
              <w:jc w:val="left"/>
              <w:rPr>
                <w:rFonts w:ascii="Arial Narrow" w:hAnsi="Arial Narrow" w:cs="Arial"/>
                <w:sz w:val="18"/>
                <w:szCs w:val="18"/>
                <w:lang w:val="es-ES" w:eastAsia="es-ES"/>
              </w:rPr>
            </w:pPr>
            <w:r w:rsidRPr="00D3284D">
              <w:rPr>
                <w:rFonts w:ascii="Arial Narrow" w:hAnsi="Arial Narrow" w:cs="Arial"/>
                <w:sz w:val="18"/>
                <w:szCs w:val="18"/>
                <w:lang w:val="es-ES" w:eastAsia="es-ES"/>
              </w:rPr>
              <w:t>2024</w:t>
            </w:r>
          </w:p>
        </w:tc>
        <w:tc>
          <w:tcPr>
            <w:tcW w:w="3771" w:type="dxa"/>
            <w:noWrap/>
            <w:vAlign w:val="center"/>
          </w:tcPr>
          <w:p w:rsidR="00942001" w:rsidRPr="00D3284D" w:rsidRDefault="00942001" w:rsidP="00324440">
            <w:pPr>
              <w:spacing w:after="0"/>
              <w:ind w:firstLine="0"/>
              <w:jc w:val="right"/>
              <w:rPr>
                <w:rFonts w:ascii="Arial Narrow" w:hAnsi="Arial Narrow" w:cs="Arial"/>
                <w:sz w:val="18"/>
                <w:szCs w:val="18"/>
                <w:lang w:val="es-ES" w:eastAsia="es-ES"/>
              </w:rPr>
            </w:pPr>
            <w:r w:rsidRPr="00D3284D">
              <w:rPr>
                <w:rFonts w:ascii="Arial Narrow" w:hAnsi="Arial Narrow" w:cs="Arial"/>
                <w:sz w:val="18"/>
                <w:szCs w:val="18"/>
                <w:lang w:val="es-ES" w:eastAsia="es-ES"/>
              </w:rPr>
              <w:t>433.751</w:t>
            </w:r>
          </w:p>
        </w:tc>
        <w:tc>
          <w:tcPr>
            <w:tcW w:w="1307" w:type="dxa"/>
            <w:noWrap/>
            <w:vAlign w:val="center"/>
          </w:tcPr>
          <w:p w:rsidR="00942001" w:rsidRPr="00D3284D" w:rsidRDefault="00942001" w:rsidP="00324440">
            <w:pPr>
              <w:spacing w:after="0"/>
              <w:ind w:firstLine="0"/>
              <w:jc w:val="right"/>
              <w:rPr>
                <w:rFonts w:ascii="Arial Narrow" w:hAnsi="Arial Narrow" w:cs="Arial"/>
                <w:sz w:val="18"/>
                <w:szCs w:val="18"/>
                <w:lang w:val="es-ES" w:eastAsia="es-ES"/>
              </w:rPr>
            </w:pPr>
            <w:r w:rsidRPr="00D3284D">
              <w:rPr>
                <w:rFonts w:ascii="Arial Narrow" w:hAnsi="Arial Narrow" w:cs="Arial"/>
                <w:sz w:val="18"/>
                <w:szCs w:val="18"/>
                <w:lang w:val="es-ES" w:eastAsia="es-ES"/>
              </w:rPr>
              <w:t>15,28</w:t>
            </w:r>
          </w:p>
        </w:tc>
        <w:tc>
          <w:tcPr>
            <w:tcW w:w="2262" w:type="dxa"/>
            <w:noWrap/>
            <w:vAlign w:val="center"/>
          </w:tcPr>
          <w:p w:rsidR="00942001" w:rsidRPr="00D3284D" w:rsidRDefault="00942001" w:rsidP="00324440">
            <w:pPr>
              <w:spacing w:after="0"/>
              <w:ind w:firstLine="0"/>
              <w:jc w:val="right"/>
              <w:rPr>
                <w:rFonts w:ascii="Arial Narrow" w:hAnsi="Arial Narrow" w:cs="Arial"/>
                <w:sz w:val="18"/>
                <w:szCs w:val="18"/>
                <w:lang w:val="es-ES" w:eastAsia="es-ES"/>
              </w:rPr>
            </w:pPr>
            <w:r w:rsidRPr="00D3284D">
              <w:rPr>
                <w:rFonts w:ascii="Arial Narrow" w:hAnsi="Arial Narrow" w:cs="Arial"/>
                <w:sz w:val="18"/>
                <w:szCs w:val="18"/>
                <w:lang w:val="es-ES" w:eastAsia="es-ES"/>
              </w:rPr>
              <w:t>82,8</w:t>
            </w:r>
            <w:r w:rsidR="003A2F01">
              <w:rPr>
                <w:rFonts w:ascii="Arial Narrow" w:hAnsi="Arial Narrow" w:cs="Arial"/>
                <w:sz w:val="18"/>
                <w:szCs w:val="18"/>
                <w:lang w:val="es-ES" w:eastAsia="es-ES"/>
              </w:rPr>
              <w:t>4</w:t>
            </w:r>
          </w:p>
        </w:tc>
      </w:tr>
      <w:tr w:rsidR="00942001" w:rsidRPr="00AF3F29" w:rsidTr="00F33DBB">
        <w:trPr>
          <w:trHeight w:val="284"/>
          <w:jc w:val="center"/>
        </w:trPr>
        <w:tc>
          <w:tcPr>
            <w:tcW w:w="1570" w:type="dxa"/>
            <w:noWrap/>
            <w:vAlign w:val="center"/>
          </w:tcPr>
          <w:p w:rsidR="00942001" w:rsidRPr="00D3284D" w:rsidRDefault="00942001" w:rsidP="00324440">
            <w:pPr>
              <w:spacing w:after="0"/>
              <w:ind w:firstLine="0"/>
              <w:jc w:val="left"/>
              <w:rPr>
                <w:rFonts w:ascii="Arial Narrow" w:hAnsi="Arial Narrow" w:cs="Arial"/>
                <w:sz w:val="18"/>
                <w:szCs w:val="18"/>
                <w:lang w:val="es-ES" w:eastAsia="es-ES"/>
              </w:rPr>
            </w:pPr>
            <w:r w:rsidRPr="00D3284D">
              <w:rPr>
                <w:rFonts w:ascii="Arial Narrow" w:hAnsi="Arial Narrow" w:cs="Arial"/>
                <w:sz w:val="18"/>
                <w:szCs w:val="18"/>
                <w:lang w:val="es-ES" w:eastAsia="es-ES"/>
              </w:rPr>
              <w:t>2025</w:t>
            </w:r>
          </w:p>
        </w:tc>
        <w:tc>
          <w:tcPr>
            <w:tcW w:w="3771" w:type="dxa"/>
            <w:noWrap/>
            <w:vAlign w:val="center"/>
          </w:tcPr>
          <w:p w:rsidR="00942001" w:rsidRPr="00D3284D" w:rsidRDefault="00942001" w:rsidP="00324440">
            <w:pPr>
              <w:spacing w:after="0"/>
              <w:ind w:firstLine="0"/>
              <w:jc w:val="right"/>
              <w:rPr>
                <w:rFonts w:ascii="Arial Narrow" w:hAnsi="Arial Narrow" w:cs="Arial"/>
                <w:sz w:val="18"/>
                <w:szCs w:val="18"/>
                <w:lang w:val="es-ES" w:eastAsia="es-ES"/>
              </w:rPr>
            </w:pPr>
            <w:r w:rsidRPr="00D3284D">
              <w:rPr>
                <w:rFonts w:ascii="Arial Narrow" w:hAnsi="Arial Narrow" w:cs="Arial"/>
                <w:sz w:val="18"/>
                <w:szCs w:val="18"/>
                <w:lang w:val="es-ES" w:eastAsia="es-ES"/>
              </w:rPr>
              <w:t>100.749</w:t>
            </w:r>
          </w:p>
        </w:tc>
        <w:tc>
          <w:tcPr>
            <w:tcW w:w="1307" w:type="dxa"/>
            <w:noWrap/>
            <w:vAlign w:val="center"/>
          </w:tcPr>
          <w:p w:rsidR="00942001" w:rsidRPr="00D3284D" w:rsidRDefault="00942001" w:rsidP="00324440">
            <w:pPr>
              <w:spacing w:after="0"/>
              <w:ind w:firstLine="0"/>
              <w:jc w:val="right"/>
              <w:rPr>
                <w:rFonts w:ascii="Arial Narrow" w:hAnsi="Arial Narrow" w:cs="Arial"/>
                <w:sz w:val="18"/>
                <w:szCs w:val="18"/>
                <w:lang w:val="es-ES" w:eastAsia="es-ES"/>
              </w:rPr>
            </w:pPr>
            <w:r w:rsidRPr="00D3284D">
              <w:rPr>
                <w:rFonts w:ascii="Arial Narrow" w:hAnsi="Arial Narrow" w:cs="Arial"/>
                <w:sz w:val="18"/>
                <w:szCs w:val="18"/>
                <w:lang w:val="es-ES" w:eastAsia="es-ES"/>
              </w:rPr>
              <w:t>3,55</w:t>
            </w:r>
          </w:p>
        </w:tc>
        <w:tc>
          <w:tcPr>
            <w:tcW w:w="2262" w:type="dxa"/>
            <w:noWrap/>
            <w:vAlign w:val="center"/>
          </w:tcPr>
          <w:p w:rsidR="00942001" w:rsidRPr="00D3284D" w:rsidRDefault="00942001" w:rsidP="00324440">
            <w:pPr>
              <w:spacing w:after="0"/>
              <w:ind w:firstLine="0"/>
              <w:jc w:val="right"/>
              <w:rPr>
                <w:rFonts w:ascii="Arial Narrow" w:hAnsi="Arial Narrow" w:cs="Arial"/>
                <w:sz w:val="18"/>
                <w:szCs w:val="18"/>
                <w:lang w:val="es-ES" w:eastAsia="es-ES"/>
              </w:rPr>
            </w:pPr>
            <w:r w:rsidRPr="00D3284D">
              <w:rPr>
                <w:rFonts w:ascii="Arial Narrow" w:hAnsi="Arial Narrow" w:cs="Arial"/>
                <w:sz w:val="18"/>
                <w:szCs w:val="18"/>
                <w:lang w:val="es-ES" w:eastAsia="es-ES"/>
              </w:rPr>
              <w:t>86,</w:t>
            </w:r>
            <w:r w:rsidR="003A2F01">
              <w:rPr>
                <w:rFonts w:ascii="Arial Narrow" w:hAnsi="Arial Narrow" w:cs="Arial"/>
                <w:sz w:val="18"/>
                <w:szCs w:val="18"/>
                <w:lang w:val="es-ES" w:eastAsia="es-ES"/>
              </w:rPr>
              <w:t>39</w:t>
            </w:r>
          </w:p>
        </w:tc>
      </w:tr>
      <w:tr w:rsidR="00942001" w:rsidRPr="00AF3F29" w:rsidTr="00F33DBB">
        <w:trPr>
          <w:trHeight w:val="284"/>
          <w:jc w:val="center"/>
        </w:trPr>
        <w:tc>
          <w:tcPr>
            <w:tcW w:w="1570" w:type="dxa"/>
            <w:noWrap/>
            <w:vAlign w:val="center"/>
          </w:tcPr>
          <w:p w:rsidR="00942001" w:rsidRPr="00D3284D" w:rsidRDefault="00942001" w:rsidP="00324440">
            <w:pPr>
              <w:spacing w:after="0"/>
              <w:ind w:firstLine="0"/>
              <w:jc w:val="left"/>
              <w:rPr>
                <w:rFonts w:ascii="Arial Narrow" w:hAnsi="Arial Narrow" w:cs="Arial"/>
                <w:sz w:val="18"/>
                <w:szCs w:val="18"/>
                <w:lang w:val="es-ES" w:eastAsia="es-ES"/>
              </w:rPr>
            </w:pPr>
            <w:r w:rsidRPr="00D3284D">
              <w:rPr>
                <w:rFonts w:ascii="Arial Narrow" w:hAnsi="Arial Narrow" w:cs="Arial"/>
                <w:sz w:val="18"/>
                <w:szCs w:val="18"/>
                <w:lang w:val="es-ES" w:eastAsia="es-ES"/>
              </w:rPr>
              <w:t>2027</w:t>
            </w:r>
          </w:p>
        </w:tc>
        <w:tc>
          <w:tcPr>
            <w:tcW w:w="3771" w:type="dxa"/>
            <w:noWrap/>
            <w:vAlign w:val="center"/>
          </w:tcPr>
          <w:p w:rsidR="00942001" w:rsidRPr="00D3284D" w:rsidRDefault="00942001" w:rsidP="00324440">
            <w:pPr>
              <w:spacing w:after="0"/>
              <w:ind w:firstLine="0"/>
              <w:jc w:val="right"/>
              <w:rPr>
                <w:rFonts w:ascii="Arial Narrow" w:hAnsi="Arial Narrow" w:cs="Arial"/>
                <w:sz w:val="18"/>
                <w:szCs w:val="18"/>
                <w:lang w:val="es-ES" w:eastAsia="es-ES"/>
              </w:rPr>
            </w:pPr>
            <w:r w:rsidRPr="00D3284D">
              <w:rPr>
                <w:rFonts w:ascii="Arial Narrow" w:hAnsi="Arial Narrow" w:cs="Arial"/>
                <w:sz w:val="18"/>
                <w:szCs w:val="18"/>
                <w:lang w:val="es-ES" w:eastAsia="es-ES"/>
              </w:rPr>
              <w:t>300.000</w:t>
            </w:r>
          </w:p>
        </w:tc>
        <w:tc>
          <w:tcPr>
            <w:tcW w:w="1307" w:type="dxa"/>
            <w:noWrap/>
            <w:vAlign w:val="center"/>
          </w:tcPr>
          <w:p w:rsidR="00942001" w:rsidRPr="00D3284D" w:rsidRDefault="00942001" w:rsidP="00324440">
            <w:pPr>
              <w:spacing w:after="0"/>
              <w:ind w:firstLine="0"/>
              <w:jc w:val="right"/>
              <w:rPr>
                <w:rFonts w:ascii="Arial Narrow" w:hAnsi="Arial Narrow" w:cs="Arial"/>
                <w:sz w:val="18"/>
                <w:szCs w:val="18"/>
                <w:lang w:val="es-ES" w:eastAsia="es-ES"/>
              </w:rPr>
            </w:pPr>
            <w:r w:rsidRPr="00D3284D">
              <w:rPr>
                <w:rFonts w:ascii="Arial Narrow" w:hAnsi="Arial Narrow" w:cs="Arial"/>
                <w:sz w:val="18"/>
                <w:szCs w:val="18"/>
                <w:lang w:val="es-ES" w:eastAsia="es-ES"/>
              </w:rPr>
              <w:t>10,57</w:t>
            </w:r>
          </w:p>
        </w:tc>
        <w:tc>
          <w:tcPr>
            <w:tcW w:w="2262" w:type="dxa"/>
            <w:noWrap/>
            <w:vAlign w:val="center"/>
          </w:tcPr>
          <w:p w:rsidR="00942001" w:rsidRPr="00D3284D" w:rsidRDefault="00942001" w:rsidP="00324440">
            <w:pPr>
              <w:spacing w:after="0"/>
              <w:ind w:firstLine="0"/>
              <w:jc w:val="right"/>
              <w:rPr>
                <w:rFonts w:ascii="Arial Narrow" w:hAnsi="Arial Narrow" w:cs="Arial"/>
                <w:sz w:val="18"/>
                <w:szCs w:val="18"/>
                <w:lang w:val="es-ES" w:eastAsia="es-ES"/>
              </w:rPr>
            </w:pPr>
            <w:r w:rsidRPr="00D3284D">
              <w:rPr>
                <w:rFonts w:ascii="Arial Narrow" w:hAnsi="Arial Narrow" w:cs="Arial"/>
                <w:sz w:val="18"/>
                <w:szCs w:val="18"/>
                <w:lang w:val="es-ES" w:eastAsia="es-ES"/>
              </w:rPr>
              <w:t>9</w:t>
            </w:r>
            <w:r w:rsidR="003A2F01">
              <w:rPr>
                <w:rFonts w:ascii="Arial Narrow" w:hAnsi="Arial Narrow" w:cs="Arial"/>
                <w:sz w:val="18"/>
                <w:szCs w:val="18"/>
                <w:lang w:val="es-ES" w:eastAsia="es-ES"/>
              </w:rPr>
              <w:t>6,97</w:t>
            </w:r>
          </w:p>
        </w:tc>
      </w:tr>
      <w:tr w:rsidR="00942001" w:rsidRPr="00AF3F29" w:rsidTr="00F33DBB">
        <w:trPr>
          <w:trHeight w:val="284"/>
          <w:jc w:val="center"/>
        </w:trPr>
        <w:tc>
          <w:tcPr>
            <w:tcW w:w="1570" w:type="dxa"/>
            <w:noWrap/>
            <w:vAlign w:val="center"/>
          </w:tcPr>
          <w:p w:rsidR="00942001" w:rsidRPr="00D3284D" w:rsidRDefault="00942001" w:rsidP="00324440">
            <w:pPr>
              <w:spacing w:after="0"/>
              <w:ind w:firstLine="0"/>
              <w:jc w:val="left"/>
              <w:rPr>
                <w:rFonts w:ascii="Arial Narrow" w:hAnsi="Arial Narrow" w:cs="Arial"/>
                <w:sz w:val="18"/>
                <w:szCs w:val="18"/>
                <w:lang w:val="es-ES" w:eastAsia="es-ES"/>
              </w:rPr>
            </w:pPr>
            <w:r w:rsidRPr="00D3284D">
              <w:rPr>
                <w:rFonts w:ascii="Arial Narrow" w:hAnsi="Arial Narrow" w:cs="Arial"/>
                <w:sz w:val="18"/>
                <w:szCs w:val="18"/>
                <w:lang w:val="es-ES" w:eastAsia="es-ES"/>
              </w:rPr>
              <w:t>2030</w:t>
            </w:r>
          </w:p>
        </w:tc>
        <w:tc>
          <w:tcPr>
            <w:tcW w:w="3771" w:type="dxa"/>
            <w:noWrap/>
            <w:vAlign w:val="center"/>
          </w:tcPr>
          <w:p w:rsidR="00942001" w:rsidRPr="00D3284D" w:rsidRDefault="00942001" w:rsidP="00324440">
            <w:pPr>
              <w:spacing w:after="0"/>
              <w:ind w:firstLine="0"/>
              <w:jc w:val="right"/>
              <w:rPr>
                <w:rFonts w:ascii="Arial Narrow" w:hAnsi="Arial Narrow" w:cs="Arial"/>
                <w:sz w:val="18"/>
                <w:szCs w:val="18"/>
                <w:lang w:val="es-ES" w:eastAsia="es-ES"/>
              </w:rPr>
            </w:pPr>
            <w:r w:rsidRPr="00D3284D">
              <w:rPr>
                <w:rFonts w:ascii="Arial Narrow" w:hAnsi="Arial Narrow" w:cs="Arial"/>
                <w:sz w:val="18"/>
                <w:szCs w:val="18"/>
                <w:lang w:val="es-ES" w:eastAsia="es-ES"/>
              </w:rPr>
              <w:t>85.000</w:t>
            </w:r>
          </w:p>
        </w:tc>
        <w:tc>
          <w:tcPr>
            <w:tcW w:w="1307" w:type="dxa"/>
            <w:noWrap/>
            <w:vAlign w:val="center"/>
          </w:tcPr>
          <w:p w:rsidR="00942001" w:rsidRPr="00D3284D" w:rsidRDefault="00942001" w:rsidP="00324440">
            <w:pPr>
              <w:spacing w:after="0"/>
              <w:ind w:firstLine="0"/>
              <w:jc w:val="right"/>
              <w:rPr>
                <w:rFonts w:ascii="Arial Narrow" w:hAnsi="Arial Narrow" w:cs="Arial"/>
                <w:sz w:val="18"/>
                <w:szCs w:val="18"/>
                <w:lang w:val="es-ES" w:eastAsia="es-ES"/>
              </w:rPr>
            </w:pPr>
            <w:r w:rsidRPr="00D3284D">
              <w:rPr>
                <w:rFonts w:ascii="Arial Narrow" w:hAnsi="Arial Narrow" w:cs="Arial"/>
                <w:sz w:val="18"/>
                <w:szCs w:val="18"/>
                <w:lang w:val="es-ES" w:eastAsia="es-ES"/>
              </w:rPr>
              <w:t>2,99</w:t>
            </w:r>
          </w:p>
        </w:tc>
        <w:tc>
          <w:tcPr>
            <w:tcW w:w="2262" w:type="dxa"/>
            <w:noWrap/>
            <w:vAlign w:val="center"/>
          </w:tcPr>
          <w:p w:rsidR="00942001" w:rsidRPr="00D3284D" w:rsidRDefault="003A2F01" w:rsidP="00324440">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99,96</w:t>
            </w:r>
          </w:p>
        </w:tc>
      </w:tr>
      <w:tr w:rsidR="003A2F01" w:rsidRPr="00324440" w:rsidTr="00F33DBB">
        <w:trPr>
          <w:trHeight w:val="284"/>
          <w:jc w:val="center"/>
        </w:trPr>
        <w:tc>
          <w:tcPr>
            <w:tcW w:w="1570" w:type="dxa"/>
            <w:noWrap/>
            <w:vAlign w:val="center"/>
          </w:tcPr>
          <w:p w:rsidR="003A2F01" w:rsidRPr="00324440" w:rsidRDefault="003A2F01" w:rsidP="00324440">
            <w:pPr>
              <w:spacing w:after="0"/>
              <w:ind w:firstLine="0"/>
              <w:jc w:val="left"/>
              <w:rPr>
                <w:rFonts w:ascii="Arial Narrow" w:hAnsi="Arial Narrow" w:cs="Arial"/>
                <w:b/>
                <w:sz w:val="18"/>
                <w:szCs w:val="18"/>
                <w:lang w:val="es-ES" w:eastAsia="es-ES"/>
              </w:rPr>
            </w:pPr>
            <w:r w:rsidRPr="00324440">
              <w:rPr>
                <w:rFonts w:ascii="Arial Narrow" w:hAnsi="Arial Narrow" w:cs="Arial"/>
                <w:b/>
                <w:sz w:val="18"/>
                <w:szCs w:val="18"/>
                <w:lang w:val="es-ES" w:eastAsia="es-ES"/>
              </w:rPr>
              <w:t>Subtotal</w:t>
            </w:r>
          </w:p>
        </w:tc>
        <w:tc>
          <w:tcPr>
            <w:tcW w:w="3771" w:type="dxa"/>
            <w:noWrap/>
            <w:vAlign w:val="center"/>
          </w:tcPr>
          <w:p w:rsidR="003A2F01" w:rsidRPr="00324440" w:rsidRDefault="003A2F01" w:rsidP="00324440">
            <w:pPr>
              <w:spacing w:after="0"/>
              <w:ind w:firstLine="0"/>
              <w:jc w:val="right"/>
              <w:rPr>
                <w:rFonts w:ascii="Arial Narrow" w:hAnsi="Arial Narrow" w:cs="Arial"/>
                <w:b/>
                <w:sz w:val="18"/>
                <w:szCs w:val="18"/>
                <w:lang w:val="es-ES" w:eastAsia="es-ES"/>
              </w:rPr>
            </w:pPr>
            <w:r w:rsidRPr="00324440">
              <w:rPr>
                <w:rFonts w:ascii="Arial Narrow" w:hAnsi="Arial Narrow" w:cs="Arial"/>
                <w:b/>
                <w:sz w:val="18"/>
                <w:szCs w:val="18"/>
                <w:lang w:val="es-ES" w:eastAsia="es-ES"/>
              </w:rPr>
              <w:t>2.836.926</w:t>
            </w:r>
          </w:p>
        </w:tc>
        <w:tc>
          <w:tcPr>
            <w:tcW w:w="1307" w:type="dxa"/>
            <w:noWrap/>
            <w:vAlign w:val="center"/>
          </w:tcPr>
          <w:p w:rsidR="003A2F01" w:rsidRPr="00324440" w:rsidRDefault="003A2F01" w:rsidP="00324440">
            <w:pPr>
              <w:spacing w:after="0"/>
              <w:ind w:firstLine="0"/>
              <w:jc w:val="right"/>
              <w:rPr>
                <w:rFonts w:ascii="Arial Narrow" w:hAnsi="Arial Narrow" w:cs="Arial"/>
                <w:b/>
                <w:sz w:val="18"/>
                <w:szCs w:val="18"/>
                <w:lang w:val="es-ES" w:eastAsia="es-ES"/>
              </w:rPr>
            </w:pPr>
          </w:p>
        </w:tc>
        <w:tc>
          <w:tcPr>
            <w:tcW w:w="2262" w:type="dxa"/>
            <w:noWrap/>
            <w:vAlign w:val="center"/>
          </w:tcPr>
          <w:p w:rsidR="003A2F01" w:rsidRPr="00324440" w:rsidRDefault="003A2F01" w:rsidP="00324440">
            <w:pPr>
              <w:spacing w:after="0"/>
              <w:ind w:firstLine="0"/>
              <w:jc w:val="right"/>
              <w:rPr>
                <w:rFonts w:ascii="Arial Narrow" w:hAnsi="Arial Narrow" w:cs="Arial"/>
                <w:b/>
                <w:sz w:val="18"/>
                <w:szCs w:val="18"/>
                <w:lang w:val="es-ES" w:eastAsia="es-ES"/>
              </w:rPr>
            </w:pPr>
          </w:p>
        </w:tc>
      </w:tr>
      <w:tr w:rsidR="00D52132" w:rsidRPr="00AF3F29" w:rsidTr="00F33DBB">
        <w:trPr>
          <w:trHeight w:val="284"/>
          <w:jc w:val="center"/>
        </w:trPr>
        <w:tc>
          <w:tcPr>
            <w:tcW w:w="1570" w:type="dxa"/>
            <w:noWrap/>
            <w:vAlign w:val="center"/>
          </w:tcPr>
          <w:p w:rsidR="00D52132" w:rsidRPr="00D3284D" w:rsidRDefault="00D52132" w:rsidP="00324440">
            <w:pPr>
              <w:spacing w:after="0"/>
              <w:ind w:firstLine="0"/>
              <w:jc w:val="left"/>
              <w:rPr>
                <w:rFonts w:ascii="Arial Narrow" w:hAnsi="Arial Narrow" w:cs="Arial"/>
                <w:sz w:val="18"/>
                <w:szCs w:val="18"/>
                <w:lang w:val="es-ES" w:eastAsia="es-ES"/>
              </w:rPr>
            </w:pPr>
            <w:r>
              <w:rPr>
                <w:rFonts w:ascii="Arial Narrow" w:hAnsi="Arial Narrow" w:cs="Arial"/>
                <w:sz w:val="18"/>
                <w:szCs w:val="18"/>
                <w:lang w:val="es-ES" w:eastAsia="es-ES"/>
              </w:rPr>
              <w:t>No clasificable</w:t>
            </w:r>
          </w:p>
        </w:tc>
        <w:tc>
          <w:tcPr>
            <w:tcW w:w="3771" w:type="dxa"/>
            <w:noWrap/>
            <w:vAlign w:val="center"/>
          </w:tcPr>
          <w:p w:rsidR="00D52132" w:rsidRPr="00D3284D" w:rsidRDefault="00D52132" w:rsidP="00324440">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1.172</w:t>
            </w:r>
          </w:p>
        </w:tc>
        <w:tc>
          <w:tcPr>
            <w:tcW w:w="1307" w:type="dxa"/>
            <w:noWrap/>
            <w:vAlign w:val="center"/>
          </w:tcPr>
          <w:p w:rsidR="00D52132" w:rsidRPr="00D3284D" w:rsidRDefault="003A2F01" w:rsidP="00324440">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0,04</w:t>
            </w:r>
          </w:p>
        </w:tc>
        <w:tc>
          <w:tcPr>
            <w:tcW w:w="2262" w:type="dxa"/>
            <w:noWrap/>
            <w:vAlign w:val="center"/>
          </w:tcPr>
          <w:p w:rsidR="00D52132" w:rsidRPr="00D3284D" w:rsidRDefault="003A2F01" w:rsidP="00324440">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100</w:t>
            </w:r>
          </w:p>
        </w:tc>
      </w:tr>
      <w:tr w:rsidR="00942001" w:rsidRPr="00F35AED" w:rsidTr="00F33DBB">
        <w:trPr>
          <w:trHeight w:val="284"/>
          <w:jc w:val="center"/>
        </w:trPr>
        <w:tc>
          <w:tcPr>
            <w:tcW w:w="1570" w:type="dxa"/>
            <w:tcBorders>
              <w:top w:val="single" w:sz="4" w:space="0" w:color="auto"/>
              <w:bottom w:val="single" w:sz="4" w:space="0" w:color="auto"/>
            </w:tcBorders>
            <w:shd w:val="clear" w:color="auto" w:fill="A8CBEE" w:themeFill="accent2" w:themeFillTint="66"/>
            <w:noWrap/>
            <w:vAlign w:val="center"/>
          </w:tcPr>
          <w:p w:rsidR="00942001" w:rsidRPr="00F35AED" w:rsidRDefault="00942001" w:rsidP="00324440">
            <w:pPr>
              <w:pStyle w:val="cuadroCabe"/>
              <w:jc w:val="left"/>
              <w:rPr>
                <w:szCs w:val="18"/>
              </w:rPr>
            </w:pPr>
            <w:r w:rsidRPr="00F35AED">
              <w:rPr>
                <w:szCs w:val="18"/>
              </w:rPr>
              <w:t>Total</w:t>
            </w:r>
          </w:p>
        </w:tc>
        <w:tc>
          <w:tcPr>
            <w:tcW w:w="3771" w:type="dxa"/>
            <w:tcBorders>
              <w:top w:val="single" w:sz="4" w:space="0" w:color="auto"/>
              <w:bottom w:val="single" w:sz="4" w:space="0" w:color="auto"/>
            </w:tcBorders>
            <w:shd w:val="clear" w:color="auto" w:fill="A8CBEE" w:themeFill="accent2" w:themeFillTint="66"/>
            <w:noWrap/>
            <w:vAlign w:val="center"/>
          </w:tcPr>
          <w:p w:rsidR="00942001" w:rsidRPr="00F35AED" w:rsidRDefault="00942001" w:rsidP="00324440">
            <w:pPr>
              <w:pStyle w:val="cuadroCabe"/>
              <w:jc w:val="right"/>
              <w:rPr>
                <w:szCs w:val="18"/>
              </w:rPr>
            </w:pPr>
            <w:r w:rsidRPr="00F35AED">
              <w:rPr>
                <w:szCs w:val="18"/>
              </w:rPr>
              <w:t>2.838.098</w:t>
            </w:r>
          </w:p>
        </w:tc>
        <w:tc>
          <w:tcPr>
            <w:tcW w:w="1307" w:type="dxa"/>
            <w:tcBorders>
              <w:top w:val="single" w:sz="4" w:space="0" w:color="auto"/>
              <w:bottom w:val="single" w:sz="4" w:space="0" w:color="auto"/>
            </w:tcBorders>
            <w:shd w:val="clear" w:color="auto" w:fill="A8CBEE" w:themeFill="accent2" w:themeFillTint="66"/>
            <w:noWrap/>
            <w:vAlign w:val="center"/>
          </w:tcPr>
          <w:p w:rsidR="00942001" w:rsidRPr="00F35AED" w:rsidRDefault="00942001" w:rsidP="00324440">
            <w:pPr>
              <w:pStyle w:val="cuadroCabe"/>
              <w:jc w:val="right"/>
              <w:rPr>
                <w:szCs w:val="18"/>
              </w:rPr>
            </w:pPr>
            <w:r w:rsidRPr="00F35AED">
              <w:rPr>
                <w:szCs w:val="18"/>
              </w:rPr>
              <w:t>100</w:t>
            </w:r>
          </w:p>
        </w:tc>
        <w:tc>
          <w:tcPr>
            <w:tcW w:w="2262" w:type="dxa"/>
            <w:tcBorders>
              <w:top w:val="single" w:sz="4" w:space="0" w:color="auto"/>
              <w:bottom w:val="single" w:sz="4" w:space="0" w:color="auto"/>
            </w:tcBorders>
            <w:shd w:val="clear" w:color="auto" w:fill="A8CBEE" w:themeFill="accent2" w:themeFillTint="66"/>
            <w:noWrap/>
            <w:vAlign w:val="center"/>
          </w:tcPr>
          <w:p w:rsidR="00942001" w:rsidRPr="00F35AED" w:rsidRDefault="00942001" w:rsidP="00324440">
            <w:pPr>
              <w:pStyle w:val="cuadroCabe"/>
              <w:jc w:val="right"/>
              <w:rPr>
                <w:szCs w:val="18"/>
              </w:rPr>
            </w:pPr>
          </w:p>
        </w:tc>
      </w:tr>
    </w:tbl>
    <w:p w:rsidR="00942001" w:rsidRPr="008C6640" w:rsidRDefault="00942001" w:rsidP="00A20D5E">
      <w:pPr>
        <w:pStyle w:val="texto"/>
        <w:spacing w:before="360"/>
        <w:rPr>
          <w:lang w:val="es-ES"/>
        </w:rPr>
      </w:pPr>
      <w:r w:rsidRPr="008C6640">
        <w:rPr>
          <w:lang w:val="es-ES"/>
        </w:rPr>
        <w:t>Es decir, el 50 por ciento de esta deuda se debe amortizar antes de 2020.</w:t>
      </w:r>
      <w:r w:rsidR="003A2F01">
        <w:rPr>
          <w:lang w:val="es-ES"/>
        </w:rPr>
        <w:t xml:space="preserve"> Así mismo destaca el ejercicio de 2024 con una amortización del 15 por ciento de la deuda.</w:t>
      </w:r>
      <w:r w:rsidRPr="008C6640">
        <w:rPr>
          <w:lang w:val="es-ES"/>
        </w:rPr>
        <w:t xml:space="preserve"> </w:t>
      </w:r>
    </w:p>
    <w:p w:rsidR="00204745" w:rsidRPr="008C6640" w:rsidRDefault="00204745" w:rsidP="00A20D5E">
      <w:pPr>
        <w:pStyle w:val="texto"/>
        <w:rPr>
          <w:lang w:val="es-ES"/>
        </w:rPr>
      </w:pPr>
      <w:r w:rsidRPr="008C6640">
        <w:rPr>
          <w:lang w:val="es-ES"/>
        </w:rPr>
        <w:t>La “no clasificable” se refiere a anticipos del Gobierno Central para los nu</w:t>
      </w:r>
      <w:r w:rsidRPr="008C6640">
        <w:rPr>
          <w:lang w:val="es-ES"/>
        </w:rPr>
        <w:t>e</w:t>
      </w:r>
      <w:r w:rsidRPr="008C6640">
        <w:rPr>
          <w:lang w:val="es-ES"/>
        </w:rPr>
        <w:t>vos ciclos de Formación Profesional e itinerarios de la ESO que no indican pl</w:t>
      </w:r>
      <w:r w:rsidRPr="008C6640">
        <w:rPr>
          <w:lang w:val="es-ES"/>
        </w:rPr>
        <w:t>a</w:t>
      </w:r>
      <w:r w:rsidRPr="008C6640">
        <w:rPr>
          <w:lang w:val="es-ES"/>
        </w:rPr>
        <w:t>zo de amortización.</w:t>
      </w:r>
    </w:p>
    <w:p w:rsidR="00F951F8" w:rsidRPr="00BD055E" w:rsidRDefault="00942001" w:rsidP="00BD055E">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120"/>
        <w:ind w:left="0" w:firstLine="289"/>
        <w:rPr>
          <w:rFonts w:ascii="Times New (W1)" w:hAnsi="Times New (W1)" w:cs="Arial"/>
        </w:rPr>
      </w:pPr>
      <w:r w:rsidRPr="00BD055E">
        <w:rPr>
          <w:rFonts w:ascii="Times New (W1)" w:hAnsi="Times New (W1)" w:cs="Arial"/>
        </w:rPr>
        <w:lastRenderedPageBreak/>
        <w:t>En 2015, la agencia de rating Standard&amp;Poor´s ha asignado</w:t>
      </w:r>
      <w:r w:rsidR="00A51968" w:rsidRPr="00BD055E">
        <w:rPr>
          <w:rFonts w:ascii="Times New (W1)" w:hAnsi="Times New (W1)" w:cs="Arial"/>
        </w:rPr>
        <w:t xml:space="preserve"> </w:t>
      </w:r>
      <w:r w:rsidRPr="00BD055E">
        <w:rPr>
          <w:rFonts w:ascii="Times New (W1)" w:hAnsi="Times New (W1)" w:cs="Arial"/>
        </w:rPr>
        <w:t xml:space="preserve">a la deuda a largo plazo de Navarra la calificación de </w:t>
      </w:r>
      <w:r w:rsidR="00A51968" w:rsidRPr="00BD055E">
        <w:rPr>
          <w:rFonts w:ascii="Times New (W1)" w:hAnsi="Times New (W1)" w:cs="Arial"/>
        </w:rPr>
        <w:t>“</w:t>
      </w:r>
      <w:r w:rsidRPr="00BD055E">
        <w:rPr>
          <w:rFonts w:ascii="Times New (W1)" w:hAnsi="Times New (W1)" w:cs="Arial"/>
        </w:rPr>
        <w:t>A con perspectiva estable</w:t>
      </w:r>
      <w:r w:rsidR="00A51968" w:rsidRPr="00BD055E">
        <w:rPr>
          <w:rFonts w:ascii="Times New (W1)" w:hAnsi="Times New (W1)" w:cs="Arial"/>
        </w:rPr>
        <w:t>”</w:t>
      </w:r>
      <w:r w:rsidRPr="00BD055E">
        <w:rPr>
          <w:rFonts w:ascii="Times New (W1)" w:hAnsi="Times New (W1)" w:cs="Arial"/>
        </w:rPr>
        <w:t xml:space="preserve">, nota de solvencia dos escalones superior a la del Reino de España (BBB+). </w:t>
      </w:r>
      <w:r w:rsidR="004E1E02" w:rsidRPr="00BD055E">
        <w:rPr>
          <w:rFonts w:ascii="Times New (W1)" w:hAnsi="Times New (W1)" w:cs="Arial"/>
        </w:rPr>
        <w:t xml:space="preserve">En 2014, la citada agencia había calificado la deuda de Navarra en </w:t>
      </w:r>
      <w:r w:rsidR="00A51968" w:rsidRPr="00BD055E">
        <w:rPr>
          <w:rFonts w:ascii="Times New (W1)" w:hAnsi="Times New (W1)" w:cs="Arial"/>
        </w:rPr>
        <w:t>“</w:t>
      </w:r>
      <w:r w:rsidR="004E1E02" w:rsidRPr="00BD055E">
        <w:rPr>
          <w:rFonts w:ascii="Times New (W1)" w:hAnsi="Times New (W1)" w:cs="Arial"/>
        </w:rPr>
        <w:t>A</w:t>
      </w:r>
      <w:r w:rsidR="00A51968" w:rsidRPr="00BD055E">
        <w:rPr>
          <w:rFonts w:ascii="Times New (W1)" w:hAnsi="Times New (W1)" w:cs="Arial"/>
        </w:rPr>
        <w:t xml:space="preserve"> </w:t>
      </w:r>
      <w:r w:rsidR="004E1E02" w:rsidRPr="00BD055E">
        <w:rPr>
          <w:rFonts w:ascii="Times New (W1)" w:hAnsi="Times New (W1)" w:cs="Arial"/>
        </w:rPr>
        <w:t>- con perspectiva e</w:t>
      </w:r>
      <w:r w:rsidR="004E1E02" w:rsidRPr="00BD055E">
        <w:rPr>
          <w:rFonts w:ascii="Times New (W1)" w:hAnsi="Times New (W1)" w:cs="Arial"/>
        </w:rPr>
        <w:t>s</w:t>
      </w:r>
      <w:r w:rsidR="004E1E02" w:rsidRPr="00BD055E">
        <w:rPr>
          <w:rFonts w:ascii="Times New (W1)" w:hAnsi="Times New (W1)" w:cs="Arial"/>
        </w:rPr>
        <w:t>table</w:t>
      </w:r>
      <w:r w:rsidR="00A51968" w:rsidRPr="00BD055E">
        <w:rPr>
          <w:rFonts w:ascii="Times New (W1)" w:hAnsi="Times New (W1)" w:cs="Arial"/>
        </w:rPr>
        <w:t>”</w:t>
      </w:r>
      <w:r w:rsidR="009D52C6" w:rsidRPr="00BD055E">
        <w:rPr>
          <w:rFonts w:ascii="Times New (W1)" w:hAnsi="Times New (W1)" w:cs="Arial"/>
        </w:rPr>
        <w:t>, por lo que en 2015 la Comunidad Foral ha mejorado su posición.</w:t>
      </w:r>
    </w:p>
    <w:p w:rsidR="00F951F8" w:rsidRDefault="00F951F8" w:rsidP="00F35AED">
      <w:pPr>
        <w:pStyle w:val="texto"/>
        <w:tabs>
          <w:tab w:val="num" w:pos="300"/>
        </w:tabs>
        <w:spacing w:after="240"/>
        <w:rPr>
          <w:i/>
          <w:lang w:val="es-ES"/>
        </w:rPr>
      </w:pPr>
      <w:r w:rsidRPr="00F951F8">
        <w:rPr>
          <w:i/>
          <w:lang w:val="es-ES"/>
        </w:rPr>
        <w:t xml:space="preserve">Recomendamos incluir en la memoria, de acuerdo con la LFHP, la cuenta general de endeudamiento de la Administración de la Comunidad Foral y de sus entes dependientes.  </w:t>
      </w:r>
    </w:p>
    <w:p w:rsidR="00307FEA" w:rsidRPr="00307FEA" w:rsidRDefault="00307FEA" w:rsidP="00071FC3">
      <w:pPr>
        <w:pStyle w:val="atitulo3"/>
        <w:rPr>
          <w:lang w:val="es-ES"/>
        </w:rPr>
      </w:pPr>
      <w:r w:rsidRPr="00307FEA">
        <w:rPr>
          <w:lang w:val="es-ES"/>
        </w:rPr>
        <w:t>Avales y otras garantías</w:t>
      </w:r>
      <w:r>
        <w:rPr>
          <w:lang w:val="es-ES"/>
        </w:rPr>
        <w:t xml:space="preserve"> con</w:t>
      </w:r>
      <w:r w:rsidR="00B75A6A">
        <w:rPr>
          <w:lang w:val="es-ES"/>
        </w:rPr>
        <w:t>stituidas</w:t>
      </w:r>
    </w:p>
    <w:p w:rsidR="00307FEA" w:rsidRDefault="00307FEA" w:rsidP="00F33DBB">
      <w:pPr>
        <w:pStyle w:val="texto"/>
        <w:tabs>
          <w:tab w:val="num" w:pos="4920"/>
        </w:tabs>
        <w:spacing w:after="120"/>
      </w:pPr>
      <w:r w:rsidRPr="00A92B85">
        <w:t xml:space="preserve">El saldo vivo de avales constituidos por el Gobierno </w:t>
      </w:r>
      <w:r>
        <w:t>prácticamente perman</w:t>
      </w:r>
      <w:r>
        <w:t>e</w:t>
      </w:r>
      <w:r>
        <w:t>ce igual entre ambos ejercicios</w:t>
      </w:r>
      <w:r w:rsidRPr="00A92B85">
        <w:t>, alcanzando en 201</w:t>
      </w:r>
      <w:r>
        <w:t>5</w:t>
      </w:r>
      <w:r w:rsidRPr="00A92B85">
        <w:t xml:space="preserve"> un importe de 1</w:t>
      </w:r>
      <w:r>
        <w:t>49</w:t>
      </w:r>
      <w:r w:rsidRPr="00A92B85">
        <w:t xml:space="preserve"> mill</w:t>
      </w:r>
      <w:r w:rsidRPr="00A92B85">
        <w:t>o</w:t>
      </w:r>
      <w:r w:rsidRPr="00A92B85">
        <w:t>nes, que se desglosa de la forma siguiente:</w:t>
      </w:r>
    </w:p>
    <w:p w:rsidR="00F33DBB" w:rsidRPr="00846EDC" w:rsidRDefault="001E7B19" w:rsidP="00F33DBB">
      <w:pPr>
        <w:pStyle w:val="recomen"/>
        <w:numPr>
          <w:ilvl w:val="0"/>
          <w:numId w:val="0"/>
        </w:numPr>
        <w:spacing w:after="40"/>
        <w:ind w:left="1588"/>
        <w:jc w:val="right"/>
        <w:rPr>
          <w:rFonts w:ascii="Arial Narrow" w:hAnsi="Arial Narrow"/>
          <w:i w:val="0"/>
          <w:sz w:val="18"/>
          <w:szCs w:val="18"/>
        </w:rPr>
      </w:pPr>
      <w:r>
        <w:rPr>
          <w:rFonts w:ascii="Arial Narrow" w:hAnsi="Arial Narrow"/>
          <w:i w:val="0"/>
          <w:sz w:val="18"/>
          <w:szCs w:val="18"/>
        </w:rPr>
        <w:t>M</w:t>
      </w:r>
      <w:r w:rsidR="00F33DBB" w:rsidRPr="00846EDC">
        <w:rPr>
          <w:rFonts w:ascii="Arial Narrow" w:hAnsi="Arial Narrow"/>
          <w:i w:val="0"/>
          <w:sz w:val="18"/>
          <w:szCs w:val="18"/>
        </w:rPr>
        <w:t>iles de euros</w:t>
      </w:r>
    </w:p>
    <w:tbl>
      <w:tblPr>
        <w:tblW w:w="8846" w:type="dxa"/>
        <w:jc w:val="center"/>
        <w:tblBorders>
          <w:top w:val="single" w:sz="4" w:space="0" w:color="000000"/>
          <w:bottom w:val="single" w:sz="4" w:space="0" w:color="000000"/>
        </w:tblBorders>
        <w:tblCellMar>
          <w:left w:w="70" w:type="dxa"/>
          <w:right w:w="70" w:type="dxa"/>
        </w:tblCellMar>
        <w:tblLook w:val="0000" w:firstRow="0" w:lastRow="0" w:firstColumn="0" w:lastColumn="0" w:noHBand="0" w:noVBand="0"/>
      </w:tblPr>
      <w:tblGrid>
        <w:gridCol w:w="4744"/>
        <w:gridCol w:w="2051"/>
        <w:gridCol w:w="2051"/>
      </w:tblGrid>
      <w:tr w:rsidR="00307FEA" w:rsidRPr="00666A56" w:rsidTr="00F35AED">
        <w:trPr>
          <w:trHeight w:val="284"/>
          <w:jc w:val="center"/>
        </w:trPr>
        <w:tc>
          <w:tcPr>
            <w:tcW w:w="4744" w:type="dxa"/>
            <w:tcBorders>
              <w:top w:val="single" w:sz="4" w:space="0" w:color="000000"/>
              <w:bottom w:val="single" w:sz="4" w:space="0" w:color="000000"/>
            </w:tcBorders>
            <w:shd w:val="clear" w:color="auto" w:fill="A8CBEE" w:themeFill="accent2" w:themeFillTint="66"/>
            <w:noWrap/>
            <w:vAlign w:val="center"/>
          </w:tcPr>
          <w:p w:rsidR="00307FEA" w:rsidRPr="00284FB2" w:rsidRDefault="00307FEA" w:rsidP="00DD1A72">
            <w:pPr>
              <w:pStyle w:val="cuadroCabe"/>
              <w:jc w:val="left"/>
              <w:rPr>
                <w:rFonts w:cs="Arial"/>
              </w:rPr>
            </w:pPr>
            <w:r w:rsidRPr="00284FB2">
              <w:rPr>
                <w:rFonts w:cs="Arial"/>
              </w:rPr>
              <w:t>Avales constituidos </w:t>
            </w:r>
          </w:p>
        </w:tc>
        <w:tc>
          <w:tcPr>
            <w:tcW w:w="2051" w:type="dxa"/>
            <w:tcBorders>
              <w:top w:val="single" w:sz="4" w:space="0" w:color="000000"/>
              <w:bottom w:val="single" w:sz="4" w:space="0" w:color="000000"/>
            </w:tcBorders>
            <w:shd w:val="clear" w:color="auto" w:fill="A8CBEE" w:themeFill="accent2" w:themeFillTint="66"/>
            <w:vAlign w:val="center"/>
          </w:tcPr>
          <w:p w:rsidR="00307FEA" w:rsidRPr="00284FB2" w:rsidRDefault="00307FEA" w:rsidP="00DD1A72">
            <w:pPr>
              <w:pStyle w:val="cuadroCabe"/>
              <w:jc w:val="right"/>
              <w:rPr>
                <w:rFonts w:cs="Arial"/>
              </w:rPr>
            </w:pPr>
            <w:r>
              <w:rPr>
                <w:rFonts w:cs="Arial"/>
              </w:rPr>
              <w:t>2014</w:t>
            </w:r>
          </w:p>
        </w:tc>
        <w:tc>
          <w:tcPr>
            <w:tcW w:w="2051" w:type="dxa"/>
            <w:tcBorders>
              <w:top w:val="single" w:sz="4" w:space="0" w:color="000000"/>
              <w:bottom w:val="single" w:sz="4" w:space="0" w:color="000000"/>
            </w:tcBorders>
            <w:shd w:val="clear" w:color="auto" w:fill="A8CBEE" w:themeFill="accent2" w:themeFillTint="66"/>
            <w:noWrap/>
            <w:vAlign w:val="center"/>
          </w:tcPr>
          <w:p w:rsidR="00307FEA" w:rsidRPr="00284FB2" w:rsidRDefault="00307FEA" w:rsidP="00DD1A72">
            <w:pPr>
              <w:pStyle w:val="cuadroCabe"/>
              <w:jc w:val="right"/>
              <w:rPr>
                <w:rFonts w:cs="Arial"/>
              </w:rPr>
            </w:pPr>
            <w:r>
              <w:rPr>
                <w:rFonts w:cs="Arial"/>
              </w:rPr>
              <w:t>2015</w:t>
            </w:r>
          </w:p>
        </w:tc>
      </w:tr>
      <w:tr w:rsidR="00307FEA" w:rsidRPr="005E3C7E" w:rsidTr="00F35AED">
        <w:trPr>
          <w:trHeight w:val="284"/>
          <w:jc w:val="center"/>
        </w:trPr>
        <w:tc>
          <w:tcPr>
            <w:tcW w:w="4744" w:type="dxa"/>
            <w:tcBorders>
              <w:top w:val="single" w:sz="4" w:space="0" w:color="000000"/>
              <w:bottom w:val="single" w:sz="2" w:space="0" w:color="000000"/>
            </w:tcBorders>
            <w:noWrap/>
            <w:vAlign w:val="center"/>
          </w:tcPr>
          <w:p w:rsidR="00307FEA" w:rsidRPr="005E3C7E" w:rsidRDefault="00307FEA" w:rsidP="00DD1A72">
            <w:pPr>
              <w:spacing w:after="0"/>
              <w:ind w:firstLine="0"/>
              <w:jc w:val="left"/>
              <w:rPr>
                <w:rFonts w:ascii="Arial Narrow" w:hAnsi="Arial Narrow" w:cs="Arial"/>
                <w:lang w:val="es-ES" w:eastAsia="es-ES"/>
              </w:rPr>
            </w:pPr>
            <w:r w:rsidRPr="005E3C7E">
              <w:rPr>
                <w:rFonts w:ascii="Arial Narrow" w:hAnsi="Arial Narrow" w:cs="Arial"/>
                <w:lang w:val="es-ES" w:eastAsia="es-ES"/>
              </w:rPr>
              <w:t>I+D</w:t>
            </w:r>
          </w:p>
        </w:tc>
        <w:tc>
          <w:tcPr>
            <w:tcW w:w="2051" w:type="dxa"/>
            <w:tcBorders>
              <w:top w:val="single" w:sz="4" w:space="0" w:color="000000"/>
              <w:bottom w:val="single" w:sz="2" w:space="0" w:color="000000"/>
            </w:tcBorders>
            <w:vAlign w:val="center"/>
          </w:tcPr>
          <w:p w:rsidR="00307FEA" w:rsidRPr="005E3C7E" w:rsidRDefault="00307FEA" w:rsidP="00DD1A72">
            <w:pPr>
              <w:spacing w:after="0"/>
              <w:ind w:firstLine="0"/>
              <w:jc w:val="right"/>
              <w:rPr>
                <w:rFonts w:ascii="Arial Narrow" w:hAnsi="Arial Narrow" w:cs="Arial"/>
                <w:lang w:val="es-ES" w:eastAsia="es-ES"/>
              </w:rPr>
            </w:pPr>
            <w:r>
              <w:rPr>
                <w:rFonts w:ascii="Arial Narrow" w:hAnsi="Arial Narrow" w:cs="Arial"/>
                <w:lang w:val="es-ES" w:eastAsia="es-ES"/>
              </w:rPr>
              <w:t>229</w:t>
            </w:r>
          </w:p>
        </w:tc>
        <w:tc>
          <w:tcPr>
            <w:tcW w:w="2051" w:type="dxa"/>
            <w:tcBorders>
              <w:top w:val="single" w:sz="4" w:space="0" w:color="000000"/>
              <w:bottom w:val="single" w:sz="2" w:space="0" w:color="000000"/>
            </w:tcBorders>
            <w:noWrap/>
            <w:vAlign w:val="center"/>
          </w:tcPr>
          <w:p w:rsidR="00307FEA" w:rsidRPr="005E3C7E" w:rsidRDefault="00307FEA" w:rsidP="00DD1A72">
            <w:pPr>
              <w:spacing w:after="0"/>
              <w:ind w:firstLine="0"/>
              <w:jc w:val="right"/>
              <w:rPr>
                <w:rFonts w:ascii="Arial Narrow" w:hAnsi="Arial Narrow" w:cs="Arial"/>
                <w:lang w:val="es-ES" w:eastAsia="es-ES"/>
              </w:rPr>
            </w:pPr>
            <w:r>
              <w:rPr>
                <w:rFonts w:ascii="Arial Narrow" w:hAnsi="Arial Narrow" w:cs="Arial"/>
                <w:lang w:val="es-ES" w:eastAsia="es-ES"/>
              </w:rPr>
              <w:t>209</w:t>
            </w:r>
          </w:p>
        </w:tc>
      </w:tr>
      <w:tr w:rsidR="00307FEA" w:rsidRPr="005E3C7E" w:rsidTr="00F35AED">
        <w:trPr>
          <w:trHeight w:val="284"/>
          <w:jc w:val="center"/>
        </w:trPr>
        <w:tc>
          <w:tcPr>
            <w:tcW w:w="4744" w:type="dxa"/>
            <w:tcBorders>
              <w:top w:val="single" w:sz="2" w:space="0" w:color="000000"/>
              <w:bottom w:val="single" w:sz="2" w:space="0" w:color="000000"/>
            </w:tcBorders>
            <w:noWrap/>
            <w:vAlign w:val="center"/>
          </w:tcPr>
          <w:p w:rsidR="00307FEA" w:rsidRPr="005E3C7E" w:rsidRDefault="00307FEA" w:rsidP="00DD1A72">
            <w:pPr>
              <w:spacing w:after="0"/>
              <w:ind w:firstLine="0"/>
              <w:jc w:val="left"/>
              <w:rPr>
                <w:rFonts w:ascii="Arial Narrow" w:hAnsi="Arial Narrow" w:cs="Arial"/>
                <w:lang w:val="es-ES" w:eastAsia="es-ES"/>
              </w:rPr>
            </w:pPr>
            <w:r w:rsidRPr="005E3C7E">
              <w:rPr>
                <w:rFonts w:ascii="Arial Narrow" w:hAnsi="Arial Narrow" w:cs="Arial"/>
                <w:lang w:val="es-ES" w:eastAsia="es-ES"/>
              </w:rPr>
              <w:t>Empresas en dificultad y ayudas a la inversión</w:t>
            </w:r>
          </w:p>
        </w:tc>
        <w:tc>
          <w:tcPr>
            <w:tcW w:w="2051" w:type="dxa"/>
            <w:tcBorders>
              <w:top w:val="single" w:sz="2" w:space="0" w:color="000000"/>
              <w:bottom w:val="single" w:sz="2" w:space="0" w:color="000000"/>
            </w:tcBorders>
            <w:vAlign w:val="center"/>
          </w:tcPr>
          <w:p w:rsidR="00307FEA" w:rsidRPr="005E3C7E" w:rsidRDefault="00307FEA" w:rsidP="00DD1A72">
            <w:pPr>
              <w:spacing w:after="0"/>
              <w:ind w:firstLine="0"/>
              <w:jc w:val="right"/>
              <w:rPr>
                <w:rFonts w:ascii="Arial Narrow" w:hAnsi="Arial Narrow" w:cs="Arial"/>
                <w:lang w:val="es-ES" w:eastAsia="es-ES"/>
              </w:rPr>
            </w:pPr>
            <w:r>
              <w:rPr>
                <w:rFonts w:ascii="Arial Narrow" w:hAnsi="Arial Narrow" w:cs="Arial"/>
                <w:lang w:val="es-ES" w:eastAsia="es-ES"/>
              </w:rPr>
              <w:t>8.593</w:t>
            </w:r>
          </w:p>
        </w:tc>
        <w:tc>
          <w:tcPr>
            <w:tcW w:w="2051" w:type="dxa"/>
            <w:tcBorders>
              <w:top w:val="single" w:sz="2" w:space="0" w:color="000000"/>
              <w:bottom w:val="single" w:sz="2" w:space="0" w:color="000000"/>
            </w:tcBorders>
            <w:noWrap/>
            <w:vAlign w:val="center"/>
          </w:tcPr>
          <w:p w:rsidR="00307FEA" w:rsidRPr="005E3C7E" w:rsidRDefault="00307FEA" w:rsidP="00DD1A72">
            <w:pPr>
              <w:spacing w:after="0"/>
              <w:ind w:firstLine="0"/>
              <w:jc w:val="right"/>
              <w:rPr>
                <w:rFonts w:ascii="Arial Narrow" w:hAnsi="Arial Narrow" w:cs="Arial"/>
                <w:lang w:val="es-ES" w:eastAsia="es-ES"/>
              </w:rPr>
            </w:pPr>
            <w:r>
              <w:rPr>
                <w:rFonts w:ascii="Arial Narrow" w:hAnsi="Arial Narrow" w:cs="Arial"/>
                <w:lang w:val="es-ES" w:eastAsia="es-ES"/>
              </w:rPr>
              <w:t>6.804</w:t>
            </w:r>
          </w:p>
        </w:tc>
      </w:tr>
      <w:tr w:rsidR="00307FEA" w:rsidRPr="005E3C7E" w:rsidTr="00F35AED">
        <w:trPr>
          <w:trHeight w:val="284"/>
          <w:jc w:val="center"/>
        </w:trPr>
        <w:tc>
          <w:tcPr>
            <w:tcW w:w="4744" w:type="dxa"/>
            <w:tcBorders>
              <w:top w:val="single" w:sz="2" w:space="0" w:color="000000"/>
              <w:bottom w:val="single" w:sz="2" w:space="0" w:color="000000"/>
            </w:tcBorders>
            <w:noWrap/>
            <w:vAlign w:val="center"/>
          </w:tcPr>
          <w:p w:rsidR="00307FEA" w:rsidRPr="005E3C7E" w:rsidRDefault="00307FEA" w:rsidP="00DD1A72">
            <w:pPr>
              <w:spacing w:after="0"/>
              <w:ind w:firstLine="0"/>
              <w:jc w:val="left"/>
              <w:rPr>
                <w:rFonts w:ascii="Arial Narrow" w:hAnsi="Arial Narrow" w:cs="Arial"/>
                <w:lang w:val="es-ES" w:eastAsia="es-ES"/>
              </w:rPr>
            </w:pPr>
            <w:r w:rsidRPr="005E3C7E">
              <w:rPr>
                <w:rFonts w:ascii="Arial Narrow" w:hAnsi="Arial Narrow" w:cs="Arial"/>
                <w:lang w:val="es-ES" w:eastAsia="es-ES"/>
              </w:rPr>
              <w:t>Aval Navarra (Subavales SONAGAR)</w:t>
            </w:r>
          </w:p>
        </w:tc>
        <w:tc>
          <w:tcPr>
            <w:tcW w:w="2051" w:type="dxa"/>
            <w:tcBorders>
              <w:top w:val="single" w:sz="2" w:space="0" w:color="000000"/>
              <w:bottom w:val="single" w:sz="2" w:space="0" w:color="000000"/>
            </w:tcBorders>
            <w:vAlign w:val="center"/>
          </w:tcPr>
          <w:p w:rsidR="00307FEA" w:rsidRPr="005E3C7E" w:rsidRDefault="00307FEA" w:rsidP="00DD1A72">
            <w:pPr>
              <w:spacing w:after="0"/>
              <w:ind w:firstLine="0"/>
              <w:jc w:val="right"/>
              <w:rPr>
                <w:rFonts w:ascii="Arial Narrow" w:hAnsi="Arial Narrow" w:cs="Arial"/>
                <w:lang w:val="es-ES" w:eastAsia="es-ES"/>
              </w:rPr>
            </w:pPr>
            <w:r>
              <w:rPr>
                <w:rFonts w:ascii="Arial Narrow" w:hAnsi="Arial Narrow" w:cs="Arial"/>
                <w:lang w:val="es-ES" w:eastAsia="es-ES"/>
              </w:rPr>
              <w:t>3.859</w:t>
            </w:r>
          </w:p>
        </w:tc>
        <w:tc>
          <w:tcPr>
            <w:tcW w:w="2051" w:type="dxa"/>
            <w:tcBorders>
              <w:top w:val="single" w:sz="2" w:space="0" w:color="000000"/>
              <w:bottom w:val="single" w:sz="2" w:space="0" w:color="000000"/>
            </w:tcBorders>
            <w:noWrap/>
            <w:vAlign w:val="center"/>
          </w:tcPr>
          <w:p w:rsidR="00307FEA" w:rsidRPr="005E3C7E" w:rsidRDefault="00307FEA" w:rsidP="00DD1A72">
            <w:pPr>
              <w:spacing w:after="0"/>
              <w:ind w:firstLine="0"/>
              <w:jc w:val="right"/>
              <w:rPr>
                <w:rFonts w:ascii="Arial Narrow" w:hAnsi="Arial Narrow" w:cs="Arial"/>
                <w:lang w:val="es-ES" w:eastAsia="es-ES"/>
              </w:rPr>
            </w:pPr>
            <w:r>
              <w:rPr>
                <w:rFonts w:ascii="Arial Narrow" w:hAnsi="Arial Narrow" w:cs="Arial"/>
                <w:lang w:val="es-ES" w:eastAsia="es-ES"/>
              </w:rPr>
              <w:t>3.679</w:t>
            </w:r>
          </w:p>
        </w:tc>
      </w:tr>
      <w:tr w:rsidR="00307FEA" w:rsidRPr="005E3C7E" w:rsidTr="00F35AED">
        <w:trPr>
          <w:trHeight w:val="284"/>
          <w:jc w:val="center"/>
        </w:trPr>
        <w:tc>
          <w:tcPr>
            <w:tcW w:w="4744" w:type="dxa"/>
            <w:tcBorders>
              <w:top w:val="single" w:sz="2" w:space="0" w:color="000000"/>
              <w:bottom w:val="single" w:sz="2" w:space="0" w:color="000000"/>
            </w:tcBorders>
            <w:noWrap/>
            <w:vAlign w:val="center"/>
          </w:tcPr>
          <w:p w:rsidR="00307FEA" w:rsidRPr="005E3C7E" w:rsidRDefault="00307FEA" w:rsidP="00DD1A72">
            <w:pPr>
              <w:spacing w:after="0"/>
              <w:ind w:firstLine="0"/>
              <w:jc w:val="left"/>
              <w:rPr>
                <w:rFonts w:ascii="Arial Narrow" w:hAnsi="Arial Narrow" w:cs="Arial"/>
                <w:lang w:val="es-ES" w:eastAsia="es-ES"/>
              </w:rPr>
            </w:pPr>
            <w:r>
              <w:rPr>
                <w:rFonts w:ascii="Arial Narrow" w:hAnsi="Arial Narrow" w:cs="Arial"/>
                <w:lang w:val="es-ES" w:eastAsia="es-ES"/>
              </w:rPr>
              <w:t xml:space="preserve">NICDO. Circuito de los Arcos </w:t>
            </w:r>
          </w:p>
        </w:tc>
        <w:tc>
          <w:tcPr>
            <w:tcW w:w="2051" w:type="dxa"/>
            <w:tcBorders>
              <w:top w:val="single" w:sz="2" w:space="0" w:color="000000"/>
              <w:bottom w:val="single" w:sz="2" w:space="0" w:color="000000"/>
            </w:tcBorders>
            <w:vAlign w:val="center"/>
          </w:tcPr>
          <w:p w:rsidR="00307FEA" w:rsidRPr="005E3C7E" w:rsidRDefault="00307FEA" w:rsidP="00DD1A72">
            <w:pPr>
              <w:spacing w:after="0"/>
              <w:ind w:firstLine="0"/>
              <w:jc w:val="right"/>
              <w:rPr>
                <w:rFonts w:ascii="Arial Narrow" w:hAnsi="Arial Narrow" w:cs="Arial"/>
                <w:lang w:val="es-ES" w:eastAsia="es-ES"/>
              </w:rPr>
            </w:pPr>
            <w:r>
              <w:rPr>
                <w:rFonts w:ascii="Arial Narrow" w:hAnsi="Arial Narrow" w:cs="Arial"/>
                <w:lang w:val="es-ES" w:eastAsia="es-ES"/>
              </w:rPr>
              <w:t>25.577</w:t>
            </w:r>
          </w:p>
        </w:tc>
        <w:tc>
          <w:tcPr>
            <w:tcW w:w="2051" w:type="dxa"/>
            <w:tcBorders>
              <w:top w:val="single" w:sz="2" w:space="0" w:color="000000"/>
              <w:bottom w:val="single" w:sz="2" w:space="0" w:color="000000"/>
            </w:tcBorders>
            <w:noWrap/>
            <w:vAlign w:val="center"/>
          </w:tcPr>
          <w:p w:rsidR="00307FEA" w:rsidRPr="005E3C7E" w:rsidRDefault="00307FEA" w:rsidP="00DD1A72">
            <w:pPr>
              <w:spacing w:after="0"/>
              <w:ind w:firstLine="0"/>
              <w:jc w:val="right"/>
              <w:rPr>
                <w:rFonts w:ascii="Arial Narrow" w:hAnsi="Arial Narrow" w:cs="Arial"/>
                <w:lang w:val="es-ES" w:eastAsia="es-ES"/>
              </w:rPr>
            </w:pPr>
            <w:r>
              <w:rPr>
                <w:rFonts w:ascii="Arial Narrow" w:hAnsi="Arial Narrow" w:cs="Arial"/>
                <w:lang w:val="es-ES" w:eastAsia="es-ES"/>
              </w:rPr>
              <w:t>22.885</w:t>
            </w:r>
          </w:p>
        </w:tc>
      </w:tr>
      <w:tr w:rsidR="00307FEA" w:rsidRPr="005E3C7E" w:rsidTr="00F35AED">
        <w:trPr>
          <w:trHeight w:val="284"/>
          <w:jc w:val="center"/>
        </w:trPr>
        <w:tc>
          <w:tcPr>
            <w:tcW w:w="4744" w:type="dxa"/>
            <w:tcBorders>
              <w:top w:val="single" w:sz="2" w:space="0" w:color="000000"/>
              <w:bottom w:val="single" w:sz="4" w:space="0" w:color="000000"/>
            </w:tcBorders>
            <w:noWrap/>
            <w:vAlign w:val="center"/>
          </w:tcPr>
          <w:p w:rsidR="00307FEA" w:rsidRPr="005E3C7E" w:rsidRDefault="00307FEA" w:rsidP="00DD1A72">
            <w:pPr>
              <w:spacing w:after="0"/>
              <w:ind w:firstLine="0"/>
              <w:jc w:val="left"/>
              <w:rPr>
                <w:rFonts w:ascii="Arial Narrow" w:hAnsi="Arial Narrow" w:cs="Arial"/>
                <w:lang w:val="es-ES" w:eastAsia="es-ES"/>
              </w:rPr>
            </w:pPr>
            <w:r w:rsidRPr="005E3C7E">
              <w:rPr>
                <w:rFonts w:ascii="Arial Narrow" w:hAnsi="Arial Narrow" w:cs="Arial"/>
                <w:lang w:val="es-ES" w:eastAsia="es-ES"/>
              </w:rPr>
              <w:t>C.A. Osasuna</w:t>
            </w:r>
          </w:p>
        </w:tc>
        <w:tc>
          <w:tcPr>
            <w:tcW w:w="2051" w:type="dxa"/>
            <w:tcBorders>
              <w:top w:val="single" w:sz="2" w:space="0" w:color="000000"/>
              <w:bottom w:val="single" w:sz="4" w:space="0" w:color="000000"/>
            </w:tcBorders>
            <w:vAlign w:val="center"/>
          </w:tcPr>
          <w:p w:rsidR="00307FEA" w:rsidRPr="005E3C7E" w:rsidRDefault="00307FEA" w:rsidP="00DD1A72">
            <w:pPr>
              <w:spacing w:after="0"/>
              <w:ind w:firstLine="0"/>
              <w:jc w:val="right"/>
              <w:rPr>
                <w:rFonts w:ascii="Arial Narrow" w:hAnsi="Arial Narrow" w:cs="Arial"/>
                <w:lang w:val="es-ES" w:eastAsia="es-ES"/>
              </w:rPr>
            </w:pPr>
            <w:r>
              <w:rPr>
                <w:rFonts w:ascii="Arial Narrow" w:hAnsi="Arial Narrow" w:cs="Arial"/>
                <w:lang w:val="es-ES" w:eastAsia="es-ES"/>
              </w:rPr>
              <w:t>7.212</w:t>
            </w:r>
          </w:p>
        </w:tc>
        <w:tc>
          <w:tcPr>
            <w:tcW w:w="2051" w:type="dxa"/>
            <w:tcBorders>
              <w:top w:val="single" w:sz="2" w:space="0" w:color="000000"/>
              <w:bottom w:val="single" w:sz="4" w:space="0" w:color="000000"/>
            </w:tcBorders>
            <w:noWrap/>
            <w:vAlign w:val="center"/>
          </w:tcPr>
          <w:p w:rsidR="00307FEA" w:rsidRPr="005E3C7E" w:rsidRDefault="00307FEA" w:rsidP="00DD1A72">
            <w:pPr>
              <w:spacing w:after="0"/>
              <w:ind w:firstLine="0"/>
              <w:jc w:val="right"/>
              <w:rPr>
                <w:rFonts w:ascii="Arial Narrow" w:hAnsi="Arial Narrow" w:cs="Arial"/>
                <w:lang w:val="es-ES" w:eastAsia="es-ES"/>
              </w:rPr>
            </w:pPr>
            <w:r>
              <w:rPr>
                <w:rFonts w:ascii="Arial Narrow" w:hAnsi="Arial Narrow" w:cs="Arial"/>
                <w:lang w:val="es-ES" w:eastAsia="es-ES"/>
              </w:rPr>
              <w:t>11.212</w:t>
            </w:r>
          </w:p>
        </w:tc>
      </w:tr>
      <w:tr w:rsidR="00307FEA" w:rsidRPr="005E3C7E" w:rsidTr="00F35AED">
        <w:trPr>
          <w:trHeight w:val="284"/>
          <w:jc w:val="center"/>
        </w:trPr>
        <w:tc>
          <w:tcPr>
            <w:tcW w:w="4744" w:type="dxa"/>
            <w:tcBorders>
              <w:top w:val="single" w:sz="2" w:space="0" w:color="000000"/>
              <w:bottom w:val="single" w:sz="4" w:space="0" w:color="000000"/>
            </w:tcBorders>
            <w:noWrap/>
            <w:vAlign w:val="center"/>
          </w:tcPr>
          <w:p w:rsidR="00307FEA" w:rsidRPr="005E3C7E" w:rsidRDefault="00307FEA" w:rsidP="00DD1A72">
            <w:pPr>
              <w:spacing w:after="0"/>
              <w:ind w:firstLine="0"/>
              <w:jc w:val="left"/>
              <w:rPr>
                <w:rFonts w:ascii="Arial Narrow" w:hAnsi="Arial Narrow" w:cs="Arial"/>
                <w:lang w:val="es-ES" w:eastAsia="es-ES"/>
              </w:rPr>
            </w:pPr>
            <w:r>
              <w:rPr>
                <w:rFonts w:ascii="Arial Narrow" w:hAnsi="Arial Narrow" w:cs="Arial"/>
                <w:lang w:val="es-ES" w:eastAsia="es-ES"/>
              </w:rPr>
              <w:t>UPNA-Programa Iberus</w:t>
            </w:r>
          </w:p>
        </w:tc>
        <w:tc>
          <w:tcPr>
            <w:tcW w:w="2051" w:type="dxa"/>
            <w:tcBorders>
              <w:top w:val="single" w:sz="2" w:space="0" w:color="000000"/>
              <w:bottom w:val="single" w:sz="4" w:space="0" w:color="000000"/>
            </w:tcBorders>
            <w:vAlign w:val="center"/>
          </w:tcPr>
          <w:p w:rsidR="00307FEA" w:rsidRDefault="00307FEA" w:rsidP="00DD1A72">
            <w:pPr>
              <w:spacing w:after="0"/>
              <w:ind w:firstLine="0"/>
              <w:jc w:val="right"/>
              <w:rPr>
                <w:rFonts w:ascii="Arial Narrow" w:hAnsi="Arial Narrow" w:cs="Arial"/>
                <w:lang w:val="es-ES" w:eastAsia="es-ES"/>
              </w:rPr>
            </w:pPr>
            <w:r>
              <w:rPr>
                <w:rFonts w:ascii="Arial Narrow" w:hAnsi="Arial Narrow" w:cs="Arial"/>
                <w:lang w:val="es-ES" w:eastAsia="es-ES"/>
              </w:rPr>
              <w:t>859</w:t>
            </w:r>
          </w:p>
        </w:tc>
        <w:tc>
          <w:tcPr>
            <w:tcW w:w="2051" w:type="dxa"/>
            <w:tcBorders>
              <w:top w:val="single" w:sz="2" w:space="0" w:color="000000"/>
              <w:bottom w:val="single" w:sz="4" w:space="0" w:color="000000"/>
            </w:tcBorders>
            <w:noWrap/>
            <w:vAlign w:val="center"/>
          </w:tcPr>
          <w:p w:rsidR="00307FEA" w:rsidRPr="005E3C7E" w:rsidRDefault="00307FEA" w:rsidP="00DD1A72">
            <w:pPr>
              <w:spacing w:after="0"/>
              <w:ind w:firstLine="0"/>
              <w:jc w:val="right"/>
              <w:rPr>
                <w:rFonts w:ascii="Arial Narrow" w:hAnsi="Arial Narrow" w:cs="Arial"/>
                <w:lang w:val="es-ES" w:eastAsia="es-ES"/>
              </w:rPr>
            </w:pPr>
            <w:r>
              <w:rPr>
                <w:rFonts w:ascii="Arial Narrow" w:hAnsi="Arial Narrow" w:cs="Arial"/>
                <w:lang w:val="es-ES" w:eastAsia="es-ES"/>
              </w:rPr>
              <w:t>786</w:t>
            </w:r>
          </w:p>
        </w:tc>
      </w:tr>
      <w:tr w:rsidR="00307FEA" w:rsidRPr="005E3C7E" w:rsidTr="00F35AED">
        <w:trPr>
          <w:trHeight w:val="284"/>
          <w:jc w:val="center"/>
        </w:trPr>
        <w:tc>
          <w:tcPr>
            <w:tcW w:w="4744" w:type="dxa"/>
            <w:tcBorders>
              <w:top w:val="single" w:sz="2" w:space="0" w:color="000000"/>
              <w:bottom w:val="single" w:sz="4" w:space="0" w:color="000000"/>
            </w:tcBorders>
            <w:noWrap/>
            <w:vAlign w:val="center"/>
          </w:tcPr>
          <w:p w:rsidR="00307FEA" w:rsidRPr="005E3C7E" w:rsidRDefault="00307FEA" w:rsidP="00687C31">
            <w:pPr>
              <w:spacing w:after="0"/>
              <w:ind w:firstLine="0"/>
              <w:jc w:val="left"/>
              <w:rPr>
                <w:rFonts w:ascii="Arial Narrow" w:hAnsi="Arial Narrow" w:cs="Arial"/>
                <w:lang w:val="es-ES" w:eastAsia="es-ES"/>
              </w:rPr>
            </w:pPr>
            <w:r w:rsidRPr="005E3C7E">
              <w:rPr>
                <w:rFonts w:ascii="Arial Narrow" w:hAnsi="Arial Narrow" w:cs="Arial"/>
                <w:lang w:val="es-ES" w:eastAsia="es-ES"/>
              </w:rPr>
              <w:t>S</w:t>
            </w:r>
            <w:r w:rsidR="00687C31">
              <w:rPr>
                <w:rFonts w:ascii="Arial Narrow" w:hAnsi="Arial Narrow" w:cs="Arial"/>
                <w:lang w:val="es-ES" w:eastAsia="es-ES"/>
              </w:rPr>
              <w:t>ODENA</w:t>
            </w:r>
          </w:p>
        </w:tc>
        <w:tc>
          <w:tcPr>
            <w:tcW w:w="2051" w:type="dxa"/>
            <w:tcBorders>
              <w:top w:val="single" w:sz="2" w:space="0" w:color="000000"/>
              <w:bottom w:val="single" w:sz="4" w:space="0" w:color="000000"/>
            </w:tcBorders>
            <w:vAlign w:val="center"/>
          </w:tcPr>
          <w:p w:rsidR="00307FEA" w:rsidRPr="005E3C7E" w:rsidRDefault="00307FEA" w:rsidP="00DD1A72">
            <w:pPr>
              <w:spacing w:after="0"/>
              <w:ind w:firstLine="0"/>
              <w:jc w:val="right"/>
              <w:rPr>
                <w:rFonts w:ascii="Arial Narrow" w:hAnsi="Arial Narrow" w:cs="Arial"/>
                <w:lang w:val="es-ES" w:eastAsia="es-ES"/>
              </w:rPr>
            </w:pPr>
            <w:r>
              <w:rPr>
                <w:rFonts w:ascii="Arial Narrow" w:hAnsi="Arial Narrow" w:cs="Arial"/>
                <w:lang w:val="es-ES" w:eastAsia="es-ES"/>
              </w:rPr>
              <w:t>102.764</w:t>
            </w:r>
          </w:p>
        </w:tc>
        <w:tc>
          <w:tcPr>
            <w:tcW w:w="2051" w:type="dxa"/>
            <w:tcBorders>
              <w:top w:val="single" w:sz="2" w:space="0" w:color="000000"/>
              <w:bottom w:val="single" w:sz="4" w:space="0" w:color="000000"/>
            </w:tcBorders>
            <w:noWrap/>
            <w:vAlign w:val="center"/>
          </w:tcPr>
          <w:p w:rsidR="00307FEA" w:rsidRPr="005E3C7E" w:rsidRDefault="00307FEA" w:rsidP="00DD1A72">
            <w:pPr>
              <w:spacing w:after="0"/>
              <w:ind w:firstLine="0"/>
              <w:jc w:val="right"/>
              <w:rPr>
                <w:rFonts w:ascii="Arial Narrow" w:hAnsi="Arial Narrow" w:cs="Arial"/>
                <w:lang w:val="es-ES" w:eastAsia="es-ES"/>
              </w:rPr>
            </w:pPr>
            <w:r>
              <w:rPr>
                <w:rFonts w:ascii="Arial Narrow" w:hAnsi="Arial Narrow" w:cs="Arial"/>
                <w:lang w:val="es-ES" w:eastAsia="es-ES"/>
              </w:rPr>
              <w:t>102.953</w:t>
            </w:r>
          </w:p>
        </w:tc>
      </w:tr>
      <w:tr w:rsidR="00307FEA" w:rsidRPr="005E3C7E" w:rsidTr="00F35AED">
        <w:trPr>
          <w:trHeight w:val="284"/>
          <w:jc w:val="center"/>
        </w:trPr>
        <w:tc>
          <w:tcPr>
            <w:tcW w:w="4744" w:type="dxa"/>
            <w:tcBorders>
              <w:top w:val="single" w:sz="2" w:space="0" w:color="000000"/>
              <w:bottom w:val="single" w:sz="4" w:space="0" w:color="000000"/>
            </w:tcBorders>
            <w:noWrap/>
            <w:vAlign w:val="center"/>
          </w:tcPr>
          <w:p w:rsidR="00307FEA" w:rsidRPr="005E3C7E" w:rsidRDefault="00307FEA" w:rsidP="00DD1A72">
            <w:pPr>
              <w:spacing w:after="0"/>
              <w:ind w:firstLine="0"/>
              <w:jc w:val="left"/>
              <w:rPr>
                <w:rFonts w:ascii="Arial Narrow" w:hAnsi="Arial Narrow" w:cs="Arial"/>
                <w:lang w:val="es-ES" w:eastAsia="es-ES"/>
              </w:rPr>
            </w:pPr>
            <w:r>
              <w:rPr>
                <w:rFonts w:ascii="Arial Narrow" w:hAnsi="Arial Narrow" w:cs="Arial"/>
                <w:lang w:val="es-ES" w:eastAsia="es-ES"/>
              </w:rPr>
              <w:t>CRANA</w:t>
            </w:r>
          </w:p>
        </w:tc>
        <w:tc>
          <w:tcPr>
            <w:tcW w:w="2051" w:type="dxa"/>
            <w:tcBorders>
              <w:top w:val="single" w:sz="2" w:space="0" w:color="000000"/>
              <w:bottom w:val="single" w:sz="4" w:space="0" w:color="000000"/>
            </w:tcBorders>
            <w:vAlign w:val="center"/>
          </w:tcPr>
          <w:p w:rsidR="00307FEA" w:rsidRPr="005E3C7E" w:rsidRDefault="00307FEA" w:rsidP="00DD1A72">
            <w:pPr>
              <w:spacing w:after="0"/>
              <w:ind w:firstLine="0"/>
              <w:jc w:val="right"/>
              <w:rPr>
                <w:rFonts w:ascii="Arial Narrow" w:hAnsi="Arial Narrow" w:cs="Arial"/>
                <w:lang w:val="es-ES" w:eastAsia="es-ES"/>
              </w:rPr>
            </w:pPr>
            <w:r>
              <w:rPr>
                <w:rFonts w:ascii="Arial Narrow" w:hAnsi="Arial Narrow" w:cs="Arial"/>
                <w:lang w:val="es-ES" w:eastAsia="es-ES"/>
              </w:rPr>
              <w:t>500</w:t>
            </w:r>
          </w:p>
        </w:tc>
        <w:tc>
          <w:tcPr>
            <w:tcW w:w="2051" w:type="dxa"/>
            <w:tcBorders>
              <w:top w:val="single" w:sz="2" w:space="0" w:color="000000"/>
              <w:bottom w:val="single" w:sz="4" w:space="0" w:color="000000"/>
            </w:tcBorders>
            <w:noWrap/>
            <w:vAlign w:val="center"/>
          </w:tcPr>
          <w:p w:rsidR="00307FEA" w:rsidRPr="005E3C7E" w:rsidRDefault="00307FEA" w:rsidP="00DD1A72">
            <w:pPr>
              <w:spacing w:after="0"/>
              <w:ind w:firstLine="0"/>
              <w:jc w:val="right"/>
              <w:rPr>
                <w:rFonts w:ascii="Arial Narrow" w:hAnsi="Arial Narrow" w:cs="Arial"/>
                <w:lang w:val="es-ES" w:eastAsia="es-ES"/>
              </w:rPr>
            </w:pPr>
            <w:r>
              <w:rPr>
                <w:rFonts w:ascii="Arial Narrow" w:hAnsi="Arial Narrow" w:cs="Arial"/>
                <w:lang w:val="es-ES" w:eastAsia="es-ES"/>
              </w:rPr>
              <w:t>500</w:t>
            </w:r>
          </w:p>
        </w:tc>
      </w:tr>
      <w:tr w:rsidR="00307FEA" w:rsidRPr="005E3C7E" w:rsidTr="00F35AED">
        <w:trPr>
          <w:trHeight w:val="284"/>
          <w:jc w:val="center"/>
        </w:trPr>
        <w:tc>
          <w:tcPr>
            <w:tcW w:w="4744" w:type="dxa"/>
            <w:tcBorders>
              <w:top w:val="single" w:sz="4" w:space="0" w:color="000000"/>
              <w:bottom w:val="single" w:sz="4" w:space="0" w:color="000000"/>
            </w:tcBorders>
            <w:shd w:val="clear" w:color="auto" w:fill="A8CBEE" w:themeFill="accent2" w:themeFillTint="66"/>
            <w:noWrap/>
            <w:vAlign w:val="center"/>
          </w:tcPr>
          <w:p w:rsidR="00307FEA" w:rsidRPr="005E3C7E" w:rsidRDefault="00307FEA" w:rsidP="00DD1A72">
            <w:pPr>
              <w:pStyle w:val="cuadroCabe"/>
              <w:rPr>
                <w:lang w:val="es-ES" w:eastAsia="es-ES"/>
              </w:rPr>
            </w:pPr>
            <w:r w:rsidRPr="005E3C7E">
              <w:rPr>
                <w:lang w:val="es-ES" w:eastAsia="es-ES"/>
              </w:rPr>
              <w:t>Total</w:t>
            </w:r>
          </w:p>
        </w:tc>
        <w:tc>
          <w:tcPr>
            <w:tcW w:w="2051" w:type="dxa"/>
            <w:tcBorders>
              <w:top w:val="single" w:sz="4" w:space="0" w:color="000000"/>
              <w:bottom w:val="single" w:sz="4" w:space="0" w:color="000000"/>
            </w:tcBorders>
            <w:shd w:val="clear" w:color="auto" w:fill="A8CBEE" w:themeFill="accent2" w:themeFillTint="66"/>
            <w:vAlign w:val="center"/>
          </w:tcPr>
          <w:p w:rsidR="00307FEA" w:rsidRPr="005E3C7E" w:rsidRDefault="00307FEA" w:rsidP="00DD1A72">
            <w:pPr>
              <w:pStyle w:val="cuadroCabe"/>
              <w:jc w:val="right"/>
              <w:rPr>
                <w:lang w:val="es-ES" w:eastAsia="es-ES"/>
              </w:rPr>
            </w:pPr>
            <w:r>
              <w:rPr>
                <w:lang w:val="es-ES" w:eastAsia="es-ES"/>
              </w:rPr>
              <w:t>149.593</w:t>
            </w:r>
          </w:p>
        </w:tc>
        <w:tc>
          <w:tcPr>
            <w:tcW w:w="2051" w:type="dxa"/>
            <w:tcBorders>
              <w:top w:val="single" w:sz="4" w:space="0" w:color="000000"/>
              <w:bottom w:val="single" w:sz="4" w:space="0" w:color="000000"/>
            </w:tcBorders>
            <w:shd w:val="clear" w:color="auto" w:fill="A8CBEE" w:themeFill="accent2" w:themeFillTint="66"/>
            <w:noWrap/>
            <w:vAlign w:val="center"/>
          </w:tcPr>
          <w:p w:rsidR="00307FEA" w:rsidRPr="005E3C7E" w:rsidRDefault="00307FEA" w:rsidP="00DD1A72">
            <w:pPr>
              <w:pStyle w:val="cuadroCabe"/>
              <w:jc w:val="right"/>
              <w:rPr>
                <w:lang w:val="es-ES" w:eastAsia="es-ES"/>
              </w:rPr>
            </w:pPr>
            <w:r>
              <w:rPr>
                <w:lang w:val="es-ES" w:eastAsia="es-ES"/>
              </w:rPr>
              <w:t>149.028</w:t>
            </w:r>
          </w:p>
        </w:tc>
      </w:tr>
    </w:tbl>
    <w:p w:rsidR="00307FEA" w:rsidRPr="004A12F3" w:rsidRDefault="00307FEA" w:rsidP="00F35AED">
      <w:pPr>
        <w:pStyle w:val="texto"/>
        <w:spacing w:before="240"/>
      </w:pPr>
      <w:r w:rsidRPr="004A12F3">
        <w:t>El aval a Sodena se constituye para garantizar un préstamo de esta sociedad recibido del Banco Europeo de Inversiones y destinado a financiar proyectos de inversión de las pequeñas y medianas empresas en el marco del Plan Moderna.</w:t>
      </w:r>
    </w:p>
    <w:p w:rsidR="007D6A48" w:rsidRDefault="00307FEA" w:rsidP="00A20D5E">
      <w:pPr>
        <w:pStyle w:val="texto"/>
      </w:pPr>
      <w:r w:rsidRPr="004A12F3">
        <w:t>El aval a la empresa pública “N</w:t>
      </w:r>
      <w:r w:rsidR="00D85559">
        <w:t>IC</w:t>
      </w:r>
      <w:r w:rsidRPr="004A12F3">
        <w:t xml:space="preserve">DO. Circuito de los Arcos” tiene su origen en 2009 por un préstamo recibido por la extinta sociedad pública Circuito Los Arcos SL –hoy integrada en NICDO– por un importe inicial de 35 millones con vencimiento en mayo de 2024. </w:t>
      </w:r>
    </w:p>
    <w:p w:rsidR="00307FEA" w:rsidRPr="004A12F3" w:rsidRDefault="00307FEA" w:rsidP="00A20D5E">
      <w:pPr>
        <w:pStyle w:val="texto"/>
        <w:tabs>
          <w:tab w:val="num" w:pos="4920"/>
        </w:tabs>
      </w:pPr>
      <w:r w:rsidRPr="004A12F3">
        <w:t xml:space="preserve">El </w:t>
      </w:r>
      <w:r>
        <w:t xml:space="preserve">inicial </w:t>
      </w:r>
      <w:r w:rsidRPr="004A12F3">
        <w:t>aval al C.A. Osasuna se concedió mediante ley foral en 2003.</w:t>
      </w:r>
      <w:r>
        <w:t xml:space="preserve"> En 2015, como resultado de la aplicación de la Ley Foral de reestructuración de la deuda tributaria de dicho Club, se le concedió otro nuevo aval por importe de cuatro millones.</w:t>
      </w:r>
    </w:p>
    <w:p w:rsidR="00307FEA" w:rsidRPr="00F35AED" w:rsidRDefault="00307FEA" w:rsidP="00A20D5E">
      <w:pPr>
        <w:pStyle w:val="texto"/>
        <w:tabs>
          <w:tab w:val="num" w:pos="4920"/>
        </w:tabs>
        <w:rPr>
          <w:spacing w:val="0"/>
        </w:rPr>
      </w:pPr>
      <w:r w:rsidRPr="00F35AED">
        <w:rPr>
          <w:spacing w:val="0"/>
        </w:rPr>
        <w:t>En 2015, el Gobierno de Navarra ha reconocido un gasto por incumplimiento de obligaciones afianzadas de 61.183 euros; en 2014 ese gasto fue de 3,34 millones.</w:t>
      </w:r>
    </w:p>
    <w:p w:rsidR="00A20D5E" w:rsidRDefault="00307FEA" w:rsidP="00BD055E">
      <w:pPr>
        <w:pStyle w:val="texto"/>
        <w:tabs>
          <w:tab w:val="num" w:pos="4920"/>
        </w:tabs>
        <w:rPr>
          <w:spacing w:val="2"/>
        </w:rPr>
      </w:pPr>
      <w:r w:rsidRPr="00910B37">
        <w:t xml:space="preserve">Además de los anteriores avales, el Gobierno de Navarra ha asumido riesgos mediante la figura de carta de </w:t>
      </w:r>
      <w:r w:rsidR="004011C4">
        <w:t>compromiso</w:t>
      </w:r>
      <w:r w:rsidR="0040098A">
        <w:t xml:space="preserve"> a sus empresas públicas</w:t>
      </w:r>
      <w:r>
        <w:t xml:space="preserve">, </w:t>
      </w:r>
      <w:r w:rsidRPr="00910B37">
        <w:t>figura no contemplada</w:t>
      </w:r>
      <w:r>
        <w:t xml:space="preserve"> ni regulada</w:t>
      </w:r>
      <w:r w:rsidRPr="00910B37">
        <w:t xml:space="preserve"> en la Ley Foral de la Hacienda Pública</w:t>
      </w:r>
      <w:r>
        <w:t>. A 31 de d</w:t>
      </w:r>
      <w:r>
        <w:t>i</w:t>
      </w:r>
      <w:r>
        <w:lastRenderedPageBreak/>
        <w:t xml:space="preserve">ciembre de 2015, las </w:t>
      </w:r>
      <w:r w:rsidR="004011C4">
        <w:t xml:space="preserve">citadas cartas </w:t>
      </w:r>
      <w:r>
        <w:t>garantizan un saldo de 133,1 millones, que corresponden a las empresas públicas</w:t>
      </w:r>
      <w:r w:rsidRPr="00910B37">
        <w:t xml:space="preserve"> Ciudad Agroalimentaria de Tudela</w:t>
      </w:r>
      <w:r>
        <w:t xml:space="preserve"> </w:t>
      </w:r>
      <w:r w:rsidR="00F35AED">
        <w:t>–</w:t>
      </w:r>
      <w:r>
        <w:t>30,6 millones</w:t>
      </w:r>
      <w:r w:rsidR="00F35AED">
        <w:t>–</w:t>
      </w:r>
      <w:r>
        <w:t xml:space="preserve"> y a Sodena </w:t>
      </w:r>
      <w:r w:rsidR="00F35AED">
        <w:t>–</w:t>
      </w:r>
      <w:r>
        <w:t>102,5 millones</w:t>
      </w:r>
      <w:r w:rsidR="00F35AED">
        <w:t>–</w:t>
      </w:r>
      <w:r>
        <w:t>.</w:t>
      </w:r>
      <w:r w:rsidRPr="00910B37">
        <w:t xml:space="preserve"> </w:t>
      </w:r>
      <w:r w:rsidRPr="00F35AED">
        <w:rPr>
          <w:spacing w:val="2"/>
        </w:rPr>
        <w:t>En 2015, no se han efectuado nuevas operaciones de esta naturaleza y, hasta la actualidad, no consta que estas cartas hayan supuesto aplicación de recursos públicos por parte del Gobierno de Navarra.</w:t>
      </w:r>
    </w:p>
    <w:p w:rsidR="005A1E86" w:rsidRDefault="00307FEA" w:rsidP="00A247F4">
      <w:pPr>
        <w:pStyle w:val="texto"/>
        <w:rPr>
          <w:i/>
          <w:lang w:val="es-ES"/>
        </w:rPr>
      </w:pPr>
      <w:r w:rsidRPr="005A1E86">
        <w:rPr>
          <w:lang w:val="es-ES"/>
        </w:rPr>
        <w:t>Recomendamos</w:t>
      </w:r>
      <w:r w:rsidR="005A1E86">
        <w:rPr>
          <w:lang w:val="es-ES"/>
        </w:rPr>
        <w:t>:</w:t>
      </w:r>
      <w:r w:rsidR="005A1E86">
        <w:rPr>
          <w:i/>
          <w:lang w:val="es-ES"/>
        </w:rPr>
        <w:t xml:space="preserve"> </w:t>
      </w:r>
    </w:p>
    <w:p w:rsidR="005A1E86" w:rsidRDefault="005A1E86" w:rsidP="005A1E86">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i/>
          <w:lang w:val="es-ES"/>
        </w:rPr>
      </w:pPr>
      <w:r>
        <w:rPr>
          <w:i/>
          <w:lang w:val="es-ES"/>
        </w:rPr>
        <w:t>Incluir, en la memoria, de acuerdo con</w:t>
      </w:r>
      <w:r w:rsidR="00F951F8">
        <w:rPr>
          <w:i/>
          <w:lang w:val="es-ES"/>
        </w:rPr>
        <w:t xml:space="preserve"> la LFHP, </w:t>
      </w:r>
      <w:r>
        <w:rPr>
          <w:i/>
          <w:lang w:val="es-ES"/>
        </w:rPr>
        <w:t>el estado de avales de la Administración de la Comunidad Foral y de sus entes dependientes</w:t>
      </w:r>
      <w:r w:rsidR="005E6A53">
        <w:rPr>
          <w:i/>
          <w:lang w:val="es-ES"/>
        </w:rPr>
        <w:t xml:space="preserve">, </w:t>
      </w:r>
      <w:r w:rsidR="002D1CC1">
        <w:rPr>
          <w:i/>
          <w:lang w:val="es-ES"/>
        </w:rPr>
        <w:t>compre</w:t>
      </w:r>
      <w:r w:rsidR="002D1CC1">
        <w:rPr>
          <w:i/>
          <w:lang w:val="es-ES"/>
        </w:rPr>
        <w:t>n</w:t>
      </w:r>
      <w:r w:rsidR="002D1CC1">
        <w:rPr>
          <w:i/>
          <w:lang w:val="es-ES"/>
        </w:rPr>
        <w:t>diendo</w:t>
      </w:r>
      <w:r w:rsidR="005E6A53">
        <w:rPr>
          <w:i/>
          <w:lang w:val="es-ES"/>
        </w:rPr>
        <w:t xml:space="preserve"> tanto su valor nominal como su saldo vivo al final de cada ejercicio.</w:t>
      </w:r>
      <w:r>
        <w:rPr>
          <w:i/>
          <w:lang w:val="es-ES"/>
        </w:rPr>
        <w:t xml:space="preserve"> </w:t>
      </w:r>
    </w:p>
    <w:p w:rsidR="002D465A" w:rsidRPr="00F35AED" w:rsidRDefault="005A1E86" w:rsidP="00A20D5E">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360"/>
        <w:ind w:left="0" w:firstLine="289"/>
        <w:rPr>
          <w:i/>
          <w:lang w:val="es-ES"/>
        </w:rPr>
      </w:pPr>
      <w:r>
        <w:rPr>
          <w:i/>
          <w:lang w:val="es-ES"/>
        </w:rPr>
        <w:t>P</w:t>
      </w:r>
      <w:r w:rsidR="00307FEA">
        <w:rPr>
          <w:i/>
          <w:lang w:val="es-ES"/>
        </w:rPr>
        <w:t>ara</w:t>
      </w:r>
      <w:r w:rsidR="00307FEA" w:rsidRPr="003B53E5">
        <w:rPr>
          <w:i/>
          <w:lang w:val="es-ES"/>
        </w:rPr>
        <w:t xml:space="preserve"> </w:t>
      </w:r>
      <w:r w:rsidR="00307FEA">
        <w:rPr>
          <w:i/>
          <w:lang w:val="es-ES"/>
        </w:rPr>
        <w:t>la</w:t>
      </w:r>
      <w:r w:rsidR="00307FEA" w:rsidRPr="003B53E5">
        <w:rPr>
          <w:rFonts w:cs="Arial"/>
          <w:i/>
        </w:rPr>
        <w:t xml:space="preserve"> concesión de cartas de compromi</w:t>
      </w:r>
      <w:r w:rsidR="00307FEA">
        <w:rPr>
          <w:rFonts w:cs="Arial"/>
          <w:i/>
        </w:rPr>
        <w:t>so,</w:t>
      </w:r>
      <w:r w:rsidR="00307FEA" w:rsidRPr="003B53E5">
        <w:rPr>
          <w:rFonts w:cs="Arial"/>
          <w:i/>
        </w:rPr>
        <w:t xml:space="preserve"> en tanto no se regulan</w:t>
      </w:r>
      <w:r w:rsidR="00307FEA">
        <w:rPr>
          <w:rFonts w:cs="Arial"/>
          <w:i/>
        </w:rPr>
        <w:t xml:space="preserve"> espec</w:t>
      </w:r>
      <w:r w:rsidR="00307FEA">
        <w:rPr>
          <w:rFonts w:cs="Arial"/>
          <w:i/>
        </w:rPr>
        <w:t>í</w:t>
      </w:r>
      <w:r w:rsidR="00307FEA">
        <w:rPr>
          <w:rFonts w:cs="Arial"/>
          <w:i/>
        </w:rPr>
        <w:t>ficamente</w:t>
      </w:r>
      <w:r w:rsidR="00307FEA" w:rsidRPr="003B53E5">
        <w:rPr>
          <w:rFonts w:cs="Arial"/>
          <w:i/>
        </w:rPr>
        <w:t xml:space="preserve">, aplicar la </w:t>
      </w:r>
      <w:r w:rsidR="00307FEA">
        <w:rPr>
          <w:rFonts w:cs="Arial"/>
          <w:i/>
        </w:rPr>
        <w:t>normativa</w:t>
      </w:r>
      <w:r w:rsidR="00307FEA" w:rsidRPr="003B53E5">
        <w:rPr>
          <w:rFonts w:cs="Arial"/>
          <w:i/>
        </w:rPr>
        <w:t xml:space="preserve"> establecida en la Ley de Hacienda Pública p</w:t>
      </w:r>
      <w:r w:rsidR="00307FEA" w:rsidRPr="003B53E5">
        <w:rPr>
          <w:rFonts w:cs="Arial"/>
          <w:i/>
        </w:rPr>
        <w:t>a</w:t>
      </w:r>
      <w:r w:rsidR="00307FEA" w:rsidRPr="003B53E5">
        <w:rPr>
          <w:rFonts w:cs="Arial"/>
          <w:i/>
        </w:rPr>
        <w:t>ra la concesión de avales así como informar sobre las mismas en la memoria.</w:t>
      </w:r>
    </w:p>
    <w:p w:rsidR="001F52CA" w:rsidRDefault="001F52CA" w:rsidP="001F52CA">
      <w:pPr>
        <w:pStyle w:val="atitulo2"/>
        <w:spacing w:before="240"/>
      </w:pPr>
      <w:bookmarkStart w:id="48" w:name="_Toc463350253"/>
      <w:r>
        <w:t>IV.</w:t>
      </w:r>
      <w:r w:rsidR="00B31AA4">
        <w:t>7</w:t>
      </w:r>
      <w:r>
        <w:t xml:space="preserve">. </w:t>
      </w:r>
      <w:r w:rsidR="00317FE4">
        <w:t>Convenio Económico con el Estado</w:t>
      </w:r>
      <w:bookmarkEnd w:id="48"/>
    </w:p>
    <w:p w:rsidR="00CD1E6D" w:rsidRPr="00CD1E6D" w:rsidRDefault="00CD1E6D" w:rsidP="00CD1E6D">
      <w:pPr>
        <w:pStyle w:val="atitulo3"/>
        <w:spacing w:before="360"/>
      </w:pPr>
      <w:r w:rsidRPr="00CD1E6D">
        <w:t>IV.</w:t>
      </w:r>
      <w:r w:rsidR="00B31AA4">
        <w:t>7</w:t>
      </w:r>
      <w:r w:rsidRPr="00CD1E6D">
        <w:t>.1. Aspectos generales</w:t>
      </w:r>
    </w:p>
    <w:p w:rsidR="00CD1E6D" w:rsidRPr="006D43A7" w:rsidRDefault="00CD1E6D" w:rsidP="00A20D5E">
      <w:pPr>
        <w:pStyle w:val="texto"/>
        <w:rPr>
          <w:lang w:val="es-ES"/>
        </w:rPr>
      </w:pPr>
      <w:r w:rsidRPr="006D43A7">
        <w:rPr>
          <w:lang w:val="es-ES"/>
        </w:rPr>
        <w:t>La actividad financiera y tributaria de Navarra se rige, en virtud de su rég</w:t>
      </w:r>
      <w:r w:rsidRPr="006D43A7">
        <w:rPr>
          <w:lang w:val="es-ES"/>
        </w:rPr>
        <w:t>i</w:t>
      </w:r>
      <w:r w:rsidRPr="006D43A7">
        <w:rPr>
          <w:lang w:val="es-ES"/>
        </w:rPr>
        <w:t xml:space="preserve">men foral, por el Convenio Económico </w:t>
      </w:r>
      <w:r w:rsidR="0075686C" w:rsidRPr="006D43A7">
        <w:rPr>
          <w:lang w:val="es-ES"/>
        </w:rPr>
        <w:t xml:space="preserve">firmado el 31 de julio de </w:t>
      </w:r>
      <w:r w:rsidR="0075686C">
        <w:rPr>
          <w:lang w:val="es-ES"/>
        </w:rPr>
        <w:t xml:space="preserve">1990 </w:t>
      </w:r>
      <w:r w:rsidRPr="006D43A7">
        <w:rPr>
          <w:lang w:val="es-ES"/>
        </w:rPr>
        <w:t>entre el Estado y la Comunidad For</w:t>
      </w:r>
      <w:r w:rsidR="0075686C">
        <w:rPr>
          <w:lang w:val="es-ES"/>
        </w:rPr>
        <w:t>al de Navarra</w:t>
      </w:r>
      <w:r w:rsidRPr="006D43A7">
        <w:rPr>
          <w:lang w:val="es-ES"/>
        </w:rPr>
        <w:t xml:space="preserve"> </w:t>
      </w:r>
      <w:r w:rsidR="001D2FFC">
        <w:rPr>
          <w:lang w:val="es-ES"/>
        </w:rPr>
        <w:t xml:space="preserve">y regulado en la Ley </w:t>
      </w:r>
      <w:r w:rsidRPr="006D43A7">
        <w:rPr>
          <w:lang w:val="es-ES"/>
        </w:rPr>
        <w:t>28/1990, de 26 de diciembre</w:t>
      </w:r>
      <w:r w:rsidR="001D2FFC">
        <w:rPr>
          <w:lang w:val="es-ES"/>
        </w:rPr>
        <w:t>.</w:t>
      </w:r>
      <w:r w:rsidRPr="006D43A7">
        <w:rPr>
          <w:lang w:val="es-ES"/>
        </w:rPr>
        <w:t xml:space="preserve"> </w:t>
      </w:r>
    </w:p>
    <w:p w:rsidR="00CD1E6D" w:rsidRDefault="00DA57E3" w:rsidP="00A20D5E">
      <w:pPr>
        <w:pStyle w:val="texto"/>
        <w:rPr>
          <w:rFonts w:cs="Arial"/>
        </w:rPr>
      </w:pPr>
      <w:r>
        <w:rPr>
          <w:lang w:val="es-ES"/>
        </w:rPr>
        <w:t>D</w:t>
      </w:r>
      <w:r w:rsidR="00D12CFF">
        <w:rPr>
          <w:lang w:val="es-ES"/>
        </w:rPr>
        <w:t>icho</w:t>
      </w:r>
      <w:r w:rsidR="00CD1E6D">
        <w:rPr>
          <w:lang w:val="es-ES"/>
        </w:rPr>
        <w:t xml:space="preserve"> </w:t>
      </w:r>
      <w:r w:rsidR="00227A03">
        <w:rPr>
          <w:lang w:val="es-ES"/>
        </w:rPr>
        <w:t>C</w:t>
      </w:r>
      <w:r>
        <w:rPr>
          <w:lang w:val="es-ES"/>
        </w:rPr>
        <w:t xml:space="preserve">onvenio </w:t>
      </w:r>
      <w:r w:rsidR="00CD1E6D">
        <w:rPr>
          <w:lang w:val="es-ES"/>
        </w:rPr>
        <w:t xml:space="preserve">establece </w:t>
      </w:r>
      <w:r w:rsidR="00CD1E6D" w:rsidRPr="00907F60">
        <w:rPr>
          <w:rFonts w:cs="Arial"/>
        </w:rPr>
        <w:t>l</w:t>
      </w:r>
      <w:r>
        <w:rPr>
          <w:rFonts w:cs="Arial"/>
        </w:rPr>
        <w:t>os criterios de</w:t>
      </w:r>
      <w:r w:rsidR="00CD1E6D">
        <w:rPr>
          <w:rFonts w:cs="Arial"/>
        </w:rPr>
        <w:t xml:space="preserve"> armonización fiscal y</w:t>
      </w:r>
      <w:r>
        <w:rPr>
          <w:rFonts w:cs="Arial"/>
        </w:rPr>
        <w:t xml:space="preserve"> determina el método para el cálculo de</w:t>
      </w:r>
      <w:r w:rsidR="00CD1E6D">
        <w:rPr>
          <w:rFonts w:cs="Arial"/>
        </w:rPr>
        <w:t xml:space="preserve"> la</w:t>
      </w:r>
      <w:r w:rsidR="00CD1E6D" w:rsidRPr="00907F60">
        <w:rPr>
          <w:rFonts w:cs="Arial"/>
        </w:rPr>
        <w:t xml:space="preserve"> aportación </w:t>
      </w:r>
      <w:r w:rsidR="00D12CFF">
        <w:rPr>
          <w:rFonts w:cs="Arial"/>
        </w:rPr>
        <w:t>económica</w:t>
      </w:r>
      <w:r w:rsidR="00CD1E6D" w:rsidRPr="00907F60">
        <w:rPr>
          <w:rFonts w:cs="Arial"/>
        </w:rPr>
        <w:t xml:space="preserve"> de Navarra</w:t>
      </w:r>
      <w:r w:rsidR="00D12CFF">
        <w:rPr>
          <w:rFonts w:cs="Arial"/>
        </w:rPr>
        <w:t xml:space="preserve"> por</w:t>
      </w:r>
      <w:r w:rsidR="00CD1E6D" w:rsidRPr="00907F60">
        <w:rPr>
          <w:rFonts w:cs="Arial"/>
        </w:rPr>
        <w:t xml:space="preserve"> </w:t>
      </w:r>
      <w:r w:rsidR="00D12CFF">
        <w:rPr>
          <w:rFonts w:cs="Arial"/>
        </w:rPr>
        <w:t xml:space="preserve">las cargas del Estado no asumidas por la Comunidad Foral </w:t>
      </w:r>
      <w:r>
        <w:rPr>
          <w:rFonts w:cs="Arial"/>
        </w:rPr>
        <w:t>y para los ajustes</w:t>
      </w:r>
      <w:r w:rsidR="00D12CFF">
        <w:rPr>
          <w:rFonts w:cs="Arial"/>
        </w:rPr>
        <w:t xml:space="preserve"> en la reca</w:t>
      </w:r>
      <w:r w:rsidR="00D12CFF">
        <w:rPr>
          <w:rFonts w:cs="Arial"/>
        </w:rPr>
        <w:t>u</w:t>
      </w:r>
      <w:r w:rsidR="00D12CFF">
        <w:rPr>
          <w:rFonts w:cs="Arial"/>
        </w:rPr>
        <w:t>dación tributaria.</w:t>
      </w:r>
      <w:r w:rsidR="00227A03">
        <w:rPr>
          <w:rFonts w:cs="Arial"/>
        </w:rPr>
        <w:t xml:space="preserve"> </w:t>
      </w:r>
    </w:p>
    <w:p w:rsidR="00227A03" w:rsidRDefault="00227A03" w:rsidP="00A20D5E">
      <w:pPr>
        <w:pStyle w:val="texto"/>
      </w:pPr>
      <w:r>
        <w:t xml:space="preserve">El Convenio ha sido objeto de actualizaciones y modificaciones en los años </w:t>
      </w:r>
      <w:r w:rsidR="00D55C1A">
        <w:t>1993,</w:t>
      </w:r>
      <w:r>
        <w:t>1997, 2003, 2007, 2011, 2012, 2013, 2014 y, la última, en 2015</w:t>
      </w:r>
      <w:r w:rsidR="001330B7">
        <w:t>,</w:t>
      </w:r>
      <w:r>
        <w:t xml:space="preserve"> </w:t>
      </w:r>
      <w:r w:rsidR="001D2FFC">
        <w:t xml:space="preserve">mediante la </w:t>
      </w:r>
      <w:r w:rsidR="001D2FFC">
        <w:rPr>
          <w:lang w:val="es-ES"/>
        </w:rPr>
        <w:t>Ley 14/2015, de 24 de junio</w:t>
      </w:r>
      <w:r>
        <w:t xml:space="preserve">. </w:t>
      </w:r>
    </w:p>
    <w:p w:rsidR="00227A03" w:rsidRPr="00227A03" w:rsidRDefault="00227A03" w:rsidP="00A20D5E">
      <w:pPr>
        <w:pStyle w:val="texto"/>
        <w:spacing w:after="240"/>
      </w:pPr>
      <w:r>
        <w:t>A continuación, comentamos los principales aspectos sobre el Convenio</w:t>
      </w:r>
      <w:r w:rsidR="000205D4">
        <w:t xml:space="preserve"> acontecidos</w:t>
      </w:r>
      <w:r>
        <w:t xml:space="preserve"> en 2015.</w:t>
      </w:r>
    </w:p>
    <w:p w:rsidR="001D2FFC" w:rsidRPr="001D2FFC" w:rsidRDefault="00227A03" w:rsidP="00071FC3">
      <w:pPr>
        <w:pStyle w:val="atitulo3"/>
        <w:rPr>
          <w:lang w:val="es-ES"/>
        </w:rPr>
      </w:pPr>
      <w:r w:rsidRPr="001D2FFC">
        <w:rPr>
          <w:lang w:val="es-ES"/>
        </w:rPr>
        <w:t>Ley 14/2015</w:t>
      </w:r>
      <w:r w:rsidR="00036B82">
        <w:rPr>
          <w:lang w:val="es-ES"/>
        </w:rPr>
        <w:t>, de 24 de junio</w:t>
      </w:r>
      <w:r w:rsidR="00856248">
        <w:rPr>
          <w:lang w:val="es-ES"/>
        </w:rPr>
        <w:t>, de modificación de la Ley 28/1990</w:t>
      </w:r>
    </w:p>
    <w:p w:rsidR="00D12CFF" w:rsidRPr="00D12CFF" w:rsidRDefault="00D12CFF" w:rsidP="00A20D5E">
      <w:pPr>
        <w:pStyle w:val="texto"/>
        <w:rPr>
          <w:lang w:val="es-ES"/>
        </w:rPr>
      </w:pPr>
      <w:r w:rsidRPr="00D12CFF">
        <w:rPr>
          <w:lang w:val="es-ES"/>
        </w:rPr>
        <w:t>El Convenio Económico prevé que</w:t>
      </w:r>
      <w:r>
        <w:rPr>
          <w:lang w:val="es-ES"/>
        </w:rPr>
        <w:t>,</w:t>
      </w:r>
      <w:r w:rsidRPr="00D12CFF">
        <w:rPr>
          <w:lang w:val="es-ES"/>
        </w:rPr>
        <w:t xml:space="preserve"> en el </w:t>
      </w:r>
      <w:r w:rsidR="00BD6A68">
        <w:rPr>
          <w:lang w:val="es-ES"/>
        </w:rPr>
        <w:t>supuesto</w:t>
      </w:r>
      <w:r w:rsidRPr="00D12CFF">
        <w:rPr>
          <w:lang w:val="es-ES"/>
        </w:rPr>
        <w:t xml:space="preserve"> de producirse una reforma sustancial en el ordenamiento jurídico tributario del Estado, se procederá por ambas Administraciones, de común acuerdo, a la adaptación</w:t>
      </w:r>
      <w:r w:rsidR="00D02EBF">
        <w:rPr>
          <w:lang w:val="es-ES"/>
        </w:rPr>
        <w:t xml:space="preserve"> o adecuación del mismo.</w:t>
      </w:r>
    </w:p>
    <w:p w:rsidR="001D2FFC" w:rsidRDefault="001D2FFC" w:rsidP="00A20D5E">
      <w:pPr>
        <w:pStyle w:val="texto"/>
        <w:rPr>
          <w:lang w:val="es-ES"/>
        </w:rPr>
      </w:pPr>
      <w:r>
        <w:rPr>
          <w:lang w:val="es-ES"/>
        </w:rPr>
        <w:t>Esta</w:t>
      </w:r>
      <w:r w:rsidR="00732E78">
        <w:rPr>
          <w:lang w:val="es-ES"/>
        </w:rPr>
        <w:t xml:space="preserve"> adaptación</w:t>
      </w:r>
      <w:r w:rsidRPr="001D2FFC">
        <w:rPr>
          <w:lang w:val="es-ES"/>
        </w:rPr>
        <w:t xml:space="preserve"> debe realizarse a través de la Comisión Negociadora, para su posterior tramitación en el Parlamento</w:t>
      </w:r>
      <w:r w:rsidR="00732E78">
        <w:rPr>
          <w:lang w:val="es-ES"/>
        </w:rPr>
        <w:t xml:space="preserve"> Foral</w:t>
      </w:r>
      <w:r w:rsidRPr="001D2FFC">
        <w:rPr>
          <w:lang w:val="es-ES"/>
        </w:rPr>
        <w:t xml:space="preserve"> y las Cortes Generales para su aprobación mediante ley ordinaria.</w:t>
      </w:r>
    </w:p>
    <w:p w:rsidR="00A20D5E" w:rsidRDefault="001D2FFC" w:rsidP="00D55C1A">
      <w:pPr>
        <w:pStyle w:val="texto"/>
        <w:rPr>
          <w:lang w:val="es-ES"/>
        </w:rPr>
      </w:pPr>
      <w:r>
        <w:rPr>
          <w:lang w:val="es-ES"/>
        </w:rPr>
        <w:lastRenderedPageBreak/>
        <w:t xml:space="preserve">La Ley 14/2015 es resultado del acuerdo alcanzado por ambas </w:t>
      </w:r>
      <w:r w:rsidR="00422892">
        <w:rPr>
          <w:lang w:val="es-ES"/>
        </w:rPr>
        <w:t>administr</w:t>
      </w:r>
      <w:r w:rsidR="00422892">
        <w:rPr>
          <w:lang w:val="es-ES"/>
        </w:rPr>
        <w:t>a</w:t>
      </w:r>
      <w:r w:rsidR="00422892">
        <w:rPr>
          <w:lang w:val="es-ES"/>
        </w:rPr>
        <w:t>ciones en las sesiones de la Comisión Negociadora de 17 de febrero y 23 de marzo de 2015.</w:t>
      </w:r>
    </w:p>
    <w:p w:rsidR="00422892" w:rsidRDefault="00422892" w:rsidP="00A20D5E">
      <w:pPr>
        <w:pStyle w:val="texto"/>
        <w:rPr>
          <w:lang w:val="es-ES"/>
        </w:rPr>
      </w:pPr>
      <w:r>
        <w:rPr>
          <w:lang w:val="es-ES"/>
        </w:rPr>
        <w:t>Como principales aspectos</w:t>
      </w:r>
      <w:r w:rsidR="003B334F">
        <w:rPr>
          <w:lang w:val="es-ES"/>
        </w:rPr>
        <w:t xml:space="preserve"> de </w:t>
      </w:r>
      <w:r w:rsidR="00856248">
        <w:rPr>
          <w:lang w:val="es-ES"/>
        </w:rPr>
        <w:t>esta Ley, destacamos</w:t>
      </w:r>
      <w:r w:rsidR="003B334F">
        <w:rPr>
          <w:lang w:val="es-ES"/>
        </w:rPr>
        <w:t>:</w:t>
      </w:r>
    </w:p>
    <w:p w:rsidR="00F25817" w:rsidRDefault="00F25817" w:rsidP="00A20D5E">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Pr>
          <w:lang w:val="es-ES"/>
        </w:rPr>
        <w:t>Dentro de</w:t>
      </w:r>
      <w:r w:rsidR="00D02EBF">
        <w:rPr>
          <w:lang w:val="es-ES"/>
        </w:rPr>
        <w:t>l articulado sobre</w:t>
      </w:r>
      <w:r>
        <w:rPr>
          <w:lang w:val="es-ES"/>
        </w:rPr>
        <w:t xml:space="preserve"> la potestad tributaria de Navarra</w:t>
      </w:r>
      <w:r w:rsidR="00D02EBF">
        <w:rPr>
          <w:lang w:val="es-ES"/>
        </w:rPr>
        <w:t xml:space="preserve">, </w:t>
      </w:r>
      <w:r>
        <w:rPr>
          <w:lang w:val="es-ES"/>
        </w:rPr>
        <w:t>se sustituye la expresión tributos “convenidos” con la de tributos “mencionados” en el Conv</w:t>
      </w:r>
      <w:r>
        <w:rPr>
          <w:lang w:val="es-ES"/>
        </w:rPr>
        <w:t>e</w:t>
      </w:r>
      <w:r>
        <w:rPr>
          <w:lang w:val="es-ES"/>
        </w:rPr>
        <w:t>nio, al objeto de evi</w:t>
      </w:r>
      <w:r w:rsidR="003F7AB4">
        <w:rPr>
          <w:lang w:val="es-ES"/>
        </w:rPr>
        <w:t>t</w:t>
      </w:r>
      <w:r>
        <w:rPr>
          <w:lang w:val="es-ES"/>
        </w:rPr>
        <w:t>ar</w:t>
      </w:r>
      <w:r w:rsidR="003F7AB4">
        <w:rPr>
          <w:lang w:val="es-ES"/>
        </w:rPr>
        <w:t xml:space="preserve"> problemas interpretativos sobre la citada potestad trib</w:t>
      </w:r>
      <w:r w:rsidR="003F7AB4">
        <w:rPr>
          <w:lang w:val="es-ES"/>
        </w:rPr>
        <w:t>u</w:t>
      </w:r>
      <w:r w:rsidR="003F7AB4">
        <w:rPr>
          <w:lang w:val="es-ES"/>
        </w:rPr>
        <w:t>taria de Navarra.</w:t>
      </w:r>
    </w:p>
    <w:p w:rsidR="003F7AB4" w:rsidRPr="00A20D5E" w:rsidRDefault="003F7AB4" w:rsidP="003F7AB4">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spacing w:val="4"/>
          <w:lang w:val="es-ES"/>
        </w:rPr>
      </w:pPr>
      <w:r w:rsidRPr="00A20D5E">
        <w:rPr>
          <w:spacing w:val="4"/>
          <w:lang w:val="es-ES"/>
        </w:rPr>
        <w:t>Se incorporan al Convenio los siguientes impuestos aprobados en el Estado:</w:t>
      </w:r>
    </w:p>
    <w:p w:rsidR="003F7AB4" w:rsidRPr="003F7AB4" w:rsidRDefault="003F7AB4" w:rsidP="003F7AB4">
      <w:pPr>
        <w:pStyle w:val="texto"/>
        <w:spacing w:after="120"/>
        <w:rPr>
          <w:lang w:val="es-ES"/>
        </w:rPr>
      </w:pPr>
      <w:r>
        <w:rPr>
          <w:lang w:val="es-ES"/>
        </w:rPr>
        <w:t xml:space="preserve">a) </w:t>
      </w:r>
      <w:r w:rsidRPr="003F7AB4">
        <w:rPr>
          <w:lang w:val="es-ES"/>
        </w:rPr>
        <w:t>Impuesto sobre las actividades de juego</w:t>
      </w:r>
      <w:r w:rsidR="00A706D7">
        <w:rPr>
          <w:lang w:val="es-ES"/>
        </w:rPr>
        <w:t>.</w:t>
      </w:r>
    </w:p>
    <w:p w:rsidR="003F7AB4" w:rsidRPr="003F7AB4" w:rsidRDefault="003F7AB4" w:rsidP="003F7AB4">
      <w:pPr>
        <w:pStyle w:val="texto"/>
        <w:spacing w:after="120"/>
        <w:rPr>
          <w:lang w:val="es-ES"/>
        </w:rPr>
      </w:pPr>
      <w:r>
        <w:rPr>
          <w:lang w:val="es-ES"/>
        </w:rPr>
        <w:t xml:space="preserve">b) </w:t>
      </w:r>
      <w:r w:rsidRPr="003F7AB4">
        <w:rPr>
          <w:lang w:val="es-ES"/>
        </w:rPr>
        <w:t>Impuesto sobre el valor de la producción de la energía eléctrica</w:t>
      </w:r>
      <w:r w:rsidR="00A706D7">
        <w:rPr>
          <w:lang w:val="es-ES"/>
        </w:rPr>
        <w:t>.</w:t>
      </w:r>
    </w:p>
    <w:p w:rsidR="003F7AB4" w:rsidRPr="003F7AB4" w:rsidRDefault="003F7AB4" w:rsidP="003F7AB4">
      <w:pPr>
        <w:pStyle w:val="texto"/>
        <w:spacing w:after="120"/>
        <w:rPr>
          <w:lang w:val="es-ES"/>
        </w:rPr>
      </w:pPr>
      <w:r>
        <w:rPr>
          <w:lang w:val="es-ES"/>
        </w:rPr>
        <w:t xml:space="preserve">c) </w:t>
      </w:r>
      <w:r w:rsidRPr="003F7AB4">
        <w:rPr>
          <w:lang w:val="es-ES"/>
        </w:rPr>
        <w:t>Impuestos sobre la producción y el almacenamiento de combustible n</w:t>
      </w:r>
      <w:r w:rsidRPr="003F7AB4">
        <w:rPr>
          <w:lang w:val="es-ES"/>
        </w:rPr>
        <w:t>u</w:t>
      </w:r>
      <w:r w:rsidRPr="003F7AB4">
        <w:rPr>
          <w:lang w:val="es-ES"/>
        </w:rPr>
        <w:t>clear gastado y residuos radiactivos.</w:t>
      </w:r>
    </w:p>
    <w:p w:rsidR="003F7AB4" w:rsidRPr="003F7AB4" w:rsidRDefault="003F7AB4" w:rsidP="003F7AB4">
      <w:pPr>
        <w:pStyle w:val="texto"/>
        <w:spacing w:after="120"/>
        <w:rPr>
          <w:lang w:val="es-ES"/>
        </w:rPr>
      </w:pPr>
      <w:r>
        <w:rPr>
          <w:lang w:val="es-ES"/>
        </w:rPr>
        <w:t xml:space="preserve">d) </w:t>
      </w:r>
      <w:r w:rsidRPr="003F7AB4">
        <w:rPr>
          <w:lang w:val="es-ES"/>
        </w:rPr>
        <w:t>Impuesto sobre los depósitos en las entidades de crédito.</w:t>
      </w:r>
    </w:p>
    <w:p w:rsidR="00275596" w:rsidRDefault="003F7AB4" w:rsidP="00275596">
      <w:pPr>
        <w:pStyle w:val="texto"/>
        <w:spacing w:after="120"/>
        <w:rPr>
          <w:lang w:val="es-ES"/>
        </w:rPr>
      </w:pPr>
      <w:r>
        <w:rPr>
          <w:lang w:val="es-ES"/>
        </w:rPr>
        <w:t xml:space="preserve">e) </w:t>
      </w:r>
      <w:r w:rsidRPr="003F7AB4">
        <w:rPr>
          <w:lang w:val="es-ES"/>
        </w:rPr>
        <w:t>Impuesto sobre los gases fluorados de efecto invernadero</w:t>
      </w:r>
      <w:r w:rsidR="00A706D7">
        <w:rPr>
          <w:lang w:val="es-ES"/>
        </w:rPr>
        <w:t>.</w:t>
      </w:r>
    </w:p>
    <w:p w:rsidR="00275596" w:rsidRPr="003F7AB4" w:rsidRDefault="00275596" w:rsidP="00275596">
      <w:pPr>
        <w:pStyle w:val="texto"/>
        <w:tabs>
          <w:tab w:val="clear" w:pos="2835"/>
          <w:tab w:val="clear" w:pos="3969"/>
          <w:tab w:val="clear" w:pos="5103"/>
          <w:tab w:val="clear" w:pos="6237"/>
          <w:tab w:val="clear" w:pos="7371"/>
          <w:tab w:val="left" w:pos="480"/>
          <w:tab w:val="num" w:pos="4920"/>
        </w:tabs>
        <w:ind w:left="290" w:firstLine="0"/>
        <w:rPr>
          <w:lang w:val="es-ES"/>
        </w:rPr>
      </w:pPr>
      <w:r>
        <w:rPr>
          <w:lang w:val="es-ES"/>
        </w:rPr>
        <w:t>Los nuevos tributos acordados tiene</w:t>
      </w:r>
      <w:r w:rsidR="001330B7">
        <w:rPr>
          <w:lang w:val="es-ES"/>
        </w:rPr>
        <w:t>n</w:t>
      </w:r>
      <w:r>
        <w:rPr>
          <w:lang w:val="es-ES"/>
        </w:rPr>
        <w:t xml:space="preserve"> efectos desde el 1 de enero de 2013.</w:t>
      </w:r>
    </w:p>
    <w:p w:rsidR="003F7AB4" w:rsidRDefault="005E29BE" w:rsidP="005E29BE">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Pr>
          <w:lang w:val="es-ES"/>
        </w:rPr>
        <w:t>Se reconoce la competencia a la Comunidad Foral para exigir la retención del gravamen especial sobre premios de determinadas loterías y apuestas.</w:t>
      </w:r>
    </w:p>
    <w:p w:rsidR="005E29BE" w:rsidRDefault="005E29BE" w:rsidP="005E29BE">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Pr>
          <w:lang w:val="es-ES"/>
        </w:rPr>
        <w:t>Se sustituye el impuesto sobre ventas minoristas de determinados hidroca</w:t>
      </w:r>
      <w:r>
        <w:rPr>
          <w:lang w:val="es-ES"/>
        </w:rPr>
        <w:t>r</w:t>
      </w:r>
      <w:r>
        <w:rPr>
          <w:lang w:val="es-ES"/>
        </w:rPr>
        <w:t xml:space="preserve">buros por un tipo autonómico del </w:t>
      </w:r>
      <w:r w:rsidR="00A706D7">
        <w:rPr>
          <w:lang w:val="es-ES"/>
        </w:rPr>
        <w:t>i</w:t>
      </w:r>
      <w:r>
        <w:rPr>
          <w:lang w:val="es-ES"/>
        </w:rPr>
        <w:t>mpuesto de hidrocarburos.</w:t>
      </w:r>
    </w:p>
    <w:p w:rsidR="004543DA" w:rsidRDefault="004543DA" w:rsidP="005E29BE">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Pr>
          <w:lang w:val="es-ES"/>
        </w:rPr>
        <w:t>Se contempla que</w:t>
      </w:r>
      <w:r w:rsidR="001330B7">
        <w:rPr>
          <w:lang w:val="es-ES"/>
        </w:rPr>
        <w:t>,</w:t>
      </w:r>
      <w:r>
        <w:rPr>
          <w:lang w:val="es-ES"/>
        </w:rPr>
        <w:t xml:space="preserve"> cuando </w:t>
      </w:r>
      <w:r w:rsidR="00732E78">
        <w:rPr>
          <w:lang w:val="es-ES"/>
        </w:rPr>
        <w:t xml:space="preserve">el Estado presente </w:t>
      </w:r>
      <w:r>
        <w:rPr>
          <w:lang w:val="es-ES"/>
        </w:rPr>
        <w:t>un proyecto de ley por el que se estable</w:t>
      </w:r>
      <w:r w:rsidR="00EA2FB5">
        <w:rPr>
          <w:lang w:val="es-ES"/>
        </w:rPr>
        <w:t>zca</w:t>
      </w:r>
      <w:r>
        <w:rPr>
          <w:lang w:val="es-ES"/>
        </w:rPr>
        <w:t xml:space="preserve"> un nuevo impuesto, se convocará a la Comisión Coordinadora p</w:t>
      </w:r>
      <w:r>
        <w:rPr>
          <w:lang w:val="es-ES"/>
        </w:rPr>
        <w:t>a</w:t>
      </w:r>
      <w:r>
        <w:rPr>
          <w:lang w:val="es-ES"/>
        </w:rPr>
        <w:t>ra evaluar y analizar la adaptación del Convenio a la nueva figura impositiva.</w:t>
      </w:r>
      <w:r w:rsidR="002E5E76">
        <w:rPr>
          <w:lang w:val="es-ES"/>
        </w:rPr>
        <w:t xml:space="preserve"> </w:t>
      </w:r>
    </w:p>
    <w:p w:rsidR="002E5E76" w:rsidRPr="002E5E76" w:rsidRDefault="00DA57E3" w:rsidP="002E5E76">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Pr>
          <w:lang w:val="es-ES"/>
        </w:rPr>
        <w:t>Dentro de la regulación de</w:t>
      </w:r>
      <w:r w:rsidR="002E5E76">
        <w:rPr>
          <w:lang w:val="es-ES"/>
        </w:rPr>
        <w:t xml:space="preserve"> la Comisión Coordinadora,</w:t>
      </w:r>
      <w:r>
        <w:rPr>
          <w:lang w:val="es-ES"/>
        </w:rPr>
        <w:t xml:space="preserve"> se amplía</w:t>
      </w:r>
      <w:r w:rsidR="002E5E76">
        <w:rPr>
          <w:lang w:val="es-ES"/>
        </w:rPr>
        <w:t xml:space="preserve"> la posib</w:t>
      </w:r>
      <w:r w:rsidR="002E5E76">
        <w:rPr>
          <w:lang w:val="es-ES"/>
        </w:rPr>
        <w:t>i</w:t>
      </w:r>
      <w:r w:rsidR="002E5E76">
        <w:rPr>
          <w:lang w:val="es-ES"/>
        </w:rPr>
        <w:t xml:space="preserve">lidad de crear subcomisiones para delegar el ejercicio de sus competencias. Igualmente </w:t>
      </w:r>
      <w:r w:rsidR="002E5E76" w:rsidRPr="002E5E76">
        <w:rPr>
          <w:lang w:val="es-ES"/>
        </w:rPr>
        <w:t>se agiliza la remisión a la Junta Arbitral de las consultas tributarias sobre las que no se haya alcanzado acuerdo en la Comisión Coordinadora</w:t>
      </w:r>
      <w:r w:rsidR="002E5E76">
        <w:rPr>
          <w:lang w:val="es-ES"/>
        </w:rPr>
        <w:t>.</w:t>
      </w:r>
    </w:p>
    <w:p w:rsidR="004543DA" w:rsidRPr="00D301F9" w:rsidRDefault="004543DA" w:rsidP="005E29BE">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spacing w:val="0"/>
          <w:lang w:val="es-ES"/>
        </w:rPr>
      </w:pPr>
      <w:r w:rsidRPr="00D301F9">
        <w:rPr>
          <w:spacing w:val="0"/>
          <w:lang w:val="es-ES"/>
        </w:rPr>
        <w:t>Se modifica la regla sobre normativa de los grupos fiscales y se introducen m</w:t>
      </w:r>
      <w:r w:rsidRPr="00D301F9">
        <w:rPr>
          <w:spacing w:val="0"/>
          <w:lang w:val="es-ES"/>
        </w:rPr>
        <w:t>e</w:t>
      </w:r>
      <w:r w:rsidRPr="00D301F9">
        <w:rPr>
          <w:spacing w:val="0"/>
          <w:lang w:val="es-ES"/>
        </w:rPr>
        <w:t>joras</w:t>
      </w:r>
      <w:r w:rsidR="00A153E2" w:rsidRPr="00D301F9">
        <w:rPr>
          <w:spacing w:val="0"/>
          <w:lang w:val="es-ES"/>
        </w:rPr>
        <w:t xml:space="preserve"> técnicas en diversas materias (domicilio fiscal, obligaciones informativas….)</w:t>
      </w:r>
    </w:p>
    <w:p w:rsidR="00A315C5" w:rsidRDefault="00A315C5" w:rsidP="004619CC">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Pr>
          <w:lang w:val="es-ES"/>
        </w:rPr>
        <w:t xml:space="preserve">Se regula el régimen transitorio para los nuevos tributos acordados con efectos desde el 1 de enero de 2013. </w:t>
      </w:r>
    </w:p>
    <w:p w:rsidR="00227A03" w:rsidRPr="004619CC" w:rsidRDefault="00036B82" w:rsidP="00F35AED">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240"/>
        <w:ind w:left="0" w:firstLine="289"/>
        <w:rPr>
          <w:lang w:val="es-ES"/>
        </w:rPr>
      </w:pPr>
      <w:r>
        <w:rPr>
          <w:lang w:val="es-ES"/>
        </w:rPr>
        <w:t>Se introduce la d</w:t>
      </w:r>
      <w:r w:rsidR="00582BC4">
        <w:rPr>
          <w:lang w:val="es-ES"/>
        </w:rPr>
        <w:t xml:space="preserve">isposición adicional undécima </w:t>
      </w:r>
      <w:r>
        <w:rPr>
          <w:lang w:val="es-ES"/>
        </w:rPr>
        <w:t>que regula que el obligado al pago podrá solicitar la extinción total o parcial de las deudas tributarias que le pueda reclamar el Estado o la Comunidad Foral, en la parte equivalente de deuda efectivamente satisfecha en la otra administración, cuando concurran una serie de circunstancias.</w:t>
      </w:r>
      <w:r w:rsidR="00A153E2">
        <w:rPr>
          <w:lang w:val="es-ES"/>
        </w:rPr>
        <w:t xml:space="preserve"> </w:t>
      </w:r>
    </w:p>
    <w:p w:rsidR="00227A03" w:rsidRPr="000205D4" w:rsidRDefault="000205D4" w:rsidP="00071FC3">
      <w:pPr>
        <w:pStyle w:val="atitulo3"/>
      </w:pPr>
      <w:r w:rsidRPr="000205D4">
        <w:lastRenderedPageBreak/>
        <w:t>Conflicto de competencias por comercialización de vehículos</w:t>
      </w:r>
      <w:r w:rsidR="004F6250">
        <w:t xml:space="preserve"> fabricados en Navarra</w:t>
      </w:r>
      <w:r w:rsidRPr="000205D4">
        <w:t xml:space="preserve"> y recursos planteados al respecto</w:t>
      </w:r>
    </w:p>
    <w:p w:rsidR="000205D4" w:rsidRDefault="005B62EF" w:rsidP="00853B51">
      <w:pPr>
        <w:pStyle w:val="texto"/>
        <w:spacing w:after="120"/>
        <w:rPr>
          <w:lang w:val="es-ES"/>
        </w:rPr>
      </w:pPr>
      <w:r w:rsidRPr="00853B51">
        <w:rPr>
          <w:lang w:val="es-ES"/>
        </w:rPr>
        <w:t>C</w:t>
      </w:r>
      <w:r w:rsidR="00344656" w:rsidRPr="00853B51">
        <w:rPr>
          <w:lang w:val="es-ES"/>
        </w:rPr>
        <w:t>omo</w:t>
      </w:r>
      <w:r w:rsidR="007B65C6">
        <w:rPr>
          <w:lang w:val="es-ES"/>
        </w:rPr>
        <w:t xml:space="preserve"> complemento a lo señalado en anteriores informes de esta Cámara</w:t>
      </w:r>
      <w:r w:rsidR="000205D4">
        <w:rPr>
          <w:lang w:val="es-ES"/>
        </w:rPr>
        <w:t xml:space="preserve">, </w:t>
      </w:r>
      <w:r w:rsidR="00DE1FC0">
        <w:rPr>
          <w:lang w:val="es-ES"/>
        </w:rPr>
        <w:t xml:space="preserve">destacamos los siguientes </w:t>
      </w:r>
      <w:r w:rsidR="009B5A35">
        <w:rPr>
          <w:lang w:val="es-ES"/>
        </w:rPr>
        <w:t>hechos cronológicos</w:t>
      </w:r>
      <w:r w:rsidR="000205D4">
        <w:rPr>
          <w:lang w:val="es-ES"/>
        </w:rPr>
        <w:t>:</w:t>
      </w:r>
    </w:p>
    <w:p w:rsidR="007B65C6" w:rsidRPr="007B65C6" w:rsidRDefault="007B65C6" w:rsidP="00853B51">
      <w:pPr>
        <w:pStyle w:val="texto"/>
        <w:spacing w:after="120"/>
        <w:rPr>
          <w:lang w:val="es-ES"/>
        </w:rPr>
      </w:pPr>
      <w:r w:rsidRPr="00F35AED">
        <w:rPr>
          <w:b/>
          <w:lang w:val="es-ES"/>
        </w:rPr>
        <w:t>1.</w:t>
      </w:r>
      <w:r w:rsidR="00F33DBB">
        <w:rPr>
          <w:b/>
          <w:lang w:val="es-ES"/>
        </w:rPr>
        <w:t>)</w:t>
      </w:r>
      <w:r w:rsidRPr="00F35AED">
        <w:rPr>
          <w:b/>
          <w:lang w:val="es-ES"/>
        </w:rPr>
        <w:t xml:space="preserve"> </w:t>
      </w:r>
      <w:r>
        <w:rPr>
          <w:lang w:val="es-ES"/>
        </w:rPr>
        <w:t>Sobre los acuerdos de liquidación que dictó la Agencia Estatal de Adm</w:t>
      </w:r>
      <w:r>
        <w:rPr>
          <w:lang w:val="es-ES"/>
        </w:rPr>
        <w:t>i</w:t>
      </w:r>
      <w:r>
        <w:rPr>
          <w:lang w:val="es-ES"/>
        </w:rPr>
        <w:t xml:space="preserve">nistración Tributaria (AEAT) en marzo de 2012 </w:t>
      </w:r>
      <w:r w:rsidR="00DE1FC0">
        <w:rPr>
          <w:lang w:val="es-ES"/>
        </w:rPr>
        <w:t xml:space="preserve">relativos a la </w:t>
      </w:r>
      <w:r w:rsidRPr="007B65C6">
        <w:rPr>
          <w:lang w:val="es-ES"/>
        </w:rPr>
        <w:t xml:space="preserve">liquidación del IVA en relación con las operaciones realizadas por </w:t>
      </w:r>
      <w:r w:rsidR="00D85559">
        <w:rPr>
          <w:lang w:val="es-ES"/>
        </w:rPr>
        <w:t xml:space="preserve">una sociedad </w:t>
      </w:r>
      <w:r w:rsidRPr="007B65C6">
        <w:rPr>
          <w:lang w:val="es-ES"/>
        </w:rPr>
        <w:t>respecto de su labor comercializadora de los vehículos fabri</w:t>
      </w:r>
      <w:r w:rsidR="00DE1FC0">
        <w:rPr>
          <w:lang w:val="es-ES"/>
        </w:rPr>
        <w:t>cados en la factoría</w:t>
      </w:r>
      <w:r w:rsidRPr="007B65C6">
        <w:rPr>
          <w:lang w:val="es-ES"/>
        </w:rPr>
        <w:t xml:space="preserve"> situada en t</w:t>
      </w:r>
      <w:r w:rsidRPr="007B65C6">
        <w:rPr>
          <w:lang w:val="es-ES"/>
        </w:rPr>
        <w:t>e</w:t>
      </w:r>
      <w:r w:rsidRPr="007B65C6">
        <w:rPr>
          <w:lang w:val="es-ES"/>
        </w:rPr>
        <w:t>rritorio navarro</w:t>
      </w:r>
      <w:r>
        <w:rPr>
          <w:lang w:val="es-ES"/>
        </w:rPr>
        <w:t xml:space="preserve">, </w:t>
      </w:r>
      <w:r w:rsidR="0029555E">
        <w:rPr>
          <w:lang w:val="es-ES"/>
        </w:rPr>
        <w:t>resumimos</w:t>
      </w:r>
      <w:r>
        <w:rPr>
          <w:lang w:val="es-ES"/>
        </w:rPr>
        <w:t xml:space="preserve"> los siguientes hechos relevantes:</w:t>
      </w:r>
      <w:r w:rsidRPr="007B65C6">
        <w:rPr>
          <w:lang w:val="es-ES"/>
        </w:rPr>
        <w:t xml:space="preserve"> </w:t>
      </w:r>
    </w:p>
    <w:p w:rsidR="00DA57E3" w:rsidRPr="00DA57E3" w:rsidRDefault="00804E62" w:rsidP="00DA57E3">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Pr>
          <w:lang w:val="es-ES"/>
        </w:rPr>
        <w:t>En marzo de 2012, l</w:t>
      </w:r>
      <w:r w:rsidR="00DA57E3" w:rsidRPr="00DA57E3">
        <w:rPr>
          <w:lang w:val="es-ES"/>
        </w:rPr>
        <w:t>a A</w:t>
      </w:r>
      <w:r>
        <w:rPr>
          <w:lang w:val="es-ES"/>
        </w:rPr>
        <w:t>EAT</w:t>
      </w:r>
      <w:r w:rsidR="00DA57E3" w:rsidRPr="00DA57E3">
        <w:rPr>
          <w:lang w:val="es-ES"/>
        </w:rPr>
        <w:t xml:space="preserve"> determinó una deducción improcedente de IVA por importe de 1.514 millones correspondiente a los ejercicios de 2007 a 2011, acordando que ese importe no debía exigirse al obligado tributario, la s</w:t>
      </w:r>
      <w:r w:rsidR="00DA57E3" w:rsidRPr="00DA57E3">
        <w:rPr>
          <w:lang w:val="es-ES"/>
        </w:rPr>
        <w:t>o</w:t>
      </w:r>
      <w:r w:rsidR="00DA57E3" w:rsidRPr="00DA57E3">
        <w:rPr>
          <w:lang w:val="es-ES"/>
        </w:rPr>
        <w:t>ciedad comercializadora, sino a la Hacienda Foral de Navarra.</w:t>
      </w:r>
    </w:p>
    <w:p w:rsidR="00DA57E3" w:rsidRDefault="00DA57E3" w:rsidP="00DA57E3">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sidRPr="00DA57E3">
        <w:rPr>
          <w:lang w:val="es-ES"/>
        </w:rPr>
        <w:t>La Administración del Estado presentó ante el Gobierno de Navarra su d</w:t>
      </w:r>
      <w:r w:rsidRPr="00DA57E3">
        <w:rPr>
          <w:lang w:val="es-ES"/>
        </w:rPr>
        <w:t>e</w:t>
      </w:r>
      <w:r w:rsidRPr="00DA57E3">
        <w:rPr>
          <w:lang w:val="es-ES"/>
        </w:rPr>
        <w:t xml:space="preserve">claración de incompetencia para la devolución del IVA soportado por </w:t>
      </w:r>
      <w:r w:rsidR="0029555E">
        <w:rPr>
          <w:lang w:val="es-ES"/>
        </w:rPr>
        <w:t xml:space="preserve">la citada </w:t>
      </w:r>
      <w:r w:rsidRPr="00DA57E3">
        <w:rPr>
          <w:lang w:val="es-ES"/>
        </w:rPr>
        <w:t>so</w:t>
      </w:r>
      <w:r w:rsidR="0029555E">
        <w:rPr>
          <w:lang w:val="es-ES"/>
        </w:rPr>
        <w:t xml:space="preserve">ciedad </w:t>
      </w:r>
      <w:r w:rsidRPr="00DA57E3">
        <w:rPr>
          <w:lang w:val="es-ES"/>
        </w:rPr>
        <w:t>comercializadora</w:t>
      </w:r>
      <w:r>
        <w:rPr>
          <w:lang w:val="es-ES"/>
        </w:rPr>
        <w:t>. A</w:t>
      </w:r>
      <w:r w:rsidRPr="00DA57E3">
        <w:rPr>
          <w:lang w:val="es-ES"/>
        </w:rPr>
        <w:t xml:space="preserve"> su vez, la Comunidad Foral de Navarra se decl</w:t>
      </w:r>
      <w:r w:rsidRPr="00DA57E3">
        <w:rPr>
          <w:lang w:val="es-ES"/>
        </w:rPr>
        <w:t>a</w:t>
      </w:r>
      <w:r w:rsidRPr="00DA57E3">
        <w:rPr>
          <w:lang w:val="es-ES"/>
        </w:rPr>
        <w:t xml:space="preserve">ró igualmente incompetente para dicha devolución. </w:t>
      </w:r>
    </w:p>
    <w:p w:rsidR="00DA57E3" w:rsidRDefault="00DA57E3" w:rsidP="00DA57E3">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Pr>
          <w:lang w:val="es-ES"/>
        </w:rPr>
        <w:t xml:space="preserve">Resultado de ello, </w:t>
      </w:r>
      <w:r w:rsidR="00804E62">
        <w:rPr>
          <w:lang w:val="es-ES"/>
        </w:rPr>
        <w:t>la</w:t>
      </w:r>
      <w:r w:rsidR="00804E62" w:rsidRPr="00DA57E3">
        <w:rPr>
          <w:lang w:val="es-ES"/>
        </w:rPr>
        <w:t xml:space="preserve"> Administración del Estado </w:t>
      </w:r>
      <w:r>
        <w:rPr>
          <w:lang w:val="es-ES"/>
        </w:rPr>
        <w:t>eleva recurso a la Junta Arbitral del Convenio Econ</w:t>
      </w:r>
      <w:r w:rsidR="00804E62">
        <w:rPr>
          <w:lang w:val="es-ES"/>
        </w:rPr>
        <w:t>ó</w:t>
      </w:r>
      <w:r>
        <w:rPr>
          <w:lang w:val="es-ES"/>
        </w:rPr>
        <w:t>mico</w:t>
      </w:r>
      <w:r w:rsidR="0029555E">
        <w:rPr>
          <w:lang w:val="es-ES"/>
        </w:rPr>
        <w:t>,</w:t>
      </w:r>
      <w:r>
        <w:rPr>
          <w:lang w:val="es-ES"/>
        </w:rPr>
        <w:t xml:space="preserve"> </w:t>
      </w:r>
      <w:r w:rsidR="00804E62">
        <w:rPr>
          <w:lang w:val="es-ES"/>
        </w:rPr>
        <w:t>según acuerdo de la</w:t>
      </w:r>
      <w:r>
        <w:rPr>
          <w:lang w:val="es-ES"/>
        </w:rPr>
        <w:t xml:space="preserve"> Comisión Coordinadora en mayo de 2012.</w:t>
      </w:r>
    </w:p>
    <w:p w:rsidR="00804E62" w:rsidRPr="00DA57E3" w:rsidRDefault="00804E62" w:rsidP="00DA57E3">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Pr>
          <w:lang w:val="es-ES"/>
        </w:rPr>
        <w:t>El 15 de mayo de 2014, la Junta Arbitral dictó una resolución de inadm</w:t>
      </w:r>
      <w:r>
        <w:rPr>
          <w:lang w:val="es-ES"/>
        </w:rPr>
        <w:t>i</w:t>
      </w:r>
      <w:r>
        <w:rPr>
          <w:lang w:val="es-ES"/>
        </w:rPr>
        <w:t>sión del conflicto negativo de competencias interpuesto por la AEAT frente a la Administración Tributaria de Navarra.</w:t>
      </w:r>
    </w:p>
    <w:p w:rsidR="005F6437" w:rsidRDefault="005F6437" w:rsidP="00440A8F">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rFonts w:ascii="Times New (W1)" w:hAnsi="Times New (W1)"/>
        </w:rPr>
      </w:pPr>
      <w:r w:rsidRPr="006D43A7">
        <w:rPr>
          <w:lang w:val="es-ES"/>
        </w:rPr>
        <w:t>El 25 de julio de 2014, la Admin</w:t>
      </w:r>
      <w:r>
        <w:rPr>
          <w:lang w:val="es-ES"/>
        </w:rPr>
        <w:t>istración del Estado interpuso</w:t>
      </w:r>
      <w:r w:rsidRPr="006D43A7">
        <w:rPr>
          <w:lang w:val="es-ES"/>
        </w:rPr>
        <w:t xml:space="preserve"> Recurso Contencioso-Administrativo ante el Tribunal Supremo contra la</w:t>
      </w:r>
      <w:r w:rsidR="00804E62">
        <w:rPr>
          <w:lang w:val="es-ES"/>
        </w:rPr>
        <w:t xml:space="preserve"> anterior</w:t>
      </w:r>
      <w:r w:rsidRPr="006D43A7">
        <w:rPr>
          <w:lang w:val="es-ES"/>
        </w:rPr>
        <w:t xml:space="preserve"> </w:t>
      </w:r>
      <w:r w:rsidR="00804E62">
        <w:rPr>
          <w:lang w:val="es-ES"/>
        </w:rPr>
        <w:t>r</w:t>
      </w:r>
      <w:r w:rsidRPr="006D43A7">
        <w:rPr>
          <w:lang w:val="es-ES"/>
        </w:rPr>
        <w:t>es</w:t>
      </w:r>
      <w:r w:rsidRPr="006D43A7">
        <w:rPr>
          <w:lang w:val="es-ES"/>
        </w:rPr>
        <w:t>o</w:t>
      </w:r>
      <w:r w:rsidRPr="006D43A7">
        <w:rPr>
          <w:lang w:val="es-ES"/>
        </w:rPr>
        <w:t>lución de la Junta Arbitral</w:t>
      </w:r>
      <w:r w:rsidR="00804E62">
        <w:rPr>
          <w:lang w:val="es-ES"/>
        </w:rPr>
        <w:t>.</w:t>
      </w:r>
    </w:p>
    <w:p w:rsidR="001C147F" w:rsidRPr="001C147F" w:rsidRDefault="001C147F" w:rsidP="00440A8F">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sidRPr="001C147F">
        <w:rPr>
          <w:lang w:val="es-ES"/>
        </w:rPr>
        <w:t>En la Comisión Coordinadora de 7 de octubre de 2014 se acordó que la Administración del Estado solicitará la suspensión procesal del Recurso Co</w:t>
      </w:r>
      <w:r w:rsidRPr="001C147F">
        <w:rPr>
          <w:lang w:val="es-ES"/>
        </w:rPr>
        <w:t>n</w:t>
      </w:r>
      <w:r w:rsidRPr="001C147F">
        <w:rPr>
          <w:lang w:val="es-ES"/>
        </w:rPr>
        <w:t>tencioso-Administrativo interpuesto ante el Tribunal Supremo para posibilitar la adaptación del Convenio Económico que permita la resolución del conte</w:t>
      </w:r>
      <w:r w:rsidRPr="001C147F">
        <w:rPr>
          <w:lang w:val="es-ES"/>
        </w:rPr>
        <w:t>n</w:t>
      </w:r>
      <w:r w:rsidRPr="001C147F">
        <w:rPr>
          <w:lang w:val="es-ES"/>
        </w:rPr>
        <w:t>cioso.</w:t>
      </w:r>
    </w:p>
    <w:p w:rsidR="005B62EF" w:rsidRPr="005B62EF" w:rsidRDefault="005F6437" w:rsidP="00440A8F">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rsidRPr="006D43A7">
        <w:rPr>
          <w:lang w:val="es-ES"/>
        </w:rPr>
        <w:t>El 26 de noviembre de 2014 el Tribunal Supremo accedió a la suspensión del recur</w:t>
      </w:r>
      <w:r>
        <w:rPr>
          <w:lang w:val="es-ES"/>
        </w:rPr>
        <w:t>so por un plazo de sesenta días</w:t>
      </w:r>
      <w:r w:rsidR="001C147F">
        <w:rPr>
          <w:lang w:val="es-ES"/>
        </w:rPr>
        <w:t xml:space="preserve">, salvo que alguna de las partes solicite antes su reanudación. </w:t>
      </w:r>
    </w:p>
    <w:p w:rsidR="005F6437" w:rsidRPr="00DE1FC0" w:rsidRDefault="001C147F" w:rsidP="00DE1FC0">
      <w:pPr>
        <w:pStyle w:val="texto"/>
        <w:spacing w:after="120"/>
        <w:rPr>
          <w:lang w:val="es-ES"/>
        </w:rPr>
      </w:pPr>
      <w:r>
        <w:rPr>
          <w:lang w:val="es-ES"/>
        </w:rPr>
        <w:t>El</w:t>
      </w:r>
      <w:r w:rsidR="005F6437">
        <w:rPr>
          <w:lang w:val="es-ES"/>
        </w:rPr>
        <w:t xml:space="preserve"> </w:t>
      </w:r>
      <w:r w:rsidR="005F6437" w:rsidRPr="00DE1FC0">
        <w:rPr>
          <w:lang w:val="es-ES"/>
        </w:rPr>
        <w:t>7 de abril de 2015</w:t>
      </w:r>
      <w:r w:rsidRPr="00DE1FC0">
        <w:rPr>
          <w:lang w:val="es-ES"/>
        </w:rPr>
        <w:t>, el citado Tribunal</w:t>
      </w:r>
      <w:r w:rsidR="005F6437" w:rsidRPr="00DE1FC0">
        <w:rPr>
          <w:lang w:val="es-ES"/>
        </w:rPr>
        <w:t xml:space="preserve"> acordó el archivo provisional del r</w:t>
      </w:r>
      <w:r w:rsidR="005F6437" w:rsidRPr="00DE1FC0">
        <w:rPr>
          <w:lang w:val="es-ES"/>
        </w:rPr>
        <w:t>e</w:t>
      </w:r>
      <w:r w:rsidR="005F6437" w:rsidRPr="00DE1FC0">
        <w:rPr>
          <w:lang w:val="es-ES"/>
        </w:rPr>
        <w:t>curso mientras no se solicite la continuidad del procedimiento o se produzca la caducidad de la instancia.</w:t>
      </w:r>
    </w:p>
    <w:p w:rsidR="007F6B91" w:rsidRDefault="005F6437" w:rsidP="00440A8F">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sidRPr="00440A8F">
        <w:rPr>
          <w:lang w:val="es-ES"/>
        </w:rPr>
        <w:lastRenderedPageBreak/>
        <w:t>La Disposición Adicional Undécima de la Ley 14/2015, de 24 de junio</w:t>
      </w:r>
      <w:r w:rsidR="008E1787">
        <w:rPr>
          <w:lang w:val="es-ES"/>
        </w:rPr>
        <w:t>,</w:t>
      </w:r>
      <w:r w:rsidRPr="00440A8F">
        <w:rPr>
          <w:lang w:val="es-ES"/>
        </w:rPr>
        <w:t xml:space="preserve"> que modifica el convenio económico, establece un procedimiento </w:t>
      </w:r>
      <w:r w:rsidR="00440A8F" w:rsidRPr="00440A8F">
        <w:rPr>
          <w:lang w:val="es-ES"/>
        </w:rPr>
        <w:t>complementari</w:t>
      </w:r>
      <w:r w:rsidR="00440A8F">
        <w:rPr>
          <w:lang w:val="es-ES"/>
        </w:rPr>
        <w:t xml:space="preserve">o </w:t>
      </w:r>
      <w:r w:rsidR="00440A8F" w:rsidRPr="00440A8F">
        <w:rPr>
          <w:lang w:val="es-ES"/>
        </w:rPr>
        <w:t>de</w:t>
      </w:r>
      <w:r w:rsidRPr="00440A8F">
        <w:rPr>
          <w:lang w:val="es-ES"/>
        </w:rPr>
        <w:t xml:space="preserve"> resolu</w:t>
      </w:r>
      <w:r w:rsidR="005B62EF">
        <w:rPr>
          <w:lang w:val="es-ES"/>
        </w:rPr>
        <w:t xml:space="preserve">ción </w:t>
      </w:r>
      <w:r w:rsidRPr="00440A8F">
        <w:rPr>
          <w:lang w:val="es-ES"/>
        </w:rPr>
        <w:t xml:space="preserve">de </w:t>
      </w:r>
      <w:r w:rsidR="00D55C1A">
        <w:rPr>
          <w:lang w:val="es-ES"/>
        </w:rPr>
        <w:t>conflicto</w:t>
      </w:r>
      <w:r w:rsidR="00481D22">
        <w:rPr>
          <w:lang w:val="es-ES"/>
        </w:rPr>
        <w:t>s</w:t>
      </w:r>
      <w:r w:rsidR="00D55C1A">
        <w:rPr>
          <w:lang w:val="es-ES"/>
        </w:rPr>
        <w:t xml:space="preserve"> de </w:t>
      </w:r>
      <w:r w:rsidRPr="00440A8F">
        <w:rPr>
          <w:lang w:val="es-ES"/>
        </w:rPr>
        <w:t xml:space="preserve">competencias entre la Administración del Estado y la Comunidad Foral </w:t>
      </w:r>
      <w:r w:rsidR="00D55C1A">
        <w:rPr>
          <w:lang w:val="es-ES"/>
        </w:rPr>
        <w:t xml:space="preserve">que hayan sido planteados previamente </w:t>
      </w:r>
      <w:r w:rsidR="005B62EF">
        <w:rPr>
          <w:lang w:val="es-ES"/>
        </w:rPr>
        <w:t>ante</w:t>
      </w:r>
      <w:r w:rsidRPr="00440A8F">
        <w:rPr>
          <w:lang w:val="es-ES"/>
        </w:rPr>
        <w:t xml:space="preserve"> la Junta A</w:t>
      </w:r>
      <w:r w:rsidRPr="00440A8F">
        <w:rPr>
          <w:lang w:val="es-ES"/>
        </w:rPr>
        <w:t>r</w:t>
      </w:r>
      <w:r w:rsidRPr="00440A8F">
        <w:rPr>
          <w:lang w:val="es-ES"/>
        </w:rPr>
        <w:t xml:space="preserve">bitral del Convenio </w:t>
      </w:r>
      <w:r w:rsidR="00440A8F">
        <w:rPr>
          <w:lang w:val="es-ES"/>
        </w:rPr>
        <w:t>y en los que ésta</w:t>
      </w:r>
      <w:r w:rsidR="00440A8F" w:rsidRPr="00440A8F">
        <w:rPr>
          <w:lang w:val="es-ES"/>
        </w:rPr>
        <w:t xml:space="preserve"> no haya determinado la competencia de alguna de las administracio</w:t>
      </w:r>
      <w:r w:rsidR="00440A8F">
        <w:rPr>
          <w:lang w:val="es-ES"/>
        </w:rPr>
        <w:t>nes</w:t>
      </w:r>
      <w:r w:rsidR="00440A8F" w:rsidRPr="00440A8F">
        <w:rPr>
          <w:lang w:val="es-ES"/>
        </w:rPr>
        <w:t xml:space="preserve"> y siempre y cuando no impliquen conductas sancionables de los contribuyentes</w:t>
      </w:r>
      <w:r w:rsidR="007F6B91">
        <w:rPr>
          <w:lang w:val="es-ES"/>
        </w:rPr>
        <w:t xml:space="preserve"> y la deuda tributaria tenga su origen en cu</w:t>
      </w:r>
      <w:r w:rsidR="007F6B91">
        <w:rPr>
          <w:lang w:val="es-ES"/>
        </w:rPr>
        <w:t>o</w:t>
      </w:r>
      <w:r w:rsidR="007F6B91">
        <w:rPr>
          <w:lang w:val="es-ES"/>
        </w:rPr>
        <w:t>tas deducidas o devoluciones obtenidas indebidamente en el marco de la imp</w:t>
      </w:r>
      <w:r w:rsidR="007F6B91">
        <w:rPr>
          <w:lang w:val="es-ES"/>
        </w:rPr>
        <w:t>o</w:t>
      </w:r>
      <w:r w:rsidR="007F6B91">
        <w:rPr>
          <w:lang w:val="es-ES"/>
        </w:rPr>
        <w:t>sición indirecta con un importe superior a los 600 millones.</w:t>
      </w:r>
      <w:r w:rsidR="00440A8F" w:rsidRPr="00440A8F">
        <w:rPr>
          <w:lang w:val="es-ES"/>
        </w:rPr>
        <w:t xml:space="preserve"> </w:t>
      </w:r>
    </w:p>
    <w:p w:rsidR="00440A8F" w:rsidRPr="00440A8F" w:rsidRDefault="00440A8F" w:rsidP="007F6B91">
      <w:pPr>
        <w:pStyle w:val="texto"/>
        <w:spacing w:after="120"/>
        <w:rPr>
          <w:lang w:val="es-ES"/>
        </w:rPr>
      </w:pPr>
      <w:r w:rsidRPr="00440A8F">
        <w:rPr>
          <w:lang w:val="es-ES"/>
        </w:rPr>
        <w:t xml:space="preserve">El contribuyente puede solicitar la extinción total o parcial de las deudas que le pueda reclamar una administración, en la parte equivalente de deuda </w:t>
      </w:r>
      <w:r w:rsidR="00481D22">
        <w:rPr>
          <w:lang w:val="es-ES"/>
        </w:rPr>
        <w:t>e</w:t>
      </w:r>
      <w:r w:rsidR="00ED0AC9">
        <w:rPr>
          <w:lang w:val="es-ES"/>
        </w:rPr>
        <w:t>fect</w:t>
      </w:r>
      <w:r w:rsidR="00481D22">
        <w:rPr>
          <w:lang w:val="es-ES"/>
        </w:rPr>
        <w:t>i</w:t>
      </w:r>
      <w:r w:rsidRPr="00440A8F">
        <w:rPr>
          <w:lang w:val="es-ES"/>
        </w:rPr>
        <w:t>vamente satisfecha a la otra administración, siempre y cuando se cumplan una serie de requisitos expresamente tasados en el acuerdo. La extinción de la obl</w:t>
      </w:r>
      <w:r w:rsidRPr="00440A8F">
        <w:rPr>
          <w:lang w:val="es-ES"/>
        </w:rPr>
        <w:t>i</w:t>
      </w:r>
      <w:r w:rsidRPr="00440A8F">
        <w:rPr>
          <w:lang w:val="es-ES"/>
        </w:rPr>
        <w:t>gación tributaria del contribuyente conllevará la terminación del conflicto de competencias que se haya suscitado, sin que en consecuencia quepa reclam</w:t>
      </w:r>
      <w:r w:rsidRPr="00440A8F">
        <w:rPr>
          <w:lang w:val="es-ES"/>
        </w:rPr>
        <w:t>a</w:t>
      </w:r>
      <w:r w:rsidRPr="00440A8F">
        <w:rPr>
          <w:lang w:val="es-ES"/>
        </w:rPr>
        <w:t>ción alguna entre administraciones.</w:t>
      </w:r>
    </w:p>
    <w:p w:rsidR="00282E52" w:rsidRDefault="00282E52" w:rsidP="001C147F">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Pr>
          <w:lang w:val="es-ES"/>
        </w:rPr>
        <w:t xml:space="preserve">El 15 de diciembre de 2015, la AEAT acordó, en aplicación de la citada Ley 14/2015, la declaración de extinción de las deudas tributarias </w:t>
      </w:r>
      <w:r w:rsidR="00036B82">
        <w:rPr>
          <w:lang w:val="es-ES"/>
        </w:rPr>
        <w:t>en virtud de la solicitud formulada por el contribuyente el 30 de julio de 2015</w:t>
      </w:r>
      <w:r>
        <w:rPr>
          <w:lang w:val="es-ES"/>
        </w:rPr>
        <w:t>.</w:t>
      </w:r>
    </w:p>
    <w:p w:rsidR="001C147F" w:rsidRPr="001C147F" w:rsidRDefault="001C147F" w:rsidP="001C147F">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sidRPr="001C147F">
        <w:rPr>
          <w:lang w:val="es-ES"/>
        </w:rPr>
        <w:t>El 20 de enero de 2016 se emite Diligencia de Ordenación</w:t>
      </w:r>
      <w:r>
        <w:rPr>
          <w:lang w:val="es-ES"/>
        </w:rPr>
        <w:t xml:space="preserve"> por la Sala del Tribunal Supremo</w:t>
      </w:r>
      <w:r w:rsidRPr="001C147F">
        <w:rPr>
          <w:lang w:val="es-ES"/>
        </w:rPr>
        <w:t xml:space="preserve"> por escrito del Abogado del Estado solicitando el archivo definitivo del </w:t>
      </w:r>
      <w:r>
        <w:rPr>
          <w:lang w:val="es-ES"/>
        </w:rPr>
        <w:t xml:space="preserve">citado </w:t>
      </w:r>
      <w:r w:rsidRPr="001C147F">
        <w:rPr>
          <w:lang w:val="es-ES"/>
        </w:rPr>
        <w:t>recurso</w:t>
      </w:r>
      <w:r w:rsidR="00282E52">
        <w:rPr>
          <w:lang w:val="es-ES"/>
        </w:rPr>
        <w:t xml:space="preserve"> contencioso-administrativo</w:t>
      </w:r>
      <w:r w:rsidRPr="001C147F">
        <w:rPr>
          <w:lang w:val="es-ES"/>
        </w:rPr>
        <w:t>.</w:t>
      </w:r>
      <w:r>
        <w:rPr>
          <w:lang w:val="es-ES"/>
        </w:rPr>
        <w:t xml:space="preserve"> </w:t>
      </w:r>
    </w:p>
    <w:p w:rsidR="00440A8F" w:rsidRPr="005B62EF" w:rsidRDefault="004A1B58" w:rsidP="005B62EF">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sidRPr="004A1B58">
        <w:rPr>
          <w:lang w:val="es-ES"/>
        </w:rPr>
        <w:t xml:space="preserve">El 3 de febrero de 2016, </w:t>
      </w:r>
      <w:r w:rsidR="005B62EF">
        <w:rPr>
          <w:lang w:val="es-ES"/>
        </w:rPr>
        <w:t xml:space="preserve">la Sala del </w:t>
      </w:r>
      <w:r w:rsidRPr="004A1B58">
        <w:rPr>
          <w:lang w:val="es-ES"/>
        </w:rPr>
        <w:t>Tribunal Supremo dicta un Decreto dando por terminado el recurso contencioso-administrativo</w:t>
      </w:r>
      <w:r w:rsidR="005B62EF">
        <w:rPr>
          <w:lang w:val="es-ES"/>
        </w:rPr>
        <w:t>, transformando</w:t>
      </w:r>
      <w:r w:rsidRPr="004A1B58">
        <w:rPr>
          <w:lang w:val="es-ES"/>
        </w:rPr>
        <w:t xml:space="preserve"> el archivo provisional de los autos en archivo definitivo. </w:t>
      </w:r>
    </w:p>
    <w:p w:rsidR="00EB47C1" w:rsidRDefault="00EB47C1" w:rsidP="007B65C6">
      <w:pPr>
        <w:pStyle w:val="texto"/>
        <w:spacing w:after="120"/>
        <w:rPr>
          <w:lang w:val="es-ES"/>
        </w:rPr>
      </w:pPr>
      <w:r>
        <w:rPr>
          <w:lang w:val="es-ES"/>
        </w:rPr>
        <w:t>Con este Decreto</w:t>
      </w:r>
      <w:r w:rsidR="00A07559">
        <w:rPr>
          <w:lang w:val="es-ES"/>
        </w:rPr>
        <w:t xml:space="preserve"> del Tribunal Suprem</w:t>
      </w:r>
      <w:r w:rsidR="007A7AFB">
        <w:rPr>
          <w:lang w:val="es-ES"/>
        </w:rPr>
        <w:t>o</w:t>
      </w:r>
      <w:r>
        <w:rPr>
          <w:lang w:val="es-ES"/>
        </w:rPr>
        <w:t xml:space="preserve"> se cierra definitivamente el contencioso entre ambas administraciones sobre </w:t>
      </w:r>
      <w:r w:rsidR="00B04296">
        <w:rPr>
          <w:lang w:val="es-ES"/>
        </w:rPr>
        <w:t xml:space="preserve">el IVA derivado de </w:t>
      </w:r>
      <w:r>
        <w:rPr>
          <w:lang w:val="es-ES"/>
        </w:rPr>
        <w:t>la labor de comercialización de vehículos fabricados en territorio foral.</w:t>
      </w:r>
    </w:p>
    <w:p w:rsidR="007B65C6" w:rsidRPr="006D43A7" w:rsidRDefault="007B65C6" w:rsidP="007B65C6">
      <w:pPr>
        <w:pStyle w:val="texto"/>
        <w:spacing w:after="120"/>
        <w:rPr>
          <w:lang w:val="es-ES"/>
        </w:rPr>
      </w:pPr>
      <w:r w:rsidRPr="00F35AED">
        <w:rPr>
          <w:b/>
          <w:lang w:val="es-ES"/>
        </w:rPr>
        <w:t>2.</w:t>
      </w:r>
      <w:r w:rsidR="00F33DBB">
        <w:rPr>
          <w:b/>
          <w:lang w:val="es-ES"/>
        </w:rPr>
        <w:t>)</w:t>
      </w:r>
      <w:r>
        <w:rPr>
          <w:lang w:val="es-ES"/>
        </w:rPr>
        <w:t xml:space="preserve"> </w:t>
      </w:r>
      <w:r w:rsidRPr="006D43A7">
        <w:rPr>
          <w:lang w:val="es-ES"/>
        </w:rPr>
        <w:t xml:space="preserve">Un partido político presentó un recurso contencioso administrativo contra los acuerdos de la Comisión Coordinadora de 7 de mayo de 2012 </w:t>
      </w:r>
      <w:r>
        <w:rPr>
          <w:lang w:val="es-ES"/>
        </w:rPr>
        <w:t>que modificaban</w:t>
      </w:r>
      <w:r w:rsidRPr="006D43A7">
        <w:rPr>
          <w:lang w:val="es-ES"/>
        </w:rPr>
        <w:t xml:space="preserve"> el método para hacer efectivo el ajuste de la recaudación del IVA en el quinquenio 2010-2014</w:t>
      </w:r>
      <w:r>
        <w:rPr>
          <w:lang w:val="es-ES"/>
        </w:rPr>
        <w:t>,</w:t>
      </w:r>
      <w:r w:rsidRPr="006D43A7">
        <w:rPr>
          <w:lang w:val="es-ES"/>
        </w:rPr>
        <w:t xml:space="preserve"> a partir del 1 de abril de 2012.</w:t>
      </w:r>
      <w:r>
        <w:rPr>
          <w:lang w:val="es-ES"/>
        </w:rPr>
        <w:t xml:space="preserve"> </w:t>
      </w:r>
    </w:p>
    <w:p w:rsidR="000205D4" w:rsidRDefault="007B65C6" w:rsidP="00732E78">
      <w:pPr>
        <w:pStyle w:val="texto"/>
        <w:spacing w:after="120"/>
        <w:rPr>
          <w:lang w:val="es-ES"/>
        </w:rPr>
      </w:pPr>
      <w:r w:rsidRPr="006D43A7">
        <w:rPr>
          <w:lang w:val="es-ES"/>
        </w:rPr>
        <w:t>El recurso de la formación política fue declarado inadmitido por Sentencia del 22 de enero de 2015 de la</w:t>
      </w:r>
      <w:r>
        <w:rPr>
          <w:lang w:val="es-ES"/>
        </w:rPr>
        <w:t xml:space="preserve"> Sala de lo Contencioso-Administrativo de la </w:t>
      </w:r>
      <w:r w:rsidRPr="006D43A7">
        <w:rPr>
          <w:lang w:val="es-ES"/>
        </w:rPr>
        <w:t>Audiencia Nacional. El 14 de abril de 2015, el Tribunal Supremo declaró desierto el recurso de Casación preparado por el partido político contra la sentencia de la Audiencia Nacional.</w:t>
      </w:r>
    </w:p>
    <w:p w:rsidR="00227A03" w:rsidRPr="0067400E" w:rsidRDefault="0067400E" w:rsidP="0067400E">
      <w:pPr>
        <w:pStyle w:val="atitulo3"/>
        <w:spacing w:before="360"/>
      </w:pPr>
      <w:r w:rsidRPr="00CD1E6D">
        <w:t>IV.</w:t>
      </w:r>
      <w:r w:rsidR="00B31AA4">
        <w:t>7</w:t>
      </w:r>
      <w:r w:rsidRPr="00CD1E6D">
        <w:t>.</w:t>
      </w:r>
      <w:r>
        <w:t>2</w:t>
      </w:r>
      <w:r w:rsidRPr="00CD1E6D">
        <w:t xml:space="preserve">. </w:t>
      </w:r>
      <w:r>
        <w:t>Liquidación presupuestaria</w:t>
      </w:r>
      <w:r w:rsidR="00A80FEC">
        <w:t xml:space="preserve"> </w:t>
      </w:r>
      <w:r>
        <w:t xml:space="preserve"> 2015</w:t>
      </w:r>
    </w:p>
    <w:p w:rsidR="0067400E" w:rsidRDefault="00CD1E6D" w:rsidP="00F33DBB">
      <w:pPr>
        <w:pStyle w:val="texto"/>
        <w:spacing w:after="120"/>
        <w:rPr>
          <w:lang w:val="es-ES"/>
        </w:rPr>
      </w:pPr>
      <w:r w:rsidRPr="006D43A7">
        <w:rPr>
          <w:lang w:val="es-ES"/>
        </w:rPr>
        <w:t xml:space="preserve">Las operaciones de gastos e ingresos correspondientes al Convenio Económico </w:t>
      </w:r>
      <w:r w:rsidR="0067400E">
        <w:rPr>
          <w:lang w:val="es-ES"/>
        </w:rPr>
        <w:t>registradas en la liquidación presupuestaria de 2015</w:t>
      </w:r>
      <w:r w:rsidR="0026192B">
        <w:rPr>
          <w:lang w:val="es-ES"/>
        </w:rPr>
        <w:t xml:space="preserve"> y su comparación con el ejercicio anterior</w:t>
      </w:r>
      <w:r w:rsidR="00EA2FB5">
        <w:rPr>
          <w:lang w:val="es-ES"/>
        </w:rPr>
        <w:t>, se indican en el siguiente cuadro</w:t>
      </w:r>
      <w:r w:rsidR="0067400E">
        <w:rPr>
          <w:lang w:val="es-ES"/>
        </w:rPr>
        <w:t xml:space="preserve">: </w:t>
      </w:r>
    </w:p>
    <w:p w:rsidR="00F33DBB" w:rsidRPr="00846EDC" w:rsidRDefault="008E1787" w:rsidP="00F33DBB">
      <w:pPr>
        <w:pStyle w:val="recomen"/>
        <w:numPr>
          <w:ilvl w:val="0"/>
          <w:numId w:val="0"/>
        </w:numPr>
        <w:spacing w:after="40"/>
        <w:ind w:left="1588"/>
        <w:jc w:val="right"/>
        <w:rPr>
          <w:rFonts w:ascii="Arial Narrow" w:hAnsi="Arial Narrow"/>
          <w:i w:val="0"/>
          <w:sz w:val="18"/>
          <w:szCs w:val="18"/>
        </w:rPr>
      </w:pPr>
      <w:r w:rsidRPr="00846EDC">
        <w:rPr>
          <w:rFonts w:ascii="Arial Narrow" w:hAnsi="Arial Narrow"/>
          <w:i w:val="0"/>
          <w:sz w:val="18"/>
          <w:szCs w:val="18"/>
        </w:rPr>
        <w:t>Miles</w:t>
      </w:r>
      <w:r w:rsidR="00F33DBB" w:rsidRPr="00846EDC">
        <w:rPr>
          <w:rFonts w:ascii="Arial Narrow" w:hAnsi="Arial Narrow"/>
          <w:i w:val="0"/>
          <w:sz w:val="18"/>
          <w:szCs w:val="18"/>
        </w:rPr>
        <w:t xml:space="preserve"> de euros</w:t>
      </w:r>
    </w:p>
    <w:tbl>
      <w:tblPr>
        <w:tblW w:w="9143"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5156"/>
        <w:gridCol w:w="1400"/>
        <w:gridCol w:w="1249"/>
        <w:gridCol w:w="1338"/>
      </w:tblGrid>
      <w:tr w:rsidR="0026192B" w:rsidRPr="00106FDC" w:rsidTr="00106FDC">
        <w:trPr>
          <w:trHeight w:val="284"/>
          <w:jc w:val="center"/>
        </w:trPr>
        <w:tc>
          <w:tcPr>
            <w:tcW w:w="5156" w:type="dxa"/>
            <w:shd w:val="clear" w:color="auto" w:fill="A8CBEE" w:themeFill="accent2" w:themeFillTint="66"/>
            <w:vAlign w:val="center"/>
            <w:hideMark/>
          </w:tcPr>
          <w:p w:rsidR="0026192B" w:rsidRPr="00106FDC" w:rsidRDefault="00C17664" w:rsidP="00106FDC">
            <w:pPr>
              <w:pStyle w:val="cuadroCabe"/>
              <w:jc w:val="left"/>
              <w:rPr>
                <w:lang w:val="es-ES"/>
              </w:rPr>
            </w:pPr>
            <w:r w:rsidRPr="00106FDC">
              <w:rPr>
                <w:lang w:val="es-ES"/>
              </w:rPr>
              <w:t>Convenio-</w:t>
            </w:r>
            <w:r w:rsidR="0026192B" w:rsidRPr="00106FDC">
              <w:rPr>
                <w:lang w:val="es-ES"/>
              </w:rPr>
              <w:t>Partida Presupuestaria</w:t>
            </w:r>
            <w:r w:rsidRPr="00106FDC">
              <w:rPr>
                <w:lang w:val="es-ES"/>
              </w:rPr>
              <w:t>s</w:t>
            </w:r>
          </w:p>
        </w:tc>
        <w:tc>
          <w:tcPr>
            <w:tcW w:w="1400" w:type="dxa"/>
            <w:shd w:val="clear" w:color="auto" w:fill="A8CBEE" w:themeFill="accent2" w:themeFillTint="66"/>
            <w:vAlign w:val="center"/>
          </w:tcPr>
          <w:p w:rsidR="0026192B" w:rsidRPr="00106FDC" w:rsidRDefault="0026192B" w:rsidP="00106FDC">
            <w:pPr>
              <w:pStyle w:val="cuadroCabe"/>
              <w:jc w:val="right"/>
              <w:rPr>
                <w:lang w:val="es-ES"/>
              </w:rPr>
            </w:pPr>
            <w:r w:rsidRPr="00106FDC">
              <w:rPr>
                <w:lang w:val="es-ES"/>
              </w:rPr>
              <w:t>2014</w:t>
            </w:r>
          </w:p>
        </w:tc>
        <w:tc>
          <w:tcPr>
            <w:tcW w:w="1249" w:type="dxa"/>
            <w:shd w:val="clear" w:color="auto" w:fill="A8CBEE" w:themeFill="accent2" w:themeFillTint="66"/>
            <w:vAlign w:val="center"/>
            <w:hideMark/>
          </w:tcPr>
          <w:p w:rsidR="0026192B" w:rsidRPr="00106FDC" w:rsidRDefault="0026192B" w:rsidP="00106FDC">
            <w:pPr>
              <w:pStyle w:val="cuadroCabe"/>
              <w:jc w:val="right"/>
              <w:rPr>
                <w:lang w:val="es-ES"/>
              </w:rPr>
            </w:pPr>
            <w:r w:rsidRPr="00106FDC">
              <w:rPr>
                <w:lang w:val="es-ES"/>
              </w:rPr>
              <w:t>2015</w:t>
            </w:r>
          </w:p>
        </w:tc>
        <w:tc>
          <w:tcPr>
            <w:tcW w:w="1338" w:type="dxa"/>
            <w:shd w:val="clear" w:color="auto" w:fill="A8CBEE" w:themeFill="accent2" w:themeFillTint="66"/>
            <w:vAlign w:val="center"/>
          </w:tcPr>
          <w:p w:rsidR="0026192B" w:rsidRPr="00106FDC" w:rsidRDefault="0026192B" w:rsidP="00106FDC">
            <w:pPr>
              <w:pStyle w:val="cuadroCabe"/>
              <w:jc w:val="right"/>
              <w:rPr>
                <w:lang w:val="es-ES"/>
              </w:rPr>
            </w:pPr>
            <w:r w:rsidRPr="00106FDC">
              <w:rPr>
                <w:lang w:val="es-ES"/>
              </w:rPr>
              <w:t>% Variación</w:t>
            </w:r>
          </w:p>
        </w:tc>
      </w:tr>
      <w:tr w:rsidR="0026192B" w:rsidTr="00106FDC">
        <w:trPr>
          <w:trHeight w:val="284"/>
          <w:jc w:val="center"/>
        </w:trPr>
        <w:tc>
          <w:tcPr>
            <w:tcW w:w="5156" w:type="dxa"/>
            <w:tcBorders>
              <w:bottom w:val="single" w:sz="2" w:space="0" w:color="auto"/>
            </w:tcBorders>
            <w:vAlign w:val="center"/>
            <w:hideMark/>
          </w:tcPr>
          <w:p w:rsidR="0026192B" w:rsidRPr="00A31B60" w:rsidRDefault="0026192B" w:rsidP="00A31B60">
            <w:pPr>
              <w:pStyle w:val="cuatexto"/>
              <w:jc w:val="left"/>
              <w:rPr>
                <w:szCs w:val="20"/>
              </w:rPr>
            </w:pPr>
            <w:r w:rsidRPr="00A31B60">
              <w:rPr>
                <w:szCs w:val="20"/>
              </w:rPr>
              <w:t>Aportación al Estado</w:t>
            </w:r>
          </w:p>
        </w:tc>
        <w:tc>
          <w:tcPr>
            <w:tcW w:w="1400" w:type="dxa"/>
            <w:tcBorders>
              <w:bottom w:val="single" w:sz="2" w:space="0" w:color="auto"/>
            </w:tcBorders>
            <w:vAlign w:val="center"/>
          </w:tcPr>
          <w:p w:rsidR="0026192B" w:rsidRPr="0026192B" w:rsidRDefault="0026192B" w:rsidP="0026192B">
            <w:pPr>
              <w:pStyle w:val="cuatexto"/>
              <w:jc w:val="right"/>
              <w:rPr>
                <w:szCs w:val="20"/>
              </w:rPr>
            </w:pPr>
            <w:r w:rsidRPr="0026192B">
              <w:rPr>
                <w:szCs w:val="20"/>
              </w:rPr>
              <w:t>555.835</w:t>
            </w:r>
          </w:p>
        </w:tc>
        <w:tc>
          <w:tcPr>
            <w:tcW w:w="1249" w:type="dxa"/>
            <w:tcBorders>
              <w:bottom w:val="single" w:sz="2" w:space="0" w:color="auto"/>
            </w:tcBorders>
            <w:noWrap/>
            <w:vAlign w:val="center"/>
            <w:hideMark/>
          </w:tcPr>
          <w:p w:rsidR="0026192B" w:rsidRPr="00A31B60" w:rsidRDefault="0026192B" w:rsidP="00A31B60">
            <w:pPr>
              <w:pStyle w:val="cuatexto"/>
              <w:jc w:val="right"/>
              <w:rPr>
                <w:szCs w:val="20"/>
              </w:rPr>
            </w:pPr>
            <w:r w:rsidRPr="00A31B60">
              <w:rPr>
                <w:szCs w:val="20"/>
              </w:rPr>
              <w:t>591.043</w:t>
            </w:r>
          </w:p>
        </w:tc>
        <w:tc>
          <w:tcPr>
            <w:tcW w:w="1338" w:type="dxa"/>
            <w:tcBorders>
              <w:bottom w:val="single" w:sz="2" w:space="0" w:color="auto"/>
            </w:tcBorders>
            <w:vAlign w:val="center"/>
          </w:tcPr>
          <w:p w:rsidR="0026192B" w:rsidRPr="0026192B" w:rsidRDefault="0026192B" w:rsidP="0026192B">
            <w:pPr>
              <w:pStyle w:val="cuatexto"/>
              <w:jc w:val="right"/>
              <w:rPr>
                <w:szCs w:val="20"/>
              </w:rPr>
            </w:pPr>
            <w:r w:rsidRPr="0026192B">
              <w:rPr>
                <w:szCs w:val="20"/>
              </w:rPr>
              <w:t>6</w:t>
            </w:r>
          </w:p>
        </w:tc>
      </w:tr>
      <w:tr w:rsidR="0026192B" w:rsidTr="00106FDC">
        <w:trPr>
          <w:trHeight w:val="284"/>
          <w:jc w:val="center"/>
        </w:trPr>
        <w:tc>
          <w:tcPr>
            <w:tcW w:w="5156" w:type="dxa"/>
            <w:tcBorders>
              <w:top w:val="single" w:sz="2" w:space="0" w:color="auto"/>
              <w:bottom w:val="single" w:sz="2" w:space="0" w:color="auto"/>
            </w:tcBorders>
            <w:vAlign w:val="center"/>
            <w:hideMark/>
          </w:tcPr>
          <w:p w:rsidR="0026192B" w:rsidRPr="00A31B60" w:rsidRDefault="0026192B" w:rsidP="00A37945">
            <w:pPr>
              <w:pStyle w:val="cuatexto"/>
              <w:jc w:val="left"/>
              <w:rPr>
                <w:szCs w:val="20"/>
              </w:rPr>
            </w:pPr>
            <w:r w:rsidRPr="00A31B60">
              <w:rPr>
                <w:szCs w:val="20"/>
              </w:rPr>
              <w:t xml:space="preserve">Compensación por impuestos sobre </w:t>
            </w:r>
            <w:r w:rsidR="00050708">
              <w:rPr>
                <w:szCs w:val="20"/>
              </w:rPr>
              <w:t xml:space="preserve">el </w:t>
            </w:r>
            <w:r w:rsidR="00A37945">
              <w:rPr>
                <w:szCs w:val="20"/>
              </w:rPr>
              <w:t>sector eléctrico</w:t>
            </w:r>
          </w:p>
        </w:tc>
        <w:tc>
          <w:tcPr>
            <w:tcW w:w="1400" w:type="dxa"/>
            <w:tcBorders>
              <w:top w:val="single" w:sz="2" w:space="0" w:color="auto"/>
              <w:bottom w:val="single" w:sz="2" w:space="0" w:color="auto"/>
            </w:tcBorders>
            <w:vAlign w:val="center"/>
          </w:tcPr>
          <w:p w:rsidR="0026192B" w:rsidRPr="0026192B" w:rsidRDefault="0026192B" w:rsidP="0026192B">
            <w:pPr>
              <w:pStyle w:val="cuatexto"/>
              <w:jc w:val="right"/>
              <w:rPr>
                <w:szCs w:val="20"/>
              </w:rPr>
            </w:pPr>
            <w:r w:rsidRPr="0026192B">
              <w:rPr>
                <w:szCs w:val="20"/>
              </w:rPr>
              <w:t> </w:t>
            </w:r>
          </w:p>
        </w:tc>
        <w:tc>
          <w:tcPr>
            <w:tcW w:w="1249" w:type="dxa"/>
            <w:tcBorders>
              <w:top w:val="single" w:sz="2" w:space="0" w:color="auto"/>
              <w:bottom w:val="single" w:sz="2" w:space="0" w:color="auto"/>
            </w:tcBorders>
            <w:noWrap/>
            <w:vAlign w:val="center"/>
            <w:hideMark/>
          </w:tcPr>
          <w:p w:rsidR="0026192B" w:rsidRPr="00A31B60" w:rsidRDefault="0026192B" w:rsidP="00A31B60">
            <w:pPr>
              <w:pStyle w:val="cuatexto"/>
              <w:jc w:val="right"/>
              <w:rPr>
                <w:szCs w:val="20"/>
              </w:rPr>
            </w:pPr>
            <w:r w:rsidRPr="00A31B60">
              <w:rPr>
                <w:szCs w:val="20"/>
              </w:rPr>
              <w:t>26.859</w:t>
            </w:r>
          </w:p>
        </w:tc>
        <w:tc>
          <w:tcPr>
            <w:tcW w:w="1338" w:type="dxa"/>
            <w:tcBorders>
              <w:top w:val="single" w:sz="2" w:space="0" w:color="auto"/>
              <w:bottom w:val="single" w:sz="2" w:space="0" w:color="auto"/>
            </w:tcBorders>
            <w:vAlign w:val="center"/>
          </w:tcPr>
          <w:p w:rsidR="0026192B" w:rsidRPr="0026192B" w:rsidRDefault="0082075C" w:rsidP="0026192B">
            <w:pPr>
              <w:pStyle w:val="cuatexto"/>
              <w:jc w:val="right"/>
              <w:rPr>
                <w:szCs w:val="20"/>
              </w:rPr>
            </w:pPr>
            <w:r>
              <w:rPr>
                <w:szCs w:val="20"/>
              </w:rPr>
              <w:t>-</w:t>
            </w:r>
            <w:r w:rsidR="0026192B" w:rsidRPr="0026192B">
              <w:rPr>
                <w:szCs w:val="20"/>
              </w:rPr>
              <w:t> </w:t>
            </w:r>
          </w:p>
        </w:tc>
      </w:tr>
      <w:tr w:rsidR="0026192B" w:rsidTr="00106FDC">
        <w:trPr>
          <w:trHeight w:val="284"/>
          <w:jc w:val="center"/>
        </w:trPr>
        <w:tc>
          <w:tcPr>
            <w:tcW w:w="5156" w:type="dxa"/>
            <w:tcBorders>
              <w:top w:val="single" w:sz="2" w:space="0" w:color="auto"/>
              <w:bottom w:val="single" w:sz="2" w:space="0" w:color="auto"/>
            </w:tcBorders>
            <w:shd w:val="clear" w:color="auto" w:fill="auto"/>
            <w:vAlign w:val="center"/>
            <w:hideMark/>
          </w:tcPr>
          <w:p w:rsidR="0026192B" w:rsidRPr="00A31B60" w:rsidRDefault="0026192B" w:rsidP="001E7B19">
            <w:pPr>
              <w:pStyle w:val="cuatexto"/>
              <w:jc w:val="left"/>
              <w:rPr>
                <w:rFonts w:ascii="Arial" w:hAnsi="Arial" w:cs="Arial"/>
                <w:b/>
                <w:bCs/>
                <w:color w:val="000000"/>
                <w:sz w:val="16"/>
                <w:szCs w:val="16"/>
                <w:lang w:val="es-ES"/>
              </w:rPr>
            </w:pPr>
            <w:r w:rsidRPr="00A31B60">
              <w:rPr>
                <w:b/>
                <w:szCs w:val="20"/>
              </w:rPr>
              <w:t xml:space="preserve">Total partidas </w:t>
            </w:r>
            <w:r>
              <w:rPr>
                <w:b/>
                <w:szCs w:val="20"/>
              </w:rPr>
              <w:t>Gastos</w:t>
            </w:r>
            <w:r w:rsidRPr="00A31B60">
              <w:rPr>
                <w:b/>
                <w:szCs w:val="20"/>
              </w:rPr>
              <w:t>- Convenio</w:t>
            </w:r>
          </w:p>
        </w:tc>
        <w:tc>
          <w:tcPr>
            <w:tcW w:w="1400" w:type="dxa"/>
            <w:tcBorders>
              <w:top w:val="single" w:sz="2" w:space="0" w:color="auto"/>
              <w:bottom w:val="single" w:sz="2" w:space="0" w:color="auto"/>
            </w:tcBorders>
            <w:shd w:val="clear" w:color="auto" w:fill="auto"/>
            <w:vAlign w:val="center"/>
          </w:tcPr>
          <w:p w:rsidR="0026192B" w:rsidRPr="0026192B" w:rsidRDefault="0026192B" w:rsidP="0026192B">
            <w:pPr>
              <w:pStyle w:val="cuatexto"/>
              <w:jc w:val="right"/>
              <w:rPr>
                <w:b/>
                <w:szCs w:val="20"/>
              </w:rPr>
            </w:pPr>
            <w:r w:rsidRPr="0026192B">
              <w:rPr>
                <w:b/>
                <w:szCs w:val="20"/>
              </w:rPr>
              <w:t>555.835</w:t>
            </w:r>
          </w:p>
        </w:tc>
        <w:tc>
          <w:tcPr>
            <w:tcW w:w="1249" w:type="dxa"/>
            <w:tcBorders>
              <w:top w:val="single" w:sz="2" w:space="0" w:color="auto"/>
              <w:bottom w:val="single" w:sz="2" w:space="0" w:color="auto"/>
            </w:tcBorders>
            <w:shd w:val="clear" w:color="auto" w:fill="auto"/>
            <w:noWrap/>
            <w:vAlign w:val="center"/>
            <w:hideMark/>
          </w:tcPr>
          <w:p w:rsidR="0026192B" w:rsidRPr="00A31B60" w:rsidRDefault="0026192B" w:rsidP="00A31B60">
            <w:pPr>
              <w:pStyle w:val="cuatexto"/>
              <w:jc w:val="right"/>
              <w:rPr>
                <w:b/>
                <w:szCs w:val="20"/>
              </w:rPr>
            </w:pPr>
            <w:r w:rsidRPr="00A31B60">
              <w:rPr>
                <w:b/>
                <w:szCs w:val="20"/>
              </w:rPr>
              <w:t>617.902</w:t>
            </w:r>
          </w:p>
        </w:tc>
        <w:tc>
          <w:tcPr>
            <w:tcW w:w="1338" w:type="dxa"/>
            <w:tcBorders>
              <w:top w:val="single" w:sz="2" w:space="0" w:color="auto"/>
              <w:bottom w:val="single" w:sz="2" w:space="0" w:color="auto"/>
            </w:tcBorders>
            <w:shd w:val="clear" w:color="auto" w:fill="auto"/>
            <w:vAlign w:val="center"/>
          </w:tcPr>
          <w:p w:rsidR="0026192B" w:rsidRPr="0026192B" w:rsidRDefault="0026192B" w:rsidP="0026192B">
            <w:pPr>
              <w:pStyle w:val="cuatexto"/>
              <w:jc w:val="right"/>
              <w:rPr>
                <w:b/>
                <w:szCs w:val="20"/>
              </w:rPr>
            </w:pPr>
            <w:r w:rsidRPr="0026192B">
              <w:rPr>
                <w:b/>
                <w:szCs w:val="20"/>
              </w:rPr>
              <w:t>11</w:t>
            </w:r>
          </w:p>
        </w:tc>
      </w:tr>
      <w:tr w:rsidR="0026192B" w:rsidTr="00106FDC">
        <w:trPr>
          <w:trHeight w:val="284"/>
          <w:jc w:val="center"/>
        </w:trPr>
        <w:tc>
          <w:tcPr>
            <w:tcW w:w="5156" w:type="dxa"/>
            <w:tcBorders>
              <w:top w:val="single" w:sz="2" w:space="0" w:color="auto"/>
              <w:bottom w:val="single" w:sz="2" w:space="0" w:color="auto"/>
            </w:tcBorders>
            <w:vAlign w:val="center"/>
            <w:hideMark/>
          </w:tcPr>
          <w:p w:rsidR="0026192B" w:rsidRPr="00A31B60" w:rsidRDefault="0026192B" w:rsidP="00A31B60">
            <w:pPr>
              <w:pStyle w:val="cuatexto"/>
              <w:jc w:val="left"/>
              <w:rPr>
                <w:szCs w:val="20"/>
              </w:rPr>
            </w:pPr>
            <w:r w:rsidRPr="00A31B60">
              <w:rPr>
                <w:szCs w:val="20"/>
              </w:rPr>
              <w:t>Ajustes por  IVA</w:t>
            </w:r>
          </w:p>
        </w:tc>
        <w:tc>
          <w:tcPr>
            <w:tcW w:w="1400" w:type="dxa"/>
            <w:tcBorders>
              <w:top w:val="single" w:sz="2" w:space="0" w:color="auto"/>
              <w:bottom w:val="single" w:sz="2" w:space="0" w:color="auto"/>
            </w:tcBorders>
            <w:vAlign w:val="center"/>
          </w:tcPr>
          <w:p w:rsidR="0026192B" w:rsidRPr="0026192B" w:rsidRDefault="0026192B" w:rsidP="0026192B">
            <w:pPr>
              <w:pStyle w:val="cuatexto"/>
              <w:jc w:val="right"/>
              <w:rPr>
                <w:szCs w:val="20"/>
              </w:rPr>
            </w:pPr>
            <w:r w:rsidRPr="0026192B">
              <w:rPr>
                <w:szCs w:val="20"/>
              </w:rPr>
              <w:t>750.869</w:t>
            </w:r>
          </w:p>
        </w:tc>
        <w:tc>
          <w:tcPr>
            <w:tcW w:w="1249" w:type="dxa"/>
            <w:tcBorders>
              <w:top w:val="single" w:sz="2" w:space="0" w:color="auto"/>
              <w:bottom w:val="single" w:sz="2" w:space="0" w:color="auto"/>
            </w:tcBorders>
            <w:noWrap/>
            <w:vAlign w:val="center"/>
          </w:tcPr>
          <w:p w:rsidR="0026192B" w:rsidRPr="0026192B" w:rsidRDefault="0026192B" w:rsidP="0026192B">
            <w:pPr>
              <w:pStyle w:val="cuatexto"/>
              <w:jc w:val="right"/>
              <w:rPr>
                <w:szCs w:val="20"/>
              </w:rPr>
            </w:pPr>
            <w:r w:rsidRPr="0026192B">
              <w:rPr>
                <w:szCs w:val="20"/>
              </w:rPr>
              <w:t>811.648</w:t>
            </w:r>
          </w:p>
        </w:tc>
        <w:tc>
          <w:tcPr>
            <w:tcW w:w="1338" w:type="dxa"/>
            <w:tcBorders>
              <w:top w:val="single" w:sz="2" w:space="0" w:color="auto"/>
              <w:bottom w:val="single" w:sz="2" w:space="0" w:color="auto"/>
            </w:tcBorders>
            <w:vAlign w:val="center"/>
          </w:tcPr>
          <w:p w:rsidR="0026192B" w:rsidRPr="0026192B" w:rsidRDefault="0026192B" w:rsidP="0026192B">
            <w:pPr>
              <w:pStyle w:val="cuatexto"/>
              <w:jc w:val="right"/>
              <w:rPr>
                <w:szCs w:val="20"/>
              </w:rPr>
            </w:pPr>
            <w:r w:rsidRPr="0026192B">
              <w:rPr>
                <w:szCs w:val="20"/>
              </w:rPr>
              <w:t>8</w:t>
            </w:r>
          </w:p>
        </w:tc>
      </w:tr>
      <w:tr w:rsidR="0026192B" w:rsidTr="00106FDC">
        <w:trPr>
          <w:trHeight w:val="284"/>
          <w:jc w:val="center"/>
        </w:trPr>
        <w:tc>
          <w:tcPr>
            <w:tcW w:w="5156" w:type="dxa"/>
            <w:tcBorders>
              <w:top w:val="single" w:sz="2" w:space="0" w:color="auto"/>
              <w:bottom w:val="single" w:sz="2" w:space="0" w:color="auto"/>
            </w:tcBorders>
            <w:vAlign w:val="center"/>
            <w:hideMark/>
          </w:tcPr>
          <w:p w:rsidR="0026192B" w:rsidRPr="00A31B60" w:rsidRDefault="0026192B" w:rsidP="00A31B60">
            <w:pPr>
              <w:pStyle w:val="cuatexto"/>
              <w:jc w:val="left"/>
              <w:rPr>
                <w:szCs w:val="20"/>
              </w:rPr>
            </w:pPr>
            <w:r w:rsidRPr="00A31B60">
              <w:rPr>
                <w:szCs w:val="20"/>
              </w:rPr>
              <w:t>Ingresos por impuestos especiales sobre el Alcohol</w:t>
            </w:r>
          </w:p>
        </w:tc>
        <w:tc>
          <w:tcPr>
            <w:tcW w:w="1400" w:type="dxa"/>
            <w:tcBorders>
              <w:top w:val="single" w:sz="2" w:space="0" w:color="auto"/>
              <w:bottom w:val="single" w:sz="2" w:space="0" w:color="auto"/>
            </w:tcBorders>
            <w:vAlign w:val="center"/>
          </w:tcPr>
          <w:p w:rsidR="0026192B" w:rsidRPr="0026192B" w:rsidRDefault="0026192B" w:rsidP="0026192B">
            <w:pPr>
              <w:pStyle w:val="cuatexto"/>
              <w:jc w:val="right"/>
              <w:rPr>
                <w:szCs w:val="20"/>
              </w:rPr>
            </w:pPr>
            <w:r w:rsidRPr="0026192B">
              <w:rPr>
                <w:szCs w:val="20"/>
              </w:rPr>
              <w:t>-34.934</w:t>
            </w:r>
          </w:p>
        </w:tc>
        <w:tc>
          <w:tcPr>
            <w:tcW w:w="1249" w:type="dxa"/>
            <w:tcBorders>
              <w:top w:val="single" w:sz="2" w:space="0" w:color="auto"/>
              <w:bottom w:val="single" w:sz="2" w:space="0" w:color="auto"/>
            </w:tcBorders>
            <w:noWrap/>
            <w:vAlign w:val="center"/>
          </w:tcPr>
          <w:p w:rsidR="0026192B" w:rsidRPr="0026192B" w:rsidRDefault="0026192B" w:rsidP="0026192B">
            <w:pPr>
              <w:pStyle w:val="cuatexto"/>
              <w:jc w:val="right"/>
              <w:rPr>
                <w:szCs w:val="20"/>
              </w:rPr>
            </w:pPr>
            <w:r w:rsidRPr="0026192B">
              <w:rPr>
                <w:szCs w:val="20"/>
              </w:rPr>
              <w:t>-37.992</w:t>
            </w:r>
          </w:p>
        </w:tc>
        <w:tc>
          <w:tcPr>
            <w:tcW w:w="1338" w:type="dxa"/>
            <w:tcBorders>
              <w:top w:val="single" w:sz="2" w:space="0" w:color="auto"/>
              <w:bottom w:val="single" w:sz="2" w:space="0" w:color="auto"/>
            </w:tcBorders>
            <w:vAlign w:val="center"/>
          </w:tcPr>
          <w:p w:rsidR="0026192B" w:rsidRPr="0026192B" w:rsidRDefault="0026192B" w:rsidP="0026192B">
            <w:pPr>
              <w:pStyle w:val="cuatexto"/>
              <w:jc w:val="right"/>
              <w:rPr>
                <w:szCs w:val="20"/>
              </w:rPr>
            </w:pPr>
            <w:r w:rsidRPr="0026192B">
              <w:rPr>
                <w:szCs w:val="20"/>
              </w:rPr>
              <w:t>-9</w:t>
            </w:r>
          </w:p>
        </w:tc>
      </w:tr>
      <w:tr w:rsidR="0026192B" w:rsidTr="00106FDC">
        <w:trPr>
          <w:trHeight w:val="284"/>
          <w:jc w:val="center"/>
        </w:trPr>
        <w:tc>
          <w:tcPr>
            <w:tcW w:w="5156" w:type="dxa"/>
            <w:tcBorders>
              <w:top w:val="single" w:sz="2" w:space="0" w:color="auto"/>
              <w:bottom w:val="single" w:sz="2" w:space="0" w:color="auto"/>
            </w:tcBorders>
            <w:vAlign w:val="center"/>
            <w:hideMark/>
          </w:tcPr>
          <w:p w:rsidR="0026192B" w:rsidRPr="00A31B60" w:rsidRDefault="0026192B" w:rsidP="00A31B60">
            <w:pPr>
              <w:pStyle w:val="cuatexto"/>
              <w:jc w:val="left"/>
              <w:rPr>
                <w:szCs w:val="20"/>
              </w:rPr>
            </w:pPr>
            <w:r w:rsidRPr="00A31B60">
              <w:rPr>
                <w:szCs w:val="20"/>
              </w:rPr>
              <w:t>Ingresos por impuestos especiales sobre la Cerveza</w:t>
            </w:r>
          </w:p>
        </w:tc>
        <w:tc>
          <w:tcPr>
            <w:tcW w:w="1400" w:type="dxa"/>
            <w:tcBorders>
              <w:top w:val="single" w:sz="2" w:space="0" w:color="auto"/>
              <w:bottom w:val="single" w:sz="2" w:space="0" w:color="auto"/>
            </w:tcBorders>
            <w:vAlign w:val="center"/>
          </w:tcPr>
          <w:p w:rsidR="0026192B" w:rsidRPr="0026192B" w:rsidRDefault="0026192B" w:rsidP="0026192B">
            <w:pPr>
              <w:pStyle w:val="cuatexto"/>
              <w:jc w:val="right"/>
              <w:rPr>
                <w:szCs w:val="20"/>
              </w:rPr>
            </w:pPr>
            <w:r w:rsidRPr="0026192B">
              <w:rPr>
                <w:szCs w:val="20"/>
              </w:rPr>
              <w:t>4.331</w:t>
            </w:r>
          </w:p>
        </w:tc>
        <w:tc>
          <w:tcPr>
            <w:tcW w:w="1249" w:type="dxa"/>
            <w:tcBorders>
              <w:top w:val="single" w:sz="2" w:space="0" w:color="auto"/>
              <w:bottom w:val="single" w:sz="2" w:space="0" w:color="auto"/>
            </w:tcBorders>
            <w:noWrap/>
            <w:vAlign w:val="center"/>
          </w:tcPr>
          <w:p w:rsidR="0026192B" w:rsidRPr="0026192B" w:rsidRDefault="0026192B" w:rsidP="0026192B">
            <w:pPr>
              <w:pStyle w:val="cuatexto"/>
              <w:jc w:val="right"/>
              <w:rPr>
                <w:szCs w:val="20"/>
              </w:rPr>
            </w:pPr>
            <w:r w:rsidRPr="0026192B">
              <w:rPr>
                <w:szCs w:val="20"/>
              </w:rPr>
              <w:t>4.666</w:t>
            </w:r>
          </w:p>
        </w:tc>
        <w:tc>
          <w:tcPr>
            <w:tcW w:w="1338" w:type="dxa"/>
            <w:tcBorders>
              <w:top w:val="single" w:sz="2" w:space="0" w:color="auto"/>
              <w:bottom w:val="single" w:sz="2" w:space="0" w:color="auto"/>
            </w:tcBorders>
            <w:vAlign w:val="center"/>
          </w:tcPr>
          <w:p w:rsidR="0026192B" w:rsidRPr="0026192B" w:rsidRDefault="0026192B" w:rsidP="0026192B">
            <w:pPr>
              <w:pStyle w:val="cuatexto"/>
              <w:jc w:val="right"/>
              <w:rPr>
                <w:szCs w:val="20"/>
              </w:rPr>
            </w:pPr>
            <w:r w:rsidRPr="0026192B">
              <w:rPr>
                <w:szCs w:val="20"/>
              </w:rPr>
              <w:t>8</w:t>
            </w:r>
          </w:p>
        </w:tc>
      </w:tr>
      <w:tr w:rsidR="0026192B" w:rsidTr="00106FDC">
        <w:trPr>
          <w:trHeight w:val="284"/>
          <w:jc w:val="center"/>
        </w:trPr>
        <w:tc>
          <w:tcPr>
            <w:tcW w:w="5156" w:type="dxa"/>
            <w:tcBorders>
              <w:top w:val="single" w:sz="2" w:space="0" w:color="auto"/>
              <w:bottom w:val="single" w:sz="2" w:space="0" w:color="auto"/>
            </w:tcBorders>
            <w:vAlign w:val="center"/>
            <w:hideMark/>
          </w:tcPr>
          <w:p w:rsidR="0026192B" w:rsidRPr="00A31B60" w:rsidRDefault="0026192B" w:rsidP="00A31B60">
            <w:pPr>
              <w:pStyle w:val="cuatexto"/>
              <w:jc w:val="left"/>
              <w:rPr>
                <w:szCs w:val="20"/>
              </w:rPr>
            </w:pPr>
            <w:r w:rsidRPr="00A31B60">
              <w:rPr>
                <w:szCs w:val="20"/>
              </w:rPr>
              <w:t>Ingresos por impuestos especiales sobre las labores de tabaco</w:t>
            </w:r>
          </w:p>
        </w:tc>
        <w:tc>
          <w:tcPr>
            <w:tcW w:w="1400" w:type="dxa"/>
            <w:tcBorders>
              <w:top w:val="single" w:sz="2" w:space="0" w:color="auto"/>
              <w:bottom w:val="single" w:sz="2" w:space="0" w:color="auto"/>
            </w:tcBorders>
            <w:vAlign w:val="center"/>
          </w:tcPr>
          <w:p w:rsidR="0026192B" w:rsidRPr="0026192B" w:rsidRDefault="0026192B" w:rsidP="0026192B">
            <w:pPr>
              <w:pStyle w:val="cuatexto"/>
              <w:jc w:val="right"/>
              <w:rPr>
                <w:szCs w:val="20"/>
              </w:rPr>
            </w:pPr>
            <w:r w:rsidRPr="0026192B">
              <w:rPr>
                <w:szCs w:val="20"/>
              </w:rPr>
              <w:t>14.374</w:t>
            </w:r>
          </w:p>
        </w:tc>
        <w:tc>
          <w:tcPr>
            <w:tcW w:w="1249" w:type="dxa"/>
            <w:tcBorders>
              <w:top w:val="single" w:sz="2" w:space="0" w:color="auto"/>
              <w:bottom w:val="single" w:sz="2" w:space="0" w:color="auto"/>
            </w:tcBorders>
            <w:noWrap/>
            <w:vAlign w:val="center"/>
          </w:tcPr>
          <w:p w:rsidR="0026192B" w:rsidRPr="0026192B" w:rsidRDefault="0026192B" w:rsidP="0026192B">
            <w:pPr>
              <w:pStyle w:val="cuatexto"/>
              <w:jc w:val="right"/>
              <w:rPr>
                <w:szCs w:val="20"/>
              </w:rPr>
            </w:pPr>
            <w:r w:rsidRPr="0026192B">
              <w:rPr>
                <w:szCs w:val="20"/>
              </w:rPr>
              <w:t>16.967</w:t>
            </w:r>
          </w:p>
        </w:tc>
        <w:tc>
          <w:tcPr>
            <w:tcW w:w="1338" w:type="dxa"/>
            <w:tcBorders>
              <w:top w:val="single" w:sz="2" w:space="0" w:color="auto"/>
              <w:bottom w:val="single" w:sz="2" w:space="0" w:color="auto"/>
            </w:tcBorders>
            <w:vAlign w:val="center"/>
          </w:tcPr>
          <w:p w:rsidR="0026192B" w:rsidRPr="0026192B" w:rsidRDefault="0026192B" w:rsidP="0026192B">
            <w:pPr>
              <w:pStyle w:val="cuatexto"/>
              <w:jc w:val="right"/>
              <w:rPr>
                <w:szCs w:val="20"/>
              </w:rPr>
            </w:pPr>
            <w:r w:rsidRPr="0026192B">
              <w:rPr>
                <w:szCs w:val="20"/>
              </w:rPr>
              <w:t>18</w:t>
            </w:r>
          </w:p>
        </w:tc>
      </w:tr>
      <w:tr w:rsidR="0026192B" w:rsidTr="00ED0AC9">
        <w:trPr>
          <w:trHeight w:val="284"/>
          <w:jc w:val="center"/>
        </w:trPr>
        <w:tc>
          <w:tcPr>
            <w:tcW w:w="5156" w:type="dxa"/>
            <w:tcBorders>
              <w:top w:val="single" w:sz="2" w:space="0" w:color="auto"/>
              <w:bottom w:val="single" w:sz="2" w:space="0" w:color="auto"/>
            </w:tcBorders>
            <w:vAlign w:val="center"/>
            <w:hideMark/>
          </w:tcPr>
          <w:p w:rsidR="0026192B" w:rsidRPr="00A31B60" w:rsidRDefault="0026192B" w:rsidP="00A31B60">
            <w:pPr>
              <w:pStyle w:val="cuatexto"/>
              <w:jc w:val="left"/>
              <w:rPr>
                <w:szCs w:val="20"/>
              </w:rPr>
            </w:pPr>
            <w:r w:rsidRPr="00A31B60">
              <w:rPr>
                <w:szCs w:val="20"/>
              </w:rPr>
              <w:t>Ingresos por impuestos especiales sobre Hidrocarburos</w:t>
            </w:r>
          </w:p>
        </w:tc>
        <w:tc>
          <w:tcPr>
            <w:tcW w:w="1400" w:type="dxa"/>
            <w:tcBorders>
              <w:top w:val="single" w:sz="2" w:space="0" w:color="auto"/>
              <w:bottom w:val="single" w:sz="2" w:space="0" w:color="auto"/>
            </w:tcBorders>
            <w:vAlign w:val="center"/>
          </w:tcPr>
          <w:p w:rsidR="0026192B" w:rsidRPr="0026192B" w:rsidRDefault="0026192B" w:rsidP="0026192B">
            <w:pPr>
              <w:pStyle w:val="cuatexto"/>
              <w:jc w:val="right"/>
              <w:rPr>
                <w:szCs w:val="20"/>
              </w:rPr>
            </w:pPr>
            <w:r w:rsidRPr="0026192B">
              <w:rPr>
                <w:szCs w:val="20"/>
              </w:rPr>
              <w:t>-15.866</w:t>
            </w:r>
          </w:p>
        </w:tc>
        <w:tc>
          <w:tcPr>
            <w:tcW w:w="1249" w:type="dxa"/>
            <w:tcBorders>
              <w:top w:val="single" w:sz="2" w:space="0" w:color="auto"/>
              <w:bottom w:val="single" w:sz="2" w:space="0" w:color="auto"/>
            </w:tcBorders>
            <w:noWrap/>
            <w:vAlign w:val="center"/>
          </w:tcPr>
          <w:p w:rsidR="0026192B" w:rsidRPr="0026192B" w:rsidRDefault="0026192B" w:rsidP="0026192B">
            <w:pPr>
              <w:pStyle w:val="cuatexto"/>
              <w:jc w:val="right"/>
              <w:rPr>
                <w:szCs w:val="20"/>
              </w:rPr>
            </w:pPr>
            <w:r w:rsidRPr="0026192B">
              <w:rPr>
                <w:szCs w:val="20"/>
              </w:rPr>
              <w:t>-50.825</w:t>
            </w:r>
          </w:p>
        </w:tc>
        <w:tc>
          <w:tcPr>
            <w:tcW w:w="1338" w:type="dxa"/>
            <w:tcBorders>
              <w:top w:val="single" w:sz="2" w:space="0" w:color="auto"/>
              <w:bottom w:val="single" w:sz="2" w:space="0" w:color="auto"/>
            </w:tcBorders>
            <w:vAlign w:val="center"/>
          </w:tcPr>
          <w:p w:rsidR="0026192B" w:rsidRPr="0026192B" w:rsidRDefault="0026192B" w:rsidP="0026192B">
            <w:pPr>
              <w:pStyle w:val="cuatexto"/>
              <w:jc w:val="right"/>
              <w:rPr>
                <w:szCs w:val="20"/>
              </w:rPr>
            </w:pPr>
            <w:r w:rsidRPr="0026192B">
              <w:rPr>
                <w:szCs w:val="20"/>
              </w:rPr>
              <w:t>-220</w:t>
            </w:r>
          </w:p>
        </w:tc>
      </w:tr>
      <w:tr w:rsidR="00ED0AC9" w:rsidTr="00ED0AC9">
        <w:trPr>
          <w:trHeight w:val="284"/>
          <w:jc w:val="center"/>
        </w:trPr>
        <w:tc>
          <w:tcPr>
            <w:tcW w:w="5156" w:type="dxa"/>
            <w:tcBorders>
              <w:top w:val="single" w:sz="2" w:space="0" w:color="auto"/>
              <w:bottom w:val="single" w:sz="2" w:space="0" w:color="auto"/>
            </w:tcBorders>
            <w:shd w:val="clear" w:color="auto" w:fill="auto"/>
            <w:vAlign w:val="center"/>
          </w:tcPr>
          <w:p w:rsidR="00ED0AC9" w:rsidRPr="00A9092B" w:rsidRDefault="00ED0AC9" w:rsidP="001E7B19">
            <w:pPr>
              <w:pStyle w:val="cuatexto"/>
              <w:jc w:val="left"/>
              <w:rPr>
                <w:b/>
                <w:szCs w:val="20"/>
              </w:rPr>
            </w:pPr>
            <w:r w:rsidRPr="00A9092B">
              <w:rPr>
                <w:b/>
                <w:szCs w:val="20"/>
              </w:rPr>
              <w:t>Total partidas Ingresos</w:t>
            </w:r>
            <w:r w:rsidR="00A9092B">
              <w:rPr>
                <w:b/>
                <w:szCs w:val="20"/>
              </w:rPr>
              <w:t>-</w:t>
            </w:r>
            <w:r w:rsidRPr="00A9092B">
              <w:rPr>
                <w:b/>
                <w:szCs w:val="20"/>
              </w:rPr>
              <w:t>Convenio</w:t>
            </w:r>
          </w:p>
        </w:tc>
        <w:tc>
          <w:tcPr>
            <w:tcW w:w="1400" w:type="dxa"/>
            <w:tcBorders>
              <w:top w:val="single" w:sz="2" w:space="0" w:color="auto"/>
              <w:bottom w:val="single" w:sz="2" w:space="0" w:color="auto"/>
            </w:tcBorders>
            <w:shd w:val="clear" w:color="auto" w:fill="auto"/>
            <w:vAlign w:val="center"/>
          </w:tcPr>
          <w:p w:rsidR="00ED0AC9" w:rsidRPr="00A9092B" w:rsidRDefault="00ED0AC9" w:rsidP="0026192B">
            <w:pPr>
              <w:pStyle w:val="cuatexto"/>
              <w:jc w:val="right"/>
              <w:rPr>
                <w:b/>
                <w:szCs w:val="20"/>
              </w:rPr>
            </w:pPr>
            <w:r w:rsidRPr="00A9092B">
              <w:rPr>
                <w:b/>
                <w:szCs w:val="20"/>
              </w:rPr>
              <w:t>718.775</w:t>
            </w:r>
          </w:p>
        </w:tc>
        <w:tc>
          <w:tcPr>
            <w:tcW w:w="1249" w:type="dxa"/>
            <w:tcBorders>
              <w:top w:val="single" w:sz="2" w:space="0" w:color="auto"/>
              <w:bottom w:val="single" w:sz="2" w:space="0" w:color="auto"/>
            </w:tcBorders>
            <w:shd w:val="clear" w:color="auto" w:fill="auto"/>
            <w:noWrap/>
            <w:vAlign w:val="center"/>
          </w:tcPr>
          <w:p w:rsidR="00ED0AC9" w:rsidRPr="00A9092B" w:rsidRDefault="00ED0AC9" w:rsidP="0026192B">
            <w:pPr>
              <w:pStyle w:val="cuatexto"/>
              <w:jc w:val="right"/>
              <w:rPr>
                <w:b/>
                <w:szCs w:val="20"/>
              </w:rPr>
            </w:pPr>
            <w:r w:rsidRPr="00A9092B">
              <w:rPr>
                <w:b/>
                <w:szCs w:val="20"/>
              </w:rPr>
              <w:t>744.464</w:t>
            </w:r>
          </w:p>
        </w:tc>
        <w:tc>
          <w:tcPr>
            <w:tcW w:w="1338" w:type="dxa"/>
            <w:tcBorders>
              <w:top w:val="single" w:sz="2" w:space="0" w:color="auto"/>
              <w:bottom w:val="single" w:sz="2" w:space="0" w:color="auto"/>
            </w:tcBorders>
            <w:shd w:val="clear" w:color="auto" w:fill="auto"/>
            <w:vAlign w:val="center"/>
          </w:tcPr>
          <w:p w:rsidR="00ED0AC9" w:rsidRPr="00A9092B" w:rsidRDefault="00ED0AC9" w:rsidP="0026192B">
            <w:pPr>
              <w:pStyle w:val="cuatexto"/>
              <w:jc w:val="right"/>
              <w:rPr>
                <w:b/>
                <w:szCs w:val="20"/>
              </w:rPr>
            </w:pPr>
            <w:r w:rsidRPr="00A9092B">
              <w:rPr>
                <w:b/>
                <w:szCs w:val="20"/>
              </w:rPr>
              <w:t>4</w:t>
            </w:r>
          </w:p>
        </w:tc>
      </w:tr>
    </w:tbl>
    <w:p w:rsidR="007F6B91" w:rsidRDefault="007F6B91" w:rsidP="00106FDC">
      <w:pPr>
        <w:pStyle w:val="texto"/>
        <w:spacing w:before="240"/>
        <w:rPr>
          <w:lang w:val="es-ES"/>
        </w:rPr>
      </w:pPr>
      <w:r>
        <w:rPr>
          <w:lang w:val="es-ES"/>
        </w:rPr>
        <w:t>Conviene precisar que solo el ajuste de IVA se registra en una partida presupuestaria específica</w:t>
      </w:r>
      <w:r w:rsidR="00734804">
        <w:rPr>
          <w:lang w:val="es-ES"/>
        </w:rPr>
        <w:t>. P</w:t>
      </w:r>
      <w:r>
        <w:rPr>
          <w:lang w:val="es-ES"/>
        </w:rPr>
        <w:t>ara los impuestos especiales, los ajustes del Convenio se registran conjuntamente con los ingresos obtenidos de la recaudación propia de Navarra</w:t>
      </w:r>
      <w:r w:rsidR="00734804">
        <w:rPr>
          <w:lang w:val="es-ES"/>
        </w:rPr>
        <w:t>; e</w:t>
      </w:r>
      <w:r>
        <w:rPr>
          <w:lang w:val="es-ES"/>
        </w:rPr>
        <w:t>n el cuadro anterior sólo se han incluido tales ajustes, los cuales pueden tener signo positivo o negativo.</w:t>
      </w:r>
    </w:p>
    <w:p w:rsidR="001A3864" w:rsidRDefault="007F6B91" w:rsidP="00106FDC">
      <w:pPr>
        <w:pStyle w:val="texto"/>
        <w:rPr>
          <w:lang w:val="es-ES"/>
        </w:rPr>
      </w:pPr>
      <w:r>
        <w:rPr>
          <w:lang w:val="es-ES"/>
        </w:rPr>
        <w:t>Por otra parte</w:t>
      </w:r>
      <w:r w:rsidR="001A3864" w:rsidRPr="0067400E">
        <w:rPr>
          <w:lang w:val="es-ES"/>
        </w:rPr>
        <w:t>, a 1 de enero de 2015, estaba</w:t>
      </w:r>
      <w:r w:rsidR="007845DE">
        <w:rPr>
          <w:lang w:val="es-ES"/>
        </w:rPr>
        <w:t>n</w:t>
      </w:r>
      <w:r w:rsidR="001A3864" w:rsidRPr="0067400E">
        <w:rPr>
          <w:lang w:val="es-ES"/>
        </w:rPr>
        <w:t xml:space="preserve"> pendiente</w:t>
      </w:r>
      <w:r w:rsidR="009B5A35">
        <w:rPr>
          <w:lang w:val="es-ES"/>
        </w:rPr>
        <w:t>s</w:t>
      </w:r>
      <w:r w:rsidR="001A3864" w:rsidRPr="0067400E">
        <w:rPr>
          <w:lang w:val="es-ES"/>
        </w:rPr>
        <w:t xml:space="preserve"> de pago las obligaciones recon</w:t>
      </w:r>
      <w:r w:rsidR="001A3864">
        <w:rPr>
          <w:lang w:val="es-ES"/>
        </w:rPr>
        <w:t>o</w:t>
      </w:r>
      <w:r w:rsidR="001A3864" w:rsidRPr="0067400E">
        <w:rPr>
          <w:lang w:val="es-ES"/>
        </w:rPr>
        <w:t>c</w:t>
      </w:r>
      <w:r w:rsidR="001A3864">
        <w:rPr>
          <w:lang w:val="es-ES"/>
        </w:rPr>
        <w:t xml:space="preserve">idas </w:t>
      </w:r>
      <w:r>
        <w:rPr>
          <w:lang w:val="es-ES"/>
        </w:rPr>
        <w:t>en las partidas presupuestarias de</w:t>
      </w:r>
      <w:r w:rsidR="001A3864" w:rsidRPr="0067400E">
        <w:rPr>
          <w:lang w:val="es-ES"/>
        </w:rPr>
        <w:t xml:space="preserve"> Aportación al </w:t>
      </w:r>
      <w:r w:rsidR="001A3864">
        <w:rPr>
          <w:lang w:val="es-ES"/>
        </w:rPr>
        <w:t>E</w:t>
      </w:r>
      <w:r w:rsidR="001A3864" w:rsidRPr="0067400E">
        <w:rPr>
          <w:lang w:val="es-ES"/>
        </w:rPr>
        <w:t xml:space="preserve">stado </w:t>
      </w:r>
      <w:r>
        <w:rPr>
          <w:lang w:val="es-ES"/>
        </w:rPr>
        <w:t>de los ejercicios de</w:t>
      </w:r>
      <w:r w:rsidR="001A3864" w:rsidRPr="0067400E">
        <w:rPr>
          <w:lang w:val="es-ES"/>
        </w:rPr>
        <w:t xml:space="preserve"> 2013 y 2014 por importe de 25,09 y 35,15 millones, respectivamente.</w:t>
      </w:r>
    </w:p>
    <w:p w:rsidR="001A3864" w:rsidRDefault="001A3864" w:rsidP="00106FDC">
      <w:pPr>
        <w:pStyle w:val="texto"/>
        <w:rPr>
          <w:lang w:val="es-ES"/>
        </w:rPr>
      </w:pPr>
      <w:r>
        <w:rPr>
          <w:lang w:val="es-ES"/>
        </w:rPr>
        <w:t xml:space="preserve">En relación con los ajustes de IVA </w:t>
      </w:r>
      <w:r w:rsidR="001330B7">
        <w:rPr>
          <w:lang w:val="es-ES"/>
        </w:rPr>
        <w:t xml:space="preserve">e Impuestos </w:t>
      </w:r>
      <w:r>
        <w:rPr>
          <w:lang w:val="es-ES"/>
        </w:rPr>
        <w:t xml:space="preserve">Especiales, conviene recordar que desde 2013, </w:t>
      </w:r>
      <w:r w:rsidR="007F6B91">
        <w:rPr>
          <w:lang w:val="es-ES"/>
        </w:rPr>
        <w:t>en e</w:t>
      </w:r>
      <w:r>
        <w:rPr>
          <w:lang w:val="es-ES"/>
        </w:rPr>
        <w:t>l mes de diciembre de cada ejercicio</w:t>
      </w:r>
      <w:r w:rsidR="007F6B91">
        <w:rPr>
          <w:lang w:val="es-ES"/>
        </w:rPr>
        <w:t>, se registra</w:t>
      </w:r>
      <w:r>
        <w:rPr>
          <w:lang w:val="es-ES"/>
        </w:rPr>
        <w:t xml:space="preserve"> un anticipo de la regularización a efectuar en el mes de marzo del ejercicio siguiente. En 2015, este anticipo ha supuesto un i</w:t>
      </w:r>
      <w:r w:rsidR="00EA2FB5">
        <w:rPr>
          <w:lang w:val="es-ES"/>
        </w:rPr>
        <w:t>ngreso</w:t>
      </w:r>
      <w:r>
        <w:rPr>
          <w:lang w:val="es-ES"/>
        </w:rPr>
        <w:t xml:space="preserve"> neto de 40,98 millones.</w:t>
      </w:r>
    </w:p>
    <w:p w:rsidR="001B673D" w:rsidRPr="00862C06" w:rsidRDefault="001B673D" w:rsidP="00106FDC">
      <w:pPr>
        <w:pStyle w:val="texto"/>
        <w:rPr>
          <w:lang w:val="es-ES"/>
        </w:rPr>
      </w:pPr>
      <w:r w:rsidRPr="00862C06">
        <w:rPr>
          <w:lang w:val="es-ES"/>
        </w:rPr>
        <w:t xml:space="preserve">Igualmente en 2015, se refleja por primera vez en gastos la compensación por impuestos sobre </w:t>
      </w:r>
      <w:r w:rsidR="00862C06" w:rsidRPr="00862C06">
        <w:rPr>
          <w:szCs w:val="20"/>
        </w:rPr>
        <w:t xml:space="preserve">el </w:t>
      </w:r>
      <w:r w:rsidR="00A9092B">
        <w:rPr>
          <w:szCs w:val="20"/>
        </w:rPr>
        <w:t>sector eléctrico</w:t>
      </w:r>
      <w:r w:rsidR="00862C06" w:rsidRPr="00862C06">
        <w:rPr>
          <w:lang w:val="es-ES"/>
        </w:rPr>
        <w:t xml:space="preserve"> </w:t>
      </w:r>
      <w:r w:rsidRPr="00862C06">
        <w:rPr>
          <w:lang w:val="es-ES"/>
        </w:rPr>
        <w:t>por importe de 26,86 millone</w:t>
      </w:r>
      <w:r w:rsidR="00862C06" w:rsidRPr="00862C06">
        <w:rPr>
          <w:lang w:val="es-ES"/>
        </w:rPr>
        <w:t>s.</w:t>
      </w:r>
    </w:p>
    <w:p w:rsidR="00481D22" w:rsidRDefault="00481D22" w:rsidP="00862C06">
      <w:pPr>
        <w:pStyle w:val="texto"/>
        <w:spacing w:after="120"/>
        <w:rPr>
          <w:lang w:val="es-ES"/>
        </w:rPr>
      </w:pPr>
      <w:r>
        <w:rPr>
          <w:lang w:val="es-ES"/>
        </w:rPr>
        <w:t xml:space="preserve">En ingresos, además de las partidas señaladas relacionadas propiamente con </w:t>
      </w:r>
      <w:r w:rsidR="00695227">
        <w:rPr>
          <w:lang w:val="es-ES"/>
        </w:rPr>
        <w:t>los ajustes tributarios</w:t>
      </w:r>
      <w:r>
        <w:rPr>
          <w:lang w:val="es-ES"/>
        </w:rPr>
        <w:t>, se incluye</w:t>
      </w:r>
      <w:r w:rsidR="00CD2379">
        <w:rPr>
          <w:lang w:val="es-ES"/>
        </w:rPr>
        <w:t>, por la mecánica del</w:t>
      </w:r>
      <w:r w:rsidR="00695227">
        <w:rPr>
          <w:lang w:val="es-ES"/>
        </w:rPr>
        <w:t xml:space="preserve"> Convenio</w:t>
      </w:r>
      <w:r w:rsidR="00CD2379">
        <w:rPr>
          <w:lang w:val="es-ES"/>
        </w:rPr>
        <w:t>,</w:t>
      </w:r>
      <w:r w:rsidR="00837D93">
        <w:rPr>
          <w:lang w:val="es-ES"/>
        </w:rPr>
        <w:t xml:space="preserve"> el flujo de</w:t>
      </w:r>
      <w:r>
        <w:rPr>
          <w:lang w:val="es-ES"/>
        </w:rPr>
        <w:t xml:space="preserve"> pagos que Navarra recibe por el nivel mínimo de la Atención a la Dependencia; en 2015, han supuesto un total de 11,31 millones, un siete por ciento inferior a lo percibido en 2014.</w:t>
      </w:r>
    </w:p>
    <w:p w:rsidR="00043F9C" w:rsidRDefault="00043F9C" w:rsidP="00862C06">
      <w:pPr>
        <w:pStyle w:val="texto"/>
        <w:spacing w:after="120"/>
        <w:rPr>
          <w:lang w:val="es-ES"/>
        </w:rPr>
      </w:pPr>
      <w:r>
        <w:rPr>
          <w:lang w:val="es-ES"/>
        </w:rPr>
        <w:t>De la revisión efectuada sobre una muestra de operaciones de gastos e ingresos del Convenio ejecutadas en 2015 concluimos que su cuantificación se ha realizado de acuerdo con la metodología que contempla el mismo.</w:t>
      </w:r>
    </w:p>
    <w:p w:rsidR="00862C06" w:rsidRDefault="00862C06" w:rsidP="00106FDC">
      <w:pPr>
        <w:pStyle w:val="texto"/>
        <w:spacing w:after="240"/>
        <w:rPr>
          <w:lang w:val="es-ES"/>
        </w:rPr>
      </w:pPr>
      <w:r>
        <w:rPr>
          <w:lang w:val="es-ES"/>
        </w:rPr>
        <w:t>A continuación analizamos las partidas más relevantes de esa ejecución presupuestaria.</w:t>
      </w:r>
    </w:p>
    <w:p w:rsidR="00862C06" w:rsidRPr="00862C06" w:rsidRDefault="00862C06" w:rsidP="00071FC3">
      <w:pPr>
        <w:pStyle w:val="atitulo3"/>
        <w:rPr>
          <w:lang w:val="es-ES"/>
        </w:rPr>
      </w:pPr>
      <w:r w:rsidRPr="00862C06">
        <w:rPr>
          <w:lang w:val="es-ES"/>
        </w:rPr>
        <w:t>Gastos derivados del Convenio</w:t>
      </w:r>
    </w:p>
    <w:p w:rsidR="00757595" w:rsidRDefault="00757595" w:rsidP="001C661A">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Pr>
          <w:lang w:val="es-ES"/>
        </w:rPr>
        <w:t>Estos gastos estaban presupuestados inicialmente en 520,69 millones, siendo necesario incrementar</w:t>
      </w:r>
      <w:r w:rsidR="00B07032">
        <w:rPr>
          <w:lang w:val="es-ES"/>
        </w:rPr>
        <w:t>los</w:t>
      </w:r>
      <w:r>
        <w:rPr>
          <w:lang w:val="es-ES"/>
        </w:rPr>
        <w:t xml:space="preserve"> vía modificaciones presupuestarias en 97,21 millones. Estas modificaciones se financiaron básicamente por generación de in</w:t>
      </w:r>
      <w:r w:rsidR="00106FDC">
        <w:rPr>
          <w:lang w:val="es-ES"/>
        </w:rPr>
        <w:t>gresos –</w:t>
      </w:r>
      <w:r>
        <w:rPr>
          <w:lang w:val="es-ES"/>
        </w:rPr>
        <w:t>26,89 millones</w:t>
      </w:r>
      <w:r w:rsidR="00106FDC">
        <w:rPr>
          <w:lang w:val="es-ES"/>
        </w:rPr>
        <w:t>–</w:t>
      </w:r>
      <w:r>
        <w:rPr>
          <w:lang w:val="es-ES"/>
        </w:rPr>
        <w:t xml:space="preserve"> y por movimientos de fondos de otras partidas, especialmente del Fondo de Prórroga </w:t>
      </w:r>
      <w:r w:rsidR="00106FDC">
        <w:rPr>
          <w:lang w:val="es-ES"/>
        </w:rPr>
        <w:t>–</w:t>
      </w:r>
      <w:r>
        <w:rPr>
          <w:lang w:val="es-ES"/>
        </w:rPr>
        <w:t>32,47 millones</w:t>
      </w:r>
      <w:r w:rsidR="00106FDC">
        <w:rPr>
          <w:lang w:val="es-ES"/>
        </w:rPr>
        <w:t>–</w:t>
      </w:r>
      <w:r>
        <w:rPr>
          <w:lang w:val="es-ES"/>
        </w:rPr>
        <w:t xml:space="preserve"> y de la</w:t>
      </w:r>
      <w:r w:rsidR="00A80FEC">
        <w:rPr>
          <w:lang w:val="es-ES"/>
        </w:rPr>
        <w:t>s obras</w:t>
      </w:r>
      <w:r>
        <w:rPr>
          <w:lang w:val="es-ES"/>
        </w:rPr>
        <w:t xml:space="preserve"> del AVE </w:t>
      </w:r>
      <w:r w:rsidR="00106FDC">
        <w:rPr>
          <w:lang w:val="es-ES"/>
        </w:rPr>
        <w:t>–</w:t>
      </w:r>
      <w:r>
        <w:rPr>
          <w:lang w:val="es-ES"/>
        </w:rPr>
        <w:t>29 millones</w:t>
      </w:r>
      <w:r w:rsidR="00106FDC">
        <w:rPr>
          <w:lang w:val="es-ES"/>
        </w:rPr>
        <w:t>–</w:t>
      </w:r>
      <w:r>
        <w:rPr>
          <w:lang w:val="es-ES"/>
        </w:rPr>
        <w:t>.</w:t>
      </w:r>
    </w:p>
    <w:p w:rsidR="00EA2FB5" w:rsidRDefault="00EA2FB5" w:rsidP="001C661A">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sidRPr="006D43A7">
        <w:rPr>
          <w:lang w:val="es-ES"/>
        </w:rPr>
        <w:t>La aportación al Estado en 201</w:t>
      </w:r>
      <w:r>
        <w:rPr>
          <w:lang w:val="es-ES"/>
        </w:rPr>
        <w:t>5</w:t>
      </w:r>
      <w:r w:rsidRPr="006D43A7">
        <w:rPr>
          <w:lang w:val="es-ES"/>
        </w:rPr>
        <w:t xml:space="preserve"> ascendió a 5</w:t>
      </w:r>
      <w:r>
        <w:rPr>
          <w:lang w:val="es-ES"/>
        </w:rPr>
        <w:t>91</w:t>
      </w:r>
      <w:r w:rsidRPr="006D43A7">
        <w:rPr>
          <w:lang w:val="es-ES"/>
        </w:rPr>
        <w:t>,</w:t>
      </w:r>
      <w:r>
        <w:rPr>
          <w:lang w:val="es-ES"/>
        </w:rPr>
        <w:t>04</w:t>
      </w:r>
      <w:r w:rsidRPr="006D43A7">
        <w:rPr>
          <w:lang w:val="es-ES"/>
        </w:rPr>
        <w:t xml:space="preserve"> millones de euros, suponiendo el 15 por ciento del total de obligaciones reconocidas en dicho ejercicio</w:t>
      </w:r>
      <w:r w:rsidR="00E16C82">
        <w:rPr>
          <w:lang w:val="es-ES"/>
        </w:rPr>
        <w:t xml:space="preserve"> por el Gobierno de Navarra</w:t>
      </w:r>
      <w:r>
        <w:rPr>
          <w:lang w:val="es-ES"/>
        </w:rPr>
        <w:t>; sobre 2014, se ha incrementado en un seis por ciento, esto es, 35,21 millones más.</w:t>
      </w:r>
      <w:r w:rsidRPr="006D43A7">
        <w:rPr>
          <w:lang w:val="es-ES"/>
        </w:rPr>
        <w:t xml:space="preserve"> </w:t>
      </w:r>
    </w:p>
    <w:p w:rsidR="00E42138" w:rsidRPr="00E42138" w:rsidRDefault="00E42138" w:rsidP="009F7FA6">
      <w:pPr>
        <w:pStyle w:val="texto"/>
        <w:spacing w:after="120"/>
        <w:rPr>
          <w:lang w:val="es-ES"/>
        </w:rPr>
      </w:pPr>
      <w:r w:rsidRPr="00E42138">
        <w:rPr>
          <w:lang w:val="es-ES"/>
        </w:rPr>
        <w:t>El ejercicio 2015 es año base de un nuevo quinquenio</w:t>
      </w:r>
      <w:r>
        <w:rPr>
          <w:lang w:val="es-ES"/>
        </w:rPr>
        <w:t>, 2015 a 2019.</w:t>
      </w:r>
      <w:r w:rsidRPr="00E42138">
        <w:rPr>
          <w:lang w:val="es-ES"/>
        </w:rPr>
        <w:t xml:space="preserve"> No se ha </w:t>
      </w:r>
      <w:r w:rsidR="0057103C">
        <w:rPr>
          <w:lang w:val="es-ES"/>
        </w:rPr>
        <w:t>convenido</w:t>
      </w:r>
      <w:r w:rsidRPr="00E42138">
        <w:rPr>
          <w:lang w:val="es-ES"/>
        </w:rPr>
        <w:t xml:space="preserve"> la aportación base del mismo por lo que</w:t>
      </w:r>
      <w:r w:rsidR="0057103C">
        <w:rPr>
          <w:lang w:val="es-ES"/>
        </w:rPr>
        <w:t>,</w:t>
      </w:r>
      <w:r w:rsidRPr="00E42138">
        <w:rPr>
          <w:lang w:val="es-ES"/>
        </w:rPr>
        <w:t xml:space="preserve"> conforme establece la </w:t>
      </w:r>
      <w:r>
        <w:rPr>
          <w:lang w:val="es-ES"/>
        </w:rPr>
        <w:t>normativa</w:t>
      </w:r>
      <w:r w:rsidR="0057103C">
        <w:rPr>
          <w:lang w:val="es-ES"/>
        </w:rPr>
        <w:t>,</w:t>
      </w:r>
      <w:r w:rsidRPr="00E42138">
        <w:rPr>
          <w:lang w:val="es-ES"/>
        </w:rPr>
        <w:t xml:space="preserve"> se fijará una aportación líquida provisional por aplicación del índice de actualización como si se tratara de un año más del quinquenio anterior.</w:t>
      </w:r>
      <w:r>
        <w:rPr>
          <w:lang w:val="es-ES"/>
        </w:rPr>
        <w:t xml:space="preserve"> </w:t>
      </w:r>
      <w:r w:rsidR="00E16C82">
        <w:rPr>
          <w:lang w:val="es-ES"/>
        </w:rPr>
        <w:t>Índice que, en 2015, también se ha</w:t>
      </w:r>
      <w:r>
        <w:rPr>
          <w:lang w:val="es-ES"/>
        </w:rPr>
        <w:t xml:space="preserve"> visto afectado</w:t>
      </w:r>
      <w:r w:rsidR="00E16C82">
        <w:rPr>
          <w:lang w:val="es-ES"/>
        </w:rPr>
        <w:t xml:space="preserve"> por la</w:t>
      </w:r>
      <w:r>
        <w:rPr>
          <w:lang w:val="es-ES"/>
        </w:rPr>
        <w:t xml:space="preserve"> aplicación de los nuevos impuestos convenidos.</w:t>
      </w:r>
    </w:p>
    <w:p w:rsidR="007F6B91" w:rsidRDefault="007F6B91" w:rsidP="009F7FA6">
      <w:pPr>
        <w:pStyle w:val="texto"/>
        <w:spacing w:after="120"/>
        <w:rPr>
          <w:lang w:val="es-ES"/>
        </w:rPr>
      </w:pPr>
      <w:r w:rsidRPr="007F6B91">
        <w:rPr>
          <w:lang w:val="es-ES"/>
        </w:rPr>
        <w:t>Tal y como se indicaba en el informe de esta Cámara sobre las Cuentas de 2014, existían discrepancias entre ambas administraciones para la aprobación definitiva de las aportaciones al Estado correspondientes a los ejercicios de 2013 y 2014; estas discrepancias surgen por la determinación del índice de actualización como resultado de la integración del impuesto de ventas minoristas sobre determinados hidrocarburos en el impuesto especial de hidrocarburos. Como consecuencia de estas discrepancias, el Gobierno de Navarra realizó las aportaciones de esos ejercicios como pagos a cuenta, quedando pendiente de pago un importe total de 60,24 millones –desglosado en 25,09 millones del ejercicio de 2013 y en 35,15 millones de 2014</w:t>
      </w:r>
      <w:r w:rsidR="00106FDC">
        <w:rPr>
          <w:lang w:val="es-ES"/>
        </w:rPr>
        <w:t>–</w:t>
      </w:r>
      <w:r w:rsidRPr="007F6B91">
        <w:rPr>
          <w:lang w:val="es-ES"/>
        </w:rPr>
        <w:t>.</w:t>
      </w:r>
    </w:p>
    <w:p w:rsidR="00E23381" w:rsidRPr="007845DE" w:rsidRDefault="00E23381" w:rsidP="007845DE">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89"/>
        <w:rPr>
          <w:lang w:val="es-ES"/>
        </w:rPr>
      </w:pPr>
      <w:r>
        <w:rPr>
          <w:lang w:val="es-ES"/>
        </w:rPr>
        <w:t xml:space="preserve">Con fecha de 28 de diciembre </w:t>
      </w:r>
      <w:r w:rsidR="007845DE">
        <w:rPr>
          <w:lang w:val="es-ES"/>
        </w:rPr>
        <w:t xml:space="preserve">de 2015, </w:t>
      </w:r>
      <w:r>
        <w:rPr>
          <w:lang w:val="es-ES"/>
        </w:rPr>
        <w:t>el Ministerio de Hacienda y Administraciones Públicas comunica que</w:t>
      </w:r>
      <w:r w:rsidR="00371ED5">
        <w:rPr>
          <w:lang w:val="es-ES"/>
        </w:rPr>
        <w:t>,</w:t>
      </w:r>
      <w:r>
        <w:rPr>
          <w:lang w:val="es-ES"/>
        </w:rPr>
        <w:t xml:space="preserve"> dentro del aju</w:t>
      </w:r>
      <w:r w:rsidR="00672B25">
        <w:rPr>
          <w:lang w:val="es-ES"/>
        </w:rPr>
        <w:t>ste por IVA</w:t>
      </w:r>
      <w:r w:rsidR="00371ED5">
        <w:rPr>
          <w:lang w:val="es-ES"/>
        </w:rPr>
        <w:t>,</w:t>
      </w:r>
      <w:r w:rsidR="00672B25">
        <w:rPr>
          <w:lang w:val="es-ES"/>
        </w:rPr>
        <w:t xml:space="preserve"> </w:t>
      </w:r>
      <w:r>
        <w:rPr>
          <w:lang w:val="es-ES"/>
        </w:rPr>
        <w:t xml:space="preserve">ha compensado </w:t>
      </w:r>
      <w:r w:rsidR="00672B25">
        <w:rPr>
          <w:lang w:val="es-ES"/>
        </w:rPr>
        <w:t>a su favor</w:t>
      </w:r>
      <w:r w:rsidR="00371ED5">
        <w:rPr>
          <w:lang w:val="es-ES"/>
        </w:rPr>
        <w:t xml:space="preserve">, entre otros, </w:t>
      </w:r>
      <w:r>
        <w:rPr>
          <w:lang w:val="es-ES"/>
        </w:rPr>
        <w:t>la regularización definitiva de la</w:t>
      </w:r>
      <w:r w:rsidR="00672B25">
        <w:rPr>
          <w:lang w:val="es-ES"/>
        </w:rPr>
        <w:t>s</w:t>
      </w:r>
      <w:r>
        <w:rPr>
          <w:lang w:val="es-ES"/>
        </w:rPr>
        <w:t xml:space="preserve"> aportaci</w:t>
      </w:r>
      <w:r w:rsidR="00672B25">
        <w:rPr>
          <w:lang w:val="es-ES"/>
        </w:rPr>
        <w:t>ones</w:t>
      </w:r>
      <w:r>
        <w:rPr>
          <w:lang w:val="es-ES"/>
        </w:rPr>
        <w:t xml:space="preserve"> al Estado </w:t>
      </w:r>
      <w:r w:rsidR="00672B25">
        <w:rPr>
          <w:lang w:val="es-ES"/>
        </w:rPr>
        <w:t>correspondientes a</w:t>
      </w:r>
      <w:r>
        <w:rPr>
          <w:lang w:val="es-ES"/>
        </w:rPr>
        <w:t xml:space="preserve"> los ejercicios de 2013 y 2014 por un total de 43,5</w:t>
      </w:r>
      <w:r w:rsidR="004A669A">
        <w:rPr>
          <w:lang w:val="es-ES"/>
        </w:rPr>
        <w:t>8</w:t>
      </w:r>
      <w:r>
        <w:rPr>
          <w:lang w:val="es-ES"/>
        </w:rPr>
        <w:t xml:space="preserve"> millones</w:t>
      </w:r>
      <w:r w:rsidR="00106FDC">
        <w:rPr>
          <w:lang w:val="es-ES"/>
        </w:rPr>
        <w:t xml:space="preserve"> –</w:t>
      </w:r>
      <w:r w:rsidR="004A669A">
        <w:rPr>
          <w:lang w:val="es-ES"/>
        </w:rPr>
        <w:t>esto es, 14,30 millones de 2013 y 29,28 millones de 2014</w:t>
      </w:r>
      <w:r w:rsidR="00106FDC">
        <w:rPr>
          <w:lang w:val="es-ES"/>
        </w:rPr>
        <w:t>–</w:t>
      </w:r>
      <w:r w:rsidR="004A669A">
        <w:rPr>
          <w:lang w:val="es-ES"/>
        </w:rPr>
        <w:t>.</w:t>
      </w:r>
      <w:r w:rsidR="007845DE" w:rsidRPr="007845DE">
        <w:rPr>
          <w:lang w:val="es-ES"/>
        </w:rPr>
        <w:t xml:space="preserve"> </w:t>
      </w:r>
      <w:r w:rsidR="007845DE" w:rsidRPr="00AD1D27">
        <w:rPr>
          <w:lang w:val="es-ES"/>
        </w:rPr>
        <w:t>El Ministerio realiza esta compensación de forma unilateral, no atendiendo al requerimiento realizado por la representación de Navarra para que la liquidación se realice por acuerdo entre ambas administraciones en el marco de la Comisión Coordinadora, de conformidad con lo es</w:t>
      </w:r>
      <w:r w:rsidR="007845DE">
        <w:rPr>
          <w:lang w:val="es-ES"/>
        </w:rPr>
        <w:t xml:space="preserve">tablecido en el </w:t>
      </w:r>
      <w:r w:rsidR="007845DE" w:rsidRPr="00AD1D27">
        <w:rPr>
          <w:lang w:val="es-ES"/>
        </w:rPr>
        <w:t>Convenio Económico.</w:t>
      </w:r>
    </w:p>
    <w:p w:rsidR="00371ED5" w:rsidRPr="009B5A35" w:rsidRDefault="00371ED5" w:rsidP="00106FDC">
      <w:pPr>
        <w:pStyle w:val="texto"/>
        <w:rPr>
          <w:lang w:val="es-ES"/>
        </w:rPr>
      </w:pPr>
      <w:r w:rsidRPr="009B5A35">
        <w:rPr>
          <w:lang w:val="es-ES"/>
        </w:rPr>
        <w:t xml:space="preserve">Resultado </w:t>
      </w:r>
      <w:r w:rsidR="00EA6E55" w:rsidRPr="009B5A35">
        <w:rPr>
          <w:lang w:val="es-ES"/>
        </w:rPr>
        <w:t xml:space="preserve">de ello, </w:t>
      </w:r>
      <w:r w:rsidRPr="009B5A35">
        <w:rPr>
          <w:lang w:val="es-ES"/>
        </w:rPr>
        <w:t>el Go</w:t>
      </w:r>
      <w:r w:rsidR="007F6B91" w:rsidRPr="009B5A35">
        <w:rPr>
          <w:lang w:val="es-ES"/>
        </w:rPr>
        <w:t xml:space="preserve">bierno de Navarra, </w:t>
      </w:r>
      <w:r w:rsidRPr="009B5A35">
        <w:rPr>
          <w:lang w:val="es-ES"/>
        </w:rPr>
        <w:t>ordena el pago del anterior im</w:t>
      </w:r>
      <w:r w:rsidR="007F6B91" w:rsidRPr="009B5A35">
        <w:rPr>
          <w:lang w:val="es-ES"/>
        </w:rPr>
        <w:t xml:space="preserve">porte y </w:t>
      </w:r>
      <w:r w:rsidRPr="009B5A35">
        <w:rPr>
          <w:lang w:val="es-ES"/>
        </w:rPr>
        <w:t xml:space="preserve">anula la cuantía restante </w:t>
      </w:r>
      <w:r w:rsidR="007F6B91" w:rsidRPr="009B5A35">
        <w:rPr>
          <w:lang w:val="es-ES"/>
        </w:rPr>
        <w:t>pendiente de pago</w:t>
      </w:r>
      <w:r w:rsidRPr="009B5A35">
        <w:rPr>
          <w:lang w:val="es-ES"/>
        </w:rPr>
        <w:t xml:space="preserve"> por</w:t>
      </w:r>
      <w:r w:rsidR="00491EDB" w:rsidRPr="009B5A35">
        <w:rPr>
          <w:lang w:val="es-ES"/>
        </w:rPr>
        <w:t xml:space="preserve"> un total de</w:t>
      </w:r>
      <w:r w:rsidRPr="009B5A35">
        <w:rPr>
          <w:lang w:val="es-ES"/>
        </w:rPr>
        <w:t xml:space="preserve"> 16,6</w:t>
      </w:r>
      <w:r w:rsidR="004A669A" w:rsidRPr="009B5A35">
        <w:rPr>
          <w:lang w:val="es-ES"/>
        </w:rPr>
        <w:t>6</w:t>
      </w:r>
      <w:r w:rsidRPr="009B5A35">
        <w:rPr>
          <w:lang w:val="es-ES"/>
        </w:rPr>
        <w:t xml:space="preserve"> millones.</w:t>
      </w:r>
    </w:p>
    <w:p w:rsidR="00491EDB" w:rsidRDefault="00491EDB" w:rsidP="00106FDC">
      <w:pPr>
        <w:pStyle w:val="texto"/>
        <w:rPr>
          <w:lang w:val="es-ES"/>
        </w:rPr>
      </w:pPr>
      <w:r>
        <w:rPr>
          <w:lang w:val="es-ES"/>
        </w:rPr>
        <w:t>Las aportaciones definitivas de 2013 y 2014 se aprueban en la reunión de la Comisión Coordinadora celebrada el 28 de enero de 2016.</w:t>
      </w:r>
    </w:p>
    <w:p w:rsidR="00371ED5" w:rsidRDefault="00371ED5" w:rsidP="00106FDC">
      <w:pPr>
        <w:pStyle w:val="texto"/>
        <w:rPr>
          <w:lang w:val="es-ES"/>
        </w:rPr>
      </w:pPr>
      <w:r>
        <w:rPr>
          <w:lang w:val="es-ES"/>
        </w:rPr>
        <w:t>La anterior regula</w:t>
      </w:r>
      <w:r w:rsidR="00491EDB">
        <w:rPr>
          <w:lang w:val="es-ES"/>
        </w:rPr>
        <w:t xml:space="preserve">rización </w:t>
      </w:r>
      <w:r>
        <w:rPr>
          <w:lang w:val="es-ES"/>
        </w:rPr>
        <w:t>provoca igualmente un ajuste negativo en el cálculo de las necesidades de financiación de 2015.</w:t>
      </w:r>
    </w:p>
    <w:p w:rsidR="00E16C82" w:rsidRPr="00A37945" w:rsidRDefault="001C661A" w:rsidP="00106FDC">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Pr>
          <w:lang w:val="es-ES"/>
        </w:rPr>
        <w:t>L</w:t>
      </w:r>
      <w:r w:rsidR="00E16C82" w:rsidRPr="00A37945">
        <w:rPr>
          <w:lang w:val="es-ES"/>
        </w:rPr>
        <w:t>as partidas de gasto del Convenio contempla</w:t>
      </w:r>
      <w:r w:rsidR="00A37945">
        <w:rPr>
          <w:lang w:val="es-ES"/>
        </w:rPr>
        <w:t>n</w:t>
      </w:r>
      <w:r w:rsidR="00E16C82" w:rsidRPr="00A37945">
        <w:rPr>
          <w:lang w:val="es-ES"/>
        </w:rPr>
        <w:t xml:space="preserve"> en 2015 una nueva partida relativa a </w:t>
      </w:r>
      <w:r w:rsidR="00A37945" w:rsidRPr="00A37945">
        <w:rPr>
          <w:lang w:val="es-ES"/>
        </w:rPr>
        <w:t xml:space="preserve">la compensación por impuestos sobre el sector eléctrico. </w:t>
      </w:r>
      <w:r w:rsidR="00A37945">
        <w:rPr>
          <w:lang w:val="es-ES"/>
        </w:rPr>
        <w:t>Este gasto deriva del acuerdo de la</w:t>
      </w:r>
      <w:r w:rsidR="00E16C82" w:rsidRPr="00A37945">
        <w:rPr>
          <w:lang w:val="es-ES"/>
        </w:rPr>
        <w:t xml:space="preserve"> Comisión Coordinadora de 17 de febrero de 2015</w:t>
      </w:r>
      <w:r w:rsidR="00A37945">
        <w:rPr>
          <w:lang w:val="es-ES"/>
        </w:rPr>
        <w:t xml:space="preserve"> en el que se establece que</w:t>
      </w:r>
      <w:r w:rsidR="00E16C82" w:rsidRPr="00A37945">
        <w:rPr>
          <w:lang w:val="es-ES"/>
        </w:rPr>
        <w:t xml:space="preserve"> la C</w:t>
      </w:r>
      <w:r w:rsidR="00A37945">
        <w:rPr>
          <w:lang w:val="es-ES"/>
        </w:rPr>
        <w:t>omunidad Foral</w:t>
      </w:r>
      <w:r w:rsidR="00E16C82" w:rsidRPr="00A37945">
        <w:rPr>
          <w:lang w:val="es-ES"/>
        </w:rPr>
        <w:t xml:space="preserve"> compensará financieramente a la Administración del Estado por los impuestos sobre el </w:t>
      </w:r>
      <w:r w:rsidR="0029248A">
        <w:rPr>
          <w:lang w:val="es-ES"/>
        </w:rPr>
        <w:t>v</w:t>
      </w:r>
      <w:r w:rsidR="00E16C82" w:rsidRPr="00A37945">
        <w:rPr>
          <w:lang w:val="es-ES"/>
        </w:rPr>
        <w:t xml:space="preserve">alor de la </w:t>
      </w:r>
      <w:r w:rsidR="0029248A">
        <w:rPr>
          <w:lang w:val="es-ES"/>
        </w:rPr>
        <w:t>p</w:t>
      </w:r>
      <w:r w:rsidR="00E16C82" w:rsidRPr="00A37945">
        <w:rPr>
          <w:lang w:val="es-ES"/>
        </w:rPr>
        <w:t xml:space="preserve">roducción de la </w:t>
      </w:r>
      <w:r w:rsidR="0029248A">
        <w:rPr>
          <w:lang w:val="es-ES"/>
        </w:rPr>
        <w:t>e</w:t>
      </w:r>
      <w:r w:rsidR="00E16C82" w:rsidRPr="00A37945">
        <w:rPr>
          <w:lang w:val="es-ES"/>
        </w:rPr>
        <w:t xml:space="preserve">nergía </w:t>
      </w:r>
      <w:r w:rsidR="0029248A">
        <w:rPr>
          <w:lang w:val="es-ES"/>
        </w:rPr>
        <w:t>e</w:t>
      </w:r>
      <w:r w:rsidR="00E16C82" w:rsidRPr="00A37945">
        <w:rPr>
          <w:lang w:val="es-ES"/>
        </w:rPr>
        <w:t>léctrica, sobre la producción de combustible nuclear gastado y residuos radiactivos resultantes de la generación de energía nucleoeléctrica y sobre el almacenamiento de combustible nuclear gastado y residuos radiactivos en instalaciones centralizadas.</w:t>
      </w:r>
      <w:r w:rsidR="00A37945">
        <w:rPr>
          <w:lang w:val="es-ES"/>
        </w:rPr>
        <w:t xml:space="preserve"> </w:t>
      </w:r>
      <w:r w:rsidR="00E16C82" w:rsidRPr="00A37945">
        <w:rPr>
          <w:lang w:val="es-ES"/>
        </w:rPr>
        <w:t xml:space="preserve">El importe de </w:t>
      </w:r>
      <w:r w:rsidR="00A37945">
        <w:rPr>
          <w:lang w:val="es-ES"/>
        </w:rPr>
        <w:t>esta</w:t>
      </w:r>
      <w:r w:rsidR="00E16C82" w:rsidRPr="00A37945">
        <w:rPr>
          <w:lang w:val="es-ES"/>
        </w:rPr>
        <w:t xml:space="preserve"> </w:t>
      </w:r>
      <w:r w:rsidR="00A37945">
        <w:rPr>
          <w:lang w:val="es-ES"/>
        </w:rPr>
        <w:t>c</w:t>
      </w:r>
      <w:r w:rsidR="00E16C82" w:rsidRPr="00A37945">
        <w:rPr>
          <w:lang w:val="es-ES"/>
        </w:rPr>
        <w:t>ompensación financiera se fijará por la diferencia entre:</w:t>
      </w:r>
    </w:p>
    <w:p w:rsidR="00E16C82" w:rsidRPr="00A37945" w:rsidRDefault="001A0E4A" w:rsidP="00106FDC">
      <w:pPr>
        <w:pStyle w:val="texto"/>
        <w:rPr>
          <w:lang w:val="es-ES"/>
        </w:rPr>
      </w:pPr>
      <w:r>
        <w:rPr>
          <w:lang w:val="es-ES"/>
        </w:rPr>
        <w:t xml:space="preserve">a) </w:t>
      </w:r>
      <w:r w:rsidR="00E16C82" w:rsidRPr="00A37945">
        <w:rPr>
          <w:lang w:val="es-ES"/>
        </w:rPr>
        <w:t>La recaudación de Navar</w:t>
      </w:r>
      <w:r w:rsidR="00A37945">
        <w:rPr>
          <w:lang w:val="es-ES"/>
        </w:rPr>
        <w:t xml:space="preserve">ra </w:t>
      </w:r>
      <w:r w:rsidR="00E16C82" w:rsidRPr="00A37945">
        <w:rPr>
          <w:lang w:val="es-ES"/>
        </w:rPr>
        <w:t>derivada de los impuestos c</w:t>
      </w:r>
      <w:r w:rsidR="00491EDB">
        <w:rPr>
          <w:lang w:val="es-ES"/>
        </w:rPr>
        <w:t xml:space="preserve">itados, </w:t>
      </w:r>
      <w:r w:rsidR="00E16C82" w:rsidRPr="00A37945">
        <w:rPr>
          <w:lang w:val="es-ES"/>
        </w:rPr>
        <w:t>calculada aplicando las mismas normas sustantivas que el Estado</w:t>
      </w:r>
      <w:r>
        <w:rPr>
          <w:lang w:val="es-ES"/>
        </w:rPr>
        <w:t>,</w:t>
      </w:r>
      <w:r w:rsidR="00E16C82" w:rsidRPr="00A37945">
        <w:rPr>
          <w:lang w:val="es-ES"/>
        </w:rPr>
        <w:t xml:space="preserve"> y</w:t>
      </w:r>
    </w:p>
    <w:p w:rsidR="00491EDB" w:rsidRPr="00491EDB" w:rsidRDefault="00491EDB" w:rsidP="00106FDC">
      <w:pPr>
        <w:pStyle w:val="texto"/>
        <w:rPr>
          <w:lang w:val="es-ES"/>
        </w:rPr>
      </w:pPr>
      <w:r w:rsidRPr="00491EDB">
        <w:rPr>
          <w:lang w:val="es-ES"/>
        </w:rPr>
        <w:t>b) La variación del importe de la Aportación como consecuencia de la incorporación en el cálculo del índice de actualización de dichos impuestos por la cifra del Presupuesto de Ingresos del Estado.</w:t>
      </w:r>
    </w:p>
    <w:p w:rsidR="00E16C82" w:rsidRPr="00275596" w:rsidRDefault="00E16C82" w:rsidP="00106FDC">
      <w:pPr>
        <w:pStyle w:val="texto"/>
        <w:rPr>
          <w:lang w:val="es-ES"/>
        </w:rPr>
      </w:pPr>
      <w:r w:rsidRPr="00A37945">
        <w:rPr>
          <w:lang w:val="es-ES"/>
        </w:rPr>
        <w:t>La compensación de cada ejercicio se hará efectiva en cuatro plazos en los meses de marzo, junio, septiembre y diciembre. Se fijará provisionalmente en cada uno de dichos plazos por diferencia entre la recaudación líquida acumulada en el ejercicio obtenida por Navar</w:t>
      </w:r>
      <w:r w:rsidR="00275596">
        <w:rPr>
          <w:lang w:val="es-ES"/>
        </w:rPr>
        <w:t xml:space="preserve">ra por los citados impuestos </w:t>
      </w:r>
      <w:r w:rsidRPr="00A37945">
        <w:rPr>
          <w:lang w:val="es-ES"/>
        </w:rPr>
        <w:t xml:space="preserve">y la variación en el importe de la </w:t>
      </w:r>
      <w:r w:rsidR="00275596">
        <w:rPr>
          <w:lang w:val="es-ES"/>
        </w:rPr>
        <w:t>a</w:t>
      </w:r>
      <w:r w:rsidRPr="00A37945">
        <w:rPr>
          <w:lang w:val="es-ES"/>
        </w:rPr>
        <w:t>portación acumulada en cada trimestre, descontando los pagos ya efectuados en el ejercicio por esta compensación provisional.</w:t>
      </w:r>
    </w:p>
    <w:p w:rsidR="00E16C82" w:rsidRDefault="00E16C82" w:rsidP="00106FDC">
      <w:pPr>
        <w:pStyle w:val="texto"/>
        <w:rPr>
          <w:lang w:val="es-ES"/>
        </w:rPr>
      </w:pPr>
      <w:r w:rsidRPr="00275596">
        <w:rPr>
          <w:lang w:val="es-ES"/>
        </w:rPr>
        <w:t>La liquidación definitiva se efectuará en marzo del ejercicio siguiente al que se refiera la compensación, una vez conocidos los datos de recaudación real del Estado y de Navarra.</w:t>
      </w:r>
    </w:p>
    <w:p w:rsidR="001C661A" w:rsidRPr="00275596" w:rsidRDefault="00275596" w:rsidP="00106FDC">
      <w:pPr>
        <w:pStyle w:val="texto"/>
        <w:spacing w:after="240"/>
        <w:rPr>
          <w:lang w:val="es-ES"/>
        </w:rPr>
      </w:pPr>
      <w:r>
        <w:rPr>
          <w:lang w:val="es-ES"/>
        </w:rPr>
        <w:t>El gasto que por este concepto se imputa a la liquidación del presupuesto de 2015 corresponde a las liquidaciones provisionales de los ejercicios de 2013 a 2015, de acuerdo con el siguiente detalle</w:t>
      </w:r>
      <w:r w:rsidR="00106FDC">
        <w:rPr>
          <w:lang w:val="es-ES"/>
        </w:rPr>
        <w:t xml:space="preserve">, </w:t>
      </w:r>
      <w:r w:rsidR="002F5424">
        <w:rPr>
          <w:lang w:val="es-ES"/>
        </w:rPr>
        <w:t>en miles de euros</w:t>
      </w:r>
      <w:r w:rsidR="00106FDC">
        <w:rPr>
          <w:lang w:val="es-ES"/>
        </w:rPr>
        <w:t>:</w:t>
      </w:r>
    </w:p>
    <w:tbl>
      <w:tblPr>
        <w:tblW w:w="8868" w:type="dxa"/>
        <w:jc w:val="center"/>
        <w:tblLayout w:type="fixed"/>
        <w:tblLook w:val="01E0" w:firstRow="1" w:lastRow="1" w:firstColumn="1" w:lastColumn="1" w:noHBand="0" w:noVBand="0"/>
      </w:tblPr>
      <w:tblGrid>
        <w:gridCol w:w="6330"/>
        <w:gridCol w:w="2538"/>
      </w:tblGrid>
      <w:tr w:rsidR="002F5424" w:rsidRPr="00E05116" w:rsidTr="00106FDC">
        <w:trPr>
          <w:trHeight w:hRule="exact" w:val="284"/>
          <w:jc w:val="center"/>
        </w:trPr>
        <w:tc>
          <w:tcPr>
            <w:tcW w:w="6330" w:type="dxa"/>
            <w:tcBorders>
              <w:top w:val="single" w:sz="4" w:space="0" w:color="auto"/>
              <w:bottom w:val="single" w:sz="4" w:space="0" w:color="auto"/>
            </w:tcBorders>
            <w:shd w:val="clear" w:color="auto" w:fill="A8CBEE" w:themeFill="accent2" w:themeFillTint="66"/>
            <w:vAlign w:val="center"/>
          </w:tcPr>
          <w:p w:rsidR="002F5424" w:rsidRPr="00DC6B49" w:rsidRDefault="002F5424" w:rsidP="00AD1D27">
            <w:pPr>
              <w:pStyle w:val="cuadroCabe"/>
              <w:jc w:val="left"/>
              <w:rPr>
                <w:lang w:val="es-ES"/>
              </w:rPr>
            </w:pPr>
            <w:r>
              <w:rPr>
                <w:lang w:val="es-ES"/>
              </w:rPr>
              <w:t xml:space="preserve">Compensación </w:t>
            </w:r>
            <w:r w:rsidRPr="00A31B60">
              <w:rPr>
                <w:szCs w:val="20"/>
              </w:rPr>
              <w:t xml:space="preserve">por impuestos sobre </w:t>
            </w:r>
            <w:r>
              <w:rPr>
                <w:szCs w:val="20"/>
              </w:rPr>
              <w:t>el sector eléctrico</w:t>
            </w:r>
          </w:p>
        </w:tc>
        <w:tc>
          <w:tcPr>
            <w:tcW w:w="2538" w:type="dxa"/>
            <w:tcBorders>
              <w:top w:val="single" w:sz="4" w:space="0" w:color="auto"/>
              <w:bottom w:val="single" w:sz="4" w:space="0" w:color="auto"/>
            </w:tcBorders>
            <w:shd w:val="clear" w:color="auto" w:fill="A8CBEE" w:themeFill="accent2" w:themeFillTint="66"/>
            <w:vAlign w:val="center"/>
            <w:hideMark/>
          </w:tcPr>
          <w:p w:rsidR="002F5424" w:rsidRPr="00E05116" w:rsidRDefault="002F5424" w:rsidP="002F5424">
            <w:pPr>
              <w:pStyle w:val="cuadroCabe"/>
              <w:jc w:val="right"/>
            </w:pPr>
            <w:r>
              <w:t>Importe</w:t>
            </w:r>
          </w:p>
        </w:tc>
      </w:tr>
      <w:tr w:rsidR="002F5424" w:rsidRPr="00E05116" w:rsidTr="00106FDC">
        <w:trPr>
          <w:trHeight w:hRule="exact" w:val="284"/>
          <w:jc w:val="center"/>
        </w:trPr>
        <w:tc>
          <w:tcPr>
            <w:tcW w:w="6330" w:type="dxa"/>
            <w:tcBorders>
              <w:top w:val="single" w:sz="4" w:space="0" w:color="auto"/>
              <w:bottom w:val="single" w:sz="2" w:space="0" w:color="auto"/>
            </w:tcBorders>
            <w:vAlign w:val="center"/>
          </w:tcPr>
          <w:p w:rsidR="002F5424" w:rsidRPr="00E05116" w:rsidRDefault="002F5424" w:rsidP="00AD1D27">
            <w:pPr>
              <w:pStyle w:val="cuatexto"/>
              <w:jc w:val="left"/>
              <w:rPr>
                <w:szCs w:val="20"/>
              </w:rPr>
            </w:pPr>
            <w:r>
              <w:rPr>
                <w:szCs w:val="20"/>
              </w:rPr>
              <w:t>2013</w:t>
            </w:r>
          </w:p>
        </w:tc>
        <w:tc>
          <w:tcPr>
            <w:tcW w:w="2538" w:type="dxa"/>
            <w:tcBorders>
              <w:top w:val="single" w:sz="4" w:space="0" w:color="auto"/>
              <w:bottom w:val="single" w:sz="2" w:space="0" w:color="auto"/>
            </w:tcBorders>
            <w:vAlign w:val="center"/>
          </w:tcPr>
          <w:p w:rsidR="002F5424" w:rsidRPr="00E05116" w:rsidRDefault="002F5424" w:rsidP="00AD1D27">
            <w:pPr>
              <w:pStyle w:val="cuatexto"/>
              <w:jc w:val="right"/>
              <w:rPr>
                <w:szCs w:val="20"/>
              </w:rPr>
            </w:pPr>
            <w:r>
              <w:rPr>
                <w:szCs w:val="20"/>
              </w:rPr>
              <w:t>17.207</w:t>
            </w:r>
          </w:p>
        </w:tc>
      </w:tr>
      <w:tr w:rsidR="002F5424" w:rsidRPr="00E05116" w:rsidTr="00106FDC">
        <w:trPr>
          <w:trHeight w:hRule="exact" w:val="284"/>
          <w:jc w:val="center"/>
        </w:trPr>
        <w:tc>
          <w:tcPr>
            <w:tcW w:w="6330" w:type="dxa"/>
            <w:tcBorders>
              <w:top w:val="single" w:sz="4" w:space="0" w:color="auto"/>
              <w:bottom w:val="single" w:sz="2" w:space="0" w:color="auto"/>
            </w:tcBorders>
            <w:vAlign w:val="center"/>
          </w:tcPr>
          <w:p w:rsidR="002F5424" w:rsidRPr="00E05116" w:rsidRDefault="002F5424" w:rsidP="00AD1D27">
            <w:pPr>
              <w:pStyle w:val="cuatexto"/>
              <w:jc w:val="left"/>
              <w:rPr>
                <w:szCs w:val="20"/>
              </w:rPr>
            </w:pPr>
            <w:r>
              <w:rPr>
                <w:szCs w:val="20"/>
              </w:rPr>
              <w:t>2014</w:t>
            </w:r>
          </w:p>
        </w:tc>
        <w:tc>
          <w:tcPr>
            <w:tcW w:w="2538" w:type="dxa"/>
            <w:tcBorders>
              <w:top w:val="single" w:sz="4" w:space="0" w:color="auto"/>
              <w:bottom w:val="single" w:sz="2" w:space="0" w:color="auto"/>
            </w:tcBorders>
            <w:vAlign w:val="center"/>
          </w:tcPr>
          <w:p w:rsidR="002F5424" w:rsidRPr="00E05116" w:rsidRDefault="002F5424" w:rsidP="00AD1D27">
            <w:pPr>
              <w:pStyle w:val="cuatexto"/>
              <w:jc w:val="right"/>
              <w:rPr>
                <w:szCs w:val="20"/>
              </w:rPr>
            </w:pPr>
            <w:r>
              <w:rPr>
                <w:szCs w:val="20"/>
              </w:rPr>
              <w:t>7.004</w:t>
            </w:r>
          </w:p>
        </w:tc>
      </w:tr>
      <w:tr w:rsidR="002F5424" w:rsidRPr="00E05116" w:rsidTr="00106FDC">
        <w:trPr>
          <w:trHeight w:hRule="exact" w:val="284"/>
          <w:jc w:val="center"/>
        </w:trPr>
        <w:tc>
          <w:tcPr>
            <w:tcW w:w="6330" w:type="dxa"/>
            <w:tcBorders>
              <w:top w:val="single" w:sz="4" w:space="0" w:color="auto"/>
              <w:bottom w:val="single" w:sz="4" w:space="0" w:color="auto"/>
            </w:tcBorders>
            <w:vAlign w:val="center"/>
          </w:tcPr>
          <w:p w:rsidR="002F5424" w:rsidRPr="00E05116" w:rsidRDefault="002F5424" w:rsidP="00AD1D27">
            <w:pPr>
              <w:pStyle w:val="cuatexto"/>
              <w:jc w:val="left"/>
              <w:rPr>
                <w:szCs w:val="20"/>
              </w:rPr>
            </w:pPr>
            <w:r>
              <w:rPr>
                <w:szCs w:val="20"/>
              </w:rPr>
              <w:t>2015</w:t>
            </w:r>
          </w:p>
        </w:tc>
        <w:tc>
          <w:tcPr>
            <w:tcW w:w="2538" w:type="dxa"/>
            <w:tcBorders>
              <w:top w:val="single" w:sz="4" w:space="0" w:color="auto"/>
              <w:bottom w:val="single" w:sz="4" w:space="0" w:color="auto"/>
            </w:tcBorders>
            <w:vAlign w:val="center"/>
          </w:tcPr>
          <w:p w:rsidR="002F5424" w:rsidRPr="00E05116" w:rsidRDefault="002F5424" w:rsidP="00AD1D27">
            <w:pPr>
              <w:pStyle w:val="cuatexto"/>
              <w:jc w:val="right"/>
              <w:rPr>
                <w:szCs w:val="20"/>
              </w:rPr>
            </w:pPr>
            <w:r>
              <w:rPr>
                <w:szCs w:val="20"/>
              </w:rPr>
              <w:t>2.648</w:t>
            </w:r>
          </w:p>
        </w:tc>
      </w:tr>
      <w:tr w:rsidR="002F5424" w:rsidRPr="00E05116" w:rsidTr="00106FDC">
        <w:trPr>
          <w:trHeight w:hRule="exact" w:val="284"/>
          <w:jc w:val="center"/>
        </w:trPr>
        <w:tc>
          <w:tcPr>
            <w:tcW w:w="6330" w:type="dxa"/>
            <w:tcBorders>
              <w:top w:val="single" w:sz="4" w:space="0" w:color="auto"/>
              <w:bottom w:val="single" w:sz="2" w:space="0" w:color="auto"/>
            </w:tcBorders>
            <w:shd w:val="clear" w:color="auto" w:fill="A8CBEE" w:themeFill="accent2" w:themeFillTint="66"/>
            <w:vAlign w:val="center"/>
          </w:tcPr>
          <w:p w:rsidR="002F5424" w:rsidRPr="002F5424" w:rsidRDefault="002F5424" w:rsidP="002F5424">
            <w:pPr>
              <w:pStyle w:val="cuadroCabe"/>
              <w:jc w:val="left"/>
              <w:rPr>
                <w:lang w:val="es-ES"/>
              </w:rPr>
            </w:pPr>
            <w:r w:rsidRPr="002F5424">
              <w:rPr>
                <w:lang w:val="es-ES"/>
              </w:rPr>
              <w:t xml:space="preserve">Total imputado liquidación </w:t>
            </w:r>
            <w:r w:rsidR="00BA7FE3">
              <w:rPr>
                <w:lang w:val="es-ES"/>
              </w:rPr>
              <w:t xml:space="preserve">presupuestaria </w:t>
            </w:r>
            <w:r w:rsidRPr="002F5424">
              <w:rPr>
                <w:lang w:val="es-ES"/>
              </w:rPr>
              <w:t>2015</w:t>
            </w:r>
          </w:p>
        </w:tc>
        <w:tc>
          <w:tcPr>
            <w:tcW w:w="2538" w:type="dxa"/>
            <w:tcBorders>
              <w:top w:val="single" w:sz="4" w:space="0" w:color="auto"/>
              <w:bottom w:val="single" w:sz="2" w:space="0" w:color="auto"/>
            </w:tcBorders>
            <w:shd w:val="clear" w:color="auto" w:fill="A8CBEE" w:themeFill="accent2" w:themeFillTint="66"/>
            <w:vAlign w:val="center"/>
          </w:tcPr>
          <w:p w:rsidR="002F5424" w:rsidRPr="002F5424" w:rsidRDefault="002F5424" w:rsidP="002F5424">
            <w:pPr>
              <w:pStyle w:val="cuadroCabe"/>
              <w:jc w:val="right"/>
              <w:rPr>
                <w:lang w:val="es-ES"/>
              </w:rPr>
            </w:pPr>
            <w:r w:rsidRPr="002F5424">
              <w:rPr>
                <w:lang w:val="es-ES"/>
              </w:rPr>
              <w:t>26.859</w:t>
            </w:r>
          </w:p>
        </w:tc>
      </w:tr>
    </w:tbl>
    <w:p w:rsidR="00EA6E55" w:rsidRPr="00862C06" w:rsidRDefault="00EA6E55" w:rsidP="00071FC3">
      <w:pPr>
        <w:pStyle w:val="atitulo3"/>
        <w:rPr>
          <w:lang w:val="es-ES"/>
        </w:rPr>
      </w:pPr>
      <w:r>
        <w:rPr>
          <w:lang w:val="es-ES"/>
        </w:rPr>
        <w:t>Ingresos</w:t>
      </w:r>
      <w:r w:rsidRPr="00862C06">
        <w:rPr>
          <w:lang w:val="es-ES"/>
        </w:rPr>
        <w:t xml:space="preserve"> derivados del Convenio</w:t>
      </w:r>
    </w:p>
    <w:p w:rsidR="00862C06" w:rsidRDefault="00EA6E55" w:rsidP="00862C06">
      <w:pPr>
        <w:pStyle w:val="texto"/>
        <w:spacing w:after="120"/>
        <w:rPr>
          <w:lang w:val="es-ES"/>
        </w:rPr>
      </w:pPr>
      <w:r>
        <w:rPr>
          <w:lang w:val="es-ES"/>
        </w:rPr>
        <w:t>Sobre los aj</w:t>
      </w:r>
      <w:r w:rsidR="00BA7FE3">
        <w:rPr>
          <w:lang w:val="es-ES"/>
        </w:rPr>
        <w:t xml:space="preserve">ustes tributarios </w:t>
      </w:r>
      <w:r>
        <w:rPr>
          <w:lang w:val="es-ES"/>
        </w:rPr>
        <w:t>señalamos:</w:t>
      </w:r>
    </w:p>
    <w:p w:rsidR="00EA6E55" w:rsidRDefault="00EA6E55" w:rsidP="00106FDC">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89"/>
        <w:rPr>
          <w:lang w:val="es-ES"/>
        </w:rPr>
      </w:pPr>
      <w:r>
        <w:rPr>
          <w:lang w:val="es-ES"/>
        </w:rPr>
        <w:t xml:space="preserve">Como ya se ha comentado, el ejercicio de 2015 es año base del nuevo quinquenio 2015 a 2019. Como no se ha acordado la metodología para </w:t>
      </w:r>
      <w:r w:rsidR="0029063C">
        <w:rPr>
          <w:lang w:val="es-ES"/>
        </w:rPr>
        <w:t>determinar</w:t>
      </w:r>
      <w:r>
        <w:rPr>
          <w:lang w:val="es-ES"/>
        </w:rPr>
        <w:t xml:space="preserve"> estos ajustes fiscales</w:t>
      </w:r>
      <w:r w:rsidR="0029063C">
        <w:rPr>
          <w:lang w:val="es-ES"/>
        </w:rPr>
        <w:t xml:space="preserve"> para dicho nuevo quinquenio y de conformidad a la normativa, se aplican provisionalmente los métodos acordados para el quinquenio anterior, sin perjuicio de la regularización que proceda una vez establecido el método definitivo del quinquenio.</w:t>
      </w:r>
    </w:p>
    <w:p w:rsidR="0029063C" w:rsidRPr="008E6A21" w:rsidRDefault="0029063C" w:rsidP="00106FDC">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89"/>
        <w:rPr>
          <w:lang w:val="es-ES"/>
        </w:rPr>
      </w:pPr>
      <w:r w:rsidRPr="008E6A21">
        <w:rPr>
          <w:lang w:val="es-ES"/>
        </w:rPr>
        <w:t>En la liquidación provisional de IVA correspondiente al primer trimestre de 2015 se aplica, por primera vez</w:t>
      </w:r>
      <w:r w:rsidR="00975E8E" w:rsidRPr="008E6A21">
        <w:rPr>
          <w:lang w:val="es-ES"/>
        </w:rPr>
        <w:t xml:space="preserve"> y ante la falta de regulación del nuevo quinquenio, el </w:t>
      </w:r>
      <w:r w:rsidRPr="008E6A21">
        <w:rPr>
          <w:lang w:val="es-ES"/>
        </w:rPr>
        <w:t>método acordado</w:t>
      </w:r>
      <w:r w:rsidR="00975E8E" w:rsidRPr="008E6A21">
        <w:rPr>
          <w:lang w:val="es-ES"/>
        </w:rPr>
        <w:t xml:space="preserve"> en la Comisión Coordinadora de julio de 2014</w:t>
      </w:r>
      <w:r w:rsidRPr="008E6A21">
        <w:rPr>
          <w:lang w:val="es-ES"/>
        </w:rPr>
        <w:t>.</w:t>
      </w:r>
      <w:r w:rsidR="00975E8E" w:rsidRPr="008E6A21">
        <w:rPr>
          <w:lang w:val="es-ES"/>
        </w:rPr>
        <w:t xml:space="preserve"> Según este método, se compara la recaudación presupuestaria total de IVA </w:t>
      </w:r>
      <w:r w:rsidR="008E6A21">
        <w:rPr>
          <w:lang w:val="es-ES"/>
        </w:rPr>
        <w:t>obtenida por el</w:t>
      </w:r>
      <w:r w:rsidR="00975E8E" w:rsidRPr="008E6A21">
        <w:rPr>
          <w:lang w:val="es-ES"/>
        </w:rPr>
        <w:t xml:space="preserve"> Gobierno de Navarra con la que se hubiera </w:t>
      </w:r>
      <w:r w:rsidR="008E6A21">
        <w:rPr>
          <w:lang w:val="es-ES"/>
        </w:rPr>
        <w:t>conseguido</w:t>
      </w:r>
      <w:r w:rsidR="00975E8E" w:rsidRPr="008E6A21">
        <w:rPr>
          <w:lang w:val="es-ES"/>
        </w:rPr>
        <w:t xml:space="preserve"> si no se hubiese producido el cambio de comercialización en relación con la exportación de vehículos; si de esa comparación resultase que el impacto presupuestario final para Navarra fuese menor que el establecido en 25 millones –distribuidos de forma uniforme y acumulada en los cuatro trimestres del año-, esa diferencia será la base para la fijación de la compensación a favor del Estado; si ese impacto resulta mayor, la compensación sería a favor de la Comunidad Foral. El importe de la compensación de cada trimestre será el 80 por ciento del resultado de minorar el impacto anterior por las compensaciones satisfechas en los trimestres anteriores del ejercicio en curso.</w:t>
      </w:r>
      <w:r w:rsidRPr="008E6A21">
        <w:rPr>
          <w:lang w:val="es-ES"/>
        </w:rPr>
        <w:t xml:space="preserve"> </w:t>
      </w:r>
    </w:p>
    <w:p w:rsidR="00975E8E" w:rsidRDefault="00975E8E" w:rsidP="00106FDC">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89"/>
        <w:rPr>
          <w:lang w:val="es-ES"/>
        </w:rPr>
      </w:pPr>
      <w:r>
        <w:rPr>
          <w:lang w:val="es-ES"/>
        </w:rPr>
        <w:t>En la reunión de la Comisión Coordinadora de febrero de 2015 se acuerda la metodología para cuantificar el ajuste sobre el impuesto de hidrocarburos con efectos desde el 1 de enero de 2013.</w:t>
      </w:r>
    </w:p>
    <w:p w:rsidR="00AD1D27" w:rsidRPr="00AD1D27" w:rsidRDefault="00AD1D27" w:rsidP="00106FDC">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89"/>
        <w:rPr>
          <w:lang w:val="es-ES"/>
        </w:rPr>
      </w:pPr>
      <w:r>
        <w:rPr>
          <w:lang w:val="es-ES"/>
        </w:rPr>
        <w:t>Operaciones de ejercicios anteriores.</w:t>
      </w:r>
      <w:r w:rsidRPr="00AD1D27">
        <w:rPr>
          <w:lang w:val="es-ES"/>
        </w:rPr>
        <w:t xml:space="preserve"> </w:t>
      </w:r>
      <w:r w:rsidR="00582BC4">
        <w:rPr>
          <w:lang w:val="es-ES"/>
        </w:rPr>
        <w:t>Estas</w:t>
      </w:r>
      <w:r w:rsidRPr="00AD1D27">
        <w:rPr>
          <w:lang w:val="es-ES"/>
        </w:rPr>
        <w:t xml:space="preserve"> operaciones se registran </w:t>
      </w:r>
      <w:r w:rsidR="00240670">
        <w:rPr>
          <w:lang w:val="es-ES"/>
        </w:rPr>
        <w:t>mediante</w:t>
      </w:r>
      <w:r w:rsidRPr="00AD1D27">
        <w:rPr>
          <w:lang w:val="es-ES"/>
        </w:rPr>
        <w:t xml:space="preserve"> la Orden Foral 170/2015, de 30 de diciembre</w:t>
      </w:r>
      <w:r>
        <w:rPr>
          <w:lang w:val="es-ES"/>
        </w:rPr>
        <w:t xml:space="preserve">. </w:t>
      </w:r>
      <w:r w:rsidRPr="00AD1D27">
        <w:rPr>
          <w:lang w:val="es-ES"/>
        </w:rPr>
        <w:t xml:space="preserve">Según se indica en la misma, se recibió </w:t>
      </w:r>
      <w:r w:rsidR="00976860">
        <w:rPr>
          <w:lang w:val="es-ES"/>
        </w:rPr>
        <w:t xml:space="preserve">un </w:t>
      </w:r>
      <w:r w:rsidRPr="00AD1D27">
        <w:rPr>
          <w:lang w:val="es-ES"/>
        </w:rPr>
        <w:t>escrito con fecha 28 de diciembre de 2015</w:t>
      </w:r>
      <w:r>
        <w:rPr>
          <w:lang w:val="es-ES"/>
        </w:rPr>
        <w:t xml:space="preserve"> del Ministerio</w:t>
      </w:r>
      <w:r w:rsidR="001330B7">
        <w:rPr>
          <w:lang w:val="es-ES"/>
        </w:rPr>
        <w:t xml:space="preserve"> de</w:t>
      </w:r>
      <w:r w:rsidR="00976860">
        <w:rPr>
          <w:lang w:val="es-ES"/>
        </w:rPr>
        <w:t xml:space="preserve"> H</w:t>
      </w:r>
      <w:r w:rsidR="001330B7">
        <w:rPr>
          <w:lang w:val="es-ES"/>
        </w:rPr>
        <w:t>acienda y Administraciones Públicas</w:t>
      </w:r>
      <w:r w:rsidRPr="00AD1D27">
        <w:rPr>
          <w:lang w:val="es-ES"/>
        </w:rPr>
        <w:t xml:space="preserve"> indicando que</w:t>
      </w:r>
      <w:r w:rsidR="009B5A35">
        <w:rPr>
          <w:lang w:val="es-ES"/>
        </w:rPr>
        <w:t>, de forma unilateral,</w:t>
      </w:r>
      <w:r w:rsidR="009B5A35" w:rsidRPr="00AD1D27">
        <w:rPr>
          <w:lang w:val="es-ES"/>
        </w:rPr>
        <w:t xml:space="preserve"> </w:t>
      </w:r>
      <w:r w:rsidRPr="00AD1D27">
        <w:rPr>
          <w:lang w:val="es-ES"/>
        </w:rPr>
        <w:t xml:space="preserve"> se iba a proceder</w:t>
      </w:r>
      <w:r w:rsidR="009B5A35">
        <w:rPr>
          <w:lang w:val="es-ES"/>
        </w:rPr>
        <w:t xml:space="preserve"> </w:t>
      </w:r>
      <w:r w:rsidRPr="00AD1D27">
        <w:rPr>
          <w:lang w:val="es-ES"/>
        </w:rPr>
        <w:t>a aplicar un descuento de 72</w:t>
      </w:r>
      <w:r>
        <w:rPr>
          <w:lang w:val="es-ES"/>
        </w:rPr>
        <w:t xml:space="preserve">,82 millones </w:t>
      </w:r>
      <w:r w:rsidR="00C12D5F">
        <w:rPr>
          <w:lang w:val="es-ES"/>
        </w:rPr>
        <w:t xml:space="preserve">de ejercicios anteriores </w:t>
      </w:r>
      <w:r w:rsidRPr="00AD1D27">
        <w:rPr>
          <w:lang w:val="es-ES"/>
        </w:rPr>
        <w:t>en el importe a abonar por el Estado en los ajustes de IVA e Impuestos Especiales</w:t>
      </w:r>
      <w:r>
        <w:rPr>
          <w:lang w:val="es-ES"/>
        </w:rPr>
        <w:t xml:space="preserve"> de diciembre de 2015</w:t>
      </w:r>
      <w:r w:rsidRPr="00AD1D27">
        <w:rPr>
          <w:lang w:val="es-ES"/>
        </w:rPr>
        <w:t xml:space="preserve">. </w:t>
      </w:r>
    </w:p>
    <w:p w:rsidR="00106FDC" w:rsidRDefault="00106FDC">
      <w:pPr>
        <w:spacing w:after="0"/>
        <w:ind w:firstLine="0"/>
        <w:jc w:val="left"/>
        <w:rPr>
          <w:spacing w:val="6"/>
          <w:sz w:val="26"/>
          <w:szCs w:val="24"/>
          <w:lang w:val="es-ES"/>
        </w:rPr>
      </w:pPr>
      <w:r>
        <w:rPr>
          <w:lang w:val="es-ES"/>
        </w:rPr>
        <w:br w:type="page"/>
      </w:r>
    </w:p>
    <w:p w:rsidR="001122DF" w:rsidRDefault="00C12D5F" w:rsidP="00106FDC">
      <w:pPr>
        <w:pStyle w:val="texto"/>
        <w:spacing w:after="240"/>
        <w:rPr>
          <w:lang w:val="es-ES"/>
        </w:rPr>
      </w:pPr>
      <w:r>
        <w:rPr>
          <w:lang w:val="es-ES"/>
        </w:rPr>
        <w:t>El detalle de ese descuento de 72,82 millones se refleja en el cuadro siguiente</w:t>
      </w:r>
      <w:r w:rsidR="00106FDC">
        <w:rPr>
          <w:lang w:val="es-ES"/>
        </w:rPr>
        <w:t xml:space="preserve">, </w:t>
      </w:r>
      <w:r>
        <w:rPr>
          <w:lang w:val="es-ES"/>
        </w:rPr>
        <w:t>en miles de euros</w:t>
      </w:r>
      <w:r w:rsidR="00106FDC">
        <w:rPr>
          <w:lang w:val="es-ES"/>
        </w:rPr>
        <w:t>.</w:t>
      </w:r>
    </w:p>
    <w:tbl>
      <w:tblPr>
        <w:tblW w:w="8871" w:type="dxa"/>
        <w:jc w:val="center"/>
        <w:tblLayout w:type="fixed"/>
        <w:tblLook w:val="01E0" w:firstRow="1" w:lastRow="1" w:firstColumn="1" w:lastColumn="1" w:noHBand="0" w:noVBand="0"/>
      </w:tblPr>
      <w:tblGrid>
        <w:gridCol w:w="4708"/>
        <w:gridCol w:w="2016"/>
        <w:gridCol w:w="2147"/>
      </w:tblGrid>
      <w:tr w:rsidR="00C12D5F" w:rsidTr="00A20D5E">
        <w:trPr>
          <w:trHeight w:hRule="exact" w:val="284"/>
          <w:jc w:val="center"/>
        </w:trPr>
        <w:tc>
          <w:tcPr>
            <w:tcW w:w="4708" w:type="dxa"/>
            <w:tcBorders>
              <w:top w:val="single" w:sz="4" w:space="0" w:color="auto"/>
              <w:bottom w:val="single" w:sz="4" w:space="0" w:color="auto"/>
            </w:tcBorders>
            <w:shd w:val="clear" w:color="auto" w:fill="A8CBEE" w:themeFill="accent2" w:themeFillTint="66"/>
            <w:vAlign w:val="center"/>
          </w:tcPr>
          <w:p w:rsidR="00C12D5F" w:rsidRPr="00E05116" w:rsidRDefault="00C12D5F" w:rsidP="00C12D5F">
            <w:pPr>
              <w:pStyle w:val="cuadroCabe"/>
              <w:jc w:val="left"/>
            </w:pPr>
            <w:r>
              <w:t>Concepto</w:t>
            </w:r>
          </w:p>
        </w:tc>
        <w:tc>
          <w:tcPr>
            <w:tcW w:w="2016" w:type="dxa"/>
            <w:tcBorders>
              <w:top w:val="single" w:sz="4" w:space="0" w:color="auto"/>
              <w:bottom w:val="single" w:sz="4" w:space="0" w:color="auto"/>
            </w:tcBorders>
            <w:shd w:val="clear" w:color="auto" w:fill="A8CBEE" w:themeFill="accent2" w:themeFillTint="66"/>
            <w:vAlign w:val="center"/>
          </w:tcPr>
          <w:p w:rsidR="00C12D5F" w:rsidRPr="00074E22" w:rsidRDefault="00C12D5F" w:rsidP="00175A69">
            <w:pPr>
              <w:pStyle w:val="cuadroCabe"/>
              <w:tabs>
                <w:tab w:val="clear" w:pos="2835"/>
              </w:tabs>
              <w:jc w:val="right"/>
            </w:pPr>
            <w:r>
              <w:t>A pagar por la CFNA</w:t>
            </w:r>
          </w:p>
        </w:tc>
        <w:tc>
          <w:tcPr>
            <w:tcW w:w="2147" w:type="dxa"/>
            <w:tcBorders>
              <w:top w:val="single" w:sz="4" w:space="0" w:color="auto"/>
              <w:bottom w:val="single" w:sz="4" w:space="0" w:color="auto"/>
            </w:tcBorders>
            <w:shd w:val="clear" w:color="auto" w:fill="A8CBEE" w:themeFill="accent2" w:themeFillTint="66"/>
            <w:vAlign w:val="center"/>
          </w:tcPr>
          <w:p w:rsidR="00C12D5F" w:rsidRPr="00E05116" w:rsidRDefault="00C12D5F" w:rsidP="00106FDC">
            <w:pPr>
              <w:pStyle w:val="cuadroCabe"/>
              <w:jc w:val="right"/>
            </w:pPr>
            <w:r>
              <w:t>A ingresar por la CFN</w:t>
            </w:r>
          </w:p>
        </w:tc>
      </w:tr>
      <w:tr w:rsidR="00C12D5F" w:rsidRPr="00074E22" w:rsidTr="00175A69">
        <w:trPr>
          <w:trHeight w:hRule="exact" w:val="284"/>
          <w:jc w:val="center"/>
        </w:trPr>
        <w:tc>
          <w:tcPr>
            <w:tcW w:w="4708" w:type="dxa"/>
            <w:tcBorders>
              <w:top w:val="single" w:sz="2" w:space="0" w:color="auto"/>
              <w:bottom w:val="single" w:sz="2" w:space="0" w:color="auto"/>
            </w:tcBorders>
            <w:vAlign w:val="center"/>
          </w:tcPr>
          <w:p w:rsidR="00C12D5F" w:rsidRPr="00C12D5F" w:rsidRDefault="00C12D5F" w:rsidP="00A80FEC">
            <w:pPr>
              <w:pStyle w:val="cuatexto"/>
              <w:jc w:val="left"/>
              <w:rPr>
                <w:szCs w:val="20"/>
              </w:rPr>
            </w:pPr>
            <w:r w:rsidRPr="00C12D5F">
              <w:rPr>
                <w:szCs w:val="20"/>
              </w:rPr>
              <w:t>Regula</w:t>
            </w:r>
            <w:r w:rsidR="009B19C3">
              <w:rPr>
                <w:szCs w:val="20"/>
              </w:rPr>
              <w:t>riza</w:t>
            </w:r>
            <w:r w:rsidRPr="00C12D5F">
              <w:rPr>
                <w:szCs w:val="20"/>
              </w:rPr>
              <w:t xml:space="preserve">ción Aportación </w:t>
            </w:r>
            <w:r>
              <w:rPr>
                <w:szCs w:val="20"/>
              </w:rPr>
              <w:t>E</w:t>
            </w:r>
            <w:r w:rsidRPr="00C12D5F">
              <w:rPr>
                <w:szCs w:val="20"/>
              </w:rPr>
              <w:t>stado</w:t>
            </w:r>
            <w:r>
              <w:rPr>
                <w:szCs w:val="20"/>
              </w:rPr>
              <w:t>,</w:t>
            </w:r>
            <w:r w:rsidRPr="00C12D5F">
              <w:rPr>
                <w:szCs w:val="20"/>
              </w:rPr>
              <w:t xml:space="preserve"> 2013 y 2014</w:t>
            </w:r>
            <w:r w:rsidR="003F19E7">
              <w:rPr>
                <w:szCs w:val="20"/>
              </w:rPr>
              <w:t xml:space="preserve"> </w:t>
            </w:r>
          </w:p>
        </w:tc>
        <w:tc>
          <w:tcPr>
            <w:tcW w:w="2016" w:type="dxa"/>
            <w:tcBorders>
              <w:top w:val="single" w:sz="2" w:space="0" w:color="auto"/>
              <w:bottom w:val="single" w:sz="2" w:space="0" w:color="auto"/>
            </w:tcBorders>
            <w:vAlign w:val="center"/>
          </w:tcPr>
          <w:p w:rsidR="00C12D5F" w:rsidRPr="001330B7" w:rsidRDefault="001330B7" w:rsidP="00175A69">
            <w:pPr>
              <w:pStyle w:val="cuatexto"/>
              <w:tabs>
                <w:tab w:val="clear" w:pos="2835"/>
              </w:tabs>
              <w:jc w:val="right"/>
              <w:rPr>
                <w:szCs w:val="20"/>
              </w:rPr>
            </w:pPr>
            <w:r w:rsidRPr="001330B7">
              <w:rPr>
                <w:szCs w:val="20"/>
              </w:rPr>
              <w:t>43.585</w:t>
            </w:r>
          </w:p>
        </w:tc>
        <w:tc>
          <w:tcPr>
            <w:tcW w:w="2147" w:type="dxa"/>
            <w:tcBorders>
              <w:top w:val="single" w:sz="2" w:space="0" w:color="auto"/>
              <w:bottom w:val="single" w:sz="2" w:space="0" w:color="auto"/>
            </w:tcBorders>
            <w:vAlign w:val="center"/>
          </w:tcPr>
          <w:p w:rsidR="00C12D5F" w:rsidRPr="001330B7" w:rsidRDefault="00C12D5F" w:rsidP="00106FDC">
            <w:pPr>
              <w:pStyle w:val="cuatexto"/>
              <w:jc w:val="right"/>
              <w:rPr>
                <w:szCs w:val="20"/>
              </w:rPr>
            </w:pPr>
          </w:p>
        </w:tc>
      </w:tr>
      <w:tr w:rsidR="00491EDB" w:rsidRPr="00074E22" w:rsidTr="00A55243">
        <w:trPr>
          <w:trHeight w:hRule="exact" w:val="452"/>
          <w:jc w:val="center"/>
        </w:trPr>
        <w:tc>
          <w:tcPr>
            <w:tcW w:w="4708" w:type="dxa"/>
            <w:tcBorders>
              <w:top w:val="single" w:sz="2" w:space="0" w:color="auto"/>
              <w:bottom w:val="single" w:sz="2" w:space="0" w:color="auto"/>
            </w:tcBorders>
            <w:vAlign w:val="center"/>
          </w:tcPr>
          <w:p w:rsidR="00491EDB" w:rsidRDefault="00491EDB" w:rsidP="00BA53CB">
            <w:pPr>
              <w:pStyle w:val="cuatexto"/>
              <w:jc w:val="left"/>
              <w:rPr>
                <w:szCs w:val="20"/>
              </w:rPr>
            </w:pPr>
            <w:r>
              <w:rPr>
                <w:szCs w:val="20"/>
              </w:rPr>
              <w:t xml:space="preserve">Compensación provisional por los impuestos </w:t>
            </w:r>
            <w:r w:rsidR="00837D93">
              <w:rPr>
                <w:szCs w:val="20"/>
              </w:rPr>
              <w:t>s</w:t>
            </w:r>
            <w:r>
              <w:rPr>
                <w:szCs w:val="20"/>
              </w:rPr>
              <w:t xml:space="preserve">ector </w:t>
            </w:r>
          </w:p>
          <w:p w:rsidR="00491EDB" w:rsidRPr="00C12D5F" w:rsidRDefault="00837D93" w:rsidP="00837D93">
            <w:pPr>
              <w:pStyle w:val="cuatexto"/>
              <w:jc w:val="left"/>
              <w:rPr>
                <w:szCs w:val="20"/>
              </w:rPr>
            </w:pPr>
            <w:r>
              <w:rPr>
                <w:szCs w:val="20"/>
              </w:rPr>
              <w:t>e</w:t>
            </w:r>
            <w:r w:rsidR="00491EDB">
              <w:rPr>
                <w:szCs w:val="20"/>
              </w:rPr>
              <w:t>léctrico, 2013 y 2014</w:t>
            </w:r>
            <w:r w:rsidR="003F19E7">
              <w:rPr>
                <w:szCs w:val="20"/>
              </w:rPr>
              <w:t xml:space="preserve"> </w:t>
            </w:r>
          </w:p>
        </w:tc>
        <w:tc>
          <w:tcPr>
            <w:tcW w:w="2016" w:type="dxa"/>
            <w:tcBorders>
              <w:top w:val="single" w:sz="2" w:space="0" w:color="auto"/>
              <w:bottom w:val="single" w:sz="2" w:space="0" w:color="auto"/>
            </w:tcBorders>
            <w:vAlign w:val="center"/>
          </w:tcPr>
          <w:p w:rsidR="00491EDB" w:rsidRPr="001330B7" w:rsidRDefault="00491EDB" w:rsidP="00175A69">
            <w:pPr>
              <w:pStyle w:val="cuatexto"/>
              <w:tabs>
                <w:tab w:val="clear" w:pos="2835"/>
              </w:tabs>
              <w:jc w:val="right"/>
              <w:rPr>
                <w:szCs w:val="20"/>
              </w:rPr>
            </w:pPr>
            <w:r>
              <w:rPr>
                <w:szCs w:val="20"/>
              </w:rPr>
              <w:t>24.211</w:t>
            </w:r>
          </w:p>
        </w:tc>
        <w:tc>
          <w:tcPr>
            <w:tcW w:w="2147" w:type="dxa"/>
            <w:tcBorders>
              <w:top w:val="single" w:sz="2" w:space="0" w:color="auto"/>
              <w:bottom w:val="single" w:sz="2" w:space="0" w:color="auto"/>
            </w:tcBorders>
            <w:vAlign w:val="center"/>
          </w:tcPr>
          <w:p w:rsidR="00491EDB" w:rsidRPr="001330B7" w:rsidRDefault="00491EDB" w:rsidP="00106FDC">
            <w:pPr>
              <w:pStyle w:val="cuatexto"/>
              <w:jc w:val="right"/>
              <w:rPr>
                <w:szCs w:val="20"/>
              </w:rPr>
            </w:pPr>
          </w:p>
        </w:tc>
      </w:tr>
      <w:tr w:rsidR="00491EDB" w:rsidRPr="00074E22" w:rsidTr="00175A69">
        <w:trPr>
          <w:trHeight w:hRule="exact" w:val="284"/>
          <w:jc w:val="center"/>
        </w:trPr>
        <w:tc>
          <w:tcPr>
            <w:tcW w:w="4708" w:type="dxa"/>
            <w:tcBorders>
              <w:top w:val="single" w:sz="2" w:space="0" w:color="auto"/>
              <w:bottom w:val="single" w:sz="2" w:space="0" w:color="auto"/>
            </w:tcBorders>
            <w:vAlign w:val="center"/>
          </w:tcPr>
          <w:p w:rsidR="00491EDB" w:rsidRPr="00C12D5F" w:rsidRDefault="00491EDB" w:rsidP="009B19C3">
            <w:pPr>
              <w:pStyle w:val="cuatexto"/>
              <w:jc w:val="left"/>
              <w:rPr>
                <w:szCs w:val="20"/>
              </w:rPr>
            </w:pPr>
            <w:r>
              <w:rPr>
                <w:szCs w:val="20"/>
              </w:rPr>
              <w:t>Regularización Ajuste I. Hidrocarburos, 2013 y 2014</w:t>
            </w:r>
          </w:p>
        </w:tc>
        <w:tc>
          <w:tcPr>
            <w:tcW w:w="2016" w:type="dxa"/>
            <w:tcBorders>
              <w:top w:val="single" w:sz="2" w:space="0" w:color="auto"/>
              <w:bottom w:val="single" w:sz="2" w:space="0" w:color="auto"/>
            </w:tcBorders>
            <w:vAlign w:val="center"/>
          </w:tcPr>
          <w:p w:rsidR="00491EDB" w:rsidRPr="001330B7" w:rsidRDefault="00491EDB" w:rsidP="00175A69">
            <w:pPr>
              <w:pStyle w:val="cuatexto"/>
              <w:tabs>
                <w:tab w:val="clear" w:pos="2835"/>
              </w:tabs>
              <w:jc w:val="right"/>
              <w:rPr>
                <w:szCs w:val="20"/>
              </w:rPr>
            </w:pPr>
            <w:r>
              <w:rPr>
                <w:szCs w:val="20"/>
              </w:rPr>
              <w:t>27.124</w:t>
            </w:r>
          </w:p>
        </w:tc>
        <w:tc>
          <w:tcPr>
            <w:tcW w:w="2147" w:type="dxa"/>
            <w:tcBorders>
              <w:top w:val="single" w:sz="2" w:space="0" w:color="auto"/>
              <w:bottom w:val="single" w:sz="2" w:space="0" w:color="auto"/>
            </w:tcBorders>
            <w:vAlign w:val="center"/>
          </w:tcPr>
          <w:p w:rsidR="00491EDB" w:rsidRPr="001330B7" w:rsidRDefault="00491EDB" w:rsidP="00106FDC">
            <w:pPr>
              <w:pStyle w:val="cuatexto"/>
              <w:jc w:val="right"/>
              <w:rPr>
                <w:szCs w:val="20"/>
              </w:rPr>
            </w:pPr>
          </w:p>
        </w:tc>
      </w:tr>
      <w:tr w:rsidR="00491EDB" w:rsidRPr="00175A69" w:rsidTr="00175A69">
        <w:trPr>
          <w:trHeight w:hRule="exact" w:val="284"/>
          <w:jc w:val="center"/>
        </w:trPr>
        <w:tc>
          <w:tcPr>
            <w:tcW w:w="4708" w:type="dxa"/>
            <w:tcBorders>
              <w:top w:val="single" w:sz="2" w:space="0" w:color="auto"/>
              <w:bottom w:val="single" w:sz="2" w:space="0" w:color="auto"/>
            </w:tcBorders>
            <w:vAlign w:val="center"/>
          </w:tcPr>
          <w:p w:rsidR="00491EDB" w:rsidRPr="00175A69" w:rsidRDefault="00491EDB" w:rsidP="00240670">
            <w:pPr>
              <w:pStyle w:val="cuatexto"/>
              <w:jc w:val="left"/>
              <w:rPr>
                <w:b/>
                <w:szCs w:val="20"/>
              </w:rPr>
            </w:pPr>
            <w:r w:rsidRPr="00175A69">
              <w:rPr>
                <w:b/>
                <w:szCs w:val="20"/>
              </w:rPr>
              <w:t>Total a pagar por la CFNA</w:t>
            </w:r>
          </w:p>
        </w:tc>
        <w:tc>
          <w:tcPr>
            <w:tcW w:w="2016" w:type="dxa"/>
            <w:tcBorders>
              <w:top w:val="single" w:sz="2" w:space="0" w:color="auto"/>
              <w:bottom w:val="single" w:sz="2" w:space="0" w:color="auto"/>
            </w:tcBorders>
            <w:vAlign w:val="center"/>
          </w:tcPr>
          <w:p w:rsidR="00491EDB" w:rsidRPr="00175A69" w:rsidRDefault="00491EDB" w:rsidP="00175A69">
            <w:pPr>
              <w:pStyle w:val="cuatexto"/>
              <w:tabs>
                <w:tab w:val="clear" w:pos="2835"/>
              </w:tabs>
              <w:jc w:val="right"/>
              <w:rPr>
                <w:b/>
                <w:szCs w:val="20"/>
              </w:rPr>
            </w:pPr>
            <w:r w:rsidRPr="00175A69">
              <w:rPr>
                <w:b/>
                <w:szCs w:val="20"/>
              </w:rPr>
              <w:t>94.920</w:t>
            </w:r>
          </w:p>
        </w:tc>
        <w:tc>
          <w:tcPr>
            <w:tcW w:w="2147" w:type="dxa"/>
            <w:tcBorders>
              <w:top w:val="single" w:sz="2" w:space="0" w:color="auto"/>
              <w:bottom w:val="single" w:sz="2" w:space="0" w:color="auto"/>
            </w:tcBorders>
            <w:vAlign w:val="center"/>
          </w:tcPr>
          <w:p w:rsidR="00491EDB" w:rsidRPr="00175A69" w:rsidRDefault="00491EDB" w:rsidP="00106FDC">
            <w:pPr>
              <w:pStyle w:val="cuatexto"/>
              <w:jc w:val="right"/>
              <w:rPr>
                <w:b/>
                <w:szCs w:val="20"/>
              </w:rPr>
            </w:pPr>
          </w:p>
        </w:tc>
      </w:tr>
      <w:tr w:rsidR="00491EDB" w:rsidRPr="00074E22" w:rsidTr="00175A69">
        <w:trPr>
          <w:trHeight w:hRule="exact" w:val="284"/>
          <w:jc w:val="center"/>
        </w:trPr>
        <w:tc>
          <w:tcPr>
            <w:tcW w:w="4708" w:type="dxa"/>
            <w:tcBorders>
              <w:top w:val="single" w:sz="2" w:space="0" w:color="auto"/>
              <w:bottom w:val="single" w:sz="2" w:space="0" w:color="auto"/>
            </w:tcBorders>
            <w:vAlign w:val="center"/>
          </w:tcPr>
          <w:p w:rsidR="00491EDB" w:rsidRPr="00C12D5F" w:rsidRDefault="00491EDB" w:rsidP="00106FDC">
            <w:pPr>
              <w:pStyle w:val="cuatexto"/>
              <w:jc w:val="left"/>
              <w:rPr>
                <w:szCs w:val="20"/>
              </w:rPr>
            </w:pPr>
            <w:r>
              <w:rPr>
                <w:szCs w:val="20"/>
              </w:rPr>
              <w:t>Retenciones gravamen especial sobre premios de loterías y apuestas, 2013 y 2014</w:t>
            </w:r>
          </w:p>
        </w:tc>
        <w:tc>
          <w:tcPr>
            <w:tcW w:w="2016" w:type="dxa"/>
            <w:tcBorders>
              <w:top w:val="single" w:sz="2" w:space="0" w:color="auto"/>
              <w:bottom w:val="single" w:sz="2" w:space="0" w:color="auto"/>
            </w:tcBorders>
            <w:vAlign w:val="center"/>
          </w:tcPr>
          <w:p w:rsidR="00491EDB" w:rsidRPr="001330B7" w:rsidRDefault="00491EDB" w:rsidP="00175A69">
            <w:pPr>
              <w:pStyle w:val="cuatexto"/>
              <w:tabs>
                <w:tab w:val="clear" w:pos="2835"/>
              </w:tabs>
              <w:jc w:val="right"/>
              <w:rPr>
                <w:szCs w:val="20"/>
              </w:rPr>
            </w:pPr>
          </w:p>
        </w:tc>
        <w:tc>
          <w:tcPr>
            <w:tcW w:w="2147" w:type="dxa"/>
            <w:tcBorders>
              <w:top w:val="single" w:sz="2" w:space="0" w:color="auto"/>
              <w:bottom w:val="single" w:sz="2" w:space="0" w:color="auto"/>
            </w:tcBorders>
            <w:vAlign w:val="center"/>
          </w:tcPr>
          <w:p w:rsidR="00491EDB" w:rsidRPr="001330B7" w:rsidRDefault="00491EDB" w:rsidP="00106FDC">
            <w:pPr>
              <w:pStyle w:val="cuatexto"/>
              <w:jc w:val="right"/>
              <w:rPr>
                <w:szCs w:val="20"/>
              </w:rPr>
            </w:pPr>
            <w:r>
              <w:rPr>
                <w:szCs w:val="20"/>
              </w:rPr>
              <w:t>17.914</w:t>
            </w:r>
          </w:p>
        </w:tc>
      </w:tr>
      <w:tr w:rsidR="00491EDB" w:rsidRPr="00074E22" w:rsidTr="00175A69">
        <w:trPr>
          <w:trHeight w:hRule="exact" w:val="284"/>
          <w:jc w:val="center"/>
        </w:trPr>
        <w:tc>
          <w:tcPr>
            <w:tcW w:w="4708" w:type="dxa"/>
            <w:tcBorders>
              <w:top w:val="single" w:sz="2" w:space="0" w:color="auto"/>
              <w:bottom w:val="single" w:sz="2" w:space="0" w:color="auto"/>
            </w:tcBorders>
            <w:vAlign w:val="center"/>
          </w:tcPr>
          <w:p w:rsidR="00491EDB" w:rsidRPr="00C12D5F" w:rsidRDefault="00491EDB" w:rsidP="001330B7">
            <w:pPr>
              <w:pStyle w:val="cuatexto"/>
              <w:jc w:val="left"/>
              <w:rPr>
                <w:szCs w:val="20"/>
              </w:rPr>
            </w:pPr>
            <w:r>
              <w:rPr>
                <w:szCs w:val="20"/>
              </w:rPr>
              <w:t>Impuestos sobre depósitos en entidades de crédito, 2014</w:t>
            </w:r>
          </w:p>
        </w:tc>
        <w:tc>
          <w:tcPr>
            <w:tcW w:w="2016" w:type="dxa"/>
            <w:tcBorders>
              <w:top w:val="single" w:sz="2" w:space="0" w:color="auto"/>
              <w:bottom w:val="single" w:sz="2" w:space="0" w:color="auto"/>
            </w:tcBorders>
            <w:vAlign w:val="center"/>
          </w:tcPr>
          <w:p w:rsidR="00491EDB" w:rsidRPr="001330B7" w:rsidRDefault="00491EDB" w:rsidP="00175A69">
            <w:pPr>
              <w:pStyle w:val="cuatexto"/>
              <w:tabs>
                <w:tab w:val="clear" w:pos="2835"/>
              </w:tabs>
              <w:jc w:val="right"/>
              <w:rPr>
                <w:szCs w:val="20"/>
              </w:rPr>
            </w:pPr>
          </w:p>
        </w:tc>
        <w:tc>
          <w:tcPr>
            <w:tcW w:w="2147" w:type="dxa"/>
            <w:tcBorders>
              <w:top w:val="single" w:sz="2" w:space="0" w:color="auto"/>
              <w:bottom w:val="single" w:sz="2" w:space="0" w:color="auto"/>
            </w:tcBorders>
            <w:vAlign w:val="center"/>
          </w:tcPr>
          <w:p w:rsidR="00491EDB" w:rsidRPr="001330B7" w:rsidRDefault="00491EDB" w:rsidP="00106FDC">
            <w:pPr>
              <w:pStyle w:val="cuatexto"/>
              <w:jc w:val="right"/>
              <w:rPr>
                <w:szCs w:val="20"/>
              </w:rPr>
            </w:pPr>
            <w:r>
              <w:rPr>
                <w:szCs w:val="20"/>
              </w:rPr>
              <w:t>1.703</w:t>
            </w:r>
          </w:p>
        </w:tc>
      </w:tr>
      <w:tr w:rsidR="00491EDB" w:rsidRPr="00074E22" w:rsidTr="00175A69">
        <w:trPr>
          <w:trHeight w:hRule="exact" w:val="284"/>
          <w:jc w:val="center"/>
        </w:trPr>
        <w:tc>
          <w:tcPr>
            <w:tcW w:w="4708" w:type="dxa"/>
            <w:tcBorders>
              <w:top w:val="single" w:sz="2" w:space="0" w:color="auto"/>
              <w:bottom w:val="single" w:sz="2" w:space="0" w:color="auto"/>
            </w:tcBorders>
            <w:vAlign w:val="center"/>
          </w:tcPr>
          <w:p w:rsidR="00491EDB" w:rsidRPr="00C12D5F" w:rsidRDefault="00491EDB" w:rsidP="001330B7">
            <w:pPr>
              <w:pStyle w:val="cuatexto"/>
              <w:jc w:val="left"/>
              <w:rPr>
                <w:szCs w:val="20"/>
              </w:rPr>
            </w:pPr>
            <w:r>
              <w:rPr>
                <w:szCs w:val="20"/>
              </w:rPr>
              <w:t>Impuestos sobre actividades de juego, 2012 a 2014</w:t>
            </w:r>
          </w:p>
        </w:tc>
        <w:tc>
          <w:tcPr>
            <w:tcW w:w="2016" w:type="dxa"/>
            <w:tcBorders>
              <w:top w:val="single" w:sz="2" w:space="0" w:color="auto"/>
              <w:bottom w:val="single" w:sz="2" w:space="0" w:color="auto"/>
            </w:tcBorders>
            <w:vAlign w:val="center"/>
          </w:tcPr>
          <w:p w:rsidR="00491EDB" w:rsidRPr="001330B7" w:rsidRDefault="00491EDB" w:rsidP="00175A69">
            <w:pPr>
              <w:pStyle w:val="cuatexto"/>
              <w:tabs>
                <w:tab w:val="clear" w:pos="2835"/>
              </w:tabs>
              <w:jc w:val="right"/>
              <w:rPr>
                <w:szCs w:val="20"/>
              </w:rPr>
            </w:pPr>
          </w:p>
        </w:tc>
        <w:tc>
          <w:tcPr>
            <w:tcW w:w="2147" w:type="dxa"/>
            <w:tcBorders>
              <w:top w:val="single" w:sz="2" w:space="0" w:color="auto"/>
              <w:bottom w:val="single" w:sz="2" w:space="0" w:color="auto"/>
            </w:tcBorders>
            <w:vAlign w:val="center"/>
          </w:tcPr>
          <w:p w:rsidR="00491EDB" w:rsidRPr="001330B7" w:rsidRDefault="00491EDB" w:rsidP="00106FDC">
            <w:pPr>
              <w:pStyle w:val="cuatexto"/>
              <w:jc w:val="right"/>
              <w:rPr>
                <w:szCs w:val="20"/>
              </w:rPr>
            </w:pPr>
            <w:r>
              <w:rPr>
                <w:szCs w:val="20"/>
              </w:rPr>
              <w:t>2.481</w:t>
            </w:r>
          </w:p>
        </w:tc>
      </w:tr>
      <w:tr w:rsidR="00491EDB" w:rsidRPr="00175A69" w:rsidTr="00175A69">
        <w:trPr>
          <w:trHeight w:hRule="exact" w:val="284"/>
          <w:jc w:val="center"/>
        </w:trPr>
        <w:tc>
          <w:tcPr>
            <w:tcW w:w="4708" w:type="dxa"/>
            <w:tcBorders>
              <w:top w:val="single" w:sz="2" w:space="0" w:color="auto"/>
              <w:bottom w:val="single" w:sz="2" w:space="0" w:color="auto"/>
            </w:tcBorders>
            <w:vAlign w:val="center"/>
          </w:tcPr>
          <w:p w:rsidR="00491EDB" w:rsidRPr="00175A69" w:rsidRDefault="00491EDB" w:rsidP="00240670">
            <w:pPr>
              <w:pStyle w:val="cuatexto"/>
              <w:jc w:val="left"/>
              <w:rPr>
                <w:b/>
                <w:szCs w:val="20"/>
              </w:rPr>
            </w:pPr>
            <w:r w:rsidRPr="00175A69">
              <w:rPr>
                <w:b/>
                <w:szCs w:val="20"/>
              </w:rPr>
              <w:t>Total a ingresar por CFNA</w:t>
            </w:r>
          </w:p>
        </w:tc>
        <w:tc>
          <w:tcPr>
            <w:tcW w:w="2016" w:type="dxa"/>
            <w:tcBorders>
              <w:top w:val="single" w:sz="2" w:space="0" w:color="auto"/>
              <w:bottom w:val="single" w:sz="2" w:space="0" w:color="auto"/>
            </w:tcBorders>
            <w:vAlign w:val="center"/>
          </w:tcPr>
          <w:p w:rsidR="00491EDB" w:rsidRPr="00175A69" w:rsidRDefault="00491EDB" w:rsidP="00175A69">
            <w:pPr>
              <w:pStyle w:val="cuatexto"/>
              <w:tabs>
                <w:tab w:val="clear" w:pos="2835"/>
              </w:tabs>
              <w:jc w:val="right"/>
              <w:rPr>
                <w:b/>
                <w:szCs w:val="20"/>
              </w:rPr>
            </w:pPr>
          </w:p>
        </w:tc>
        <w:tc>
          <w:tcPr>
            <w:tcW w:w="2147" w:type="dxa"/>
            <w:tcBorders>
              <w:top w:val="single" w:sz="2" w:space="0" w:color="auto"/>
              <w:bottom w:val="single" w:sz="2" w:space="0" w:color="auto"/>
            </w:tcBorders>
            <w:vAlign w:val="center"/>
          </w:tcPr>
          <w:p w:rsidR="00491EDB" w:rsidRPr="00175A69" w:rsidRDefault="00491EDB" w:rsidP="00106FDC">
            <w:pPr>
              <w:pStyle w:val="cuatexto"/>
              <w:jc w:val="right"/>
              <w:rPr>
                <w:b/>
                <w:szCs w:val="20"/>
              </w:rPr>
            </w:pPr>
            <w:r w:rsidRPr="00175A69">
              <w:rPr>
                <w:b/>
                <w:szCs w:val="20"/>
              </w:rPr>
              <w:t>22.098</w:t>
            </w:r>
          </w:p>
        </w:tc>
      </w:tr>
      <w:tr w:rsidR="00106FDC" w:rsidRPr="00106FDC" w:rsidTr="00175A69">
        <w:trPr>
          <w:trHeight w:hRule="exact" w:val="284"/>
          <w:jc w:val="center"/>
        </w:trPr>
        <w:tc>
          <w:tcPr>
            <w:tcW w:w="4708" w:type="dxa"/>
            <w:tcBorders>
              <w:top w:val="single" w:sz="2" w:space="0" w:color="auto"/>
              <w:bottom w:val="single" w:sz="2" w:space="0" w:color="auto"/>
            </w:tcBorders>
            <w:shd w:val="clear" w:color="auto" w:fill="A8CBEE" w:themeFill="accent2" w:themeFillTint="66"/>
            <w:vAlign w:val="center"/>
          </w:tcPr>
          <w:p w:rsidR="00106FDC" w:rsidRPr="00106FDC" w:rsidRDefault="00106FDC" w:rsidP="00240670">
            <w:pPr>
              <w:pStyle w:val="cuatexto"/>
              <w:jc w:val="left"/>
              <w:rPr>
                <w:rFonts w:ascii="Arial" w:hAnsi="Arial" w:cs="Arial"/>
                <w:sz w:val="18"/>
                <w:szCs w:val="18"/>
              </w:rPr>
            </w:pPr>
            <w:r w:rsidRPr="00106FDC">
              <w:rPr>
                <w:rFonts w:ascii="Arial" w:hAnsi="Arial" w:cs="Arial"/>
                <w:sz w:val="18"/>
                <w:szCs w:val="18"/>
              </w:rPr>
              <w:t>Saldo neto a favor del Estado</w:t>
            </w:r>
          </w:p>
        </w:tc>
        <w:tc>
          <w:tcPr>
            <w:tcW w:w="2016" w:type="dxa"/>
            <w:tcBorders>
              <w:top w:val="single" w:sz="2" w:space="0" w:color="auto"/>
              <w:bottom w:val="single" w:sz="2" w:space="0" w:color="auto"/>
            </w:tcBorders>
            <w:shd w:val="clear" w:color="auto" w:fill="A8CBEE" w:themeFill="accent2" w:themeFillTint="66"/>
            <w:vAlign w:val="center"/>
          </w:tcPr>
          <w:p w:rsidR="00106FDC" w:rsidRPr="00106FDC" w:rsidRDefault="00106FDC" w:rsidP="00175A69">
            <w:pPr>
              <w:pStyle w:val="cuatexto"/>
              <w:tabs>
                <w:tab w:val="clear" w:pos="2835"/>
              </w:tabs>
              <w:jc w:val="right"/>
              <w:rPr>
                <w:rFonts w:ascii="Arial" w:hAnsi="Arial" w:cs="Arial"/>
                <w:sz w:val="18"/>
                <w:szCs w:val="18"/>
              </w:rPr>
            </w:pPr>
          </w:p>
        </w:tc>
        <w:tc>
          <w:tcPr>
            <w:tcW w:w="2147" w:type="dxa"/>
            <w:tcBorders>
              <w:top w:val="single" w:sz="2" w:space="0" w:color="auto"/>
              <w:bottom w:val="single" w:sz="2" w:space="0" w:color="auto"/>
            </w:tcBorders>
            <w:shd w:val="clear" w:color="auto" w:fill="A8CBEE" w:themeFill="accent2" w:themeFillTint="66"/>
            <w:vAlign w:val="center"/>
          </w:tcPr>
          <w:p w:rsidR="00106FDC" w:rsidRPr="00106FDC" w:rsidRDefault="00106FDC" w:rsidP="00106FDC">
            <w:pPr>
              <w:pStyle w:val="cuatexto"/>
              <w:jc w:val="right"/>
              <w:rPr>
                <w:rFonts w:ascii="Arial" w:hAnsi="Arial" w:cs="Arial"/>
                <w:sz w:val="18"/>
                <w:szCs w:val="18"/>
              </w:rPr>
            </w:pPr>
            <w:r w:rsidRPr="00106FDC">
              <w:rPr>
                <w:rFonts w:ascii="Arial" w:hAnsi="Arial" w:cs="Arial"/>
                <w:sz w:val="18"/>
                <w:szCs w:val="18"/>
              </w:rPr>
              <w:t>72.822</w:t>
            </w:r>
          </w:p>
        </w:tc>
      </w:tr>
    </w:tbl>
    <w:p w:rsidR="00106FDC" w:rsidRDefault="00106FDC" w:rsidP="001E7B19">
      <w:pPr>
        <w:pStyle w:val="texto"/>
        <w:spacing w:after="120"/>
        <w:rPr>
          <w:lang w:val="es-ES"/>
        </w:rPr>
      </w:pPr>
    </w:p>
    <w:p w:rsidR="001C1D99" w:rsidRPr="001C1D99" w:rsidRDefault="00582BC4" w:rsidP="00071FC3">
      <w:pPr>
        <w:pStyle w:val="atitulo3"/>
        <w:rPr>
          <w:lang w:val="es-ES"/>
        </w:rPr>
      </w:pPr>
      <w:r>
        <w:rPr>
          <w:lang w:val="es-ES"/>
        </w:rPr>
        <w:t>E</w:t>
      </w:r>
      <w:r w:rsidRPr="001C1D99">
        <w:rPr>
          <w:lang w:val="es-ES"/>
        </w:rPr>
        <w:t>volución 2011 a 2015</w:t>
      </w:r>
      <w:r>
        <w:rPr>
          <w:lang w:val="es-ES"/>
        </w:rPr>
        <w:t xml:space="preserve"> de los g</w:t>
      </w:r>
      <w:r w:rsidR="001C1D99" w:rsidRPr="001C1D99">
        <w:rPr>
          <w:lang w:val="es-ES"/>
        </w:rPr>
        <w:t>astos e ingresos</w:t>
      </w:r>
      <w:r w:rsidR="00BC1EBE">
        <w:rPr>
          <w:lang w:val="es-ES"/>
        </w:rPr>
        <w:t xml:space="preserve"> presupuestarios</w:t>
      </w:r>
      <w:r w:rsidR="001C1D99" w:rsidRPr="001C1D99">
        <w:rPr>
          <w:lang w:val="es-ES"/>
        </w:rPr>
        <w:t xml:space="preserve"> derivados del </w:t>
      </w:r>
      <w:r w:rsidR="00BC1EBE">
        <w:rPr>
          <w:lang w:val="es-ES"/>
        </w:rPr>
        <w:t>C</w:t>
      </w:r>
      <w:r w:rsidR="001C1D99" w:rsidRPr="001C1D99">
        <w:rPr>
          <w:lang w:val="es-ES"/>
        </w:rPr>
        <w:t xml:space="preserve">onvenio </w:t>
      </w:r>
    </w:p>
    <w:p w:rsidR="004011C4" w:rsidRPr="003640F7" w:rsidRDefault="002E5E76" w:rsidP="003640F7">
      <w:pPr>
        <w:pStyle w:val="texto"/>
        <w:spacing w:after="240"/>
        <w:rPr>
          <w:spacing w:val="2"/>
          <w:lang w:val="es-ES"/>
        </w:rPr>
      </w:pPr>
      <w:r w:rsidRPr="003640F7">
        <w:rPr>
          <w:spacing w:val="2"/>
          <w:lang w:val="es-ES"/>
        </w:rPr>
        <w:t>E</w:t>
      </w:r>
      <w:r w:rsidR="001A3864" w:rsidRPr="003640F7">
        <w:rPr>
          <w:spacing w:val="2"/>
          <w:lang w:val="es-ES"/>
        </w:rPr>
        <w:t>n el cuadro siguiente se muestra</w:t>
      </w:r>
      <w:r w:rsidR="003640F7" w:rsidRPr="003640F7">
        <w:rPr>
          <w:spacing w:val="2"/>
          <w:lang w:val="es-ES"/>
        </w:rPr>
        <w:t>, en miles de euros,</w:t>
      </w:r>
      <w:r w:rsidR="001A3864" w:rsidRPr="003640F7">
        <w:rPr>
          <w:spacing w:val="2"/>
          <w:lang w:val="es-ES"/>
        </w:rPr>
        <w:t xml:space="preserve"> la evolución de las principales partidas</w:t>
      </w:r>
      <w:r w:rsidRPr="003640F7">
        <w:rPr>
          <w:spacing w:val="2"/>
          <w:lang w:val="es-ES"/>
        </w:rPr>
        <w:t xml:space="preserve"> presupuestarias</w:t>
      </w:r>
      <w:r w:rsidR="001A3864" w:rsidRPr="003640F7">
        <w:rPr>
          <w:spacing w:val="2"/>
          <w:lang w:val="es-ES"/>
        </w:rPr>
        <w:t xml:space="preserve"> del Convenio para el periodo de 2011 a 2015</w:t>
      </w:r>
      <w:r w:rsidR="003640F7" w:rsidRPr="003640F7">
        <w:rPr>
          <w:spacing w:val="2"/>
          <w:lang w:val="es-ES"/>
        </w:rPr>
        <w:t>.</w:t>
      </w:r>
    </w:p>
    <w:tbl>
      <w:tblPr>
        <w:tblW w:w="8789" w:type="dxa"/>
        <w:tblInd w:w="70"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261"/>
        <w:gridCol w:w="992"/>
        <w:gridCol w:w="850"/>
        <w:gridCol w:w="993"/>
        <w:gridCol w:w="992"/>
        <w:gridCol w:w="850"/>
        <w:gridCol w:w="851"/>
      </w:tblGrid>
      <w:tr w:rsidR="004011C4" w:rsidRPr="003640F7" w:rsidTr="003640F7">
        <w:trPr>
          <w:trHeight w:val="270"/>
        </w:trPr>
        <w:tc>
          <w:tcPr>
            <w:tcW w:w="3261" w:type="dxa"/>
            <w:shd w:val="clear" w:color="auto" w:fill="A8CBEE" w:themeFill="accent2" w:themeFillTint="66"/>
            <w:vAlign w:val="center"/>
            <w:hideMark/>
          </w:tcPr>
          <w:p w:rsidR="004011C4" w:rsidRPr="003640F7" w:rsidRDefault="004011C4" w:rsidP="003640F7">
            <w:pPr>
              <w:pStyle w:val="cuadroCabe"/>
              <w:tabs>
                <w:tab w:val="clear" w:pos="2835"/>
                <w:tab w:val="clear" w:pos="3969"/>
              </w:tabs>
              <w:jc w:val="center"/>
              <w:rPr>
                <w:lang w:val="es-ES"/>
              </w:rPr>
            </w:pPr>
            <w:r w:rsidRPr="003640F7">
              <w:rPr>
                <w:lang w:val="es-ES"/>
              </w:rPr>
              <w:t xml:space="preserve">Convenio-Partidas Presupuestarias </w:t>
            </w:r>
          </w:p>
        </w:tc>
        <w:tc>
          <w:tcPr>
            <w:tcW w:w="992" w:type="dxa"/>
            <w:shd w:val="clear" w:color="auto" w:fill="A8CBEE" w:themeFill="accent2" w:themeFillTint="66"/>
            <w:vAlign w:val="center"/>
          </w:tcPr>
          <w:p w:rsidR="004011C4" w:rsidRPr="003640F7" w:rsidRDefault="004011C4" w:rsidP="003640F7">
            <w:pPr>
              <w:pStyle w:val="cuadroCabe"/>
              <w:jc w:val="center"/>
              <w:rPr>
                <w:lang w:val="es-ES"/>
              </w:rPr>
            </w:pPr>
            <w:r w:rsidRPr="003640F7">
              <w:rPr>
                <w:lang w:val="es-ES"/>
              </w:rPr>
              <w:t>2011</w:t>
            </w:r>
          </w:p>
        </w:tc>
        <w:tc>
          <w:tcPr>
            <w:tcW w:w="850" w:type="dxa"/>
            <w:shd w:val="clear" w:color="auto" w:fill="A8CBEE" w:themeFill="accent2" w:themeFillTint="66"/>
            <w:vAlign w:val="center"/>
          </w:tcPr>
          <w:p w:rsidR="004011C4" w:rsidRPr="003640F7" w:rsidRDefault="004011C4" w:rsidP="003640F7">
            <w:pPr>
              <w:pStyle w:val="cuadroCabe"/>
              <w:jc w:val="center"/>
              <w:rPr>
                <w:lang w:val="es-ES"/>
              </w:rPr>
            </w:pPr>
            <w:r w:rsidRPr="003640F7">
              <w:rPr>
                <w:lang w:val="es-ES"/>
              </w:rPr>
              <w:t>2012</w:t>
            </w:r>
          </w:p>
        </w:tc>
        <w:tc>
          <w:tcPr>
            <w:tcW w:w="993" w:type="dxa"/>
            <w:shd w:val="clear" w:color="auto" w:fill="A8CBEE" w:themeFill="accent2" w:themeFillTint="66"/>
            <w:vAlign w:val="center"/>
          </w:tcPr>
          <w:p w:rsidR="004011C4" w:rsidRPr="003640F7" w:rsidRDefault="004011C4" w:rsidP="003640F7">
            <w:pPr>
              <w:pStyle w:val="cuadroCabe"/>
              <w:jc w:val="center"/>
              <w:rPr>
                <w:lang w:val="es-ES"/>
              </w:rPr>
            </w:pPr>
            <w:r w:rsidRPr="003640F7">
              <w:rPr>
                <w:lang w:val="es-ES"/>
              </w:rPr>
              <w:t>2013</w:t>
            </w:r>
          </w:p>
        </w:tc>
        <w:tc>
          <w:tcPr>
            <w:tcW w:w="992" w:type="dxa"/>
            <w:shd w:val="clear" w:color="auto" w:fill="A8CBEE" w:themeFill="accent2" w:themeFillTint="66"/>
            <w:vAlign w:val="center"/>
          </w:tcPr>
          <w:p w:rsidR="004011C4" w:rsidRPr="003640F7" w:rsidRDefault="004011C4" w:rsidP="003640F7">
            <w:pPr>
              <w:pStyle w:val="cuadroCabe"/>
              <w:jc w:val="center"/>
              <w:rPr>
                <w:lang w:val="es-ES"/>
              </w:rPr>
            </w:pPr>
            <w:r w:rsidRPr="003640F7">
              <w:rPr>
                <w:lang w:val="es-ES"/>
              </w:rPr>
              <w:t>2014</w:t>
            </w:r>
          </w:p>
        </w:tc>
        <w:tc>
          <w:tcPr>
            <w:tcW w:w="850" w:type="dxa"/>
            <w:shd w:val="clear" w:color="auto" w:fill="A8CBEE" w:themeFill="accent2" w:themeFillTint="66"/>
            <w:vAlign w:val="center"/>
          </w:tcPr>
          <w:p w:rsidR="004011C4" w:rsidRPr="003640F7" w:rsidRDefault="004011C4" w:rsidP="003640F7">
            <w:pPr>
              <w:pStyle w:val="cuadroCabe"/>
              <w:jc w:val="center"/>
              <w:rPr>
                <w:lang w:val="es-ES"/>
              </w:rPr>
            </w:pPr>
            <w:r w:rsidRPr="003640F7">
              <w:rPr>
                <w:lang w:val="es-ES"/>
              </w:rPr>
              <w:t>2015</w:t>
            </w:r>
          </w:p>
        </w:tc>
        <w:tc>
          <w:tcPr>
            <w:tcW w:w="851" w:type="dxa"/>
            <w:shd w:val="clear" w:color="auto" w:fill="A8CBEE" w:themeFill="accent2" w:themeFillTint="66"/>
            <w:vAlign w:val="center"/>
          </w:tcPr>
          <w:p w:rsidR="004011C4" w:rsidRPr="003640F7" w:rsidRDefault="00F33DBB" w:rsidP="003640F7">
            <w:pPr>
              <w:pStyle w:val="cuadroCabe"/>
              <w:jc w:val="center"/>
              <w:rPr>
                <w:lang w:val="es-ES"/>
              </w:rPr>
            </w:pPr>
            <w:r>
              <w:rPr>
                <w:lang w:val="es-ES"/>
              </w:rPr>
              <w:t>%Varia.</w:t>
            </w:r>
          </w:p>
          <w:p w:rsidR="004011C4" w:rsidRPr="003640F7" w:rsidRDefault="004011C4" w:rsidP="003640F7">
            <w:pPr>
              <w:pStyle w:val="cuadroCabe"/>
              <w:jc w:val="center"/>
              <w:rPr>
                <w:lang w:val="es-ES"/>
              </w:rPr>
            </w:pPr>
            <w:r w:rsidRPr="003640F7">
              <w:rPr>
                <w:lang w:val="es-ES"/>
              </w:rPr>
              <w:t>15/11</w:t>
            </w:r>
          </w:p>
        </w:tc>
      </w:tr>
      <w:tr w:rsidR="004011C4" w:rsidTr="003640F7">
        <w:trPr>
          <w:trHeight w:val="270"/>
        </w:trPr>
        <w:tc>
          <w:tcPr>
            <w:tcW w:w="3261" w:type="dxa"/>
            <w:vAlign w:val="center"/>
            <w:hideMark/>
          </w:tcPr>
          <w:p w:rsidR="004011C4" w:rsidRPr="00EB5F7D" w:rsidRDefault="004011C4" w:rsidP="003640F7">
            <w:pPr>
              <w:pStyle w:val="cuatexto"/>
              <w:tabs>
                <w:tab w:val="clear" w:pos="2835"/>
                <w:tab w:val="clear" w:pos="3969"/>
              </w:tabs>
              <w:jc w:val="left"/>
              <w:rPr>
                <w:szCs w:val="20"/>
              </w:rPr>
            </w:pPr>
            <w:r w:rsidRPr="00EB5F7D">
              <w:rPr>
                <w:szCs w:val="20"/>
              </w:rPr>
              <w:t>Aportación al Estado</w:t>
            </w:r>
          </w:p>
        </w:tc>
        <w:tc>
          <w:tcPr>
            <w:tcW w:w="992" w:type="dxa"/>
            <w:vAlign w:val="center"/>
          </w:tcPr>
          <w:p w:rsidR="004011C4" w:rsidRPr="00EB5F7D" w:rsidRDefault="004011C4" w:rsidP="003640F7">
            <w:pPr>
              <w:pStyle w:val="cuatexto"/>
              <w:jc w:val="right"/>
              <w:rPr>
                <w:szCs w:val="20"/>
              </w:rPr>
            </w:pPr>
            <w:r w:rsidRPr="00EB5F7D">
              <w:rPr>
                <w:szCs w:val="20"/>
              </w:rPr>
              <w:t>498.106</w:t>
            </w:r>
          </w:p>
        </w:tc>
        <w:tc>
          <w:tcPr>
            <w:tcW w:w="850" w:type="dxa"/>
            <w:vAlign w:val="center"/>
          </w:tcPr>
          <w:p w:rsidR="004011C4" w:rsidRPr="00EB5F7D" w:rsidRDefault="004011C4" w:rsidP="003640F7">
            <w:pPr>
              <w:pStyle w:val="cuatexto"/>
              <w:jc w:val="right"/>
              <w:rPr>
                <w:szCs w:val="20"/>
              </w:rPr>
            </w:pPr>
            <w:r w:rsidRPr="00EB5F7D">
              <w:rPr>
                <w:szCs w:val="20"/>
              </w:rPr>
              <w:t>520.687</w:t>
            </w:r>
          </w:p>
        </w:tc>
        <w:tc>
          <w:tcPr>
            <w:tcW w:w="993" w:type="dxa"/>
            <w:vAlign w:val="center"/>
          </w:tcPr>
          <w:p w:rsidR="004011C4" w:rsidRPr="00EB5F7D" w:rsidRDefault="004011C4" w:rsidP="003640F7">
            <w:pPr>
              <w:pStyle w:val="cuatexto"/>
              <w:jc w:val="right"/>
              <w:rPr>
                <w:szCs w:val="20"/>
              </w:rPr>
            </w:pPr>
            <w:r w:rsidRPr="00EB5F7D">
              <w:rPr>
                <w:szCs w:val="20"/>
              </w:rPr>
              <w:t>571.859</w:t>
            </w:r>
          </w:p>
        </w:tc>
        <w:tc>
          <w:tcPr>
            <w:tcW w:w="992" w:type="dxa"/>
            <w:vAlign w:val="center"/>
          </w:tcPr>
          <w:p w:rsidR="004011C4" w:rsidRPr="00EB5F7D" w:rsidRDefault="004011C4" w:rsidP="003640F7">
            <w:pPr>
              <w:pStyle w:val="cuatexto"/>
              <w:jc w:val="right"/>
              <w:rPr>
                <w:szCs w:val="20"/>
              </w:rPr>
            </w:pPr>
            <w:r w:rsidRPr="00EB5F7D">
              <w:rPr>
                <w:szCs w:val="20"/>
              </w:rPr>
              <w:t>555.835</w:t>
            </w:r>
          </w:p>
        </w:tc>
        <w:tc>
          <w:tcPr>
            <w:tcW w:w="850" w:type="dxa"/>
            <w:vAlign w:val="center"/>
          </w:tcPr>
          <w:p w:rsidR="004011C4" w:rsidRPr="00EB5F7D" w:rsidRDefault="004011C4" w:rsidP="003640F7">
            <w:pPr>
              <w:pStyle w:val="cuatexto"/>
              <w:jc w:val="right"/>
              <w:rPr>
                <w:szCs w:val="20"/>
              </w:rPr>
            </w:pPr>
            <w:r w:rsidRPr="00EB5F7D">
              <w:rPr>
                <w:szCs w:val="20"/>
              </w:rPr>
              <w:t>591.043</w:t>
            </w:r>
          </w:p>
        </w:tc>
        <w:tc>
          <w:tcPr>
            <w:tcW w:w="851" w:type="dxa"/>
            <w:vAlign w:val="center"/>
          </w:tcPr>
          <w:p w:rsidR="004011C4" w:rsidRPr="00EB5F7D" w:rsidRDefault="004011C4" w:rsidP="003640F7">
            <w:pPr>
              <w:pStyle w:val="cuatexto"/>
              <w:jc w:val="right"/>
              <w:rPr>
                <w:szCs w:val="20"/>
              </w:rPr>
            </w:pPr>
            <w:r>
              <w:rPr>
                <w:szCs w:val="20"/>
              </w:rPr>
              <w:t>19</w:t>
            </w:r>
          </w:p>
        </w:tc>
      </w:tr>
      <w:tr w:rsidR="004011C4" w:rsidTr="003640F7">
        <w:trPr>
          <w:trHeight w:val="270"/>
        </w:trPr>
        <w:tc>
          <w:tcPr>
            <w:tcW w:w="3261" w:type="dxa"/>
            <w:vAlign w:val="center"/>
            <w:hideMark/>
          </w:tcPr>
          <w:p w:rsidR="004011C4" w:rsidRPr="00EB5F7D" w:rsidRDefault="004011C4" w:rsidP="003640F7">
            <w:pPr>
              <w:pStyle w:val="cuatexto"/>
              <w:tabs>
                <w:tab w:val="clear" w:pos="2835"/>
                <w:tab w:val="clear" w:pos="3969"/>
              </w:tabs>
              <w:jc w:val="left"/>
              <w:rPr>
                <w:szCs w:val="20"/>
              </w:rPr>
            </w:pPr>
            <w:r w:rsidRPr="00EB5F7D">
              <w:rPr>
                <w:szCs w:val="20"/>
              </w:rPr>
              <w:t>Compensación por imptos sobre el sector eléctrico</w:t>
            </w:r>
          </w:p>
        </w:tc>
        <w:tc>
          <w:tcPr>
            <w:tcW w:w="992" w:type="dxa"/>
            <w:vAlign w:val="center"/>
          </w:tcPr>
          <w:p w:rsidR="004011C4" w:rsidRPr="00EB5F7D" w:rsidRDefault="004011C4" w:rsidP="003640F7">
            <w:pPr>
              <w:pStyle w:val="cuatexto"/>
              <w:jc w:val="right"/>
              <w:rPr>
                <w:szCs w:val="20"/>
              </w:rPr>
            </w:pPr>
            <w:r w:rsidRPr="00EB5F7D">
              <w:rPr>
                <w:szCs w:val="20"/>
              </w:rPr>
              <w:t> </w:t>
            </w:r>
          </w:p>
        </w:tc>
        <w:tc>
          <w:tcPr>
            <w:tcW w:w="850" w:type="dxa"/>
            <w:vAlign w:val="center"/>
          </w:tcPr>
          <w:p w:rsidR="004011C4" w:rsidRPr="00EB5F7D" w:rsidRDefault="004011C4" w:rsidP="003640F7">
            <w:pPr>
              <w:pStyle w:val="cuatexto"/>
              <w:jc w:val="right"/>
              <w:rPr>
                <w:szCs w:val="20"/>
              </w:rPr>
            </w:pPr>
            <w:r w:rsidRPr="00EB5F7D">
              <w:rPr>
                <w:szCs w:val="20"/>
              </w:rPr>
              <w:t> </w:t>
            </w:r>
          </w:p>
        </w:tc>
        <w:tc>
          <w:tcPr>
            <w:tcW w:w="993" w:type="dxa"/>
            <w:vAlign w:val="center"/>
          </w:tcPr>
          <w:p w:rsidR="004011C4" w:rsidRPr="00EB5F7D" w:rsidRDefault="004011C4" w:rsidP="003640F7">
            <w:pPr>
              <w:pStyle w:val="cuatexto"/>
              <w:jc w:val="right"/>
              <w:rPr>
                <w:szCs w:val="20"/>
              </w:rPr>
            </w:pPr>
            <w:r w:rsidRPr="00EB5F7D">
              <w:rPr>
                <w:szCs w:val="20"/>
              </w:rPr>
              <w:t> </w:t>
            </w:r>
          </w:p>
        </w:tc>
        <w:tc>
          <w:tcPr>
            <w:tcW w:w="992" w:type="dxa"/>
            <w:vAlign w:val="center"/>
          </w:tcPr>
          <w:p w:rsidR="004011C4" w:rsidRPr="00EB5F7D" w:rsidRDefault="004011C4" w:rsidP="003640F7">
            <w:pPr>
              <w:pStyle w:val="cuatexto"/>
              <w:jc w:val="right"/>
              <w:rPr>
                <w:szCs w:val="20"/>
              </w:rPr>
            </w:pPr>
            <w:r w:rsidRPr="00EB5F7D">
              <w:rPr>
                <w:szCs w:val="20"/>
              </w:rPr>
              <w:t> </w:t>
            </w:r>
          </w:p>
        </w:tc>
        <w:tc>
          <w:tcPr>
            <w:tcW w:w="850" w:type="dxa"/>
            <w:vAlign w:val="center"/>
          </w:tcPr>
          <w:p w:rsidR="004011C4" w:rsidRPr="00EB5F7D" w:rsidRDefault="004011C4" w:rsidP="003640F7">
            <w:pPr>
              <w:pStyle w:val="cuatexto"/>
              <w:jc w:val="right"/>
              <w:rPr>
                <w:szCs w:val="20"/>
              </w:rPr>
            </w:pPr>
            <w:r w:rsidRPr="00EB5F7D">
              <w:rPr>
                <w:szCs w:val="20"/>
              </w:rPr>
              <w:t>26.859</w:t>
            </w:r>
          </w:p>
        </w:tc>
        <w:tc>
          <w:tcPr>
            <w:tcW w:w="851" w:type="dxa"/>
            <w:vAlign w:val="center"/>
          </w:tcPr>
          <w:p w:rsidR="004011C4" w:rsidRPr="00EB5F7D" w:rsidRDefault="004011C4" w:rsidP="003640F7">
            <w:pPr>
              <w:pStyle w:val="cuatexto"/>
              <w:jc w:val="right"/>
              <w:rPr>
                <w:szCs w:val="20"/>
              </w:rPr>
            </w:pPr>
            <w:r>
              <w:rPr>
                <w:szCs w:val="20"/>
              </w:rPr>
              <w:t>-</w:t>
            </w:r>
          </w:p>
        </w:tc>
      </w:tr>
      <w:tr w:rsidR="004011C4" w:rsidRPr="003640F7" w:rsidTr="003640F7">
        <w:trPr>
          <w:trHeight w:val="270"/>
        </w:trPr>
        <w:tc>
          <w:tcPr>
            <w:tcW w:w="3261" w:type="dxa"/>
            <w:shd w:val="clear" w:color="auto" w:fill="A8CBEE" w:themeFill="accent2" w:themeFillTint="66"/>
            <w:vAlign w:val="center"/>
            <w:hideMark/>
          </w:tcPr>
          <w:p w:rsidR="004011C4" w:rsidRPr="003640F7" w:rsidRDefault="004011C4" w:rsidP="003640F7">
            <w:pPr>
              <w:pStyle w:val="cuatexto"/>
              <w:tabs>
                <w:tab w:val="clear" w:pos="2835"/>
                <w:tab w:val="clear" w:pos="3969"/>
              </w:tabs>
              <w:jc w:val="left"/>
              <w:rPr>
                <w:rFonts w:ascii="Arial" w:hAnsi="Arial" w:cs="Arial"/>
                <w:sz w:val="18"/>
                <w:szCs w:val="18"/>
              </w:rPr>
            </w:pPr>
            <w:r w:rsidRPr="003640F7">
              <w:rPr>
                <w:rFonts w:ascii="Arial" w:hAnsi="Arial" w:cs="Arial"/>
                <w:sz w:val="18"/>
                <w:szCs w:val="18"/>
              </w:rPr>
              <w:t>Total partidas Gastos- Convenio</w:t>
            </w:r>
          </w:p>
        </w:tc>
        <w:tc>
          <w:tcPr>
            <w:tcW w:w="992" w:type="dxa"/>
            <w:shd w:val="clear" w:color="auto" w:fill="A8CBEE" w:themeFill="accent2" w:themeFillTint="66"/>
            <w:vAlign w:val="center"/>
          </w:tcPr>
          <w:p w:rsidR="004011C4" w:rsidRPr="003640F7" w:rsidRDefault="004011C4" w:rsidP="003640F7">
            <w:pPr>
              <w:pStyle w:val="cuatexto"/>
              <w:jc w:val="right"/>
              <w:rPr>
                <w:rFonts w:ascii="Arial" w:hAnsi="Arial" w:cs="Arial"/>
                <w:sz w:val="18"/>
                <w:szCs w:val="18"/>
              </w:rPr>
            </w:pPr>
            <w:r w:rsidRPr="003640F7">
              <w:rPr>
                <w:rFonts w:ascii="Arial" w:hAnsi="Arial" w:cs="Arial"/>
                <w:sz w:val="18"/>
                <w:szCs w:val="18"/>
              </w:rPr>
              <w:t>498.106</w:t>
            </w:r>
          </w:p>
        </w:tc>
        <w:tc>
          <w:tcPr>
            <w:tcW w:w="850" w:type="dxa"/>
            <w:shd w:val="clear" w:color="auto" w:fill="A8CBEE" w:themeFill="accent2" w:themeFillTint="66"/>
            <w:vAlign w:val="center"/>
          </w:tcPr>
          <w:p w:rsidR="004011C4" w:rsidRPr="003640F7" w:rsidRDefault="004011C4" w:rsidP="003640F7">
            <w:pPr>
              <w:pStyle w:val="cuatexto"/>
              <w:jc w:val="right"/>
              <w:rPr>
                <w:rFonts w:ascii="Arial" w:hAnsi="Arial" w:cs="Arial"/>
                <w:sz w:val="18"/>
                <w:szCs w:val="18"/>
              </w:rPr>
            </w:pPr>
            <w:r w:rsidRPr="003640F7">
              <w:rPr>
                <w:rFonts w:ascii="Arial" w:hAnsi="Arial" w:cs="Arial"/>
                <w:sz w:val="18"/>
                <w:szCs w:val="18"/>
              </w:rPr>
              <w:t>520.687</w:t>
            </w:r>
          </w:p>
        </w:tc>
        <w:tc>
          <w:tcPr>
            <w:tcW w:w="993" w:type="dxa"/>
            <w:shd w:val="clear" w:color="auto" w:fill="A8CBEE" w:themeFill="accent2" w:themeFillTint="66"/>
            <w:vAlign w:val="center"/>
          </w:tcPr>
          <w:p w:rsidR="004011C4" w:rsidRPr="003640F7" w:rsidRDefault="004011C4" w:rsidP="003640F7">
            <w:pPr>
              <w:pStyle w:val="cuatexto"/>
              <w:jc w:val="right"/>
              <w:rPr>
                <w:rFonts w:ascii="Arial" w:hAnsi="Arial" w:cs="Arial"/>
                <w:sz w:val="18"/>
                <w:szCs w:val="18"/>
              </w:rPr>
            </w:pPr>
            <w:r w:rsidRPr="003640F7">
              <w:rPr>
                <w:rFonts w:ascii="Arial" w:hAnsi="Arial" w:cs="Arial"/>
                <w:sz w:val="18"/>
                <w:szCs w:val="18"/>
              </w:rPr>
              <w:t>571.859</w:t>
            </w:r>
          </w:p>
        </w:tc>
        <w:tc>
          <w:tcPr>
            <w:tcW w:w="992" w:type="dxa"/>
            <w:shd w:val="clear" w:color="auto" w:fill="A8CBEE" w:themeFill="accent2" w:themeFillTint="66"/>
            <w:vAlign w:val="center"/>
          </w:tcPr>
          <w:p w:rsidR="004011C4" w:rsidRPr="003640F7" w:rsidRDefault="004011C4" w:rsidP="003640F7">
            <w:pPr>
              <w:pStyle w:val="cuatexto"/>
              <w:jc w:val="right"/>
              <w:rPr>
                <w:rFonts w:ascii="Arial" w:hAnsi="Arial" w:cs="Arial"/>
                <w:sz w:val="18"/>
                <w:szCs w:val="18"/>
              </w:rPr>
            </w:pPr>
            <w:r w:rsidRPr="003640F7">
              <w:rPr>
                <w:rFonts w:ascii="Arial" w:hAnsi="Arial" w:cs="Arial"/>
                <w:sz w:val="18"/>
                <w:szCs w:val="18"/>
              </w:rPr>
              <w:t>555.835</w:t>
            </w:r>
          </w:p>
        </w:tc>
        <w:tc>
          <w:tcPr>
            <w:tcW w:w="850" w:type="dxa"/>
            <w:shd w:val="clear" w:color="auto" w:fill="A8CBEE" w:themeFill="accent2" w:themeFillTint="66"/>
            <w:vAlign w:val="center"/>
          </w:tcPr>
          <w:p w:rsidR="004011C4" w:rsidRPr="003640F7" w:rsidRDefault="004011C4" w:rsidP="003640F7">
            <w:pPr>
              <w:pStyle w:val="cuatexto"/>
              <w:jc w:val="right"/>
              <w:rPr>
                <w:rFonts w:ascii="Arial" w:hAnsi="Arial" w:cs="Arial"/>
                <w:sz w:val="18"/>
                <w:szCs w:val="18"/>
              </w:rPr>
            </w:pPr>
            <w:r w:rsidRPr="003640F7">
              <w:rPr>
                <w:rFonts w:ascii="Arial" w:hAnsi="Arial" w:cs="Arial"/>
                <w:sz w:val="18"/>
                <w:szCs w:val="18"/>
              </w:rPr>
              <w:t>617.902</w:t>
            </w:r>
          </w:p>
        </w:tc>
        <w:tc>
          <w:tcPr>
            <w:tcW w:w="851" w:type="dxa"/>
            <w:shd w:val="clear" w:color="auto" w:fill="A8CBEE" w:themeFill="accent2" w:themeFillTint="66"/>
            <w:vAlign w:val="center"/>
          </w:tcPr>
          <w:p w:rsidR="004011C4" w:rsidRPr="003640F7" w:rsidRDefault="004011C4" w:rsidP="003640F7">
            <w:pPr>
              <w:pStyle w:val="cuatexto"/>
              <w:jc w:val="right"/>
              <w:rPr>
                <w:rFonts w:ascii="Arial" w:hAnsi="Arial" w:cs="Arial"/>
                <w:sz w:val="18"/>
                <w:szCs w:val="18"/>
              </w:rPr>
            </w:pPr>
            <w:r w:rsidRPr="003640F7">
              <w:rPr>
                <w:rFonts w:ascii="Arial" w:hAnsi="Arial" w:cs="Arial"/>
                <w:sz w:val="18"/>
                <w:szCs w:val="18"/>
              </w:rPr>
              <w:t>24</w:t>
            </w:r>
          </w:p>
        </w:tc>
      </w:tr>
      <w:tr w:rsidR="004011C4" w:rsidTr="003640F7">
        <w:trPr>
          <w:trHeight w:val="270"/>
        </w:trPr>
        <w:tc>
          <w:tcPr>
            <w:tcW w:w="3261" w:type="dxa"/>
            <w:vAlign w:val="center"/>
            <w:hideMark/>
          </w:tcPr>
          <w:p w:rsidR="004011C4" w:rsidRPr="00EB5F7D" w:rsidRDefault="004011C4" w:rsidP="003640F7">
            <w:pPr>
              <w:pStyle w:val="cuatexto"/>
              <w:tabs>
                <w:tab w:val="clear" w:pos="2835"/>
                <w:tab w:val="clear" w:pos="3969"/>
              </w:tabs>
              <w:jc w:val="left"/>
              <w:rPr>
                <w:szCs w:val="20"/>
              </w:rPr>
            </w:pPr>
            <w:r w:rsidRPr="00EB5F7D">
              <w:rPr>
                <w:szCs w:val="20"/>
              </w:rPr>
              <w:t>Ajustes por  IVA</w:t>
            </w:r>
          </w:p>
        </w:tc>
        <w:tc>
          <w:tcPr>
            <w:tcW w:w="992" w:type="dxa"/>
            <w:vAlign w:val="center"/>
          </w:tcPr>
          <w:p w:rsidR="004011C4" w:rsidRPr="00EB5F7D" w:rsidRDefault="004011C4" w:rsidP="003640F7">
            <w:pPr>
              <w:pStyle w:val="cuatexto"/>
              <w:jc w:val="right"/>
              <w:rPr>
                <w:szCs w:val="20"/>
              </w:rPr>
            </w:pPr>
            <w:r w:rsidRPr="00EB5F7D">
              <w:rPr>
                <w:szCs w:val="20"/>
              </w:rPr>
              <w:t>171.155</w:t>
            </w:r>
          </w:p>
        </w:tc>
        <w:tc>
          <w:tcPr>
            <w:tcW w:w="850" w:type="dxa"/>
            <w:vAlign w:val="center"/>
          </w:tcPr>
          <w:p w:rsidR="004011C4" w:rsidRPr="00EB5F7D" w:rsidRDefault="004011C4" w:rsidP="003640F7">
            <w:pPr>
              <w:pStyle w:val="cuatexto"/>
              <w:jc w:val="right"/>
              <w:rPr>
                <w:szCs w:val="20"/>
              </w:rPr>
            </w:pPr>
            <w:r w:rsidRPr="00EB5F7D">
              <w:rPr>
                <w:szCs w:val="20"/>
              </w:rPr>
              <w:t>483.270</w:t>
            </w:r>
          </w:p>
        </w:tc>
        <w:tc>
          <w:tcPr>
            <w:tcW w:w="993" w:type="dxa"/>
            <w:vAlign w:val="center"/>
          </w:tcPr>
          <w:p w:rsidR="004011C4" w:rsidRPr="00EB5F7D" w:rsidRDefault="004011C4" w:rsidP="003640F7">
            <w:pPr>
              <w:pStyle w:val="cuatexto"/>
              <w:jc w:val="right"/>
              <w:rPr>
                <w:szCs w:val="20"/>
              </w:rPr>
            </w:pPr>
            <w:r w:rsidRPr="00EB5F7D">
              <w:rPr>
                <w:szCs w:val="20"/>
              </w:rPr>
              <w:t>646.767</w:t>
            </w:r>
          </w:p>
        </w:tc>
        <w:tc>
          <w:tcPr>
            <w:tcW w:w="992" w:type="dxa"/>
            <w:vAlign w:val="center"/>
          </w:tcPr>
          <w:p w:rsidR="004011C4" w:rsidRPr="00EB5F7D" w:rsidRDefault="004011C4" w:rsidP="003640F7">
            <w:pPr>
              <w:pStyle w:val="cuatexto"/>
              <w:jc w:val="right"/>
              <w:rPr>
                <w:szCs w:val="20"/>
              </w:rPr>
            </w:pPr>
            <w:r w:rsidRPr="00EB5F7D">
              <w:rPr>
                <w:szCs w:val="20"/>
              </w:rPr>
              <w:t>750.869</w:t>
            </w:r>
          </w:p>
        </w:tc>
        <w:tc>
          <w:tcPr>
            <w:tcW w:w="850" w:type="dxa"/>
            <w:vAlign w:val="center"/>
          </w:tcPr>
          <w:p w:rsidR="004011C4" w:rsidRPr="00EB5F7D" w:rsidRDefault="004011C4" w:rsidP="003640F7">
            <w:pPr>
              <w:pStyle w:val="cuatexto"/>
              <w:jc w:val="right"/>
              <w:rPr>
                <w:szCs w:val="20"/>
              </w:rPr>
            </w:pPr>
            <w:r w:rsidRPr="00EB5F7D">
              <w:rPr>
                <w:szCs w:val="20"/>
              </w:rPr>
              <w:t>811.648</w:t>
            </w:r>
          </w:p>
        </w:tc>
        <w:tc>
          <w:tcPr>
            <w:tcW w:w="851" w:type="dxa"/>
            <w:vAlign w:val="center"/>
          </w:tcPr>
          <w:p w:rsidR="004011C4" w:rsidRPr="00EB5F7D" w:rsidRDefault="004011C4" w:rsidP="003640F7">
            <w:pPr>
              <w:pStyle w:val="cuatexto"/>
              <w:jc w:val="right"/>
              <w:rPr>
                <w:szCs w:val="20"/>
              </w:rPr>
            </w:pPr>
            <w:r>
              <w:rPr>
                <w:szCs w:val="20"/>
              </w:rPr>
              <w:t>374</w:t>
            </w:r>
          </w:p>
        </w:tc>
      </w:tr>
      <w:tr w:rsidR="004011C4" w:rsidTr="003640F7">
        <w:trPr>
          <w:trHeight w:val="270"/>
        </w:trPr>
        <w:tc>
          <w:tcPr>
            <w:tcW w:w="3261" w:type="dxa"/>
            <w:noWrap/>
            <w:vAlign w:val="center"/>
            <w:hideMark/>
          </w:tcPr>
          <w:p w:rsidR="004011C4" w:rsidRPr="00EB5F7D" w:rsidRDefault="004011C4" w:rsidP="003640F7">
            <w:pPr>
              <w:pStyle w:val="cuatexto"/>
              <w:tabs>
                <w:tab w:val="clear" w:pos="2835"/>
                <w:tab w:val="clear" w:pos="3969"/>
              </w:tabs>
              <w:jc w:val="left"/>
              <w:rPr>
                <w:szCs w:val="20"/>
              </w:rPr>
            </w:pPr>
            <w:r w:rsidRPr="00EB5F7D">
              <w:rPr>
                <w:szCs w:val="20"/>
              </w:rPr>
              <w:t>Ajustes I. Especiales Fabricación</w:t>
            </w:r>
          </w:p>
        </w:tc>
        <w:tc>
          <w:tcPr>
            <w:tcW w:w="992" w:type="dxa"/>
            <w:vAlign w:val="center"/>
          </w:tcPr>
          <w:p w:rsidR="004011C4" w:rsidRPr="00EB5F7D" w:rsidRDefault="004011C4" w:rsidP="003640F7">
            <w:pPr>
              <w:pStyle w:val="cuatexto"/>
              <w:jc w:val="right"/>
              <w:rPr>
                <w:szCs w:val="20"/>
              </w:rPr>
            </w:pPr>
            <w:r w:rsidRPr="00EB5F7D">
              <w:rPr>
                <w:szCs w:val="20"/>
              </w:rPr>
              <w:t>-16.138</w:t>
            </w:r>
          </w:p>
        </w:tc>
        <w:tc>
          <w:tcPr>
            <w:tcW w:w="850" w:type="dxa"/>
            <w:vAlign w:val="center"/>
          </w:tcPr>
          <w:p w:rsidR="004011C4" w:rsidRPr="00EB5F7D" w:rsidRDefault="004011C4" w:rsidP="003640F7">
            <w:pPr>
              <w:pStyle w:val="cuatexto"/>
              <w:jc w:val="right"/>
              <w:rPr>
                <w:szCs w:val="20"/>
              </w:rPr>
            </w:pPr>
            <w:r w:rsidRPr="00EB5F7D">
              <w:rPr>
                <w:szCs w:val="20"/>
              </w:rPr>
              <w:t>-50.703</w:t>
            </w:r>
          </w:p>
        </w:tc>
        <w:tc>
          <w:tcPr>
            <w:tcW w:w="993" w:type="dxa"/>
            <w:vAlign w:val="center"/>
          </w:tcPr>
          <w:p w:rsidR="004011C4" w:rsidRPr="00EB5F7D" w:rsidRDefault="004011C4" w:rsidP="003640F7">
            <w:pPr>
              <w:pStyle w:val="cuatexto"/>
              <w:jc w:val="right"/>
              <w:rPr>
                <w:szCs w:val="20"/>
              </w:rPr>
            </w:pPr>
            <w:r w:rsidRPr="00EB5F7D">
              <w:rPr>
                <w:szCs w:val="20"/>
              </w:rPr>
              <w:t>9.273</w:t>
            </w:r>
          </w:p>
        </w:tc>
        <w:tc>
          <w:tcPr>
            <w:tcW w:w="992" w:type="dxa"/>
            <w:vAlign w:val="center"/>
          </w:tcPr>
          <w:p w:rsidR="004011C4" w:rsidRPr="00EB5F7D" w:rsidRDefault="004011C4" w:rsidP="00DB6BFD">
            <w:pPr>
              <w:pStyle w:val="cuatexto"/>
              <w:jc w:val="right"/>
              <w:rPr>
                <w:szCs w:val="20"/>
              </w:rPr>
            </w:pPr>
            <w:r w:rsidRPr="00EB5F7D">
              <w:rPr>
                <w:szCs w:val="20"/>
              </w:rPr>
              <w:t>-32.09</w:t>
            </w:r>
            <w:r w:rsidR="00DB6BFD">
              <w:rPr>
                <w:szCs w:val="20"/>
              </w:rPr>
              <w:t>4</w:t>
            </w:r>
          </w:p>
        </w:tc>
        <w:tc>
          <w:tcPr>
            <w:tcW w:w="850" w:type="dxa"/>
            <w:vAlign w:val="center"/>
          </w:tcPr>
          <w:p w:rsidR="004011C4" w:rsidRPr="00EB5F7D" w:rsidRDefault="004011C4" w:rsidP="003640F7">
            <w:pPr>
              <w:pStyle w:val="cuatexto"/>
              <w:jc w:val="right"/>
              <w:rPr>
                <w:szCs w:val="20"/>
              </w:rPr>
            </w:pPr>
            <w:r w:rsidRPr="00EB5F7D">
              <w:rPr>
                <w:szCs w:val="20"/>
              </w:rPr>
              <w:t>-67.184</w:t>
            </w:r>
          </w:p>
        </w:tc>
        <w:tc>
          <w:tcPr>
            <w:tcW w:w="851" w:type="dxa"/>
            <w:vAlign w:val="center"/>
          </w:tcPr>
          <w:p w:rsidR="004011C4" w:rsidRPr="00EB5F7D" w:rsidRDefault="004011C4" w:rsidP="003640F7">
            <w:pPr>
              <w:pStyle w:val="cuatexto"/>
              <w:jc w:val="right"/>
              <w:rPr>
                <w:szCs w:val="20"/>
              </w:rPr>
            </w:pPr>
            <w:r>
              <w:rPr>
                <w:szCs w:val="20"/>
              </w:rPr>
              <w:t>-316</w:t>
            </w:r>
          </w:p>
        </w:tc>
      </w:tr>
      <w:tr w:rsidR="004011C4" w:rsidTr="003640F7">
        <w:trPr>
          <w:trHeight w:val="270"/>
        </w:trPr>
        <w:tc>
          <w:tcPr>
            <w:tcW w:w="3261" w:type="dxa"/>
            <w:vAlign w:val="center"/>
            <w:hideMark/>
          </w:tcPr>
          <w:p w:rsidR="004011C4" w:rsidRPr="00EB5F7D" w:rsidRDefault="004011C4" w:rsidP="003640F7">
            <w:pPr>
              <w:pStyle w:val="cuatexto"/>
              <w:tabs>
                <w:tab w:val="clear" w:pos="2835"/>
                <w:tab w:val="clear" w:pos="3969"/>
              </w:tabs>
              <w:jc w:val="left"/>
              <w:rPr>
                <w:szCs w:val="20"/>
              </w:rPr>
            </w:pPr>
            <w:r>
              <w:rPr>
                <w:szCs w:val="20"/>
              </w:rPr>
              <w:t>Liq. Def. A</w:t>
            </w:r>
            <w:r w:rsidRPr="00EB5F7D">
              <w:rPr>
                <w:szCs w:val="20"/>
              </w:rPr>
              <w:t>portación al Estado</w:t>
            </w:r>
          </w:p>
        </w:tc>
        <w:tc>
          <w:tcPr>
            <w:tcW w:w="992" w:type="dxa"/>
            <w:vAlign w:val="center"/>
          </w:tcPr>
          <w:p w:rsidR="004011C4" w:rsidRPr="00EB5F7D" w:rsidRDefault="004011C4" w:rsidP="003640F7">
            <w:pPr>
              <w:pStyle w:val="cuatexto"/>
              <w:jc w:val="right"/>
              <w:rPr>
                <w:szCs w:val="20"/>
              </w:rPr>
            </w:pPr>
            <w:r w:rsidRPr="00EB5F7D">
              <w:rPr>
                <w:szCs w:val="20"/>
              </w:rPr>
              <w:t>24.324</w:t>
            </w:r>
          </w:p>
        </w:tc>
        <w:tc>
          <w:tcPr>
            <w:tcW w:w="850" w:type="dxa"/>
            <w:vAlign w:val="center"/>
          </w:tcPr>
          <w:p w:rsidR="004011C4" w:rsidRPr="00EB5F7D" w:rsidRDefault="004011C4" w:rsidP="003640F7">
            <w:pPr>
              <w:pStyle w:val="cuatexto"/>
              <w:jc w:val="right"/>
              <w:rPr>
                <w:szCs w:val="20"/>
              </w:rPr>
            </w:pPr>
            <w:r w:rsidRPr="00EB5F7D">
              <w:rPr>
                <w:szCs w:val="20"/>
              </w:rPr>
              <w:t>8.066</w:t>
            </w:r>
          </w:p>
        </w:tc>
        <w:tc>
          <w:tcPr>
            <w:tcW w:w="993" w:type="dxa"/>
            <w:vAlign w:val="center"/>
          </w:tcPr>
          <w:p w:rsidR="004011C4" w:rsidRPr="00EB5F7D" w:rsidRDefault="004011C4" w:rsidP="003640F7">
            <w:pPr>
              <w:pStyle w:val="cuatexto"/>
              <w:jc w:val="right"/>
              <w:rPr>
                <w:szCs w:val="20"/>
              </w:rPr>
            </w:pPr>
            <w:r w:rsidRPr="00EB5F7D">
              <w:rPr>
                <w:szCs w:val="20"/>
              </w:rPr>
              <w:t> </w:t>
            </w:r>
          </w:p>
        </w:tc>
        <w:tc>
          <w:tcPr>
            <w:tcW w:w="992" w:type="dxa"/>
            <w:vAlign w:val="center"/>
          </w:tcPr>
          <w:p w:rsidR="004011C4" w:rsidRPr="00EB5F7D" w:rsidRDefault="004011C4" w:rsidP="003640F7">
            <w:pPr>
              <w:pStyle w:val="cuatexto"/>
              <w:jc w:val="right"/>
              <w:rPr>
                <w:szCs w:val="20"/>
              </w:rPr>
            </w:pPr>
            <w:r w:rsidRPr="00EB5F7D">
              <w:rPr>
                <w:szCs w:val="20"/>
              </w:rPr>
              <w:t> </w:t>
            </w:r>
          </w:p>
        </w:tc>
        <w:tc>
          <w:tcPr>
            <w:tcW w:w="850" w:type="dxa"/>
            <w:vAlign w:val="center"/>
          </w:tcPr>
          <w:p w:rsidR="004011C4" w:rsidRPr="00EB5F7D" w:rsidRDefault="004011C4" w:rsidP="003640F7">
            <w:pPr>
              <w:pStyle w:val="cuatexto"/>
              <w:jc w:val="right"/>
              <w:rPr>
                <w:szCs w:val="20"/>
              </w:rPr>
            </w:pPr>
            <w:r w:rsidRPr="00EB5F7D">
              <w:rPr>
                <w:szCs w:val="20"/>
              </w:rPr>
              <w:t> </w:t>
            </w:r>
          </w:p>
        </w:tc>
        <w:tc>
          <w:tcPr>
            <w:tcW w:w="851" w:type="dxa"/>
            <w:vAlign w:val="center"/>
          </w:tcPr>
          <w:p w:rsidR="004011C4" w:rsidRPr="00EB5F7D" w:rsidRDefault="004011C4" w:rsidP="003640F7">
            <w:pPr>
              <w:pStyle w:val="cuatexto"/>
              <w:jc w:val="right"/>
              <w:rPr>
                <w:szCs w:val="20"/>
              </w:rPr>
            </w:pPr>
            <w:r>
              <w:rPr>
                <w:szCs w:val="20"/>
              </w:rPr>
              <w:t>-</w:t>
            </w:r>
          </w:p>
        </w:tc>
      </w:tr>
      <w:tr w:rsidR="00A9092B" w:rsidRPr="003640F7" w:rsidTr="003640F7">
        <w:trPr>
          <w:trHeight w:val="270"/>
        </w:trPr>
        <w:tc>
          <w:tcPr>
            <w:tcW w:w="3261" w:type="dxa"/>
            <w:shd w:val="clear" w:color="auto" w:fill="A8CBEE" w:themeFill="accent2" w:themeFillTint="66"/>
            <w:vAlign w:val="center"/>
          </w:tcPr>
          <w:p w:rsidR="00A9092B" w:rsidRPr="003640F7" w:rsidRDefault="00A9092B" w:rsidP="003640F7">
            <w:pPr>
              <w:pStyle w:val="cuatexto"/>
              <w:tabs>
                <w:tab w:val="clear" w:pos="2835"/>
                <w:tab w:val="clear" w:pos="3969"/>
              </w:tabs>
              <w:jc w:val="left"/>
              <w:rPr>
                <w:rFonts w:ascii="Arial" w:hAnsi="Arial" w:cs="Arial"/>
                <w:sz w:val="18"/>
                <w:szCs w:val="18"/>
              </w:rPr>
            </w:pPr>
            <w:r>
              <w:rPr>
                <w:rFonts w:ascii="Arial" w:hAnsi="Arial" w:cs="Arial"/>
                <w:sz w:val="18"/>
                <w:szCs w:val="18"/>
              </w:rPr>
              <w:t>Total partidas Ingresos-Convenio</w:t>
            </w:r>
          </w:p>
        </w:tc>
        <w:tc>
          <w:tcPr>
            <w:tcW w:w="992" w:type="dxa"/>
            <w:shd w:val="clear" w:color="auto" w:fill="A8CBEE" w:themeFill="accent2" w:themeFillTint="66"/>
            <w:vAlign w:val="center"/>
          </w:tcPr>
          <w:p w:rsidR="00A9092B" w:rsidRPr="00A9092B" w:rsidRDefault="00A9092B" w:rsidP="00A9092B">
            <w:pPr>
              <w:pStyle w:val="cuatexto"/>
              <w:jc w:val="right"/>
              <w:rPr>
                <w:rFonts w:ascii="Arial" w:hAnsi="Arial" w:cs="Arial"/>
                <w:sz w:val="18"/>
                <w:szCs w:val="18"/>
              </w:rPr>
            </w:pPr>
            <w:r w:rsidRPr="00A9092B">
              <w:rPr>
                <w:rFonts w:ascii="Arial" w:hAnsi="Arial" w:cs="Arial"/>
                <w:sz w:val="18"/>
                <w:szCs w:val="18"/>
              </w:rPr>
              <w:t>179.341</w:t>
            </w:r>
          </w:p>
        </w:tc>
        <w:tc>
          <w:tcPr>
            <w:tcW w:w="850" w:type="dxa"/>
            <w:shd w:val="clear" w:color="auto" w:fill="A8CBEE" w:themeFill="accent2" w:themeFillTint="66"/>
            <w:vAlign w:val="center"/>
          </w:tcPr>
          <w:p w:rsidR="00A9092B" w:rsidRPr="00A9092B" w:rsidRDefault="00A9092B" w:rsidP="00A9092B">
            <w:pPr>
              <w:pStyle w:val="cuatexto"/>
              <w:jc w:val="right"/>
              <w:rPr>
                <w:rFonts w:ascii="Arial" w:hAnsi="Arial" w:cs="Arial"/>
                <w:sz w:val="18"/>
                <w:szCs w:val="18"/>
              </w:rPr>
            </w:pPr>
            <w:r w:rsidRPr="00A9092B">
              <w:rPr>
                <w:rFonts w:ascii="Arial" w:hAnsi="Arial" w:cs="Arial"/>
                <w:sz w:val="18"/>
                <w:szCs w:val="18"/>
              </w:rPr>
              <w:t>440.633</w:t>
            </w:r>
          </w:p>
        </w:tc>
        <w:tc>
          <w:tcPr>
            <w:tcW w:w="993" w:type="dxa"/>
            <w:shd w:val="clear" w:color="auto" w:fill="A8CBEE" w:themeFill="accent2" w:themeFillTint="66"/>
            <w:vAlign w:val="center"/>
          </w:tcPr>
          <w:p w:rsidR="00A9092B" w:rsidRPr="00A9092B" w:rsidRDefault="00A9092B" w:rsidP="00A9092B">
            <w:pPr>
              <w:pStyle w:val="cuatexto"/>
              <w:jc w:val="right"/>
              <w:rPr>
                <w:rFonts w:ascii="Arial" w:hAnsi="Arial" w:cs="Arial"/>
                <w:sz w:val="18"/>
                <w:szCs w:val="18"/>
              </w:rPr>
            </w:pPr>
            <w:r w:rsidRPr="00A9092B">
              <w:rPr>
                <w:rFonts w:ascii="Arial" w:hAnsi="Arial" w:cs="Arial"/>
                <w:sz w:val="18"/>
                <w:szCs w:val="18"/>
              </w:rPr>
              <w:t>656.040</w:t>
            </w:r>
          </w:p>
        </w:tc>
        <w:tc>
          <w:tcPr>
            <w:tcW w:w="992" w:type="dxa"/>
            <w:shd w:val="clear" w:color="auto" w:fill="A8CBEE" w:themeFill="accent2" w:themeFillTint="66"/>
            <w:vAlign w:val="center"/>
          </w:tcPr>
          <w:p w:rsidR="00A9092B" w:rsidRPr="00A9092B" w:rsidRDefault="00A9092B" w:rsidP="00DB6BFD">
            <w:pPr>
              <w:pStyle w:val="cuatexto"/>
              <w:jc w:val="right"/>
              <w:rPr>
                <w:rFonts w:ascii="Arial" w:hAnsi="Arial" w:cs="Arial"/>
                <w:sz w:val="18"/>
                <w:szCs w:val="18"/>
              </w:rPr>
            </w:pPr>
            <w:r w:rsidRPr="00A9092B">
              <w:rPr>
                <w:rFonts w:ascii="Arial" w:hAnsi="Arial" w:cs="Arial"/>
                <w:sz w:val="18"/>
                <w:szCs w:val="18"/>
              </w:rPr>
              <w:t>718.77</w:t>
            </w:r>
            <w:r w:rsidR="00DB6BFD">
              <w:rPr>
                <w:rFonts w:ascii="Arial" w:hAnsi="Arial" w:cs="Arial"/>
                <w:sz w:val="18"/>
                <w:szCs w:val="18"/>
              </w:rPr>
              <w:t>5</w:t>
            </w:r>
          </w:p>
        </w:tc>
        <w:tc>
          <w:tcPr>
            <w:tcW w:w="850" w:type="dxa"/>
            <w:shd w:val="clear" w:color="auto" w:fill="A8CBEE" w:themeFill="accent2" w:themeFillTint="66"/>
            <w:vAlign w:val="center"/>
          </w:tcPr>
          <w:p w:rsidR="00A9092B" w:rsidRPr="00A9092B" w:rsidRDefault="00A9092B" w:rsidP="00A9092B">
            <w:pPr>
              <w:pStyle w:val="cuatexto"/>
              <w:jc w:val="right"/>
              <w:rPr>
                <w:rFonts w:ascii="Arial" w:hAnsi="Arial" w:cs="Arial"/>
                <w:sz w:val="18"/>
                <w:szCs w:val="18"/>
              </w:rPr>
            </w:pPr>
            <w:r w:rsidRPr="00A9092B">
              <w:rPr>
                <w:rFonts w:ascii="Arial" w:hAnsi="Arial" w:cs="Arial"/>
                <w:sz w:val="18"/>
                <w:szCs w:val="18"/>
              </w:rPr>
              <w:t>744.464</w:t>
            </w:r>
          </w:p>
        </w:tc>
        <w:tc>
          <w:tcPr>
            <w:tcW w:w="851" w:type="dxa"/>
            <w:shd w:val="clear" w:color="auto" w:fill="A8CBEE" w:themeFill="accent2" w:themeFillTint="66"/>
            <w:vAlign w:val="center"/>
          </w:tcPr>
          <w:p w:rsidR="00A9092B" w:rsidRPr="003640F7" w:rsidRDefault="00F75273" w:rsidP="003640F7">
            <w:pPr>
              <w:pStyle w:val="cuatexto"/>
              <w:jc w:val="right"/>
              <w:rPr>
                <w:rFonts w:ascii="Arial" w:hAnsi="Arial" w:cs="Arial"/>
                <w:sz w:val="18"/>
                <w:szCs w:val="18"/>
              </w:rPr>
            </w:pPr>
            <w:r>
              <w:rPr>
                <w:rFonts w:ascii="Arial" w:hAnsi="Arial" w:cs="Arial"/>
                <w:sz w:val="18"/>
                <w:szCs w:val="18"/>
              </w:rPr>
              <w:t>315</w:t>
            </w:r>
          </w:p>
        </w:tc>
      </w:tr>
    </w:tbl>
    <w:p w:rsidR="00DB6BFD" w:rsidRDefault="00DB6BFD" w:rsidP="00481D22">
      <w:pPr>
        <w:pStyle w:val="texto"/>
        <w:spacing w:after="120"/>
        <w:ind w:firstLine="0"/>
        <w:rPr>
          <w:lang w:val="es-ES"/>
        </w:rPr>
      </w:pPr>
    </w:p>
    <w:p w:rsidR="00643036" w:rsidRDefault="00643036" w:rsidP="00F75273">
      <w:pPr>
        <w:pStyle w:val="texto"/>
        <w:spacing w:after="120"/>
        <w:rPr>
          <w:lang w:val="es-ES"/>
        </w:rPr>
      </w:pPr>
      <w:r>
        <w:rPr>
          <w:lang w:val="es-ES"/>
        </w:rPr>
        <w:t xml:space="preserve">Como se observa, la aportación al Estado ha experimentado un crecimiento de un 19 por ciento en el periodo, es decir, prácticamente 93 millones. </w:t>
      </w:r>
    </w:p>
    <w:p w:rsidR="00643036" w:rsidRDefault="00643036" w:rsidP="00643036">
      <w:pPr>
        <w:pStyle w:val="texto"/>
        <w:spacing w:after="120"/>
        <w:rPr>
          <w:lang w:val="es-ES"/>
        </w:rPr>
      </w:pPr>
      <w:r>
        <w:rPr>
          <w:lang w:val="es-ES"/>
        </w:rPr>
        <w:t>El aumento de los ajustes de IVA se justifica por el cambio de metodología en su cálculo que se implantó en mayo de 2012; esta circunstancia justifica igualmente el hecho</w:t>
      </w:r>
      <w:r w:rsidR="008E1787">
        <w:rPr>
          <w:lang w:val="es-ES"/>
        </w:rPr>
        <w:t xml:space="preserve"> de</w:t>
      </w:r>
      <w:r>
        <w:rPr>
          <w:lang w:val="es-ES"/>
        </w:rPr>
        <w:t xml:space="preserve"> que, desde 2013, los ingresos derivados del Convenio superan a los gastos del mismo. </w:t>
      </w:r>
    </w:p>
    <w:p w:rsidR="003640F7" w:rsidRDefault="003640F7">
      <w:pPr>
        <w:spacing w:after="0"/>
        <w:ind w:firstLine="0"/>
        <w:jc w:val="left"/>
        <w:rPr>
          <w:rFonts w:ascii="Arial" w:hAnsi="Arial"/>
          <w:i/>
          <w:iCs/>
          <w:color w:val="000000"/>
          <w:spacing w:val="10"/>
          <w:kern w:val="28"/>
          <w:sz w:val="25"/>
          <w:szCs w:val="26"/>
        </w:rPr>
      </w:pPr>
      <w:r>
        <w:br w:type="page"/>
      </w:r>
    </w:p>
    <w:p w:rsidR="003F6CB8" w:rsidRPr="0067400E" w:rsidRDefault="003F6CB8" w:rsidP="003F6CB8">
      <w:pPr>
        <w:pStyle w:val="atitulo3"/>
        <w:spacing w:before="360"/>
      </w:pPr>
      <w:r w:rsidRPr="00CD1E6D">
        <w:t>IV.</w:t>
      </w:r>
      <w:r w:rsidR="00B31AA4">
        <w:t>7</w:t>
      </w:r>
      <w:r w:rsidRPr="00CD1E6D">
        <w:t>.</w:t>
      </w:r>
      <w:r>
        <w:t>3</w:t>
      </w:r>
      <w:r w:rsidRPr="00CD1E6D">
        <w:t xml:space="preserve">. </w:t>
      </w:r>
      <w:r>
        <w:t>Comentarios finales</w:t>
      </w:r>
    </w:p>
    <w:p w:rsidR="00B739B9" w:rsidRDefault="00355F49" w:rsidP="003640F7">
      <w:pPr>
        <w:pStyle w:val="texto"/>
        <w:rPr>
          <w:lang w:val="es-ES"/>
        </w:rPr>
      </w:pPr>
      <w:r w:rsidRPr="00355F49">
        <w:rPr>
          <w:lang w:val="es-ES"/>
        </w:rPr>
        <w:t>La modificación del Convenio Económico aprobada mediante la Ley 14/2015</w:t>
      </w:r>
      <w:r>
        <w:rPr>
          <w:lang w:val="es-ES"/>
        </w:rPr>
        <w:t>,</w:t>
      </w:r>
      <w:r w:rsidRPr="00355F49">
        <w:rPr>
          <w:lang w:val="es-ES"/>
        </w:rPr>
        <w:t xml:space="preserve"> de 24 de junio de 2015</w:t>
      </w:r>
      <w:r w:rsidR="007A7AFB">
        <w:rPr>
          <w:lang w:val="es-ES"/>
        </w:rPr>
        <w:t>,</w:t>
      </w:r>
      <w:r w:rsidRPr="00355F49">
        <w:rPr>
          <w:lang w:val="es-ES"/>
        </w:rPr>
        <w:t xml:space="preserve"> afecta, tal y como se dice en el Preámbulo de la misma, a aspectos institucionales del </w:t>
      </w:r>
      <w:r>
        <w:rPr>
          <w:lang w:val="es-ES"/>
        </w:rPr>
        <w:t>mismo</w:t>
      </w:r>
      <w:r w:rsidRPr="00355F49">
        <w:rPr>
          <w:lang w:val="es-ES"/>
        </w:rPr>
        <w:t xml:space="preserve">. </w:t>
      </w:r>
    </w:p>
    <w:p w:rsidR="00355F49" w:rsidRPr="00355F49" w:rsidRDefault="00355F49" w:rsidP="003640F7">
      <w:pPr>
        <w:pStyle w:val="texto"/>
        <w:rPr>
          <w:lang w:val="es-ES"/>
        </w:rPr>
      </w:pPr>
      <w:r w:rsidRPr="00355F49">
        <w:rPr>
          <w:lang w:val="es-ES"/>
        </w:rPr>
        <w:t xml:space="preserve">Así, </w:t>
      </w:r>
      <w:r w:rsidR="00B739B9">
        <w:rPr>
          <w:lang w:val="es-ES"/>
        </w:rPr>
        <w:t xml:space="preserve">entre otros ya citados, se </w:t>
      </w:r>
      <w:r w:rsidR="00491EDB">
        <w:rPr>
          <w:lang w:val="es-ES"/>
        </w:rPr>
        <w:t xml:space="preserve">amplía la posibilidad de </w:t>
      </w:r>
      <w:r w:rsidR="00FF37F8">
        <w:rPr>
          <w:lang w:val="es-ES"/>
        </w:rPr>
        <w:t>constituir</w:t>
      </w:r>
      <w:r w:rsidR="00B739B9">
        <w:rPr>
          <w:lang w:val="es-ES"/>
        </w:rPr>
        <w:t xml:space="preserve"> subcomisiones dentro de la Comisión Coordinadora “</w:t>
      </w:r>
      <w:r w:rsidRPr="00B739B9">
        <w:rPr>
          <w:i/>
          <w:lang w:val="es-ES"/>
        </w:rPr>
        <w:t xml:space="preserve">para delegar en ellas el ejercicio de </w:t>
      </w:r>
      <w:r w:rsidR="00B739B9" w:rsidRPr="00B739B9">
        <w:rPr>
          <w:i/>
          <w:lang w:val="es-ES"/>
        </w:rPr>
        <w:t>sus</w:t>
      </w:r>
      <w:r w:rsidRPr="00B739B9">
        <w:rPr>
          <w:i/>
          <w:lang w:val="es-ES"/>
        </w:rPr>
        <w:t xml:space="preserve"> competen</w:t>
      </w:r>
      <w:r w:rsidR="00B739B9" w:rsidRPr="00B739B9">
        <w:rPr>
          <w:i/>
          <w:lang w:val="es-ES"/>
        </w:rPr>
        <w:t>cias</w:t>
      </w:r>
      <w:r w:rsidRPr="00B739B9">
        <w:rPr>
          <w:i/>
          <w:lang w:val="es-ES"/>
        </w:rPr>
        <w:t>. Dichas Subcomisiones estarán formadas por tres representantes de cada Administración, pudiendo incorporar los asesores que estimen convenientes con voz y sin voto, y los acuerdos por ellas adoptados tendrán la eficacia desde el momento en que se tomen, sin perjuicio de su posterior ratificación por la Comisión Coordinadora</w:t>
      </w:r>
      <w:r w:rsidR="00B739B9">
        <w:rPr>
          <w:lang w:val="es-ES"/>
        </w:rPr>
        <w:t>” (artículo 67)</w:t>
      </w:r>
      <w:r w:rsidRPr="00355F49">
        <w:rPr>
          <w:lang w:val="es-ES"/>
        </w:rPr>
        <w:t>.</w:t>
      </w:r>
    </w:p>
    <w:p w:rsidR="00B739B9" w:rsidRDefault="00B739B9" w:rsidP="003640F7">
      <w:pPr>
        <w:pStyle w:val="texto"/>
        <w:rPr>
          <w:lang w:val="es-ES"/>
        </w:rPr>
      </w:pPr>
      <w:r>
        <w:rPr>
          <w:lang w:val="es-ES"/>
        </w:rPr>
        <w:t>Resultado de esas previsiones</w:t>
      </w:r>
      <w:r w:rsidR="002322B4">
        <w:rPr>
          <w:lang w:val="es-ES"/>
        </w:rPr>
        <w:t>,</w:t>
      </w:r>
      <w:r>
        <w:rPr>
          <w:lang w:val="es-ES"/>
        </w:rPr>
        <w:t xml:space="preserve"> en abril de 2016 la Comisión Coordinadora acu</w:t>
      </w:r>
      <w:r w:rsidR="007A7AFB">
        <w:rPr>
          <w:lang w:val="es-ES"/>
        </w:rPr>
        <w:t xml:space="preserve">erda crear una subcomisión </w:t>
      </w:r>
      <w:r>
        <w:rPr>
          <w:lang w:val="es-ES"/>
        </w:rPr>
        <w:t>“</w:t>
      </w:r>
      <w:r w:rsidRPr="00B739B9">
        <w:rPr>
          <w:i/>
          <w:lang w:val="es-ES"/>
        </w:rPr>
        <w:t>para el impulso y coordinación de los trabajos técnicos preparatorios de la actualización de la Aportación Económica de Navarra a las cargas del Estado del año base 2015 y del método para hacer efectivos ajustes por impuestos indirectos durante el periodo 2015-2019</w:t>
      </w:r>
      <w:r w:rsidRPr="00B739B9">
        <w:rPr>
          <w:lang w:val="es-ES"/>
        </w:rPr>
        <w:t>”</w:t>
      </w:r>
    </w:p>
    <w:p w:rsidR="00B739B9" w:rsidRPr="002322B4" w:rsidRDefault="00B739B9" w:rsidP="003640F7">
      <w:pPr>
        <w:pStyle w:val="texto"/>
        <w:rPr>
          <w:lang w:val="es-ES"/>
        </w:rPr>
      </w:pPr>
      <w:r w:rsidRPr="002322B4">
        <w:rPr>
          <w:lang w:val="es-ES"/>
        </w:rPr>
        <w:t>Por tanto</w:t>
      </w:r>
      <w:r w:rsidR="008E1787">
        <w:rPr>
          <w:lang w:val="es-ES"/>
        </w:rPr>
        <w:t>,</w:t>
      </w:r>
      <w:r w:rsidRPr="002322B4">
        <w:rPr>
          <w:lang w:val="es-ES"/>
        </w:rPr>
        <w:t xml:space="preserve"> se han puesto en funcionamiento los mecanismo</w:t>
      </w:r>
      <w:r w:rsidR="004F6250">
        <w:rPr>
          <w:lang w:val="es-ES"/>
        </w:rPr>
        <w:t>s previstos en la modificación legal d</w:t>
      </w:r>
      <w:r w:rsidRPr="002322B4">
        <w:rPr>
          <w:lang w:val="es-ES"/>
        </w:rPr>
        <w:t>el Convenio con el objetivo esencial de determinar tanto la aportación al Estado como los ajustes tributarios para el nuevo quinquenio de 2015 a 2019.</w:t>
      </w:r>
    </w:p>
    <w:p w:rsidR="002322B4" w:rsidRDefault="002322B4" w:rsidP="003640F7">
      <w:pPr>
        <w:pStyle w:val="texto"/>
        <w:rPr>
          <w:lang w:val="es-ES"/>
        </w:rPr>
      </w:pPr>
      <w:r w:rsidRPr="002322B4">
        <w:rPr>
          <w:lang w:val="es-ES"/>
        </w:rPr>
        <w:t>Est</w:t>
      </w:r>
      <w:r w:rsidR="00491EDB">
        <w:rPr>
          <w:lang w:val="es-ES"/>
        </w:rPr>
        <w:t>a circunstancia debe</w:t>
      </w:r>
      <w:r>
        <w:rPr>
          <w:lang w:val="es-ES"/>
        </w:rPr>
        <w:t xml:space="preserve"> favorecer</w:t>
      </w:r>
      <w:r w:rsidRPr="002322B4">
        <w:rPr>
          <w:lang w:val="es-ES"/>
        </w:rPr>
        <w:t xml:space="preserve"> </w:t>
      </w:r>
      <w:r w:rsidR="00DB7317">
        <w:rPr>
          <w:lang w:val="es-ES"/>
        </w:rPr>
        <w:t>la</w:t>
      </w:r>
      <w:r w:rsidRPr="002322B4">
        <w:rPr>
          <w:lang w:val="es-ES"/>
        </w:rPr>
        <w:t xml:space="preserve"> revisión en profundidad de la aportación de Navarra a las cargas </w:t>
      </w:r>
      <w:r w:rsidR="00753C9D">
        <w:rPr>
          <w:lang w:val="es-ES"/>
        </w:rPr>
        <w:t xml:space="preserve">generales </w:t>
      </w:r>
      <w:r w:rsidRPr="002322B4">
        <w:rPr>
          <w:lang w:val="es-ES"/>
        </w:rPr>
        <w:t>del Estado</w:t>
      </w:r>
      <w:r>
        <w:rPr>
          <w:lang w:val="es-ES"/>
        </w:rPr>
        <w:t>, en lín</w:t>
      </w:r>
      <w:r w:rsidR="00DB7317">
        <w:rPr>
          <w:lang w:val="es-ES"/>
        </w:rPr>
        <w:t xml:space="preserve">ea con los trabajos técnicos </w:t>
      </w:r>
      <w:r>
        <w:rPr>
          <w:lang w:val="es-ES"/>
        </w:rPr>
        <w:t xml:space="preserve">realizados desde el Departamento de Hacienda y Política Financiera. </w:t>
      </w:r>
    </w:p>
    <w:p w:rsidR="002322B4" w:rsidRPr="002322B4" w:rsidRDefault="002322B4" w:rsidP="003640F7">
      <w:pPr>
        <w:pStyle w:val="texto"/>
        <w:rPr>
          <w:lang w:val="es-ES"/>
        </w:rPr>
      </w:pPr>
      <w:r>
        <w:rPr>
          <w:lang w:val="es-ES"/>
        </w:rPr>
        <w:t xml:space="preserve">Así mismo </w:t>
      </w:r>
      <w:r w:rsidR="00BB0A76">
        <w:rPr>
          <w:lang w:val="es-ES"/>
        </w:rPr>
        <w:t>debiera</w:t>
      </w:r>
      <w:r>
        <w:rPr>
          <w:lang w:val="es-ES"/>
        </w:rPr>
        <w:t xml:space="preserve"> permitir una simplificación de los métodos de cálculo</w:t>
      </w:r>
      <w:r w:rsidR="00E01D70">
        <w:rPr>
          <w:lang w:val="es-ES"/>
        </w:rPr>
        <w:t xml:space="preserve"> de los ajustes tributarios</w:t>
      </w:r>
      <w:r>
        <w:rPr>
          <w:lang w:val="es-ES"/>
        </w:rPr>
        <w:t xml:space="preserve">, cuya complejidad se incrementó considerablemente a partir de la problemática surgida en los ajustes de IVA por el cambio en el tratamiento de la </w:t>
      </w:r>
      <w:r w:rsidR="004F6250">
        <w:rPr>
          <w:lang w:val="es-ES"/>
        </w:rPr>
        <w:t>comercialización de</w:t>
      </w:r>
      <w:r>
        <w:rPr>
          <w:lang w:val="es-ES"/>
        </w:rPr>
        <w:t xml:space="preserve"> vehículos.</w:t>
      </w:r>
    </w:p>
    <w:p w:rsidR="00B739B9" w:rsidRDefault="00E01D70" w:rsidP="0086721E">
      <w:pPr>
        <w:pStyle w:val="texto"/>
        <w:spacing w:after="120"/>
        <w:rPr>
          <w:lang w:val="es-ES"/>
        </w:rPr>
      </w:pPr>
      <w:r>
        <w:rPr>
          <w:lang w:val="es-ES"/>
        </w:rPr>
        <w:t xml:space="preserve">Todo ello, teniendo en cuenta que todos los índices y esquemas del Convenio están planteados, </w:t>
      </w:r>
      <w:r w:rsidR="00DB7317">
        <w:rPr>
          <w:lang w:val="es-ES"/>
        </w:rPr>
        <w:t>fundamentalmente</w:t>
      </w:r>
      <w:r>
        <w:rPr>
          <w:lang w:val="es-ES"/>
        </w:rPr>
        <w:t>, con referencia a la situación económico-</w:t>
      </w:r>
      <w:r w:rsidR="00DB7317">
        <w:rPr>
          <w:lang w:val="es-ES"/>
        </w:rPr>
        <w:t xml:space="preserve">financiera </w:t>
      </w:r>
      <w:r w:rsidR="008906C3">
        <w:rPr>
          <w:lang w:val="es-ES"/>
        </w:rPr>
        <w:t xml:space="preserve">disponible en </w:t>
      </w:r>
      <w:r w:rsidR="00FF37F8">
        <w:rPr>
          <w:lang w:val="es-ES"/>
        </w:rPr>
        <w:t>1990.</w:t>
      </w:r>
    </w:p>
    <w:p w:rsidR="00BD6BFF" w:rsidRPr="00F92380" w:rsidRDefault="00BD6BFF" w:rsidP="00BD6BFF">
      <w:pPr>
        <w:pStyle w:val="atitulo2"/>
        <w:spacing w:before="240"/>
        <w:rPr>
          <w:color w:val="auto"/>
        </w:rPr>
      </w:pPr>
      <w:bookmarkStart w:id="49" w:name="_Toc463350254"/>
      <w:r w:rsidRPr="00F92380">
        <w:rPr>
          <w:color w:val="auto"/>
        </w:rPr>
        <w:t>IV.8. Gastos de personal</w:t>
      </w:r>
      <w:bookmarkEnd w:id="49"/>
    </w:p>
    <w:p w:rsidR="003B1EF2" w:rsidRDefault="007C2274" w:rsidP="007C2274">
      <w:pPr>
        <w:pStyle w:val="texto"/>
        <w:spacing w:after="120"/>
        <w:rPr>
          <w:lang w:val="es-ES"/>
        </w:rPr>
      </w:pPr>
      <w:r w:rsidRPr="007C2274">
        <w:rPr>
          <w:lang w:val="es-ES"/>
        </w:rPr>
        <w:t>Los gastos de personal en 2015 han supuesto un monto de 1.138,41 millones de euros,</w:t>
      </w:r>
      <w:r>
        <w:rPr>
          <w:lang w:val="es-ES"/>
        </w:rPr>
        <w:t xml:space="preserve"> con un grado de ejecución del 100 por cien y representando el 29 por ciento del gasto total del Gobierno en dicho año.</w:t>
      </w:r>
    </w:p>
    <w:p w:rsidR="003B1EF2" w:rsidRPr="007C2274" w:rsidRDefault="007C2274" w:rsidP="00F93912">
      <w:pPr>
        <w:pStyle w:val="texto"/>
        <w:spacing w:after="120"/>
        <w:rPr>
          <w:lang w:val="es-ES"/>
        </w:rPr>
      </w:pPr>
      <w:r>
        <w:rPr>
          <w:lang w:val="es-ES"/>
        </w:rPr>
        <w:t>Por departamentos,</w:t>
      </w:r>
      <w:r w:rsidRPr="00F93912">
        <w:rPr>
          <w:lang w:val="es-ES"/>
        </w:rPr>
        <w:t xml:space="preserve"> e</w:t>
      </w:r>
      <w:r w:rsidRPr="006D43A7">
        <w:rPr>
          <w:lang w:val="es-ES"/>
        </w:rPr>
        <w:t>l 43 por ciento corresponde al Departamento de Salud, el 30 por ciento a Educación y el 18 por ciento al Departamento de Presidencia, Justicia e Interior.</w:t>
      </w:r>
      <w:r>
        <w:rPr>
          <w:lang w:val="es-ES"/>
        </w:rPr>
        <w:t xml:space="preserve"> Estos porcentajes son idénticos al del ejercicio pasado.</w:t>
      </w:r>
    </w:p>
    <w:p w:rsidR="004011C4" w:rsidRPr="003640F7" w:rsidRDefault="007C2274" w:rsidP="003640F7">
      <w:pPr>
        <w:pStyle w:val="texto"/>
        <w:spacing w:after="240"/>
        <w:rPr>
          <w:spacing w:val="2"/>
          <w:lang w:val="es-ES"/>
        </w:rPr>
      </w:pPr>
      <w:r w:rsidRPr="003640F7">
        <w:rPr>
          <w:spacing w:val="2"/>
          <w:lang w:val="es-ES"/>
        </w:rPr>
        <w:t xml:space="preserve">Su distribución por artículos presupuestarios </w:t>
      </w:r>
      <w:r w:rsidR="003640F7" w:rsidRPr="003640F7">
        <w:rPr>
          <w:spacing w:val="2"/>
          <w:lang w:val="es-ES"/>
        </w:rPr>
        <w:t xml:space="preserve">y en miles de euros </w:t>
      </w:r>
      <w:r w:rsidRPr="003640F7">
        <w:rPr>
          <w:spacing w:val="2"/>
          <w:lang w:val="es-ES"/>
        </w:rPr>
        <w:t>es la siguiente:</w:t>
      </w:r>
    </w:p>
    <w:tbl>
      <w:tblPr>
        <w:tblW w:w="8758" w:type="dxa"/>
        <w:jc w:val="center"/>
        <w:tblInd w:w="-146"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619"/>
        <w:gridCol w:w="1600"/>
        <w:gridCol w:w="1600"/>
        <w:gridCol w:w="939"/>
      </w:tblGrid>
      <w:tr w:rsidR="003B1EF2" w:rsidRPr="003640F7" w:rsidTr="003640F7">
        <w:trPr>
          <w:trHeight w:val="300"/>
          <w:jc w:val="center"/>
        </w:trPr>
        <w:tc>
          <w:tcPr>
            <w:tcW w:w="4619" w:type="dxa"/>
            <w:shd w:val="clear" w:color="auto" w:fill="ACCBF9" w:themeFill="background2"/>
            <w:noWrap/>
            <w:vAlign w:val="center"/>
            <w:hideMark/>
          </w:tcPr>
          <w:p w:rsidR="003B1EF2" w:rsidRPr="003640F7" w:rsidRDefault="003B1EF2" w:rsidP="003B1EF2">
            <w:pPr>
              <w:pStyle w:val="cuadroCabe"/>
              <w:jc w:val="left"/>
            </w:pPr>
            <w:r w:rsidRPr="003640F7">
              <w:t>Gastos de personal</w:t>
            </w:r>
          </w:p>
        </w:tc>
        <w:tc>
          <w:tcPr>
            <w:tcW w:w="1600" w:type="dxa"/>
            <w:shd w:val="clear" w:color="auto" w:fill="ACCBF9" w:themeFill="background2"/>
            <w:noWrap/>
            <w:vAlign w:val="center"/>
          </w:tcPr>
          <w:p w:rsidR="003B1EF2" w:rsidRPr="003640F7" w:rsidRDefault="003B1EF2" w:rsidP="003640F7">
            <w:pPr>
              <w:pStyle w:val="cuadroCabe"/>
              <w:jc w:val="right"/>
            </w:pPr>
            <w:r w:rsidRPr="003640F7">
              <w:t>2014</w:t>
            </w:r>
          </w:p>
        </w:tc>
        <w:tc>
          <w:tcPr>
            <w:tcW w:w="1600" w:type="dxa"/>
            <w:shd w:val="clear" w:color="auto" w:fill="ACCBF9" w:themeFill="background2"/>
            <w:noWrap/>
            <w:vAlign w:val="center"/>
          </w:tcPr>
          <w:p w:rsidR="003B1EF2" w:rsidRPr="003640F7" w:rsidRDefault="003B1EF2" w:rsidP="003640F7">
            <w:pPr>
              <w:pStyle w:val="cuadroCabe"/>
              <w:jc w:val="right"/>
            </w:pPr>
            <w:r w:rsidRPr="003640F7">
              <w:t>2015</w:t>
            </w:r>
          </w:p>
        </w:tc>
        <w:tc>
          <w:tcPr>
            <w:tcW w:w="939" w:type="dxa"/>
            <w:shd w:val="clear" w:color="auto" w:fill="ACCBF9" w:themeFill="background2"/>
            <w:noWrap/>
            <w:vAlign w:val="center"/>
          </w:tcPr>
          <w:p w:rsidR="003B1EF2" w:rsidRPr="003640F7" w:rsidRDefault="003B1EF2" w:rsidP="003640F7">
            <w:pPr>
              <w:pStyle w:val="cuadroCabe"/>
              <w:jc w:val="right"/>
            </w:pPr>
            <w:r w:rsidRPr="003640F7">
              <w:t>% Var</w:t>
            </w:r>
            <w:r w:rsidR="00F33DBB">
              <w:t>ia</w:t>
            </w:r>
            <w:r w:rsidRPr="003640F7">
              <w:t>. 15/14</w:t>
            </w:r>
          </w:p>
        </w:tc>
      </w:tr>
      <w:tr w:rsidR="003B1EF2" w:rsidRPr="003B1EF2" w:rsidTr="003640F7">
        <w:trPr>
          <w:trHeight w:val="300"/>
          <w:jc w:val="center"/>
        </w:trPr>
        <w:tc>
          <w:tcPr>
            <w:tcW w:w="4619" w:type="dxa"/>
            <w:tcBorders>
              <w:bottom w:val="single" w:sz="2" w:space="0" w:color="auto"/>
            </w:tcBorders>
            <w:shd w:val="clear" w:color="auto" w:fill="auto"/>
            <w:noWrap/>
            <w:vAlign w:val="center"/>
            <w:hideMark/>
          </w:tcPr>
          <w:p w:rsidR="003B1EF2" w:rsidRPr="003B1EF2" w:rsidRDefault="003B1EF2" w:rsidP="003B1EF2">
            <w:pPr>
              <w:pStyle w:val="cuatexto"/>
              <w:jc w:val="left"/>
              <w:rPr>
                <w:szCs w:val="20"/>
              </w:rPr>
            </w:pPr>
            <w:r w:rsidRPr="003B1EF2">
              <w:rPr>
                <w:szCs w:val="20"/>
              </w:rPr>
              <w:t>Altos cargos</w:t>
            </w:r>
          </w:p>
        </w:tc>
        <w:tc>
          <w:tcPr>
            <w:tcW w:w="1600" w:type="dxa"/>
            <w:tcBorders>
              <w:bottom w:val="single" w:sz="2" w:space="0" w:color="auto"/>
            </w:tcBorders>
            <w:shd w:val="clear" w:color="auto" w:fill="auto"/>
            <w:noWrap/>
            <w:vAlign w:val="center"/>
            <w:hideMark/>
          </w:tcPr>
          <w:p w:rsidR="003B1EF2" w:rsidRPr="003B1EF2" w:rsidRDefault="003B1EF2" w:rsidP="003640F7">
            <w:pPr>
              <w:pStyle w:val="cuatexto"/>
              <w:jc w:val="right"/>
              <w:rPr>
                <w:szCs w:val="20"/>
              </w:rPr>
            </w:pPr>
            <w:r w:rsidRPr="003B1EF2">
              <w:rPr>
                <w:szCs w:val="20"/>
              </w:rPr>
              <w:t>4.740</w:t>
            </w:r>
          </w:p>
        </w:tc>
        <w:tc>
          <w:tcPr>
            <w:tcW w:w="1600" w:type="dxa"/>
            <w:tcBorders>
              <w:bottom w:val="single" w:sz="2" w:space="0" w:color="auto"/>
            </w:tcBorders>
            <w:shd w:val="clear" w:color="auto" w:fill="auto"/>
            <w:noWrap/>
            <w:vAlign w:val="center"/>
            <w:hideMark/>
          </w:tcPr>
          <w:p w:rsidR="003B1EF2" w:rsidRPr="003B1EF2" w:rsidRDefault="003B1EF2" w:rsidP="003640F7">
            <w:pPr>
              <w:pStyle w:val="cuatexto"/>
              <w:jc w:val="right"/>
              <w:rPr>
                <w:szCs w:val="20"/>
              </w:rPr>
            </w:pPr>
            <w:r w:rsidRPr="003B1EF2">
              <w:rPr>
                <w:szCs w:val="20"/>
              </w:rPr>
              <w:t>4.949</w:t>
            </w:r>
          </w:p>
        </w:tc>
        <w:tc>
          <w:tcPr>
            <w:tcW w:w="939" w:type="dxa"/>
            <w:tcBorders>
              <w:bottom w:val="single" w:sz="2" w:space="0" w:color="auto"/>
            </w:tcBorders>
            <w:shd w:val="clear" w:color="auto" w:fill="auto"/>
            <w:noWrap/>
            <w:vAlign w:val="center"/>
            <w:hideMark/>
          </w:tcPr>
          <w:p w:rsidR="003B1EF2" w:rsidRPr="003B1EF2" w:rsidRDefault="003B1EF2" w:rsidP="003640F7">
            <w:pPr>
              <w:pStyle w:val="cuatexto"/>
              <w:jc w:val="right"/>
              <w:rPr>
                <w:szCs w:val="20"/>
              </w:rPr>
            </w:pPr>
            <w:r w:rsidRPr="003B1EF2">
              <w:rPr>
                <w:szCs w:val="20"/>
              </w:rPr>
              <w:t>4</w:t>
            </w:r>
          </w:p>
        </w:tc>
      </w:tr>
      <w:tr w:rsidR="003B1EF2" w:rsidRPr="003B1EF2" w:rsidTr="003640F7">
        <w:trPr>
          <w:trHeight w:val="300"/>
          <w:jc w:val="center"/>
        </w:trPr>
        <w:tc>
          <w:tcPr>
            <w:tcW w:w="4619" w:type="dxa"/>
            <w:tcBorders>
              <w:top w:val="single" w:sz="2" w:space="0" w:color="auto"/>
              <w:bottom w:val="single" w:sz="2" w:space="0" w:color="auto"/>
            </w:tcBorders>
            <w:shd w:val="clear" w:color="auto" w:fill="auto"/>
            <w:noWrap/>
            <w:vAlign w:val="center"/>
            <w:hideMark/>
          </w:tcPr>
          <w:p w:rsidR="003B1EF2" w:rsidRPr="003B1EF2" w:rsidRDefault="003B1EF2" w:rsidP="003B1EF2">
            <w:pPr>
              <w:pStyle w:val="cuatexto"/>
              <w:jc w:val="left"/>
              <w:rPr>
                <w:szCs w:val="20"/>
              </w:rPr>
            </w:pPr>
            <w:r w:rsidRPr="003B1EF2">
              <w:rPr>
                <w:szCs w:val="20"/>
              </w:rPr>
              <w:t>Personal eventual</w:t>
            </w:r>
          </w:p>
        </w:tc>
        <w:tc>
          <w:tcPr>
            <w:tcW w:w="1600" w:type="dxa"/>
            <w:tcBorders>
              <w:top w:val="single" w:sz="2" w:space="0" w:color="auto"/>
              <w:bottom w:val="single" w:sz="2" w:space="0" w:color="auto"/>
            </w:tcBorders>
            <w:shd w:val="clear" w:color="auto" w:fill="auto"/>
            <w:noWrap/>
            <w:vAlign w:val="center"/>
            <w:hideMark/>
          </w:tcPr>
          <w:p w:rsidR="003B1EF2" w:rsidRPr="003B1EF2" w:rsidRDefault="003B1EF2" w:rsidP="003640F7">
            <w:pPr>
              <w:pStyle w:val="cuatexto"/>
              <w:jc w:val="right"/>
              <w:rPr>
                <w:szCs w:val="20"/>
              </w:rPr>
            </w:pPr>
            <w:r w:rsidRPr="003B1EF2">
              <w:rPr>
                <w:szCs w:val="20"/>
              </w:rPr>
              <w:t>1.151</w:t>
            </w:r>
          </w:p>
        </w:tc>
        <w:tc>
          <w:tcPr>
            <w:tcW w:w="1600" w:type="dxa"/>
            <w:tcBorders>
              <w:top w:val="single" w:sz="2" w:space="0" w:color="auto"/>
              <w:bottom w:val="single" w:sz="2" w:space="0" w:color="auto"/>
            </w:tcBorders>
            <w:shd w:val="clear" w:color="auto" w:fill="auto"/>
            <w:noWrap/>
            <w:vAlign w:val="center"/>
            <w:hideMark/>
          </w:tcPr>
          <w:p w:rsidR="003B1EF2" w:rsidRPr="003B1EF2" w:rsidRDefault="003B1EF2" w:rsidP="003640F7">
            <w:pPr>
              <w:pStyle w:val="cuatexto"/>
              <w:jc w:val="right"/>
              <w:rPr>
                <w:szCs w:val="20"/>
              </w:rPr>
            </w:pPr>
            <w:r w:rsidRPr="003B1EF2">
              <w:rPr>
                <w:szCs w:val="20"/>
              </w:rPr>
              <w:t>897</w:t>
            </w:r>
          </w:p>
        </w:tc>
        <w:tc>
          <w:tcPr>
            <w:tcW w:w="939" w:type="dxa"/>
            <w:tcBorders>
              <w:top w:val="single" w:sz="2" w:space="0" w:color="auto"/>
              <w:bottom w:val="single" w:sz="2" w:space="0" w:color="auto"/>
            </w:tcBorders>
            <w:shd w:val="clear" w:color="auto" w:fill="auto"/>
            <w:noWrap/>
            <w:vAlign w:val="center"/>
            <w:hideMark/>
          </w:tcPr>
          <w:p w:rsidR="003B1EF2" w:rsidRPr="003B1EF2" w:rsidRDefault="003B1EF2" w:rsidP="003640F7">
            <w:pPr>
              <w:pStyle w:val="cuatexto"/>
              <w:jc w:val="right"/>
              <w:rPr>
                <w:szCs w:val="20"/>
              </w:rPr>
            </w:pPr>
            <w:r w:rsidRPr="003B1EF2">
              <w:rPr>
                <w:szCs w:val="20"/>
              </w:rPr>
              <w:t>-22</w:t>
            </w:r>
          </w:p>
        </w:tc>
      </w:tr>
      <w:tr w:rsidR="003B1EF2" w:rsidRPr="003B1EF2" w:rsidTr="003640F7">
        <w:trPr>
          <w:trHeight w:val="300"/>
          <w:jc w:val="center"/>
        </w:trPr>
        <w:tc>
          <w:tcPr>
            <w:tcW w:w="4619" w:type="dxa"/>
            <w:tcBorders>
              <w:top w:val="single" w:sz="2" w:space="0" w:color="auto"/>
              <w:bottom w:val="single" w:sz="2" w:space="0" w:color="auto"/>
            </w:tcBorders>
            <w:shd w:val="clear" w:color="auto" w:fill="auto"/>
            <w:noWrap/>
            <w:vAlign w:val="center"/>
            <w:hideMark/>
          </w:tcPr>
          <w:p w:rsidR="003B1EF2" w:rsidRPr="003B1EF2" w:rsidRDefault="003B1EF2" w:rsidP="003B1EF2">
            <w:pPr>
              <w:pStyle w:val="cuatexto"/>
              <w:jc w:val="left"/>
              <w:rPr>
                <w:szCs w:val="20"/>
              </w:rPr>
            </w:pPr>
            <w:r w:rsidRPr="003B1EF2">
              <w:rPr>
                <w:szCs w:val="20"/>
              </w:rPr>
              <w:t>Retribuciones del puesto</w:t>
            </w:r>
          </w:p>
        </w:tc>
        <w:tc>
          <w:tcPr>
            <w:tcW w:w="1600" w:type="dxa"/>
            <w:tcBorders>
              <w:top w:val="single" w:sz="2" w:space="0" w:color="auto"/>
              <w:bottom w:val="single" w:sz="2" w:space="0" w:color="auto"/>
            </w:tcBorders>
            <w:shd w:val="clear" w:color="auto" w:fill="auto"/>
            <w:noWrap/>
            <w:vAlign w:val="center"/>
            <w:hideMark/>
          </w:tcPr>
          <w:p w:rsidR="003B1EF2" w:rsidRPr="003B1EF2" w:rsidRDefault="003B1EF2" w:rsidP="003640F7">
            <w:pPr>
              <w:pStyle w:val="cuatexto"/>
              <w:jc w:val="right"/>
              <w:rPr>
                <w:szCs w:val="20"/>
              </w:rPr>
            </w:pPr>
            <w:r w:rsidRPr="003B1EF2">
              <w:rPr>
                <w:szCs w:val="20"/>
              </w:rPr>
              <w:t>695.486</w:t>
            </w:r>
          </w:p>
        </w:tc>
        <w:tc>
          <w:tcPr>
            <w:tcW w:w="1600" w:type="dxa"/>
            <w:tcBorders>
              <w:top w:val="single" w:sz="2" w:space="0" w:color="auto"/>
              <w:bottom w:val="single" w:sz="2" w:space="0" w:color="auto"/>
            </w:tcBorders>
            <w:shd w:val="clear" w:color="auto" w:fill="auto"/>
            <w:noWrap/>
            <w:vAlign w:val="center"/>
            <w:hideMark/>
          </w:tcPr>
          <w:p w:rsidR="003B1EF2" w:rsidRPr="003B1EF2" w:rsidRDefault="003B1EF2" w:rsidP="003640F7">
            <w:pPr>
              <w:pStyle w:val="cuatexto"/>
              <w:jc w:val="right"/>
              <w:rPr>
                <w:szCs w:val="20"/>
              </w:rPr>
            </w:pPr>
            <w:r w:rsidRPr="003B1EF2">
              <w:rPr>
                <w:szCs w:val="20"/>
              </w:rPr>
              <w:t>700.369</w:t>
            </w:r>
          </w:p>
        </w:tc>
        <w:tc>
          <w:tcPr>
            <w:tcW w:w="939" w:type="dxa"/>
            <w:tcBorders>
              <w:top w:val="single" w:sz="2" w:space="0" w:color="auto"/>
              <w:bottom w:val="single" w:sz="2" w:space="0" w:color="auto"/>
            </w:tcBorders>
            <w:shd w:val="clear" w:color="auto" w:fill="auto"/>
            <w:noWrap/>
            <w:vAlign w:val="center"/>
            <w:hideMark/>
          </w:tcPr>
          <w:p w:rsidR="003B1EF2" w:rsidRPr="003B1EF2" w:rsidRDefault="003B1EF2" w:rsidP="003640F7">
            <w:pPr>
              <w:pStyle w:val="cuatexto"/>
              <w:jc w:val="right"/>
              <w:rPr>
                <w:szCs w:val="20"/>
              </w:rPr>
            </w:pPr>
            <w:r>
              <w:rPr>
                <w:szCs w:val="20"/>
              </w:rPr>
              <w:t>1</w:t>
            </w:r>
          </w:p>
        </w:tc>
      </w:tr>
      <w:tr w:rsidR="003B1EF2" w:rsidRPr="003B1EF2" w:rsidTr="003640F7">
        <w:trPr>
          <w:trHeight w:val="300"/>
          <w:jc w:val="center"/>
        </w:trPr>
        <w:tc>
          <w:tcPr>
            <w:tcW w:w="4619" w:type="dxa"/>
            <w:tcBorders>
              <w:top w:val="single" w:sz="2" w:space="0" w:color="auto"/>
              <w:bottom w:val="single" w:sz="2" w:space="0" w:color="auto"/>
            </w:tcBorders>
            <w:shd w:val="clear" w:color="auto" w:fill="auto"/>
            <w:noWrap/>
            <w:vAlign w:val="center"/>
            <w:hideMark/>
          </w:tcPr>
          <w:p w:rsidR="003B1EF2" w:rsidRPr="003B1EF2" w:rsidRDefault="003B1EF2" w:rsidP="003B1EF2">
            <w:pPr>
              <w:pStyle w:val="cuatexto"/>
              <w:jc w:val="left"/>
              <w:rPr>
                <w:szCs w:val="20"/>
              </w:rPr>
            </w:pPr>
            <w:r w:rsidRPr="003B1EF2">
              <w:rPr>
                <w:szCs w:val="20"/>
              </w:rPr>
              <w:t>Retribuciones personales</w:t>
            </w:r>
          </w:p>
        </w:tc>
        <w:tc>
          <w:tcPr>
            <w:tcW w:w="1600" w:type="dxa"/>
            <w:tcBorders>
              <w:top w:val="single" w:sz="2" w:space="0" w:color="auto"/>
              <w:bottom w:val="single" w:sz="2" w:space="0" w:color="auto"/>
            </w:tcBorders>
            <w:shd w:val="clear" w:color="auto" w:fill="auto"/>
            <w:noWrap/>
            <w:vAlign w:val="center"/>
            <w:hideMark/>
          </w:tcPr>
          <w:p w:rsidR="003B1EF2" w:rsidRPr="003B1EF2" w:rsidRDefault="003B1EF2" w:rsidP="003640F7">
            <w:pPr>
              <w:pStyle w:val="cuatexto"/>
              <w:jc w:val="right"/>
              <w:rPr>
                <w:szCs w:val="20"/>
              </w:rPr>
            </w:pPr>
            <w:r w:rsidRPr="003B1EF2">
              <w:rPr>
                <w:szCs w:val="20"/>
              </w:rPr>
              <w:t>119.445</w:t>
            </w:r>
          </w:p>
        </w:tc>
        <w:tc>
          <w:tcPr>
            <w:tcW w:w="1600" w:type="dxa"/>
            <w:tcBorders>
              <w:top w:val="single" w:sz="2" w:space="0" w:color="auto"/>
              <w:bottom w:val="single" w:sz="2" w:space="0" w:color="auto"/>
            </w:tcBorders>
            <w:shd w:val="clear" w:color="auto" w:fill="auto"/>
            <w:noWrap/>
            <w:vAlign w:val="center"/>
            <w:hideMark/>
          </w:tcPr>
          <w:p w:rsidR="003B1EF2" w:rsidRPr="003B1EF2" w:rsidRDefault="003B1EF2" w:rsidP="003640F7">
            <w:pPr>
              <w:pStyle w:val="cuatexto"/>
              <w:jc w:val="right"/>
              <w:rPr>
                <w:szCs w:val="20"/>
              </w:rPr>
            </w:pPr>
            <w:r w:rsidRPr="003B1EF2">
              <w:rPr>
                <w:szCs w:val="20"/>
              </w:rPr>
              <w:t>119.120</w:t>
            </w:r>
          </w:p>
        </w:tc>
        <w:tc>
          <w:tcPr>
            <w:tcW w:w="939" w:type="dxa"/>
            <w:tcBorders>
              <w:top w:val="single" w:sz="2" w:space="0" w:color="auto"/>
              <w:bottom w:val="single" w:sz="2" w:space="0" w:color="auto"/>
            </w:tcBorders>
            <w:shd w:val="clear" w:color="auto" w:fill="auto"/>
            <w:noWrap/>
            <w:vAlign w:val="center"/>
            <w:hideMark/>
          </w:tcPr>
          <w:p w:rsidR="003B1EF2" w:rsidRPr="003B1EF2" w:rsidRDefault="003B1EF2" w:rsidP="003640F7">
            <w:pPr>
              <w:pStyle w:val="cuatexto"/>
              <w:jc w:val="right"/>
              <w:rPr>
                <w:szCs w:val="20"/>
              </w:rPr>
            </w:pPr>
            <w:r>
              <w:rPr>
                <w:szCs w:val="20"/>
              </w:rPr>
              <w:t>-</w:t>
            </w:r>
          </w:p>
        </w:tc>
      </w:tr>
      <w:tr w:rsidR="003B1EF2" w:rsidRPr="003B1EF2" w:rsidTr="003640F7">
        <w:trPr>
          <w:trHeight w:val="300"/>
          <w:jc w:val="center"/>
        </w:trPr>
        <w:tc>
          <w:tcPr>
            <w:tcW w:w="4619" w:type="dxa"/>
            <w:tcBorders>
              <w:top w:val="single" w:sz="2" w:space="0" w:color="auto"/>
              <w:bottom w:val="single" w:sz="2" w:space="0" w:color="auto"/>
            </w:tcBorders>
            <w:shd w:val="clear" w:color="auto" w:fill="auto"/>
            <w:noWrap/>
            <w:vAlign w:val="center"/>
            <w:hideMark/>
          </w:tcPr>
          <w:p w:rsidR="003B1EF2" w:rsidRPr="003B1EF2" w:rsidRDefault="003B1EF2" w:rsidP="003B1EF2">
            <w:pPr>
              <w:pStyle w:val="cuatexto"/>
              <w:jc w:val="left"/>
              <w:rPr>
                <w:szCs w:val="20"/>
              </w:rPr>
            </w:pPr>
            <w:r w:rsidRPr="003B1EF2">
              <w:rPr>
                <w:szCs w:val="20"/>
              </w:rPr>
              <w:t>Cuotas, prestaciones y gastos sociales</w:t>
            </w:r>
          </w:p>
        </w:tc>
        <w:tc>
          <w:tcPr>
            <w:tcW w:w="1600" w:type="dxa"/>
            <w:tcBorders>
              <w:top w:val="single" w:sz="2" w:space="0" w:color="auto"/>
              <w:bottom w:val="single" w:sz="2" w:space="0" w:color="auto"/>
            </w:tcBorders>
            <w:shd w:val="clear" w:color="auto" w:fill="auto"/>
            <w:noWrap/>
            <w:vAlign w:val="center"/>
            <w:hideMark/>
          </w:tcPr>
          <w:p w:rsidR="003B1EF2" w:rsidRPr="003B1EF2" w:rsidRDefault="003B1EF2" w:rsidP="003640F7">
            <w:pPr>
              <w:pStyle w:val="cuatexto"/>
              <w:jc w:val="right"/>
              <w:rPr>
                <w:szCs w:val="20"/>
              </w:rPr>
            </w:pPr>
            <w:r w:rsidRPr="003B1EF2">
              <w:rPr>
                <w:szCs w:val="20"/>
              </w:rPr>
              <w:t>237.725</w:t>
            </w:r>
          </w:p>
        </w:tc>
        <w:tc>
          <w:tcPr>
            <w:tcW w:w="1600" w:type="dxa"/>
            <w:tcBorders>
              <w:top w:val="single" w:sz="2" w:space="0" w:color="auto"/>
              <w:bottom w:val="single" w:sz="2" w:space="0" w:color="auto"/>
            </w:tcBorders>
            <w:shd w:val="clear" w:color="auto" w:fill="auto"/>
            <w:noWrap/>
            <w:vAlign w:val="center"/>
            <w:hideMark/>
          </w:tcPr>
          <w:p w:rsidR="003B1EF2" w:rsidRPr="003B1EF2" w:rsidRDefault="003B1EF2" w:rsidP="003640F7">
            <w:pPr>
              <w:pStyle w:val="cuatexto"/>
              <w:jc w:val="right"/>
              <w:rPr>
                <w:szCs w:val="20"/>
              </w:rPr>
            </w:pPr>
            <w:r w:rsidRPr="003B1EF2">
              <w:rPr>
                <w:szCs w:val="20"/>
              </w:rPr>
              <w:t>244.854</w:t>
            </w:r>
          </w:p>
        </w:tc>
        <w:tc>
          <w:tcPr>
            <w:tcW w:w="939" w:type="dxa"/>
            <w:tcBorders>
              <w:top w:val="single" w:sz="2" w:space="0" w:color="auto"/>
              <w:bottom w:val="single" w:sz="2" w:space="0" w:color="auto"/>
            </w:tcBorders>
            <w:shd w:val="clear" w:color="auto" w:fill="auto"/>
            <w:noWrap/>
            <w:vAlign w:val="center"/>
            <w:hideMark/>
          </w:tcPr>
          <w:p w:rsidR="003B1EF2" w:rsidRPr="003B1EF2" w:rsidRDefault="003B1EF2" w:rsidP="003640F7">
            <w:pPr>
              <w:pStyle w:val="cuatexto"/>
              <w:jc w:val="right"/>
              <w:rPr>
                <w:szCs w:val="20"/>
              </w:rPr>
            </w:pPr>
            <w:r w:rsidRPr="003B1EF2">
              <w:rPr>
                <w:szCs w:val="20"/>
              </w:rPr>
              <w:t>3</w:t>
            </w:r>
          </w:p>
        </w:tc>
      </w:tr>
      <w:tr w:rsidR="003B1EF2" w:rsidRPr="003B1EF2" w:rsidTr="003640F7">
        <w:trPr>
          <w:trHeight w:val="300"/>
          <w:jc w:val="center"/>
        </w:trPr>
        <w:tc>
          <w:tcPr>
            <w:tcW w:w="4619" w:type="dxa"/>
            <w:tcBorders>
              <w:top w:val="single" w:sz="2" w:space="0" w:color="auto"/>
              <w:bottom w:val="single" w:sz="2" w:space="0" w:color="auto"/>
            </w:tcBorders>
            <w:shd w:val="clear" w:color="auto" w:fill="auto"/>
            <w:noWrap/>
            <w:vAlign w:val="center"/>
            <w:hideMark/>
          </w:tcPr>
          <w:p w:rsidR="003B1EF2" w:rsidRPr="003B1EF2" w:rsidRDefault="003B1EF2" w:rsidP="003B1EF2">
            <w:pPr>
              <w:pStyle w:val="cuatexto"/>
              <w:jc w:val="left"/>
              <w:rPr>
                <w:szCs w:val="20"/>
              </w:rPr>
            </w:pPr>
            <w:r w:rsidRPr="003B1EF2">
              <w:rPr>
                <w:szCs w:val="20"/>
              </w:rPr>
              <w:t>Retribuciones variables del personal</w:t>
            </w:r>
          </w:p>
        </w:tc>
        <w:tc>
          <w:tcPr>
            <w:tcW w:w="1600" w:type="dxa"/>
            <w:tcBorders>
              <w:top w:val="single" w:sz="2" w:space="0" w:color="auto"/>
              <w:bottom w:val="single" w:sz="2" w:space="0" w:color="auto"/>
            </w:tcBorders>
            <w:shd w:val="clear" w:color="auto" w:fill="auto"/>
            <w:noWrap/>
            <w:vAlign w:val="center"/>
            <w:hideMark/>
          </w:tcPr>
          <w:p w:rsidR="003B1EF2" w:rsidRPr="003B1EF2" w:rsidRDefault="003B1EF2" w:rsidP="003640F7">
            <w:pPr>
              <w:pStyle w:val="cuatexto"/>
              <w:jc w:val="right"/>
              <w:rPr>
                <w:szCs w:val="20"/>
              </w:rPr>
            </w:pPr>
            <w:r w:rsidRPr="003B1EF2">
              <w:rPr>
                <w:szCs w:val="20"/>
              </w:rPr>
              <w:t>49.018</w:t>
            </w:r>
          </w:p>
        </w:tc>
        <w:tc>
          <w:tcPr>
            <w:tcW w:w="1600" w:type="dxa"/>
            <w:tcBorders>
              <w:top w:val="single" w:sz="2" w:space="0" w:color="auto"/>
              <w:bottom w:val="single" w:sz="2" w:space="0" w:color="auto"/>
            </w:tcBorders>
            <w:shd w:val="clear" w:color="auto" w:fill="auto"/>
            <w:noWrap/>
            <w:vAlign w:val="center"/>
            <w:hideMark/>
          </w:tcPr>
          <w:p w:rsidR="003B1EF2" w:rsidRPr="003B1EF2" w:rsidRDefault="003B1EF2" w:rsidP="003640F7">
            <w:pPr>
              <w:pStyle w:val="cuatexto"/>
              <w:jc w:val="right"/>
              <w:rPr>
                <w:szCs w:val="20"/>
              </w:rPr>
            </w:pPr>
            <w:r w:rsidRPr="003B1EF2">
              <w:rPr>
                <w:szCs w:val="20"/>
              </w:rPr>
              <w:t>49.534</w:t>
            </w:r>
          </w:p>
        </w:tc>
        <w:tc>
          <w:tcPr>
            <w:tcW w:w="939" w:type="dxa"/>
            <w:tcBorders>
              <w:top w:val="single" w:sz="2" w:space="0" w:color="auto"/>
              <w:bottom w:val="single" w:sz="2" w:space="0" w:color="auto"/>
            </w:tcBorders>
            <w:shd w:val="clear" w:color="auto" w:fill="auto"/>
            <w:noWrap/>
            <w:vAlign w:val="center"/>
            <w:hideMark/>
          </w:tcPr>
          <w:p w:rsidR="003B1EF2" w:rsidRPr="003B1EF2" w:rsidRDefault="003B1EF2" w:rsidP="003640F7">
            <w:pPr>
              <w:pStyle w:val="cuatexto"/>
              <w:jc w:val="right"/>
              <w:rPr>
                <w:szCs w:val="20"/>
              </w:rPr>
            </w:pPr>
            <w:r w:rsidRPr="003B1EF2">
              <w:rPr>
                <w:szCs w:val="20"/>
              </w:rPr>
              <w:t>1</w:t>
            </w:r>
          </w:p>
        </w:tc>
      </w:tr>
      <w:tr w:rsidR="003B1EF2" w:rsidRPr="003B1EF2" w:rsidTr="003640F7">
        <w:trPr>
          <w:trHeight w:val="300"/>
          <w:jc w:val="center"/>
        </w:trPr>
        <w:tc>
          <w:tcPr>
            <w:tcW w:w="4619" w:type="dxa"/>
            <w:tcBorders>
              <w:top w:val="single" w:sz="2" w:space="0" w:color="auto"/>
            </w:tcBorders>
            <w:shd w:val="clear" w:color="auto" w:fill="auto"/>
            <w:noWrap/>
            <w:vAlign w:val="center"/>
            <w:hideMark/>
          </w:tcPr>
          <w:p w:rsidR="003B1EF2" w:rsidRPr="003B1EF2" w:rsidRDefault="003B1EF2" w:rsidP="003B1EF2">
            <w:pPr>
              <w:pStyle w:val="cuatexto"/>
              <w:jc w:val="left"/>
              <w:rPr>
                <w:szCs w:val="20"/>
              </w:rPr>
            </w:pPr>
            <w:r w:rsidRPr="003B1EF2">
              <w:rPr>
                <w:szCs w:val="20"/>
              </w:rPr>
              <w:t>Otras retribuciones de personal</w:t>
            </w:r>
          </w:p>
        </w:tc>
        <w:tc>
          <w:tcPr>
            <w:tcW w:w="1600" w:type="dxa"/>
            <w:tcBorders>
              <w:top w:val="single" w:sz="2" w:space="0" w:color="auto"/>
            </w:tcBorders>
            <w:shd w:val="clear" w:color="auto" w:fill="auto"/>
            <w:noWrap/>
            <w:vAlign w:val="center"/>
            <w:hideMark/>
          </w:tcPr>
          <w:p w:rsidR="003B1EF2" w:rsidRPr="003B1EF2" w:rsidRDefault="003B1EF2" w:rsidP="003640F7">
            <w:pPr>
              <w:pStyle w:val="cuatexto"/>
              <w:jc w:val="right"/>
              <w:rPr>
                <w:szCs w:val="20"/>
              </w:rPr>
            </w:pPr>
            <w:r w:rsidRPr="003B1EF2">
              <w:rPr>
                <w:szCs w:val="20"/>
              </w:rPr>
              <w:t>4.155</w:t>
            </w:r>
          </w:p>
        </w:tc>
        <w:tc>
          <w:tcPr>
            <w:tcW w:w="1600" w:type="dxa"/>
            <w:tcBorders>
              <w:top w:val="single" w:sz="2" w:space="0" w:color="auto"/>
            </w:tcBorders>
            <w:shd w:val="clear" w:color="auto" w:fill="auto"/>
            <w:noWrap/>
            <w:vAlign w:val="center"/>
            <w:hideMark/>
          </w:tcPr>
          <w:p w:rsidR="003B1EF2" w:rsidRPr="003B1EF2" w:rsidRDefault="003B1EF2" w:rsidP="003640F7">
            <w:pPr>
              <w:pStyle w:val="cuatexto"/>
              <w:jc w:val="right"/>
              <w:rPr>
                <w:szCs w:val="20"/>
              </w:rPr>
            </w:pPr>
            <w:r w:rsidRPr="003B1EF2">
              <w:rPr>
                <w:szCs w:val="20"/>
              </w:rPr>
              <w:t>18.691</w:t>
            </w:r>
          </w:p>
        </w:tc>
        <w:tc>
          <w:tcPr>
            <w:tcW w:w="939" w:type="dxa"/>
            <w:tcBorders>
              <w:top w:val="single" w:sz="2" w:space="0" w:color="auto"/>
            </w:tcBorders>
            <w:shd w:val="clear" w:color="auto" w:fill="auto"/>
            <w:noWrap/>
            <w:vAlign w:val="center"/>
            <w:hideMark/>
          </w:tcPr>
          <w:p w:rsidR="003B1EF2" w:rsidRPr="003B1EF2" w:rsidRDefault="003B1EF2" w:rsidP="003640F7">
            <w:pPr>
              <w:pStyle w:val="cuatexto"/>
              <w:jc w:val="right"/>
              <w:rPr>
                <w:szCs w:val="20"/>
              </w:rPr>
            </w:pPr>
            <w:r w:rsidRPr="003B1EF2">
              <w:rPr>
                <w:szCs w:val="20"/>
              </w:rPr>
              <w:t>3</w:t>
            </w:r>
            <w:r>
              <w:rPr>
                <w:szCs w:val="20"/>
              </w:rPr>
              <w:t>50</w:t>
            </w:r>
          </w:p>
        </w:tc>
      </w:tr>
      <w:tr w:rsidR="003B1EF2" w:rsidRPr="003640F7" w:rsidTr="003640F7">
        <w:trPr>
          <w:trHeight w:val="300"/>
          <w:jc w:val="center"/>
        </w:trPr>
        <w:tc>
          <w:tcPr>
            <w:tcW w:w="4619" w:type="dxa"/>
            <w:shd w:val="clear" w:color="auto" w:fill="ACCBF9" w:themeFill="background2"/>
            <w:noWrap/>
            <w:vAlign w:val="center"/>
          </w:tcPr>
          <w:p w:rsidR="003B1EF2" w:rsidRPr="003640F7" w:rsidRDefault="003B1EF2" w:rsidP="003B1EF2">
            <w:pPr>
              <w:pStyle w:val="cuadroCabe"/>
              <w:jc w:val="left"/>
              <w:rPr>
                <w:rFonts w:ascii="Arial Narrow" w:hAnsi="Arial Narrow"/>
                <w:sz w:val="20"/>
                <w:szCs w:val="20"/>
              </w:rPr>
            </w:pPr>
            <w:r w:rsidRPr="003640F7">
              <w:t>Total capítulo 1</w:t>
            </w:r>
          </w:p>
        </w:tc>
        <w:tc>
          <w:tcPr>
            <w:tcW w:w="1600" w:type="dxa"/>
            <w:shd w:val="clear" w:color="auto" w:fill="ACCBF9" w:themeFill="background2"/>
            <w:noWrap/>
            <w:vAlign w:val="center"/>
          </w:tcPr>
          <w:p w:rsidR="003B1EF2" w:rsidRPr="003640F7" w:rsidRDefault="003B1EF2" w:rsidP="003640F7">
            <w:pPr>
              <w:pStyle w:val="cuadroCabe"/>
              <w:jc w:val="right"/>
            </w:pPr>
            <w:r w:rsidRPr="003640F7">
              <w:t>1.111.719</w:t>
            </w:r>
          </w:p>
        </w:tc>
        <w:tc>
          <w:tcPr>
            <w:tcW w:w="1600" w:type="dxa"/>
            <w:shd w:val="clear" w:color="auto" w:fill="ACCBF9" w:themeFill="background2"/>
            <w:noWrap/>
            <w:vAlign w:val="center"/>
          </w:tcPr>
          <w:p w:rsidR="003B1EF2" w:rsidRPr="003640F7" w:rsidRDefault="003B1EF2" w:rsidP="003640F7">
            <w:pPr>
              <w:pStyle w:val="cuadroCabe"/>
              <w:jc w:val="right"/>
            </w:pPr>
            <w:r w:rsidRPr="003640F7">
              <w:t>1.138.413</w:t>
            </w:r>
          </w:p>
        </w:tc>
        <w:tc>
          <w:tcPr>
            <w:tcW w:w="939" w:type="dxa"/>
            <w:shd w:val="clear" w:color="auto" w:fill="ACCBF9" w:themeFill="background2"/>
            <w:noWrap/>
            <w:vAlign w:val="center"/>
          </w:tcPr>
          <w:p w:rsidR="003B1EF2" w:rsidRPr="003640F7" w:rsidRDefault="003B1EF2" w:rsidP="003640F7">
            <w:pPr>
              <w:pStyle w:val="cuadroCabe"/>
              <w:jc w:val="right"/>
            </w:pPr>
            <w:r w:rsidRPr="003640F7">
              <w:t>2</w:t>
            </w:r>
          </w:p>
        </w:tc>
      </w:tr>
    </w:tbl>
    <w:p w:rsidR="007C2274" w:rsidRDefault="00F90DAD" w:rsidP="003640F7">
      <w:pPr>
        <w:pStyle w:val="texto"/>
        <w:spacing w:before="240"/>
        <w:rPr>
          <w:lang w:val="es-ES"/>
        </w:rPr>
      </w:pPr>
      <w:r>
        <w:rPr>
          <w:lang w:val="es-ES"/>
        </w:rPr>
        <w:t>Globalmente y r</w:t>
      </w:r>
      <w:r w:rsidR="007C2274" w:rsidRPr="006D43A7">
        <w:rPr>
          <w:lang w:val="es-ES"/>
        </w:rPr>
        <w:t>especto a 201</w:t>
      </w:r>
      <w:r w:rsidR="007C2274">
        <w:rPr>
          <w:lang w:val="es-ES"/>
        </w:rPr>
        <w:t>4</w:t>
      </w:r>
      <w:r w:rsidR="007C2274" w:rsidRPr="006D43A7">
        <w:rPr>
          <w:lang w:val="es-ES"/>
        </w:rPr>
        <w:t xml:space="preserve">, aumentaron en </w:t>
      </w:r>
      <w:r w:rsidR="00F93912">
        <w:rPr>
          <w:lang w:val="es-ES"/>
        </w:rPr>
        <w:t xml:space="preserve">un </w:t>
      </w:r>
      <w:r w:rsidR="007C2274">
        <w:rPr>
          <w:lang w:val="es-ES"/>
        </w:rPr>
        <w:t>dos</w:t>
      </w:r>
      <w:r w:rsidR="00F93912">
        <w:rPr>
          <w:lang w:val="es-ES"/>
        </w:rPr>
        <w:t xml:space="preserve"> </w:t>
      </w:r>
      <w:r w:rsidR="007C2274" w:rsidRPr="006D43A7">
        <w:rPr>
          <w:lang w:val="es-ES"/>
        </w:rPr>
        <w:t xml:space="preserve">por ciento, </w:t>
      </w:r>
      <w:r w:rsidR="007C2274">
        <w:rPr>
          <w:lang w:val="es-ES"/>
        </w:rPr>
        <w:t xml:space="preserve">es decir, </w:t>
      </w:r>
      <w:r w:rsidR="00F93912">
        <w:rPr>
          <w:lang w:val="es-ES"/>
        </w:rPr>
        <w:t>unos 27</w:t>
      </w:r>
      <w:r w:rsidR="007C2274" w:rsidRPr="006D43A7">
        <w:rPr>
          <w:lang w:val="es-ES"/>
        </w:rPr>
        <w:t xml:space="preserve"> millones más de gasto. </w:t>
      </w:r>
      <w:r w:rsidR="007C2274">
        <w:rPr>
          <w:lang w:val="es-ES"/>
        </w:rPr>
        <w:t>De es</w:t>
      </w:r>
      <w:r w:rsidR="00FF1B5F">
        <w:rPr>
          <w:lang w:val="es-ES"/>
        </w:rPr>
        <w:t>t</w:t>
      </w:r>
      <w:r w:rsidR="007C2274">
        <w:rPr>
          <w:lang w:val="es-ES"/>
        </w:rPr>
        <w:t>a comparación, dest</w:t>
      </w:r>
      <w:r w:rsidR="00F93912">
        <w:rPr>
          <w:lang w:val="es-ES"/>
        </w:rPr>
        <w:t>a</w:t>
      </w:r>
      <w:r w:rsidR="007C2274">
        <w:rPr>
          <w:lang w:val="es-ES"/>
        </w:rPr>
        <w:t>camos</w:t>
      </w:r>
      <w:r w:rsidR="00F93912">
        <w:rPr>
          <w:lang w:val="es-ES"/>
        </w:rPr>
        <w:t xml:space="preserve"> además:</w:t>
      </w:r>
    </w:p>
    <w:p w:rsidR="00F93912" w:rsidRDefault="00F93912" w:rsidP="00F93912">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Pr>
          <w:lang w:val="es-ES"/>
        </w:rPr>
        <w:t>Dentro de altos cargos, en 2015 incluye 0,35 millones por prestaciones</w:t>
      </w:r>
      <w:r w:rsidR="00C44CC1">
        <w:rPr>
          <w:lang w:val="es-ES"/>
        </w:rPr>
        <w:t xml:space="preserve"> de cesantía de</w:t>
      </w:r>
      <w:r>
        <w:rPr>
          <w:lang w:val="es-ES"/>
        </w:rPr>
        <w:t xml:space="preserve"> </w:t>
      </w:r>
      <w:r w:rsidR="00D434DB">
        <w:rPr>
          <w:lang w:val="es-ES"/>
        </w:rPr>
        <w:t>ex altos</w:t>
      </w:r>
      <w:r w:rsidR="004011C4">
        <w:rPr>
          <w:lang w:val="es-ES"/>
        </w:rPr>
        <w:t xml:space="preserve"> cargos. </w:t>
      </w:r>
      <w:r w:rsidR="00FF6774">
        <w:rPr>
          <w:lang w:val="es-ES"/>
        </w:rPr>
        <w:t>Sin las cesantías, l</w:t>
      </w:r>
      <w:r>
        <w:rPr>
          <w:lang w:val="es-ES"/>
        </w:rPr>
        <w:t>as retribuciones a altos cargos se han reducido en un dos por ciento.</w:t>
      </w:r>
    </w:p>
    <w:p w:rsidR="00F90DAD" w:rsidRDefault="00F90DAD" w:rsidP="00F93912">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Pr>
          <w:lang w:val="es-ES"/>
        </w:rPr>
        <w:t>Las retribuciones de personal eventual igualmente se han visto reducidas en un 22 por ciento.</w:t>
      </w:r>
    </w:p>
    <w:p w:rsidR="00BC1EBE" w:rsidRPr="00D61966" w:rsidRDefault="00F93912" w:rsidP="003640F7">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360"/>
        <w:ind w:left="0" w:firstLine="289"/>
        <w:rPr>
          <w:lang w:val="es-ES"/>
        </w:rPr>
      </w:pPr>
      <w:r>
        <w:rPr>
          <w:lang w:val="es-ES"/>
        </w:rPr>
        <w:t>En otras retribuciones de personal, se ha incrementado en 2015 al incluirse la devolución a los empleados públicos del 2</w:t>
      </w:r>
      <w:r w:rsidR="004011C4">
        <w:rPr>
          <w:lang w:val="es-ES"/>
        </w:rPr>
        <w:t>4,04</w:t>
      </w:r>
      <w:r>
        <w:rPr>
          <w:lang w:val="es-ES"/>
        </w:rPr>
        <w:t xml:space="preserve"> por ciento de la paga extra suprimida de diciembre de </w:t>
      </w:r>
      <w:r w:rsidRPr="0027722B">
        <w:rPr>
          <w:lang w:val="es-ES"/>
        </w:rPr>
        <w:t>2012</w:t>
      </w:r>
      <w:r w:rsidR="0027722B" w:rsidRPr="0027722B">
        <w:rPr>
          <w:lang w:val="es-ES"/>
        </w:rPr>
        <w:t xml:space="preserve"> –en torno a 14 millones</w:t>
      </w:r>
      <w:r w:rsidR="003640F7">
        <w:rPr>
          <w:lang w:val="es-ES"/>
        </w:rPr>
        <w:t>–.</w:t>
      </w:r>
    </w:p>
    <w:p w:rsidR="00BD6BFF" w:rsidRPr="007C2274" w:rsidRDefault="00AA3922" w:rsidP="00AA3922">
      <w:pPr>
        <w:pStyle w:val="atitulo3"/>
        <w:rPr>
          <w:lang w:val="es-ES"/>
        </w:rPr>
      </w:pPr>
      <w:r>
        <w:rPr>
          <w:lang w:val="es-ES"/>
        </w:rPr>
        <w:t xml:space="preserve">Plantilla Orgánica </w:t>
      </w:r>
      <w:r w:rsidR="00F92380">
        <w:rPr>
          <w:lang w:val="es-ES"/>
        </w:rPr>
        <w:t>2015</w:t>
      </w:r>
      <w:r w:rsidR="000B0E1E">
        <w:rPr>
          <w:lang w:val="es-ES"/>
        </w:rPr>
        <w:t xml:space="preserve"> </w:t>
      </w:r>
      <w:r w:rsidR="004304CC">
        <w:rPr>
          <w:lang w:val="es-ES"/>
        </w:rPr>
        <w:t>y oferta pública de empleo</w:t>
      </w:r>
    </w:p>
    <w:p w:rsidR="004304CC" w:rsidRPr="00F33DBB" w:rsidRDefault="004304CC" w:rsidP="00310712">
      <w:pPr>
        <w:pStyle w:val="texto"/>
        <w:spacing w:after="120"/>
        <w:rPr>
          <w:b/>
          <w:lang w:val="es-ES"/>
        </w:rPr>
      </w:pPr>
      <w:r w:rsidRPr="00F33DBB">
        <w:rPr>
          <w:b/>
          <w:lang w:val="es-ES"/>
        </w:rPr>
        <w:t>Plantilla Orgánica 2015</w:t>
      </w:r>
    </w:p>
    <w:p w:rsidR="00310712" w:rsidRPr="006D43A7" w:rsidRDefault="00310712" w:rsidP="00310712">
      <w:pPr>
        <w:pStyle w:val="texto"/>
        <w:spacing w:after="120"/>
        <w:rPr>
          <w:lang w:val="es-ES"/>
        </w:rPr>
      </w:pPr>
      <w:r w:rsidRPr="006D43A7">
        <w:rPr>
          <w:lang w:val="es-ES"/>
        </w:rPr>
        <w:t>La plantilla orgánica y la relación del personal fijo y eventual que desempeña cargos directivos de libre designación en la Administración de la Comunidad Foral de Navarra y en sus organismos autónomos a 31 de diciembre de 201</w:t>
      </w:r>
      <w:r>
        <w:rPr>
          <w:lang w:val="es-ES"/>
        </w:rPr>
        <w:t>5</w:t>
      </w:r>
      <w:r w:rsidRPr="006D43A7">
        <w:rPr>
          <w:lang w:val="es-ES"/>
        </w:rPr>
        <w:t xml:space="preserve"> se</w:t>
      </w:r>
      <w:r>
        <w:rPr>
          <w:lang w:val="es-ES"/>
        </w:rPr>
        <w:t xml:space="preserve"> </w:t>
      </w:r>
      <w:r w:rsidR="00384AE1">
        <w:rPr>
          <w:lang w:val="es-ES"/>
        </w:rPr>
        <w:t>publica</w:t>
      </w:r>
      <w:r>
        <w:rPr>
          <w:lang w:val="es-ES"/>
        </w:rPr>
        <w:t xml:space="preserve"> mediante Orden Foral 126/2016, de 24 de junio, de la Consejera de Presidencia, Función Pública, Interior y Justicia</w:t>
      </w:r>
      <w:r w:rsidR="00384AE1">
        <w:rPr>
          <w:lang w:val="es-ES"/>
        </w:rPr>
        <w:t xml:space="preserve"> (</w:t>
      </w:r>
      <w:r w:rsidRPr="006D43A7">
        <w:rPr>
          <w:lang w:val="es-ES"/>
        </w:rPr>
        <w:t xml:space="preserve">BON </w:t>
      </w:r>
      <w:r w:rsidR="00384AE1">
        <w:rPr>
          <w:lang w:val="es-ES"/>
        </w:rPr>
        <w:t>d</w:t>
      </w:r>
      <w:r w:rsidRPr="006D43A7">
        <w:rPr>
          <w:lang w:val="es-ES"/>
        </w:rPr>
        <w:t xml:space="preserve">el </w:t>
      </w:r>
      <w:r>
        <w:rPr>
          <w:lang w:val="es-ES"/>
        </w:rPr>
        <w:t>12 de julio de 2016</w:t>
      </w:r>
      <w:r w:rsidR="00384AE1">
        <w:rPr>
          <w:lang w:val="es-ES"/>
        </w:rPr>
        <w:t>)</w:t>
      </w:r>
      <w:r>
        <w:rPr>
          <w:lang w:val="es-ES"/>
        </w:rPr>
        <w:t>.</w:t>
      </w:r>
      <w:r w:rsidR="00AF5E7E">
        <w:rPr>
          <w:lang w:val="es-ES"/>
        </w:rPr>
        <w:t xml:space="preserve"> Llamamos la atención sobre el hecho que la plantilla orgánica de 2015 se </w:t>
      </w:r>
      <w:r w:rsidR="00384AE1">
        <w:rPr>
          <w:lang w:val="es-ES"/>
        </w:rPr>
        <w:t>publica</w:t>
      </w:r>
      <w:r w:rsidR="00AF5E7E">
        <w:rPr>
          <w:lang w:val="es-ES"/>
        </w:rPr>
        <w:t xml:space="preserve"> en junio de 2016.</w:t>
      </w:r>
    </w:p>
    <w:p w:rsidR="00310712" w:rsidRPr="00A20D5E" w:rsidRDefault="00310712" w:rsidP="003640F7">
      <w:pPr>
        <w:pStyle w:val="texto"/>
        <w:spacing w:after="240"/>
        <w:rPr>
          <w:spacing w:val="0"/>
          <w:lang w:val="es-ES"/>
        </w:rPr>
      </w:pPr>
      <w:r w:rsidRPr="00A20D5E">
        <w:rPr>
          <w:spacing w:val="0"/>
          <w:lang w:val="es-ES"/>
        </w:rPr>
        <w:t xml:space="preserve">Los puestos de trabajo que contempla dicha plantilla orgánica ascienden a </w:t>
      </w:r>
      <w:r w:rsidR="007401CE" w:rsidRPr="00A20D5E">
        <w:rPr>
          <w:spacing w:val="0"/>
          <w:lang w:val="es-ES"/>
        </w:rPr>
        <w:t>22.494</w:t>
      </w:r>
      <w:r w:rsidRPr="00A20D5E">
        <w:rPr>
          <w:spacing w:val="0"/>
          <w:lang w:val="es-ES"/>
        </w:rPr>
        <w:t xml:space="preserve">, </w:t>
      </w:r>
      <w:r w:rsidR="007401CE" w:rsidRPr="00A20D5E">
        <w:rPr>
          <w:spacing w:val="0"/>
          <w:lang w:val="es-ES"/>
        </w:rPr>
        <w:t>es decir, 66 más que en la plantilla de 2014.</w:t>
      </w:r>
      <w:r w:rsidRPr="00A20D5E">
        <w:rPr>
          <w:spacing w:val="0"/>
          <w:lang w:val="es-ES"/>
        </w:rPr>
        <w:t xml:space="preserve"> Su clasificación e</w:t>
      </w:r>
      <w:r w:rsidR="00A660BD" w:rsidRPr="00A20D5E">
        <w:rPr>
          <w:spacing w:val="0"/>
          <w:lang w:val="es-ES"/>
        </w:rPr>
        <w:t>s</w:t>
      </w:r>
      <w:r w:rsidRPr="00A20D5E">
        <w:rPr>
          <w:spacing w:val="0"/>
          <w:lang w:val="es-ES"/>
        </w:rPr>
        <w:t xml:space="preserve"> la siguiente:</w:t>
      </w:r>
    </w:p>
    <w:tbl>
      <w:tblPr>
        <w:tblW w:w="8742" w:type="dxa"/>
        <w:jc w:val="center"/>
        <w:tblInd w:w="-91"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839"/>
        <w:gridCol w:w="779"/>
        <w:gridCol w:w="843"/>
        <w:gridCol w:w="955"/>
        <w:gridCol w:w="785"/>
        <w:gridCol w:w="876"/>
        <w:gridCol w:w="758"/>
        <w:gridCol w:w="1012"/>
        <w:gridCol w:w="895"/>
      </w:tblGrid>
      <w:tr w:rsidR="00A20D5E" w:rsidTr="001E7B19">
        <w:trPr>
          <w:trHeight w:val="284"/>
          <w:jc w:val="center"/>
        </w:trPr>
        <w:tc>
          <w:tcPr>
            <w:tcW w:w="1839" w:type="dxa"/>
            <w:vMerge w:val="restart"/>
            <w:tcBorders>
              <w:top w:val="single" w:sz="4" w:space="0" w:color="auto"/>
              <w:left w:val="nil"/>
              <w:bottom w:val="single" w:sz="2" w:space="0" w:color="auto"/>
              <w:right w:val="nil"/>
            </w:tcBorders>
            <w:shd w:val="clear" w:color="auto" w:fill="A8CBEE" w:themeFill="accent2" w:themeFillTint="66"/>
            <w:vAlign w:val="center"/>
            <w:hideMark/>
          </w:tcPr>
          <w:p w:rsidR="00A20D5E" w:rsidRDefault="00A20D5E">
            <w:pPr>
              <w:pStyle w:val="cuadroCabe"/>
              <w:jc w:val="left"/>
              <w:rPr>
                <w:szCs w:val="18"/>
              </w:rPr>
            </w:pPr>
            <w:r>
              <w:rPr>
                <w:szCs w:val="18"/>
              </w:rPr>
              <w:t>Puestos</w:t>
            </w:r>
          </w:p>
        </w:tc>
        <w:tc>
          <w:tcPr>
            <w:tcW w:w="1622" w:type="dxa"/>
            <w:gridSpan w:val="2"/>
            <w:tcBorders>
              <w:top w:val="single" w:sz="4" w:space="0" w:color="auto"/>
              <w:left w:val="nil"/>
              <w:bottom w:val="single" w:sz="2" w:space="0" w:color="auto"/>
              <w:right w:val="nil"/>
            </w:tcBorders>
            <w:shd w:val="clear" w:color="auto" w:fill="A8CBEE" w:themeFill="accent2" w:themeFillTint="66"/>
            <w:vAlign w:val="center"/>
            <w:hideMark/>
          </w:tcPr>
          <w:p w:rsidR="00A20D5E" w:rsidRDefault="00A20D5E" w:rsidP="00A20D5E">
            <w:pPr>
              <w:pStyle w:val="cuadroCabe"/>
              <w:jc w:val="right"/>
              <w:rPr>
                <w:szCs w:val="18"/>
              </w:rPr>
            </w:pPr>
            <w:r>
              <w:rPr>
                <w:szCs w:val="18"/>
              </w:rPr>
              <w:t>Admón. Núcleo</w:t>
            </w:r>
          </w:p>
        </w:tc>
        <w:tc>
          <w:tcPr>
            <w:tcW w:w="1740" w:type="dxa"/>
            <w:gridSpan w:val="2"/>
            <w:tcBorders>
              <w:top w:val="single" w:sz="4" w:space="0" w:color="auto"/>
              <w:left w:val="nil"/>
              <w:bottom w:val="single" w:sz="2" w:space="0" w:color="auto"/>
              <w:right w:val="nil"/>
            </w:tcBorders>
            <w:shd w:val="clear" w:color="auto" w:fill="A8CBEE" w:themeFill="accent2" w:themeFillTint="66"/>
            <w:vAlign w:val="center"/>
            <w:hideMark/>
          </w:tcPr>
          <w:p w:rsidR="00A20D5E" w:rsidRDefault="001E7B19" w:rsidP="001E7B19">
            <w:pPr>
              <w:pStyle w:val="cuadroCabe"/>
              <w:ind w:left="-19" w:firstLine="19"/>
              <w:jc w:val="center"/>
              <w:rPr>
                <w:szCs w:val="18"/>
              </w:rPr>
            </w:pPr>
            <w:r>
              <w:rPr>
                <w:szCs w:val="18"/>
              </w:rPr>
              <w:t xml:space="preserve">     </w:t>
            </w:r>
            <w:r w:rsidR="00A20D5E">
              <w:rPr>
                <w:szCs w:val="18"/>
              </w:rPr>
              <w:t>Educación</w:t>
            </w:r>
          </w:p>
        </w:tc>
        <w:tc>
          <w:tcPr>
            <w:tcW w:w="1634" w:type="dxa"/>
            <w:gridSpan w:val="2"/>
            <w:tcBorders>
              <w:top w:val="single" w:sz="4" w:space="0" w:color="auto"/>
              <w:left w:val="nil"/>
              <w:bottom w:val="single" w:sz="2" w:space="0" w:color="auto"/>
              <w:right w:val="nil"/>
            </w:tcBorders>
            <w:shd w:val="clear" w:color="auto" w:fill="A8CBEE" w:themeFill="accent2" w:themeFillTint="66"/>
            <w:vAlign w:val="center"/>
            <w:hideMark/>
          </w:tcPr>
          <w:p w:rsidR="00A20D5E" w:rsidRDefault="00A20D5E">
            <w:pPr>
              <w:pStyle w:val="cuadroCabe"/>
              <w:ind w:left="524"/>
              <w:jc w:val="left"/>
              <w:rPr>
                <w:szCs w:val="18"/>
              </w:rPr>
            </w:pPr>
            <w:r>
              <w:rPr>
                <w:szCs w:val="18"/>
              </w:rPr>
              <w:t>SNS-O</w:t>
            </w:r>
          </w:p>
        </w:tc>
        <w:tc>
          <w:tcPr>
            <w:tcW w:w="1907" w:type="dxa"/>
            <w:gridSpan w:val="2"/>
            <w:tcBorders>
              <w:top w:val="single" w:sz="4" w:space="0" w:color="auto"/>
              <w:left w:val="nil"/>
              <w:bottom w:val="single" w:sz="2" w:space="0" w:color="auto"/>
              <w:right w:val="nil"/>
            </w:tcBorders>
            <w:shd w:val="clear" w:color="auto" w:fill="A8CBEE" w:themeFill="accent2" w:themeFillTint="66"/>
            <w:vAlign w:val="center"/>
            <w:hideMark/>
          </w:tcPr>
          <w:p w:rsidR="00A20D5E" w:rsidRDefault="00A20D5E">
            <w:pPr>
              <w:pStyle w:val="cuadroCabe"/>
              <w:ind w:left="612"/>
              <w:jc w:val="left"/>
              <w:rPr>
                <w:szCs w:val="18"/>
              </w:rPr>
            </w:pPr>
            <w:r>
              <w:rPr>
                <w:szCs w:val="18"/>
              </w:rPr>
              <w:t>Total</w:t>
            </w:r>
          </w:p>
        </w:tc>
      </w:tr>
      <w:tr w:rsidR="00310712" w:rsidTr="001E7B19">
        <w:trPr>
          <w:trHeight w:val="284"/>
          <w:jc w:val="center"/>
        </w:trPr>
        <w:tc>
          <w:tcPr>
            <w:tcW w:w="1839" w:type="dxa"/>
            <w:vMerge/>
            <w:tcBorders>
              <w:top w:val="single" w:sz="4" w:space="0" w:color="auto"/>
              <w:left w:val="nil"/>
              <w:bottom w:val="single" w:sz="2" w:space="0" w:color="auto"/>
              <w:right w:val="nil"/>
            </w:tcBorders>
            <w:shd w:val="clear" w:color="auto" w:fill="ACCBF9" w:themeFill="background2"/>
            <w:vAlign w:val="center"/>
            <w:hideMark/>
          </w:tcPr>
          <w:p w:rsidR="00310712" w:rsidRDefault="00310712">
            <w:pPr>
              <w:rPr>
                <w:rFonts w:ascii="Arial" w:hAnsi="Arial"/>
                <w:spacing w:val="6"/>
                <w:sz w:val="18"/>
                <w:szCs w:val="18"/>
              </w:rPr>
            </w:pPr>
          </w:p>
        </w:tc>
        <w:tc>
          <w:tcPr>
            <w:tcW w:w="779" w:type="dxa"/>
            <w:tcBorders>
              <w:top w:val="single" w:sz="2" w:space="0" w:color="auto"/>
              <w:left w:val="nil"/>
              <w:bottom w:val="single" w:sz="2" w:space="0" w:color="auto"/>
              <w:right w:val="nil"/>
            </w:tcBorders>
            <w:shd w:val="clear" w:color="auto" w:fill="ACCBF9" w:themeFill="background2"/>
            <w:vAlign w:val="center"/>
            <w:hideMark/>
          </w:tcPr>
          <w:p w:rsidR="00310712" w:rsidRDefault="00310712">
            <w:pPr>
              <w:pStyle w:val="cuadroCabe"/>
              <w:ind w:left="-136" w:firstLine="136"/>
              <w:jc w:val="right"/>
              <w:rPr>
                <w:szCs w:val="18"/>
              </w:rPr>
            </w:pPr>
            <w:r>
              <w:rPr>
                <w:szCs w:val="18"/>
              </w:rPr>
              <w:t>2014</w:t>
            </w:r>
          </w:p>
        </w:tc>
        <w:tc>
          <w:tcPr>
            <w:tcW w:w="843" w:type="dxa"/>
            <w:tcBorders>
              <w:top w:val="single" w:sz="2" w:space="0" w:color="auto"/>
              <w:left w:val="nil"/>
              <w:bottom w:val="single" w:sz="2" w:space="0" w:color="auto"/>
              <w:right w:val="nil"/>
            </w:tcBorders>
            <w:shd w:val="clear" w:color="auto" w:fill="ACCBF9" w:themeFill="background2"/>
            <w:vAlign w:val="center"/>
            <w:hideMark/>
          </w:tcPr>
          <w:p w:rsidR="00310712" w:rsidRDefault="00310712">
            <w:pPr>
              <w:pStyle w:val="cuadroCabe"/>
              <w:jc w:val="right"/>
              <w:rPr>
                <w:szCs w:val="18"/>
              </w:rPr>
            </w:pPr>
            <w:r>
              <w:rPr>
                <w:szCs w:val="18"/>
              </w:rPr>
              <w:t>2015</w:t>
            </w:r>
          </w:p>
        </w:tc>
        <w:tc>
          <w:tcPr>
            <w:tcW w:w="955" w:type="dxa"/>
            <w:tcBorders>
              <w:top w:val="single" w:sz="2" w:space="0" w:color="auto"/>
              <w:left w:val="nil"/>
              <w:bottom w:val="single" w:sz="2" w:space="0" w:color="auto"/>
              <w:right w:val="nil"/>
            </w:tcBorders>
            <w:shd w:val="clear" w:color="auto" w:fill="ACCBF9" w:themeFill="background2"/>
            <w:vAlign w:val="center"/>
            <w:hideMark/>
          </w:tcPr>
          <w:p w:rsidR="00310712" w:rsidRDefault="00310712" w:rsidP="001E7B19">
            <w:pPr>
              <w:pStyle w:val="cuadroCabe"/>
              <w:ind w:left="-19" w:firstLine="19"/>
              <w:jc w:val="right"/>
              <w:rPr>
                <w:szCs w:val="18"/>
              </w:rPr>
            </w:pPr>
            <w:r>
              <w:rPr>
                <w:szCs w:val="18"/>
              </w:rPr>
              <w:t>2014</w:t>
            </w:r>
          </w:p>
        </w:tc>
        <w:tc>
          <w:tcPr>
            <w:tcW w:w="785" w:type="dxa"/>
            <w:tcBorders>
              <w:top w:val="single" w:sz="2" w:space="0" w:color="auto"/>
              <w:left w:val="nil"/>
              <w:bottom w:val="single" w:sz="2" w:space="0" w:color="auto"/>
              <w:right w:val="nil"/>
            </w:tcBorders>
            <w:shd w:val="clear" w:color="auto" w:fill="ACCBF9" w:themeFill="background2"/>
            <w:vAlign w:val="center"/>
            <w:hideMark/>
          </w:tcPr>
          <w:p w:rsidR="00310712" w:rsidRDefault="00310712" w:rsidP="001E7B19">
            <w:pPr>
              <w:pStyle w:val="cuadroCabe"/>
              <w:ind w:left="-19" w:firstLine="19"/>
              <w:jc w:val="right"/>
              <w:rPr>
                <w:szCs w:val="18"/>
              </w:rPr>
            </w:pPr>
            <w:r>
              <w:rPr>
                <w:szCs w:val="18"/>
              </w:rPr>
              <w:t>2015</w:t>
            </w:r>
          </w:p>
        </w:tc>
        <w:tc>
          <w:tcPr>
            <w:tcW w:w="876" w:type="dxa"/>
            <w:tcBorders>
              <w:top w:val="single" w:sz="2" w:space="0" w:color="auto"/>
              <w:left w:val="nil"/>
              <w:bottom w:val="single" w:sz="2" w:space="0" w:color="auto"/>
              <w:right w:val="nil"/>
            </w:tcBorders>
            <w:shd w:val="clear" w:color="auto" w:fill="ACCBF9" w:themeFill="background2"/>
            <w:vAlign w:val="center"/>
            <w:hideMark/>
          </w:tcPr>
          <w:p w:rsidR="00310712" w:rsidRDefault="00310712">
            <w:pPr>
              <w:pStyle w:val="cuadroCabe"/>
              <w:jc w:val="right"/>
              <w:rPr>
                <w:szCs w:val="18"/>
              </w:rPr>
            </w:pPr>
            <w:r>
              <w:rPr>
                <w:szCs w:val="18"/>
              </w:rPr>
              <w:t>2014</w:t>
            </w:r>
          </w:p>
        </w:tc>
        <w:tc>
          <w:tcPr>
            <w:tcW w:w="758" w:type="dxa"/>
            <w:tcBorders>
              <w:top w:val="single" w:sz="2" w:space="0" w:color="auto"/>
              <w:left w:val="nil"/>
              <w:bottom w:val="single" w:sz="2" w:space="0" w:color="auto"/>
              <w:right w:val="nil"/>
            </w:tcBorders>
            <w:shd w:val="clear" w:color="auto" w:fill="ACCBF9" w:themeFill="background2"/>
            <w:vAlign w:val="center"/>
            <w:hideMark/>
          </w:tcPr>
          <w:p w:rsidR="00310712" w:rsidRDefault="00310712">
            <w:pPr>
              <w:pStyle w:val="cuadroCabe"/>
              <w:jc w:val="right"/>
              <w:rPr>
                <w:szCs w:val="18"/>
              </w:rPr>
            </w:pPr>
            <w:r>
              <w:rPr>
                <w:szCs w:val="18"/>
              </w:rPr>
              <w:t>2015</w:t>
            </w:r>
          </w:p>
        </w:tc>
        <w:tc>
          <w:tcPr>
            <w:tcW w:w="1012" w:type="dxa"/>
            <w:tcBorders>
              <w:top w:val="single" w:sz="2" w:space="0" w:color="auto"/>
              <w:left w:val="nil"/>
              <w:bottom w:val="single" w:sz="2" w:space="0" w:color="auto"/>
              <w:right w:val="nil"/>
            </w:tcBorders>
            <w:shd w:val="clear" w:color="auto" w:fill="ACCBF9" w:themeFill="background2"/>
            <w:vAlign w:val="center"/>
            <w:hideMark/>
          </w:tcPr>
          <w:p w:rsidR="00310712" w:rsidRDefault="00310712">
            <w:pPr>
              <w:pStyle w:val="cuadroCabe"/>
              <w:jc w:val="right"/>
              <w:rPr>
                <w:szCs w:val="18"/>
              </w:rPr>
            </w:pPr>
            <w:r>
              <w:rPr>
                <w:szCs w:val="18"/>
              </w:rPr>
              <w:t>2014</w:t>
            </w:r>
          </w:p>
        </w:tc>
        <w:tc>
          <w:tcPr>
            <w:tcW w:w="895" w:type="dxa"/>
            <w:tcBorders>
              <w:top w:val="single" w:sz="2" w:space="0" w:color="auto"/>
              <w:left w:val="nil"/>
              <w:bottom w:val="single" w:sz="2" w:space="0" w:color="auto"/>
              <w:right w:val="nil"/>
            </w:tcBorders>
            <w:shd w:val="clear" w:color="auto" w:fill="ACCBF9" w:themeFill="background2"/>
            <w:vAlign w:val="center"/>
            <w:hideMark/>
          </w:tcPr>
          <w:p w:rsidR="00310712" w:rsidRDefault="00310712">
            <w:pPr>
              <w:pStyle w:val="cuadroCabe"/>
              <w:jc w:val="right"/>
              <w:rPr>
                <w:szCs w:val="18"/>
              </w:rPr>
            </w:pPr>
            <w:r>
              <w:rPr>
                <w:szCs w:val="18"/>
              </w:rPr>
              <w:t>2015</w:t>
            </w:r>
          </w:p>
        </w:tc>
      </w:tr>
      <w:tr w:rsidR="007401CE" w:rsidTr="001E7B19">
        <w:trPr>
          <w:trHeight w:val="284"/>
          <w:jc w:val="center"/>
        </w:trPr>
        <w:tc>
          <w:tcPr>
            <w:tcW w:w="1839" w:type="dxa"/>
            <w:tcBorders>
              <w:top w:val="single" w:sz="2" w:space="0" w:color="auto"/>
              <w:left w:val="nil"/>
              <w:bottom w:val="single" w:sz="2" w:space="0" w:color="auto"/>
              <w:right w:val="nil"/>
            </w:tcBorders>
            <w:vAlign w:val="center"/>
            <w:hideMark/>
          </w:tcPr>
          <w:p w:rsidR="007401CE" w:rsidRDefault="007401CE" w:rsidP="004304CC">
            <w:pPr>
              <w:pStyle w:val="cuatexto"/>
              <w:jc w:val="left"/>
              <w:rPr>
                <w:szCs w:val="20"/>
              </w:rPr>
            </w:pPr>
            <w:r>
              <w:rPr>
                <w:szCs w:val="20"/>
              </w:rPr>
              <w:t>Ocupados</w:t>
            </w:r>
          </w:p>
        </w:tc>
        <w:tc>
          <w:tcPr>
            <w:tcW w:w="779" w:type="dxa"/>
            <w:tcBorders>
              <w:top w:val="single" w:sz="2" w:space="0" w:color="auto"/>
              <w:left w:val="nil"/>
              <w:bottom w:val="single" w:sz="2" w:space="0" w:color="auto"/>
              <w:right w:val="nil"/>
            </w:tcBorders>
            <w:vAlign w:val="center"/>
          </w:tcPr>
          <w:p w:rsidR="007401CE" w:rsidRDefault="007401CE">
            <w:pPr>
              <w:pStyle w:val="cuatexto"/>
              <w:jc w:val="right"/>
              <w:rPr>
                <w:szCs w:val="20"/>
              </w:rPr>
            </w:pPr>
            <w:r>
              <w:rPr>
                <w:szCs w:val="20"/>
              </w:rPr>
              <w:t>5.100</w:t>
            </w:r>
          </w:p>
        </w:tc>
        <w:tc>
          <w:tcPr>
            <w:tcW w:w="843" w:type="dxa"/>
            <w:tcBorders>
              <w:top w:val="single" w:sz="2" w:space="0" w:color="auto"/>
              <w:left w:val="nil"/>
              <w:bottom w:val="single" w:sz="2" w:space="0" w:color="auto"/>
              <w:right w:val="nil"/>
            </w:tcBorders>
            <w:vAlign w:val="center"/>
          </w:tcPr>
          <w:p w:rsidR="007401CE" w:rsidRPr="007401CE" w:rsidRDefault="007401CE" w:rsidP="007401CE">
            <w:pPr>
              <w:pStyle w:val="cuatexto"/>
              <w:jc w:val="right"/>
              <w:rPr>
                <w:szCs w:val="20"/>
              </w:rPr>
            </w:pPr>
            <w:r w:rsidRPr="007401CE">
              <w:rPr>
                <w:szCs w:val="20"/>
              </w:rPr>
              <w:t>4.970</w:t>
            </w:r>
          </w:p>
        </w:tc>
        <w:tc>
          <w:tcPr>
            <w:tcW w:w="955" w:type="dxa"/>
            <w:tcBorders>
              <w:top w:val="single" w:sz="2" w:space="0" w:color="auto"/>
              <w:left w:val="nil"/>
              <w:bottom w:val="single" w:sz="2" w:space="0" w:color="auto"/>
              <w:right w:val="nil"/>
            </w:tcBorders>
            <w:vAlign w:val="center"/>
          </w:tcPr>
          <w:p w:rsidR="007401CE" w:rsidRDefault="007401CE" w:rsidP="001E7B19">
            <w:pPr>
              <w:pStyle w:val="cuatexto"/>
              <w:ind w:left="-19" w:firstLine="19"/>
              <w:jc w:val="right"/>
              <w:rPr>
                <w:szCs w:val="20"/>
              </w:rPr>
            </w:pPr>
            <w:r>
              <w:rPr>
                <w:szCs w:val="20"/>
              </w:rPr>
              <w:t>6.338</w:t>
            </w:r>
          </w:p>
        </w:tc>
        <w:tc>
          <w:tcPr>
            <w:tcW w:w="785" w:type="dxa"/>
            <w:tcBorders>
              <w:top w:val="single" w:sz="2" w:space="0" w:color="auto"/>
              <w:left w:val="nil"/>
              <w:bottom w:val="single" w:sz="2" w:space="0" w:color="auto"/>
              <w:right w:val="nil"/>
            </w:tcBorders>
            <w:vAlign w:val="center"/>
          </w:tcPr>
          <w:p w:rsidR="007401CE" w:rsidRPr="007401CE" w:rsidRDefault="007401CE" w:rsidP="001E7B19">
            <w:pPr>
              <w:pStyle w:val="cuatexto"/>
              <w:ind w:left="-19" w:firstLine="19"/>
              <w:jc w:val="right"/>
              <w:rPr>
                <w:szCs w:val="20"/>
              </w:rPr>
            </w:pPr>
            <w:r w:rsidRPr="007401CE">
              <w:rPr>
                <w:szCs w:val="20"/>
              </w:rPr>
              <w:t>6.011</w:t>
            </w:r>
          </w:p>
        </w:tc>
        <w:tc>
          <w:tcPr>
            <w:tcW w:w="876" w:type="dxa"/>
            <w:tcBorders>
              <w:top w:val="single" w:sz="2" w:space="0" w:color="auto"/>
              <w:left w:val="nil"/>
              <w:bottom w:val="single" w:sz="2" w:space="0" w:color="auto"/>
              <w:right w:val="nil"/>
            </w:tcBorders>
            <w:vAlign w:val="center"/>
          </w:tcPr>
          <w:p w:rsidR="007401CE" w:rsidRDefault="007401CE" w:rsidP="007401CE">
            <w:pPr>
              <w:pStyle w:val="cuatexto"/>
              <w:jc w:val="right"/>
              <w:rPr>
                <w:szCs w:val="20"/>
              </w:rPr>
            </w:pPr>
            <w:r>
              <w:rPr>
                <w:szCs w:val="20"/>
              </w:rPr>
              <w:t>6.651</w:t>
            </w:r>
          </w:p>
        </w:tc>
        <w:tc>
          <w:tcPr>
            <w:tcW w:w="758" w:type="dxa"/>
            <w:tcBorders>
              <w:top w:val="single" w:sz="2" w:space="0" w:color="auto"/>
              <w:left w:val="nil"/>
              <w:bottom w:val="single" w:sz="2" w:space="0" w:color="auto"/>
              <w:right w:val="nil"/>
            </w:tcBorders>
            <w:vAlign w:val="center"/>
          </w:tcPr>
          <w:p w:rsidR="007401CE" w:rsidRPr="007401CE" w:rsidRDefault="007401CE" w:rsidP="007401CE">
            <w:pPr>
              <w:pStyle w:val="cuatexto"/>
              <w:jc w:val="right"/>
              <w:rPr>
                <w:szCs w:val="20"/>
              </w:rPr>
            </w:pPr>
            <w:r w:rsidRPr="007401CE">
              <w:rPr>
                <w:szCs w:val="20"/>
              </w:rPr>
              <w:t>6.478</w:t>
            </w:r>
          </w:p>
        </w:tc>
        <w:tc>
          <w:tcPr>
            <w:tcW w:w="1012" w:type="dxa"/>
            <w:tcBorders>
              <w:top w:val="single" w:sz="2" w:space="0" w:color="auto"/>
              <w:left w:val="nil"/>
              <w:bottom w:val="single" w:sz="2" w:space="0" w:color="auto"/>
              <w:right w:val="nil"/>
            </w:tcBorders>
            <w:vAlign w:val="center"/>
          </w:tcPr>
          <w:p w:rsidR="007401CE" w:rsidRDefault="007401CE" w:rsidP="007401CE">
            <w:pPr>
              <w:pStyle w:val="cuatexto"/>
              <w:jc w:val="right"/>
              <w:rPr>
                <w:szCs w:val="20"/>
              </w:rPr>
            </w:pPr>
            <w:r>
              <w:rPr>
                <w:szCs w:val="20"/>
              </w:rPr>
              <w:t>18.089</w:t>
            </w:r>
          </w:p>
        </w:tc>
        <w:tc>
          <w:tcPr>
            <w:tcW w:w="895" w:type="dxa"/>
            <w:tcBorders>
              <w:top w:val="single" w:sz="2" w:space="0" w:color="auto"/>
              <w:left w:val="nil"/>
              <w:bottom w:val="single" w:sz="2" w:space="0" w:color="auto"/>
              <w:right w:val="nil"/>
            </w:tcBorders>
            <w:vAlign w:val="center"/>
          </w:tcPr>
          <w:p w:rsidR="007401CE" w:rsidRPr="007401CE" w:rsidRDefault="007401CE" w:rsidP="007401CE">
            <w:pPr>
              <w:pStyle w:val="cuatexto"/>
              <w:jc w:val="right"/>
              <w:rPr>
                <w:szCs w:val="20"/>
              </w:rPr>
            </w:pPr>
            <w:r w:rsidRPr="007401CE">
              <w:rPr>
                <w:szCs w:val="20"/>
              </w:rPr>
              <w:t>17.459</w:t>
            </w:r>
          </w:p>
        </w:tc>
      </w:tr>
      <w:tr w:rsidR="007401CE" w:rsidTr="001E7B19">
        <w:trPr>
          <w:trHeight w:val="284"/>
          <w:jc w:val="center"/>
        </w:trPr>
        <w:tc>
          <w:tcPr>
            <w:tcW w:w="1839" w:type="dxa"/>
            <w:tcBorders>
              <w:top w:val="single" w:sz="2" w:space="0" w:color="auto"/>
              <w:left w:val="nil"/>
              <w:bottom w:val="single" w:sz="4" w:space="0" w:color="auto"/>
              <w:right w:val="nil"/>
            </w:tcBorders>
            <w:vAlign w:val="center"/>
            <w:hideMark/>
          </w:tcPr>
          <w:p w:rsidR="007401CE" w:rsidRDefault="007401CE">
            <w:pPr>
              <w:pStyle w:val="cuatexto"/>
              <w:jc w:val="left"/>
              <w:rPr>
                <w:szCs w:val="20"/>
              </w:rPr>
            </w:pPr>
            <w:r>
              <w:rPr>
                <w:szCs w:val="20"/>
              </w:rPr>
              <w:t xml:space="preserve">Vacantes </w:t>
            </w:r>
          </w:p>
        </w:tc>
        <w:tc>
          <w:tcPr>
            <w:tcW w:w="779" w:type="dxa"/>
            <w:tcBorders>
              <w:top w:val="single" w:sz="2" w:space="0" w:color="auto"/>
              <w:left w:val="nil"/>
              <w:bottom w:val="single" w:sz="4" w:space="0" w:color="auto"/>
              <w:right w:val="nil"/>
            </w:tcBorders>
            <w:vAlign w:val="center"/>
          </w:tcPr>
          <w:p w:rsidR="007401CE" w:rsidRDefault="007401CE">
            <w:pPr>
              <w:pStyle w:val="cuatexto"/>
              <w:jc w:val="right"/>
              <w:rPr>
                <w:szCs w:val="20"/>
              </w:rPr>
            </w:pPr>
            <w:r>
              <w:rPr>
                <w:szCs w:val="20"/>
              </w:rPr>
              <w:t>1.118</w:t>
            </w:r>
          </w:p>
        </w:tc>
        <w:tc>
          <w:tcPr>
            <w:tcW w:w="843" w:type="dxa"/>
            <w:tcBorders>
              <w:top w:val="single" w:sz="2" w:space="0" w:color="auto"/>
              <w:left w:val="nil"/>
              <w:bottom w:val="single" w:sz="4" w:space="0" w:color="auto"/>
              <w:right w:val="nil"/>
            </w:tcBorders>
            <w:vAlign w:val="center"/>
          </w:tcPr>
          <w:p w:rsidR="007401CE" w:rsidRPr="007401CE" w:rsidRDefault="007401CE" w:rsidP="007401CE">
            <w:pPr>
              <w:pStyle w:val="cuatexto"/>
              <w:jc w:val="right"/>
              <w:rPr>
                <w:szCs w:val="20"/>
              </w:rPr>
            </w:pPr>
            <w:r w:rsidRPr="007401CE">
              <w:rPr>
                <w:szCs w:val="20"/>
              </w:rPr>
              <w:t>1.266</w:t>
            </w:r>
          </w:p>
        </w:tc>
        <w:tc>
          <w:tcPr>
            <w:tcW w:w="955" w:type="dxa"/>
            <w:tcBorders>
              <w:top w:val="single" w:sz="2" w:space="0" w:color="auto"/>
              <w:left w:val="nil"/>
              <w:bottom w:val="single" w:sz="4" w:space="0" w:color="auto"/>
              <w:right w:val="nil"/>
            </w:tcBorders>
            <w:vAlign w:val="center"/>
          </w:tcPr>
          <w:p w:rsidR="007401CE" w:rsidRDefault="007401CE" w:rsidP="001E7B19">
            <w:pPr>
              <w:pStyle w:val="cuatexto"/>
              <w:ind w:left="-19" w:firstLine="19"/>
              <w:jc w:val="right"/>
              <w:rPr>
                <w:szCs w:val="20"/>
              </w:rPr>
            </w:pPr>
            <w:r>
              <w:rPr>
                <w:szCs w:val="20"/>
              </w:rPr>
              <w:t>1.488</w:t>
            </w:r>
          </w:p>
        </w:tc>
        <w:tc>
          <w:tcPr>
            <w:tcW w:w="785" w:type="dxa"/>
            <w:tcBorders>
              <w:top w:val="single" w:sz="2" w:space="0" w:color="auto"/>
              <w:left w:val="nil"/>
              <w:bottom w:val="single" w:sz="4" w:space="0" w:color="auto"/>
              <w:right w:val="nil"/>
            </w:tcBorders>
            <w:vAlign w:val="center"/>
          </w:tcPr>
          <w:p w:rsidR="007401CE" w:rsidRPr="007401CE" w:rsidRDefault="007401CE" w:rsidP="001E7B19">
            <w:pPr>
              <w:pStyle w:val="cuatexto"/>
              <w:ind w:left="-19" w:firstLine="19"/>
              <w:jc w:val="right"/>
              <w:rPr>
                <w:szCs w:val="20"/>
              </w:rPr>
            </w:pPr>
            <w:r w:rsidRPr="007401CE">
              <w:rPr>
                <w:szCs w:val="20"/>
              </w:rPr>
              <w:t>1.782</w:t>
            </w:r>
          </w:p>
        </w:tc>
        <w:tc>
          <w:tcPr>
            <w:tcW w:w="876" w:type="dxa"/>
            <w:tcBorders>
              <w:top w:val="single" w:sz="2" w:space="0" w:color="auto"/>
              <w:left w:val="nil"/>
              <w:bottom w:val="single" w:sz="4" w:space="0" w:color="auto"/>
              <w:right w:val="nil"/>
            </w:tcBorders>
            <w:vAlign w:val="center"/>
          </w:tcPr>
          <w:p w:rsidR="007401CE" w:rsidRDefault="007401CE" w:rsidP="007401CE">
            <w:pPr>
              <w:pStyle w:val="cuatexto"/>
              <w:jc w:val="right"/>
              <w:rPr>
                <w:szCs w:val="20"/>
              </w:rPr>
            </w:pPr>
            <w:r>
              <w:rPr>
                <w:szCs w:val="20"/>
              </w:rPr>
              <w:t>1.733</w:t>
            </w:r>
          </w:p>
        </w:tc>
        <w:tc>
          <w:tcPr>
            <w:tcW w:w="758" w:type="dxa"/>
            <w:tcBorders>
              <w:top w:val="single" w:sz="2" w:space="0" w:color="auto"/>
              <w:left w:val="nil"/>
              <w:bottom w:val="single" w:sz="4" w:space="0" w:color="auto"/>
              <w:right w:val="nil"/>
            </w:tcBorders>
            <w:vAlign w:val="center"/>
          </w:tcPr>
          <w:p w:rsidR="007401CE" w:rsidRPr="007401CE" w:rsidRDefault="007401CE" w:rsidP="007401CE">
            <w:pPr>
              <w:pStyle w:val="cuatexto"/>
              <w:jc w:val="right"/>
              <w:rPr>
                <w:szCs w:val="20"/>
              </w:rPr>
            </w:pPr>
            <w:r w:rsidRPr="007401CE">
              <w:rPr>
                <w:szCs w:val="20"/>
              </w:rPr>
              <w:t>1.987</w:t>
            </w:r>
          </w:p>
        </w:tc>
        <w:tc>
          <w:tcPr>
            <w:tcW w:w="1012" w:type="dxa"/>
            <w:tcBorders>
              <w:top w:val="single" w:sz="2" w:space="0" w:color="auto"/>
              <w:left w:val="nil"/>
              <w:bottom w:val="single" w:sz="4" w:space="0" w:color="auto"/>
              <w:right w:val="nil"/>
            </w:tcBorders>
            <w:vAlign w:val="center"/>
          </w:tcPr>
          <w:p w:rsidR="007401CE" w:rsidRDefault="007401CE" w:rsidP="007401CE">
            <w:pPr>
              <w:pStyle w:val="cuatexto"/>
              <w:jc w:val="right"/>
              <w:rPr>
                <w:szCs w:val="20"/>
              </w:rPr>
            </w:pPr>
            <w:r>
              <w:rPr>
                <w:szCs w:val="20"/>
              </w:rPr>
              <w:t>4.339</w:t>
            </w:r>
          </w:p>
        </w:tc>
        <w:tc>
          <w:tcPr>
            <w:tcW w:w="895" w:type="dxa"/>
            <w:tcBorders>
              <w:top w:val="single" w:sz="2" w:space="0" w:color="auto"/>
              <w:left w:val="nil"/>
              <w:bottom w:val="single" w:sz="4" w:space="0" w:color="auto"/>
              <w:right w:val="nil"/>
            </w:tcBorders>
            <w:vAlign w:val="center"/>
          </w:tcPr>
          <w:p w:rsidR="007401CE" w:rsidRPr="007401CE" w:rsidRDefault="007401CE" w:rsidP="007401CE">
            <w:pPr>
              <w:pStyle w:val="cuatexto"/>
              <w:jc w:val="right"/>
              <w:rPr>
                <w:szCs w:val="20"/>
              </w:rPr>
            </w:pPr>
            <w:r w:rsidRPr="007401CE">
              <w:rPr>
                <w:szCs w:val="20"/>
              </w:rPr>
              <w:t>5.035</w:t>
            </w:r>
          </w:p>
        </w:tc>
      </w:tr>
      <w:tr w:rsidR="007401CE" w:rsidTr="001E7B19">
        <w:trPr>
          <w:trHeight w:val="284"/>
          <w:jc w:val="center"/>
        </w:trPr>
        <w:tc>
          <w:tcPr>
            <w:tcW w:w="1839" w:type="dxa"/>
            <w:tcBorders>
              <w:top w:val="single" w:sz="4" w:space="0" w:color="auto"/>
              <w:left w:val="nil"/>
              <w:bottom w:val="single" w:sz="4" w:space="0" w:color="auto"/>
              <w:right w:val="nil"/>
            </w:tcBorders>
            <w:shd w:val="clear" w:color="auto" w:fill="A8CBEE" w:themeFill="accent2" w:themeFillTint="66"/>
            <w:vAlign w:val="center"/>
            <w:hideMark/>
          </w:tcPr>
          <w:p w:rsidR="007401CE" w:rsidRDefault="007401CE">
            <w:pPr>
              <w:pStyle w:val="cuadroCabe"/>
              <w:jc w:val="left"/>
              <w:rPr>
                <w:szCs w:val="18"/>
              </w:rPr>
            </w:pPr>
            <w:r>
              <w:rPr>
                <w:szCs w:val="18"/>
              </w:rPr>
              <w:t>Total puestos</w:t>
            </w:r>
          </w:p>
        </w:tc>
        <w:tc>
          <w:tcPr>
            <w:tcW w:w="779" w:type="dxa"/>
            <w:tcBorders>
              <w:top w:val="single" w:sz="4" w:space="0" w:color="auto"/>
              <w:left w:val="nil"/>
              <w:bottom w:val="single" w:sz="4" w:space="0" w:color="auto"/>
              <w:right w:val="nil"/>
            </w:tcBorders>
            <w:shd w:val="clear" w:color="auto" w:fill="A8CBEE" w:themeFill="accent2" w:themeFillTint="66"/>
            <w:vAlign w:val="center"/>
          </w:tcPr>
          <w:p w:rsidR="007401CE" w:rsidRDefault="007401CE">
            <w:pPr>
              <w:pStyle w:val="cuadroCabe"/>
              <w:jc w:val="right"/>
              <w:rPr>
                <w:szCs w:val="18"/>
              </w:rPr>
            </w:pPr>
            <w:r>
              <w:rPr>
                <w:szCs w:val="18"/>
              </w:rPr>
              <w:t>6.218</w:t>
            </w:r>
          </w:p>
        </w:tc>
        <w:tc>
          <w:tcPr>
            <w:tcW w:w="843" w:type="dxa"/>
            <w:tcBorders>
              <w:top w:val="single" w:sz="4" w:space="0" w:color="auto"/>
              <w:left w:val="nil"/>
              <w:bottom w:val="single" w:sz="4" w:space="0" w:color="auto"/>
              <w:right w:val="nil"/>
            </w:tcBorders>
            <w:shd w:val="clear" w:color="auto" w:fill="A8CBEE" w:themeFill="accent2" w:themeFillTint="66"/>
            <w:vAlign w:val="center"/>
          </w:tcPr>
          <w:p w:rsidR="007401CE" w:rsidRPr="007401CE" w:rsidRDefault="007401CE" w:rsidP="000A2DDE">
            <w:pPr>
              <w:spacing w:after="0"/>
              <w:ind w:firstLine="0"/>
              <w:jc w:val="right"/>
              <w:rPr>
                <w:rFonts w:ascii="Arial" w:hAnsi="Arial" w:cs="Arial"/>
                <w:color w:val="000000"/>
                <w:sz w:val="18"/>
                <w:szCs w:val="18"/>
                <w:lang w:val="es-ES" w:eastAsia="es-ES"/>
              </w:rPr>
            </w:pPr>
            <w:r w:rsidRPr="007401CE">
              <w:rPr>
                <w:rFonts w:ascii="Arial" w:hAnsi="Arial" w:cs="Arial"/>
                <w:color w:val="000000"/>
                <w:sz w:val="18"/>
                <w:szCs w:val="18"/>
                <w:lang w:val="es-ES" w:eastAsia="es-ES"/>
              </w:rPr>
              <w:t>6.236</w:t>
            </w:r>
          </w:p>
        </w:tc>
        <w:tc>
          <w:tcPr>
            <w:tcW w:w="955" w:type="dxa"/>
            <w:tcBorders>
              <w:top w:val="single" w:sz="4" w:space="0" w:color="auto"/>
              <w:left w:val="nil"/>
              <w:bottom w:val="single" w:sz="4" w:space="0" w:color="auto"/>
              <w:right w:val="nil"/>
            </w:tcBorders>
            <w:shd w:val="clear" w:color="auto" w:fill="A8CBEE" w:themeFill="accent2" w:themeFillTint="66"/>
            <w:vAlign w:val="center"/>
          </w:tcPr>
          <w:p w:rsidR="007401CE" w:rsidRDefault="007401CE" w:rsidP="001E7B19">
            <w:pPr>
              <w:pStyle w:val="cuadroCabe"/>
              <w:ind w:left="-19" w:firstLine="19"/>
              <w:jc w:val="right"/>
              <w:rPr>
                <w:szCs w:val="18"/>
              </w:rPr>
            </w:pPr>
            <w:r>
              <w:rPr>
                <w:szCs w:val="18"/>
              </w:rPr>
              <w:t>7.826</w:t>
            </w:r>
          </w:p>
        </w:tc>
        <w:tc>
          <w:tcPr>
            <w:tcW w:w="785" w:type="dxa"/>
            <w:tcBorders>
              <w:top w:val="single" w:sz="4" w:space="0" w:color="auto"/>
              <w:left w:val="nil"/>
              <w:bottom w:val="single" w:sz="4" w:space="0" w:color="auto"/>
              <w:right w:val="nil"/>
            </w:tcBorders>
            <w:shd w:val="clear" w:color="auto" w:fill="A8CBEE" w:themeFill="accent2" w:themeFillTint="66"/>
            <w:vAlign w:val="center"/>
          </w:tcPr>
          <w:p w:rsidR="007401CE" w:rsidRPr="007401CE" w:rsidRDefault="007401CE" w:rsidP="001E7B19">
            <w:pPr>
              <w:spacing w:after="0"/>
              <w:ind w:left="-19" w:firstLine="19"/>
              <w:jc w:val="right"/>
              <w:rPr>
                <w:rFonts w:ascii="Arial" w:hAnsi="Arial" w:cs="Arial"/>
                <w:color w:val="000000"/>
                <w:sz w:val="18"/>
                <w:szCs w:val="18"/>
                <w:lang w:val="es-ES" w:eastAsia="es-ES"/>
              </w:rPr>
            </w:pPr>
            <w:r w:rsidRPr="007401CE">
              <w:rPr>
                <w:rFonts w:ascii="Arial" w:hAnsi="Arial" w:cs="Arial"/>
                <w:color w:val="000000"/>
                <w:sz w:val="18"/>
                <w:szCs w:val="18"/>
                <w:lang w:val="es-ES" w:eastAsia="es-ES"/>
              </w:rPr>
              <w:t>7.793</w:t>
            </w:r>
          </w:p>
        </w:tc>
        <w:tc>
          <w:tcPr>
            <w:tcW w:w="876" w:type="dxa"/>
            <w:tcBorders>
              <w:top w:val="single" w:sz="4" w:space="0" w:color="auto"/>
              <w:left w:val="nil"/>
              <w:bottom w:val="single" w:sz="4" w:space="0" w:color="auto"/>
              <w:right w:val="nil"/>
            </w:tcBorders>
            <w:shd w:val="clear" w:color="auto" w:fill="A8CBEE" w:themeFill="accent2" w:themeFillTint="66"/>
            <w:vAlign w:val="center"/>
          </w:tcPr>
          <w:p w:rsidR="007401CE" w:rsidRDefault="007401CE">
            <w:pPr>
              <w:pStyle w:val="cuadroCabe"/>
              <w:jc w:val="right"/>
              <w:rPr>
                <w:szCs w:val="18"/>
              </w:rPr>
            </w:pPr>
            <w:r>
              <w:rPr>
                <w:szCs w:val="18"/>
              </w:rPr>
              <w:t>8.384</w:t>
            </w:r>
          </w:p>
        </w:tc>
        <w:tc>
          <w:tcPr>
            <w:tcW w:w="758" w:type="dxa"/>
            <w:tcBorders>
              <w:top w:val="single" w:sz="4" w:space="0" w:color="auto"/>
              <w:left w:val="nil"/>
              <w:bottom w:val="single" w:sz="4" w:space="0" w:color="auto"/>
              <w:right w:val="nil"/>
            </w:tcBorders>
            <w:shd w:val="clear" w:color="auto" w:fill="A8CBEE" w:themeFill="accent2" w:themeFillTint="66"/>
            <w:vAlign w:val="center"/>
          </w:tcPr>
          <w:p w:rsidR="007401CE" w:rsidRPr="007401CE" w:rsidRDefault="007401CE" w:rsidP="000A2DDE">
            <w:pPr>
              <w:spacing w:after="0"/>
              <w:ind w:firstLine="0"/>
              <w:jc w:val="right"/>
              <w:rPr>
                <w:rFonts w:ascii="Arial" w:hAnsi="Arial" w:cs="Arial"/>
                <w:color w:val="000000"/>
                <w:sz w:val="18"/>
                <w:szCs w:val="18"/>
                <w:lang w:val="es-ES" w:eastAsia="es-ES"/>
              </w:rPr>
            </w:pPr>
            <w:r w:rsidRPr="007401CE">
              <w:rPr>
                <w:rFonts w:ascii="Arial" w:hAnsi="Arial" w:cs="Arial"/>
                <w:color w:val="000000"/>
                <w:sz w:val="18"/>
                <w:szCs w:val="18"/>
                <w:lang w:val="es-ES" w:eastAsia="es-ES"/>
              </w:rPr>
              <w:t>8.465</w:t>
            </w:r>
          </w:p>
        </w:tc>
        <w:tc>
          <w:tcPr>
            <w:tcW w:w="1012" w:type="dxa"/>
            <w:tcBorders>
              <w:top w:val="single" w:sz="4" w:space="0" w:color="auto"/>
              <w:left w:val="nil"/>
              <w:bottom w:val="single" w:sz="4" w:space="0" w:color="auto"/>
              <w:right w:val="nil"/>
            </w:tcBorders>
            <w:shd w:val="clear" w:color="auto" w:fill="A8CBEE" w:themeFill="accent2" w:themeFillTint="66"/>
            <w:vAlign w:val="center"/>
          </w:tcPr>
          <w:p w:rsidR="007401CE" w:rsidRDefault="007401CE">
            <w:pPr>
              <w:pStyle w:val="cuadroCabe"/>
              <w:jc w:val="right"/>
              <w:rPr>
                <w:szCs w:val="18"/>
              </w:rPr>
            </w:pPr>
            <w:r>
              <w:rPr>
                <w:szCs w:val="18"/>
              </w:rPr>
              <w:t>22.428</w:t>
            </w:r>
          </w:p>
        </w:tc>
        <w:tc>
          <w:tcPr>
            <w:tcW w:w="895" w:type="dxa"/>
            <w:tcBorders>
              <w:top w:val="single" w:sz="4" w:space="0" w:color="auto"/>
              <w:left w:val="nil"/>
              <w:bottom w:val="single" w:sz="4" w:space="0" w:color="auto"/>
              <w:right w:val="nil"/>
            </w:tcBorders>
            <w:shd w:val="clear" w:color="auto" w:fill="A8CBEE" w:themeFill="accent2" w:themeFillTint="66"/>
            <w:vAlign w:val="center"/>
          </w:tcPr>
          <w:p w:rsidR="007401CE" w:rsidRDefault="007401CE">
            <w:pPr>
              <w:pStyle w:val="cuadroCabe"/>
              <w:jc w:val="right"/>
              <w:rPr>
                <w:szCs w:val="18"/>
              </w:rPr>
            </w:pPr>
            <w:r>
              <w:rPr>
                <w:szCs w:val="18"/>
              </w:rPr>
              <w:t>22.494</w:t>
            </w:r>
          </w:p>
        </w:tc>
      </w:tr>
    </w:tbl>
    <w:p w:rsidR="00030B06" w:rsidRPr="00AB1A75" w:rsidRDefault="004304CC" w:rsidP="004317DF">
      <w:pPr>
        <w:pStyle w:val="texto"/>
        <w:spacing w:before="240"/>
        <w:rPr>
          <w:rFonts w:ascii="Times New (W1)" w:hAnsi="Times New (W1)"/>
        </w:rPr>
      </w:pPr>
      <w:r w:rsidRPr="00AB1A75">
        <w:rPr>
          <w:rFonts w:ascii="Times New (W1)" w:hAnsi="Times New (W1)"/>
        </w:rPr>
        <w:t xml:space="preserve">En 2015, el </w:t>
      </w:r>
      <w:r w:rsidR="007401CE" w:rsidRPr="00AB1A75">
        <w:rPr>
          <w:rFonts w:ascii="Times New (W1)" w:hAnsi="Times New (W1)"/>
        </w:rPr>
        <w:t>37</w:t>
      </w:r>
      <w:r w:rsidRPr="00AB1A75">
        <w:rPr>
          <w:rFonts w:ascii="Times New (W1)" w:hAnsi="Times New (W1)"/>
        </w:rPr>
        <w:t xml:space="preserve"> por ciento de los puestos corresponde al SNS-O, un </w:t>
      </w:r>
      <w:r w:rsidR="007401CE" w:rsidRPr="00AB1A75">
        <w:rPr>
          <w:rFonts w:ascii="Times New (W1)" w:hAnsi="Times New (W1)"/>
        </w:rPr>
        <w:t>35</w:t>
      </w:r>
      <w:r w:rsidRPr="00AB1A75">
        <w:rPr>
          <w:rFonts w:ascii="Times New (W1)" w:hAnsi="Times New (W1)"/>
        </w:rPr>
        <w:t xml:space="preserve"> por ciento a Educación y el </w:t>
      </w:r>
      <w:r w:rsidR="007401CE" w:rsidRPr="00AB1A75">
        <w:rPr>
          <w:rFonts w:ascii="Times New (W1)" w:hAnsi="Times New (W1)"/>
        </w:rPr>
        <w:t>28</w:t>
      </w:r>
      <w:r w:rsidRPr="00AB1A75">
        <w:rPr>
          <w:rFonts w:ascii="Times New (W1)" w:hAnsi="Times New (W1)"/>
        </w:rPr>
        <w:t xml:space="preserve"> por ciento a la Administración Núcleo. </w:t>
      </w:r>
      <w:r w:rsidR="00AB1A75" w:rsidRPr="00AB1A75">
        <w:rPr>
          <w:rFonts w:ascii="Times New (W1)" w:hAnsi="Times New (W1)"/>
        </w:rPr>
        <w:t>Sobre dat</w:t>
      </w:r>
      <w:r w:rsidR="007401CE" w:rsidRPr="00AB1A75">
        <w:rPr>
          <w:rFonts w:ascii="Times New (W1)" w:hAnsi="Times New (W1)"/>
        </w:rPr>
        <w:t xml:space="preserve">os de 2014, esos porcentajes </w:t>
      </w:r>
      <w:r w:rsidR="002C7DD1">
        <w:rPr>
          <w:rFonts w:ascii="Times New (W1)" w:hAnsi="Times New (W1)"/>
        </w:rPr>
        <w:t xml:space="preserve">prácticamente </w:t>
      </w:r>
      <w:r w:rsidR="00AB1A75" w:rsidRPr="00AB1A75">
        <w:rPr>
          <w:rFonts w:ascii="Times New (W1)" w:hAnsi="Times New (W1)"/>
        </w:rPr>
        <w:t>no se modifican</w:t>
      </w:r>
      <w:r w:rsidR="007401CE" w:rsidRPr="00AB1A75">
        <w:rPr>
          <w:rFonts w:ascii="Times New (W1)" w:hAnsi="Times New (W1)"/>
        </w:rPr>
        <w:t>.</w:t>
      </w:r>
    </w:p>
    <w:p w:rsidR="00AB1A75" w:rsidRPr="00AB1A75" w:rsidRDefault="00AB1A75" w:rsidP="004317DF">
      <w:pPr>
        <w:pStyle w:val="texto"/>
        <w:rPr>
          <w:rFonts w:ascii="Times New (W1)" w:hAnsi="Times New (W1)"/>
        </w:rPr>
      </w:pPr>
      <w:r w:rsidRPr="00AB1A75">
        <w:rPr>
          <w:rFonts w:ascii="Times New (W1)" w:hAnsi="Times New (W1)"/>
        </w:rPr>
        <w:t>Dentro de la Administración Núcleo se incluye el personal adscrito de Justicia</w:t>
      </w:r>
      <w:r>
        <w:rPr>
          <w:rFonts w:ascii="Times New (W1)" w:hAnsi="Times New (W1)"/>
        </w:rPr>
        <w:t xml:space="preserve"> con un total de 515 plazas, de las que están ocupadas 358 puestos.</w:t>
      </w:r>
    </w:p>
    <w:p w:rsidR="00A660BD" w:rsidRDefault="004304CC" w:rsidP="004317DF">
      <w:pPr>
        <w:pStyle w:val="texto"/>
        <w:spacing w:after="240"/>
      </w:pPr>
      <w:r>
        <w:t xml:space="preserve">El número de </w:t>
      </w:r>
      <w:r>
        <w:rPr>
          <w:b/>
        </w:rPr>
        <w:t>plazas cubiertas</w:t>
      </w:r>
      <w:r>
        <w:t xml:space="preserve"> en 2015 se distribuyen en función de su tipo</w:t>
      </w:r>
      <w:r w:rsidR="007401CE">
        <w:t>logía en</w:t>
      </w:r>
      <w:r w:rsidR="00AB1A75">
        <w:t>:</w:t>
      </w:r>
    </w:p>
    <w:tbl>
      <w:tblPr>
        <w:tblW w:w="8824" w:type="dxa"/>
        <w:jc w:val="center"/>
        <w:tblBorders>
          <w:top w:val="single" w:sz="4" w:space="0" w:color="auto"/>
          <w:bottom w:val="single" w:sz="4" w:space="0" w:color="auto"/>
        </w:tblBorders>
        <w:tblCellMar>
          <w:top w:w="10" w:type="dxa"/>
          <w:left w:w="10" w:type="dxa"/>
          <w:bottom w:w="10" w:type="dxa"/>
          <w:right w:w="10" w:type="dxa"/>
        </w:tblCellMar>
        <w:tblLook w:val="04A0" w:firstRow="1" w:lastRow="0" w:firstColumn="1" w:lastColumn="0" w:noHBand="0" w:noVBand="1"/>
      </w:tblPr>
      <w:tblGrid>
        <w:gridCol w:w="6025"/>
        <w:gridCol w:w="1417"/>
        <w:gridCol w:w="1382"/>
      </w:tblGrid>
      <w:tr w:rsidR="004304CC" w:rsidTr="004317DF">
        <w:trPr>
          <w:trHeight w:hRule="exact" w:val="284"/>
          <w:jc w:val="center"/>
        </w:trPr>
        <w:tc>
          <w:tcPr>
            <w:tcW w:w="6025" w:type="dxa"/>
            <w:tcBorders>
              <w:top w:val="single" w:sz="4" w:space="0" w:color="auto"/>
              <w:left w:val="nil"/>
              <w:bottom w:val="single" w:sz="4" w:space="0" w:color="auto"/>
              <w:right w:val="nil"/>
            </w:tcBorders>
            <w:shd w:val="clear" w:color="auto" w:fill="A8CBEE" w:themeFill="accent2" w:themeFillTint="66"/>
            <w:vAlign w:val="center"/>
            <w:hideMark/>
          </w:tcPr>
          <w:p w:rsidR="004304CC" w:rsidRPr="004304CC" w:rsidRDefault="004304CC" w:rsidP="004317DF">
            <w:pPr>
              <w:pStyle w:val="cuadroCabe"/>
              <w:jc w:val="left"/>
              <w:rPr>
                <w:szCs w:val="18"/>
              </w:rPr>
            </w:pPr>
            <w:r w:rsidRPr="004304CC">
              <w:rPr>
                <w:szCs w:val="18"/>
              </w:rPr>
              <w:t>Tipo de plaza cubierta</w:t>
            </w:r>
          </w:p>
        </w:tc>
        <w:tc>
          <w:tcPr>
            <w:tcW w:w="1417" w:type="dxa"/>
            <w:tcBorders>
              <w:top w:val="single" w:sz="4" w:space="0" w:color="auto"/>
              <w:left w:val="nil"/>
              <w:bottom w:val="single" w:sz="4" w:space="0" w:color="auto"/>
              <w:right w:val="nil"/>
            </w:tcBorders>
            <w:shd w:val="clear" w:color="auto" w:fill="A8CBEE" w:themeFill="accent2" w:themeFillTint="66"/>
            <w:vAlign w:val="center"/>
            <w:hideMark/>
          </w:tcPr>
          <w:p w:rsidR="004304CC" w:rsidRPr="004304CC" w:rsidRDefault="004304CC" w:rsidP="004304CC">
            <w:pPr>
              <w:pStyle w:val="cuadroCabe"/>
              <w:ind w:right="132"/>
              <w:jc w:val="right"/>
              <w:rPr>
                <w:szCs w:val="18"/>
              </w:rPr>
            </w:pPr>
            <w:r w:rsidRPr="004304CC">
              <w:rPr>
                <w:szCs w:val="18"/>
              </w:rPr>
              <w:t>2014</w:t>
            </w:r>
          </w:p>
        </w:tc>
        <w:tc>
          <w:tcPr>
            <w:tcW w:w="1382" w:type="dxa"/>
            <w:tcBorders>
              <w:top w:val="single" w:sz="4" w:space="0" w:color="auto"/>
              <w:left w:val="nil"/>
              <w:bottom w:val="single" w:sz="4" w:space="0" w:color="auto"/>
              <w:right w:val="nil"/>
            </w:tcBorders>
            <w:shd w:val="clear" w:color="auto" w:fill="A8CBEE" w:themeFill="accent2" w:themeFillTint="66"/>
            <w:vAlign w:val="center"/>
            <w:hideMark/>
          </w:tcPr>
          <w:p w:rsidR="004304CC" w:rsidRPr="004304CC" w:rsidRDefault="004304CC" w:rsidP="00D673BA">
            <w:pPr>
              <w:pStyle w:val="cuadroCabe"/>
              <w:ind w:right="131"/>
              <w:jc w:val="right"/>
              <w:rPr>
                <w:szCs w:val="18"/>
              </w:rPr>
            </w:pPr>
            <w:r w:rsidRPr="004304CC">
              <w:rPr>
                <w:szCs w:val="18"/>
              </w:rPr>
              <w:t>2015</w:t>
            </w:r>
          </w:p>
        </w:tc>
      </w:tr>
      <w:tr w:rsidR="004304CC" w:rsidTr="004317DF">
        <w:trPr>
          <w:trHeight w:hRule="exact" w:val="284"/>
          <w:jc w:val="center"/>
        </w:trPr>
        <w:tc>
          <w:tcPr>
            <w:tcW w:w="6025" w:type="dxa"/>
            <w:tcBorders>
              <w:top w:val="single" w:sz="4" w:space="0" w:color="auto"/>
              <w:left w:val="nil"/>
              <w:bottom w:val="single" w:sz="2" w:space="0" w:color="auto"/>
              <w:right w:val="nil"/>
            </w:tcBorders>
            <w:vAlign w:val="center"/>
            <w:hideMark/>
          </w:tcPr>
          <w:p w:rsidR="004304CC" w:rsidRPr="004304CC" w:rsidRDefault="004304CC" w:rsidP="004317DF">
            <w:pPr>
              <w:pStyle w:val="cuatexto"/>
              <w:jc w:val="left"/>
              <w:rPr>
                <w:szCs w:val="20"/>
              </w:rPr>
            </w:pPr>
            <w:r w:rsidRPr="004304CC">
              <w:rPr>
                <w:szCs w:val="20"/>
              </w:rPr>
              <w:t>Personal eventual</w:t>
            </w:r>
          </w:p>
        </w:tc>
        <w:tc>
          <w:tcPr>
            <w:tcW w:w="1417" w:type="dxa"/>
            <w:tcBorders>
              <w:top w:val="single" w:sz="4" w:space="0" w:color="auto"/>
              <w:left w:val="nil"/>
              <w:bottom w:val="single" w:sz="2" w:space="0" w:color="auto"/>
              <w:right w:val="nil"/>
            </w:tcBorders>
            <w:vAlign w:val="center"/>
          </w:tcPr>
          <w:p w:rsidR="004304CC" w:rsidRPr="006466A1" w:rsidRDefault="006466A1" w:rsidP="006466A1">
            <w:pPr>
              <w:pStyle w:val="cuatexto"/>
              <w:ind w:right="131"/>
              <w:jc w:val="right"/>
              <w:rPr>
                <w:szCs w:val="20"/>
              </w:rPr>
            </w:pPr>
            <w:r w:rsidRPr="006466A1">
              <w:rPr>
                <w:szCs w:val="20"/>
              </w:rPr>
              <w:t>109</w:t>
            </w:r>
          </w:p>
        </w:tc>
        <w:tc>
          <w:tcPr>
            <w:tcW w:w="1382" w:type="dxa"/>
            <w:tcBorders>
              <w:top w:val="single" w:sz="4" w:space="0" w:color="auto"/>
              <w:left w:val="nil"/>
              <w:bottom w:val="single" w:sz="2" w:space="0" w:color="auto"/>
              <w:right w:val="nil"/>
            </w:tcBorders>
            <w:vAlign w:val="center"/>
          </w:tcPr>
          <w:p w:rsidR="004304CC" w:rsidRPr="00D673BA" w:rsidRDefault="00D673BA" w:rsidP="00D673BA">
            <w:pPr>
              <w:pStyle w:val="cuatexto"/>
              <w:ind w:right="131"/>
              <w:jc w:val="right"/>
              <w:rPr>
                <w:szCs w:val="20"/>
              </w:rPr>
            </w:pPr>
            <w:r w:rsidRPr="00D673BA">
              <w:rPr>
                <w:szCs w:val="20"/>
              </w:rPr>
              <w:t>107</w:t>
            </w:r>
          </w:p>
        </w:tc>
      </w:tr>
      <w:tr w:rsidR="004304CC" w:rsidTr="004317DF">
        <w:trPr>
          <w:trHeight w:hRule="exact" w:val="284"/>
          <w:jc w:val="center"/>
        </w:trPr>
        <w:tc>
          <w:tcPr>
            <w:tcW w:w="6025" w:type="dxa"/>
            <w:tcBorders>
              <w:top w:val="single" w:sz="4" w:space="0" w:color="auto"/>
              <w:left w:val="nil"/>
              <w:bottom w:val="single" w:sz="2" w:space="0" w:color="auto"/>
              <w:right w:val="nil"/>
            </w:tcBorders>
            <w:vAlign w:val="center"/>
            <w:hideMark/>
          </w:tcPr>
          <w:p w:rsidR="004304CC" w:rsidRPr="004304CC" w:rsidRDefault="004304CC" w:rsidP="004317DF">
            <w:pPr>
              <w:pStyle w:val="cuatexto"/>
              <w:jc w:val="left"/>
              <w:rPr>
                <w:szCs w:val="20"/>
              </w:rPr>
            </w:pPr>
            <w:r w:rsidRPr="004304CC">
              <w:rPr>
                <w:szCs w:val="20"/>
              </w:rPr>
              <w:t>Jefaturas cubiertas</w:t>
            </w:r>
          </w:p>
        </w:tc>
        <w:tc>
          <w:tcPr>
            <w:tcW w:w="1417" w:type="dxa"/>
            <w:tcBorders>
              <w:top w:val="single" w:sz="4" w:space="0" w:color="auto"/>
              <w:left w:val="nil"/>
              <w:bottom w:val="single" w:sz="2" w:space="0" w:color="auto"/>
              <w:right w:val="nil"/>
            </w:tcBorders>
            <w:vAlign w:val="center"/>
          </w:tcPr>
          <w:p w:rsidR="004304CC" w:rsidRPr="006466A1" w:rsidRDefault="006466A1" w:rsidP="006466A1">
            <w:pPr>
              <w:pStyle w:val="cuatexto"/>
              <w:ind w:right="131"/>
              <w:jc w:val="right"/>
              <w:rPr>
                <w:szCs w:val="20"/>
              </w:rPr>
            </w:pPr>
            <w:r w:rsidRPr="006466A1">
              <w:rPr>
                <w:szCs w:val="20"/>
              </w:rPr>
              <w:t>1.436</w:t>
            </w:r>
          </w:p>
        </w:tc>
        <w:tc>
          <w:tcPr>
            <w:tcW w:w="1382" w:type="dxa"/>
            <w:tcBorders>
              <w:top w:val="single" w:sz="4" w:space="0" w:color="auto"/>
              <w:left w:val="nil"/>
              <w:bottom w:val="single" w:sz="2" w:space="0" w:color="auto"/>
              <w:right w:val="nil"/>
            </w:tcBorders>
            <w:vAlign w:val="center"/>
          </w:tcPr>
          <w:p w:rsidR="004304CC" w:rsidRPr="00D673BA" w:rsidRDefault="00D673BA" w:rsidP="00D673BA">
            <w:pPr>
              <w:pStyle w:val="cuatexto"/>
              <w:ind w:right="131"/>
              <w:jc w:val="right"/>
              <w:rPr>
                <w:szCs w:val="20"/>
              </w:rPr>
            </w:pPr>
            <w:r w:rsidRPr="00D673BA">
              <w:rPr>
                <w:szCs w:val="20"/>
              </w:rPr>
              <w:t>1.433</w:t>
            </w:r>
          </w:p>
        </w:tc>
      </w:tr>
      <w:tr w:rsidR="004304CC" w:rsidTr="00F33DBB">
        <w:trPr>
          <w:trHeight w:hRule="exact" w:val="284"/>
          <w:jc w:val="center"/>
        </w:trPr>
        <w:tc>
          <w:tcPr>
            <w:tcW w:w="6025" w:type="dxa"/>
            <w:tcBorders>
              <w:top w:val="single" w:sz="2" w:space="0" w:color="auto"/>
              <w:left w:val="nil"/>
              <w:bottom w:val="single" w:sz="4" w:space="0" w:color="auto"/>
              <w:right w:val="nil"/>
            </w:tcBorders>
            <w:vAlign w:val="center"/>
            <w:hideMark/>
          </w:tcPr>
          <w:p w:rsidR="004304CC" w:rsidRPr="004304CC" w:rsidRDefault="004304CC" w:rsidP="004317DF">
            <w:pPr>
              <w:pStyle w:val="cuatexto"/>
              <w:jc w:val="left"/>
              <w:rPr>
                <w:szCs w:val="20"/>
              </w:rPr>
            </w:pPr>
            <w:r w:rsidRPr="004304CC">
              <w:rPr>
                <w:szCs w:val="20"/>
              </w:rPr>
              <w:t>Plazas básicas</w:t>
            </w:r>
          </w:p>
        </w:tc>
        <w:tc>
          <w:tcPr>
            <w:tcW w:w="1417" w:type="dxa"/>
            <w:tcBorders>
              <w:top w:val="single" w:sz="2" w:space="0" w:color="auto"/>
              <w:left w:val="nil"/>
              <w:bottom w:val="single" w:sz="4" w:space="0" w:color="auto"/>
              <w:right w:val="nil"/>
            </w:tcBorders>
            <w:vAlign w:val="center"/>
          </w:tcPr>
          <w:p w:rsidR="004304CC" w:rsidRPr="006466A1" w:rsidRDefault="006466A1" w:rsidP="006466A1">
            <w:pPr>
              <w:pStyle w:val="cuatexto"/>
              <w:ind w:right="131"/>
              <w:jc w:val="right"/>
              <w:rPr>
                <w:szCs w:val="20"/>
              </w:rPr>
            </w:pPr>
            <w:r w:rsidRPr="006466A1">
              <w:rPr>
                <w:szCs w:val="20"/>
              </w:rPr>
              <w:t>16.544</w:t>
            </w:r>
          </w:p>
        </w:tc>
        <w:tc>
          <w:tcPr>
            <w:tcW w:w="1382" w:type="dxa"/>
            <w:tcBorders>
              <w:top w:val="single" w:sz="2" w:space="0" w:color="auto"/>
              <w:left w:val="nil"/>
              <w:bottom w:val="single" w:sz="4" w:space="0" w:color="auto"/>
              <w:right w:val="nil"/>
            </w:tcBorders>
            <w:vAlign w:val="center"/>
          </w:tcPr>
          <w:p w:rsidR="004304CC" w:rsidRPr="00D673BA" w:rsidRDefault="00D673BA" w:rsidP="00D673BA">
            <w:pPr>
              <w:pStyle w:val="cuatexto"/>
              <w:ind w:right="131"/>
              <w:jc w:val="right"/>
              <w:rPr>
                <w:szCs w:val="20"/>
              </w:rPr>
            </w:pPr>
            <w:r w:rsidRPr="00D673BA">
              <w:rPr>
                <w:szCs w:val="20"/>
              </w:rPr>
              <w:t>15.919</w:t>
            </w:r>
          </w:p>
        </w:tc>
      </w:tr>
      <w:tr w:rsidR="004304CC" w:rsidRPr="004317DF" w:rsidTr="00F33DBB">
        <w:trPr>
          <w:trHeight w:hRule="exact" w:val="284"/>
          <w:jc w:val="center"/>
        </w:trPr>
        <w:tc>
          <w:tcPr>
            <w:tcW w:w="6025" w:type="dxa"/>
            <w:tcBorders>
              <w:top w:val="single" w:sz="4" w:space="0" w:color="auto"/>
              <w:left w:val="nil"/>
              <w:bottom w:val="single" w:sz="4" w:space="0" w:color="auto"/>
              <w:right w:val="nil"/>
            </w:tcBorders>
            <w:shd w:val="clear" w:color="auto" w:fill="A8CBEE" w:themeFill="accent2" w:themeFillTint="66"/>
            <w:vAlign w:val="center"/>
            <w:hideMark/>
          </w:tcPr>
          <w:p w:rsidR="004304CC" w:rsidRPr="004317DF" w:rsidRDefault="004304CC" w:rsidP="004317DF">
            <w:pPr>
              <w:pStyle w:val="cuadroCabe"/>
              <w:jc w:val="left"/>
              <w:rPr>
                <w:rFonts w:cs="Arial"/>
                <w:szCs w:val="18"/>
                <w:lang w:val="es-ES" w:eastAsia="es-ES"/>
              </w:rPr>
            </w:pPr>
            <w:r w:rsidRPr="004317DF">
              <w:rPr>
                <w:rFonts w:cs="Arial"/>
                <w:szCs w:val="18"/>
                <w:lang w:val="es-ES" w:eastAsia="es-ES"/>
              </w:rPr>
              <w:t>Total cubiertas</w:t>
            </w:r>
          </w:p>
        </w:tc>
        <w:tc>
          <w:tcPr>
            <w:tcW w:w="1417" w:type="dxa"/>
            <w:tcBorders>
              <w:top w:val="single" w:sz="4" w:space="0" w:color="auto"/>
              <w:left w:val="nil"/>
              <w:bottom w:val="single" w:sz="4" w:space="0" w:color="auto"/>
              <w:right w:val="nil"/>
            </w:tcBorders>
            <w:shd w:val="clear" w:color="auto" w:fill="A8CBEE" w:themeFill="accent2" w:themeFillTint="66"/>
            <w:vAlign w:val="center"/>
          </w:tcPr>
          <w:p w:rsidR="004304CC" w:rsidRPr="004317DF" w:rsidRDefault="006466A1" w:rsidP="007401CE">
            <w:pPr>
              <w:pStyle w:val="cuadroCabe"/>
              <w:ind w:right="132"/>
              <w:jc w:val="right"/>
              <w:rPr>
                <w:rFonts w:cs="Arial"/>
                <w:szCs w:val="18"/>
                <w:lang w:val="es-ES" w:eastAsia="es-ES"/>
              </w:rPr>
            </w:pPr>
            <w:r w:rsidRPr="004317DF">
              <w:rPr>
                <w:rFonts w:cs="Arial"/>
                <w:szCs w:val="18"/>
                <w:lang w:val="es-ES" w:eastAsia="es-ES"/>
              </w:rPr>
              <w:t>18.089</w:t>
            </w:r>
          </w:p>
        </w:tc>
        <w:tc>
          <w:tcPr>
            <w:tcW w:w="1382" w:type="dxa"/>
            <w:tcBorders>
              <w:top w:val="single" w:sz="4" w:space="0" w:color="auto"/>
              <w:left w:val="nil"/>
              <w:bottom w:val="single" w:sz="4" w:space="0" w:color="auto"/>
              <w:right w:val="nil"/>
            </w:tcBorders>
            <w:shd w:val="clear" w:color="auto" w:fill="A8CBEE" w:themeFill="accent2" w:themeFillTint="66"/>
            <w:vAlign w:val="center"/>
          </w:tcPr>
          <w:p w:rsidR="004304CC" w:rsidRPr="004317DF" w:rsidRDefault="00D673BA" w:rsidP="00D673BA">
            <w:pPr>
              <w:pStyle w:val="cuatexto"/>
              <w:ind w:right="131"/>
              <w:jc w:val="right"/>
              <w:rPr>
                <w:rFonts w:ascii="Arial" w:hAnsi="Arial" w:cs="Arial"/>
                <w:sz w:val="18"/>
                <w:szCs w:val="18"/>
              </w:rPr>
            </w:pPr>
            <w:r w:rsidRPr="004317DF">
              <w:rPr>
                <w:rFonts w:ascii="Arial" w:hAnsi="Arial" w:cs="Arial"/>
                <w:sz w:val="18"/>
                <w:szCs w:val="18"/>
              </w:rPr>
              <w:t>17.459</w:t>
            </w:r>
          </w:p>
        </w:tc>
      </w:tr>
    </w:tbl>
    <w:p w:rsidR="007401CE" w:rsidRPr="007401CE" w:rsidRDefault="007401CE" w:rsidP="004317DF">
      <w:pPr>
        <w:pStyle w:val="texto"/>
        <w:spacing w:before="240"/>
        <w:rPr>
          <w:rFonts w:ascii="Times New (W1)" w:hAnsi="Times New (W1)"/>
        </w:rPr>
      </w:pPr>
      <w:r w:rsidRPr="007401CE">
        <w:rPr>
          <w:rFonts w:ascii="Times New (W1)" w:hAnsi="Times New (W1)"/>
        </w:rPr>
        <w:t>Sobre 2014, la variación más significativa se detecta en las plazas básicas que, en 2015, se han reducido en un cuatro por ciento, esto es, 625 plazas.</w:t>
      </w:r>
    </w:p>
    <w:p w:rsidR="004304CC" w:rsidRPr="007401CE" w:rsidRDefault="004304CC" w:rsidP="004304CC">
      <w:pPr>
        <w:pStyle w:val="texto"/>
        <w:spacing w:after="120"/>
        <w:rPr>
          <w:rFonts w:ascii="Times New (W1)" w:hAnsi="Times New (W1)"/>
        </w:rPr>
      </w:pPr>
      <w:r w:rsidRPr="007401CE">
        <w:rPr>
          <w:rFonts w:ascii="Times New (W1)" w:hAnsi="Times New (W1)"/>
        </w:rPr>
        <w:t>Dentro de las plazas básicas</w:t>
      </w:r>
      <w:r w:rsidR="007401CE">
        <w:rPr>
          <w:rFonts w:ascii="Times New (W1)" w:hAnsi="Times New (W1)"/>
        </w:rPr>
        <w:t xml:space="preserve"> de 2015</w:t>
      </w:r>
      <w:r w:rsidRPr="007401CE">
        <w:rPr>
          <w:rFonts w:ascii="Times New (W1)" w:hAnsi="Times New (W1)"/>
        </w:rPr>
        <w:t xml:space="preserve">, </w:t>
      </w:r>
      <w:r w:rsidR="00D673BA" w:rsidRPr="007401CE">
        <w:rPr>
          <w:rFonts w:ascii="Times New (W1)" w:hAnsi="Times New (W1)"/>
        </w:rPr>
        <w:t>2.068</w:t>
      </w:r>
      <w:r w:rsidRPr="007401CE">
        <w:rPr>
          <w:rFonts w:ascii="Times New (W1)" w:hAnsi="Times New (W1)"/>
        </w:rPr>
        <w:t xml:space="preserve"> figuran en situación de servicios especiales o similares con reserva de plaza y </w:t>
      </w:r>
      <w:r w:rsidR="00D673BA" w:rsidRPr="007401CE">
        <w:rPr>
          <w:rFonts w:ascii="Times New (W1)" w:hAnsi="Times New (W1)"/>
        </w:rPr>
        <w:t>209</w:t>
      </w:r>
      <w:r w:rsidRPr="007401CE">
        <w:rPr>
          <w:rFonts w:ascii="Times New (W1)" w:hAnsi="Times New (W1)"/>
        </w:rPr>
        <w:t xml:space="preserve"> en excedencia.</w:t>
      </w:r>
    </w:p>
    <w:p w:rsidR="00AB1A75" w:rsidRPr="006466A1" w:rsidRDefault="00030B06" w:rsidP="004750A1">
      <w:pPr>
        <w:pStyle w:val="texto"/>
        <w:spacing w:after="180"/>
        <w:rPr>
          <w:lang w:val="es-ES"/>
        </w:rPr>
      </w:pPr>
      <w:r w:rsidRPr="006466A1">
        <w:rPr>
          <w:lang w:val="es-ES"/>
        </w:rPr>
        <w:t>La relación</w:t>
      </w:r>
      <w:r w:rsidR="004304CC" w:rsidRPr="006466A1">
        <w:rPr>
          <w:lang w:val="es-ES"/>
        </w:rPr>
        <w:t>,</w:t>
      </w:r>
      <w:r w:rsidRPr="006466A1">
        <w:rPr>
          <w:lang w:val="es-ES"/>
        </w:rPr>
        <w:t xml:space="preserve"> situación</w:t>
      </w:r>
      <w:r w:rsidR="004304CC" w:rsidRPr="006466A1">
        <w:rPr>
          <w:lang w:val="es-ES"/>
        </w:rPr>
        <w:t xml:space="preserve"> y evolución</w:t>
      </w:r>
      <w:r w:rsidRPr="006466A1">
        <w:rPr>
          <w:lang w:val="es-ES"/>
        </w:rPr>
        <w:t xml:space="preserve"> de las </w:t>
      </w:r>
      <w:r w:rsidR="004304CC" w:rsidRPr="006466A1">
        <w:rPr>
          <w:b/>
          <w:lang w:val="es-ES"/>
        </w:rPr>
        <w:t xml:space="preserve">plazas </w:t>
      </w:r>
      <w:r w:rsidRPr="006466A1">
        <w:rPr>
          <w:b/>
          <w:lang w:val="es-ES"/>
        </w:rPr>
        <w:t>vacantes</w:t>
      </w:r>
      <w:r w:rsidRPr="006466A1">
        <w:rPr>
          <w:lang w:val="es-ES"/>
        </w:rPr>
        <w:t xml:space="preserve"> sobre el total de puestos se observa en el siguiente cuadro.</w:t>
      </w:r>
    </w:p>
    <w:tbl>
      <w:tblPr>
        <w:tblW w:w="8776" w:type="dxa"/>
        <w:jc w:val="center"/>
        <w:tblInd w:w="-142" w:type="dxa"/>
        <w:tblBorders>
          <w:top w:val="single" w:sz="4" w:space="0" w:color="auto"/>
          <w:bottom w:val="single" w:sz="4" w:space="0" w:color="auto"/>
        </w:tblBorders>
        <w:tblCellMar>
          <w:top w:w="10" w:type="dxa"/>
          <w:left w:w="10" w:type="dxa"/>
          <w:bottom w:w="10" w:type="dxa"/>
          <w:right w:w="10" w:type="dxa"/>
        </w:tblCellMar>
        <w:tblLook w:val="04A0" w:firstRow="1" w:lastRow="0" w:firstColumn="1" w:lastColumn="0" w:noHBand="0" w:noVBand="1"/>
      </w:tblPr>
      <w:tblGrid>
        <w:gridCol w:w="5942"/>
        <w:gridCol w:w="1417"/>
        <w:gridCol w:w="1417"/>
      </w:tblGrid>
      <w:tr w:rsidR="00030B06" w:rsidTr="00A20D5E">
        <w:trPr>
          <w:trHeight w:hRule="exact" w:val="300"/>
          <w:jc w:val="center"/>
        </w:trPr>
        <w:tc>
          <w:tcPr>
            <w:tcW w:w="5942" w:type="dxa"/>
            <w:tcBorders>
              <w:top w:val="single" w:sz="4" w:space="0" w:color="auto"/>
              <w:left w:val="nil"/>
              <w:bottom w:val="single" w:sz="4" w:space="0" w:color="auto"/>
              <w:right w:val="nil"/>
            </w:tcBorders>
            <w:shd w:val="clear" w:color="auto" w:fill="A8CBEE" w:themeFill="accent2" w:themeFillTint="66"/>
            <w:vAlign w:val="center"/>
            <w:hideMark/>
          </w:tcPr>
          <w:p w:rsidR="00030B06" w:rsidRPr="004304CC" w:rsidRDefault="00030B06" w:rsidP="004304CC">
            <w:pPr>
              <w:pStyle w:val="cuadroCabe"/>
              <w:ind w:left="131"/>
              <w:jc w:val="left"/>
              <w:rPr>
                <w:szCs w:val="18"/>
              </w:rPr>
            </w:pPr>
            <w:r w:rsidRPr="004304CC">
              <w:rPr>
                <w:szCs w:val="18"/>
              </w:rPr>
              <w:t>Concepto</w:t>
            </w:r>
          </w:p>
        </w:tc>
        <w:tc>
          <w:tcPr>
            <w:tcW w:w="1417" w:type="dxa"/>
            <w:tcBorders>
              <w:top w:val="single" w:sz="4" w:space="0" w:color="auto"/>
              <w:left w:val="nil"/>
              <w:bottom w:val="single" w:sz="4" w:space="0" w:color="auto"/>
              <w:right w:val="nil"/>
            </w:tcBorders>
            <w:shd w:val="clear" w:color="auto" w:fill="A8CBEE" w:themeFill="accent2" w:themeFillTint="66"/>
            <w:vAlign w:val="center"/>
            <w:hideMark/>
          </w:tcPr>
          <w:p w:rsidR="00030B06" w:rsidRPr="004304CC" w:rsidRDefault="00030B06" w:rsidP="004304CC">
            <w:pPr>
              <w:pStyle w:val="cuadroCabe"/>
              <w:ind w:right="132"/>
              <w:jc w:val="right"/>
              <w:rPr>
                <w:szCs w:val="18"/>
              </w:rPr>
            </w:pPr>
            <w:r w:rsidRPr="004304CC">
              <w:rPr>
                <w:szCs w:val="18"/>
              </w:rPr>
              <w:t>2014</w:t>
            </w:r>
          </w:p>
        </w:tc>
        <w:tc>
          <w:tcPr>
            <w:tcW w:w="1417" w:type="dxa"/>
            <w:tcBorders>
              <w:top w:val="single" w:sz="4" w:space="0" w:color="auto"/>
              <w:left w:val="nil"/>
              <w:bottom w:val="single" w:sz="4" w:space="0" w:color="auto"/>
              <w:right w:val="nil"/>
            </w:tcBorders>
            <w:shd w:val="clear" w:color="auto" w:fill="A8CBEE" w:themeFill="accent2" w:themeFillTint="66"/>
            <w:vAlign w:val="center"/>
            <w:hideMark/>
          </w:tcPr>
          <w:p w:rsidR="00030B06" w:rsidRPr="004304CC" w:rsidRDefault="00030B06" w:rsidP="004304CC">
            <w:pPr>
              <w:pStyle w:val="cuadroCabe"/>
              <w:ind w:right="131"/>
              <w:jc w:val="right"/>
              <w:rPr>
                <w:szCs w:val="18"/>
              </w:rPr>
            </w:pPr>
            <w:r w:rsidRPr="004304CC">
              <w:rPr>
                <w:szCs w:val="18"/>
              </w:rPr>
              <w:t>2015</w:t>
            </w:r>
          </w:p>
        </w:tc>
      </w:tr>
      <w:tr w:rsidR="006466A1" w:rsidTr="00434A2E">
        <w:trPr>
          <w:trHeight w:hRule="exact" w:val="284"/>
          <w:jc w:val="center"/>
        </w:trPr>
        <w:tc>
          <w:tcPr>
            <w:tcW w:w="5942" w:type="dxa"/>
            <w:tcBorders>
              <w:top w:val="single" w:sz="4" w:space="0" w:color="auto"/>
              <w:left w:val="nil"/>
              <w:bottom w:val="single" w:sz="2" w:space="0" w:color="auto"/>
              <w:right w:val="nil"/>
            </w:tcBorders>
            <w:vAlign w:val="center"/>
            <w:hideMark/>
          </w:tcPr>
          <w:p w:rsidR="006466A1" w:rsidRPr="004304CC" w:rsidRDefault="006466A1" w:rsidP="004304CC">
            <w:pPr>
              <w:pStyle w:val="cuatexto"/>
              <w:ind w:left="131"/>
              <w:jc w:val="left"/>
              <w:rPr>
                <w:szCs w:val="20"/>
              </w:rPr>
            </w:pPr>
            <w:r w:rsidRPr="004304CC">
              <w:rPr>
                <w:szCs w:val="20"/>
              </w:rPr>
              <w:t>Total puestos</w:t>
            </w:r>
          </w:p>
        </w:tc>
        <w:tc>
          <w:tcPr>
            <w:tcW w:w="1417" w:type="dxa"/>
            <w:tcBorders>
              <w:top w:val="single" w:sz="4" w:space="0" w:color="auto"/>
              <w:left w:val="nil"/>
              <w:bottom w:val="single" w:sz="2" w:space="0" w:color="auto"/>
              <w:right w:val="nil"/>
            </w:tcBorders>
            <w:vAlign w:val="center"/>
            <w:hideMark/>
          </w:tcPr>
          <w:p w:rsidR="006466A1" w:rsidRPr="004304CC" w:rsidRDefault="006466A1" w:rsidP="004304CC">
            <w:pPr>
              <w:pStyle w:val="cuatexto"/>
              <w:ind w:right="132"/>
              <w:jc w:val="right"/>
              <w:rPr>
                <w:szCs w:val="20"/>
              </w:rPr>
            </w:pPr>
            <w:r w:rsidRPr="004304CC">
              <w:rPr>
                <w:szCs w:val="20"/>
              </w:rPr>
              <w:t>22.428</w:t>
            </w:r>
          </w:p>
        </w:tc>
        <w:tc>
          <w:tcPr>
            <w:tcW w:w="1417" w:type="dxa"/>
            <w:tcBorders>
              <w:top w:val="single" w:sz="4" w:space="0" w:color="auto"/>
              <w:left w:val="nil"/>
              <w:bottom w:val="single" w:sz="2" w:space="0" w:color="auto"/>
              <w:right w:val="nil"/>
            </w:tcBorders>
            <w:vAlign w:val="center"/>
          </w:tcPr>
          <w:p w:rsidR="006466A1" w:rsidRPr="006466A1" w:rsidRDefault="006466A1" w:rsidP="006466A1">
            <w:pPr>
              <w:pStyle w:val="cuatexto"/>
              <w:ind w:right="132"/>
              <w:jc w:val="right"/>
              <w:rPr>
                <w:szCs w:val="20"/>
              </w:rPr>
            </w:pPr>
            <w:r w:rsidRPr="006466A1">
              <w:rPr>
                <w:szCs w:val="20"/>
              </w:rPr>
              <w:t>22.494</w:t>
            </w:r>
          </w:p>
        </w:tc>
      </w:tr>
      <w:tr w:rsidR="006466A1" w:rsidTr="00434A2E">
        <w:trPr>
          <w:trHeight w:hRule="exact" w:val="284"/>
          <w:jc w:val="center"/>
        </w:trPr>
        <w:tc>
          <w:tcPr>
            <w:tcW w:w="5942" w:type="dxa"/>
            <w:tcBorders>
              <w:top w:val="single" w:sz="2" w:space="0" w:color="auto"/>
              <w:left w:val="nil"/>
              <w:bottom w:val="single" w:sz="2" w:space="0" w:color="auto"/>
              <w:right w:val="nil"/>
            </w:tcBorders>
            <w:vAlign w:val="center"/>
            <w:hideMark/>
          </w:tcPr>
          <w:p w:rsidR="006466A1" w:rsidRPr="004304CC" w:rsidRDefault="006466A1" w:rsidP="004304CC">
            <w:pPr>
              <w:pStyle w:val="cuatexto"/>
              <w:ind w:left="131"/>
              <w:jc w:val="left"/>
              <w:rPr>
                <w:szCs w:val="20"/>
              </w:rPr>
            </w:pPr>
            <w:r w:rsidRPr="004304CC">
              <w:rPr>
                <w:szCs w:val="20"/>
              </w:rPr>
              <w:t>Vacantes</w:t>
            </w:r>
          </w:p>
        </w:tc>
        <w:tc>
          <w:tcPr>
            <w:tcW w:w="1417" w:type="dxa"/>
            <w:tcBorders>
              <w:top w:val="single" w:sz="2" w:space="0" w:color="auto"/>
              <w:left w:val="nil"/>
              <w:bottom w:val="single" w:sz="2" w:space="0" w:color="auto"/>
              <w:right w:val="nil"/>
            </w:tcBorders>
            <w:vAlign w:val="center"/>
            <w:hideMark/>
          </w:tcPr>
          <w:p w:rsidR="006466A1" w:rsidRPr="004304CC" w:rsidRDefault="006466A1" w:rsidP="004304CC">
            <w:pPr>
              <w:pStyle w:val="cuatexto"/>
              <w:ind w:right="132"/>
              <w:jc w:val="right"/>
              <w:rPr>
                <w:szCs w:val="20"/>
              </w:rPr>
            </w:pPr>
            <w:r w:rsidRPr="004304CC">
              <w:rPr>
                <w:szCs w:val="20"/>
              </w:rPr>
              <w:t>4.339</w:t>
            </w:r>
          </w:p>
        </w:tc>
        <w:tc>
          <w:tcPr>
            <w:tcW w:w="1417" w:type="dxa"/>
            <w:tcBorders>
              <w:top w:val="single" w:sz="2" w:space="0" w:color="auto"/>
              <w:left w:val="nil"/>
              <w:bottom w:val="single" w:sz="2" w:space="0" w:color="auto"/>
              <w:right w:val="nil"/>
            </w:tcBorders>
            <w:vAlign w:val="center"/>
          </w:tcPr>
          <w:p w:rsidR="006466A1" w:rsidRPr="006466A1" w:rsidRDefault="006466A1" w:rsidP="006466A1">
            <w:pPr>
              <w:pStyle w:val="cuatexto"/>
              <w:ind w:right="132"/>
              <w:jc w:val="right"/>
              <w:rPr>
                <w:szCs w:val="20"/>
              </w:rPr>
            </w:pPr>
            <w:r w:rsidRPr="006466A1">
              <w:rPr>
                <w:szCs w:val="20"/>
              </w:rPr>
              <w:t>5.035</w:t>
            </w:r>
          </w:p>
        </w:tc>
      </w:tr>
      <w:tr w:rsidR="006466A1" w:rsidTr="00434A2E">
        <w:trPr>
          <w:trHeight w:hRule="exact" w:val="284"/>
          <w:jc w:val="center"/>
        </w:trPr>
        <w:tc>
          <w:tcPr>
            <w:tcW w:w="5942" w:type="dxa"/>
            <w:tcBorders>
              <w:top w:val="single" w:sz="2" w:space="0" w:color="auto"/>
              <w:left w:val="nil"/>
              <w:bottom w:val="single" w:sz="2" w:space="0" w:color="auto"/>
              <w:right w:val="nil"/>
            </w:tcBorders>
            <w:vAlign w:val="center"/>
            <w:hideMark/>
          </w:tcPr>
          <w:p w:rsidR="006466A1" w:rsidRPr="004304CC" w:rsidRDefault="006466A1" w:rsidP="004304CC">
            <w:pPr>
              <w:pStyle w:val="cuatexto"/>
              <w:ind w:left="131"/>
              <w:jc w:val="left"/>
              <w:rPr>
                <w:szCs w:val="20"/>
              </w:rPr>
            </w:pPr>
            <w:r w:rsidRPr="004304CC">
              <w:rPr>
                <w:szCs w:val="20"/>
              </w:rPr>
              <w:t>% Vacantes sobre total puestos</w:t>
            </w:r>
          </w:p>
        </w:tc>
        <w:tc>
          <w:tcPr>
            <w:tcW w:w="1417" w:type="dxa"/>
            <w:tcBorders>
              <w:top w:val="single" w:sz="2" w:space="0" w:color="auto"/>
              <w:left w:val="nil"/>
              <w:bottom w:val="single" w:sz="2" w:space="0" w:color="auto"/>
              <w:right w:val="nil"/>
            </w:tcBorders>
            <w:vAlign w:val="center"/>
            <w:hideMark/>
          </w:tcPr>
          <w:p w:rsidR="006466A1" w:rsidRPr="004304CC" w:rsidRDefault="006466A1" w:rsidP="004304CC">
            <w:pPr>
              <w:pStyle w:val="cuatexto"/>
              <w:ind w:right="132"/>
              <w:jc w:val="right"/>
              <w:rPr>
                <w:szCs w:val="20"/>
              </w:rPr>
            </w:pPr>
            <w:r w:rsidRPr="004304CC">
              <w:rPr>
                <w:szCs w:val="20"/>
              </w:rPr>
              <w:t>19</w:t>
            </w:r>
          </w:p>
        </w:tc>
        <w:tc>
          <w:tcPr>
            <w:tcW w:w="1417" w:type="dxa"/>
            <w:tcBorders>
              <w:top w:val="single" w:sz="2" w:space="0" w:color="auto"/>
              <w:left w:val="nil"/>
              <w:bottom w:val="single" w:sz="2" w:space="0" w:color="auto"/>
              <w:right w:val="nil"/>
            </w:tcBorders>
            <w:vAlign w:val="center"/>
          </w:tcPr>
          <w:p w:rsidR="006466A1" w:rsidRPr="006466A1" w:rsidRDefault="006466A1" w:rsidP="006466A1">
            <w:pPr>
              <w:pStyle w:val="cuatexto"/>
              <w:ind w:right="132"/>
              <w:jc w:val="right"/>
              <w:rPr>
                <w:szCs w:val="20"/>
              </w:rPr>
            </w:pPr>
            <w:r w:rsidRPr="006466A1">
              <w:rPr>
                <w:szCs w:val="20"/>
              </w:rPr>
              <w:t>22</w:t>
            </w:r>
          </w:p>
        </w:tc>
      </w:tr>
      <w:tr w:rsidR="006466A1" w:rsidTr="00F33DBB">
        <w:trPr>
          <w:trHeight w:hRule="exact" w:val="284"/>
          <w:jc w:val="center"/>
        </w:trPr>
        <w:tc>
          <w:tcPr>
            <w:tcW w:w="5942" w:type="dxa"/>
            <w:tcBorders>
              <w:top w:val="single" w:sz="2" w:space="0" w:color="auto"/>
              <w:left w:val="nil"/>
              <w:bottom w:val="single" w:sz="2" w:space="0" w:color="auto"/>
              <w:right w:val="nil"/>
            </w:tcBorders>
            <w:vAlign w:val="center"/>
            <w:hideMark/>
          </w:tcPr>
          <w:p w:rsidR="006466A1" w:rsidRPr="004304CC" w:rsidRDefault="006466A1" w:rsidP="004304CC">
            <w:pPr>
              <w:pStyle w:val="cuatexto"/>
              <w:ind w:left="131"/>
              <w:jc w:val="left"/>
              <w:rPr>
                <w:szCs w:val="20"/>
              </w:rPr>
            </w:pPr>
            <w:r w:rsidRPr="004304CC">
              <w:rPr>
                <w:szCs w:val="20"/>
              </w:rPr>
              <w:t>Vacantes cubiertas temporalmente</w:t>
            </w:r>
          </w:p>
        </w:tc>
        <w:tc>
          <w:tcPr>
            <w:tcW w:w="1417" w:type="dxa"/>
            <w:tcBorders>
              <w:top w:val="single" w:sz="2" w:space="0" w:color="auto"/>
              <w:left w:val="nil"/>
              <w:bottom w:val="single" w:sz="2" w:space="0" w:color="auto"/>
              <w:right w:val="nil"/>
            </w:tcBorders>
            <w:vAlign w:val="center"/>
            <w:hideMark/>
          </w:tcPr>
          <w:p w:rsidR="006466A1" w:rsidRPr="004304CC" w:rsidRDefault="006466A1" w:rsidP="004304CC">
            <w:pPr>
              <w:pStyle w:val="cuatexto"/>
              <w:ind w:right="132"/>
              <w:jc w:val="right"/>
              <w:rPr>
                <w:szCs w:val="20"/>
              </w:rPr>
            </w:pPr>
            <w:r w:rsidRPr="004304CC">
              <w:rPr>
                <w:szCs w:val="20"/>
              </w:rPr>
              <w:t>2.582</w:t>
            </w:r>
          </w:p>
        </w:tc>
        <w:tc>
          <w:tcPr>
            <w:tcW w:w="1417" w:type="dxa"/>
            <w:tcBorders>
              <w:top w:val="single" w:sz="2" w:space="0" w:color="auto"/>
              <w:left w:val="nil"/>
              <w:bottom w:val="single" w:sz="2" w:space="0" w:color="auto"/>
              <w:right w:val="nil"/>
            </w:tcBorders>
            <w:vAlign w:val="center"/>
          </w:tcPr>
          <w:p w:rsidR="006466A1" w:rsidRPr="006466A1" w:rsidRDefault="006466A1" w:rsidP="006466A1">
            <w:pPr>
              <w:pStyle w:val="cuatexto"/>
              <w:ind w:right="132"/>
              <w:jc w:val="right"/>
              <w:rPr>
                <w:szCs w:val="20"/>
              </w:rPr>
            </w:pPr>
            <w:r w:rsidRPr="006466A1">
              <w:rPr>
                <w:szCs w:val="20"/>
              </w:rPr>
              <w:t>2.944</w:t>
            </w:r>
          </w:p>
        </w:tc>
      </w:tr>
      <w:tr w:rsidR="006466A1" w:rsidTr="00F33DBB">
        <w:trPr>
          <w:trHeight w:hRule="exact" w:val="284"/>
          <w:jc w:val="center"/>
        </w:trPr>
        <w:tc>
          <w:tcPr>
            <w:tcW w:w="5942" w:type="dxa"/>
            <w:tcBorders>
              <w:top w:val="single" w:sz="2" w:space="0" w:color="auto"/>
              <w:left w:val="nil"/>
              <w:bottom w:val="single" w:sz="4" w:space="0" w:color="auto"/>
              <w:right w:val="nil"/>
            </w:tcBorders>
            <w:vAlign w:val="center"/>
            <w:hideMark/>
          </w:tcPr>
          <w:p w:rsidR="006466A1" w:rsidRPr="004304CC" w:rsidRDefault="006466A1" w:rsidP="004304CC">
            <w:pPr>
              <w:pStyle w:val="cuatexto"/>
              <w:ind w:left="131"/>
              <w:jc w:val="left"/>
              <w:rPr>
                <w:szCs w:val="20"/>
              </w:rPr>
            </w:pPr>
            <w:r w:rsidRPr="004304CC">
              <w:rPr>
                <w:szCs w:val="20"/>
              </w:rPr>
              <w:t>% Vacantes cubiertas sobre total vacantes</w:t>
            </w:r>
          </w:p>
        </w:tc>
        <w:tc>
          <w:tcPr>
            <w:tcW w:w="1417" w:type="dxa"/>
            <w:tcBorders>
              <w:top w:val="single" w:sz="2" w:space="0" w:color="auto"/>
              <w:left w:val="nil"/>
              <w:bottom w:val="single" w:sz="4" w:space="0" w:color="auto"/>
              <w:right w:val="nil"/>
            </w:tcBorders>
            <w:vAlign w:val="center"/>
            <w:hideMark/>
          </w:tcPr>
          <w:p w:rsidR="006466A1" w:rsidRPr="004304CC" w:rsidRDefault="006466A1" w:rsidP="004304CC">
            <w:pPr>
              <w:pStyle w:val="cuatexto"/>
              <w:ind w:right="132"/>
              <w:jc w:val="right"/>
              <w:rPr>
                <w:szCs w:val="20"/>
              </w:rPr>
            </w:pPr>
            <w:r w:rsidRPr="004304CC">
              <w:rPr>
                <w:szCs w:val="20"/>
              </w:rPr>
              <w:t>59</w:t>
            </w:r>
          </w:p>
        </w:tc>
        <w:tc>
          <w:tcPr>
            <w:tcW w:w="1417" w:type="dxa"/>
            <w:tcBorders>
              <w:top w:val="single" w:sz="2" w:space="0" w:color="auto"/>
              <w:left w:val="nil"/>
              <w:bottom w:val="single" w:sz="4" w:space="0" w:color="auto"/>
              <w:right w:val="nil"/>
            </w:tcBorders>
            <w:vAlign w:val="center"/>
          </w:tcPr>
          <w:p w:rsidR="006466A1" w:rsidRPr="006466A1" w:rsidRDefault="006466A1" w:rsidP="006466A1">
            <w:pPr>
              <w:pStyle w:val="cuatexto"/>
              <w:ind w:right="132"/>
              <w:jc w:val="right"/>
              <w:rPr>
                <w:szCs w:val="20"/>
              </w:rPr>
            </w:pPr>
            <w:r w:rsidRPr="006466A1">
              <w:rPr>
                <w:szCs w:val="20"/>
              </w:rPr>
              <w:t>58</w:t>
            </w:r>
          </w:p>
        </w:tc>
      </w:tr>
    </w:tbl>
    <w:p w:rsidR="00030B06" w:rsidRPr="006466A1" w:rsidRDefault="00030B06" w:rsidP="00A20D5E">
      <w:pPr>
        <w:pStyle w:val="texto"/>
        <w:spacing w:before="240" w:after="240"/>
        <w:rPr>
          <w:lang w:val="es-ES"/>
        </w:rPr>
      </w:pPr>
      <w:r w:rsidRPr="006466A1">
        <w:rPr>
          <w:lang w:val="es-ES"/>
        </w:rPr>
        <w:t xml:space="preserve">En 2015, el </w:t>
      </w:r>
      <w:r w:rsidR="006466A1" w:rsidRPr="006466A1">
        <w:rPr>
          <w:lang w:val="es-ES"/>
        </w:rPr>
        <w:t>22</w:t>
      </w:r>
      <w:r w:rsidRPr="006466A1">
        <w:rPr>
          <w:lang w:val="es-ES"/>
        </w:rPr>
        <w:t xml:space="preserve"> por ciento del total de puestos estaban vacantes y dentro de éstos, el </w:t>
      </w:r>
      <w:r w:rsidR="006466A1" w:rsidRPr="006466A1">
        <w:rPr>
          <w:lang w:val="es-ES"/>
        </w:rPr>
        <w:t>58</w:t>
      </w:r>
      <w:r w:rsidRPr="006466A1">
        <w:rPr>
          <w:lang w:val="es-ES"/>
        </w:rPr>
        <w:t xml:space="preserve"> por ciento </w:t>
      </w:r>
      <w:r w:rsidR="006466A1" w:rsidRPr="006466A1">
        <w:rPr>
          <w:lang w:val="es-ES"/>
        </w:rPr>
        <w:t>se hallaban</w:t>
      </w:r>
      <w:r w:rsidRPr="006466A1">
        <w:rPr>
          <w:lang w:val="es-ES"/>
        </w:rPr>
        <w:t xml:space="preserve"> ocupado</w:t>
      </w:r>
      <w:r w:rsidR="006466A1" w:rsidRPr="006466A1">
        <w:rPr>
          <w:lang w:val="es-ES"/>
        </w:rPr>
        <w:t>s</w:t>
      </w:r>
      <w:r w:rsidRPr="006466A1">
        <w:rPr>
          <w:lang w:val="es-ES"/>
        </w:rPr>
        <w:t xml:space="preserve"> temporalmente. En 2014, esos porcentajes eran del 19 y 59 por ciento, respectivamente. </w:t>
      </w:r>
    </w:p>
    <w:p w:rsidR="00631A34" w:rsidRPr="00F33DBB" w:rsidRDefault="00631A34" w:rsidP="00631A34">
      <w:pPr>
        <w:pStyle w:val="texto"/>
        <w:spacing w:after="180"/>
        <w:rPr>
          <w:b/>
          <w:lang w:val="es-ES"/>
        </w:rPr>
      </w:pPr>
      <w:r w:rsidRPr="00F33DBB">
        <w:rPr>
          <w:b/>
          <w:lang w:val="es-ES"/>
        </w:rPr>
        <w:t>Oferta Pública de Empleo de 2015</w:t>
      </w:r>
    </w:p>
    <w:p w:rsidR="00631A34" w:rsidRDefault="00631A34" w:rsidP="00434A2E">
      <w:pPr>
        <w:pStyle w:val="texto"/>
        <w:rPr>
          <w:lang w:val="es-ES"/>
        </w:rPr>
      </w:pPr>
      <w:r>
        <w:rPr>
          <w:lang w:val="es-ES"/>
        </w:rPr>
        <w:t>P</w:t>
      </w:r>
      <w:r w:rsidRPr="00C16908">
        <w:rPr>
          <w:lang w:val="es-ES"/>
        </w:rPr>
        <w:t>or Decreto Foral 20/2015, de 25 de marzo</w:t>
      </w:r>
      <w:r>
        <w:rPr>
          <w:lang w:val="es-ES"/>
        </w:rPr>
        <w:t>, se aprueba la</w:t>
      </w:r>
      <w:r w:rsidRPr="00B15A26">
        <w:rPr>
          <w:lang w:val="es-ES"/>
        </w:rPr>
        <w:t xml:space="preserve"> </w:t>
      </w:r>
      <w:r w:rsidRPr="00C16908">
        <w:rPr>
          <w:lang w:val="es-ES"/>
        </w:rPr>
        <w:t>Oferta</w:t>
      </w:r>
      <w:r>
        <w:rPr>
          <w:lang w:val="es-ES"/>
        </w:rPr>
        <w:t xml:space="preserve"> Pública de Empleo</w:t>
      </w:r>
      <w:r w:rsidRPr="00C16908">
        <w:rPr>
          <w:lang w:val="es-ES"/>
        </w:rPr>
        <w:t xml:space="preserve"> de 358 plazas correspondientes a los años 2013, 2014 y</w:t>
      </w:r>
      <w:r>
        <w:rPr>
          <w:lang w:val="es-ES"/>
        </w:rPr>
        <w:t xml:space="preserve"> 2015</w:t>
      </w:r>
      <w:r w:rsidRPr="00C16908">
        <w:rPr>
          <w:lang w:val="es-ES"/>
        </w:rPr>
        <w:t>.</w:t>
      </w:r>
      <w:r>
        <w:rPr>
          <w:lang w:val="es-ES"/>
        </w:rPr>
        <w:t xml:space="preserve"> </w:t>
      </w:r>
      <w:r w:rsidRPr="00C16908">
        <w:rPr>
          <w:lang w:val="es-ES"/>
        </w:rPr>
        <w:t xml:space="preserve">Según el citado Decreto Foral, </w:t>
      </w:r>
      <w:r>
        <w:rPr>
          <w:lang w:val="es-ES"/>
        </w:rPr>
        <w:t>esta</w:t>
      </w:r>
      <w:r w:rsidRPr="00C16908">
        <w:rPr>
          <w:lang w:val="es-ES"/>
        </w:rPr>
        <w:t xml:space="preserve"> of</w:t>
      </w:r>
      <w:r>
        <w:rPr>
          <w:lang w:val="es-ES"/>
        </w:rPr>
        <w:t xml:space="preserve">erta </w:t>
      </w:r>
      <w:r w:rsidRPr="00C16908">
        <w:rPr>
          <w:lang w:val="es-ES"/>
        </w:rPr>
        <w:t>es</w:t>
      </w:r>
      <w:r>
        <w:rPr>
          <w:lang w:val="es-ES"/>
        </w:rPr>
        <w:t xml:space="preserve"> </w:t>
      </w:r>
      <w:r w:rsidRPr="00C16908">
        <w:rPr>
          <w:lang w:val="es-ES"/>
        </w:rPr>
        <w:t>el resultado del análisis de la evolución de la plantilla de la Administración</w:t>
      </w:r>
      <w:r>
        <w:rPr>
          <w:lang w:val="es-ES"/>
        </w:rPr>
        <w:t xml:space="preserve"> </w:t>
      </w:r>
      <w:r w:rsidRPr="00C16908">
        <w:rPr>
          <w:lang w:val="es-ES"/>
        </w:rPr>
        <w:t>de la Comunidad Foral de Nava</w:t>
      </w:r>
      <w:r>
        <w:rPr>
          <w:lang w:val="es-ES"/>
        </w:rPr>
        <w:t>rra</w:t>
      </w:r>
      <w:r w:rsidRPr="00C16908">
        <w:rPr>
          <w:lang w:val="es-ES"/>
        </w:rPr>
        <w:t xml:space="preserve"> y de acuerdo con las tasas de</w:t>
      </w:r>
      <w:r>
        <w:rPr>
          <w:lang w:val="es-ES"/>
        </w:rPr>
        <w:t xml:space="preserve"> </w:t>
      </w:r>
      <w:r w:rsidRPr="00C16908">
        <w:rPr>
          <w:lang w:val="es-ES"/>
        </w:rPr>
        <w:t>reposición máximas fijadas en las Leyes de Presupuestos Generales del</w:t>
      </w:r>
      <w:r>
        <w:rPr>
          <w:lang w:val="es-ES"/>
        </w:rPr>
        <w:t xml:space="preserve"> </w:t>
      </w:r>
      <w:r w:rsidRPr="00C16908">
        <w:rPr>
          <w:lang w:val="es-ES"/>
        </w:rPr>
        <w:t>Estado de los años 2013, 2014 y 2015.</w:t>
      </w:r>
      <w:r>
        <w:rPr>
          <w:lang w:val="es-ES"/>
        </w:rPr>
        <w:t xml:space="preserve"> </w:t>
      </w:r>
    </w:p>
    <w:p w:rsidR="004011C4" w:rsidRDefault="004011C4" w:rsidP="00434A2E">
      <w:pPr>
        <w:pStyle w:val="texto"/>
        <w:rPr>
          <w:lang w:val="es-ES"/>
        </w:rPr>
      </w:pPr>
      <w:r>
        <w:rPr>
          <w:lang w:val="es-ES"/>
        </w:rPr>
        <w:t>Por Decreto Foral 31/2015, de 5 de junio, se modifican tres plazas de la OPE y se asignan plazas a 20 vacantes de médicos.</w:t>
      </w:r>
    </w:p>
    <w:p w:rsidR="00631A34" w:rsidRDefault="004011C4" w:rsidP="00434A2E">
      <w:pPr>
        <w:pStyle w:val="texto"/>
        <w:rPr>
          <w:lang w:val="es-ES"/>
        </w:rPr>
      </w:pPr>
      <w:r>
        <w:rPr>
          <w:lang w:val="es-ES"/>
        </w:rPr>
        <w:t>Finalmente</w:t>
      </w:r>
      <w:r w:rsidR="00631A34" w:rsidRPr="004919FF">
        <w:rPr>
          <w:lang w:val="es-ES"/>
        </w:rPr>
        <w:t>, mediante el Decreto Foral 233/2015, de 9 de septiembre,</w:t>
      </w:r>
      <w:r w:rsidR="00631A34">
        <w:rPr>
          <w:lang w:val="es-ES"/>
        </w:rPr>
        <w:t xml:space="preserve"> </w:t>
      </w:r>
      <w:r w:rsidR="00631A34" w:rsidRPr="004919FF">
        <w:rPr>
          <w:lang w:val="es-ES"/>
        </w:rPr>
        <w:t>se incrementó la oferta</w:t>
      </w:r>
      <w:r w:rsidR="00631A34">
        <w:rPr>
          <w:lang w:val="es-ES"/>
        </w:rPr>
        <w:t xml:space="preserve"> pública de empleo</w:t>
      </w:r>
      <w:r w:rsidR="00631A34" w:rsidRPr="004919FF">
        <w:rPr>
          <w:lang w:val="es-ES"/>
        </w:rPr>
        <w:t xml:space="preserve"> en 20 plazas</w:t>
      </w:r>
      <w:r w:rsidR="00631A34">
        <w:rPr>
          <w:lang w:val="es-ES"/>
        </w:rPr>
        <w:t xml:space="preserve"> </w:t>
      </w:r>
      <w:r w:rsidR="00631A34" w:rsidRPr="004919FF">
        <w:rPr>
          <w:lang w:val="es-ES"/>
        </w:rPr>
        <w:t>de bombero.</w:t>
      </w:r>
    </w:p>
    <w:p w:rsidR="00631A34" w:rsidRDefault="00631A34" w:rsidP="00434A2E">
      <w:pPr>
        <w:pStyle w:val="texto"/>
        <w:spacing w:after="240"/>
        <w:rPr>
          <w:lang w:val="es-ES"/>
        </w:rPr>
      </w:pPr>
      <w:r>
        <w:rPr>
          <w:lang w:val="es-ES"/>
        </w:rPr>
        <w:t>En resumen, la oferta de empleo de 2015 hace referencia a:</w:t>
      </w:r>
    </w:p>
    <w:tbl>
      <w:tblPr>
        <w:tblW w:w="8692" w:type="dxa"/>
        <w:jc w:val="center"/>
        <w:tblInd w:w="1601" w:type="dxa"/>
        <w:tblCellMar>
          <w:left w:w="70" w:type="dxa"/>
          <w:right w:w="70" w:type="dxa"/>
        </w:tblCellMar>
        <w:tblLook w:val="04A0" w:firstRow="1" w:lastRow="0" w:firstColumn="1" w:lastColumn="0" w:noHBand="0" w:noVBand="1"/>
      </w:tblPr>
      <w:tblGrid>
        <w:gridCol w:w="6410"/>
        <w:gridCol w:w="2282"/>
      </w:tblGrid>
      <w:tr w:rsidR="00631A34" w:rsidRPr="00434A2E" w:rsidTr="00434A2E">
        <w:trPr>
          <w:trHeight w:val="300"/>
          <w:jc w:val="center"/>
        </w:trPr>
        <w:tc>
          <w:tcPr>
            <w:tcW w:w="6410" w:type="dxa"/>
            <w:tcBorders>
              <w:top w:val="single" w:sz="4" w:space="0" w:color="auto"/>
              <w:bottom w:val="single" w:sz="4" w:space="0" w:color="auto"/>
            </w:tcBorders>
            <w:shd w:val="clear" w:color="auto" w:fill="A8CBEE" w:themeFill="accent2" w:themeFillTint="66"/>
            <w:noWrap/>
            <w:vAlign w:val="center"/>
            <w:hideMark/>
          </w:tcPr>
          <w:p w:rsidR="00631A34" w:rsidRPr="00434A2E" w:rsidRDefault="00631A34" w:rsidP="00C27C21">
            <w:pPr>
              <w:pStyle w:val="cuadroCabe"/>
              <w:jc w:val="left"/>
            </w:pPr>
            <w:r w:rsidRPr="00434A2E">
              <w:t>Oferta Pública de Empleo 2015</w:t>
            </w:r>
          </w:p>
        </w:tc>
        <w:tc>
          <w:tcPr>
            <w:tcW w:w="2282" w:type="dxa"/>
            <w:tcBorders>
              <w:top w:val="single" w:sz="4" w:space="0" w:color="auto"/>
              <w:bottom w:val="single" w:sz="4" w:space="0" w:color="auto"/>
            </w:tcBorders>
            <w:shd w:val="clear" w:color="auto" w:fill="A8CBEE" w:themeFill="accent2" w:themeFillTint="66"/>
            <w:noWrap/>
            <w:vAlign w:val="center"/>
          </w:tcPr>
          <w:p w:rsidR="00631A34" w:rsidRPr="00434A2E" w:rsidRDefault="00631A34" w:rsidP="00434A2E">
            <w:pPr>
              <w:pStyle w:val="cuadroCabe"/>
              <w:jc w:val="right"/>
            </w:pPr>
            <w:r w:rsidRPr="00434A2E">
              <w:t>Número de plazas</w:t>
            </w:r>
          </w:p>
        </w:tc>
      </w:tr>
      <w:tr w:rsidR="00631A34" w:rsidRPr="003B1EF2" w:rsidTr="00434A2E">
        <w:trPr>
          <w:trHeight w:val="300"/>
          <w:jc w:val="center"/>
        </w:trPr>
        <w:tc>
          <w:tcPr>
            <w:tcW w:w="6410" w:type="dxa"/>
            <w:tcBorders>
              <w:top w:val="single" w:sz="4" w:space="0" w:color="auto"/>
              <w:bottom w:val="single" w:sz="2" w:space="0" w:color="auto"/>
            </w:tcBorders>
            <w:shd w:val="clear" w:color="auto" w:fill="auto"/>
            <w:noWrap/>
            <w:vAlign w:val="center"/>
          </w:tcPr>
          <w:p w:rsidR="00631A34" w:rsidRPr="003B1EF2" w:rsidRDefault="00631A34" w:rsidP="00C27C21">
            <w:pPr>
              <w:pStyle w:val="cuatexto"/>
              <w:jc w:val="left"/>
              <w:rPr>
                <w:szCs w:val="20"/>
              </w:rPr>
            </w:pPr>
            <w:r>
              <w:rPr>
                <w:szCs w:val="20"/>
              </w:rPr>
              <w:t>Educación</w:t>
            </w:r>
          </w:p>
        </w:tc>
        <w:tc>
          <w:tcPr>
            <w:tcW w:w="2282" w:type="dxa"/>
            <w:tcBorders>
              <w:top w:val="single" w:sz="4" w:space="0" w:color="auto"/>
              <w:bottom w:val="single" w:sz="2" w:space="0" w:color="auto"/>
            </w:tcBorders>
            <w:shd w:val="clear" w:color="auto" w:fill="auto"/>
            <w:noWrap/>
            <w:vAlign w:val="center"/>
          </w:tcPr>
          <w:p w:rsidR="00631A34" w:rsidRPr="003B1EF2" w:rsidRDefault="00EC59EE" w:rsidP="00C27C21">
            <w:pPr>
              <w:pStyle w:val="cuatexto"/>
              <w:jc w:val="right"/>
              <w:rPr>
                <w:szCs w:val="20"/>
              </w:rPr>
            </w:pPr>
            <w:r>
              <w:rPr>
                <w:szCs w:val="20"/>
              </w:rPr>
              <w:t>134</w:t>
            </w:r>
          </w:p>
        </w:tc>
      </w:tr>
      <w:tr w:rsidR="00631A34" w:rsidRPr="003B1EF2" w:rsidTr="00434A2E">
        <w:trPr>
          <w:trHeight w:val="300"/>
          <w:jc w:val="center"/>
        </w:trPr>
        <w:tc>
          <w:tcPr>
            <w:tcW w:w="6410" w:type="dxa"/>
            <w:tcBorders>
              <w:top w:val="single" w:sz="2" w:space="0" w:color="auto"/>
              <w:bottom w:val="single" w:sz="2" w:space="0" w:color="auto"/>
            </w:tcBorders>
            <w:shd w:val="clear" w:color="auto" w:fill="auto"/>
            <w:noWrap/>
            <w:vAlign w:val="center"/>
          </w:tcPr>
          <w:p w:rsidR="00631A34" w:rsidRPr="003B1EF2" w:rsidRDefault="00631A34" w:rsidP="00C27C21">
            <w:pPr>
              <w:pStyle w:val="cuatexto"/>
              <w:jc w:val="left"/>
              <w:rPr>
                <w:szCs w:val="20"/>
              </w:rPr>
            </w:pPr>
            <w:r>
              <w:rPr>
                <w:szCs w:val="20"/>
              </w:rPr>
              <w:t>Salud</w:t>
            </w:r>
          </w:p>
        </w:tc>
        <w:tc>
          <w:tcPr>
            <w:tcW w:w="2282" w:type="dxa"/>
            <w:tcBorders>
              <w:top w:val="single" w:sz="2" w:space="0" w:color="auto"/>
              <w:bottom w:val="single" w:sz="2" w:space="0" w:color="auto"/>
            </w:tcBorders>
            <w:shd w:val="clear" w:color="auto" w:fill="auto"/>
            <w:noWrap/>
            <w:vAlign w:val="center"/>
          </w:tcPr>
          <w:p w:rsidR="00631A34" w:rsidRPr="003B1EF2" w:rsidRDefault="00EC59EE" w:rsidP="00C27C21">
            <w:pPr>
              <w:pStyle w:val="cuatexto"/>
              <w:jc w:val="right"/>
              <w:rPr>
                <w:szCs w:val="20"/>
              </w:rPr>
            </w:pPr>
            <w:r>
              <w:rPr>
                <w:szCs w:val="20"/>
              </w:rPr>
              <w:t>209</w:t>
            </w:r>
          </w:p>
        </w:tc>
      </w:tr>
      <w:tr w:rsidR="00631A34" w:rsidRPr="003B1EF2" w:rsidTr="00434A2E">
        <w:trPr>
          <w:trHeight w:val="300"/>
          <w:jc w:val="center"/>
        </w:trPr>
        <w:tc>
          <w:tcPr>
            <w:tcW w:w="6410" w:type="dxa"/>
            <w:tcBorders>
              <w:top w:val="single" w:sz="2" w:space="0" w:color="auto"/>
              <w:bottom w:val="single" w:sz="2" w:space="0" w:color="auto"/>
            </w:tcBorders>
            <w:shd w:val="clear" w:color="auto" w:fill="auto"/>
            <w:noWrap/>
            <w:vAlign w:val="center"/>
          </w:tcPr>
          <w:p w:rsidR="00631A34" w:rsidRPr="003B1EF2" w:rsidRDefault="00EC59EE" w:rsidP="00EC59EE">
            <w:pPr>
              <w:pStyle w:val="cuatexto"/>
              <w:jc w:val="left"/>
              <w:rPr>
                <w:szCs w:val="20"/>
              </w:rPr>
            </w:pPr>
            <w:r>
              <w:rPr>
                <w:szCs w:val="20"/>
              </w:rPr>
              <w:t>B</w:t>
            </w:r>
            <w:r w:rsidR="00631A34">
              <w:rPr>
                <w:szCs w:val="20"/>
              </w:rPr>
              <w:t>omberos</w:t>
            </w:r>
          </w:p>
        </w:tc>
        <w:tc>
          <w:tcPr>
            <w:tcW w:w="2282" w:type="dxa"/>
            <w:tcBorders>
              <w:top w:val="single" w:sz="2" w:space="0" w:color="auto"/>
              <w:bottom w:val="single" w:sz="2" w:space="0" w:color="auto"/>
            </w:tcBorders>
            <w:shd w:val="clear" w:color="auto" w:fill="auto"/>
            <w:noWrap/>
            <w:vAlign w:val="center"/>
          </w:tcPr>
          <w:p w:rsidR="00631A34" w:rsidRPr="003B1EF2" w:rsidRDefault="00EC59EE" w:rsidP="00C27C21">
            <w:pPr>
              <w:pStyle w:val="cuatexto"/>
              <w:jc w:val="right"/>
              <w:rPr>
                <w:szCs w:val="20"/>
              </w:rPr>
            </w:pPr>
            <w:r>
              <w:rPr>
                <w:szCs w:val="20"/>
              </w:rPr>
              <w:t>30</w:t>
            </w:r>
          </w:p>
        </w:tc>
      </w:tr>
      <w:tr w:rsidR="00631A34" w:rsidRPr="003B1EF2" w:rsidTr="00434A2E">
        <w:trPr>
          <w:trHeight w:val="300"/>
          <w:jc w:val="center"/>
        </w:trPr>
        <w:tc>
          <w:tcPr>
            <w:tcW w:w="6410" w:type="dxa"/>
            <w:tcBorders>
              <w:top w:val="single" w:sz="2" w:space="0" w:color="auto"/>
              <w:bottom w:val="single" w:sz="4" w:space="0" w:color="auto"/>
            </w:tcBorders>
            <w:shd w:val="clear" w:color="auto" w:fill="auto"/>
            <w:noWrap/>
            <w:vAlign w:val="center"/>
          </w:tcPr>
          <w:p w:rsidR="00631A34" w:rsidRPr="003B1EF2" w:rsidRDefault="00EC59EE" w:rsidP="00C27C21">
            <w:pPr>
              <w:pStyle w:val="cuatexto"/>
              <w:jc w:val="left"/>
              <w:rPr>
                <w:szCs w:val="20"/>
              </w:rPr>
            </w:pPr>
            <w:r>
              <w:rPr>
                <w:szCs w:val="20"/>
              </w:rPr>
              <w:t>Discapacidad intelectual</w:t>
            </w:r>
          </w:p>
        </w:tc>
        <w:tc>
          <w:tcPr>
            <w:tcW w:w="2282" w:type="dxa"/>
            <w:tcBorders>
              <w:top w:val="single" w:sz="2" w:space="0" w:color="auto"/>
              <w:bottom w:val="single" w:sz="4" w:space="0" w:color="auto"/>
            </w:tcBorders>
            <w:shd w:val="clear" w:color="auto" w:fill="auto"/>
            <w:noWrap/>
            <w:vAlign w:val="center"/>
          </w:tcPr>
          <w:p w:rsidR="00631A34" w:rsidRPr="003B1EF2" w:rsidRDefault="00EC59EE" w:rsidP="00C27C21">
            <w:pPr>
              <w:pStyle w:val="cuatexto"/>
              <w:jc w:val="right"/>
              <w:rPr>
                <w:szCs w:val="20"/>
              </w:rPr>
            </w:pPr>
            <w:r>
              <w:rPr>
                <w:szCs w:val="20"/>
              </w:rPr>
              <w:t>5</w:t>
            </w:r>
          </w:p>
        </w:tc>
      </w:tr>
      <w:tr w:rsidR="00631A34" w:rsidRPr="00434A2E" w:rsidTr="00434A2E">
        <w:trPr>
          <w:trHeight w:val="300"/>
          <w:jc w:val="center"/>
        </w:trPr>
        <w:tc>
          <w:tcPr>
            <w:tcW w:w="6410" w:type="dxa"/>
            <w:tcBorders>
              <w:top w:val="single" w:sz="4" w:space="0" w:color="auto"/>
              <w:bottom w:val="single" w:sz="4" w:space="0" w:color="auto"/>
            </w:tcBorders>
            <w:shd w:val="clear" w:color="auto" w:fill="A8CBEE" w:themeFill="accent2" w:themeFillTint="66"/>
            <w:noWrap/>
            <w:vAlign w:val="center"/>
          </w:tcPr>
          <w:p w:rsidR="00631A34" w:rsidRPr="00434A2E" w:rsidRDefault="00631A34" w:rsidP="00C27C21">
            <w:pPr>
              <w:pStyle w:val="cuadroCabe"/>
              <w:jc w:val="left"/>
              <w:rPr>
                <w:rFonts w:ascii="Arial Narrow" w:hAnsi="Arial Narrow"/>
                <w:sz w:val="20"/>
                <w:szCs w:val="20"/>
              </w:rPr>
            </w:pPr>
            <w:r w:rsidRPr="00434A2E">
              <w:t xml:space="preserve">Total </w:t>
            </w:r>
          </w:p>
        </w:tc>
        <w:tc>
          <w:tcPr>
            <w:tcW w:w="2282" w:type="dxa"/>
            <w:tcBorders>
              <w:top w:val="single" w:sz="4" w:space="0" w:color="auto"/>
              <w:bottom w:val="single" w:sz="4" w:space="0" w:color="auto"/>
            </w:tcBorders>
            <w:shd w:val="clear" w:color="auto" w:fill="A8CBEE" w:themeFill="accent2" w:themeFillTint="66"/>
            <w:noWrap/>
            <w:vAlign w:val="center"/>
          </w:tcPr>
          <w:p w:rsidR="00631A34" w:rsidRPr="00434A2E" w:rsidRDefault="00631A34" w:rsidP="00C27C21">
            <w:pPr>
              <w:pStyle w:val="cuadroCabe"/>
              <w:jc w:val="right"/>
            </w:pPr>
            <w:r w:rsidRPr="00434A2E">
              <w:t>378</w:t>
            </w:r>
          </w:p>
        </w:tc>
      </w:tr>
    </w:tbl>
    <w:p w:rsidR="00631A34" w:rsidRPr="0062072C" w:rsidRDefault="00631A34" w:rsidP="00434A2E">
      <w:pPr>
        <w:pStyle w:val="texto"/>
        <w:spacing w:before="240"/>
        <w:rPr>
          <w:lang w:val="es-ES"/>
        </w:rPr>
      </w:pPr>
      <w:r w:rsidRPr="0062072C">
        <w:rPr>
          <w:lang w:val="es-ES"/>
        </w:rPr>
        <w:t xml:space="preserve">La Administración </w:t>
      </w:r>
      <w:r>
        <w:rPr>
          <w:lang w:val="es-ES"/>
        </w:rPr>
        <w:t xml:space="preserve">General </w:t>
      </w:r>
      <w:r w:rsidRPr="0062072C">
        <w:rPr>
          <w:lang w:val="es-ES"/>
        </w:rPr>
        <w:t>del Estado interpuso dos recursos contencioso administrativo</w:t>
      </w:r>
      <w:r>
        <w:rPr>
          <w:lang w:val="es-ES"/>
        </w:rPr>
        <w:t xml:space="preserve"> </w:t>
      </w:r>
      <w:r w:rsidRPr="0062072C">
        <w:rPr>
          <w:lang w:val="es-ES"/>
        </w:rPr>
        <w:t>contra las siguientes disposiciones:</w:t>
      </w:r>
    </w:p>
    <w:p w:rsidR="00631A34" w:rsidRPr="0062072C" w:rsidRDefault="00631A34" w:rsidP="00434A2E">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sidRPr="0062072C">
        <w:rPr>
          <w:lang w:val="es-ES"/>
        </w:rPr>
        <w:t>Contra el Decreto Foral 20/2015, de 25 de marzo por el que se aprueba</w:t>
      </w:r>
      <w:r>
        <w:rPr>
          <w:lang w:val="es-ES"/>
        </w:rPr>
        <w:t xml:space="preserve"> </w:t>
      </w:r>
      <w:r w:rsidRPr="0062072C">
        <w:rPr>
          <w:lang w:val="es-ES"/>
        </w:rPr>
        <w:t>la OPE de 2015, debido a que la oferta de empleo del año 2014 no se</w:t>
      </w:r>
      <w:r>
        <w:rPr>
          <w:lang w:val="es-ES"/>
        </w:rPr>
        <w:t xml:space="preserve"> </w:t>
      </w:r>
      <w:r w:rsidRPr="0062072C">
        <w:rPr>
          <w:lang w:val="es-ES"/>
        </w:rPr>
        <w:t>aprobó antes de la finalización de dicho ejercicio, contrariamente a lo establecido</w:t>
      </w:r>
      <w:r>
        <w:rPr>
          <w:lang w:val="es-ES"/>
        </w:rPr>
        <w:t xml:space="preserve"> </w:t>
      </w:r>
      <w:r w:rsidRPr="0062072C">
        <w:rPr>
          <w:lang w:val="es-ES"/>
        </w:rPr>
        <w:t>en la Ley de Presupuestos Generales del Estado para el año 2014.</w:t>
      </w:r>
    </w:p>
    <w:p w:rsidR="00631A34" w:rsidRPr="0062072C" w:rsidRDefault="00631A34" w:rsidP="00434A2E">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sidRPr="0062072C">
        <w:rPr>
          <w:lang w:val="es-ES"/>
        </w:rPr>
        <w:t>Contra el Decreto Foral 233/2015, de 9 de septiembre, por el que se</w:t>
      </w:r>
      <w:r>
        <w:rPr>
          <w:lang w:val="es-ES"/>
        </w:rPr>
        <w:t xml:space="preserve"> </w:t>
      </w:r>
      <w:r w:rsidRPr="0062072C">
        <w:rPr>
          <w:lang w:val="es-ES"/>
        </w:rPr>
        <w:t>modifica la plantilla orgánica de la Administración de la Comunidad Foral</w:t>
      </w:r>
      <w:r>
        <w:rPr>
          <w:lang w:val="es-ES"/>
        </w:rPr>
        <w:t xml:space="preserve"> </w:t>
      </w:r>
      <w:r w:rsidRPr="0062072C">
        <w:rPr>
          <w:lang w:val="es-ES"/>
        </w:rPr>
        <w:t>de Navarra y sus organismos autónomos y se incrementan en 20 las plazas</w:t>
      </w:r>
      <w:r>
        <w:rPr>
          <w:lang w:val="es-ES"/>
        </w:rPr>
        <w:t xml:space="preserve"> </w:t>
      </w:r>
      <w:r w:rsidRPr="0062072C">
        <w:rPr>
          <w:lang w:val="es-ES"/>
        </w:rPr>
        <w:t xml:space="preserve">de oferta de empleo público </w:t>
      </w:r>
      <w:r w:rsidR="00FE2F3B">
        <w:rPr>
          <w:lang w:val="es-ES"/>
        </w:rPr>
        <w:t>anterior</w:t>
      </w:r>
      <w:r w:rsidRPr="0062072C">
        <w:rPr>
          <w:lang w:val="es-ES"/>
        </w:rPr>
        <w:t>, debido a que el incremento de plazas de bombero en la oferta de empleo</w:t>
      </w:r>
      <w:r>
        <w:rPr>
          <w:lang w:val="es-ES"/>
        </w:rPr>
        <w:t xml:space="preserve"> </w:t>
      </w:r>
      <w:r w:rsidRPr="0062072C">
        <w:rPr>
          <w:lang w:val="es-ES"/>
        </w:rPr>
        <w:t>excede en 13 plazas el número máximo autorizado por la normativa</w:t>
      </w:r>
      <w:r>
        <w:rPr>
          <w:lang w:val="es-ES"/>
        </w:rPr>
        <w:t xml:space="preserve"> </w:t>
      </w:r>
      <w:r w:rsidRPr="0062072C">
        <w:rPr>
          <w:lang w:val="es-ES"/>
        </w:rPr>
        <w:t>estatal.</w:t>
      </w:r>
    </w:p>
    <w:p w:rsidR="00631A34" w:rsidRPr="0062072C" w:rsidRDefault="00631A34" w:rsidP="00434A2E">
      <w:pPr>
        <w:pStyle w:val="texto"/>
        <w:rPr>
          <w:lang w:val="es-ES"/>
        </w:rPr>
      </w:pPr>
      <w:r w:rsidRPr="0062072C">
        <w:rPr>
          <w:lang w:val="es-ES"/>
        </w:rPr>
        <w:t>En relación con estos recursos, destacamos como hecho posterior que</w:t>
      </w:r>
      <w:r>
        <w:rPr>
          <w:lang w:val="es-ES"/>
        </w:rPr>
        <w:t xml:space="preserve"> </w:t>
      </w:r>
      <w:r w:rsidRPr="0062072C">
        <w:rPr>
          <w:lang w:val="es-ES"/>
        </w:rPr>
        <w:t>por Decreto Foral 27/2016</w:t>
      </w:r>
      <w:r>
        <w:rPr>
          <w:lang w:val="es-ES"/>
        </w:rPr>
        <w:t>,</w:t>
      </w:r>
      <w:r w:rsidRPr="0062072C">
        <w:rPr>
          <w:lang w:val="es-ES"/>
        </w:rPr>
        <w:t xml:space="preserve"> de 4 de mayo</w:t>
      </w:r>
      <w:r>
        <w:rPr>
          <w:lang w:val="es-ES"/>
        </w:rPr>
        <w:t>,</w:t>
      </w:r>
      <w:r w:rsidRPr="0062072C">
        <w:rPr>
          <w:lang w:val="es-ES"/>
        </w:rPr>
        <w:t xml:space="preserve"> se suprimen 71 plazas de la oferta</w:t>
      </w:r>
      <w:r>
        <w:rPr>
          <w:lang w:val="es-ES"/>
        </w:rPr>
        <w:t xml:space="preserve"> </w:t>
      </w:r>
      <w:r w:rsidRPr="0062072C">
        <w:rPr>
          <w:lang w:val="es-ES"/>
        </w:rPr>
        <w:t>pública de empleo del año 2014 y se reducen en 20 plazas la de los años</w:t>
      </w:r>
      <w:r>
        <w:rPr>
          <w:lang w:val="es-ES"/>
        </w:rPr>
        <w:t xml:space="preserve"> </w:t>
      </w:r>
      <w:r w:rsidRPr="0062072C">
        <w:rPr>
          <w:lang w:val="es-ES"/>
        </w:rPr>
        <w:t>2013 y 2015</w:t>
      </w:r>
      <w:r>
        <w:rPr>
          <w:lang w:val="es-ES"/>
        </w:rPr>
        <w:t xml:space="preserve"> ampliadas en el </w:t>
      </w:r>
      <w:r w:rsidRPr="004919FF">
        <w:rPr>
          <w:lang w:val="es-ES"/>
        </w:rPr>
        <w:t>Decreto Foral 233/2015</w:t>
      </w:r>
      <w:r w:rsidRPr="0062072C">
        <w:rPr>
          <w:lang w:val="es-ES"/>
        </w:rPr>
        <w:t>.</w:t>
      </w:r>
      <w:r>
        <w:rPr>
          <w:lang w:val="es-ES"/>
        </w:rPr>
        <w:t xml:space="preserve"> Resultado de esta actuación, se archivaron los recursos presentados por la Administración General del Estado.</w:t>
      </w:r>
    </w:p>
    <w:p w:rsidR="002C7DD1" w:rsidRPr="00EC59EE" w:rsidRDefault="00631A34" w:rsidP="00434A2E">
      <w:pPr>
        <w:pStyle w:val="texto"/>
        <w:spacing w:after="240"/>
        <w:rPr>
          <w:lang w:val="es-ES"/>
        </w:rPr>
      </w:pPr>
      <w:r w:rsidRPr="00EC59EE">
        <w:rPr>
          <w:lang w:val="es-ES"/>
        </w:rPr>
        <w:t>En 2015 se han convocado un total de 119 plazas que corresponden 89 a la OPE de 2009 y 30 a la OPE de 2015.</w:t>
      </w:r>
      <w:r w:rsidR="002C7DD1" w:rsidRPr="00EC59EE">
        <w:rPr>
          <w:lang w:val="es-ES"/>
        </w:rPr>
        <w:t xml:space="preserve"> En septiembre de 2016, se aprueba la convocatoria para la provisión, mediante traslado, por concurso de méritos, de 108 vacantes (88 Facultativos especialistas de área, 17 Pediatras de EAP, 3 Pediatra de Urgencias Extrahospitalarias)</w:t>
      </w:r>
      <w:r w:rsidR="00243BFA" w:rsidRPr="00EC59EE">
        <w:rPr>
          <w:lang w:val="es-ES"/>
        </w:rPr>
        <w:t>; e</w:t>
      </w:r>
      <w:r w:rsidR="002C7DD1" w:rsidRPr="00EC59EE">
        <w:rPr>
          <w:lang w:val="es-ES"/>
        </w:rPr>
        <w:t>stas plazas forman parte de la OPE 2013, 2015</w:t>
      </w:r>
      <w:r w:rsidR="0076710A" w:rsidRPr="00EC59EE">
        <w:rPr>
          <w:lang w:val="es-ES"/>
        </w:rPr>
        <w:t xml:space="preserve"> y</w:t>
      </w:r>
      <w:r w:rsidR="002C7DD1" w:rsidRPr="00EC59EE">
        <w:rPr>
          <w:lang w:val="es-ES"/>
        </w:rPr>
        <w:t xml:space="preserve"> 2016.</w:t>
      </w:r>
    </w:p>
    <w:p w:rsidR="00B54CB1" w:rsidRPr="00F739C5" w:rsidRDefault="0076086A" w:rsidP="00EB1D27">
      <w:pPr>
        <w:pStyle w:val="texto"/>
        <w:spacing w:after="120"/>
        <w:rPr>
          <w:b/>
          <w:lang w:val="es-ES"/>
        </w:rPr>
      </w:pPr>
      <w:r w:rsidRPr="00F739C5">
        <w:rPr>
          <w:b/>
          <w:lang w:val="es-ES"/>
        </w:rPr>
        <w:t>Personal efectivo</w:t>
      </w:r>
    </w:p>
    <w:p w:rsidR="00B54CB1" w:rsidRPr="00B54CB1" w:rsidRDefault="0076086A" w:rsidP="00A20D5E">
      <w:pPr>
        <w:pStyle w:val="texto"/>
        <w:spacing w:after="240"/>
        <w:rPr>
          <w:lang w:val="es-ES"/>
        </w:rPr>
      </w:pPr>
      <w:r>
        <w:rPr>
          <w:lang w:val="es-ES"/>
        </w:rPr>
        <w:t>De acuerdo con la información proporcionada, a</w:t>
      </w:r>
      <w:r w:rsidR="00B54CB1" w:rsidRPr="00B54CB1">
        <w:rPr>
          <w:lang w:val="es-ES"/>
        </w:rPr>
        <w:t xml:space="preserve"> </w:t>
      </w:r>
      <w:r>
        <w:rPr>
          <w:lang w:val="es-ES"/>
        </w:rPr>
        <w:t>1 de enero de 2016</w:t>
      </w:r>
      <w:r w:rsidR="008E1787">
        <w:rPr>
          <w:lang w:val="es-ES"/>
        </w:rPr>
        <w:t xml:space="preserve"> </w:t>
      </w:r>
      <w:r w:rsidR="00B54CB1" w:rsidRPr="00B54CB1">
        <w:rPr>
          <w:lang w:val="es-ES"/>
        </w:rPr>
        <w:t xml:space="preserve">prestaban sus servicios en la Administración Foral y sus Organismos Autónomos </w:t>
      </w:r>
      <w:r>
        <w:rPr>
          <w:lang w:val="es-ES"/>
        </w:rPr>
        <w:t>23.405 empleados; a 1 de enero de 2015, el</w:t>
      </w:r>
      <w:r w:rsidR="00B54CB1" w:rsidRPr="00B54CB1">
        <w:rPr>
          <w:lang w:val="es-ES"/>
        </w:rPr>
        <w:t xml:space="preserve"> número de empleados era </w:t>
      </w:r>
      <w:r>
        <w:rPr>
          <w:lang w:val="es-ES"/>
        </w:rPr>
        <w:t>23.055</w:t>
      </w:r>
      <w:r w:rsidR="00B54CB1" w:rsidRPr="00B54CB1">
        <w:rPr>
          <w:lang w:val="es-ES"/>
        </w:rPr>
        <w:t>.</w:t>
      </w:r>
      <w:r>
        <w:rPr>
          <w:lang w:val="es-ES"/>
        </w:rPr>
        <w:t xml:space="preserve"> En el siguiente cuadro se muestra tal evolución y el detalle de su composición:</w:t>
      </w:r>
    </w:p>
    <w:tbl>
      <w:tblPr>
        <w:tblW w:w="8712" w:type="dxa"/>
        <w:jc w:val="center"/>
        <w:tblBorders>
          <w:top w:val="single" w:sz="4" w:space="0" w:color="auto"/>
          <w:bottom w:val="single" w:sz="4" w:space="0" w:color="auto"/>
        </w:tblBorders>
        <w:tblCellMar>
          <w:top w:w="10" w:type="dxa"/>
          <w:left w:w="10" w:type="dxa"/>
          <w:bottom w:w="10" w:type="dxa"/>
          <w:right w:w="10" w:type="dxa"/>
        </w:tblCellMar>
        <w:tblLook w:val="04A0" w:firstRow="1" w:lastRow="0" w:firstColumn="1" w:lastColumn="0" w:noHBand="0" w:noVBand="1"/>
      </w:tblPr>
      <w:tblGrid>
        <w:gridCol w:w="6220"/>
        <w:gridCol w:w="1246"/>
        <w:gridCol w:w="1246"/>
      </w:tblGrid>
      <w:tr w:rsidR="00826F29" w:rsidTr="00A84ECB">
        <w:trPr>
          <w:trHeight w:hRule="exact" w:val="284"/>
          <w:jc w:val="center"/>
        </w:trPr>
        <w:tc>
          <w:tcPr>
            <w:tcW w:w="6220" w:type="dxa"/>
            <w:tcBorders>
              <w:top w:val="single" w:sz="4" w:space="0" w:color="auto"/>
              <w:left w:val="nil"/>
              <w:bottom w:val="single" w:sz="4" w:space="0" w:color="auto"/>
              <w:right w:val="nil"/>
            </w:tcBorders>
            <w:shd w:val="clear" w:color="auto" w:fill="A8CBEE" w:themeFill="accent2" w:themeFillTint="66"/>
            <w:vAlign w:val="center"/>
          </w:tcPr>
          <w:p w:rsidR="00826F29" w:rsidRPr="004304CC" w:rsidRDefault="00826F29" w:rsidP="00D14FF4">
            <w:pPr>
              <w:pStyle w:val="cuadroCabe"/>
              <w:ind w:left="131"/>
              <w:jc w:val="left"/>
              <w:rPr>
                <w:szCs w:val="18"/>
              </w:rPr>
            </w:pPr>
            <w:r>
              <w:rPr>
                <w:szCs w:val="18"/>
              </w:rPr>
              <w:t>Gobierno de Navarra</w:t>
            </w:r>
          </w:p>
        </w:tc>
        <w:tc>
          <w:tcPr>
            <w:tcW w:w="1246" w:type="dxa"/>
            <w:tcBorders>
              <w:top w:val="single" w:sz="4" w:space="0" w:color="auto"/>
              <w:left w:val="nil"/>
              <w:bottom w:val="single" w:sz="4" w:space="0" w:color="auto"/>
              <w:right w:val="nil"/>
            </w:tcBorders>
            <w:shd w:val="clear" w:color="auto" w:fill="A8CBEE" w:themeFill="accent2" w:themeFillTint="66"/>
            <w:vAlign w:val="center"/>
          </w:tcPr>
          <w:p w:rsidR="00826F29" w:rsidRPr="004304CC" w:rsidRDefault="00826F29" w:rsidP="00D14FF4">
            <w:pPr>
              <w:pStyle w:val="cuadroCabe"/>
              <w:ind w:right="132"/>
              <w:jc w:val="right"/>
              <w:rPr>
                <w:szCs w:val="18"/>
              </w:rPr>
            </w:pPr>
            <w:r>
              <w:rPr>
                <w:szCs w:val="18"/>
              </w:rPr>
              <w:t>1-I-2015</w:t>
            </w:r>
          </w:p>
        </w:tc>
        <w:tc>
          <w:tcPr>
            <w:tcW w:w="1246" w:type="dxa"/>
            <w:tcBorders>
              <w:top w:val="single" w:sz="4" w:space="0" w:color="auto"/>
              <w:left w:val="nil"/>
              <w:bottom w:val="single" w:sz="4" w:space="0" w:color="auto"/>
              <w:right w:val="nil"/>
            </w:tcBorders>
            <w:shd w:val="clear" w:color="auto" w:fill="A8CBEE" w:themeFill="accent2" w:themeFillTint="66"/>
            <w:vAlign w:val="center"/>
          </w:tcPr>
          <w:p w:rsidR="00826F29" w:rsidRPr="004304CC" w:rsidRDefault="00826F29" w:rsidP="00D14FF4">
            <w:pPr>
              <w:pStyle w:val="cuadroCabe"/>
              <w:ind w:right="131"/>
              <w:jc w:val="right"/>
              <w:rPr>
                <w:szCs w:val="18"/>
              </w:rPr>
            </w:pPr>
            <w:r>
              <w:rPr>
                <w:szCs w:val="18"/>
              </w:rPr>
              <w:t>1-I-2016</w:t>
            </w:r>
          </w:p>
        </w:tc>
      </w:tr>
      <w:tr w:rsidR="00826F29" w:rsidTr="00A84ECB">
        <w:trPr>
          <w:trHeight w:hRule="exact" w:val="284"/>
          <w:jc w:val="center"/>
        </w:trPr>
        <w:tc>
          <w:tcPr>
            <w:tcW w:w="6220" w:type="dxa"/>
            <w:tcBorders>
              <w:top w:val="single" w:sz="4" w:space="0" w:color="auto"/>
              <w:left w:val="nil"/>
              <w:bottom w:val="single" w:sz="2" w:space="0" w:color="auto"/>
              <w:right w:val="nil"/>
            </w:tcBorders>
            <w:vAlign w:val="center"/>
          </w:tcPr>
          <w:p w:rsidR="00826F29" w:rsidRPr="00972A99" w:rsidRDefault="00826F29" w:rsidP="00D14FF4">
            <w:pPr>
              <w:pStyle w:val="cuatexto"/>
              <w:ind w:left="131"/>
              <w:jc w:val="left"/>
              <w:rPr>
                <w:szCs w:val="20"/>
              </w:rPr>
            </w:pPr>
            <w:r w:rsidRPr="00972A99">
              <w:rPr>
                <w:szCs w:val="20"/>
              </w:rPr>
              <w:t>Docencia no universitaria</w:t>
            </w:r>
          </w:p>
        </w:tc>
        <w:tc>
          <w:tcPr>
            <w:tcW w:w="1246" w:type="dxa"/>
            <w:tcBorders>
              <w:top w:val="single" w:sz="4" w:space="0" w:color="auto"/>
              <w:left w:val="nil"/>
              <w:bottom w:val="single" w:sz="2" w:space="0" w:color="auto"/>
              <w:right w:val="nil"/>
            </w:tcBorders>
            <w:vAlign w:val="center"/>
          </w:tcPr>
          <w:p w:rsidR="00826F29" w:rsidRPr="00972A99" w:rsidRDefault="00826F29" w:rsidP="00D14FF4">
            <w:pPr>
              <w:pStyle w:val="cuatexto"/>
              <w:ind w:right="132"/>
              <w:jc w:val="right"/>
              <w:rPr>
                <w:szCs w:val="20"/>
              </w:rPr>
            </w:pPr>
            <w:r w:rsidRPr="00972A99">
              <w:rPr>
                <w:szCs w:val="20"/>
              </w:rPr>
              <w:t>8.183</w:t>
            </w:r>
          </w:p>
        </w:tc>
        <w:tc>
          <w:tcPr>
            <w:tcW w:w="1246" w:type="dxa"/>
            <w:tcBorders>
              <w:top w:val="single" w:sz="4" w:space="0" w:color="auto"/>
              <w:left w:val="nil"/>
              <w:bottom w:val="single" w:sz="2" w:space="0" w:color="auto"/>
              <w:right w:val="nil"/>
            </w:tcBorders>
            <w:vAlign w:val="center"/>
          </w:tcPr>
          <w:p w:rsidR="00826F29" w:rsidRPr="00972A99" w:rsidRDefault="00826F29" w:rsidP="00D14FF4">
            <w:pPr>
              <w:pStyle w:val="cuatexto"/>
              <w:ind w:right="132"/>
              <w:jc w:val="right"/>
              <w:rPr>
                <w:szCs w:val="20"/>
              </w:rPr>
            </w:pPr>
            <w:r w:rsidRPr="00972A99">
              <w:rPr>
                <w:szCs w:val="20"/>
              </w:rPr>
              <w:t>8.381</w:t>
            </w:r>
          </w:p>
        </w:tc>
      </w:tr>
      <w:tr w:rsidR="00826F29" w:rsidTr="00A84ECB">
        <w:trPr>
          <w:trHeight w:hRule="exact" w:val="284"/>
          <w:jc w:val="center"/>
        </w:trPr>
        <w:tc>
          <w:tcPr>
            <w:tcW w:w="6220" w:type="dxa"/>
            <w:tcBorders>
              <w:top w:val="single" w:sz="2" w:space="0" w:color="auto"/>
              <w:left w:val="nil"/>
              <w:bottom w:val="single" w:sz="2" w:space="0" w:color="auto"/>
              <w:right w:val="nil"/>
            </w:tcBorders>
            <w:vAlign w:val="center"/>
          </w:tcPr>
          <w:p w:rsidR="00826F29" w:rsidRPr="00C54F2E" w:rsidRDefault="00972A99" w:rsidP="00D14FF4">
            <w:pPr>
              <w:pStyle w:val="cuatexto"/>
              <w:ind w:left="131"/>
              <w:jc w:val="left"/>
              <w:rPr>
                <w:i/>
                <w:szCs w:val="20"/>
              </w:rPr>
            </w:pPr>
            <w:r w:rsidRPr="00C54F2E">
              <w:rPr>
                <w:i/>
                <w:szCs w:val="20"/>
              </w:rPr>
              <w:t xml:space="preserve">       </w:t>
            </w:r>
            <w:r w:rsidR="00826F29" w:rsidRPr="00C54F2E">
              <w:rPr>
                <w:i/>
                <w:szCs w:val="20"/>
              </w:rPr>
              <w:t>Docentes</w:t>
            </w:r>
          </w:p>
        </w:tc>
        <w:tc>
          <w:tcPr>
            <w:tcW w:w="1246" w:type="dxa"/>
            <w:tcBorders>
              <w:top w:val="single" w:sz="2" w:space="0" w:color="auto"/>
              <w:left w:val="nil"/>
              <w:bottom w:val="single" w:sz="2" w:space="0" w:color="auto"/>
              <w:right w:val="nil"/>
            </w:tcBorders>
            <w:vAlign w:val="center"/>
          </w:tcPr>
          <w:p w:rsidR="00826F29" w:rsidRPr="00972A99" w:rsidRDefault="00826F29" w:rsidP="00D14FF4">
            <w:pPr>
              <w:pStyle w:val="cuatexto"/>
              <w:ind w:right="132"/>
              <w:jc w:val="right"/>
              <w:rPr>
                <w:i/>
                <w:szCs w:val="20"/>
              </w:rPr>
            </w:pPr>
            <w:r w:rsidRPr="00972A99">
              <w:rPr>
                <w:i/>
                <w:szCs w:val="20"/>
              </w:rPr>
              <w:t>7.558</w:t>
            </w:r>
          </w:p>
        </w:tc>
        <w:tc>
          <w:tcPr>
            <w:tcW w:w="1246" w:type="dxa"/>
            <w:tcBorders>
              <w:top w:val="single" w:sz="2" w:space="0" w:color="auto"/>
              <w:left w:val="nil"/>
              <w:bottom w:val="single" w:sz="2" w:space="0" w:color="auto"/>
              <w:right w:val="nil"/>
            </w:tcBorders>
            <w:vAlign w:val="center"/>
          </w:tcPr>
          <w:p w:rsidR="00826F29" w:rsidRPr="00972A99" w:rsidRDefault="00826F29" w:rsidP="00D14FF4">
            <w:pPr>
              <w:pStyle w:val="cuatexto"/>
              <w:ind w:right="132"/>
              <w:jc w:val="right"/>
              <w:rPr>
                <w:i/>
                <w:szCs w:val="20"/>
              </w:rPr>
            </w:pPr>
            <w:r w:rsidRPr="00972A99">
              <w:rPr>
                <w:i/>
                <w:szCs w:val="20"/>
              </w:rPr>
              <w:t>7.725</w:t>
            </w:r>
          </w:p>
        </w:tc>
      </w:tr>
      <w:tr w:rsidR="00826F29" w:rsidTr="00A84ECB">
        <w:trPr>
          <w:trHeight w:hRule="exact" w:val="284"/>
          <w:jc w:val="center"/>
        </w:trPr>
        <w:tc>
          <w:tcPr>
            <w:tcW w:w="6220" w:type="dxa"/>
            <w:tcBorders>
              <w:top w:val="single" w:sz="2" w:space="0" w:color="auto"/>
              <w:left w:val="nil"/>
              <w:bottom w:val="single" w:sz="2" w:space="0" w:color="auto"/>
              <w:right w:val="nil"/>
            </w:tcBorders>
            <w:vAlign w:val="center"/>
          </w:tcPr>
          <w:p w:rsidR="00826F29" w:rsidRPr="00C54F2E" w:rsidRDefault="00972A99" w:rsidP="00D14FF4">
            <w:pPr>
              <w:pStyle w:val="cuatexto"/>
              <w:ind w:left="131"/>
              <w:jc w:val="left"/>
              <w:rPr>
                <w:i/>
                <w:szCs w:val="20"/>
              </w:rPr>
            </w:pPr>
            <w:r w:rsidRPr="00C54F2E">
              <w:rPr>
                <w:i/>
                <w:szCs w:val="20"/>
              </w:rPr>
              <w:t xml:space="preserve">       </w:t>
            </w:r>
            <w:r w:rsidR="00826F29" w:rsidRPr="00C54F2E">
              <w:rPr>
                <w:i/>
                <w:szCs w:val="20"/>
              </w:rPr>
              <w:t>No docentes</w:t>
            </w:r>
          </w:p>
        </w:tc>
        <w:tc>
          <w:tcPr>
            <w:tcW w:w="1246" w:type="dxa"/>
            <w:tcBorders>
              <w:top w:val="single" w:sz="2" w:space="0" w:color="auto"/>
              <w:left w:val="nil"/>
              <w:bottom w:val="single" w:sz="2" w:space="0" w:color="auto"/>
              <w:right w:val="nil"/>
            </w:tcBorders>
            <w:vAlign w:val="center"/>
          </w:tcPr>
          <w:p w:rsidR="00826F29" w:rsidRPr="00972A99" w:rsidRDefault="00826F29" w:rsidP="00D14FF4">
            <w:pPr>
              <w:pStyle w:val="cuatexto"/>
              <w:ind w:right="132"/>
              <w:jc w:val="right"/>
              <w:rPr>
                <w:i/>
                <w:szCs w:val="20"/>
              </w:rPr>
            </w:pPr>
            <w:r w:rsidRPr="00972A99">
              <w:rPr>
                <w:i/>
                <w:szCs w:val="20"/>
              </w:rPr>
              <w:t>625</w:t>
            </w:r>
          </w:p>
        </w:tc>
        <w:tc>
          <w:tcPr>
            <w:tcW w:w="1246" w:type="dxa"/>
            <w:tcBorders>
              <w:top w:val="single" w:sz="2" w:space="0" w:color="auto"/>
              <w:left w:val="nil"/>
              <w:bottom w:val="single" w:sz="2" w:space="0" w:color="auto"/>
              <w:right w:val="nil"/>
            </w:tcBorders>
            <w:vAlign w:val="center"/>
          </w:tcPr>
          <w:p w:rsidR="00826F29" w:rsidRPr="00972A99" w:rsidRDefault="00826F29" w:rsidP="00D14FF4">
            <w:pPr>
              <w:pStyle w:val="cuatexto"/>
              <w:ind w:right="132"/>
              <w:jc w:val="right"/>
              <w:rPr>
                <w:i/>
                <w:szCs w:val="20"/>
              </w:rPr>
            </w:pPr>
            <w:r w:rsidRPr="00972A99">
              <w:rPr>
                <w:i/>
                <w:szCs w:val="20"/>
              </w:rPr>
              <w:t>656</w:t>
            </w:r>
          </w:p>
        </w:tc>
      </w:tr>
      <w:tr w:rsidR="00826F29" w:rsidTr="00A84ECB">
        <w:trPr>
          <w:trHeight w:hRule="exact" w:val="284"/>
          <w:jc w:val="center"/>
        </w:trPr>
        <w:tc>
          <w:tcPr>
            <w:tcW w:w="6220" w:type="dxa"/>
            <w:tcBorders>
              <w:top w:val="single" w:sz="2" w:space="0" w:color="auto"/>
              <w:left w:val="nil"/>
              <w:bottom w:val="single" w:sz="2" w:space="0" w:color="auto"/>
              <w:right w:val="nil"/>
            </w:tcBorders>
            <w:vAlign w:val="center"/>
          </w:tcPr>
          <w:p w:rsidR="00826F29" w:rsidRPr="00972A99" w:rsidRDefault="00826F29" w:rsidP="00826F29">
            <w:pPr>
              <w:pStyle w:val="cuatexto"/>
              <w:ind w:left="131"/>
              <w:jc w:val="left"/>
              <w:rPr>
                <w:szCs w:val="20"/>
              </w:rPr>
            </w:pPr>
            <w:r w:rsidRPr="00972A99">
              <w:rPr>
                <w:szCs w:val="20"/>
              </w:rPr>
              <w:t>Ámbito sanitario</w:t>
            </w:r>
          </w:p>
        </w:tc>
        <w:tc>
          <w:tcPr>
            <w:tcW w:w="1246" w:type="dxa"/>
            <w:tcBorders>
              <w:top w:val="single" w:sz="2" w:space="0" w:color="auto"/>
              <w:left w:val="nil"/>
              <w:bottom w:val="single" w:sz="2" w:space="0" w:color="auto"/>
              <w:right w:val="nil"/>
            </w:tcBorders>
            <w:vAlign w:val="center"/>
          </w:tcPr>
          <w:p w:rsidR="00826F29" w:rsidRPr="00972A99" w:rsidRDefault="00826F29" w:rsidP="00D14FF4">
            <w:pPr>
              <w:pStyle w:val="cuatexto"/>
              <w:ind w:right="132"/>
              <w:jc w:val="right"/>
              <w:rPr>
                <w:szCs w:val="20"/>
              </w:rPr>
            </w:pPr>
            <w:r w:rsidRPr="00972A99">
              <w:rPr>
                <w:szCs w:val="20"/>
              </w:rPr>
              <w:t>8.725</w:t>
            </w:r>
          </w:p>
        </w:tc>
        <w:tc>
          <w:tcPr>
            <w:tcW w:w="1246" w:type="dxa"/>
            <w:tcBorders>
              <w:top w:val="single" w:sz="2" w:space="0" w:color="auto"/>
              <w:left w:val="nil"/>
              <w:bottom w:val="single" w:sz="2" w:space="0" w:color="auto"/>
              <w:right w:val="nil"/>
            </w:tcBorders>
            <w:vAlign w:val="center"/>
          </w:tcPr>
          <w:p w:rsidR="00826F29" w:rsidRPr="00972A99" w:rsidRDefault="00826F29" w:rsidP="00D14FF4">
            <w:pPr>
              <w:pStyle w:val="cuatexto"/>
              <w:ind w:right="132"/>
              <w:jc w:val="right"/>
              <w:rPr>
                <w:szCs w:val="20"/>
              </w:rPr>
            </w:pPr>
            <w:r w:rsidRPr="00972A99">
              <w:rPr>
                <w:szCs w:val="20"/>
              </w:rPr>
              <w:t>8.962</w:t>
            </w:r>
          </w:p>
        </w:tc>
      </w:tr>
      <w:tr w:rsidR="00826F29" w:rsidTr="00A84ECB">
        <w:trPr>
          <w:trHeight w:hRule="exact" w:val="284"/>
          <w:jc w:val="center"/>
        </w:trPr>
        <w:tc>
          <w:tcPr>
            <w:tcW w:w="6220" w:type="dxa"/>
            <w:tcBorders>
              <w:top w:val="single" w:sz="2" w:space="0" w:color="auto"/>
              <w:left w:val="nil"/>
              <w:bottom w:val="single" w:sz="2" w:space="0" w:color="auto"/>
              <w:right w:val="nil"/>
            </w:tcBorders>
            <w:vAlign w:val="center"/>
          </w:tcPr>
          <w:p w:rsidR="00826F29" w:rsidRPr="00C54F2E" w:rsidRDefault="00972A99" w:rsidP="00826F29">
            <w:pPr>
              <w:pStyle w:val="cuatexto"/>
              <w:ind w:left="131"/>
              <w:jc w:val="left"/>
              <w:rPr>
                <w:i/>
                <w:szCs w:val="20"/>
              </w:rPr>
            </w:pPr>
            <w:r w:rsidRPr="00C54F2E">
              <w:rPr>
                <w:i/>
                <w:szCs w:val="20"/>
              </w:rPr>
              <w:t xml:space="preserve">      </w:t>
            </w:r>
            <w:r w:rsidR="00826F29" w:rsidRPr="00C54F2E">
              <w:rPr>
                <w:i/>
                <w:szCs w:val="20"/>
              </w:rPr>
              <w:t xml:space="preserve">Sanitarios </w:t>
            </w:r>
          </w:p>
        </w:tc>
        <w:tc>
          <w:tcPr>
            <w:tcW w:w="1246" w:type="dxa"/>
            <w:tcBorders>
              <w:top w:val="single" w:sz="2" w:space="0" w:color="auto"/>
              <w:left w:val="nil"/>
              <w:bottom w:val="single" w:sz="2" w:space="0" w:color="auto"/>
              <w:right w:val="nil"/>
            </w:tcBorders>
            <w:vAlign w:val="center"/>
          </w:tcPr>
          <w:p w:rsidR="00826F29" w:rsidRPr="00972A99" w:rsidRDefault="00826F29" w:rsidP="00D14FF4">
            <w:pPr>
              <w:pStyle w:val="cuatexto"/>
              <w:ind w:right="132"/>
              <w:jc w:val="right"/>
              <w:rPr>
                <w:i/>
                <w:szCs w:val="20"/>
              </w:rPr>
            </w:pPr>
            <w:r w:rsidRPr="00972A99">
              <w:rPr>
                <w:i/>
                <w:szCs w:val="20"/>
              </w:rPr>
              <w:t>7.360</w:t>
            </w:r>
          </w:p>
        </w:tc>
        <w:tc>
          <w:tcPr>
            <w:tcW w:w="1246" w:type="dxa"/>
            <w:tcBorders>
              <w:top w:val="single" w:sz="2" w:space="0" w:color="auto"/>
              <w:left w:val="nil"/>
              <w:bottom w:val="single" w:sz="2" w:space="0" w:color="auto"/>
              <w:right w:val="nil"/>
            </w:tcBorders>
            <w:vAlign w:val="center"/>
          </w:tcPr>
          <w:p w:rsidR="00826F29" w:rsidRPr="00972A99" w:rsidRDefault="00826F29" w:rsidP="00D14FF4">
            <w:pPr>
              <w:pStyle w:val="cuatexto"/>
              <w:ind w:right="132"/>
              <w:jc w:val="right"/>
              <w:rPr>
                <w:i/>
                <w:szCs w:val="20"/>
              </w:rPr>
            </w:pPr>
            <w:r w:rsidRPr="00972A99">
              <w:rPr>
                <w:i/>
                <w:szCs w:val="20"/>
              </w:rPr>
              <w:t>7.531</w:t>
            </w:r>
          </w:p>
        </w:tc>
      </w:tr>
      <w:tr w:rsidR="00826F29" w:rsidTr="00A84ECB">
        <w:trPr>
          <w:trHeight w:hRule="exact" w:val="284"/>
          <w:jc w:val="center"/>
        </w:trPr>
        <w:tc>
          <w:tcPr>
            <w:tcW w:w="6220" w:type="dxa"/>
            <w:tcBorders>
              <w:top w:val="single" w:sz="2" w:space="0" w:color="auto"/>
              <w:left w:val="nil"/>
              <w:bottom w:val="single" w:sz="2" w:space="0" w:color="auto"/>
              <w:right w:val="nil"/>
            </w:tcBorders>
            <w:vAlign w:val="center"/>
          </w:tcPr>
          <w:p w:rsidR="00826F29" w:rsidRPr="00C54F2E" w:rsidRDefault="00972A99" w:rsidP="00D14FF4">
            <w:pPr>
              <w:pStyle w:val="cuatexto"/>
              <w:ind w:left="131"/>
              <w:jc w:val="left"/>
              <w:rPr>
                <w:i/>
                <w:szCs w:val="20"/>
              </w:rPr>
            </w:pPr>
            <w:r w:rsidRPr="00C54F2E">
              <w:rPr>
                <w:i/>
                <w:szCs w:val="20"/>
              </w:rPr>
              <w:t xml:space="preserve">      </w:t>
            </w:r>
            <w:r w:rsidR="00826F29" w:rsidRPr="00C54F2E">
              <w:rPr>
                <w:i/>
                <w:szCs w:val="20"/>
              </w:rPr>
              <w:t>No sanitarios</w:t>
            </w:r>
          </w:p>
        </w:tc>
        <w:tc>
          <w:tcPr>
            <w:tcW w:w="1246" w:type="dxa"/>
            <w:tcBorders>
              <w:top w:val="single" w:sz="2" w:space="0" w:color="auto"/>
              <w:left w:val="nil"/>
              <w:bottom w:val="single" w:sz="2" w:space="0" w:color="auto"/>
              <w:right w:val="nil"/>
            </w:tcBorders>
            <w:vAlign w:val="center"/>
          </w:tcPr>
          <w:p w:rsidR="00826F29" w:rsidRPr="00972A99" w:rsidRDefault="00826F29" w:rsidP="00D14FF4">
            <w:pPr>
              <w:pStyle w:val="cuatexto"/>
              <w:ind w:right="132"/>
              <w:jc w:val="right"/>
              <w:rPr>
                <w:i/>
                <w:szCs w:val="20"/>
              </w:rPr>
            </w:pPr>
            <w:r w:rsidRPr="00972A99">
              <w:rPr>
                <w:i/>
                <w:szCs w:val="20"/>
              </w:rPr>
              <w:t>1.365</w:t>
            </w:r>
          </w:p>
        </w:tc>
        <w:tc>
          <w:tcPr>
            <w:tcW w:w="1246" w:type="dxa"/>
            <w:tcBorders>
              <w:top w:val="single" w:sz="2" w:space="0" w:color="auto"/>
              <w:left w:val="nil"/>
              <w:bottom w:val="single" w:sz="2" w:space="0" w:color="auto"/>
              <w:right w:val="nil"/>
            </w:tcBorders>
            <w:vAlign w:val="center"/>
          </w:tcPr>
          <w:p w:rsidR="00826F29" w:rsidRPr="00972A99" w:rsidRDefault="00826F29" w:rsidP="00D14FF4">
            <w:pPr>
              <w:pStyle w:val="cuatexto"/>
              <w:ind w:right="132"/>
              <w:jc w:val="right"/>
              <w:rPr>
                <w:i/>
                <w:szCs w:val="20"/>
              </w:rPr>
            </w:pPr>
            <w:r w:rsidRPr="00972A99">
              <w:rPr>
                <w:i/>
                <w:szCs w:val="20"/>
              </w:rPr>
              <w:t>1.</w:t>
            </w:r>
            <w:r w:rsidR="00972A99">
              <w:rPr>
                <w:i/>
                <w:szCs w:val="20"/>
              </w:rPr>
              <w:t>4</w:t>
            </w:r>
            <w:r w:rsidRPr="00972A99">
              <w:rPr>
                <w:i/>
                <w:szCs w:val="20"/>
              </w:rPr>
              <w:t>31</w:t>
            </w:r>
          </w:p>
        </w:tc>
      </w:tr>
      <w:tr w:rsidR="00826F29" w:rsidTr="00A84ECB">
        <w:trPr>
          <w:trHeight w:hRule="exact" w:val="284"/>
          <w:jc w:val="center"/>
        </w:trPr>
        <w:tc>
          <w:tcPr>
            <w:tcW w:w="6220" w:type="dxa"/>
            <w:tcBorders>
              <w:top w:val="single" w:sz="2" w:space="0" w:color="auto"/>
              <w:left w:val="nil"/>
              <w:bottom w:val="single" w:sz="2" w:space="0" w:color="auto"/>
              <w:right w:val="nil"/>
            </w:tcBorders>
            <w:vAlign w:val="center"/>
          </w:tcPr>
          <w:p w:rsidR="00826F29" w:rsidRPr="00972A99" w:rsidRDefault="00826F29" w:rsidP="00D14FF4">
            <w:pPr>
              <w:pStyle w:val="cuatexto"/>
              <w:ind w:left="131"/>
              <w:jc w:val="left"/>
              <w:rPr>
                <w:szCs w:val="20"/>
              </w:rPr>
            </w:pPr>
            <w:r w:rsidRPr="00972A99">
              <w:rPr>
                <w:szCs w:val="20"/>
              </w:rPr>
              <w:t>Policía Foral</w:t>
            </w:r>
          </w:p>
        </w:tc>
        <w:tc>
          <w:tcPr>
            <w:tcW w:w="1246" w:type="dxa"/>
            <w:tcBorders>
              <w:top w:val="single" w:sz="2" w:space="0" w:color="auto"/>
              <w:left w:val="nil"/>
              <w:bottom w:val="single" w:sz="2" w:space="0" w:color="auto"/>
              <w:right w:val="nil"/>
            </w:tcBorders>
            <w:vAlign w:val="center"/>
          </w:tcPr>
          <w:p w:rsidR="00826F29" w:rsidRPr="00972A99" w:rsidRDefault="00826F29" w:rsidP="00D14FF4">
            <w:pPr>
              <w:pStyle w:val="cuatexto"/>
              <w:ind w:right="132"/>
              <w:jc w:val="right"/>
              <w:rPr>
                <w:szCs w:val="20"/>
              </w:rPr>
            </w:pPr>
            <w:r w:rsidRPr="00972A99">
              <w:rPr>
                <w:szCs w:val="20"/>
              </w:rPr>
              <w:t>1.074</w:t>
            </w:r>
          </w:p>
        </w:tc>
        <w:tc>
          <w:tcPr>
            <w:tcW w:w="1246" w:type="dxa"/>
            <w:tcBorders>
              <w:top w:val="single" w:sz="2" w:space="0" w:color="auto"/>
              <w:left w:val="nil"/>
              <w:bottom w:val="single" w:sz="2" w:space="0" w:color="auto"/>
              <w:right w:val="nil"/>
            </w:tcBorders>
            <w:vAlign w:val="center"/>
          </w:tcPr>
          <w:p w:rsidR="00826F29" w:rsidRPr="00972A99" w:rsidRDefault="00826F29" w:rsidP="00D14FF4">
            <w:pPr>
              <w:pStyle w:val="cuatexto"/>
              <w:ind w:right="132"/>
              <w:jc w:val="right"/>
              <w:rPr>
                <w:szCs w:val="20"/>
              </w:rPr>
            </w:pPr>
            <w:r w:rsidRPr="00972A99">
              <w:rPr>
                <w:szCs w:val="20"/>
              </w:rPr>
              <w:t>1.060</w:t>
            </w:r>
          </w:p>
        </w:tc>
      </w:tr>
      <w:tr w:rsidR="00826F29" w:rsidTr="00A84ECB">
        <w:trPr>
          <w:trHeight w:hRule="exact" w:val="284"/>
          <w:jc w:val="center"/>
        </w:trPr>
        <w:tc>
          <w:tcPr>
            <w:tcW w:w="6220" w:type="dxa"/>
            <w:tcBorders>
              <w:top w:val="single" w:sz="2" w:space="0" w:color="auto"/>
              <w:left w:val="nil"/>
              <w:bottom w:val="single" w:sz="2" w:space="0" w:color="auto"/>
              <w:right w:val="nil"/>
            </w:tcBorders>
            <w:vAlign w:val="center"/>
          </w:tcPr>
          <w:p w:rsidR="00826F29" w:rsidRPr="00972A99" w:rsidRDefault="00826F29" w:rsidP="00D14FF4">
            <w:pPr>
              <w:pStyle w:val="cuatexto"/>
              <w:ind w:left="131"/>
              <w:jc w:val="left"/>
              <w:rPr>
                <w:szCs w:val="20"/>
              </w:rPr>
            </w:pPr>
            <w:r w:rsidRPr="00972A99">
              <w:rPr>
                <w:szCs w:val="20"/>
              </w:rPr>
              <w:t>Justicia</w:t>
            </w:r>
          </w:p>
        </w:tc>
        <w:tc>
          <w:tcPr>
            <w:tcW w:w="1246" w:type="dxa"/>
            <w:tcBorders>
              <w:top w:val="single" w:sz="2" w:space="0" w:color="auto"/>
              <w:left w:val="nil"/>
              <w:bottom w:val="single" w:sz="2" w:space="0" w:color="auto"/>
              <w:right w:val="nil"/>
            </w:tcBorders>
            <w:vAlign w:val="center"/>
          </w:tcPr>
          <w:p w:rsidR="00826F29" w:rsidRPr="00972A99" w:rsidRDefault="00826F29" w:rsidP="00D14FF4">
            <w:pPr>
              <w:pStyle w:val="cuatexto"/>
              <w:ind w:right="132"/>
              <w:jc w:val="right"/>
              <w:rPr>
                <w:szCs w:val="20"/>
              </w:rPr>
            </w:pPr>
            <w:r w:rsidRPr="00972A99">
              <w:rPr>
                <w:szCs w:val="20"/>
              </w:rPr>
              <w:t>515</w:t>
            </w:r>
          </w:p>
        </w:tc>
        <w:tc>
          <w:tcPr>
            <w:tcW w:w="1246" w:type="dxa"/>
            <w:tcBorders>
              <w:top w:val="single" w:sz="2" w:space="0" w:color="auto"/>
              <w:left w:val="nil"/>
              <w:bottom w:val="single" w:sz="2" w:space="0" w:color="auto"/>
              <w:right w:val="nil"/>
            </w:tcBorders>
            <w:vAlign w:val="center"/>
          </w:tcPr>
          <w:p w:rsidR="00826F29" w:rsidRPr="00972A99" w:rsidRDefault="00826F29" w:rsidP="00D14FF4">
            <w:pPr>
              <w:pStyle w:val="cuatexto"/>
              <w:ind w:right="132"/>
              <w:jc w:val="right"/>
              <w:rPr>
                <w:szCs w:val="20"/>
              </w:rPr>
            </w:pPr>
            <w:r w:rsidRPr="00972A99">
              <w:rPr>
                <w:szCs w:val="20"/>
              </w:rPr>
              <w:t>513</w:t>
            </w:r>
          </w:p>
        </w:tc>
      </w:tr>
      <w:tr w:rsidR="00826F29" w:rsidTr="00A84ECB">
        <w:trPr>
          <w:trHeight w:hRule="exact" w:val="284"/>
          <w:jc w:val="center"/>
        </w:trPr>
        <w:tc>
          <w:tcPr>
            <w:tcW w:w="6220" w:type="dxa"/>
            <w:tcBorders>
              <w:top w:val="single" w:sz="2" w:space="0" w:color="auto"/>
              <w:left w:val="nil"/>
              <w:bottom w:val="single" w:sz="2" w:space="0" w:color="auto"/>
              <w:right w:val="nil"/>
            </w:tcBorders>
            <w:vAlign w:val="center"/>
          </w:tcPr>
          <w:p w:rsidR="00826F29" w:rsidRPr="00972A99" w:rsidRDefault="00826F29" w:rsidP="008E1787">
            <w:pPr>
              <w:pStyle w:val="cuatexto"/>
              <w:ind w:left="131"/>
              <w:jc w:val="left"/>
              <w:rPr>
                <w:szCs w:val="20"/>
              </w:rPr>
            </w:pPr>
            <w:r w:rsidRPr="00972A99">
              <w:rPr>
                <w:szCs w:val="20"/>
              </w:rPr>
              <w:t xml:space="preserve">Resto de departamentos y </w:t>
            </w:r>
            <w:r w:rsidR="008E1787">
              <w:rPr>
                <w:szCs w:val="20"/>
              </w:rPr>
              <w:t>Organismos autónomos</w:t>
            </w:r>
          </w:p>
        </w:tc>
        <w:tc>
          <w:tcPr>
            <w:tcW w:w="1246" w:type="dxa"/>
            <w:tcBorders>
              <w:top w:val="single" w:sz="2" w:space="0" w:color="auto"/>
              <w:left w:val="nil"/>
              <w:bottom w:val="single" w:sz="2" w:space="0" w:color="auto"/>
              <w:right w:val="nil"/>
            </w:tcBorders>
            <w:vAlign w:val="center"/>
          </w:tcPr>
          <w:p w:rsidR="00826F29" w:rsidRPr="00972A99" w:rsidRDefault="00826F29" w:rsidP="00D14FF4">
            <w:pPr>
              <w:pStyle w:val="cuatexto"/>
              <w:ind w:right="132"/>
              <w:jc w:val="right"/>
              <w:rPr>
                <w:szCs w:val="20"/>
              </w:rPr>
            </w:pPr>
            <w:r w:rsidRPr="00972A99">
              <w:rPr>
                <w:szCs w:val="20"/>
              </w:rPr>
              <w:t>4.558</w:t>
            </w:r>
          </w:p>
        </w:tc>
        <w:tc>
          <w:tcPr>
            <w:tcW w:w="1246" w:type="dxa"/>
            <w:tcBorders>
              <w:top w:val="single" w:sz="2" w:space="0" w:color="auto"/>
              <w:left w:val="nil"/>
              <w:bottom w:val="single" w:sz="2" w:space="0" w:color="auto"/>
              <w:right w:val="nil"/>
            </w:tcBorders>
            <w:vAlign w:val="center"/>
          </w:tcPr>
          <w:p w:rsidR="00826F29" w:rsidRPr="00972A99" w:rsidRDefault="00826F29" w:rsidP="00D14FF4">
            <w:pPr>
              <w:pStyle w:val="cuatexto"/>
              <w:ind w:right="132"/>
              <w:jc w:val="right"/>
              <w:rPr>
                <w:szCs w:val="20"/>
              </w:rPr>
            </w:pPr>
            <w:r w:rsidRPr="00972A99">
              <w:rPr>
                <w:szCs w:val="20"/>
              </w:rPr>
              <w:t>4.489</w:t>
            </w:r>
          </w:p>
        </w:tc>
      </w:tr>
      <w:tr w:rsidR="00826F29" w:rsidRPr="00465B76" w:rsidTr="00A84ECB">
        <w:trPr>
          <w:trHeight w:hRule="exact" w:val="284"/>
          <w:jc w:val="center"/>
        </w:trPr>
        <w:tc>
          <w:tcPr>
            <w:tcW w:w="6220" w:type="dxa"/>
            <w:tcBorders>
              <w:top w:val="single" w:sz="2" w:space="0" w:color="auto"/>
              <w:left w:val="nil"/>
              <w:bottom w:val="single" w:sz="2" w:space="0" w:color="auto"/>
              <w:right w:val="nil"/>
            </w:tcBorders>
            <w:shd w:val="clear" w:color="auto" w:fill="A8CBEE" w:themeFill="accent2" w:themeFillTint="66"/>
            <w:vAlign w:val="center"/>
          </w:tcPr>
          <w:p w:rsidR="00826F29" w:rsidRPr="00465B76" w:rsidRDefault="00826F29" w:rsidP="00826F29">
            <w:pPr>
              <w:pStyle w:val="cuadroCabe"/>
              <w:ind w:left="131"/>
              <w:jc w:val="left"/>
              <w:rPr>
                <w:rFonts w:cs="Arial"/>
                <w:szCs w:val="18"/>
              </w:rPr>
            </w:pPr>
            <w:r w:rsidRPr="00465B76">
              <w:rPr>
                <w:rFonts w:cs="Arial"/>
                <w:szCs w:val="18"/>
              </w:rPr>
              <w:t>Total</w:t>
            </w:r>
          </w:p>
        </w:tc>
        <w:tc>
          <w:tcPr>
            <w:tcW w:w="1246" w:type="dxa"/>
            <w:tcBorders>
              <w:top w:val="single" w:sz="2" w:space="0" w:color="auto"/>
              <w:left w:val="nil"/>
              <w:bottom w:val="single" w:sz="2" w:space="0" w:color="auto"/>
              <w:right w:val="nil"/>
            </w:tcBorders>
            <w:shd w:val="clear" w:color="auto" w:fill="A8CBEE" w:themeFill="accent2" w:themeFillTint="66"/>
            <w:vAlign w:val="center"/>
          </w:tcPr>
          <w:p w:rsidR="00826F29" w:rsidRPr="00465B76" w:rsidRDefault="00826F29" w:rsidP="00972A99">
            <w:pPr>
              <w:pStyle w:val="cuatexto"/>
              <w:ind w:right="132"/>
              <w:jc w:val="right"/>
              <w:rPr>
                <w:rFonts w:ascii="Arial" w:hAnsi="Arial" w:cs="Arial"/>
                <w:sz w:val="18"/>
                <w:szCs w:val="18"/>
              </w:rPr>
            </w:pPr>
            <w:r w:rsidRPr="00465B76">
              <w:rPr>
                <w:rFonts w:ascii="Arial" w:hAnsi="Arial" w:cs="Arial"/>
                <w:sz w:val="18"/>
                <w:szCs w:val="18"/>
              </w:rPr>
              <w:t>23.055</w:t>
            </w:r>
          </w:p>
        </w:tc>
        <w:tc>
          <w:tcPr>
            <w:tcW w:w="1246" w:type="dxa"/>
            <w:tcBorders>
              <w:top w:val="single" w:sz="2" w:space="0" w:color="auto"/>
              <w:left w:val="nil"/>
              <w:bottom w:val="single" w:sz="2" w:space="0" w:color="auto"/>
              <w:right w:val="nil"/>
            </w:tcBorders>
            <w:shd w:val="clear" w:color="auto" w:fill="A8CBEE" w:themeFill="accent2" w:themeFillTint="66"/>
            <w:vAlign w:val="center"/>
          </w:tcPr>
          <w:p w:rsidR="00826F29" w:rsidRPr="00465B76" w:rsidRDefault="00826F29" w:rsidP="00972A99">
            <w:pPr>
              <w:pStyle w:val="cuatexto"/>
              <w:ind w:right="132"/>
              <w:jc w:val="right"/>
              <w:rPr>
                <w:rFonts w:ascii="Arial" w:hAnsi="Arial" w:cs="Arial"/>
                <w:sz w:val="18"/>
                <w:szCs w:val="18"/>
              </w:rPr>
            </w:pPr>
            <w:r w:rsidRPr="00465B76">
              <w:rPr>
                <w:rFonts w:ascii="Arial" w:hAnsi="Arial" w:cs="Arial"/>
                <w:sz w:val="18"/>
                <w:szCs w:val="18"/>
              </w:rPr>
              <w:t>23.405</w:t>
            </w:r>
          </w:p>
        </w:tc>
      </w:tr>
    </w:tbl>
    <w:p w:rsidR="00972A99" w:rsidRPr="004D2355" w:rsidRDefault="00972A99" w:rsidP="00A84ECB">
      <w:pPr>
        <w:pStyle w:val="texto"/>
        <w:spacing w:after="0"/>
        <w:rPr>
          <w:lang w:val="es-ES"/>
        </w:rPr>
      </w:pPr>
    </w:p>
    <w:p w:rsidR="00B54CB1" w:rsidRPr="004D2355" w:rsidRDefault="00972A99" w:rsidP="004D2355">
      <w:pPr>
        <w:pStyle w:val="texto"/>
        <w:rPr>
          <w:lang w:val="es-ES"/>
        </w:rPr>
      </w:pPr>
      <w:r w:rsidRPr="004D2355">
        <w:rPr>
          <w:lang w:val="es-ES"/>
        </w:rPr>
        <w:t>Es decir, en el periodo se han incrementado el personal efectivo en 350 puestos, esto es</w:t>
      </w:r>
      <w:r w:rsidR="00C54F2E">
        <w:rPr>
          <w:lang w:val="es-ES"/>
        </w:rPr>
        <w:t>,</w:t>
      </w:r>
      <w:r w:rsidRPr="004D2355">
        <w:rPr>
          <w:lang w:val="es-ES"/>
        </w:rPr>
        <w:t xml:space="preserve"> el 1,52 por ciento. Por ámbito, señalamos el </w:t>
      </w:r>
      <w:r w:rsidR="004D2355" w:rsidRPr="004D2355">
        <w:rPr>
          <w:lang w:val="es-ES"/>
        </w:rPr>
        <w:t>aumento supe</w:t>
      </w:r>
      <w:r w:rsidR="00C54F2E">
        <w:rPr>
          <w:lang w:val="es-ES"/>
        </w:rPr>
        <w:t>rior al dos por ciento en docentes</w:t>
      </w:r>
      <w:r w:rsidR="004D2355" w:rsidRPr="004D2355">
        <w:rPr>
          <w:lang w:val="es-ES"/>
        </w:rPr>
        <w:t xml:space="preserve"> y en</w:t>
      </w:r>
      <w:r w:rsidR="00C54F2E">
        <w:rPr>
          <w:lang w:val="es-ES"/>
        </w:rPr>
        <w:t xml:space="preserve"> </w:t>
      </w:r>
      <w:r w:rsidR="004D2355" w:rsidRPr="004D2355">
        <w:rPr>
          <w:lang w:val="es-ES"/>
        </w:rPr>
        <w:t>sanitario</w:t>
      </w:r>
      <w:r w:rsidR="00C54F2E">
        <w:rPr>
          <w:lang w:val="es-ES"/>
        </w:rPr>
        <w:t>s</w:t>
      </w:r>
      <w:r w:rsidR="004D2355" w:rsidRPr="004D2355">
        <w:rPr>
          <w:lang w:val="es-ES"/>
        </w:rPr>
        <w:t>.</w:t>
      </w:r>
      <w:r w:rsidRPr="004D2355">
        <w:rPr>
          <w:lang w:val="es-ES"/>
        </w:rPr>
        <w:t xml:space="preserve">   </w:t>
      </w:r>
    </w:p>
    <w:p w:rsidR="003D136B" w:rsidRDefault="0076086A" w:rsidP="003D136B">
      <w:pPr>
        <w:pStyle w:val="texto"/>
        <w:rPr>
          <w:lang w:val="es-ES"/>
        </w:rPr>
      </w:pPr>
      <w:r>
        <w:rPr>
          <w:lang w:val="es-ES"/>
        </w:rPr>
        <w:t xml:space="preserve">Del personal anterior destacamos que el 68 por ciento del mismo son del sexo femenino y el 32 por ciento del masculino. </w:t>
      </w:r>
    </w:p>
    <w:p w:rsidR="00631A34" w:rsidRDefault="003D136B" w:rsidP="003D136B">
      <w:pPr>
        <w:pStyle w:val="texto"/>
        <w:rPr>
          <w:lang w:val="es-ES"/>
        </w:rPr>
      </w:pPr>
      <w:r>
        <w:rPr>
          <w:lang w:val="es-ES"/>
        </w:rPr>
        <w:t>Así mismo, e</w:t>
      </w:r>
      <w:r w:rsidR="00B54CB1" w:rsidRPr="00EB1D27">
        <w:rPr>
          <w:lang w:val="es-ES"/>
        </w:rPr>
        <w:t>s significativa la alta tasa de temporalidad del personal en la Administración</w:t>
      </w:r>
      <w:r w:rsidR="00EB1D27">
        <w:rPr>
          <w:lang w:val="es-ES"/>
        </w:rPr>
        <w:t xml:space="preserve"> </w:t>
      </w:r>
      <w:r w:rsidR="00B54CB1" w:rsidRPr="00EB1D27">
        <w:rPr>
          <w:lang w:val="es-ES"/>
        </w:rPr>
        <w:t xml:space="preserve">Foral y sus Organismos Autónomos, principalmente en el SNS-O </w:t>
      </w:r>
      <w:r w:rsidR="00EB1D27" w:rsidRPr="00EB1D27">
        <w:rPr>
          <w:lang w:val="es-ES"/>
        </w:rPr>
        <w:t xml:space="preserve">superior al </w:t>
      </w:r>
      <w:r>
        <w:rPr>
          <w:lang w:val="es-ES"/>
        </w:rPr>
        <w:t>40</w:t>
      </w:r>
      <w:r w:rsidR="00B54CB1" w:rsidRPr="00EB1D27">
        <w:rPr>
          <w:lang w:val="es-ES"/>
        </w:rPr>
        <w:t xml:space="preserve"> por ciento y en Educación</w:t>
      </w:r>
      <w:r w:rsidR="00465B76">
        <w:rPr>
          <w:lang w:val="es-ES"/>
        </w:rPr>
        <w:t>, donde se sitúa en torno a</w:t>
      </w:r>
      <w:r w:rsidR="00EB1D27" w:rsidRPr="00EB1D27">
        <w:rPr>
          <w:lang w:val="es-ES"/>
        </w:rPr>
        <w:t xml:space="preserve">l </w:t>
      </w:r>
      <w:r>
        <w:rPr>
          <w:lang w:val="es-ES"/>
        </w:rPr>
        <w:t>30</w:t>
      </w:r>
      <w:r w:rsidR="00B54CB1" w:rsidRPr="00EB1D27">
        <w:rPr>
          <w:lang w:val="es-ES"/>
        </w:rPr>
        <w:t xml:space="preserve"> por ciento.</w:t>
      </w:r>
    </w:p>
    <w:p w:rsidR="00520A3B" w:rsidRPr="00B54CB1" w:rsidRDefault="00520A3B" w:rsidP="00FE630D">
      <w:pPr>
        <w:pStyle w:val="texto"/>
        <w:spacing w:after="120"/>
        <w:rPr>
          <w:i/>
          <w:lang w:val="es-ES"/>
        </w:rPr>
      </w:pPr>
      <w:r w:rsidRPr="00B54CB1">
        <w:rPr>
          <w:i/>
          <w:lang w:val="es-ES"/>
        </w:rPr>
        <w:t>Recomenda</w:t>
      </w:r>
      <w:r w:rsidR="00F739C5">
        <w:rPr>
          <w:i/>
          <w:lang w:val="es-ES"/>
        </w:rPr>
        <w:t>mos:</w:t>
      </w:r>
    </w:p>
    <w:p w:rsidR="008D2DF3" w:rsidRDefault="009A063D" w:rsidP="008D2DF3">
      <w:pPr>
        <w:pStyle w:val="texto"/>
        <w:rPr>
          <w:lang w:val="es-ES"/>
        </w:rPr>
      </w:pPr>
      <w:r w:rsidRPr="00F739C5">
        <w:rPr>
          <w:lang w:val="es-ES"/>
        </w:rPr>
        <w:t xml:space="preserve">Tal como se indicaba en el informe de esta Cámara sobre </w:t>
      </w:r>
      <w:r w:rsidR="00B54CB1" w:rsidRPr="00F739C5">
        <w:rPr>
          <w:lang w:val="es-ES"/>
        </w:rPr>
        <w:t>“Incidencia de la Ley Orgánica 2/2012 de Estabilidad Presupuestaria y Sostenibilidad Financiera en el personal de las Administraciones Públicas 2012-2015”</w:t>
      </w:r>
      <w:r w:rsidR="008D2DF3">
        <w:rPr>
          <w:lang w:val="es-ES"/>
        </w:rPr>
        <w:t>, se recomendaba:</w:t>
      </w:r>
      <w:r w:rsidR="00F739C5" w:rsidRPr="00F739C5">
        <w:rPr>
          <w:lang w:val="es-ES"/>
        </w:rPr>
        <w:t xml:space="preserve"> </w:t>
      </w:r>
    </w:p>
    <w:p w:rsidR="009A063D" w:rsidRPr="00F739C5" w:rsidRDefault="009A063D" w:rsidP="008D2DF3">
      <w:pPr>
        <w:pStyle w:val="texto"/>
        <w:rPr>
          <w:i/>
          <w:iCs/>
          <w:szCs w:val="26"/>
          <w:lang w:val="es-ES" w:eastAsia="es-ES"/>
        </w:rPr>
      </w:pPr>
      <w:r w:rsidRPr="00F739C5">
        <w:rPr>
          <w:i/>
          <w:iCs/>
          <w:szCs w:val="26"/>
          <w:lang w:val="es-ES" w:eastAsia="es-ES"/>
        </w:rPr>
        <w:t>Cumplir los procedimientos previstos en la normativa de personal vigente respecto a la planificación y selección de personal. En concreto:</w:t>
      </w:r>
    </w:p>
    <w:p w:rsidR="009A063D" w:rsidRPr="009A063D" w:rsidRDefault="009A063D" w:rsidP="009A063D">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i/>
          <w:lang w:val="es-ES"/>
        </w:rPr>
      </w:pPr>
      <w:r w:rsidRPr="009A063D">
        <w:rPr>
          <w:i/>
          <w:lang w:val="es-ES"/>
        </w:rPr>
        <w:t>Planificar y valorar los recursos humanos necesarios en la organización determinando qué plazas son precisas para la prestación eficiente y eficaz de los servicios.</w:t>
      </w:r>
    </w:p>
    <w:p w:rsidR="009A063D" w:rsidRPr="009A063D" w:rsidRDefault="009A063D" w:rsidP="009A063D">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i/>
          <w:lang w:val="es-ES"/>
        </w:rPr>
      </w:pPr>
      <w:r w:rsidRPr="009A063D">
        <w:rPr>
          <w:i/>
          <w:lang w:val="es-ES"/>
        </w:rPr>
        <w:t>Incluir en la plantilla orgánica todas aquellas plazas que respondan a necesidades estructurales y permanentes de la Administración.</w:t>
      </w:r>
    </w:p>
    <w:p w:rsidR="009A063D" w:rsidRPr="009A063D" w:rsidRDefault="009A063D" w:rsidP="009A063D">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i/>
          <w:lang w:val="es-ES"/>
        </w:rPr>
      </w:pPr>
      <w:r w:rsidRPr="009A063D">
        <w:rPr>
          <w:i/>
          <w:lang w:val="es-ES"/>
        </w:rPr>
        <w:t>Indicar en la oferta de empleo la previsión para la provisión de las plazas ofertadas, convocándolas en los plazos establecidos en el Reglamento de ingreso de las Administraciones Públicas.</w:t>
      </w:r>
    </w:p>
    <w:p w:rsidR="00B931D1" w:rsidRPr="00D7616B" w:rsidRDefault="002C2A43" w:rsidP="00A84ECB">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240"/>
        <w:ind w:left="0" w:firstLine="289"/>
        <w:rPr>
          <w:i/>
          <w:iCs/>
          <w:szCs w:val="26"/>
          <w:lang w:val="es-ES" w:eastAsia="es-ES"/>
        </w:rPr>
      </w:pPr>
      <w:r>
        <w:rPr>
          <w:i/>
          <w:lang w:val="es-ES"/>
        </w:rPr>
        <w:t>Analizar las</w:t>
      </w:r>
      <w:r w:rsidR="009A063D" w:rsidRPr="009A063D">
        <w:rPr>
          <w:i/>
          <w:lang w:val="es-ES"/>
        </w:rPr>
        <w:t xml:space="preserve"> contrataciones temporales</w:t>
      </w:r>
      <w:r>
        <w:rPr>
          <w:i/>
          <w:lang w:val="es-ES"/>
        </w:rPr>
        <w:t xml:space="preserve"> efectuadas al objeto de contrastar si atienden o no</w:t>
      </w:r>
      <w:r w:rsidR="009A063D" w:rsidRPr="009A063D">
        <w:rPr>
          <w:i/>
          <w:lang w:val="es-ES"/>
        </w:rPr>
        <w:t xml:space="preserve"> funciones permanentes</w:t>
      </w:r>
      <w:r w:rsidR="009A063D">
        <w:rPr>
          <w:i/>
          <w:iCs/>
          <w:szCs w:val="26"/>
          <w:lang w:val="es-ES" w:eastAsia="es-ES"/>
        </w:rPr>
        <w:t>.</w:t>
      </w:r>
    </w:p>
    <w:p w:rsidR="00AA3922" w:rsidRDefault="00C81147" w:rsidP="00AA3922">
      <w:pPr>
        <w:pStyle w:val="atitulo3"/>
      </w:pPr>
      <w:r>
        <w:t>Revisión de</w:t>
      </w:r>
      <w:r w:rsidR="00AA3922">
        <w:t xml:space="preserve"> la ejecución presupuestaria</w:t>
      </w:r>
      <w:r w:rsidR="00236CD6">
        <w:t xml:space="preserve"> </w:t>
      </w:r>
      <w:r w:rsidR="00311751">
        <w:t>por subconc</w:t>
      </w:r>
      <w:r w:rsidR="00DD60A9">
        <w:t>ep</w:t>
      </w:r>
      <w:r w:rsidR="00311751">
        <w:t>to retributivo</w:t>
      </w:r>
      <w:r w:rsidR="00AA3922">
        <w:t xml:space="preserve"> a través de SAP Recursos Humanos</w:t>
      </w:r>
    </w:p>
    <w:p w:rsidR="009F1504" w:rsidRPr="001642F7" w:rsidRDefault="007F36B4" w:rsidP="006E4980">
      <w:pPr>
        <w:pStyle w:val="texto"/>
        <w:rPr>
          <w:lang w:val="es-ES"/>
        </w:rPr>
      </w:pPr>
      <w:r>
        <w:rPr>
          <w:lang w:val="es-ES"/>
        </w:rPr>
        <w:t>Se ha efectuado un</w:t>
      </w:r>
      <w:r w:rsidR="00AA3922" w:rsidRPr="00AA3922">
        <w:rPr>
          <w:lang w:val="es-ES"/>
        </w:rPr>
        <w:t xml:space="preserve"> an</w:t>
      </w:r>
      <w:r w:rsidR="00AA3922">
        <w:rPr>
          <w:lang w:val="es-ES"/>
        </w:rPr>
        <w:t>álisis</w:t>
      </w:r>
      <w:r w:rsidR="00AA3922" w:rsidRPr="00AA3922">
        <w:rPr>
          <w:lang w:val="es-ES"/>
        </w:rPr>
        <w:t xml:space="preserve"> </w:t>
      </w:r>
      <w:r w:rsidR="00AA3922">
        <w:rPr>
          <w:lang w:val="es-ES"/>
        </w:rPr>
        <w:t>d</w:t>
      </w:r>
      <w:r w:rsidR="00AA3922" w:rsidRPr="00AA3922">
        <w:rPr>
          <w:lang w:val="es-ES"/>
        </w:rPr>
        <w:t>e</w:t>
      </w:r>
      <w:r w:rsidR="00BB3987">
        <w:rPr>
          <w:lang w:val="es-ES"/>
        </w:rPr>
        <w:t xml:space="preserve"> la ejecución del</w:t>
      </w:r>
      <w:r w:rsidR="00AA3922" w:rsidRPr="00AA3922">
        <w:rPr>
          <w:lang w:val="es-ES"/>
        </w:rPr>
        <w:t xml:space="preserve"> capítulo 1 de gastos </w:t>
      </w:r>
      <w:r w:rsidR="00311751">
        <w:rPr>
          <w:lang w:val="es-ES"/>
        </w:rPr>
        <w:t>por sub</w:t>
      </w:r>
      <w:r w:rsidR="00685C1D">
        <w:rPr>
          <w:lang w:val="es-ES"/>
        </w:rPr>
        <w:t xml:space="preserve">concepto retributivo </w:t>
      </w:r>
      <w:r w:rsidR="00AA3922" w:rsidRPr="00AA3922">
        <w:rPr>
          <w:lang w:val="es-ES"/>
        </w:rPr>
        <w:t>a través de</w:t>
      </w:r>
      <w:r w:rsidR="00685C1D">
        <w:rPr>
          <w:lang w:val="es-ES"/>
        </w:rPr>
        <w:t xml:space="preserve"> la aplicación</w:t>
      </w:r>
      <w:r w:rsidR="00AA3922" w:rsidRPr="00AA3922">
        <w:rPr>
          <w:lang w:val="es-ES"/>
        </w:rPr>
        <w:t xml:space="preserve"> SAP RRHH</w:t>
      </w:r>
      <w:r w:rsidR="00693408">
        <w:rPr>
          <w:lang w:val="es-ES"/>
        </w:rPr>
        <w:t>,</w:t>
      </w:r>
      <w:r w:rsidR="00693408" w:rsidRPr="00311751">
        <w:rPr>
          <w:lang w:val="es-ES"/>
        </w:rPr>
        <w:t xml:space="preserve"> </w:t>
      </w:r>
      <w:r w:rsidR="00693408">
        <w:rPr>
          <w:lang w:val="es-ES"/>
        </w:rPr>
        <w:t>con exclusión de los gastos de cuotas y prestaciones sociales</w:t>
      </w:r>
      <w:r>
        <w:rPr>
          <w:lang w:val="es-ES"/>
        </w:rPr>
        <w:t>.</w:t>
      </w:r>
      <w:r w:rsidR="006E4980">
        <w:rPr>
          <w:lang w:val="es-ES"/>
        </w:rPr>
        <w:t xml:space="preserve"> </w:t>
      </w:r>
      <w:r w:rsidR="009F1504" w:rsidRPr="001642F7">
        <w:rPr>
          <w:lang w:val="es-ES"/>
        </w:rPr>
        <w:t xml:space="preserve">En el cuadro siguiente se muestra </w:t>
      </w:r>
      <w:r w:rsidR="006E4980" w:rsidRPr="001642F7">
        <w:rPr>
          <w:lang w:val="es-ES"/>
        </w:rPr>
        <w:t>tal</w:t>
      </w:r>
      <w:r w:rsidR="009F1504" w:rsidRPr="001642F7">
        <w:rPr>
          <w:lang w:val="es-ES"/>
        </w:rPr>
        <w:t xml:space="preserve"> e</w:t>
      </w:r>
      <w:r w:rsidR="006E4980" w:rsidRPr="001642F7">
        <w:rPr>
          <w:lang w:val="es-ES"/>
        </w:rPr>
        <w:t>jecución presupuestaria; se incluye</w:t>
      </w:r>
      <w:r w:rsidR="005A2AFA">
        <w:rPr>
          <w:lang w:val="es-ES"/>
        </w:rPr>
        <w:t xml:space="preserve"> igualmente</w:t>
      </w:r>
      <w:r w:rsidR="006E4980" w:rsidRPr="001642F7">
        <w:rPr>
          <w:lang w:val="es-ES"/>
        </w:rPr>
        <w:t>, además de</w:t>
      </w:r>
      <w:r w:rsidR="009F1504" w:rsidRPr="001642F7">
        <w:rPr>
          <w:lang w:val="es-ES"/>
        </w:rPr>
        <w:t xml:space="preserve"> su codificación económi</w:t>
      </w:r>
      <w:r w:rsidR="006E4980" w:rsidRPr="001642F7">
        <w:rPr>
          <w:lang w:val="es-ES"/>
        </w:rPr>
        <w:t xml:space="preserve">ca y </w:t>
      </w:r>
      <w:r w:rsidR="009F1504" w:rsidRPr="001642F7">
        <w:rPr>
          <w:lang w:val="es-ES"/>
        </w:rPr>
        <w:t>una breve descripción de su contenido</w:t>
      </w:r>
      <w:r w:rsidR="006E4980" w:rsidRPr="001642F7">
        <w:rPr>
          <w:lang w:val="es-ES"/>
        </w:rPr>
        <w:t xml:space="preserve">, el número de perceptores </w:t>
      </w:r>
      <w:r w:rsidR="00D301F9">
        <w:rPr>
          <w:lang w:val="es-ES"/>
        </w:rPr>
        <w:t>–</w:t>
      </w:r>
      <w:r w:rsidR="009F1504" w:rsidRPr="001642F7">
        <w:rPr>
          <w:lang w:val="es-ES"/>
        </w:rPr>
        <w:t xml:space="preserve">y en su caso, </w:t>
      </w:r>
      <w:r w:rsidR="006E4980" w:rsidRPr="001642F7">
        <w:rPr>
          <w:lang w:val="es-ES"/>
        </w:rPr>
        <w:t>el de</w:t>
      </w:r>
      <w:r w:rsidR="009F1504" w:rsidRPr="001642F7">
        <w:rPr>
          <w:lang w:val="es-ES"/>
        </w:rPr>
        <w:t xml:space="preserve"> personas equivalentes año</w:t>
      </w:r>
      <w:r w:rsidR="00D301F9">
        <w:rPr>
          <w:lang w:val="es-ES"/>
        </w:rPr>
        <w:t>–</w:t>
      </w:r>
      <w:r w:rsidR="009F1504" w:rsidRPr="001642F7">
        <w:rPr>
          <w:lang w:val="es-ES"/>
        </w:rPr>
        <w:t xml:space="preserve"> y las retribuciones medias anuales y mensuales.</w:t>
      </w:r>
    </w:p>
    <w:p w:rsidR="001642F7" w:rsidRPr="005A2AFA" w:rsidRDefault="001642F7" w:rsidP="006E4980">
      <w:pPr>
        <w:pStyle w:val="texto"/>
        <w:rPr>
          <w:lang w:val="es-ES"/>
        </w:rPr>
      </w:pPr>
      <w:r w:rsidRPr="005A2AFA">
        <w:rPr>
          <w:lang w:val="es-ES"/>
        </w:rPr>
        <w:t>Para un adecuado análisis del mismo, debe tenerse en cuenta que refleja la totalidad de perceptores de retribuciones del Gobierno de Navarra en 2015 con independencia de la vinculación jurídica –funcionarios, laborales fijos o temporales</w:t>
      </w:r>
      <w:r w:rsidR="00D301F9">
        <w:rPr>
          <w:lang w:val="es-ES"/>
        </w:rPr>
        <w:t>–</w:t>
      </w:r>
      <w:r w:rsidRPr="005A2AFA">
        <w:rPr>
          <w:lang w:val="es-ES"/>
        </w:rPr>
        <w:t xml:space="preserve"> y, en su caso, de la duración temporal de </w:t>
      </w:r>
      <w:r w:rsidR="005A2AFA" w:rsidRPr="005A2AFA">
        <w:rPr>
          <w:lang w:val="es-ES"/>
        </w:rPr>
        <w:t>dicha</w:t>
      </w:r>
      <w:r w:rsidRPr="005A2AFA">
        <w:rPr>
          <w:lang w:val="es-ES"/>
        </w:rPr>
        <w:t xml:space="preserve"> relación laboral.</w:t>
      </w:r>
    </w:p>
    <w:p w:rsidR="009F1504" w:rsidRPr="005A2AFA" w:rsidRDefault="009F1504" w:rsidP="009F1504">
      <w:pPr>
        <w:pStyle w:val="texto"/>
        <w:rPr>
          <w:lang w:val="es-ES"/>
        </w:rPr>
        <w:sectPr w:rsidR="009F1504" w:rsidRPr="005A2AFA" w:rsidSect="00482F67">
          <w:footerReference w:type="default" r:id="rId15"/>
          <w:pgSz w:w="11907" w:h="16840" w:code="9"/>
          <w:pgMar w:top="2109" w:right="1559" w:bottom="1644" w:left="1559" w:header="369" w:footer="136" w:gutter="0"/>
          <w:pgNumType w:start="3"/>
          <w:cols w:space="720"/>
          <w:docGrid w:linePitch="360"/>
        </w:sectPr>
      </w:pPr>
    </w:p>
    <w:p w:rsidR="00DF3C81" w:rsidRDefault="00DF3C81">
      <w:pPr>
        <w:spacing w:after="0"/>
        <w:ind w:firstLine="0"/>
        <w:jc w:val="left"/>
        <w:rPr>
          <w:lang w:val="es-ES"/>
        </w:rPr>
      </w:pPr>
    </w:p>
    <w:p w:rsidR="001642F7" w:rsidRPr="00CC5166" w:rsidRDefault="00CC5166" w:rsidP="00F739C5">
      <w:pPr>
        <w:pStyle w:val="texto"/>
        <w:tabs>
          <w:tab w:val="clear" w:pos="2835"/>
          <w:tab w:val="clear" w:pos="3969"/>
          <w:tab w:val="clear" w:pos="5103"/>
          <w:tab w:val="clear" w:pos="6237"/>
          <w:tab w:val="clear" w:pos="7371"/>
          <w:tab w:val="left" w:pos="480"/>
          <w:tab w:val="num" w:pos="4920"/>
        </w:tabs>
        <w:spacing w:after="120"/>
        <w:ind w:left="289" w:right="-380" w:firstLine="0"/>
        <w:jc w:val="right"/>
        <w:rPr>
          <w:rFonts w:ascii="Arial Narrow" w:hAnsi="Arial Narrow"/>
          <w:sz w:val="20"/>
          <w:szCs w:val="20"/>
          <w:lang w:val="es-ES"/>
        </w:rPr>
      </w:pPr>
      <w:r w:rsidRPr="00F7024A">
        <w:rPr>
          <w:rFonts w:ascii="Arial Narrow" w:hAnsi="Arial Narrow"/>
          <w:sz w:val="20"/>
          <w:szCs w:val="20"/>
          <w:lang w:val="es-ES"/>
        </w:rPr>
        <w:t>(</w:t>
      </w:r>
      <w:r w:rsidR="00465B76">
        <w:rPr>
          <w:rFonts w:ascii="Arial Narrow" w:hAnsi="Arial Narrow"/>
          <w:sz w:val="20"/>
          <w:szCs w:val="20"/>
          <w:lang w:val="es-ES"/>
        </w:rPr>
        <w:t>Importe</w:t>
      </w:r>
      <w:r>
        <w:rPr>
          <w:rFonts w:ascii="Arial Narrow" w:hAnsi="Arial Narrow"/>
          <w:sz w:val="20"/>
          <w:szCs w:val="20"/>
          <w:lang w:val="es-ES"/>
        </w:rPr>
        <w:t xml:space="preserve"> en euros</w:t>
      </w:r>
      <w:r w:rsidRPr="00F7024A">
        <w:rPr>
          <w:rFonts w:ascii="Arial Narrow" w:hAnsi="Arial Narrow"/>
          <w:sz w:val="20"/>
          <w:szCs w:val="20"/>
          <w:lang w:val="es-ES"/>
        </w:rPr>
        <w:t>)</w:t>
      </w:r>
    </w:p>
    <w:tbl>
      <w:tblPr>
        <w:tblW w:w="13887" w:type="dxa"/>
        <w:jc w:val="center"/>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562"/>
        <w:gridCol w:w="2835"/>
        <w:gridCol w:w="4536"/>
        <w:gridCol w:w="1134"/>
        <w:gridCol w:w="1134"/>
        <w:gridCol w:w="1276"/>
        <w:gridCol w:w="1134"/>
        <w:gridCol w:w="1276"/>
      </w:tblGrid>
      <w:tr w:rsidR="00685C1D" w:rsidRPr="009D4B6A" w:rsidTr="00A84ECB">
        <w:trPr>
          <w:trHeight w:val="284"/>
          <w:jc w:val="center"/>
        </w:trPr>
        <w:tc>
          <w:tcPr>
            <w:tcW w:w="3397" w:type="dxa"/>
            <w:gridSpan w:val="2"/>
            <w:shd w:val="clear" w:color="auto" w:fill="C0D7EC" w:themeFill="accent1" w:themeFillTint="66"/>
            <w:vAlign w:val="center"/>
          </w:tcPr>
          <w:p w:rsidR="00685C1D" w:rsidRPr="009D4B6A" w:rsidRDefault="00685C1D" w:rsidP="00685C1D">
            <w:pPr>
              <w:spacing w:after="0"/>
              <w:ind w:firstLine="0"/>
              <w:jc w:val="center"/>
              <w:rPr>
                <w:rFonts w:ascii="Arial" w:eastAsia="Calibri" w:hAnsi="Arial" w:cs="Arial"/>
                <w:bCs/>
                <w:color w:val="000000"/>
                <w:sz w:val="18"/>
                <w:szCs w:val="18"/>
                <w:lang w:val="es-ES" w:eastAsia="es-ES_tradnl"/>
              </w:rPr>
            </w:pPr>
            <w:r>
              <w:rPr>
                <w:rFonts w:ascii="Arial" w:eastAsia="Calibri" w:hAnsi="Arial" w:cs="Arial"/>
                <w:bCs/>
                <w:color w:val="000000"/>
                <w:sz w:val="18"/>
                <w:szCs w:val="18"/>
                <w:lang w:val="es-ES" w:eastAsia="es-ES_tradnl"/>
              </w:rPr>
              <w:t>Subconcepto presupuestario</w:t>
            </w:r>
          </w:p>
        </w:tc>
        <w:tc>
          <w:tcPr>
            <w:tcW w:w="4536" w:type="dxa"/>
            <w:shd w:val="clear" w:color="auto" w:fill="C0D7EC" w:themeFill="accent1" w:themeFillTint="66"/>
            <w:tcMar>
              <w:top w:w="0" w:type="dxa"/>
              <w:left w:w="70" w:type="dxa"/>
              <w:bottom w:w="0" w:type="dxa"/>
              <w:right w:w="70" w:type="dxa"/>
            </w:tcMar>
            <w:vAlign w:val="center"/>
            <w:hideMark/>
          </w:tcPr>
          <w:p w:rsidR="00685C1D" w:rsidRPr="009D4B6A" w:rsidRDefault="00685C1D" w:rsidP="001642F7">
            <w:pPr>
              <w:spacing w:after="0"/>
              <w:ind w:firstLine="0"/>
              <w:jc w:val="center"/>
              <w:rPr>
                <w:rFonts w:ascii="Arial" w:eastAsia="Calibri" w:hAnsi="Arial" w:cs="Arial"/>
                <w:bCs/>
                <w:color w:val="000000"/>
                <w:sz w:val="18"/>
                <w:szCs w:val="18"/>
                <w:lang w:val="es-ES" w:eastAsia="es-ES_tradnl"/>
              </w:rPr>
            </w:pPr>
            <w:r>
              <w:rPr>
                <w:rFonts w:ascii="Arial" w:eastAsia="Calibri" w:hAnsi="Arial" w:cs="Arial"/>
                <w:bCs/>
                <w:color w:val="000000"/>
                <w:sz w:val="18"/>
                <w:szCs w:val="18"/>
                <w:lang w:val="es-ES" w:eastAsia="es-ES_tradnl"/>
              </w:rPr>
              <w:t xml:space="preserve">Breve </w:t>
            </w:r>
            <w:r w:rsidRPr="009D4B6A">
              <w:rPr>
                <w:rFonts w:ascii="Arial" w:eastAsia="Calibri" w:hAnsi="Arial" w:cs="Arial"/>
                <w:bCs/>
                <w:color w:val="000000"/>
                <w:sz w:val="18"/>
                <w:szCs w:val="18"/>
                <w:lang w:val="es-ES" w:eastAsia="es-ES_tradnl"/>
              </w:rPr>
              <w:t>Descripción</w:t>
            </w:r>
          </w:p>
        </w:tc>
        <w:tc>
          <w:tcPr>
            <w:tcW w:w="1134" w:type="dxa"/>
            <w:shd w:val="clear" w:color="auto" w:fill="C0D7EC" w:themeFill="accent1" w:themeFillTint="66"/>
            <w:tcMar>
              <w:top w:w="0" w:type="dxa"/>
              <w:left w:w="70" w:type="dxa"/>
              <w:bottom w:w="0" w:type="dxa"/>
              <w:right w:w="70" w:type="dxa"/>
            </w:tcMar>
            <w:vAlign w:val="center"/>
            <w:hideMark/>
          </w:tcPr>
          <w:p w:rsidR="00685C1D" w:rsidRPr="009D4B6A" w:rsidRDefault="00685C1D" w:rsidP="009D4B6A">
            <w:pPr>
              <w:spacing w:after="0"/>
              <w:ind w:firstLine="0"/>
              <w:jc w:val="right"/>
              <w:rPr>
                <w:rFonts w:ascii="Arial" w:eastAsia="Calibri" w:hAnsi="Arial" w:cs="Arial"/>
                <w:bCs/>
                <w:color w:val="000000"/>
                <w:sz w:val="18"/>
                <w:szCs w:val="18"/>
                <w:lang w:val="es-ES" w:eastAsia="es-ES_tradnl"/>
              </w:rPr>
            </w:pPr>
            <w:r w:rsidRPr="009D4B6A">
              <w:rPr>
                <w:rFonts w:ascii="Arial" w:eastAsia="Calibri" w:hAnsi="Arial" w:cs="Arial"/>
                <w:bCs/>
                <w:color w:val="000000"/>
                <w:sz w:val="18"/>
                <w:szCs w:val="18"/>
                <w:lang w:val="es-ES" w:eastAsia="es-ES_tradnl"/>
              </w:rPr>
              <w:t>Importe</w:t>
            </w:r>
          </w:p>
        </w:tc>
        <w:tc>
          <w:tcPr>
            <w:tcW w:w="1134" w:type="dxa"/>
            <w:shd w:val="clear" w:color="auto" w:fill="C0D7EC" w:themeFill="accent1" w:themeFillTint="66"/>
            <w:tcMar>
              <w:top w:w="0" w:type="dxa"/>
              <w:left w:w="70" w:type="dxa"/>
              <w:bottom w:w="0" w:type="dxa"/>
              <w:right w:w="70" w:type="dxa"/>
            </w:tcMar>
            <w:vAlign w:val="center"/>
            <w:hideMark/>
          </w:tcPr>
          <w:p w:rsidR="00685C1D" w:rsidRPr="009D4B6A" w:rsidRDefault="00685C1D" w:rsidP="009D4B6A">
            <w:pPr>
              <w:spacing w:after="0"/>
              <w:ind w:firstLine="0"/>
              <w:jc w:val="right"/>
              <w:rPr>
                <w:rFonts w:ascii="Arial" w:eastAsia="Calibri" w:hAnsi="Arial" w:cs="Arial"/>
                <w:bCs/>
                <w:color w:val="000000"/>
                <w:sz w:val="18"/>
                <w:szCs w:val="18"/>
                <w:lang w:val="es-ES" w:eastAsia="es-ES_tradnl"/>
              </w:rPr>
            </w:pPr>
            <w:r w:rsidRPr="009D4B6A">
              <w:rPr>
                <w:rFonts w:ascii="Arial" w:eastAsia="Calibri" w:hAnsi="Arial" w:cs="Arial"/>
                <w:bCs/>
                <w:color w:val="000000"/>
                <w:sz w:val="18"/>
                <w:szCs w:val="18"/>
                <w:lang w:val="es-ES" w:eastAsia="es-ES_tradnl"/>
              </w:rPr>
              <w:t xml:space="preserve">Retribución </w:t>
            </w:r>
          </w:p>
          <w:p w:rsidR="00685C1D" w:rsidRPr="009D4B6A" w:rsidRDefault="00685C1D" w:rsidP="009F1504">
            <w:pPr>
              <w:spacing w:after="0"/>
              <w:ind w:firstLine="0"/>
              <w:jc w:val="right"/>
              <w:rPr>
                <w:rFonts w:ascii="Arial" w:eastAsia="Calibri" w:hAnsi="Arial" w:cs="Arial"/>
                <w:bCs/>
                <w:color w:val="000000"/>
                <w:sz w:val="18"/>
                <w:szCs w:val="18"/>
                <w:lang w:val="es-ES" w:eastAsia="es-ES_tradnl"/>
              </w:rPr>
            </w:pPr>
            <w:r>
              <w:rPr>
                <w:rFonts w:ascii="Arial" w:eastAsia="Calibri" w:hAnsi="Arial" w:cs="Arial"/>
                <w:bCs/>
                <w:color w:val="000000"/>
                <w:sz w:val="18"/>
                <w:szCs w:val="18"/>
                <w:lang w:val="es-ES" w:eastAsia="es-ES_tradnl"/>
              </w:rPr>
              <w:t>m</w:t>
            </w:r>
            <w:r w:rsidRPr="009D4B6A">
              <w:rPr>
                <w:rFonts w:ascii="Arial" w:eastAsia="Calibri" w:hAnsi="Arial" w:cs="Arial"/>
                <w:bCs/>
                <w:color w:val="000000"/>
                <w:sz w:val="18"/>
                <w:szCs w:val="18"/>
                <w:lang w:val="es-ES" w:eastAsia="es-ES_tradnl"/>
              </w:rPr>
              <w:t>edia</w:t>
            </w:r>
            <w:r>
              <w:rPr>
                <w:rFonts w:ascii="Arial" w:eastAsia="Calibri" w:hAnsi="Arial" w:cs="Arial"/>
                <w:bCs/>
                <w:color w:val="000000"/>
                <w:sz w:val="18"/>
                <w:szCs w:val="18"/>
                <w:lang w:val="es-ES" w:eastAsia="es-ES_tradnl"/>
              </w:rPr>
              <w:t xml:space="preserve"> anual</w:t>
            </w:r>
          </w:p>
        </w:tc>
        <w:tc>
          <w:tcPr>
            <w:tcW w:w="1276" w:type="dxa"/>
            <w:shd w:val="clear" w:color="auto" w:fill="C0D7EC" w:themeFill="accent1" w:themeFillTint="66"/>
            <w:tcMar>
              <w:top w:w="0" w:type="dxa"/>
              <w:left w:w="70" w:type="dxa"/>
              <w:bottom w:w="0" w:type="dxa"/>
              <w:right w:w="70" w:type="dxa"/>
            </w:tcMar>
            <w:vAlign w:val="center"/>
            <w:hideMark/>
          </w:tcPr>
          <w:p w:rsidR="00685C1D" w:rsidRPr="009D4B6A" w:rsidRDefault="00685C1D" w:rsidP="009D4B6A">
            <w:pPr>
              <w:spacing w:after="0"/>
              <w:ind w:firstLine="0"/>
              <w:jc w:val="right"/>
              <w:rPr>
                <w:rFonts w:ascii="Arial" w:eastAsia="Calibri" w:hAnsi="Arial" w:cs="Arial"/>
                <w:bCs/>
                <w:color w:val="000000"/>
                <w:sz w:val="18"/>
                <w:szCs w:val="18"/>
                <w:lang w:val="es-ES" w:eastAsia="es-ES_tradnl"/>
              </w:rPr>
            </w:pPr>
            <w:r w:rsidRPr="009D4B6A">
              <w:rPr>
                <w:rFonts w:ascii="Arial" w:eastAsia="Calibri" w:hAnsi="Arial" w:cs="Arial"/>
                <w:bCs/>
                <w:color w:val="000000"/>
                <w:sz w:val="18"/>
                <w:szCs w:val="18"/>
                <w:lang w:val="es-ES" w:eastAsia="es-ES_tradnl"/>
              </w:rPr>
              <w:t>Retrib. media mensual</w:t>
            </w:r>
          </w:p>
        </w:tc>
        <w:tc>
          <w:tcPr>
            <w:tcW w:w="1134" w:type="dxa"/>
            <w:shd w:val="clear" w:color="auto" w:fill="C0D7EC" w:themeFill="accent1" w:themeFillTint="66"/>
            <w:tcMar>
              <w:top w:w="0" w:type="dxa"/>
              <w:left w:w="70" w:type="dxa"/>
              <w:bottom w:w="0" w:type="dxa"/>
              <w:right w:w="70" w:type="dxa"/>
            </w:tcMar>
            <w:vAlign w:val="center"/>
            <w:hideMark/>
          </w:tcPr>
          <w:p w:rsidR="00685C1D" w:rsidRPr="009D4B6A" w:rsidRDefault="00685C1D" w:rsidP="009D4B6A">
            <w:pPr>
              <w:spacing w:after="0"/>
              <w:ind w:firstLine="0"/>
              <w:jc w:val="right"/>
              <w:rPr>
                <w:rFonts w:ascii="Arial" w:eastAsia="Calibri" w:hAnsi="Arial" w:cs="Arial"/>
                <w:bCs/>
                <w:color w:val="000000"/>
                <w:sz w:val="18"/>
                <w:szCs w:val="18"/>
                <w:lang w:val="es-ES" w:eastAsia="es-ES_tradnl"/>
              </w:rPr>
            </w:pPr>
            <w:r w:rsidRPr="009D4B6A">
              <w:rPr>
                <w:rFonts w:ascii="Arial" w:eastAsia="Calibri" w:hAnsi="Arial" w:cs="Arial"/>
                <w:bCs/>
                <w:color w:val="000000"/>
                <w:sz w:val="18"/>
                <w:szCs w:val="18"/>
                <w:lang w:val="es-ES" w:eastAsia="es-ES_tradnl"/>
              </w:rPr>
              <w:t>Nº perceptores</w:t>
            </w:r>
          </w:p>
        </w:tc>
        <w:tc>
          <w:tcPr>
            <w:tcW w:w="1276" w:type="dxa"/>
            <w:shd w:val="clear" w:color="auto" w:fill="C0D7EC" w:themeFill="accent1" w:themeFillTint="66"/>
            <w:tcMar>
              <w:top w:w="0" w:type="dxa"/>
              <w:left w:w="70" w:type="dxa"/>
              <w:bottom w:w="0" w:type="dxa"/>
              <w:right w:w="70" w:type="dxa"/>
            </w:tcMar>
            <w:vAlign w:val="center"/>
            <w:hideMark/>
          </w:tcPr>
          <w:p w:rsidR="00685C1D" w:rsidRPr="009D4B6A" w:rsidRDefault="00685C1D" w:rsidP="009D4B6A">
            <w:pPr>
              <w:spacing w:after="0"/>
              <w:ind w:firstLine="0"/>
              <w:jc w:val="right"/>
              <w:rPr>
                <w:rFonts w:ascii="Arial" w:eastAsia="Calibri" w:hAnsi="Arial" w:cs="Arial"/>
                <w:bCs/>
                <w:color w:val="000000"/>
                <w:sz w:val="18"/>
                <w:szCs w:val="18"/>
                <w:lang w:val="es-ES" w:eastAsia="es-ES_tradnl"/>
              </w:rPr>
            </w:pPr>
            <w:r>
              <w:rPr>
                <w:rFonts w:ascii="Arial" w:eastAsia="Calibri" w:hAnsi="Arial" w:cs="Arial"/>
                <w:bCs/>
                <w:color w:val="000000"/>
                <w:sz w:val="18"/>
                <w:szCs w:val="18"/>
                <w:lang w:val="es-ES" w:eastAsia="es-ES_tradnl"/>
              </w:rPr>
              <w:t xml:space="preserve">Nº </w:t>
            </w:r>
            <w:r w:rsidRPr="009D4B6A">
              <w:rPr>
                <w:rFonts w:ascii="Arial" w:eastAsia="Calibri" w:hAnsi="Arial" w:cs="Arial"/>
                <w:bCs/>
                <w:color w:val="000000"/>
                <w:sz w:val="18"/>
                <w:szCs w:val="18"/>
                <w:lang w:val="es-ES" w:eastAsia="es-ES_tradnl"/>
              </w:rPr>
              <w:t>Personas equivalentes</w:t>
            </w:r>
          </w:p>
        </w:tc>
      </w:tr>
      <w:tr w:rsidR="009D4B6A" w:rsidRPr="009D4B6A" w:rsidTr="00A84ECB">
        <w:trPr>
          <w:trHeight w:val="284"/>
          <w:jc w:val="center"/>
        </w:trPr>
        <w:tc>
          <w:tcPr>
            <w:tcW w:w="562" w:type="dxa"/>
            <w:vAlign w:val="center"/>
          </w:tcPr>
          <w:p w:rsidR="009D4B6A" w:rsidRPr="009D4B6A" w:rsidRDefault="009D4B6A" w:rsidP="009D4B6A">
            <w:pPr>
              <w:spacing w:after="0"/>
              <w:ind w:firstLine="0"/>
              <w:jc w:val="center"/>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1000</w:t>
            </w:r>
          </w:p>
        </w:tc>
        <w:tc>
          <w:tcPr>
            <w:tcW w:w="2835" w:type="dxa"/>
            <w:noWrap/>
            <w:tcMar>
              <w:top w:w="0" w:type="dxa"/>
              <w:left w:w="70" w:type="dxa"/>
              <w:bottom w:w="0" w:type="dxa"/>
              <w:right w:w="70" w:type="dxa"/>
            </w:tcMar>
            <w:vAlign w:val="center"/>
            <w:hideMark/>
          </w:tcPr>
          <w:p w:rsidR="009D4B6A" w:rsidRPr="009D4B6A" w:rsidRDefault="009D4B6A" w:rsidP="009D4B6A">
            <w:pPr>
              <w:spacing w:after="0"/>
              <w:ind w:firstLine="0"/>
              <w:jc w:val="lef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Retribuciones altos cargos</w:t>
            </w:r>
          </w:p>
        </w:tc>
        <w:tc>
          <w:tcPr>
            <w:tcW w:w="4536" w:type="dxa"/>
            <w:noWrap/>
            <w:tcMar>
              <w:top w:w="0" w:type="dxa"/>
              <w:left w:w="70" w:type="dxa"/>
              <w:bottom w:w="0" w:type="dxa"/>
              <w:right w:w="70" w:type="dxa"/>
            </w:tcMar>
            <w:vAlign w:val="center"/>
            <w:hideMark/>
          </w:tcPr>
          <w:p w:rsidR="009D4B6A" w:rsidRPr="009D4B6A" w:rsidRDefault="009D4B6A" w:rsidP="009D4B6A">
            <w:pPr>
              <w:spacing w:after="0"/>
              <w:ind w:firstLine="0"/>
              <w:jc w:val="lef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Retribuciones altos cargos</w:t>
            </w:r>
            <w:r w:rsidR="001642F7">
              <w:rPr>
                <w:rFonts w:ascii="Arial Narrow" w:eastAsia="Calibri" w:hAnsi="Arial Narrow" w:cs="Calibri"/>
                <w:color w:val="000000"/>
                <w:sz w:val="18"/>
                <w:szCs w:val="18"/>
                <w:lang w:val="es-ES" w:eastAsia="es-ES_tradnl"/>
              </w:rPr>
              <w:t xml:space="preserve"> del Gobierno</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4.602.401</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29.693</w:t>
            </w:r>
          </w:p>
        </w:tc>
        <w:tc>
          <w:tcPr>
            <w:tcW w:w="1276"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4.503</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155</w:t>
            </w:r>
          </w:p>
        </w:tc>
        <w:tc>
          <w:tcPr>
            <w:tcW w:w="1276"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85</w:t>
            </w:r>
          </w:p>
        </w:tc>
      </w:tr>
      <w:tr w:rsidR="009D4B6A" w:rsidRPr="009D4B6A" w:rsidTr="00A84ECB">
        <w:trPr>
          <w:trHeight w:val="284"/>
          <w:jc w:val="center"/>
        </w:trPr>
        <w:tc>
          <w:tcPr>
            <w:tcW w:w="562" w:type="dxa"/>
            <w:vAlign w:val="center"/>
          </w:tcPr>
          <w:p w:rsidR="009D4B6A" w:rsidRPr="009D4B6A" w:rsidRDefault="009D4B6A" w:rsidP="009D4B6A">
            <w:pPr>
              <w:spacing w:after="0"/>
              <w:ind w:firstLine="0"/>
              <w:jc w:val="center"/>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1001</w:t>
            </w:r>
          </w:p>
        </w:tc>
        <w:tc>
          <w:tcPr>
            <w:tcW w:w="2835" w:type="dxa"/>
            <w:noWrap/>
            <w:tcMar>
              <w:top w:w="0" w:type="dxa"/>
              <w:left w:w="70" w:type="dxa"/>
              <w:bottom w:w="0" w:type="dxa"/>
              <w:right w:w="70" w:type="dxa"/>
            </w:tcMar>
            <w:vAlign w:val="center"/>
            <w:hideMark/>
          </w:tcPr>
          <w:p w:rsidR="009D4B6A" w:rsidRPr="009D4B6A" w:rsidRDefault="009D4B6A" w:rsidP="009D4B6A">
            <w:pPr>
              <w:spacing w:after="0"/>
              <w:ind w:firstLine="0"/>
              <w:jc w:val="lef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Otras retribuciones de altos cargos</w:t>
            </w:r>
          </w:p>
        </w:tc>
        <w:tc>
          <w:tcPr>
            <w:tcW w:w="4536" w:type="dxa"/>
            <w:noWrap/>
            <w:tcMar>
              <w:top w:w="0" w:type="dxa"/>
              <w:left w:w="70" w:type="dxa"/>
              <w:bottom w:w="0" w:type="dxa"/>
              <w:right w:w="70" w:type="dxa"/>
            </w:tcMar>
            <w:vAlign w:val="center"/>
            <w:hideMark/>
          </w:tcPr>
          <w:p w:rsidR="009D4B6A" w:rsidRPr="009D4B6A" w:rsidRDefault="009D4B6A" w:rsidP="009D4B6A">
            <w:pPr>
              <w:spacing w:after="0"/>
              <w:ind w:firstLine="0"/>
              <w:jc w:val="lef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Cesantías</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346.605</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19.256</w:t>
            </w:r>
          </w:p>
        </w:tc>
        <w:tc>
          <w:tcPr>
            <w:tcW w:w="1276"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3.898</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18</w:t>
            </w:r>
          </w:p>
        </w:tc>
        <w:tc>
          <w:tcPr>
            <w:tcW w:w="1276"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7</w:t>
            </w:r>
          </w:p>
        </w:tc>
      </w:tr>
      <w:tr w:rsidR="009D4B6A" w:rsidRPr="009D4B6A" w:rsidTr="00A84ECB">
        <w:trPr>
          <w:trHeight w:val="284"/>
          <w:jc w:val="center"/>
        </w:trPr>
        <w:tc>
          <w:tcPr>
            <w:tcW w:w="562" w:type="dxa"/>
            <w:vAlign w:val="center"/>
          </w:tcPr>
          <w:p w:rsidR="009D4B6A" w:rsidRPr="009D4B6A" w:rsidRDefault="009D4B6A" w:rsidP="009D4B6A">
            <w:pPr>
              <w:spacing w:after="0"/>
              <w:ind w:firstLine="0"/>
              <w:jc w:val="center"/>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1100</w:t>
            </w:r>
          </w:p>
        </w:tc>
        <w:tc>
          <w:tcPr>
            <w:tcW w:w="2835" w:type="dxa"/>
            <w:noWrap/>
            <w:tcMar>
              <w:top w:w="0" w:type="dxa"/>
              <w:left w:w="70" w:type="dxa"/>
              <w:bottom w:w="0" w:type="dxa"/>
              <w:right w:w="70" w:type="dxa"/>
            </w:tcMar>
            <w:vAlign w:val="center"/>
            <w:hideMark/>
          </w:tcPr>
          <w:p w:rsidR="009D4B6A" w:rsidRPr="009D4B6A" w:rsidRDefault="009D4B6A" w:rsidP="009D4B6A">
            <w:pPr>
              <w:spacing w:after="0"/>
              <w:ind w:firstLine="0"/>
              <w:jc w:val="lef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Retribuciones de personal eventual</w:t>
            </w:r>
          </w:p>
        </w:tc>
        <w:tc>
          <w:tcPr>
            <w:tcW w:w="4536" w:type="dxa"/>
            <w:noWrap/>
            <w:tcMar>
              <w:top w:w="0" w:type="dxa"/>
              <w:left w:w="70" w:type="dxa"/>
              <w:bottom w:w="0" w:type="dxa"/>
              <w:right w:w="70" w:type="dxa"/>
            </w:tcMar>
            <w:vAlign w:val="center"/>
            <w:hideMark/>
          </w:tcPr>
          <w:p w:rsidR="009D4B6A" w:rsidRPr="009D4B6A" w:rsidRDefault="001642F7" w:rsidP="001642F7">
            <w:pPr>
              <w:spacing w:after="0"/>
              <w:ind w:firstLine="0"/>
              <w:jc w:val="left"/>
              <w:rPr>
                <w:rFonts w:ascii="Arial Narrow" w:eastAsia="Calibri" w:hAnsi="Arial Narrow" w:cs="Calibri"/>
                <w:color w:val="000000"/>
                <w:sz w:val="18"/>
                <w:szCs w:val="18"/>
                <w:lang w:val="es-ES" w:eastAsia="es-ES_tradnl"/>
              </w:rPr>
            </w:pPr>
            <w:r>
              <w:rPr>
                <w:rFonts w:ascii="Arial Narrow" w:eastAsia="Calibri" w:hAnsi="Arial Narrow" w:cs="Calibri"/>
                <w:color w:val="000000"/>
                <w:sz w:val="18"/>
                <w:szCs w:val="18"/>
                <w:lang w:val="es-ES" w:eastAsia="es-ES_tradnl"/>
              </w:rPr>
              <w:t>M</w:t>
            </w:r>
            <w:r w:rsidR="009D4B6A" w:rsidRPr="009D4B6A">
              <w:rPr>
                <w:rFonts w:ascii="Arial Narrow" w:eastAsia="Calibri" w:hAnsi="Arial Narrow" w:cs="Calibri"/>
                <w:color w:val="000000"/>
                <w:sz w:val="18"/>
                <w:szCs w:val="18"/>
                <w:lang w:val="es-ES" w:eastAsia="es-ES_tradnl"/>
              </w:rPr>
              <w:t>iembros de gabinetes</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896.500</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16.602</w:t>
            </w:r>
          </w:p>
        </w:tc>
        <w:tc>
          <w:tcPr>
            <w:tcW w:w="1276"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2.694</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54</w:t>
            </w:r>
          </w:p>
        </w:tc>
        <w:tc>
          <w:tcPr>
            <w:tcW w:w="1276"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28</w:t>
            </w:r>
          </w:p>
        </w:tc>
      </w:tr>
      <w:tr w:rsidR="009D4B6A" w:rsidRPr="009D4B6A" w:rsidTr="00A84ECB">
        <w:trPr>
          <w:trHeight w:val="284"/>
          <w:jc w:val="center"/>
        </w:trPr>
        <w:tc>
          <w:tcPr>
            <w:tcW w:w="562" w:type="dxa"/>
            <w:vAlign w:val="center"/>
          </w:tcPr>
          <w:p w:rsidR="009D4B6A" w:rsidRPr="009D4B6A" w:rsidRDefault="009D4B6A" w:rsidP="009D4B6A">
            <w:pPr>
              <w:spacing w:after="0"/>
              <w:ind w:firstLine="0"/>
              <w:jc w:val="center"/>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1200</w:t>
            </w:r>
          </w:p>
        </w:tc>
        <w:tc>
          <w:tcPr>
            <w:tcW w:w="2835" w:type="dxa"/>
            <w:noWrap/>
            <w:tcMar>
              <w:top w:w="0" w:type="dxa"/>
              <w:left w:w="70" w:type="dxa"/>
              <w:bottom w:w="0" w:type="dxa"/>
              <w:right w:w="70" w:type="dxa"/>
            </w:tcMar>
            <w:vAlign w:val="center"/>
            <w:hideMark/>
          </w:tcPr>
          <w:p w:rsidR="009D4B6A" w:rsidRPr="009D4B6A" w:rsidRDefault="009D4B6A" w:rsidP="009D4B6A">
            <w:pPr>
              <w:spacing w:after="0"/>
              <w:ind w:firstLine="0"/>
              <w:jc w:val="lef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Retribuciones del personal fijo</w:t>
            </w:r>
          </w:p>
        </w:tc>
        <w:tc>
          <w:tcPr>
            <w:tcW w:w="4536" w:type="dxa"/>
            <w:noWrap/>
            <w:tcMar>
              <w:top w:w="0" w:type="dxa"/>
              <w:left w:w="70" w:type="dxa"/>
              <w:bottom w:w="0" w:type="dxa"/>
              <w:right w:w="70" w:type="dxa"/>
            </w:tcMar>
            <w:vAlign w:val="center"/>
            <w:hideMark/>
          </w:tcPr>
          <w:p w:rsidR="009D4B6A" w:rsidRPr="009D4B6A" w:rsidRDefault="009D4B6A" w:rsidP="009D4B6A">
            <w:pPr>
              <w:spacing w:after="0"/>
              <w:ind w:firstLine="0"/>
              <w:jc w:val="lef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Personal fijo</w:t>
            </w:r>
            <w:r w:rsidR="007B55E1">
              <w:rPr>
                <w:rFonts w:ascii="Arial Narrow" w:eastAsia="Calibri" w:hAnsi="Arial Narrow" w:cs="Calibri"/>
                <w:color w:val="000000"/>
                <w:sz w:val="18"/>
                <w:szCs w:val="18"/>
                <w:lang w:val="es-ES" w:eastAsia="es-ES_tradnl"/>
              </w:rPr>
              <w:t xml:space="preserve"> </w:t>
            </w:r>
            <w:r w:rsidRPr="009D4B6A">
              <w:rPr>
                <w:rFonts w:ascii="Arial Narrow" w:eastAsia="Calibri" w:hAnsi="Arial Narrow" w:cs="Calibri"/>
                <w:color w:val="000000"/>
                <w:sz w:val="18"/>
                <w:szCs w:val="18"/>
                <w:lang w:val="es-ES" w:eastAsia="es-ES_tradnl"/>
              </w:rPr>
              <w:t>(funcionario y laboral).</w:t>
            </w:r>
            <w:r w:rsidR="007B55E1">
              <w:rPr>
                <w:rFonts w:ascii="Arial Narrow" w:eastAsia="Calibri" w:hAnsi="Arial Narrow" w:cs="Calibri"/>
                <w:color w:val="000000"/>
                <w:sz w:val="18"/>
                <w:szCs w:val="18"/>
                <w:lang w:val="es-ES" w:eastAsia="es-ES_tradnl"/>
              </w:rPr>
              <w:t xml:space="preserve"> </w:t>
            </w:r>
            <w:r w:rsidRPr="009D4B6A">
              <w:rPr>
                <w:rFonts w:ascii="Arial Narrow" w:eastAsia="Calibri" w:hAnsi="Arial Narrow" w:cs="Calibri"/>
                <w:color w:val="000000"/>
                <w:sz w:val="18"/>
                <w:szCs w:val="18"/>
                <w:lang w:val="es-ES" w:eastAsia="es-ES_tradnl"/>
              </w:rPr>
              <w:t>Sueldo base, dedicación, incompatibilidad, destino…</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485.485.625</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27.809</w:t>
            </w:r>
          </w:p>
        </w:tc>
        <w:tc>
          <w:tcPr>
            <w:tcW w:w="1276"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2.317</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17.458</w:t>
            </w:r>
          </w:p>
        </w:tc>
        <w:tc>
          <w:tcPr>
            <w:tcW w:w="1276"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16.857</w:t>
            </w:r>
          </w:p>
        </w:tc>
      </w:tr>
      <w:tr w:rsidR="009D4B6A" w:rsidRPr="009D4B6A" w:rsidTr="00A84ECB">
        <w:trPr>
          <w:trHeight w:val="284"/>
          <w:jc w:val="center"/>
        </w:trPr>
        <w:tc>
          <w:tcPr>
            <w:tcW w:w="562" w:type="dxa"/>
            <w:vAlign w:val="center"/>
          </w:tcPr>
          <w:p w:rsidR="009D4B6A" w:rsidRPr="009D4B6A" w:rsidRDefault="009D4B6A" w:rsidP="009D4B6A">
            <w:pPr>
              <w:spacing w:after="0"/>
              <w:ind w:firstLine="0"/>
              <w:jc w:val="center"/>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1210</w:t>
            </w:r>
          </w:p>
        </w:tc>
        <w:tc>
          <w:tcPr>
            <w:tcW w:w="2835" w:type="dxa"/>
            <w:noWrap/>
            <w:tcMar>
              <w:top w:w="0" w:type="dxa"/>
              <w:left w:w="70" w:type="dxa"/>
              <w:bottom w:w="0" w:type="dxa"/>
              <w:right w:w="70" w:type="dxa"/>
            </w:tcMar>
            <w:vAlign w:val="center"/>
            <w:hideMark/>
          </w:tcPr>
          <w:p w:rsidR="009D4B6A" w:rsidRPr="009D4B6A" w:rsidRDefault="009D4B6A" w:rsidP="009D4B6A">
            <w:pPr>
              <w:spacing w:after="0"/>
              <w:ind w:firstLine="0"/>
              <w:jc w:val="lef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Retribuciones del personal contratado plazas reservadas</w:t>
            </w:r>
          </w:p>
        </w:tc>
        <w:tc>
          <w:tcPr>
            <w:tcW w:w="4536" w:type="dxa"/>
            <w:noWrap/>
            <w:tcMar>
              <w:top w:w="0" w:type="dxa"/>
              <w:left w:w="70" w:type="dxa"/>
              <w:bottom w:w="0" w:type="dxa"/>
              <w:right w:w="70" w:type="dxa"/>
            </w:tcMar>
            <w:vAlign w:val="center"/>
            <w:hideMark/>
          </w:tcPr>
          <w:p w:rsidR="009D4B6A" w:rsidRPr="009D4B6A" w:rsidRDefault="009D4B6A" w:rsidP="007B55E1">
            <w:pPr>
              <w:spacing w:after="0"/>
              <w:ind w:firstLine="0"/>
              <w:jc w:val="lef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Personal contratado plazas reservadas. Sueldo base, dedicación, incompatib</w:t>
            </w:r>
            <w:r w:rsidR="007B55E1">
              <w:rPr>
                <w:rFonts w:ascii="Arial Narrow" w:eastAsia="Calibri" w:hAnsi="Arial Narrow" w:cs="Calibri"/>
                <w:color w:val="000000"/>
                <w:sz w:val="18"/>
                <w:szCs w:val="18"/>
                <w:lang w:val="es-ES" w:eastAsia="es-ES_tradnl"/>
              </w:rPr>
              <w:t xml:space="preserve">ilidad, </w:t>
            </w:r>
            <w:r w:rsidRPr="009D4B6A">
              <w:rPr>
                <w:rFonts w:ascii="Arial Narrow" w:eastAsia="Calibri" w:hAnsi="Arial Narrow" w:cs="Calibri"/>
                <w:color w:val="000000"/>
                <w:sz w:val="18"/>
                <w:szCs w:val="18"/>
                <w:lang w:val="es-ES" w:eastAsia="es-ES_tradnl"/>
              </w:rPr>
              <w:t>destino…</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36.072.733</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10.450</w:t>
            </w:r>
          </w:p>
        </w:tc>
        <w:tc>
          <w:tcPr>
            <w:tcW w:w="1276"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1.474</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3.452</w:t>
            </w:r>
          </w:p>
        </w:tc>
        <w:tc>
          <w:tcPr>
            <w:tcW w:w="1276"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1.912</w:t>
            </w:r>
          </w:p>
        </w:tc>
      </w:tr>
      <w:tr w:rsidR="009D4B6A" w:rsidRPr="009D4B6A" w:rsidTr="00A84ECB">
        <w:trPr>
          <w:trHeight w:val="284"/>
          <w:jc w:val="center"/>
        </w:trPr>
        <w:tc>
          <w:tcPr>
            <w:tcW w:w="562" w:type="dxa"/>
            <w:vAlign w:val="center"/>
          </w:tcPr>
          <w:p w:rsidR="009D4B6A" w:rsidRPr="009D4B6A" w:rsidRDefault="009D4B6A" w:rsidP="009D4B6A">
            <w:pPr>
              <w:spacing w:after="0"/>
              <w:ind w:firstLine="0"/>
              <w:jc w:val="center"/>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1211</w:t>
            </w:r>
          </w:p>
        </w:tc>
        <w:tc>
          <w:tcPr>
            <w:tcW w:w="2835" w:type="dxa"/>
            <w:noWrap/>
            <w:tcMar>
              <w:top w:w="0" w:type="dxa"/>
              <w:left w:w="70" w:type="dxa"/>
              <w:bottom w:w="0" w:type="dxa"/>
              <w:right w:w="70" w:type="dxa"/>
            </w:tcMar>
            <w:vAlign w:val="center"/>
            <w:hideMark/>
          </w:tcPr>
          <w:p w:rsidR="009D4B6A" w:rsidRPr="009D4B6A" w:rsidRDefault="009D4B6A" w:rsidP="009D4B6A">
            <w:pPr>
              <w:spacing w:after="0"/>
              <w:ind w:firstLine="0"/>
              <w:jc w:val="lef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Retribuciones del personal contratado para cubrir vacantes</w:t>
            </w:r>
          </w:p>
        </w:tc>
        <w:tc>
          <w:tcPr>
            <w:tcW w:w="4536" w:type="dxa"/>
            <w:noWrap/>
            <w:tcMar>
              <w:top w:w="0" w:type="dxa"/>
              <w:left w:w="70" w:type="dxa"/>
              <w:bottom w:w="0" w:type="dxa"/>
              <w:right w:w="70" w:type="dxa"/>
            </w:tcMar>
            <w:vAlign w:val="center"/>
            <w:hideMark/>
          </w:tcPr>
          <w:p w:rsidR="009D4B6A" w:rsidRPr="009D4B6A" w:rsidRDefault="009D4B6A" w:rsidP="007B55E1">
            <w:pPr>
              <w:spacing w:after="0"/>
              <w:ind w:firstLine="0"/>
              <w:jc w:val="lef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Personal contratado vacantes. Sueldo base, dedicación, incompatib</w:t>
            </w:r>
            <w:r w:rsidR="007B55E1">
              <w:rPr>
                <w:rFonts w:ascii="Arial Narrow" w:eastAsia="Calibri" w:hAnsi="Arial Narrow" w:cs="Calibri"/>
                <w:color w:val="000000"/>
                <w:sz w:val="18"/>
                <w:szCs w:val="18"/>
                <w:lang w:val="es-ES" w:eastAsia="es-ES_tradnl"/>
              </w:rPr>
              <w:t xml:space="preserve">ilidad, </w:t>
            </w:r>
            <w:r w:rsidRPr="009D4B6A">
              <w:rPr>
                <w:rFonts w:ascii="Arial Narrow" w:eastAsia="Calibri" w:hAnsi="Arial Narrow" w:cs="Calibri"/>
                <w:color w:val="000000"/>
                <w:sz w:val="18"/>
                <w:szCs w:val="18"/>
                <w:lang w:val="es-ES" w:eastAsia="es-ES_tradnl"/>
              </w:rPr>
              <w:t>destino…</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49.046.201</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19.211</w:t>
            </w:r>
          </w:p>
        </w:tc>
        <w:tc>
          <w:tcPr>
            <w:tcW w:w="1276"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1.911</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2.553</w:t>
            </w:r>
          </w:p>
        </w:tc>
        <w:tc>
          <w:tcPr>
            <w:tcW w:w="1276"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2.108</w:t>
            </w:r>
          </w:p>
        </w:tc>
      </w:tr>
      <w:tr w:rsidR="009D4B6A" w:rsidRPr="009D4B6A" w:rsidTr="00A84ECB">
        <w:trPr>
          <w:trHeight w:val="284"/>
          <w:jc w:val="center"/>
        </w:trPr>
        <w:tc>
          <w:tcPr>
            <w:tcW w:w="562" w:type="dxa"/>
            <w:vAlign w:val="center"/>
          </w:tcPr>
          <w:p w:rsidR="009D4B6A" w:rsidRPr="009D4B6A" w:rsidRDefault="009D4B6A" w:rsidP="009D4B6A">
            <w:pPr>
              <w:spacing w:after="0"/>
              <w:ind w:firstLine="0"/>
              <w:jc w:val="center"/>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1220</w:t>
            </w:r>
          </w:p>
        </w:tc>
        <w:tc>
          <w:tcPr>
            <w:tcW w:w="2835" w:type="dxa"/>
            <w:noWrap/>
            <w:tcMar>
              <w:top w:w="0" w:type="dxa"/>
              <w:left w:w="70" w:type="dxa"/>
              <w:bottom w:w="0" w:type="dxa"/>
              <w:right w:w="70" w:type="dxa"/>
            </w:tcMar>
            <w:vAlign w:val="center"/>
            <w:hideMark/>
          </w:tcPr>
          <w:p w:rsidR="009D4B6A" w:rsidRPr="009D4B6A" w:rsidRDefault="009D4B6A" w:rsidP="009D4B6A">
            <w:pPr>
              <w:spacing w:after="0"/>
              <w:ind w:firstLine="0"/>
              <w:jc w:val="lef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 xml:space="preserve"> Retribuciones del personal contratado temporal</w:t>
            </w:r>
          </w:p>
        </w:tc>
        <w:tc>
          <w:tcPr>
            <w:tcW w:w="4536" w:type="dxa"/>
            <w:noWrap/>
            <w:tcMar>
              <w:top w:w="0" w:type="dxa"/>
              <w:left w:w="70" w:type="dxa"/>
              <w:bottom w:w="0" w:type="dxa"/>
              <w:right w:w="70" w:type="dxa"/>
            </w:tcMar>
            <w:vAlign w:val="center"/>
            <w:hideMark/>
          </w:tcPr>
          <w:p w:rsidR="009D4B6A" w:rsidRPr="009D4B6A" w:rsidRDefault="009D4B6A" w:rsidP="009D4B6A">
            <w:pPr>
              <w:spacing w:after="0"/>
              <w:ind w:firstLine="0"/>
              <w:jc w:val="lef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Personal contratado. Sueldo base, dedicación, incompatibilidad, destino…</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66.554.486</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14.976</w:t>
            </w:r>
          </w:p>
        </w:tc>
        <w:tc>
          <w:tcPr>
            <w:tcW w:w="1276"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1.705</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4.444</w:t>
            </w:r>
          </w:p>
        </w:tc>
        <w:tc>
          <w:tcPr>
            <w:tcW w:w="1276"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2.880</w:t>
            </w:r>
          </w:p>
        </w:tc>
      </w:tr>
      <w:tr w:rsidR="009D4B6A" w:rsidRPr="009D4B6A" w:rsidTr="00A84ECB">
        <w:trPr>
          <w:trHeight w:val="284"/>
          <w:jc w:val="center"/>
        </w:trPr>
        <w:tc>
          <w:tcPr>
            <w:tcW w:w="562" w:type="dxa"/>
            <w:vAlign w:val="center"/>
          </w:tcPr>
          <w:p w:rsidR="009D4B6A" w:rsidRPr="009D4B6A" w:rsidRDefault="009D4B6A" w:rsidP="009D4B6A">
            <w:pPr>
              <w:spacing w:after="0"/>
              <w:ind w:firstLine="0"/>
              <w:jc w:val="center"/>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1221</w:t>
            </w:r>
          </w:p>
        </w:tc>
        <w:tc>
          <w:tcPr>
            <w:tcW w:w="2835" w:type="dxa"/>
            <w:noWrap/>
            <w:tcMar>
              <w:top w:w="0" w:type="dxa"/>
              <w:left w:w="70" w:type="dxa"/>
              <w:bottom w:w="0" w:type="dxa"/>
              <w:right w:w="70" w:type="dxa"/>
            </w:tcMar>
            <w:vAlign w:val="center"/>
            <w:hideMark/>
          </w:tcPr>
          <w:p w:rsidR="009D4B6A" w:rsidRPr="009D4B6A" w:rsidRDefault="009D4B6A" w:rsidP="009D4B6A">
            <w:pPr>
              <w:spacing w:after="0"/>
              <w:ind w:firstLine="0"/>
              <w:jc w:val="lef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Retribuciones del personal contratado para campañas</w:t>
            </w:r>
          </w:p>
        </w:tc>
        <w:tc>
          <w:tcPr>
            <w:tcW w:w="4536" w:type="dxa"/>
            <w:noWrap/>
            <w:tcMar>
              <w:top w:w="0" w:type="dxa"/>
              <w:left w:w="70" w:type="dxa"/>
              <w:bottom w:w="0" w:type="dxa"/>
              <w:right w:w="70" w:type="dxa"/>
            </w:tcMar>
            <w:vAlign w:val="center"/>
            <w:hideMark/>
          </w:tcPr>
          <w:p w:rsidR="009D4B6A" w:rsidRPr="009D4B6A" w:rsidRDefault="009D4B6A" w:rsidP="009D4B6A">
            <w:pPr>
              <w:spacing w:after="0"/>
              <w:ind w:firstLine="0"/>
              <w:jc w:val="lef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Personal contratado campañas (85% MIR). Sueldo base, dedicación, incompatibilidad, guardias…</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14.772.488</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20.017</w:t>
            </w:r>
          </w:p>
        </w:tc>
        <w:tc>
          <w:tcPr>
            <w:tcW w:w="1276"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2.119</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738</w:t>
            </w:r>
          </w:p>
        </w:tc>
        <w:tc>
          <w:tcPr>
            <w:tcW w:w="1276"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489</w:t>
            </w:r>
          </w:p>
        </w:tc>
      </w:tr>
      <w:tr w:rsidR="009D4B6A" w:rsidRPr="009D4B6A" w:rsidTr="00A84ECB">
        <w:trPr>
          <w:trHeight w:val="284"/>
          <w:jc w:val="center"/>
        </w:trPr>
        <w:tc>
          <w:tcPr>
            <w:tcW w:w="562" w:type="dxa"/>
            <w:tcBorders>
              <w:bottom w:val="single" w:sz="2" w:space="0" w:color="auto"/>
            </w:tcBorders>
            <w:vAlign w:val="center"/>
          </w:tcPr>
          <w:p w:rsidR="009D4B6A" w:rsidRPr="009D4B6A" w:rsidRDefault="009D4B6A" w:rsidP="009D4B6A">
            <w:pPr>
              <w:spacing w:after="0"/>
              <w:ind w:firstLine="0"/>
              <w:jc w:val="center"/>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1250</w:t>
            </w:r>
          </w:p>
        </w:tc>
        <w:tc>
          <w:tcPr>
            <w:tcW w:w="2835" w:type="dxa"/>
            <w:tcBorders>
              <w:bottom w:val="single" w:sz="2" w:space="0" w:color="auto"/>
            </w:tcBorders>
            <w:noWrap/>
            <w:tcMar>
              <w:top w:w="0" w:type="dxa"/>
              <w:left w:w="70" w:type="dxa"/>
              <w:bottom w:w="0" w:type="dxa"/>
              <w:right w:w="70" w:type="dxa"/>
            </w:tcMar>
            <w:vAlign w:val="center"/>
            <w:hideMark/>
          </w:tcPr>
          <w:p w:rsidR="009D4B6A" w:rsidRPr="009D4B6A" w:rsidRDefault="009D4B6A" w:rsidP="009D4B6A">
            <w:pPr>
              <w:spacing w:after="0"/>
              <w:ind w:firstLine="0"/>
              <w:jc w:val="lef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Retribuciones del personal contratado para sustituciones</w:t>
            </w:r>
          </w:p>
        </w:tc>
        <w:tc>
          <w:tcPr>
            <w:tcW w:w="4536" w:type="dxa"/>
            <w:tcBorders>
              <w:bottom w:val="single" w:sz="2" w:space="0" w:color="auto"/>
            </w:tcBorders>
            <w:noWrap/>
            <w:tcMar>
              <w:top w:w="0" w:type="dxa"/>
              <w:left w:w="70" w:type="dxa"/>
              <w:bottom w:w="0" w:type="dxa"/>
              <w:right w:w="70" w:type="dxa"/>
            </w:tcMar>
            <w:vAlign w:val="center"/>
            <w:hideMark/>
          </w:tcPr>
          <w:p w:rsidR="009D4B6A" w:rsidRPr="009D4B6A" w:rsidRDefault="009D4B6A" w:rsidP="009D4B6A">
            <w:pPr>
              <w:spacing w:after="0"/>
              <w:ind w:firstLine="0"/>
              <w:jc w:val="lef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Personal contratado sustituciones. Sueldo base, dedicación, incompatibilidad…</w:t>
            </w:r>
          </w:p>
        </w:tc>
        <w:tc>
          <w:tcPr>
            <w:tcW w:w="1134" w:type="dxa"/>
            <w:tcBorders>
              <w:bottom w:val="single" w:sz="2" w:space="0" w:color="auto"/>
            </w:tcBorders>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48.437.240</w:t>
            </w:r>
          </w:p>
        </w:tc>
        <w:tc>
          <w:tcPr>
            <w:tcW w:w="1134" w:type="dxa"/>
            <w:tcBorders>
              <w:bottom w:val="single" w:sz="2" w:space="0" w:color="auto"/>
            </w:tcBorders>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7.396</w:t>
            </w:r>
          </w:p>
        </w:tc>
        <w:tc>
          <w:tcPr>
            <w:tcW w:w="1276" w:type="dxa"/>
            <w:tcBorders>
              <w:bottom w:val="single" w:sz="2" w:space="0" w:color="auto"/>
            </w:tcBorders>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1.240</w:t>
            </w:r>
          </w:p>
        </w:tc>
        <w:tc>
          <w:tcPr>
            <w:tcW w:w="1134" w:type="dxa"/>
            <w:tcBorders>
              <w:bottom w:val="single" w:sz="2" w:space="0" w:color="auto"/>
            </w:tcBorders>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6.549</w:t>
            </w:r>
          </w:p>
        </w:tc>
        <w:tc>
          <w:tcPr>
            <w:tcW w:w="1276" w:type="dxa"/>
            <w:tcBorders>
              <w:bottom w:val="single" w:sz="2" w:space="0" w:color="auto"/>
            </w:tcBorders>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2.825</w:t>
            </w:r>
          </w:p>
        </w:tc>
      </w:tr>
      <w:tr w:rsidR="007D5B28" w:rsidRPr="009D4B6A" w:rsidTr="00A84ECB">
        <w:trPr>
          <w:trHeight w:val="284"/>
          <w:jc w:val="center"/>
        </w:trPr>
        <w:tc>
          <w:tcPr>
            <w:tcW w:w="562" w:type="dxa"/>
            <w:tcBorders>
              <w:top w:val="single" w:sz="2" w:space="0" w:color="auto"/>
              <w:bottom w:val="single" w:sz="2" w:space="0" w:color="auto"/>
            </w:tcBorders>
            <w:vAlign w:val="center"/>
          </w:tcPr>
          <w:p w:rsidR="007D5B28" w:rsidRPr="009D4B6A" w:rsidRDefault="007D5B28" w:rsidP="009D4B6A">
            <w:pPr>
              <w:spacing w:after="0"/>
              <w:ind w:firstLine="0"/>
              <w:jc w:val="center"/>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1400</w:t>
            </w:r>
          </w:p>
        </w:tc>
        <w:tc>
          <w:tcPr>
            <w:tcW w:w="2835" w:type="dxa"/>
            <w:tcBorders>
              <w:top w:val="single" w:sz="2" w:space="0" w:color="auto"/>
              <w:bottom w:val="single" w:sz="2" w:space="0" w:color="auto"/>
            </w:tcBorders>
            <w:noWrap/>
            <w:tcMar>
              <w:top w:w="0" w:type="dxa"/>
              <w:left w:w="70" w:type="dxa"/>
              <w:bottom w:w="0" w:type="dxa"/>
              <w:right w:w="70" w:type="dxa"/>
            </w:tcMar>
            <w:vAlign w:val="center"/>
            <w:hideMark/>
          </w:tcPr>
          <w:p w:rsidR="007D5B28" w:rsidRPr="009D4B6A" w:rsidRDefault="007D5B28" w:rsidP="009D4B6A">
            <w:pPr>
              <w:spacing w:after="0"/>
              <w:ind w:firstLine="0"/>
              <w:jc w:val="lef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Retribuciones personales</w:t>
            </w:r>
          </w:p>
        </w:tc>
        <w:tc>
          <w:tcPr>
            <w:tcW w:w="4536" w:type="dxa"/>
            <w:tcBorders>
              <w:top w:val="single" w:sz="2" w:space="0" w:color="auto"/>
              <w:bottom w:val="single" w:sz="2" w:space="0" w:color="auto"/>
            </w:tcBorders>
            <w:noWrap/>
            <w:tcMar>
              <w:top w:w="0" w:type="dxa"/>
              <w:left w:w="70" w:type="dxa"/>
              <w:bottom w:w="0" w:type="dxa"/>
              <w:right w:w="70" w:type="dxa"/>
            </w:tcMar>
            <w:vAlign w:val="center"/>
            <w:hideMark/>
          </w:tcPr>
          <w:p w:rsidR="007D5B28" w:rsidRPr="009D4B6A" w:rsidRDefault="007D5B28" w:rsidP="00A84ECB">
            <w:pPr>
              <w:spacing w:after="0"/>
              <w:ind w:firstLine="0"/>
              <w:jc w:val="lef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 xml:space="preserve">Conceptos personal funcionario: </w:t>
            </w:r>
            <w:r w:rsidR="00150DAF">
              <w:rPr>
                <w:rFonts w:ascii="Arial Narrow" w:eastAsia="Calibri" w:hAnsi="Arial Narrow" w:cs="Calibri"/>
                <w:color w:val="000000"/>
                <w:sz w:val="18"/>
                <w:szCs w:val="18"/>
                <w:lang w:val="es-ES" w:eastAsia="es-ES_tradnl"/>
              </w:rPr>
              <w:t xml:space="preserve">grado, </w:t>
            </w:r>
            <w:r w:rsidRPr="009D4B6A">
              <w:rPr>
                <w:rFonts w:ascii="Arial Narrow" w:eastAsia="Calibri" w:hAnsi="Arial Narrow" w:cs="Calibri"/>
                <w:color w:val="000000"/>
                <w:sz w:val="18"/>
                <w:szCs w:val="18"/>
                <w:lang w:val="es-ES" w:eastAsia="es-ES_tradnl"/>
              </w:rPr>
              <w:t>ayuda fam</w:t>
            </w:r>
            <w:r w:rsidR="00A84ECB">
              <w:rPr>
                <w:rFonts w:ascii="Arial Narrow" w:eastAsia="Calibri" w:hAnsi="Arial Narrow" w:cs="Calibri"/>
                <w:color w:val="000000"/>
                <w:sz w:val="18"/>
                <w:szCs w:val="18"/>
                <w:lang w:val="es-ES" w:eastAsia="es-ES_tradnl"/>
              </w:rPr>
              <w:t>.</w:t>
            </w:r>
            <w:r w:rsidR="00150DAF">
              <w:rPr>
                <w:rFonts w:ascii="Arial Narrow" w:eastAsia="Calibri" w:hAnsi="Arial Narrow" w:cs="Calibri"/>
                <w:color w:val="000000"/>
                <w:sz w:val="18"/>
                <w:szCs w:val="18"/>
                <w:lang w:val="es-ES" w:eastAsia="es-ES_tradnl"/>
              </w:rPr>
              <w:t xml:space="preserve"> y</w:t>
            </w:r>
            <w:r w:rsidRPr="009D4B6A">
              <w:rPr>
                <w:rFonts w:ascii="Arial Narrow" w:eastAsia="Calibri" w:hAnsi="Arial Narrow" w:cs="Calibri"/>
                <w:color w:val="000000"/>
                <w:sz w:val="18"/>
                <w:szCs w:val="18"/>
                <w:lang w:val="es-ES" w:eastAsia="es-ES_tradnl"/>
              </w:rPr>
              <w:t xml:space="preserve"> antigüedad</w:t>
            </w:r>
          </w:p>
        </w:tc>
        <w:tc>
          <w:tcPr>
            <w:tcW w:w="1134" w:type="dxa"/>
            <w:tcBorders>
              <w:top w:val="single" w:sz="2" w:space="0" w:color="auto"/>
              <w:bottom w:val="single" w:sz="2" w:space="0" w:color="auto"/>
            </w:tcBorders>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104.927.330</w:t>
            </w:r>
          </w:p>
        </w:tc>
        <w:tc>
          <w:tcPr>
            <w:tcW w:w="1134" w:type="dxa"/>
            <w:tcBorders>
              <w:top w:val="single" w:sz="2" w:space="0" w:color="auto"/>
              <w:bottom w:val="single" w:sz="2" w:space="0" w:color="auto"/>
            </w:tcBorders>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4.369</w:t>
            </w:r>
          </w:p>
        </w:tc>
        <w:tc>
          <w:tcPr>
            <w:tcW w:w="1276" w:type="dxa"/>
            <w:tcBorders>
              <w:top w:val="single" w:sz="2" w:space="0" w:color="auto"/>
              <w:bottom w:val="single" w:sz="2" w:space="0" w:color="auto"/>
            </w:tcBorders>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jc w:val="right"/>
              <w:rPr>
                <w:rFonts w:ascii="Arial Narrow" w:eastAsia="Calibri" w:hAnsi="Arial Narrow" w:cs="Calibri"/>
                <w:color w:val="000000"/>
                <w:sz w:val="18"/>
                <w:szCs w:val="18"/>
                <w:lang w:val="es-ES" w:eastAsia="es-ES_tradnl"/>
              </w:rPr>
            </w:pPr>
          </w:p>
        </w:tc>
        <w:tc>
          <w:tcPr>
            <w:tcW w:w="1134" w:type="dxa"/>
            <w:tcBorders>
              <w:top w:val="single" w:sz="2" w:space="0" w:color="auto"/>
              <w:bottom w:val="single" w:sz="2" w:space="0" w:color="auto"/>
            </w:tcBorders>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24.014</w:t>
            </w:r>
          </w:p>
        </w:tc>
        <w:tc>
          <w:tcPr>
            <w:tcW w:w="1276" w:type="dxa"/>
            <w:tcBorders>
              <w:top w:val="single" w:sz="2" w:space="0" w:color="auto"/>
              <w:bottom w:val="single" w:sz="2" w:space="0" w:color="auto"/>
            </w:tcBorders>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jc w:val="right"/>
              <w:rPr>
                <w:rFonts w:ascii="Arial Narrow" w:eastAsia="Calibri" w:hAnsi="Arial Narrow" w:cs="Calibri"/>
                <w:color w:val="000000"/>
                <w:sz w:val="18"/>
                <w:szCs w:val="18"/>
                <w:lang w:val="es-ES" w:eastAsia="es-ES_tradnl"/>
              </w:rPr>
            </w:pPr>
          </w:p>
        </w:tc>
      </w:tr>
      <w:tr w:rsidR="007D5B28" w:rsidRPr="009D4B6A" w:rsidTr="00A84ECB">
        <w:trPr>
          <w:trHeight w:val="284"/>
          <w:jc w:val="center"/>
        </w:trPr>
        <w:tc>
          <w:tcPr>
            <w:tcW w:w="562" w:type="dxa"/>
            <w:tcBorders>
              <w:top w:val="single" w:sz="2" w:space="0" w:color="auto"/>
              <w:bottom w:val="single" w:sz="2" w:space="0" w:color="auto"/>
            </w:tcBorders>
            <w:vAlign w:val="center"/>
          </w:tcPr>
          <w:p w:rsidR="007D5B28" w:rsidRPr="009D4B6A" w:rsidRDefault="007D5B28" w:rsidP="009D4B6A">
            <w:pPr>
              <w:spacing w:after="0"/>
              <w:ind w:firstLine="0"/>
              <w:jc w:val="center"/>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1410</w:t>
            </w:r>
          </w:p>
        </w:tc>
        <w:tc>
          <w:tcPr>
            <w:tcW w:w="2835" w:type="dxa"/>
            <w:tcBorders>
              <w:top w:val="single" w:sz="2" w:space="0" w:color="auto"/>
              <w:bottom w:val="single" w:sz="2" w:space="0" w:color="auto"/>
            </w:tcBorders>
            <w:noWrap/>
            <w:tcMar>
              <w:top w:w="0" w:type="dxa"/>
              <w:left w:w="70" w:type="dxa"/>
              <w:bottom w:w="0" w:type="dxa"/>
              <w:right w:w="70" w:type="dxa"/>
            </w:tcMar>
            <w:vAlign w:val="center"/>
            <w:hideMark/>
          </w:tcPr>
          <w:p w:rsidR="007D5B28" w:rsidRPr="009D4B6A" w:rsidRDefault="007D5B28" w:rsidP="009D4B6A">
            <w:pPr>
              <w:spacing w:after="0"/>
              <w:ind w:firstLine="0"/>
              <w:jc w:val="lef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 xml:space="preserve"> Retribuciones carrera profesional</w:t>
            </w:r>
          </w:p>
        </w:tc>
        <w:tc>
          <w:tcPr>
            <w:tcW w:w="4536" w:type="dxa"/>
            <w:tcBorders>
              <w:top w:val="single" w:sz="2" w:space="0" w:color="auto"/>
              <w:bottom w:val="single" w:sz="2" w:space="0" w:color="auto"/>
            </w:tcBorders>
            <w:noWrap/>
            <w:tcMar>
              <w:top w:w="0" w:type="dxa"/>
              <w:left w:w="70" w:type="dxa"/>
              <w:bottom w:w="0" w:type="dxa"/>
              <w:right w:w="70" w:type="dxa"/>
            </w:tcMar>
            <w:vAlign w:val="center"/>
            <w:hideMark/>
          </w:tcPr>
          <w:p w:rsidR="007D5B28" w:rsidRPr="009D4B6A" w:rsidRDefault="007D5B28" w:rsidP="00AF77A6">
            <w:pPr>
              <w:spacing w:after="0"/>
              <w:ind w:firstLine="0"/>
              <w:jc w:val="lef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Premio carrera profesional</w:t>
            </w:r>
          </w:p>
        </w:tc>
        <w:tc>
          <w:tcPr>
            <w:tcW w:w="1134" w:type="dxa"/>
            <w:tcBorders>
              <w:top w:val="single" w:sz="2" w:space="0" w:color="auto"/>
              <w:bottom w:val="single" w:sz="2" w:space="0" w:color="auto"/>
            </w:tcBorders>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14.192.675</w:t>
            </w:r>
          </w:p>
        </w:tc>
        <w:tc>
          <w:tcPr>
            <w:tcW w:w="1134" w:type="dxa"/>
            <w:tcBorders>
              <w:top w:val="single" w:sz="2" w:space="0" w:color="auto"/>
              <w:bottom w:val="single" w:sz="2" w:space="0" w:color="auto"/>
            </w:tcBorders>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4.999</w:t>
            </w:r>
          </w:p>
        </w:tc>
        <w:tc>
          <w:tcPr>
            <w:tcW w:w="1276" w:type="dxa"/>
            <w:tcBorders>
              <w:top w:val="single" w:sz="2" w:space="0" w:color="auto"/>
              <w:bottom w:val="single" w:sz="2" w:space="0" w:color="auto"/>
            </w:tcBorders>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jc w:val="right"/>
              <w:rPr>
                <w:rFonts w:ascii="Arial Narrow" w:eastAsia="Calibri" w:hAnsi="Arial Narrow" w:cs="Calibri"/>
                <w:color w:val="000000"/>
                <w:sz w:val="18"/>
                <w:szCs w:val="18"/>
                <w:lang w:val="es-ES" w:eastAsia="es-ES_tradnl"/>
              </w:rPr>
            </w:pPr>
          </w:p>
        </w:tc>
        <w:tc>
          <w:tcPr>
            <w:tcW w:w="1134" w:type="dxa"/>
            <w:tcBorders>
              <w:top w:val="single" w:sz="2" w:space="0" w:color="auto"/>
              <w:bottom w:val="single" w:sz="2" w:space="0" w:color="auto"/>
            </w:tcBorders>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2.839</w:t>
            </w:r>
          </w:p>
        </w:tc>
        <w:tc>
          <w:tcPr>
            <w:tcW w:w="1276" w:type="dxa"/>
            <w:tcBorders>
              <w:top w:val="single" w:sz="2" w:space="0" w:color="auto"/>
              <w:bottom w:val="single" w:sz="2" w:space="0" w:color="auto"/>
            </w:tcBorders>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jc w:val="right"/>
              <w:rPr>
                <w:rFonts w:ascii="Arial Narrow" w:eastAsia="Calibri" w:hAnsi="Arial Narrow" w:cs="Calibri"/>
                <w:color w:val="000000"/>
                <w:sz w:val="18"/>
                <w:szCs w:val="18"/>
                <w:lang w:val="es-ES" w:eastAsia="es-ES_tradnl"/>
              </w:rPr>
            </w:pPr>
          </w:p>
        </w:tc>
      </w:tr>
      <w:tr w:rsidR="007D5B28" w:rsidRPr="009D4B6A" w:rsidTr="00A84ECB">
        <w:trPr>
          <w:trHeight w:val="284"/>
          <w:jc w:val="center"/>
        </w:trPr>
        <w:tc>
          <w:tcPr>
            <w:tcW w:w="562" w:type="dxa"/>
            <w:tcBorders>
              <w:top w:val="single" w:sz="2" w:space="0" w:color="auto"/>
            </w:tcBorders>
            <w:vAlign w:val="center"/>
          </w:tcPr>
          <w:p w:rsidR="007D5B28" w:rsidRPr="009D4B6A" w:rsidRDefault="007D5B28" w:rsidP="009D4B6A">
            <w:pPr>
              <w:spacing w:after="0"/>
              <w:ind w:firstLine="0"/>
              <w:jc w:val="center"/>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1702</w:t>
            </w:r>
          </w:p>
        </w:tc>
        <w:tc>
          <w:tcPr>
            <w:tcW w:w="2835" w:type="dxa"/>
            <w:tcBorders>
              <w:top w:val="single" w:sz="2" w:space="0" w:color="auto"/>
            </w:tcBorders>
            <w:noWrap/>
            <w:tcMar>
              <w:top w:w="0" w:type="dxa"/>
              <w:left w:w="70" w:type="dxa"/>
              <w:bottom w:w="0" w:type="dxa"/>
              <w:right w:w="70" w:type="dxa"/>
            </w:tcMar>
            <w:vAlign w:val="center"/>
            <w:hideMark/>
          </w:tcPr>
          <w:p w:rsidR="007D5B28" w:rsidRPr="009D4B6A" w:rsidRDefault="007D5B28" w:rsidP="009D4B6A">
            <w:pPr>
              <w:spacing w:after="0"/>
              <w:ind w:firstLine="0"/>
              <w:jc w:val="lef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Horas extraordinarias</w:t>
            </w:r>
          </w:p>
        </w:tc>
        <w:tc>
          <w:tcPr>
            <w:tcW w:w="4536" w:type="dxa"/>
            <w:tcBorders>
              <w:top w:val="single" w:sz="2" w:space="0" w:color="auto"/>
            </w:tcBorders>
            <w:noWrap/>
            <w:tcMar>
              <w:top w:w="0" w:type="dxa"/>
              <w:left w:w="70" w:type="dxa"/>
              <w:bottom w:w="0" w:type="dxa"/>
              <w:right w:w="70" w:type="dxa"/>
            </w:tcMar>
            <w:vAlign w:val="center"/>
            <w:hideMark/>
          </w:tcPr>
          <w:p w:rsidR="007D5B28" w:rsidRPr="009D4B6A" w:rsidRDefault="007D5B28" w:rsidP="009D4B6A">
            <w:pPr>
              <w:spacing w:after="0"/>
              <w:ind w:firstLine="0"/>
              <w:jc w:val="lef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Horas extraordinarias Policía Foral</w:t>
            </w:r>
          </w:p>
        </w:tc>
        <w:tc>
          <w:tcPr>
            <w:tcW w:w="1134" w:type="dxa"/>
            <w:tcBorders>
              <w:top w:val="single" w:sz="2" w:space="0" w:color="auto"/>
            </w:tcBorders>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49.755</w:t>
            </w:r>
          </w:p>
        </w:tc>
        <w:tc>
          <w:tcPr>
            <w:tcW w:w="1134" w:type="dxa"/>
            <w:tcBorders>
              <w:top w:val="single" w:sz="2" w:space="0" w:color="auto"/>
            </w:tcBorders>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366</w:t>
            </w:r>
          </w:p>
        </w:tc>
        <w:tc>
          <w:tcPr>
            <w:tcW w:w="1276" w:type="dxa"/>
            <w:tcBorders>
              <w:top w:val="single" w:sz="2" w:space="0" w:color="auto"/>
            </w:tcBorders>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jc w:val="right"/>
              <w:rPr>
                <w:rFonts w:ascii="Arial Narrow" w:eastAsia="Calibri" w:hAnsi="Arial Narrow" w:cs="Calibri"/>
                <w:color w:val="000000"/>
                <w:sz w:val="18"/>
                <w:szCs w:val="18"/>
                <w:lang w:val="es-ES" w:eastAsia="es-ES_tradnl"/>
              </w:rPr>
            </w:pPr>
          </w:p>
        </w:tc>
        <w:tc>
          <w:tcPr>
            <w:tcW w:w="1134" w:type="dxa"/>
            <w:tcBorders>
              <w:top w:val="single" w:sz="2" w:space="0" w:color="auto"/>
            </w:tcBorders>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136</w:t>
            </w:r>
          </w:p>
        </w:tc>
        <w:tc>
          <w:tcPr>
            <w:tcW w:w="1276" w:type="dxa"/>
            <w:tcBorders>
              <w:top w:val="single" w:sz="2" w:space="0" w:color="auto"/>
            </w:tcBorders>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jc w:val="right"/>
              <w:rPr>
                <w:rFonts w:ascii="Arial Narrow" w:eastAsia="Calibri" w:hAnsi="Arial Narrow" w:cs="Calibri"/>
                <w:color w:val="000000"/>
                <w:sz w:val="18"/>
                <w:szCs w:val="18"/>
                <w:lang w:val="es-ES" w:eastAsia="es-ES_tradnl"/>
              </w:rPr>
            </w:pPr>
          </w:p>
        </w:tc>
      </w:tr>
      <w:tr w:rsidR="007D5B28" w:rsidRPr="009D4B6A" w:rsidTr="00A84ECB">
        <w:trPr>
          <w:trHeight w:val="284"/>
          <w:jc w:val="center"/>
        </w:trPr>
        <w:tc>
          <w:tcPr>
            <w:tcW w:w="562" w:type="dxa"/>
            <w:vAlign w:val="center"/>
          </w:tcPr>
          <w:p w:rsidR="007D5B28" w:rsidRPr="009D4B6A" w:rsidRDefault="007D5B28" w:rsidP="009D4B6A">
            <w:pPr>
              <w:spacing w:after="0"/>
              <w:ind w:firstLine="0"/>
              <w:jc w:val="center"/>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1703</w:t>
            </w:r>
          </w:p>
        </w:tc>
        <w:tc>
          <w:tcPr>
            <w:tcW w:w="2835" w:type="dxa"/>
            <w:noWrap/>
            <w:tcMar>
              <w:top w:w="0" w:type="dxa"/>
              <w:left w:w="70" w:type="dxa"/>
              <w:bottom w:w="0" w:type="dxa"/>
              <w:right w:w="70" w:type="dxa"/>
            </w:tcMar>
            <w:vAlign w:val="center"/>
            <w:hideMark/>
          </w:tcPr>
          <w:p w:rsidR="007D5B28" w:rsidRPr="009D4B6A" w:rsidRDefault="007D5B28" w:rsidP="009D4B6A">
            <w:pPr>
              <w:spacing w:after="0"/>
              <w:ind w:firstLine="0"/>
              <w:jc w:val="lef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Remun</w:t>
            </w:r>
            <w:r w:rsidR="007B55E1">
              <w:rPr>
                <w:rFonts w:ascii="Arial Narrow" w:eastAsia="Calibri" w:hAnsi="Arial Narrow" w:cs="Calibri"/>
                <w:color w:val="000000"/>
                <w:sz w:val="18"/>
                <w:szCs w:val="18"/>
                <w:lang w:val="es-ES" w:eastAsia="es-ES_tradnl"/>
              </w:rPr>
              <w:t>er</w:t>
            </w:r>
            <w:r w:rsidRPr="009D4B6A">
              <w:rPr>
                <w:rFonts w:ascii="Arial Narrow" w:eastAsia="Calibri" w:hAnsi="Arial Narrow" w:cs="Calibri"/>
                <w:color w:val="000000"/>
                <w:sz w:val="18"/>
                <w:szCs w:val="18"/>
                <w:lang w:val="es-ES" w:eastAsia="es-ES_tradnl"/>
              </w:rPr>
              <w:t>. por trabajo en días festivos</w:t>
            </w:r>
          </w:p>
        </w:tc>
        <w:tc>
          <w:tcPr>
            <w:tcW w:w="4536" w:type="dxa"/>
            <w:noWrap/>
            <w:tcMar>
              <w:top w:w="0" w:type="dxa"/>
              <w:left w:w="70" w:type="dxa"/>
              <w:bottom w:w="0" w:type="dxa"/>
              <w:right w:w="70" w:type="dxa"/>
            </w:tcMar>
            <w:vAlign w:val="center"/>
            <w:hideMark/>
          </w:tcPr>
          <w:p w:rsidR="007D5B28" w:rsidRPr="009D4B6A" w:rsidRDefault="002C6305" w:rsidP="002C6305">
            <w:pPr>
              <w:spacing w:after="0"/>
              <w:ind w:firstLine="0"/>
              <w:jc w:val="left"/>
              <w:rPr>
                <w:rFonts w:ascii="Arial Narrow" w:eastAsia="Calibri" w:hAnsi="Arial Narrow" w:cs="Calibri"/>
                <w:color w:val="000000"/>
                <w:sz w:val="18"/>
                <w:szCs w:val="18"/>
                <w:lang w:val="es-ES" w:eastAsia="es-ES_tradnl"/>
              </w:rPr>
            </w:pPr>
            <w:r>
              <w:rPr>
                <w:rFonts w:ascii="Arial Narrow" w:eastAsia="Calibri" w:hAnsi="Arial Narrow" w:cs="Calibri"/>
                <w:color w:val="000000"/>
                <w:sz w:val="18"/>
                <w:szCs w:val="18"/>
                <w:lang w:val="es-ES" w:eastAsia="es-ES_tradnl"/>
              </w:rPr>
              <w:t>T</w:t>
            </w:r>
            <w:r w:rsidR="007D5B28" w:rsidRPr="009D4B6A">
              <w:rPr>
                <w:rFonts w:ascii="Arial Narrow" w:eastAsia="Calibri" w:hAnsi="Arial Narrow" w:cs="Calibri"/>
                <w:color w:val="000000"/>
                <w:sz w:val="18"/>
                <w:szCs w:val="18"/>
                <w:lang w:val="es-ES" w:eastAsia="es-ES_tradnl"/>
              </w:rPr>
              <w:t>rabajo en días festivos</w:t>
            </w: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11.697.804</w:t>
            </w: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1.359</w:t>
            </w:r>
          </w:p>
        </w:tc>
        <w:tc>
          <w:tcPr>
            <w:tcW w:w="1276" w:type="dxa"/>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jc w:val="right"/>
              <w:rPr>
                <w:rFonts w:ascii="Arial Narrow" w:eastAsia="Calibri" w:hAnsi="Arial Narrow" w:cs="Calibri"/>
                <w:color w:val="000000"/>
                <w:sz w:val="18"/>
                <w:szCs w:val="18"/>
                <w:lang w:val="es-ES" w:eastAsia="es-ES_tradnl"/>
              </w:rPr>
            </w:pP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8.609</w:t>
            </w:r>
          </w:p>
        </w:tc>
        <w:tc>
          <w:tcPr>
            <w:tcW w:w="1276" w:type="dxa"/>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jc w:val="right"/>
              <w:rPr>
                <w:rFonts w:ascii="Arial Narrow" w:eastAsia="Calibri" w:hAnsi="Arial Narrow" w:cs="Calibri"/>
                <w:color w:val="000000"/>
                <w:sz w:val="18"/>
                <w:szCs w:val="18"/>
                <w:lang w:val="es-ES" w:eastAsia="es-ES_tradnl"/>
              </w:rPr>
            </w:pPr>
          </w:p>
        </w:tc>
      </w:tr>
      <w:tr w:rsidR="007D5B28" w:rsidRPr="009D4B6A" w:rsidTr="00A84ECB">
        <w:trPr>
          <w:trHeight w:val="284"/>
          <w:jc w:val="center"/>
        </w:trPr>
        <w:tc>
          <w:tcPr>
            <w:tcW w:w="562" w:type="dxa"/>
            <w:vAlign w:val="center"/>
          </w:tcPr>
          <w:p w:rsidR="007D5B28" w:rsidRPr="009D4B6A" w:rsidRDefault="007D5B28" w:rsidP="009D4B6A">
            <w:pPr>
              <w:spacing w:after="0"/>
              <w:ind w:firstLine="0"/>
              <w:jc w:val="center"/>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1704</w:t>
            </w:r>
          </w:p>
        </w:tc>
        <w:tc>
          <w:tcPr>
            <w:tcW w:w="2835" w:type="dxa"/>
            <w:noWrap/>
            <w:tcMar>
              <w:top w:w="0" w:type="dxa"/>
              <w:left w:w="70" w:type="dxa"/>
              <w:bottom w:w="0" w:type="dxa"/>
              <w:right w:w="70" w:type="dxa"/>
            </w:tcMar>
            <w:vAlign w:val="center"/>
            <w:hideMark/>
          </w:tcPr>
          <w:p w:rsidR="007D5B28" w:rsidRPr="009D4B6A" w:rsidRDefault="007D5B28" w:rsidP="009D4B6A">
            <w:pPr>
              <w:spacing w:after="0"/>
              <w:ind w:firstLine="0"/>
              <w:jc w:val="lef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Complem.  realización de guardias</w:t>
            </w:r>
          </w:p>
        </w:tc>
        <w:tc>
          <w:tcPr>
            <w:tcW w:w="4536" w:type="dxa"/>
            <w:noWrap/>
            <w:tcMar>
              <w:top w:w="0" w:type="dxa"/>
              <w:left w:w="70" w:type="dxa"/>
              <w:bottom w:w="0" w:type="dxa"/>
              <w:right w:w="70" w:type="dxa"/>
            </w:tcMar>
            <w:vAlign w:val="center"/>
            <w:hideMark/>
          </w:tcPr>
          <w:p w:rsidR="007D5B28" w:rsidRPr="009D4B6A" w:rsidRDefault="002C6305" w:rsidP="002C6305">
            <w:pPr>
              <w:spacing w:after="0"/>
              <w:ind w:firstLine="0"/>
              <w:jc w:val="left"/>
              <w:rPr>
                <w:rFonts w:ascii="Arial Narrow" w:eastAsia="Calibri" w:hAnsi="Arial Narrow" w:cs="Calibri"/>
                <w:color w:val="000000"/>
                <w:sz w:val="18"/>
                <w:szCs w:val="18"/>
                <w:lang w:val="es-ES" w:eastAsia="es-ES_tradnl"/>
              </w:rPr>
            </w:pPr>
            <w:r>
              <w:rPr>
                <w:rFonts w:ascii="Arial Narrow" w:eastAsia="Calibri" w:hAnsi="Arial Narrow" w:cs="Calibri"/>
                <w:color w:val="000000"/>
                <w:sz w:val="18"/>
                <w:szCs w:val="18"/>
                <w:lang w:val="es-ES" w:eastAsia="es-ES_tradnl"/>
              </w:rPr>
              <w:t>R</w:t>
            </w:r>
            <w:r w:rsidR="007D5B28" w:rsidRPr="009D4B6A">
              <w:rPr>
                <w:rFonts w:ascii="Arial Narrow" w:eastAsia="Calibri" w:hAnsi="Arial Narrow" w:cs="Calibri"/>
                <w:color w:val="000000"/>
                <w:sz w:val="18"/>
                <w:szCs w:val="18"/>
                <w:lang w:val="es-ES" w:eastAsia="es-ES_tradnl"/>
              </w:rPr>
              <w:t>ealización de guardias</w:t>
            </w: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20.312.472</w:t>
            </w: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8.618</w:t>
            </w:r>
          </w:p>
        </w:tc>
        <w:tc>
          <w:tcPr>
            <w:tcW w:w="1276" w:type="dxa"/>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jc w:val="right"/>
              <w:rPr>
                <w:rFonts w:ascii="Arial Narrow" w:eastAsia="Calibri" w:hAnsi="Arial Narrow" w:cs="Calibri"/>
                <w:color w:val="000000"/>
                <w:sz w:val="18"/>
                <w:szCs w:val="18"/>
                <w:lang w:val="es-ES" w:eastAsia="es-ES_tradnl"/>
              </w:rPr>
            </w:pP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2.357</w:t>
            </w:r>
          </w:p>
        </w:tc>
        <w:tc>
          <w:tcPr>
            <w:tcW w:w="1276" w:type="dxa"/>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jc w:val="right"/>
              <w:rPr>
                <w:rFonts w:ascii="Arial Narrow" w:eastAsia="Calibri" w:hAnsi="Arial Narrow" w:cs="Calibri"/>
                <w:color w:val="000000"/>
                <w:sz w:val="18"/>
                <w:szCs w:val="18"/>
                <w:lang w:val="es-ES" w:eastAsia="es-ES_tradnl"/>
              </w:rPr>
            </w:pPr>
          </w:p>
        </w:tc>
      </w:tr>
      <w:tr w:rsidR="007D5B28" w:rsidRPr="009D4B6A" w:rsidTr="00A84ECB">
        <w:trPr>
          <w:trHeight w:val="284"/>
          <w:jc w:val="center"/>
        </w:trPr>
        <w:tc>
          <w:tcPr>
            <w:tcW w:w="562" w:type="dxa"/>
            <w:vAlign w:val="center"/>
          </w:tcPr>
          <w:p w:rsidR="007D5B28" w:rsidRPr="009D4B6A" w:rsidRDefault="007D5B28" w:rsidP="009D4B6A">
            <w:pPr>
              <w:spacing w:after="0"/>
              <w:ind w:firstLine="0"/>
              <w:jc w:val="center"/>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1705</w:t>
            </w:r>
          </w:p>
        </w:tc>
        <w:tc>
          <w:tcPr>
            <w:tcW w:w="2835" w:type="dxa"/>
            <w:noWrap/>
            <w:tcMar>
              <w:top w:w="0" w:type="dxa"/>
              <w:left w:w="70" w:type="dxa"/>
              <w:bottom w:w="0" w:type="dxa"/>
              <w:right w:w="70" w:type="dxa"/>
            </w:tcMar>
            <w:vAlign w:val="center"/>
            <w:hideMark/>
          </w:tcPr>
          <w:p w:rsidR="007D5B28" w:rsidRPr="009D4B6A" w:rsidRDefault="007D5B28" w:rsidP="009D4B6A">
            <w:pPr>
              <w:spacing w:after="0"/>
              <w:ind w:firstLine="0"/>
              <w:jc w:val="lef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Complemento  trabajo turnos noche</w:t>
            </w:r>
          </w:p>
        </w:tc>
        <w:tc>
          <w:tcPr>
            <w:tcW w:w="4536" w:type="dxa"/>
            <w:noWrap/>
            <w:tcMar>
              <w:top w:w="0" w:type="dxa"/>
              <w:left w:w="70" w:type="dxa"/>
              <w:bottom w:w="0" w:type="dxa"/>
              <w:right w:w="70" w:type="dxa"/>
            </w:tcMar>
            <w:vAlign w:val="center"/>
            <w:hideMark/>
          </w:tcPr>
          <w:p w:rsidR="007D5B28" w:rsidRPr="009D4B6A" w:rsidRDefault="002C6305" w:rsidP="002C6305">
            <w:pPr>
              <w:spacing w:after="0"/>
              <w:ind w:firstLine="0"/>
              <w:jc w:val="left"/>
              <w:rPr>
                <w:rFonts w:ascii="Arial Narrow" w:eastAsia="Calibri" w:hAnsi="Arial Narrow" w:cs="Calibri"/>
                <w:color w:val="000000"/>
                <w:sz w:val="18"/>
                <w:szCs w:val="18"/>
                <w:lang w:val="es-ES" w:eastAsia="es-ES_tradnl"/>
              </w:rPr>
            </w:pPr>
            <w:r>
              <w:rPr>
                <w:rFonts w:ascii="Arial Narrow" w:eastAsia="Calibri" w:hAnsi="Arial Narrow" w:cs="Calibri"/>
                <w:color w:val="000000"/>
                <w:sz w:val="18"/>
                <w:szCs w:val="18"/>
                <w:lang w:val="es-ES" w:eastAsia="es-ES_tradnl"/>
              </w:rPr>
              <w:t>T</w:t>
            </w:r>
            <w:r w:rsidR="007D5B28" w:rsidRPr="009D4B6A">
              <w:rPr>
                <w:rFonts w:ascii="Arial Narrow" w:eastAsia="Calibri" w:hAnsi="Arial Narrow" w:cs="Calibri"/>
                <w:color w:val="000000"/>
                <w:sz w:val="18"/>
                <w:szCs w:val="18"/>
                <w:lang w:val="es-ES" w:eastAsia="es-ES_tradnl"/>
              </w:rPr>
              <w:t>rabajo en turnos de noche</w:t>
            </w: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7.403.485</w:t>
            </w: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1.068</w:t>
            </w:r>
          </w:p>
        </w:tc>
        <w:tc>
          <w:tcPr>
            <w:tcW w:w="1276" w:type="dxa"/>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jc w:val="right"/>
              <w:rPr>
                <w:rFonts w:ascii="Arial Narrow" w:eastAsia="Calibri" w:hAnsi="Arial Narrow" w:cs="Calibri"/>
                <w:color w:val="000000"/>
                <w:sz w:val="18"/>
                <w:szCs w:val="18"/>
                <w:lang w:val="es-ES" w:eastAsia="es-ES_tradnl"/>
              </w:rPr>
            </w:pP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6.933</w:t>
            </w:r>
          </w:p>
        </w:tc>
        <w:tc>
          <w:tcPr>
            <w:tcW w:w="1276" w:type="dxa"/>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jc w:val="right"/>
              <w:rPr>
                <w:rFonts w:ascii="Arial Narrow" w:eastAsia="Calibri" w:hAnsi="Arial Narrow" w:cs="Calibri"/>
                <w:color w:val="000000"/>
                <w:sz w:val="18"/>
                <w:szCs w:val="18"/>
                <w:lang w:val="es-ES" w:eastAsia="es-ES_tradnl"/>
              </w:rPr>
            </w:pPr>
          </w:p>
        </w:tc>
      </w:tr>
      <w:tr w:rsidR="007D5B28" w:rsidRPr="009D4B6A" w:rsidTr="00A84ECB">
        <w:trPr>
          <w:trHeight w:val="284"/>
          <w:jc w:val="center"/>
        </w:trPr>
        <w:tc>
          <w:tcPr>
            <w:tcW w:w="562" w:type="dxa"/>
            <w:vAlign w:val="center"/>
          </w:tcPr>
          <w:p w:rsidR="007D5B28" w:rsidRPr="009D4B6A" w:rsidRDefault="007D5B28" w:rsidP="009D4B6A">
            <w:pPr>
              <w:spacing w:after="0"/>
              <w:ind w:firstLine="0"/>
              <w:jc w:val="center"/>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1706</w:t>
            </w:r>
          </w:p>
        </w:tc>
        <w:tc>
          <w:tcPr>
            <w:tcW w:w="2835" w:type="dxa"/>
            <w:noWrap/>
            <w:tcMar>
              <w:top w:w="0" w:type="dxa"/>
              <w:left w:w="70" w:type="dxa"/>
              <w:bottom w:w="0" w:type="dxa"/>
              <w:right w:w="70" w:type="dxa"/>
            </w:tcMar>
            <w:vAlign w:val="center"/>
            <w:hideMark/>
          </w:tcPr>
          <w:p w:rsidR="007D5B28" w:rsidRPr="009D4B6A" w:rsidRDefault="007D5B28" w:rsidP="009D4B6A">
            <w:pPr>
              <w:spacing w:after="0"/>
              <w:ind w:firstLine="0"/>
              <w:jc w:val="lef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Complem. dispersión geográfica</w:t>
            </w:r>
          </w:p>
        </w:tc>
        <w:tc>
          <w:tcPr>
            <w:tcW w:w="4536" w:type="dxa"/>
            <w:noWrap/>
            <w:tcMar>
              <w:top w:w="0" w:type="dxa"/>
              <w:left w:w="70" w:type="dxa"/>
              <w:bottom w:w="0" w:type="dxa"/>
              <w:right w:w="70" w:type="dxa"/>
            </w:tcMar>
            <w:vAlign w:val="center"/>
            <w:hideMark/>
          </w:tcPr>
          <w:p w:rsidR="007D5B28" w:rsidRPr="009D4B6A" w:rsidRDefault="007D5B28" w:rsidP="009D4B6A">
            <w:pPr>
              <w:spacing w:after="0"/>
              <w:ind w:firstLine="0"/>
              <w:jc w:val="lef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Complemento personal médico por desplazamientos</w:t>
            </w: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1.988.544</w:t>
            </w: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1.021</w:t>
            </w:r>
          </w:p>
        </w:tc>
        <w:tc>
          <w:tcPr>
            <w:tcW w:w="1276" w:type="dxa"/>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jc w:val="right"/>
              <w:rPr>
                <w:rFonts w:ascii="Arial Narrow" w:eastAsia="Calibri" w:hAnsi="Arial Narrow" w:cs="Calibri"/>
                <w:color w:val="000000"/>
                <w:sz w:val="18"/>
                <w:szCs w:val="18"/>
                <w:lang w:val="es-ES" w:eastAsia="es-ES_tradnl"/>
              </w:rPr>
            </w:pP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1.949</w:t>
            </w:r>
          </w:p>
        </w:tc>
        <w:tc>
          <w:tcPr>
            <w:tcW w:w="1276" w:type="dxa"/>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jc w:val="right"/>
              <w:rPr>
                <w:rFonts w:ascii="Arial Narrow" w:eastAsia="Calibri" w:hAnsi="Arial Narrow" w:cs="Calibri"/>
                <w:color w:val="000000"/>
                <w:sz w:val="18"/>
                <w:szCs w:val="18"/>
                <w:lang w:val="es-ES" w:eastAsia="es-ES_tradnl"/>
              </w:rPr>
            </w:pPr>
          </w:p>
        </w:tc>
      </w:tr>
      <w:tr w:rsidR="007D5B28" w:rsidRPr="009D4B6A" w:rsidTr="00A84ECB">
        <w:trPr>
          <w:trHeight w:val="284"/>
          <w:jc w:val="center"/>
        </w:trPr>
        <w:tc>
          <w:tcPr>
            <w:tcW w:w="562" w:type="dxa"/>
            <w:vAlign w:val="center"/>
          </w:tcPr>
          <w:p w:rsidR="007D5B28" w:rsidRPr="009D4B6A" w:rsidRDefault="007D5B28" w:rsidP="009D4B6A">
            <w:pPr>
              <w:spacing w:after="0"/>
              <w:ind w:firstLine="0"/>
              <w:jc w:val="center"/>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1709</w:t>
            </w:r>
          </w:p>
        </w:tc>
        <w:tc>
          <w:tcPr>
            <w:tcW w:w="2835" w:type="dxa"/>
            <w:noWrap/>
            <w:tcMar>
              <w:top w:w="0" w:type="dxa"/>
              <w:left w:w="70" w:type="dxa"/>
              <w:bottom w:w="0" w:type="dxa"/>
              <w:right w:w="70" w:type="dxa"/>
            </w:tcMar>
            <w:vAlign w:val="center"/>
            <w:hideMark/>
          </w:tcPr>
          <w:p w:rsidR="007D5B28" w:rsidRPr="009D4B6A" w:rsidRDefault="007D5B28" w:rsidP="009D4B6A">
            <w:pPr>
              <w:spacing w:after="0"/>
              <w:ind w:firstLine="0"/>
              <w:jc w:val="lef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Otras retribuciones variables</w:t>
            </w:r>
          </w:p>
        </w:tc>
        <w:tc>
          <w:tcPr>
            <w:tcW w:w="4536" w:type="dxa"/>
            <w:noWrap/>
            <w:tcMar>
              <w:top w:w="0" w:type="dxa"/>
              <w:left w:w="70" w:type="dxa"/>
              <w:bottom w:w="0" w:type="dxa"/>
              <w:right w:w="70" w:type="dxa"/>
            </w:tcMar>
            <w:vAlign w:val="center"/>
            <w:hideMark/>
          </w:tcPr>
          <w:p w:rsidR="007D5B28" w:rsidRPr="009D4B6A" w:rsidRDefault="007D5B28" w:rsidP="009D4B6A">
            <w:pPr>
              <w:spacing w:after="0"/>
              <w:ind w:firstLine="0"/>
              <w:jc w:val="lef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Fundamentalmente complemento capitación</w:t>
            </w: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2.771.359</w:t>
            </w: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1.349</w:t>
            </w:r>
          </w:p>
        </w:tc>
        <w:tc>
          <w:tcPr>
            <w:tcW w:w="1276" w:type="dxa"/>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jc w:val="right"/>
              <w:rPr>
                <w:rFonts w:ascii="Arial Narrow" w:eastAsia="Calibri" w:hAnsi="Arial Narrow" w:cs="Calibri"/>
                <w:color w:val="000000"/>
                <w:sz w:val="18"/>
                <w:szCs w:val="18"/>
                <w:lang w:val="es-ES" w:eastAsia="es-ES_tradnl"/>
              </w:rPr>
            </w:pP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2.054</w:t>
            </w:r>
          </w:p>
        </w:tc>
        <w:tc>
          <w:tcPr>
            <w:tcW w:w="1276" w:type="dxa"/>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jc w:val="right"/>
              <w:rPr>
                <w:rFonts w:ascii="Arial Narrow" w:eastAsia="Calibri" w:hAnsi="Arial Narrow" w:cs="Calibri"/>
                <w:color w:val="000000"/>
                <w:sz w:val="18"/>
                <w:szCs w:val="18"/>
                <w:lang w:val="es-ES" w:eastAsia="es-ES_tradnl"/>
              </w:rPr>
            </w:pPr>
          </w:p>
        </w:tc>
      </w:tr>
      <w:tr w:rsidR="007D5B28" w:rsidRPr="009D4B6A" w:rsidTr="00A84ECB">
        <w:trPr>
          <w:trHeight w:val="284"/>
          <w:jc w:val="center"/>
        </w:trPr>
        <w:tc>
          <w:tcPr>
            <w:tcW w:w="562" w:type="dxa"/>
            <w:vAlign w:val="center"/>
          </w:tcPr>
          <w:p w:rsidR="007D5B28" w:rsidRPr="009D4B6A" w:rsidRDefault="007D5B28" w:rsidP="009D4B6A">
            <w:pPr>
              <w:spacing w:after="0"/>
              <w:ind w:firstLine="0"/>
              <w:jc w:val="center"/>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1710</w:t>
            </w:r>
          </w:p>
        </w:tc>
        <w:tc>
          <w:tcPr>
            <w:tcW w:w="2835" w:type="dxa"/>
            <w:noWrap/>
            <w:tcMar>
              <w:top w:w="0" w:type="dxa"/>
              <w:left w:w="70" w:type="dxa"/>
              <w:bottom w:w="0" w:type="dxa"/>
              <w:right w:w="70" w:type="dxa"/>
            </w:tcMar>
            <w:vAlign w:val="center"/>
            <w:hideMark/>
          </w:tcPr>
          <w:p w:rsidR="007D5B28" w:rsidRPr="009D4B6A" w:rsidRDefault="007D5B28" w:rsidP="009D4B6A">
            <w:pPr>
              <w:spacing w:after="0"/>
              <w:ind w:firstLine="0"/>
              <w:jc w:val="lef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Complemento de productividad</w:t>
            </w:r>
          </w:p>
        </w:tc>
        <w:tc>
          <w:tcPr>
            <w:tcW w:w="4536" w:type="dxa"/>
            <w:noWrap/>
            <w:tcMar>
              <w:top w:w="0" w:type="dxa"/>
              <w:left w:w="70" w:type="dxa"/>
              <w:bottom w:w="0" w:type="dxa"/>
              <w:right w:w="70" w:type="dxa"/>
            </w:tcMar>
            <w:vAlign w:val="center"/>
            <w:hideMark/>
          </w:tcPr>
          <w:p w:rsidR="007D5B28" w:rsidRPr="009D4B6A" w:rsidRDefault="007D5B28" w:rsidP="0084192C">
            <w:pPr>
              <w:spacing w:after="0"/>
              <w:ind w:firstLine="0"/>
              <w:jc w:val="lef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 xml:space="preserve">Fundamentalmente </w:t>
            </w:r>
            <w:r w:rsidR="0084192C">
              <w:rPr>
                <w:rFonts w:ascii="Arial Narrow" w:eastAsia="Calibri" w:hAnsi="Arial Narrow" w:cs="Calibri"/>
                <w:color w:val="000000"/>
                <w:sz w:val="18"/>
                <w:szCs w:val="18"/>
                <w:lang w:val="es-ES" w:eastAsia="es-ES_tradnl"/>
              </w:rPr>
              <w:t>productividad</w:t>
            </w:r>
            <w:r w:rsidRPr="009D4B6A">
              <w:rPr>
                <w:rFonts w:ascii="Arial Narrow" w:eastAsia="Calibri" w:hAnsi="Arial Narrow" w:cs="Calibri"/>
                <w:color w:val="000000"/>
                <w:sz w:val="18"/>
                <w:szCs w:val="18"/>
                <w:lang w:val="es-ES" w:eastAsia="es-ES_tradnl"/>
              </w:rPr>
              <w:t xml:space="preserve"> </w:t>
            </w: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5.310.500</w:t>
            </w: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1.712</w:t>
            </w:r>
          </w:p>
        </w:tc>
        <w:tc>
          <w:tcPr>
            <w:tcW w:w="1276" w:type="dxa"/>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jc w:val="right"/>
              <w:rPr>
                <w:rFonts w:ascii="Arial Narrow" w:eastAsia="Calibri" w:hAnsi="Arial Narrow" w:cs="Calibri"/>
                <w:color w:val="000000"/>
                <w:sz w:val="18"/>
                <w:szCs w:val="18"/>
                <w:lang w:val="es-ES" w:eastAsia="es-ES_tradnl"/>
              </w:rPr>
            </w:pP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3.106</w:t>
            </w:r>
          </w:p>
        </w:tc>
        <w:tc>
          <w:tcPr>
            <w:tcW w:w="1276" w:type="dxa"/>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jc w:val="right"/>
              <w:rPr>
                <w:rFonts w:ascii="Arial Narrow" w:eastAsia="Calibri" w:hAnsi="Arial Narrow" w:cs="Calibri"/>
                <w:color w:val="000000"/>
                <w:sz w:val="18"/>
                <w:szCs w:val="18"/>
                <w:lang w:val="es-ES" w:eastAsia="es-ES_tradnl"/>
              </w:rPr>
            </w:pPr>
          </w:p>
        </w:tc>
      </w:tr>
      <w:tr w:rsidR="007D5B28" w:rsidRPr="009D4B6A" w:rsidTr="00A84ECB">
        <w:trPr>
          <w:trHeight w:val="284"/>
          <w:jc w:val="center"/>
        </w:trPr>
        <w:tc>
          <w:tcPr>
            <w:tcW w:w="562" w:type="dxa"/>
            <w:vAlign w:val="center"/>
          </w:tcPr>
          <w:p w:rsidR="007D5B28" w:rsidRPr="009D4B6A" w:rsidRDefault="007D5B28" w:rsidP="009D4B6A">
            <w:pPr>
              <w:spacing w:after="0"/>
              <w:ind w:firstLine="0"/>
              <w:jc w:val="center"/>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1800</w:t>
            </w:r>
          </w:p>
        </w:tc>
        <w:tc>
          <w:tcPr>
            <w:tcW w:w="2835" w:type="dxa"/>
            <w:noWrap/>
            <w:tcMar>
              <w:top w:w="0" w:type="dxa"/>
              <w:left w:w="70" w:type="dxa"/>
              <w:bottom w:w="0" w:type="dxa"/>
              <w:right w:w="70" w:type="dxa"/>
            </w:tcMar>
            <w:vAlign w:val="center"/>
            <w:hideMark/>
          </w:tcPr>
          <w:p w:rsidR="007D5B28" w:rsidRPr="009D4B6A" w:rsidRDefault="007D5B28" w:rsidP="009D4B6A">
            <w:pPr>
              <w:spacing w:after="0"/>
              <w:ind w:firstLine="0"/>
              <w:jc w:val="lef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Otras retribuciones de personal</w:t>
            </w:r>
          </w:p>
        </w:tc>
        <w:tc>
          <w:tcPr>
            <w:tcW w:w="4536" w:type="dxa"/>
            <w:noWrap/>
            <w:tcMar>
              <w:top w:w="0" w:type="dxa"/>
              <w:left w:w="70" w:type="dxa"/>
              <w:bottom w:w="0" w:type="dxa"/>
              <w:right w:w="70" w:type="dxa"/>
            </w:tcMar>
            <w:vAlign w:val="center"/>
            <w:hideMark/>
          </w:tcPr>
          <w:p w:rsidR="007D5B28" w:rsidRPr="009D4B6A" w:rsidRDefault="002C6305" w:rsidP="002C6305">
            <w:pPr>
              <w:spacing w:after="0"/>
              <w:ind w:firstLine="0"/>
              <w:jc w:val="left"/>
              <w:rPr>
                <w:rFonts w:ascii="Arial Narrow" w:eastAsia="Calibri" w:hAnsi="Arial Narrow" w:cs="Calibri"/>
                <w:color w:val="000000"/>
                <w:sz w:val="18"/>
                <w:szCs w:val="18"/>
                <w:lang w:val="es-ES" w:eastAsia="es-ES_tradnl"/>
              </w:rPr>
            </w:pPr>
            <w:r>
              <w:rPr>
                <w:rFonts w:ascii="Arial Narrow" w:eastAsia="Calibri" w:hAnsi="Arial Narrow" w:cs="Calibri"/>
                <w:color w:val="000000"/>
                <w:sz w:val="18"/>
                <w:szCs w:val="18"/>
                <w:lang w:val="es-ES" w:eastAsia="es-ES_tradnl"/>
              </w:rPr>
              <w:t>A</w:t>
            </w:r>
            <w:r w:rsidR="007D5B28" w:rsidRPr="009D4B6A">
              <w:rPr>
                <w:rFonts w:ascii="Arial Narrow" w:eastAsia="Calibri" w:hAnsi="Arial Narrow" w:cs="Calibri"/>
                <w:color w:val="000000"/>
                <w:sz w:val="18"/>
                <w:szCs w:val="18"/>
                <w:lang w:val="es-ES" w:eastAsia="es-ES_tradnl"/>
              </w:rPr>
              <w:t>trasos complemento de destino</w:t>
            </w: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52.106</w:t>
            </w: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2.171</w:t>
            </w:r>
          </w:p>
        </w:tc>
        <w:tc>
          <w:tcPr>
            <w:tcW w:w="1276" w:type="dxa"/>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jc w:val="right"/>
              <w:rPr>
                <w:rFonts w:ascii="Arial Narrow" w:eastAsia="Calibri" w:hAnsi="Arial Narrow" w:cs="Calibri"/>
                <w:color w:val="000000"/>
                <w:sz w:val="18"/>
                <w:szCs w:val="18"/>
                <w:lang w:val="es-ES" w:eastAsia="es-ES_tradnl"/>
              </w:rPr>
            </w:pP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24</w:t>
            </w:r>
          </w:p>
        </w:tc>
        <w:tc>
          <w:tcPr>
            <w:tcW w:w="1276" w:type="dxa"/>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jc w:val="right"/>
              <w:rPr>
                <w:rFonts w:ascii="Arial Narrow" w:eastAsia="Calibri" w:hAnsi="Arial Narrow" w:cs="Calibri"/>
                <w:color w:val="000000"/>
                <w:sz w:val="18"/>
                <w:szCs w:val="18"/>
                <w:lang w:val="es-ES" w:eastAsia="es-ES_tradnl"/>
              </w:rPr>
            </w:pPr>
          </w:p>
        </w:tc>
      </w:tr>
      <w:tr w:rsidR="007D5B28" w:rsidRPr="009D4B6A" w:rsidTr="00A84ECB">
        <w:trPr>
          <w:trHeight w:val="284"/>
          <w:jc w:val="center"/>
        </w:trPr>
        <w:tc>
          <w:tcPr>
            <w:tcW w:w="562" w:type="dxa"/>
            <w:vAlign w:val="center"/>
          </w:tcPr>
          <w:p w:rsidR="007D5B28" w:rsidRPr="009D4B6A" w:rsidRDefault="007D5B28" w:rsidP="009D4B6A">
            <w:pPr>
              <w:spacing w:after="0"/>
              <w:ind w:firstLine="0"/>
              <w:jc w:val="center"/>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1810</w:t>
            </w:r>
          </w:p>
        </w:tc>
        <w:tc>
          <w:tcPr>
            <w:tcW w:w="2835" w:type="dxa"/>
            <w:noWrap/>
            <w:tcMar>
              <w:top w:w="0" w:type="dxa"/>
              <w:left w:w="70" w:type="dxa"/>
              <w:bottom w:w="0" w:type="dxa"/>
              <w:right w:w="70" w:type="dxa"/>
            </w:tcMar>
            <w:vAlign w:val="center"/>
            <w:hideMark/>
          </w:tcPr>
          <w:p w:rsidR="007D5B28" w:rsidRPr="009D4B6A" w:rsidRDefault="007D5B28" w:rsidP="009D4B6A">
            <w:pPr>
              <w:spacing w:after="0"/>
              <w:ind w:firstLine="0"/>
              <w:jc w:val="lef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Retribuciones de personal de ejercicios anteriores</w:t>
            </w:r>
          </w:p>
        </w:tc>
        <w:tc>
          <w:tcPr>
            <w:tcW w:w="4536" w:type="dxa"/>
            <w:noWrap/>
            <w:tcMar>
              <w:top w:w="0" w:type="dxa"/>
              <w:left w:w="70" w:type="dxa"/>
              <w:bottom w:w="0" w:type="dxa"/>
              <w:right w:w="70" w:type="dxa"/>
            </w:tcMar>
            <w:vAlign w:val="center"/>
            <w:hideMark/>
          </w:tcPr>
          <w:p w:rsidR="007D5B28" w:rsidRPr="009D4B6A" w:rsidRDefault="007D5B28" w:rsidP="007B55E1">
            <w:pPr>
              <w:spacing w:after="0"/>
              <w:ind w:firstLine="0"/>
              <w:jc w:val="lef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Fundamentalmente</w:t>
            </w:r>
            <w:r w:rsidR="007B55E1">
              <w:rPr>
                <w:rFonts w:ascii="Arial Narrow" w:eastAsia="Calibri" w:hAnsi="Arial Narrow" w:cs="Calibri"/>
                <w:color w:val="000000"/>
                <w:sz w:val="18"/>
                <w:szCs w:val="18"/>
                <w:lang w:val="es-ES" w:eastAsia="es-ES_tradnl"/>
              </w:rPr>
              <w:t xml:space="preserve"> </w:t>
            </w:r>
            <w:r w:rsidRPr="009D4B6A">
              <w:rPr>
                <w:rFonts w:ascii="Arial Narrow" w:eastAsia="Calibri" w:hAnsi="Arial Narrow" w:cs="Calibri"/>
                <w:color w:val="000000"/>
                <w:sz w:val="18"/>
                <w:szCs w:val="18"/>
                <w:lang w:val="es-ES" w:eastAsia="es-ES_tradnl"/>
              </w:rPr>
              <w:t>devolución parcial paga extra</w:t>
            </w: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18.181.471</w:t>
            </w: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621</w:t>
            </w:r>
          </w:p>
        </w:tc>
        <w:tc>
          <w:tcPr>
            <w:tcW w:w="1276" w:type="dxa"/>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jc w:val="right"/>
              <w:rPr>
                <w:rFonts w:ascii="Arial Narrow" w:eastAsia="Calibri" w:hAnsi="Arial Narrow" w:cs="Calibri"/>
                <w:color w:val="000000"/>
                <w:sz w:val="18"/>
                <w:szCs w:val="18"/>
                <w:lang w:val="es-ES" w:eastAsia="es-ES_tradnl"/>
              </w:rPr>
            </w:pP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29.284</w:t>
            </w:r>
          </w:p>
        </w:tc>
        <w:tc>
          <w:tcPr>
            <w:tcW w:w="1276" w:type="dxa"/>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jc w:val="right"/>
              <w:rPr>
                <w:rFonts w:ascii="Arial Narrow" w:eastAsia="Calibri" w:hAnsi="Arial Narrow" w:cs="Calibri"/>
                <w:color w:val="000000"/>
                <w:sz w:val="18"/>
                <w:szCs w:val="18"/>
                <w:lang w:val="es-ES" w:eastAsia="es-ES_tradnl"/>
              </w:rPr>
            </w:pPr>
          </w:p>
        </w:tc>
      </w:tr>
      <w:tr w:rsidR="007D5B28" w:rsidRPr="009D4B6A" w:rsidTr="00A84ECB">
        <w:trPr>
          <w:trHeight w:val="284"/>
          <w:jc w:val="center"/>
        </w:trPr>
        <w:tc>
          <w:tcPr>
            <w:tcW w:w="562" w:type="dxa"/>
            <w:vAlign w:val="center"/>
          </w:tcPr>
          <w:p w:rsidR="007D5B28" w:rsidRPr="009D4B6A" w:rsidRDefault="007D5B28" w:rsidP="009D4B6A">
            <w:pPr>
              <w:spacing w:after="0"/>
              <w:ind w:firstLine="0"/>
              <w:jc w:val="center"/>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1820</w:t>
            </w:r>
          </w:p>
        </w:tc>
        <w:tc>
          <w:tcPr>
            <w:tcW w:w="2835" w:type="dxa"/>
            <w:noWrap/>
            <w:tcMar>
              <w:top w:w="0" w:type="dxa"/>
              <w:left w:w="70" w:type="dxa"/>
              <w:bottom w:w="0" w:type="dxa"/>
              <w:right w:w="70" w:type="dxa"/>
            </w:tcMar>
            <w:vAlign w:val="center"/>
            <w:hideMark/>
          </w:tcPr>
          <w:p w:rsidR="007D5B28" w:rsidRPr="009D4B6A" w:rsidRDefault="007D5B28" w:rsidP="009D4B6A">
            <w:pPr>
              <w:spacing w:after="0"/>
              <w:ind w:firstLine="0"/>
              <w:jc w:val="lef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Retribución por ejecución de sentencias y otras indemnizaciones</w:t>
            </w:r>
          </w:p>
        </w:tc>
        <w:tc>
          <w:tcPr>
            <w:tcW w:w="4536" w:type="dxa"/>
            <w:noWrap/>
            <w:tcMar>
              <w:top w:w="0" w:type="dxa"/>
              <w:left w:w="70" w:type="dxa"/>
              <w:bottom w:w="0" w:type="dxa"/>
              <w:right w:w="70" w:type="dxa"/>
            </w:tcMar>
            <w:vAlign w:val="center"/>
            <w:hideMark/>
          </w:tcPr>
          <w:p w:rsidR="007D5B28" w:rsidRPr="009D4B6A" w:rsidRDefault="007D5B28" w:rsidP="009D4B6A">
            <w:pPr>
              <w:spacing w:after="0"/>
              <w:ind w:firstLine="0"/>
              <w:jc w:val="lef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Remuneración por ejecución de sentencias e indemnizaciones</w:t>
            </w: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457.184</w:t>
            </w: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2.458</w:t>
            </w:r>
          </w:p>
        </w:tc>
        <w:tc>
          <w:tcPr>
            <w:tcW w:w="1276" w:type="dxa"/>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lang w:val="es-ES" w:eastAsia="es-ES_tradnl"/>
              </w:rPr>
            </w:pP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lang w:val="es-ES" w:eastAsia="es-ES_tradnl"/>
              </w:rPr>
            </w:pPr>
            <w:r w:rsidRPr="009D4B6A">
              <w:rPr>
                <w:rFonts w:ascii="Arial Narrow" w:eastAsia="Calibri" w:hAnsi="Arial Narrow" w:cs="Calibri"/>
                <w:color w:val="000000"/>
                <w:sz w:val="18"/>
                <w:szCs w:val="18"/>
                <w:lang w:val="es-ES" w:eastAsia="es-ES_tradnl"/>
              </w:rPr>
              <w:t>186</w:t>
            </w:r>
          </w:p>
        </w:tc>
        <w:tc>
          <w:tcPr>
            <w:tcW w:w="1276" w:type="dxa"/>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lang w:val="es-ES" w:eastAsia="es-ES_tradnl"/>
              </w:rPr>
            </w:pPr>
          </w:p>
        </w:tc>
      </w:tr>
    </w:tbl>
    <w:p w:rsidR="009D4B6A" w:rsidRPr="008F1C68" w:rsidRDefault="009D4B6A">
      <w:pPr>
        <w:spacing w:after="0"/>
        <w:ind w:firstLine="0"/>
        <w:jc w:val="left"/>
        <w:rPr>
          <w:sz w:val="18"/>
          <w:szCs w:val="18"/>
          <w:lang w:val="es-ES"/>
        </w:rPr>
      </w:pPr>
    </w:p>
    <w:p w:rsidR="009D4B6A" w:rsidRDefault="009D4B6A" w:rsidP="00434A2E">
      <w:pPr>
        <w:pStyle w:val="texto"/>
        <w:rPr>
          <w:lang w:val="es-ES"/>
        </w:rPr>
        <w:sectPr w:rsidR="009D4B6A" w:rsidSect="009D4B6A">
          <w:pgSz w:w="16840" w:h="11907" w:orient="landscape" w:code="9"/>
          <w:pgMar w:top="1559" w:right="2109" w:bottom="1559" w:left="1644" w:header="369" w:footer="136" w:gutter="0"/>
          <w:cols w:space="720"/>
          <w:docGrid w:linePitch="360"/>
        </w:sectPr>
      </w:pPr>
    </w:p>
    <w:p w:rsidR="00AA3922" w:rsidRDefault="007F36B4" w:rsidP="00434A2E">
      <w:pPr>
        <w:pStyle w:val="texto"/>
        <w:rPr>
          <w:lang w:val="es-ES"/>
        </w:rPr>
      </w:pPr>
      <w:r>
        <w:rPr>
          <w:lang w:val="es-ES"/>
        </w:rPr>
        <w:t>Del trabajo realizado</w:t>
      </w:r>
      <w:r w:rsidR="00BB3987">
        <w:rPr>
          <w:lang w:val="es-ES"/>
        </w:rPr>
        <w:t xml:space="preserve"> </w:t>
      </w:r>
      <w:r w:rsidR="00AA3922" w:rsidRPr="00AA3922">
        <w:rPr>
          <w:lang w:val="es-ES"/>
        </w:rPr>
        <w:t>des</w:t>
      </w:r>
      <w:r w:rsidR="00AA3922">
        <w:rPr>
          <w:lang w:val="es-ES"/>
        </w:rPr>
        <w:t>tacamos:</w:t>
      </w:r>
    </w:p>
    <w:p w:rsidR="00256D82" w:rsidRDefault="00256D82" w:rsidP="00256D82">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Pr>
          <w:lang w:val="es-ES"/>
        </w:rPr>
        <w:t>En 2015, un total de 34.628 personas han percibido retribuciones del Gobierno de Navarra.</w:t>
      </w:r>
    </w:p>
    <w:p w:rsidR="006E4980" w:rsidRPr="00256D82" w:rsidRDefault="006E4980" w:rsidP="00256D82">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sidRPr="00256D82">
        <w:rPr>
          <w:lang w:val="es-ES"/>
        </w:rPr>
        <w:t>De la revisión sobre una muestra de estos gastos concluimos que los mismos responden propiamente a conceptos retributivos y que, en términos generales, su imputación presupuestaria es adecuada.</w:t>
      </w:r>
    </w:p>
    <w:p w:rsidR="00B75C90" w:rsidRPr="000E1A1D" w:rsidRDefault="00256D82" w:rsidP="00434A2E">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Pr>
          <w:lang w:val="es-ES"/>
        </w:rPr>
        <w:t>La r</w:t>
      </w:r>
      <w:r w:rsidR="00B75C90" w:rsidRPr="000E1A1D">
        <w:rPr>
          <w:lang w:val="es-ES"/>
        </w:rPr>
        <w:t>etribución del personal fijo</w:t>
      </w:r>
      <w:r w:rsidR="00080934">
        <w:rPr>
          <w:lang w:val="es-ES"/>
        </w:rPr>
        <w:t xml:space="preserve"> (subconcepto 1200</w:t>
      </w:r>
      <w:r w:rsidR="00685C1D">
        <w:rPr>
          <w:lang w:val="es-ES"/>
        </w:rPr>
        <w:t>)</w:t>
      </w:r>
      <w:r w:rsidR="00E65853">
        <w:rPr>
          <w:lang w:val="es-ES"/>
        </w:rPr>
        <w:t xml:space="preserve"> se distribuye básicamente entre: el 38 por ciento del gasto corresponde a Educación, un 34 por ciento al SNS-O y un 19 por ciento a la Administración Núcleo.</w:t>
      </w:r>
    </w:p>
    <w:p w:rsidR="000E1A1D" w:rsidRPr="009C6210" w:rsidRDefault="00256D82" w:rsidP="00256D82">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Pr>
          <w:lang w:val="es-ES"/>
        </w:rPr>
        <w:t>En la r</w:t>
      </w:r>
      <w:r w:rsidR="00B75C90" w:rsidRPr="000E1A1D">
        <w:rPr>
          <w:lang w:val="es-ES"/>
        </w:rPr>
        <w:t>etribución personal contratado plazas reservadas</w:t>
      </w:r>
      <w:r w:rsidR="00080934">
        <w:rPr>
          <w:lang w:val="es-ES"/>
        </w:rPr>
        <w:t xml:space="preserve"> (subconcepto 1210)</w:t>
      </w:r>
      <w:r>
        <w:rPr>
          <w:lang w:val="es-ES"/>
        </w:rPr>
        <w:t>, e</w:t>
      </w:r>
      <w:r w:rsidR="00B75C90" w:rsidRPr="000E1A1D">
        <w:rPr>
          <w:lang w:val="es-ES"/>
        </w:rPr>
        <w:t>l 60</w:t>
      </w:r>
      <w:r w:rsidR="000E1A1D">
        <w:rPr>
          <w:lang w:val="es-ES"/>
        </w:rPr>
        <w:t xml:space="preserve"> por ciento </w:t>
      </w:r>
      <w:r w:rsidR="00B75C90" w:rsidRPr="000E1A1D">
        <w:rPr>
          <w:lang w:val="es-ES"/>
        </w:rPr>
        <w:t>corresponde al SNS</w:t>
      </w:r>
      <w:r w:rsidR="000E1A1D">
        <w:rPr>
          <w:lang w:val="es-ES"/>
        </w:rPr>
        <w:t>-O</w:t>
      </w:r>
      <w:r w:rsidR="00B75C90" w:rsidRPr="000E1A1D">
        <w:rPr>
          <w:lang w:val="es-ES"/>
        </w:rPr>
        <w:t>,</w:t>
      </w:r>
      <w:r w:rsidR="000E1A1D">
        <w:rPr>
          <w:lang w:val="es-ES"/>
        </w:rPr>
        <w:t xml:space="preserve"> el </w:t>
      </w:r>
      <w:r w:rsidR="00B75C90" w:rsidRPr="000E1A1D">
        <w:rPr>
          <w:lang w:val="es-ES"/>
        </w:rPr>
        <w:t>25</w:t>
      </w:r>
      <w:r w:rsidR="000E1A1D">
        <w:rPr>
          <w:lang w:val="es-ES"/>
        </w:rPr>
        <w:t xml:space="preserve"> por ciento a </w:t>
      </w:r>
      <w:r w:rsidR="00B75C90" w:rsidRPr="000E1A1D">
        <w:rPr>
          <w:lang w:val="es-ES"/>
        </w:rPr>
        <w:t>Educación,</w:t>
      </w:r>
      <w:r w:rsidR="000E1A1D">
        <w:rPr>
          <w:lang w:val="es-ES"/>
        </w:rPr>
        <w:t xml:space="preserve"> y el 15 por ciento al </w:t>
      </w:r>
      <w:r w:rsidR="00B75C90" w:rsidRPr="000E1A1D">
        <w:rPr>
          <w:lang w:val="es-ES"/>
        </w:rPr>
        <w:t xml:space="preserve">resto de departamentos y </w:t>
      </w:r>
      <w:r w:rsidR="000E1A1D">
        <w:rPr>
          <w:lang w:val="es-ES"/>
        </w:rPr>
        <w:t>de OOAA</w:t>
      </w:r>
      <w:r w:rsidR="00B75C90" w:rsidRPr="000E1A1D">
        <w:rPr>
          <w:lang w:val="es-ES"/>
        </w:rPr>
        <w:t>.</w:t>
      </w:r>
      <w:r w:rsidR="000E1A1D">
        <w:rPr>
          <w:lang w:val="es-ES"/>
        </w:rPr>
        <w:t xml:space="preserve"> </w:t>
      </w:r>
    </w:p>
    <w:p w:rsidR="00B75C90" w:rsidRPr="001C750E" w:rsidRDefault="00ED33C9" w:rsidP="001C750E">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La r</w:t>
      </w:r>
      <w:r w:rsidR="00B75C90" w:rsidRPr="001C750E">
        <w:t>etribución personal contratado para cubrir vacantes</w:t>
      </w:r>
      <w:r w:rsidR="00080934">
        <w:t xml:space="preserve"> </w:t>
      </w:r>
      <w:r w:rsidR="00080934">
        <w:rPr>
          <w:lang w:val="es-ES"/>
        </w:rPr>
        <w:t>(subconcepto 1211)</w:t>
      </w:r>
      <w:r w:rsidR="00256D82">
        <w:rPr>
          <w:lang w:val="es-ES"/>
        </w:rPr>
        <w:t>, el 67 por ciento corresponde al SNS-O.</w:t>
      </w:r>
      <w:r w:rsidR="001C750E">
        <w:t xml:space="preserve"> </w:t>
      </w:r>
    </w:p>
    <w:p w:rsidR="00B75C90" w:rsidRPr="00434A2E" w:rsidRDefault="00ED33C9" w:rsidP="001C750E">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rFonts w:ascii="Perpetua" w:hAnsi="Perpetua"/>
          <w:i/>
          <w:iCs/>
          <w:spacing w:val="0"/>
          <w:szCs w:val="26"/>
        </w:rPr>
      </w:pPr>
      <w:r>
        <w:t>En la r</w:t>
      </w:r>
      <w:r w:rsidR="00B75C90" w:rsidRPr="001C750E">
        <w:t>etribución personal contratado temporal</w:t>
      </w:r>
      <w:r w:rsidR="00080934">
        <w:t xml:space="preserve"> </w:t>
      </w:r>
      <w:r w:rsidR="00080934">
        <w:rPr>
          <w:lang w:val="es-ES"/>
        </w:rPr>
        <w:t>(subconcepto 1220</w:t>
      </w:r>
      <w:r w:rsidR="00256D82">
        <w:rPr>
          <w:lang w:val="es-ES"/>
        </w:rPr>
        <w:t>), e</w:t>
      </w:r>
      <w:r w:rsidR="00B75C90" w:rsidRPr="00434A2E">
        <w:rPr>
          <w:spacing w:val="0"/>
        </w:rPr>
        <w:t>l 78</w:t>
      </w:r>
      <w:r w:rsidR="001C750E" w:rsidRPr="00434A2E">
        <w:rPr>
          <w:spacing w:val="0"/>
        </w:rPr>
        <w:t xml:space="preserve"> por ciento corresponde a</w:t>
      </w:r>
      <w:r w:rsidR="00B75C90" w:rsidRPr="00434A2E">
        <w:rPr>
          <w:spacing w:val="0"/>
        </w:rPr>
        <w:t xml:space="preserve"> Educación </w:t>
      </w:r>
      <w:r w:rsidR="001C750E" w:rsidRPr="00434A2E">
        <w:rPr>
          <w:spacing w:val="0"/>
        </w:rPr>
        <w:t xml:space="preserve">y el </w:t>
      </w:r>
      <w:r w:rsidR="00B75C90" w:rsidRPr="00434A2E">
        <w:rPr>
          <w:spacing w:val="0"/>
        </w:rPr>
        <w:t>20</w:t>
      </w:r>
      <w:r w:rsidR="001C750E" w:rsidRPr="00434A2E">
        <w:rPr>
          <w:spacing w:val="0"/>
        </w:rPr>
        <w:t xml:space="preserve"> por ciento a SNS-O.</w:t>
      </w:r>
      <w:r w:rsidR="001C750E" w:rsidRPr="00434A2E">
        <w:rPr>
          <w:rFonts w:ascii="Perpetua" w:hAnsi="Perpetua"/>
          <w:i/>
          <w:iCs/>
          <w:spacing w:val="0"/>
          <w:szCs w:val="26"/>
        </w:rPr>
        <w:t xml:space="preserve"> </w:t>
      </w:r>
    </w:p>
    <w:p w:rsidR="00B75C90" w:rsidRPr="00BB3987" w:rsidRDefault="00ED33C9" w:rsidP="00BB3987">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La r</w:t>
      </w:r>
      <w:r w:rsidR="00B75C90" w:rsidRPr="00BB3987">
        <w:t>etribución personal contratado para campañas</w:t>
      </w:r>
      <w:r w:rsidR="00080934">
        <w:t xml:space="preserve"> </w:t>
      </w:r>
      <w:r w:rsidR="00080934">
        <w:rPr>
          <w:lang w:val="es-ES"/>
        </w:rPr>
        <w:t>(subconcepto 1221</w:t>
      </w:r>
      <w:r w:rsidR="00256D82">
        <w:rPr>
          <w:lang w:val="es-ES"/>
        </w:rPr>
        <w:t>), e</w:t>
      </w:r>
      <w:r w:rsidR="00B75C90" w:rsidRPr="00BB3987">
        <w:t xml:space="preserve">l 91 </w:t>
      </w:r>
      <w:r w:rsidR="00BB3987">
        <w:t>por ciento es del SN</w:t>
      </w:r>
      <w:r w:rsidR="001F69EA">
        <w:t>S</w:t>
      </w:r>
      <w:r w:rsidR="00BB3987">
        <w:t>-O</w:t>
      </w:r>
      <w:r w:rsidR="001F69EA">
        <w:t>,</w:t>
      </w:r>
      <w:r w:rsidR="00BB3987">
        <w:t xml:space="preserve"> el s</w:t>
      </w:r>
      <w:r w:rsidR="00F67399">
        <w:t>eis</w:t>
      </w:r>
      <w:r w:rsidR="00BB3987">
        <w:t xml:space="preserve"> por ciento de la extinta Agencia Navarra de Emergencias</w:t>
      </w:r>
      <w:r w:rsidR="001F69EA">
        <w:t xml:space="preserve"> y el dos por ciento a la HTN</w:t>
      </w:r>
      <w:r w:rsidR="00BB3987">
        <w:t>.</w:t>
      </w:r>
      <w:r w:rsidR="00B75C90" w:rsidRPr="00BB3987">
        <w:t xml:space="preserve"> </w:t>
      </w:r>
    </w:p>
    <w:p w:rsidR="00B75C90" w:rsidRPr="00236CD6" w:rsidRDefault="00B75C90" w:rsidP="00236CD6">
      <w:pPr>
        <w:pStyle w:val="texto"/>
        <w:tabs>
          <w:tab w:val="num" w:pos="300"/>
        </w:tabs>
        <w:spacing w:after="120"/>
        <w:rPr>
          <w:lang w:val="es-ES"/>
        </w:rPr>
      </w:pPr>
      <w:r w:rsidRPr="00F67399">
        <w:rPr>
          <w:lang w:val="es-ES"/>
        </w:rPr>
        <w:t xml:space="preserve">Observamos que se imputan a esta partida guardias por </w:t>
      </w:r>
      <w:r w:rsidR="009D543C">
        <w:rPr>
          <w:lang w:val="es-ES"/>
        </w:rPr>
        <w:t>importe</w:t>
      </w:r>
      <w:r w:rsidRPr="00F67399">
        <w:rPr>
          <w:lang w:val="es-ES"/>
        </w:rPr>
        <w:t xml:space="preserve"> de 6</w:t>
      </w:r>
      <w:r w:rsidR="00207D55">
        <w:rPr>
          <w:lang w:val="es-ES"/>
        </w:rPr>
        <w:t>,</w:t>
      </w:r>
      <w:r w:rsidRPr="00F67399">
        <w:rPr>
          <w:lang w:val="es-ES"/>
        </w:rPr>
        <w:t>4 millo</w:t>
      </w:r>
      <w:r w:rsidR="009D543C">
        <w:rPr>
          <w:lang w:val="es-ES"/>
        </w:rPr>
        <w:t>nes, cuando existe una partida presupuestaria específica para registrar tal gasto (</w:t>
      </w:r>
      <w:r w:rsidR="00D76AB5">
        <w:rPr>
          <w:lang w:val="es-ES"/>
        </w:rPr>
        <w:t xml:space="preserve">subconcepto </w:t>
      </w:r>
      <w:r w:rsidRPr="00F67399">
        <w:rPr>
          <w:lang w:val="es-ES"/>
        </w:rPr>
        <w:t>1704)</w:t>
      </w:r>
      <w:r w:rsidR="009D543C">
        <w:rPr>
          <w:lang w:val="es-ES"/>
        </w:rPr>
        <w:t>.</w:t>
      </w:r>
      <w:r w:rsidR="002F65F6">
        <w:rPr>
          <w:lang w:val="es-ES"/>
        </w:rPr>
        <w:t xml:space="preserve"> </w:t>
      </w:r>
    </w:p>
    <w:p w:rsidR="00B75C90" w:rsidRDefault="00ED33C9" w:rsidP="00C306EA">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rFonts w:ascii="Perpetua" w:hAnsi="Perpetua"/>
          <w:i/>
          <w:iCs/>
          <w:szCs w:val="26"/>
        </w:rPr>
      </w:pPr>
      <w:r>
        <w:rPr>
          <w:lang w:val="es-ES"/>
        </w:rPr>
        <w:t>En la</w:t>
      </w:r>
      <w:r w:rsidR="00A928C1">
        <w:rPr>
          <w:lang w:val="es-ES"/>
        </w:rPr>
        <w:t>s retribuciones</w:t>
      </w:r>
      <w:r w:rsidR="00A928C1">
        <w:t xml:space="preserve"> de </w:t>
      </w:r>
      <w:r w:rsidR="00B75C90" w:rsidRPr="00C306EA">
        <w:t xml:space="preserve"> personal contratado para sustituciones</w:t>
      </w:r>
      <w:r w:rsidR="00C306EA" w:rsidRPr="00C306EA">
        <w:t xml:space="preserve"> (subconcepto 12</w:t>
      </w:r>
      <w:r w:rsidR="00C306EA">
        <w:t>50</w:t>
      </w:r>
      <w:r w:rsidR="00C306EA" w:rsidRPr="00C306EA">
        <w:t>)</w:t>
      </w:r>
      <w:r>
        <w:t>, e</w:t>
      </w:r>
      <w:r w:rsidR="00B75C90" w:rsidRPr="00C306EA">
        <w:t xml:space="preserve">l </w:t>
      </w:r>
      <w:r w:rsidR="00C306EA" w:rsidRPr="00C306EA">
        <w:t xml:space="preserve">67 </w:t>
      </w:r>
      <w:r w:rsidR="00C306EA">
        <w:t>por ciento del gasto corresponde al SNS-O y el</w:t>
      </w:r>
      <w:r w:rsidR="00C306EA" w:rsidRPr="00C306EA">
        <w:t xml:space="preserve"> </w:t>
      </w:r>
      <w:r w:rsidR="00B75C90" w:rsidRPr="00C306EA">
        <w:t>25</w:t>
      </w:r>
      <w:r w:rsidR="00C306EA">
        <w:t xml:space="preserve"> por ciento del gasto </w:t>
      </w:r>
      <w:r w:rsidR="00B75C90" w:rsidRPr="00C306EA">
        <w:t>a Educación</w:t>
      </w:r>
      <w:r w:rsidR="00C306EA">
        <w:t>.</w:t>
      </w:r>
      <w:r w:rsidR="00C306EA">
        <w:rPr>
          <w:rFonts w:ascii="Perpetua" w:hAnsi="Perpetua"/>
          <w:i/>
          <w:iCs/>
          <w:szCs w:val="26"/>
        </w:rPr>
        <w:t xml:space="preserve"> </w:t>
      </w:r>
    </w:p>
    <w:p w:rsidR="00C306EA" w:rsidRPr="00ED33C9" w:rsidRDefault="00B75C90" w:rsidP="00ED33C9">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rsidRPr="00C306EA">
        <w:t>Retribuciones personales</w:t>
      </w:r>
      <w:r w:rsidR="00C306EA" w:rsidRPr="00C306EA">
        <w:t xml:space="preserve"> (</w:t>
      </w:r>
      <w:r w:rsidR="00C306EA">
        <w:t>subconcepto 1400)</w:t>
      </w:r>
      <w:r w:rsidR="00ED33C9">
        <w:t>, incluye</w:t>
      </w:r>
      <w:r w:rsidR="00AF77A6">
        <w:t>, entre otros,</w:t>
      </w:r>
      <w:r w:rsidRPr="00C306EA">
        <w:t xml:space="preserve"> </w:t>
      </w:r>
      <w:r w:rsidR="00C306EA" w:rsidRPr="00ED33C9">
        <w:rPr>
          <w:lang w:val="es-ES"/>
        </w:rPr>
        <w:t xml:space="preserve">las </w:t>
      </w:r>
      <w:r w:rsidR="00A928C1">
        <w:rPr>
          <w:lang w:val="es-ES"/>
        </w:rPr>
        <w:t>remuneraciones por grado</w:t>
      </w:r>
      <w:r w:rsidR="00AF77A6">
        <w:rPr>
          <w:lang w:val="es-ES"/>
        </w:rPr>
        <w:t xml:space="preserve">, </w:t>
      </w:r>
      <w:r w:rsidR="00FF6774" w:rsidRPr="00ED33C9">
        <w:rPr>
          <w:lang w:val="es-ES"/>
        </w:rPr>
        <w:t>66</w:t>
      </w:r>
      <w:r w:rsidR="00C306EA" w:rsidRPr="00ED33C9">
        <w:rPr>
          <w:lang w:val="es-ES"/>
        </w:rPr>
        <w:t xml:space="preserve"> millones</w:t>
      </w:r>
      <w:r w:rsidR="00AF77A6">
        <w:rPr>
          <w:lang w:val="es-ES"/>
        </w:rPr>
        <w:t>.</w:t>
      </w:r>
      <w:r w:rsidR="00C306EA" w:rsidRPr="00ED33C9">
        <w:rPr>
          <w:lang w:val="es-ES"/>
        </w:rPr>
        <w:t xml:space="preserve"> </w:t>
      </w:r>
    </w:p>
    <w:p w:rsidR="00B75C90" w:rsidRDefault="00C23CFC" w:rsidP="00427049">
      <w:pPr>
        <w:pStyle w:val="texto"/>
        <w:tabs>
          <w:tab w:val="num" w:pos="300"/>
        </w:tabs>
        <w:spacing w:after="120"/>
        <w:rPr>
          <w:lang w:val="es-ES"/>
        </w:rPr>
      </w:pPr>
      <w:r>
        <w:rPr>
          <w:lang w:val="es-ES"/>
        </w:rPr>
        <w:t xml:space="preserve">Hemos comprobado </w:t>
      </w:r>
      <w:r w:rsidR="00C306EA">
        <w:rPr>
          <w:lang w:val="es-ES"/>
        </w:rPr>
        <w:t>que ninguna persona que percibe grado cobra simultáneamente</w:t>
      </w:r>
      <w:r w:rsidR="00B75C90" w:rsidRPr="00C306EA">
        <w:rPr>
          <w:lang w:val="es-ES"/>
        </w:rPr>
        <w:t xml:space="preserve"> trienio ni viceversa.</w:t>
      </w:r>
    </w:p>
    <w:p w:rsidR="00B75C90" w:rsidRPr="00427049" w:rsidRDefault="00F46555" w:rsidP="00B8610E">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89"/>
      </w:pPr>
      <w:r w:rsidRPr="00F709CE">
        <w:rPr>
          <w:lang w:val="es-ES"/>
        </w:rPr>
        <w:t xml:space="preserve"> </w:t>
      </w:r>
      <w:r w:rsidR="00B75C90" w:rsidRPr="00427049">
        <w:t>Horas extraordinarias</w:t>
      </w:r>
      <w:r w:rsidR="00427049" w:rsidRPr="00427049">
        <w:t xml:space="preserve"> (subconcepto 1702)</w:t>
      </w:r>
      <w:r w:rsidR="00A928C1">
        <w:t>, corresponden a la policía foral y el</w:t>
      </w:r>
      <w:bookmarkStart w:id="50" w:name="tm_385746678"/>
      <w:r w:rsidR="00A928C1">
        <w:t xml:space="preserve"> </w:t>
      </w:r>
      <w:r w:rsidR="00B75C90" w:rsidRPr="00427049">
        <w:t>45</w:t>
      </w:r>
      <w:r w:rsidR="00427049">
        <w:t xml:space="preserve"> por ciento de las</w:t>
      </w:r>
      <w:r w:rsidR="00B75C90" w:rsidRPr="00427049">
        <w:t xml:space="preserve"> horas se realizan en julio</w:t>
      </w:r>
      <w:r w:rsidR="00427049">
        <w:t xml:space="preserve"> y desde dicho mes, no se re</w:t>
      </w:r>
      <w:r w:rsidR="00A928C1">
        <w:t>tribuyen más horas.</w:t>
      </w:r>
    </w:p>
    <w:bookmarkEnd w:id="50"/>
    <w:p w:rsidR="00A928C1" w:rsidRPr="00A928C1" w:rsidRDefault="00B75C90" w:rsidP="00A928C1">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89"/>
        <w:rPr>
          <w:lang w:val="es-ES"/>
        </w:rPr>
      </w:pPr>
      <w:r w:rsidRPr="00A928C1">
        <w:rPr>
          <w:lang w:val="es-ES"/>
        </w:rPr>
        <w:t>Remuneración en días festivos</w:t>
      </w:r>
      <w:r w:rsidR="00E84FA1" w:rsidRPr="00A928C1">
        <w:rPr>
          <w:lang w:val="es-ES"/>
        </w:rPr>
        <w:t xml:space="preserve"> (subconcepto 1703)</w:t>
      </w:r>
      <w:r w:rsidR="00A928C1">
        <w:rPr>
          <w:lang w:val="es-ES"/>
        </w:rPr>
        <w:t xml:space="preserve">, </w:t>
      </w:r>
      <w:r w:rsidR="00A928C1" w:rsidRPr="00A928C1">
        <w:rPr>
          <w:lang w:val="es-ES"/>
        </w:rPr>
        <w:t xml:space="preserve">que corresponden en un 76 por ciento al SNS-O, un 14 por ciento a policía foral y bomberos y un cinco por ciento a Bienestar Social. </w:t>
      </w:r>
    </w:p>
    <w:p w:rsidR="00825E9E" w:rsidRPr="00A928C1" w:rsidRDefault="00B75C90" w:rsidP="00A928C1">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89"/>
        <w:rPr>
          <w:lang w:val="es-ES"/>
        </w:rPr>
      </w:pPr>
      <w:r w:rsidRPr="00A928C1">
        <w:rPr>
          <w:lang w:val="es-ES"/>
        </w:rPr>
        <w:t>Complemento por trabajo en turnos de noche</w:t>
      </w:r>
      <w:r w:rsidR="008D4898" w:rsidRPr="00A928C1">
        <w:rPr>
          <w:lang w:val="es-ES"/>
        </w:rPr>
        <w:t xml:space="preserve"> (subconcepto 1705)</w:t>
      </w:r>
      <w:r w:rsidRPr="00A928C1">
        <w:rPr>
          <w:lang w:val="es-ES"/>
        </w:rPr>
        <w:t xml:space="preserve">: </w:t>
      </w:r>
      <w:r w:rsidR="008D4898" w:rsidRPr="00A928C1">
        <w:rPr>
          <w:lang w:val="es-ES"/>
        </w:rPr>
        <w:t>El</w:t>
      </w:r>
      <w:r w:rsidRPr="00A928C1">
        <w:rPr>
          <w:lang w:val="es-ES"/>
        </w:rPr>
        <w:t xml:space="preserve"> </w:t>
      </w:r>
      <w:r w:rsidR="00A928C1" w:rsidRPr="00A928C1">
        <w:rPr>
          <w:lang w:val="es-ES"/>
        </w:rPr>
        <w:t>70</w:t>
      </w:r>
      <w:r w:rsidR="008D4898" w:rsidRPr="00A928C1">
        <w:rPr>
          <w:lang w:val="es-ES"/>
        </w:rPr>
        <w:t xml:space="preserve"> por ciento del importe total </w:t>
      </w:r>
      <w:r w:rsidRPr="00A928C1">
        <w:rPr>
          <w:lang w:val="es-ES"/>
        </w:rPr>
        <w:t xml:space="preserve">del importe total ejecutado se </w:t>
      </w:r>
      <w:r w:rsidR="008D4898" w:rsidRPr="00A928C1">
        <w:rPr>
          <w:lang w:val="es-ES"/>
        </w:rPr>
        <w:t>concentra en e</w:t>
      </w:r>
      <w:r w:rsidRPr="00A928C1">
        <w:rPr>
          <w:lang w:val="es-ES"/>
        </w:rPr>
        <w:t>l SNS</w:t>
      </w:r>
      <w:r w:rsidR="008D4898" w:rsidRPr="00A928C1">
        <w:rPr>
          <w:lang w:val="es-ES"/>
        </w:rPr>
        <w:t>-O</w:t>
      </w:r>
      <w:r w:rsidRPr="00A928C1">
        <w:rPr>
          <w:lang w:val="es-ES"/>
        </w:rPr>
        <w:t>,</w:t>
      </w:r>
      <w:r w:rsidR="008D4898" w:rsidRPr="00A928C1">
        <w:rPr>
          <w:lang w:val="es-ES"/>
        </w:rPr>
        <w:t xml:space="preserve"> </w:t>
      </w:r>
      <w:r w:rsidR="00A928C1" w:rsidRPr="00A928C1">
        <w:rPr>
          <w:lang w:val="es-ES"/>
        </w:rPr>
        <w:t xml:space="preserve">y el 27 por ciento en </w:t>
      </w:r>
      <w:r w:rsidR="008D4898" w:rsidRPr="00A928C1">
        <w:rPr>
          <w:lang w:val="es-ES"/>
        </w:rPr>
        <w:t xml:space="preserve">la </w:t>
      </w:r>
      <w:r w:rsidRPr="00A928C1">
        <w:rPr>
          <w:lang w:val="es-ES"/>
        </w:rPr>
        <w:t>Policía Foral y Bomberos</w:t>
      </w:r>
      <w:r w:rsidR="00A928C1" w:rsidRPr="00A928C1">
        <w:rPr>
          <w:lang w:val="es-ES"/>
        </w:rPr>
        <w:t xml:space="preserve">. </w:t>
      </w:r>
    </w:p>
    <w:p w:rsidR="00A928C1" w:rsidRDefault="00B75C90" w:rsidP="00A928C1">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89"/>
        <w:rPr>
          <w:lang w:val="es-ES"/>
        </w:rPr>
      </w:pPr>
      <w:r w:rsidRPr="00A928C1">
        <w:rPr>
          <w:lang w:val="es-ES"/>
        </w:rPr>
        <w:t>Complemento de dispersión geográfica</w:t>
      </w:r>
      <w:r w:rsidR="005400A0" w:rsidRPr="00A928C1">
        <w:rPr>
          <w:lang w:val="es-ES"/>
        </w:rPr>
        <w:t xml:space="preserve"> (subconcepto 1706)</w:t>
      </w:r>
      <w:r w:rsidR="00A928C1">
        <w:rPr>
          <w:lang w:val="es-ES"/>
        </w:rPr>
        <w:t xml:space="preserve">: </w:t>
      </w:r>
      <w:r w:rsidRPr="00A928C1">
        <w:rPr>
          <w:lang w:val="es-ES"/>
        </w:rPr>
        <w:t>Este complemento se abona al personal médico</w:t>
      </w:r>
      <w:r w:rsidR="009578DE">
        <w:rPr>
          <w:lang w:val="es-ES"/>
        </w:rPr>
        <w:t xml:space="preserve"> y al ATS</w:t>
      </w:r>
      <w:r w:rsidRPr="00A928C1">
        <w:rPr>
          <w:lang w:val="es-ES"/>
        </w:rPr>
        <w:t xml:space="preserve"> por desplazamiento</w:t>
      </w:r>
      <w:r w:rsidR="005400A0" w:rsidRPr="00A928C1">
        <w:rPr>
          <w:lang w:val="es-ES"/>
        </w:rPr>
        <w:t>s</w:t>
      </w:r>
      <w:r w:rsidR="009578DE">
        <w:rPr>
          <w:lang w:val="es-ES"/>
        </w:rPr>
        <w:t>, prácticamente la mitad del gasto para cada uno de eso</w:t>
      </w:r>
      <w:r w:rsidR="00605BD3">
        <w:rPr>
          <w:lang w:val="es-ES"/>
        </w:rPr>
        <w:t>s</w:t>
      </w:r>
      <w:r w:rsidR="009578DE">
        <w:rPr>
          <w:lang w:val="es-ES"/>
        </w:rPr>
        <w:t xml:space="preserve"> colectivos.</w:t>
      </w:r>
    </w:p>
    <w:p w:rsidR="009578DE" w:rsidRPr="00537922" w:rsidRDefault="009578DE" w:rsidP="009578DE">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rsidRPr="00D651AD">
        <w:t>Otras retribuciones variables (subconcepto 1709)</w:t>
      </w:r>
      <w:r>
        <w:t xml:space="preserve">: </w:t>
      </w:r>
      <w:r w:rsidRPr="00D651AD">
        <w:t>Principalmente re</w:t>
      </w:r>
      <w:r>
        <w:t>fleja</w:t>
      </w:r>
      <w:r w:rsidRPr="00D651AD">
        <w:t xml:space="preserve"> el complemento de capitación</w:t>
      </w:r>
      <w:r>
        <w:rPr>
          <w:rStyle w:val="Refdenotaalpie"/>
        </w:rPr>
        <w:footnoteReference w:id="13"/>
      </w:r>
      <w:r>
        <w:t xml:space="preserve"> y un</w:t>
      </w:r>
      <w:r w:rsidRPr="00D651AD">
        <w:t xml:space="preserve"> complemento para los responsables de comedor de centros escolares. </w:t>
      </w:r>
      <w:r>
        <w:t xml:space="preserve">Igualmente incluye el gasto de un convenio con una comunidad religiosa por importe de </w:t>
      </w:r>
      <w:r w:rsidRPr="00537922">
        <w:t>53.0</w:t>
      </w:r>
      <w:r w:rsidR="00537922" w:rsidRPr="00537922">
        <w:t>25</w:t>
      </w:r>
      <w:r w:rsidRPr="00537922">
        <w:t xml:space="preserve"> euros correspondiente al periodo de enero a agosto de 2015;</w:t>
      </w:r>
      <w:r w:rsidR="00537922">
        <w:t xml:space="preserve"> en nuestra opinión, esta imputación presupuestaria no se corresponde con la naturaleza de gastos de personal del Gobierno de Navarra.</w:t>
      </w:r>
    </w:p>
    <w:p w:rsidR="00B75C90" w:rsidRPr="0084192C" w:rsidRDefault="00B75C90" w:rsidP="00686E1A">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rsidRPr="0084192C">
        <w:t>Complemento de productividad</w:t>
      </w:r>
      <w:r w:rsidR="00D651AD" w:rsidRPr="0084192C">
        <w:t xml:space="preserve"> (subconcepto 1710)</w:t>
      </w:r>
      <w:r w:rsidR="00A928C1" w:rsidRPr="0084192C">
        <w:t xml:space="preserve">: </w:t>
      </w:r>
      <w:r w:rsidRPr="0084192C">
        <w:t xml:space="preserve">El </w:t>
      </w:r>
      <w:r w:rsidR="00503373" w:rsidRPr="0084192C">
        <w:t>78</w:t>
      </w:r>
      <w:r w:rsidR="00D651AD" w:rsidRPr="0084192C">
        <w:t xml:space="preserve"> por ciento </w:t>
      </w:r>
      <w:r w:rsidRPr="0084192C">
        <w:t>corresponde al SNS</w:t>
      </w:r>
      <w:r w:rsidR="00503373" w:rsidRPr="0084192C">
        <w:t>-O</w:t>
      </w:r>
      <w:r w:rsidR="0084192C" w:rsidRPr="0084192C">
        <w:t xml:space="preserve"> (complemento por </w:t>
      </w:r>
      <w:r w:rsidR="008F5354">
        <w:t xml:space="preserve">guardias de </w:t>
      </w:r>
      <w:r w:rsidR="0084192C" w:rsidRPr="0084192C">
        <w:t xml:space="preserve">pase o vista y </w:t>
      </w:r>
      <w:r w:rsidR="0084192C">
        <w:t>por</w:t>
      </w:r>
      <w:r w:rsidR="0084192C" w:rsidRPr="0084192C">
        <w:t xml:space="preserve"> productividad</w:t>
      </w:r>
      <w:r w:rsidRPr="0084192C">
        <w:t>)</w:t>
      </w:r>
      <w:r w:rsidR="00D651AD" w:rsidRPr="0084192C">
        <w:t xml:space="preserve"> y el</w:t>
      </w:r>
      <w:r w:rsidRPr="0084192C">
        <w:t xml:space="preserve"> 10</w:t>
      </w:r>
      <w:r w:rsidR="00D651AD" w:rsidRPr="0084192C">
        <w:t xml:space="preserve"> por ciento a la Hacienda Tributaria de Navarra.</w:t>
      </w:r>
    </w:p>
    <w:p w:rsidR="00B75C90" w:rsidRPr="00685C1D" w:rsidRDefault="00B75C90" w:rsidP="00686E1A">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rsidRPr="00685C1D">
        <w:t>Retribuciones de personal de ejercicios anteriores</w:t>
      </w:r>
      <w:r w:rsidR="005E7981" w:rsidRPr="00685C1D">
        <w:t xml:space="preserve"> (subconcepto 1810)</w:t>
      </w:r>
      <w:r w:rsidRPr="00685C1D">
        <w:t xml:space="preserve">: </w:t>
      </w:r>
      <w:r w:rsidR="005E7981" w:rsidRPr="00685C1D">
        <w:t>El importe más relevante corresponde a la devolución de la cuarta parte de la paga extra de diciembre de 2012 por 14 millones.</w:t>
      </w:r>
    </w:p>
    <w:p w:rsidR="004C7DC3" w:rsidRPr="0068518B" w:rsidRDefault="004C7DC3" w:rsidP="0068518B">
      <w:pPr>
        <w:pStyle w:val="atitulo3"/>
        <w:rPr>
          <w:color w:val="auto"/>
          <w:spacing w:val="6"/>
          <w:kern w:val="0"/>
          <w:sz w:val="26"/>
          <w:szCs w:val="24"/>
          <w:lang w:val="es-ES"/>
        </w:rPr>
      </w:pPr>
      <w:r w:rsidRPr="0068518B">
        <w:rPr>
          <w:lang w:val="es-ES"/>
        </w:rPr>
        <w:t>Previsión del gasto de pensiones del Gobierno de Navarra</w:t>
      </w:r>
      <w:r w:rsidRPr="0068518B">
        <w:rPr>
          <w:color w:val="auto"/>
          <w:spacing w:val="6"/>
          <w:kern w:val="0"/>
          <w:sz w:val="26"/>
          <w:szCs w:val="24"/>
          <w:lang w:val="es-ES"/>
        </w:rPr>
        <w:t xml:space="preserve"> </w:t>
      </w:r>
    </w:p>
    <w:p w:rsidR="004C7DC3" w:rsidRPr="0068518B" w:rsidRDefault="004C7DC3" w:rsidP="00542901">
      <w:pPr>
        <w:pStyle w:val="texto"/>
        <w:rPr>
          <w:lang w:val="es-ES"/>
        </w:rPr>
      </w:pPr>
      <w:r w:rsidRPr="0068518B">
        <w:rPr>
          <w:lang w:val="es-ES"/>
        </w:rPr>
        <w:t>En marzo de 2013, desde la Dirección General de la Función Pública, se elaboró un estudio sobre “Previsión del gasto de pensiones del Gobierno de Navarra” al objeto de servir de base para la presupuestación de la partida de pensiones ordinarias del Montepío de la Administración de la Comunidad Foral.</w:t>
      </w:r>
    </w:p>
    <w:p w:rsidR="004C7DC3" w:rsidRPr="0068518B" w:rsidRDefault="004C7DC3" w:rsidP="00542901">
      <w:pPr>
        <w:pStyle w:val="texto"/>
        <w:rPr>
          <w:lang w:val="es-ES"/>
        </w:rPr>
      </w:pPr>
      <w:r w:rsidRPr="0068518B">
        <w:rPr>
          <w:lang w:val="es-ES"/>
        </w:rPr>
        <w:t>Este estudio se inicia en el ámbito temporal de 2006, y desde ese año hasta el 2012 se apoya en gasto real. Para el resto de años, la estimación efectuada se apoya en una serie de variables fijadas a partir del comportamiento observado en esos años anteriores; estas variables hacen referencia básicamente a la edad de inicio de la pensión, a la edad de su finalización y al valor de la pensión media de jubilación. En función de estas variables se determina el coste anual por pensiones en euros constantes para el periodo de 2013 a 2087, último año en que se estima devengará gasto el Montepío.</w:t>
      </w:r>
    </w:p>
    <w:p w:rsidR="004C7DC3" w:rsidRPr="0068518B" w:rsidRDefault="004C7DC3" w:rsidP="00542901">
      <w:pPr>
        <w:pStyle w:val="texto"/>
        <w:rPr>
          <w:lang w:val="es-ES"/>
        </w:rPr>
      </w:pPr>
      <w:r w:rsidRPr="0068518B">
        <w:rPr>
          <w:lang w:val="es-ES"/>
        </w:rPr>
        <w:t>De acuerdo con este estudio, el coste total estimado hasta 2087 asciende a  2.785,64 millones de euros con</w:t>
      </w:r>
      <w:r w:rsidR="007A7F59">
        <w:rPr>
          <w:lang w:val="es-ES"/>
        </w:rPr>
        <w:t>s</w:t>
      </w:r>
      <w:r w:rsidRPr="0068518B">
        <w:rPr>
          <w:lang w:val="es-ES"/>
        </w:rPr>
        <w:t>tantes</w:t>
      </w:r>
      <w:r w:rsidR="00165691" w:rsidRPr="0068518B">
        <w:rPr>
          <w:lang w:val="es-ES"/>
        </w:rPr>
        <w:t>; d</w:t>
      </w:r>
      <w:r w:rsidRPr="0068518B">
        <w:rPr>
          <w:lang w:val="es-ES"/>
        </w:rPr>
        <w:t>e este importe, el 77 por ciento corresponde a pensionistas y el 23 por ciento al resto de beneficiarios.</w:t>
      </w:r>
    </w:p>
    <w:p w:rsidR="00165691" w:rsidRPr="0068518B" w:rsidRDefault="00165691" w:rsidP="00542901">
      <w:pPr>
        <w:pStyle w:val="texto"/>
        <w:rPr>
          <w:lang w:val="es-ES"/>
        </w:rPr>
      </w:pPr>
      <w:r w:rsidRPr="0068518B">
        <w:rPr>
          <w:lang w:val="es-ES"/>
        </w:rPr>
        <w:t>Para el periodo de 2016 a 2087, el coste estimado asciende a 2.150 euros millones de euros con</w:t>
      </w:r>
      <w:r w:rsidR="007A7F59">
        <w:rPr>
          <w:lang w:val="es-ES"/>
        </w:rPr>
        <w:t>s</w:t>
      </w:r>
      <w:r w:rsidRPr="0068518B">
        <w:rPr>
          <w:lang w:val="es-ES"/>
        </w:rPr>
        <w:t xml:space="preserve">tantes. </w:t>
      </w:r>
    </w:p>
    <w:p w:rsidR="00165691" w:rsidRPr="0068518B" w:rsidRDefault="00165691" w:rsidP="00542901">
      <w:pPr>
        <w:pStyle w:val="texto"/>
        <w:rPr>
          <w:lang w:val="es-ES"/>
        </w:rPr>
      </w:pPr>
      <w:r w:rsidRPr="0068518B">
        <w:rPr>
          <w:lang w:val="es-ES"/>
        </w:rPr>
        <w:t>En 2015, el gasto real en estas pensiones ha supuesto un total de 82,5 millones, frente a una estimación de 75,29 millones en euros constantes.</w:t>
      </w:r>
    </w:p>
    <w:p w:rsidR="00D7616B" w:rsidRDefault="00991FDD" w:rsidP="00542901">
      <w:pPr>
        <w:pStyle w:val="texto"/>
        <w:spacing w:after="240"/>
        <w:rPr>
          <w:i/>
          <w:lang w:val="es-ES"/>
        </w:rPr>
      </w:pPr>
      <w:r w:rsidRPr="0068518B">
        <w:rPr>
          <w:i/>
          <w:lang w:val="es-ES"/>
        </w:rPr>
        <w:t>Recomendamos r</w:t>
      </w:r>
      <w:r w:rsidR="004C7DC3" w:rsidRPr="0068518B">
        <w:rPr>
          <w:i/>
          <w:lang w:val="es-ES"/>
        </w:rPr>
        <w:t>eflejar en las cuentas generales las contingencias derivadas del montepío de funcionarios.</w:t>
      </w:r>
    </w:p>
    <w:p w:rsidR="00BD6BFF" w:rsidRDefault="00042056" w:rsidP="00BD6BFF">
      <w:pPr>
        <w:pStyle w:val="atitulo2"/>
        <w:spacing w:before="240"/>
      </w:pPr>
      <w:bookmarkStart w:id="51" w:name="_Toc463350255"/>
      <w:r>
        <w:t xml:space="preserve">IV.9. Ingresos </w:t>
      </w:r>
      <w:r w:rsidR="00615F5A">
        <w:t>por impuestos</w:t>
      </w:r>
      <w:bookmarkEnd w:id="51"/>
    </w:p>
    <w:p w:rsidR="00E54B8B" w:rsidRPr="00CB2909" w:rsidRDefault="00CB2909" w:rsidP="00542901">
      <w:pPr>
        <w:pStyle w:val="texto"/>
        <w:rPr>
          <w:lang w:val="es-ES"/>
        </w:rPr>
      </w:pPr>
      <w:r w:rsidRPr="00CB2909">
        <w:rPr>
          <w:lang w:val="es-ES"/>
        </w:rPr>
        <w:t>Los capítulos 1 y 2 de ingresos ascienden en 2015 a unos derechos recon</w:t>
      </w:r>
      <w:r>
        <w:rPr>
          <w:lang w:val="es-ES"/>
        </w:rPr>
        <w:t>o</w:t>
      </w:r>
      <w:r w:rsidRPr="00CB2909">
        <w:rPr>
          <w:lang w:val="es-ES"/>
        </w:rPr>
        <w:t>cidos de 3.109,75 millones, es decir el 82 por ciento del total de ingresos del ejercicio.</w:t>
      </w:r>
    </w:p>
    <w:p w:rsidR="00CB2909" w:rsidRDefault="00CB2909" w:rsidP="00542901">
      <w:pPr>
        <w:pStyle w:val="texto"/>
        <w:rPr>
          <w:lang w:val="es-ES"/>
        </w:rPr>
      </w:pPr>
      <w:r>
        <w:rPr>
          <w:lang w:val="es-ES"/>
        </w:rPr>
        <w:t>En el cuadro siguiente se observa la ejecución por figura tributaria y su comparación con el ejercicio anterior.</w:t>
      </w:r>
    </w:p>
    <w:p w:rsidR="00CB2909" w:rsidRPr="00CB2909" w:rsidRDefault="00CB2909" w:rsidP="001E7B19">
      <w:pPr>
        <w:pStyle w:val="texto"/>
        <w:spacing w:after="40"/>
        <w:jc w:val="right"/>
        <w:rPr>
          <w:lang w:val="es-ES"/>
        </w:rPr>
      </w:pPr>
      <w:r>
        <w:rPr>
          <w:rFonts w:ascii="GillSans Light" w:hAnsi="GillSans Light"/>
          <w:sz w:val="18"/>
          <w:szCs w:val="18"/>
        </w:rPr>
        <w:t>(</w:t>
      </w:r>
      <w:r w:rsidR="00465B76">
        <w:rPr>
          <w:rFonts w:ascii="GillSans Light" w:hAnsi="GillSans Light"/>
          <w:sz w:val="18"/>
          <w:szCs w:val="18"/>
        </w:rPr>
        <w:t>M</w:t>
      </w:r>
      <w:r>
        <w:rPr>
          <w:rFonts w:ascii="GillSans Light" w:hAnsi="GillSans Light"/>
          <w:sz w:val="18"/>
          <w:szCs w:val="18"/>
        </w:rPr>
        <w:t>iles de euros)</w:t>
      </w:r>
    </w:p>
    <w:tbl>
      <w:tblPr>
        <w:tblW w:w="8815" w:type="dxa"/>
        <w:jc w:val="center"/>
        <w:tblCellMar>
          <w:left w:w="70" w:type="dxa"/>
          <w:right w:w="70" w:type="dxa"/>
        </w:tblCellMar>
        <w:tblLook w:val="04A0" w:firstRow="1" w:lastRow="0" w:firstColumn="1" w:lastColumn="0" w:noHBand="0" w:noVBand="1"/>
      </w:tblPr>
      <w:tblGrid>
        <w:gridCol w:w="2779"/>
        <w:gridCol w:w="1510"/>
        <w:gridCol w:w="1180"/>
        <w:gridCol w:w="1140"/>
        <w:gridCol w:w="790"/>
        <w:gridCol w:w="782"/>
        <w:gridCol w:w="634"/>
      </w:tblGrid>
      <w:tr w:rsidR="00BD6BFF" w:rsidRPr="00801987" w:rsidTr="00542901">
        <w:trPr>
          <w:trHeight w:val="284"/>
          <w:jc w:val="center"/>
        </w:trPr>
        <w:tc>
          <w:tcPr>
            <w:tcW w:w="2779" w:type="dxa"/>
            <w:vMerge w:val="restart"/>
            <w:tcBorders>
              <w:top w:val="single" w:sz="4" w:space="0" w:color="auto"/>
              <w:left w:val="nil"/>
              <w:right w:val="nil"/>
            </w:tcBorders>
            <w:shd w:val="clear" w:color="auto" w:fill="A8CBEE" w:themeFill="accent2" w:themeFillTint="66"/>
            <w:vAlign w:val="center"/>
          </w:tcPr>
          <w:p w:rsidR="00BD6BFF" w:rsidRPr="00801987" w:rsidRDefault="00BD6BFF" w:rsidP="00542901">
            <w:pPr>
              <w:pStyle w:val="cuadroCabe"/>
              <w:jc w:val="left"/>
              <w:rPr>
                <w:rFonts w:cs="Arial"/>
                <w:sz w:val="16"/>
                <w:szCs w:val="16"/>
              </w:rPr>
            </w:pPr>
            <w:r w:rsidRPr="00801987">
              <w:rPr>
                <w:rFonts w:cs="Arial"/>
                <w:sz w:val="16"/>
                <w:szCs w:val="16"/>
              </w:rPr>
              <w:t>Impuestos</w:t>
            </w:r>
          </w:p>
        </w:tc>
        <w:tc>
          <w:tcPr>
            <w:tcW w:w="1510" w:type="dxa"/>
            <w:vMerge w:val="restart"/>
            <w:tcBorders>
              <w:top w:val="single" w:sz="4" w:space="0" w:color="auto"/>
              <w:left w:val="nil"/>
              <w:right w:val="nil"/>
            </w:tcBorders>
            <w:shd w:val="clear" w:color="auto" w:fill="A8CBEE" w:themeFill="accent2" w:themeFillTint="66"/>
            <w:vAlign w:val="center"/>
          </w:tcPr>
          <w:p w:rsidR="00542901" w:rsidRDefault="00BD6BFF" w:rsidP="00542901">
            <w:pPr>
              <w:pStyle w:val="cuadroCabe"/>
              <w:jc w:val="right"/>
              <w:rPr>
                <w:rFonts w:cs="Arial"/>
                <w:sz w:val="16"/>
                <w:szCs w:val="16"/>
              </w:rPr>
            </w:pPr>
            <w:r w:rsidRPr="00801987">
              <w:rPr>
                <w:rFonts w:cs="Arial"/>
                <w:sz w:val="16"/>
                <w:szCs w:val="16"/>
              </w:rPr>
              <w:t>D</w:t>
            </w:r>
            <w:r>
              <w:rPr>
                <w:rFonts w:cs="Arial"/>
                <w:sz w:val="16"/>
                <w:szCs w:val="16"/>
              </w:rPr>
              <w:t>erec</w:t>
            </w:r>
            <w:r w:rsidRPr="00801987">
              <w:rPr>
                <w:rFonts w:cs="Arial"/>
                <w:sz w:val="16"/>
                <w:szCs w:val="16"/>
              </w:rPr>
              <w:t>hos</w:t>
            </w:r>
            <w:r w:rsidR="00542901">
              <w:rPr>
                <w:rFonts w:cs="Arial"/>
                <w:sz w:val="16"/>
                <w:szCs w:val="16"/>
              </w:rPr>
              <w:t xml:space="preserve"> </w:t>
            </w:r>
            <w:r>
              <w:rPr>
                <w:rFonts w:cs="Arial"/>
                <w:sz w:val="16"/>
                <w:szCs w:val="16"/>
              </w:rPr>
              <w:t>Recon.</w:t>
            </w:r>
          </w:p>
          <w:p w:rsidR="00BD6BFF" w:rsidRPr="00801987" w:rsidRDefault="00BD6BFF" w:rsidP="00542901">
            <w:pPr>
              <w:pStyle w:val="cuadroCabe"/>
              <w:jc w:val="right"/>
              <w:rPr>
                <w:rFonts w:cs="Arial"/>
                <w:sz w:val="16"/>
                <w:szCs w:val="16"/>
              </w:rPr>
            </w:pPr>
            <w:r w:rsidRPr="00801987">
              <w:rPr>
                <w:rFonts w:cs="Arial"/>
                <w:sz w:val="16"/>
                <w:szCs w:val="16"/>
              </w:rPr>
              <w:t>netos 201</w:t>
            </w:r>
            <w:r>
              <w:rPr>
                <w:rFonts w:cs="Arial"/>
                <w:sz w:val="16"/>
                <w:szCs w:val="16"/>
              </w:rPr>
              <w:t>5</w:t>
            </w:r>
          </w:p>
        </w:tc>
        <w:tc>
          <w:tcPr>
            <w:tcW w:w="1180" w:type="dxa"/>
            <w:vMerge w:val="restart"/>
            <w:tcBorders>
              <w:top w:val="single" w:sz="4" w:space="0" w:color="auto"/>
              <w:left w:val="nil"/>
              <w:right w:val="nil"/>
            </w:tcBorders>
            <w:shd w:val="clear" w:color="auto" w:fill="A8CBEE" w:themeFill="accent2" w:themeFillTint="66"/>
            <w:vAlign w:val="center"/>
          </w:tcPr>
          <w:p w:rsidR="00BD6BFF" w:rsidRPr="00801987" w:rsidRDefault="00BD6BFF" w:rsidP="00542901">
            <w:pPr>
              <w:pStyle w:val="cuadroCabe"/>
              <w:jc w:val="right"/>
              <w:rPr>
                <w:rFonts w:cs="Arial"/>
                <w:sz w:val="16"/>
                <w:szCs w:val="16"/>
              </w:rPr>
            </w:pPr>
            <w:r w:rsidRPr="00801987">
              <w:rPr>
                <w:rFonts w:cs="Arial"/>
                <w:sz w:val="16"/>
                <w:szCs w:val="16"/>
              </w:rPr>
              <w:t>Recaudación neta</w:t>
            </w:r>
            <w:r>
              <w:rPr>
                <w:rFonts w:cs="Arial"/>
                <w:sz w:val="16"/>
                <w:szCs w:val="16"/>
              </w:rPr>
              <w:t xml:space="preserve"> 2015</w:t>
            </w:r>
          </w:p>
        </w:tc>
        <w:tc>
          <w:tcPr>
            <w:tcW w:w="1140" w:type="dxa"/>
            <w:vMerge w:val="restart"/>
            <w:tcBorders>
              <w:top w:val="single" w:sz="4" w:space="0" w:color="auto"/>
              <w:left w:val="nil"/>
              <w:right w:val="nil"/>
            </w:tcBorders>
            <w:shd w:val="clear" w:color="auto" w:fill="A8CBEE" w:themeFill="accent2" w:themeFillTint="66"/>
            <w:vAlign w:val="center"/>
          </w:tcPr>
          <w:p w:rsidR="00BD6BFF" w:rsidRDefault="00BD6BFF" w:rsidP="00542901">
            <w:pPr>
              <w:pStyle w:val="cuadroCabe"/>
              <w:jc w:val="right"/>
              <w:rPr>
                <w:rFonts w:cs="Arial"/>
                <w:sz w:val="16"/>
                <w:szCs w:val="16"/>
              </w:rPr>
            </w:pPr>
            <w:r>
              <w:rPr>
                <w:rFonts w:cs="Arial"/>
                <w:sz w:val="16"/>
                <w:szCs w:val="16"/>
              </w:rPr>
              <w:t>Recaudación Líquida 2015</w:t>
            </w:r>
          </w:p>
        </w:tc>
        <w:tc>
          <w:tcPr>
            <w:tcW w:w="2206" w:type="dxa"/>
            <w:gridSpan w:val="3"/>
            <w:tcBorders>
              <w:top w:val="single" w:sz="4" w:space="0" w:color="auto"/>
              <w:left w:val="nil"/>
              <w:bottom w:val="single" w:sz="4" w:space="0" w:color="auto"/>
              <w:right w:val="nil"/>
            </w:tcBorders>
            <w:shd w:val="clear" w:color="auto" w:fill="A8CBEE" w:themeFill="accent2" w:themeFillTint="66"/>
            <w:vAlign w:val="center"/>
          </w:tcPr>
          <w:p w:rsidR="00BD6BFF" w:rsidRPr="00801987" w:rsidRDefault="00BD6BFF" w:rsidP="00542901">
            <w:pPr>
              <w:pStyle w:val="cuadroCabe"/>
              <w:jc w:val="right"/>
              <w:rPr>
                <w:rFonts w:cs="Arial"/>
                <w:sz w:val="16"/>
                <w:szCs w:val="16"/>
              </w:rPr>
            </w:pPr>
            <w:r>
              <w:rPr>
                <w:rFonts w:cs="Arial"/>
                <w:sz w:val="16"/>
                <w:szCs w:val="16"/>
              </w:rPr>
              <w:t xml:space="preserve">% Variación </w:t>
            </w:r>
            <w:r w:rsidR="00E54B8B">
              <w:rPr>
                <w:rFonts w:cs="Arial"/>
                <w:sz w:val="16"/>
                <w:szCs w:val="16"/>
              </w:rPr>
              <w:t>2015/2014</w:t>
            </w:r>
          </w:p>
        </w:tc>
      </w:tr>
      <w:tr w:rsidR="00BD6BFF" w:rsidRPr="00801987" w:rsidTr="00542901">
        <w:trPr>
          <w:trHeight w:val="284"/>
          <w:jc w:val="center"/>
        </w:trPr>
        <w:tc>
          <w:tcPr>
            <w:tcW w:w="2779" w:type="dxa"/>
            <w:vMerge/>
            <w:tcBorders>
              <w:left w:val="nil"/>
              <w:bottom w:val="single" w:sz="4" w:space="0" w:color="auto"/>
              <w:right w:val="nil"/>
            </w:tcBorders>
            <w:shd w:val="clear" w:color="auto" w:fill="ACCBF9" w:themeFill="background2"/>
            <w:vAlign w:val="center"/>
            <w:hideMark/>
          </w:tcPr>
          <w:p w:rsidR="00BD6BFF" w:rsidRPr="00801987" w:rsidRDefault="00BD6BFF" w:rsidP="00542901">
            <w:pPr>
              <w:pStyle w:val="cuadroCabe"/>
              <w:jc w:val="left"/>
              <w:rPr>
                <w:rFonts w:cs="Arial"/>
                <w:sz w:val="16"/>
                <w:szCs w:val="16"/>
              </w:rPr>
            </w:pPr>
          </w:p>
        </w:tc>
        <w:tc>
          <w:tcPr>
            <w:tcW w:w="1510" w:type="dxa"/>
            <w:vMerge/>
            <w:tcBorders>
              <w:left w:val="nil"/>
              <w:bottom w:val="single" w:sz="4" w:space="0" w:color="auto"/>
              <w:right w:val="nil"/>
            </w:tcBorders>
            <w:shd w:val="clear" w:color="auto" w:fill="ACCBF9" w:themeFill="background2"/>
            <w:vAlign w:val="center"/>
            <w:hideMark/>
          </w:tcPr>
          <w:p w:rsidR="00BD6BFF" w:rsidRPr="00801987" w:rsidRDefault="00BD6BFF" w:rsidP="00542901">
            <w:pPr>
              <w:pStyle w:val="cuadroCabe"/>
              <w:jc w:val="right"/>
              <w:rPr>
                <w:rFonts w:cs="Arial"/>
                <w:sz w:val="16"/>
                <w:szCs w:val="16"/>
              </w:rPr>
            </w:pPr>
          </w:p>
        </w:tc>
        <w:tc>
          <w:tcPr>
            <w:tcW w:w="1180" w:type="dxa"/>
            <w:vMerge/>
            <w:tcBorders>
              <w:left w:val="nil"/>
              <w:bottom w:val="single" w:sz="4" w:space="0" w:color="auto"/>
              <w:right w:val="nil"/>
            </w:tcBorders>
            <w:shd w:val="clear" w:color="auto" w:fill="ACCBF9" w:themeFill="background2"/>
            <w:vAlign w:val="center"/>
            <w:hideMark/>
          </w:tcPr>
          <w:p w:rsidR="00BD6BFF" w:rsidRPr="00801987" w:rsidRDefault="00BD6BFF" w:rsidP="00542901">
            <w:pPr>
              <w:pStyle w:val="cuadroCabe"/>
              <w:jc w:val="right"/>
              <w:rPr>
                <w:rFonts w:cs="Arial"/>
                <w:sz w:val="16"/>
                <w:szCs w:val="16"/>
              </w:rPr>
            </w:pPr>
          </w:p>
        </w:tc>
        <w:tc>
          <w:tcPr>
            <w:tcW w:w="1140" w:type="dxa"/>
            <w:vMerge/>
            <w:tcBorders>
              <w:left w:val="nil"/>
              <w:bottom w:val="single" w:sz="4" w:space="0" w:color="auto"/>
              <w:right w:val="nil"/>
            </w:tcBorders>
            <w:shd w:val="clear" w:color="auto" w:fill="ACCBF9" w:themeFill="background2"/>
            <w:vAlign w:val="center"/>
            <w:hideMark/>
          </w:tcPr>
          <w:p w:rsidR="00BD6BFF" w:rsidRPr="00801987" w:rsidRDefault="00BD6BFF" w:rsidP="00542901">
            <w:pPr>
              <w:pStyle w:val="cuadroCabe"/>
              <w:jc w:val="right"/>
              <w:rPr>
                <w:rFonts w:cs="Arial"/>
                <w:sz w:val="16"/>
                <w:szCs w:val="16"/>
              </w:rPr>
            </w:pPr>
          </w:p>
        </w:tc>
        <w:tc>
          <w:tcPr>
            <w:tcW w:w="790" w:type="dxa"/>
            <w:tcBorders>
              <w:top w:val="single" w:sz="4" w:space="0" w:color="auto"/>
              <w:left w:val="nil"/>
              <w:bottom w:val="single" w:sz="4" w:space="0" w:color="auto"/>
              <w:right w:val="nil"/>
            </w:tcBorders>
            <w:shd w:val="clear" w:color="auto" w:fill="ACCBF9" w:themeFill="background2"/>
            <w:vAlign w:val="center"/>
          </w:tcPr>
          <w:p w:rsidR="00BD6BFF" w:rsidRPr="00801987" w:rsidRDefault="00BD6BFF" w:rsidP="00542901">
            <w:pPr>
              <w:pStyle w:val="cuadroCabe"/>
              <w:jc w:val="right"/>
              <w:rPr>
                <w:rFonts w:cs="Arial"/>
                <w:sz w:val="16"/>
                <w:szCs w:val="16"/>
              </w:rPr>
            </w:pPr>
            <w:r>
              <w:rPr>
                <w:rFonts w:cs="Arial"/>
                <w:sz w:val="16"/>
                <w:szCs w:val="16"/>
              </w:rPr>
              <w:t>DRN</w:t>
            </w:r>
          </w:p>
        </w:tc>
        <w:tc>
          <w:tcPr>
            <w:tcW w:w="782" w:type="dxa"/>
            <w:tcBorders>
              <w:top w:val="single" w:sz="4" w:space="0" w:color="auto"/>
              <w:left w:val="nil"/>
              <w:bottom w:val="single" w:sz="4" w:space="0" w:color="auto"/>
              <w:right w:val="nil"/>
            </w:tcBorders>
            <w:shd w:val="clear" w:color="auto" w:fill="ACCBF9" w:themeFill="background2"/>
            <w:vAlign w:val="center"/>
          </w:tcPr>
          <w:p w:rsidR="00BD6BFF" w:rsidRPr="00801987" w:rsidRDefault="00BD6BFF" w:rsidP="00542901">
            <w:pPr>
              <w:pStyle w:val="cuadroCabe"/>
              <w:jc w:val="right"/>
              <w:rPr>
                <w:rFonts w:cs="Arial"/>
                <w:sz w:val="16"/>
                <w:szCs w:val="16"/>
              </w:rPr>
            </w:pPr>
            <w:r>
              <w:rPr>
                <w:rFonts w:cs="Arial"/>
                <w:sz w:val="16"/>
                <w:szCs w:val="16"/>
              </w:rPr>
              <w:t>RN</w:t>
            </w:r>
          </w:p>
        </w:tc>
        <w:tc>
          <w:tcPr>
            <w:tcW w:w="634" w:type="dxa"/>
            <w:tcBorders>
              <w:top w:val="single" w:sz="4" w:space="0" w:color="auto"/>
              <w:left w:val="nil"/>
              <w:bottom w:val="single" w:sz="4" w:space="0" w:color="auto"/>
              <w:right w:val="nil"/>
            </w:tcBorders>
            <w:shd w:val="clear" w:color="auto" w:fill="ACCBF9" w:themeFill="background2"/>
            <w:vAlign w:val="center"/>
          </w:tcPr>
          <w:p w:rsidR="00BD6BFF" w:rsidRPr="00801987" w:rsidRDefault="00BD6BFF" w:rsidP="00542901">
            <w:pPr>
              <w:pStyle w:val="cuadroCabe"/>
              <w:jc w:val="right"/>
              <w:rPr>
                <w:rFonts w:cs="Arial"/>
                <w:sz w:val="16"/>
                <w:szCs w:val="16"/>
              </w:rPr>
            </w:pPr>
            <w:r>
              <w:rPr>
                <w:rFonts w:cs="Arial"/>
                <w:sz w:val="16"/>
                <w:szCs w:val="16"/>
              </w:rPr>
              <w:t>RL</w:t>
            </w:r>
          </w:p>
        </w:tc>
      </w:tr>
      <w:tr w:rsidR="004D52CC" w:rsidRPr="00542901" w:rsidTr="00F739C5">
        <w:trPr>
          <w:trHeight w:val="284"/>
          <w:jc w:val="center"/>
        </w:trPr>
        <w:tc>
          <w:tcPr>
            <w:tcW w:w="2779" w:type="dxa"/>
            <w:tcBorders>
              <w:top w:val="single" w:sz="4" w:space="0" w:color="auto"/>
              <w:left w:val="nil"/>
              <w:bottom w:val="single" w:sz="2" w:space="0" w:color="auto"/>
              <w:right w:val="nil"/>
            </w:tcBorders>
            <w:noWrap/>
            <w:vAlign w:val="center"/>
            <w:hideMark/>
          </w:tcPr>
          <w:p w:rsidR="004D52CC" w:rsidRPr="00542901" w:rsidRDefault="004D52CC" w:rsidP="00542901">
            <w:pPr>
              <w:pStyle w:val="cuatexto"/>
              <w:jc w:val="left"/>
              <w:rPr>
                <w:szCs w:val="20"/>
              </w:rPr>
            </w:pPr>
            <w:r w:rsidRPr="00542901">
              <w:rPr>
                <w:szCs w:val="20"/>
              </w:rPr>
              <w:t>IRPF</w:t>
            </w:r>
          </w:p>
        </w:tc>
        <w:tc>
          <w:tcPr>
            <w:tcW w:w="1510" w:type="dxa"/>
            <w:tcBorders>
              <w:top w:val="single" w:sz="4"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1.106.869</w:t>
            </w:r>
          </w:p>
        </w:tc>
        <w:tc>
          <w:tcPr>
            <w:tcW w:w="1180" w:type="dxa"/>
            <w:tcBorders>
              <w:top w:val="single" w:sz="4"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1.088.670</w:t>
            </w:r>
          </w:p>
        </w:tc>
        <w:tc>
          <w:tcPr>
            <w:tcW w:w="1140" w:type="dxa"/>
            <w:tcBorders>
              <w:top w:val="single" w:sz="4"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1.132.368</w:t>
            </w:r>
          </w:p>
        </w:tc>
        <w:tc>
          <w:tcPr>
            <w:tcW w:w="790" w:type="dxa"/>
            <w:tcBorders>
              <w:top w:val="single" w:sz="4"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1</w:t>
            </w:r>
          </w:p>
        </w:tc>
        <w:tc>
          <w:tcPr>
            <w:tcW w:w="782" w:type="dxa"/>
            <w:tcBorders>
              <w:top w:val="single" w:sz="4"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2</w:t>
            </w:r>
          </w:p>
        </w:tc>
        <w:tc>
          <w:tcPr>
            <w:tcW w:w="634" w:type="dxa"/>
            <w:tcBorders>
              <w:top w:val="single" w:sz="4"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5</w:t>
            </w:r>
          </w:p>
        </w:tc>
      </w:tr>
      <w:tr w:rsidR="004D52CC" w:rsidRPr="00542901" w:rsidTr="00542901">
        <w:trPr>
          <w:trHeight w:val="284"/>
          <w:jc w:val="center"/>
        </w:trPr>
        <w:tc>
          <w:tcPr>
            <w:tcW w:w="2779" w:type="dxa"/>
            <w:tcBorders>
              <w:top w:val="single" w:sz="2" w:space="0" w:color="auto"/>
              <w:left w:val="nil"/>
              <w:bottom w:val="single" w:sz="2" w:space="0" w:color="auto"/>
              <w:right w:val="nil"/>
            </w:tcBorders>
            <w:noWrap/>
            <w:vAlign w:val="center"/>
            <w:hideMark/>
          </w:tcPr>
          <w:p w:rsidR="004D52CC" w:rsidRPr="00542901" w:rsidRDefault="004D52CC" w:rsidP="00542901">
            <w:pPr>
              <w:pStyle w:val="cuatexto"/>
              <w:jc w:val="left"/>
              <w:rPr>
                <w:szCs w:val="20"/>
              </w:rPr>
            </w:pPr>
            <w:r w:rsidRPr="00542901">
              <w:rPr>
                <w:szCs w:val="20"/>
              </w:rPr>
              <w:t>Sociedades</w:t>
            </w:r>
          </w:p>
        </w:tc>
        <w:tc>
          <w:tcPr>
            <w:tcW w:w="151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213.557</w:t>
            </w:r>
          </w:p>
        </w:tc>
        <w:tc>
          <w:tcPr>
            <w:tcW w:w="118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150.872</w:t>
            </w:r>
          </w:p>
        </w:tc>
        <w:tc>
          <w:tcPr>
            <w:tcW w:w="114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217.381</w:t>
            </w:r>
          </w:p>
        </w:tc>
        <w:tc>
          <w:tcPr>
            <w:tcW w:w="79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3</w:t>
            </w:r>
          </w:p>
        </w:tc>
        <w:tc>
          <w:tcPr>
            <w:tcW w:w="782"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-23</w:t>
            </w:r>
          </w:p>
        </w:tc>
        <w:tc>
          <w:tcPr>
            <w:tcW w:w="634"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6</w:t>
            </w:r>
          </w:p>
        </w:tc>
      </w:tr>
      <w:tr w:rsidR="004D52CC" w:rsidRPr="00542901" w:rsidTr="00542901">
        <w:trPr>
          <w:trHeight w:val="284"/>
          <w:jc w:val="center"/>
        </w:trPr>
        <w:tc>
          <w:tcPr>
            <w:tcW w:w="2779" w:type="dxa"/>
            <w:tcBorders>
              <w:top w:val="single" w:sz="2" w:space="0" w:color="auto"/>
              <w:left w:val="nil"/>
              <w:bottom w:val="single" w:sz="2" w:space="0" w:color="auto"/>
              <w:right w:val="nil"/>
            </w:tcBorders>
            <w:noWrap/>
            <w:vAlign w:val="center"/>
            <w:hideMark/>
          </w:tcPr>
          <w:p w:rsidR="004D52CC" w:rsidRPr="00542901" w:rsidRDefault="004D52CC" w:rsidP="00542901">
            <w:pPr>
              <w:pStyle w:val="cuatexto"/>
              <w:jc w:val="left"/>
              <w:rPr>
                <w:szCs w:val="20"/>
              </w:rPr>
            </w:pPr>
            <w:r w:rsidRPr="00542901">
              <w:rPr>
                <w:szCs w:val="20"/>
              </w:rPr>
              <w:t>Renta de no residentes</w:t>
            </w:r>
          </w:p>
        </w:tc>
        <w:tc>
          <w:tcPr>
            <w:tcW w:w="151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7.093</w:t>
            </w:r>
          </w:p>
        </w:tc>
        <w:tc>
          <w:tcPr>
            <w:tcW w:w="118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6.469</w:t>
            </w:r>
          </w:p>
        </w:tc>
        <w:tc>
          <w:tcPr>
            <w:tcW w:w="114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6.610</w:t>
            </w:r>
          </w:p>
        </w:tc>
        <w:tc>
          <w:tcPr>
            <w:tcW w:w="79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20</w:t>
            </w:r>
          </w:p>
        </w:tc>
        <w:tc>
          <w:tcPr>
            <w:tcW w:w="782"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16</w:t>
            </w:r>
          </w:p>
        </w:tc>
        <w:tc>
          <w:tcPr>
            <w:tcW w:w="634"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15</w:t>
            </w:r>
          </w:p>
        </w:tc>
      </w:tr>
      <w:tr w:rsidR="004D52CC" w:rsidRPr="00542901" w:rsidTr="00542901">
        <w:trPr>
          <w:trHeight w:val="284"/>
          <w:jc w:val="center"/>
        </w:trPr>
        <w:tc>
          <w:tcPr>
            <w:tcW w:w="2779" w:type="dxa"/>
            <w:tcBorders>
              <w:top w:val="single" w:sz="2" w:space="0" w:color="auto"/>
              <w:left w:val="nil"/>
              <w:bottom w:val="single" w:sz="2" w:space="0" w:color="auto"/>
              <w:right w:val="nil"/>
            </w:tcBorders>
            <w:noWrap/>
            <w:vAlign w:val="center"/>
            <w:hideMark/>
          </w:tcPr>
          <w:p w:rsidR="004D52CC" w:rsidRPr="00542901" w:rsidRDefault="004D52CC" w:rsidP="00542901">
            <w:pPr>
              <w:pStyle w:val="cuatexto"/>
              <w:jc w:val="left"/>
              <w:rPr>
                <w:szCs w:val="20"/>
              </w:rPr>
            </w:pPr>
            <w:r w:rsidRPr="00542901">
              <w:rPr>
                <w:szCs w:val="20"/>
              </w:rPr>
              <w:t>Patrimonio</w:t>
            </w:r>
          </w:p>
        </w:tc>
        <w:tc>
          <w:tcPr>
            <w:tcW w:w="151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44.741</w:t>
            </w:r>
          </w:p>
        </w:tc>
        <w:tc>
          <w:tcPr>
            <w:tcW w:w="118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48.390</w:t>
            </w:r>
          </w:p>
        </w:tc>
        <w:tc>
          <w:tcPr>
            <w:tcW w:w="114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47.790</w:t>
            </w:r>
          </w:p>
        </w:tc>
        <w:tc>
          <w:tcPr>
            <w:tcW w:w="79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-8</w:t>
            </w:r>
          </w:p>
        </w:tc>
        <w:tc>
          <w:tcPr>
            <w:tcW w:w="782"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1</w:t>
            </w:r>
          </w:p>
        </w:tc>
        <w:tc>
          <w:tcPr>
            <w:tcW w:w="634"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w:t>
            </w:r>
          </w:p>
        </w:tc>
      </w:tr>
      <w:tr w:rsidR="004D52CC" w:rsidRPr="00542901" w:rsidTr="00542901">
        <w:trPr>
          <w:trHeight w:val="284"/>
          <w:jc w:val="center"/>
        </w:trPr>
        <w:tc>
          <w:tcPr>
            <w:tcW w:w="2779" w:type="dxa"/>
            <w:tcBorders>
              <w:top w:val="single" w:sz="2" w:space="0" w:color="auto"/>
              <w:left w:val="nil"/>
              <w:bottom w:val="single" w:sz="2" w:space="0" w:color="auto"/>
              <w:right w:val="nil"/>
            </w:tcBorders>
            <w:noWrap/>
            <w:vAlign w:val="center"/>
            <w:hideMark/>
          </w:tcPr>
          <w:p w:rsidR="004D52CC" w:rsidRPr="00542901" w:rsidRDefault="004D52CC" w:rsidP="00542901">
            <w:pPr>
              <w:pStyle w:val="cuatexto"/>
              <w:jc w:val="left"/>
              <w:rPr>
                <w:szCs w:val="20"/>
              </w:rPr>
            </w:pPr>
            <w:r w:rsidRPr="00542901">
              <w:rPr>
                <w:szCs w:val="20"/>
              </w:rPr>
              <w:t>Sucesiones y donaciones</w:t>
            </w:r>
          </w:p>
        </w:tc>
        <w:tc>
          <w:tcPr>
            <w:tcW w:w="151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58.087</w:t>
            </w:r>
          </w:p>
        </w:tc>
        <w:tc>
          <w:tcPr>
            <w:tcW w:w="118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54.947</w:t>
            </w:r>
          </w:p>
        </w:tc>
        <w:tc>
          <w:tcPr>
            <w:tcW w:w="114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56.286</w:t>
            </w:r>
          </w:p>
        </w:tc>
        <w:tc>
          <w:tcPr>
            <w:tcW w:w="79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9</w:t>
            </w:r>
          </w:p>
        </w:tc>
        <w:tc>
          <w:tcPr>
            <w:tcW w:w="782"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10</w:t>
            </w:r>
          </w:p>
        </w:tc>
        <w:tc>
          <w:tcPr>
            <w:tcW w:w="634"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9</w:t>
            </w:r>
          </w:p>
        </w:tc>
      </w:tr>
      <w:tr w:rsidR="004D52CC" w:rsidRPr="00542901" w:rsidTr="00542901">
        <w:trPr>
          <w:trHeight w:val="284"/>
          <w:jc w:val="center"/>
        </w:trPr>
        <w:tc>
          <w:tcPr>
            <w:tcW w:w="2779" w:type="dxa"/>
            <w:tcBorders>
              <w:top w:val="single" w:sz="2" w:space="0" w:color="auto"/>
              <w:left w:val="nil"/>
              <w:bottom w:val="single" w:sz="2" w:space="0" w:color="auto"/>
              <w:right w:val="nil"/>
            </w:tcBorders>
            <w:noWrap/>
            <w:vAlign w:val="center"/>
          </w:tcPr>
          <w:p w:rsidR="004D52CC" w:rsidRPr="00542901" w:rsidRDefault="004D52CC" w:rsidP="00542901">
            <w:pPr>
              <w:pStyle w:val="cuatexto"/>
              <w:jc w:val="left"/>
              <w:rPr>
                <w:szCs w:val="20"/>
              </w:rPr>
            </w:pPr>
            <w:r w:rsidRPr="00542901">
              <w:rPr>
                <w:szCs w:val="20"/>
              </w:rPr>
              <w:t>Sobre depósitos bancarios</w:t>
            </w:r>
          </w:p>
        </w:tc>
        <w:tc>
          <w:tcPr>
            <w:tcW w:w="151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4.594</w:t>
            </w:r>
          </w:p>
        </w:tc>
        <w:tc>
          <w:tcPr>
            <w:tcW w:w="118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4.603</w:t>
            </w:r>
          </w:p>
        </w:tc>
        <w:tc>
          <w:tcPr>
            <w:tcW w:w="114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4.603</w:t>
            </w:r>
          </w:p>
        </w:tc>
        <w:tc>
          <w:tcPr>
            <w:tcW w:w="79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n/a</w:t>
            </w:r>
          </w:p>
        </w:tc>
        <w:tc>
          <w:tcPr>
            <w:tcW w:w="782"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n/a</w:t>
            </w:r>
          </w:p>
        </w:tc>
        <w:tc>
          <w:tcPr>
            <w:tcW w:w="634"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n/a</w:t>
            </w:r>
          </w:p>
        </w:tc>
      </w:tr>
      <w:tr w:rsidR="004D52CC" w:rsidRPr="00542901" w:rsidTr="00542901">
        <w:trPr>
          <w:trHeight w:val="284"/>
          <w:jc w:val="center"/>
        </w:trPr>
        <w:tc>
          <w:tcPr>
            <w:tcW w:w="2779" w:type="dxa"/>
            <w:tcBorders>
              <w:top w:val="single" w:sz="2" w:space="0" w:color="auto"/>
              <w:left w:val="nil"/>
              <w:bottom w:val="single" w:sz="2" w:space="0" w:color="auto"/>
              <w:right w:val="nil"/>
            </w:tcBorders>
            <w:noWrap/>
            <w:vAlign w:val="center"/>
          </w:tcPr>
          <w:p w:rsidR="004D52CC" w:rsidRPr="00542901" w:rsidRDefault="004D52CC" w:rsidP="00542901">
            <w:pPr>
              <w:pStyle w:val="cuatexto"/>
              <w:jc w:val="left"/>
              <w:rPr>
                <w:szCs w:val="20"/>
              </w:rPr>
            </w:pPr>
            <w:r w:rsidRPr="00542901">
              <w:rPr>
                <w:szCs w:val="20"/>
              </w:rPr>
              <w:t>Sobre la producción de energía</w:t>
            </w:r>
          </w:p>
        </w:tc>
        <w:tc>
          <w:tcPr>
            <w:tcW w:w="151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14.034</w:t>
            </w:r>
          </w:p>
        </w:tc>
        <w:tc>
          <w:tcPr>
            <w:tcW w:w="118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13.487</w:t>
            </w:r>
          </w:p>
        </w:tc>
        <w:tc>
          <w:tcPr>
            <w:tcW w:w="114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13.546</w:t>
            </w:r>
          </w:p>
        </w:tc>
        <w:tc>
          <w:tcPr>
            <w:tcW w:w="79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5</w:t>
            </w:r>
          </w:p>
        </w:tc>
        <w:tc>
          <w:tcPr>
            <w:tcW w:w="782"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5</w:t>
            </w:r>
          </w:p>
        </w:tc>
        <w:tc>
          <w:tcPr>
            <w:tcW w:w="634"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5</w:t>
            </w:r>
          </w:p>
        </w:tc>
      </w:tr>
      <w:tr w:rsidR="004D52CC" w:rsidRPr="00542901" w:rsidTr="00F739C5">
        <w:trPr>
          <w:trHeight w:val="284"/>
          <w:jc w:val="center"/>
        </w:trPr>
        <w:tc>
          <w:tcPr>
            <w:tcW w:w="2779" w:type="dxa"/>
            <w:tcBorders>
              <w:top w:val="single" w:sz="2" w:space="0" w:color="auto"/>
              <w:left w:val="nil"/>
              <w:bottom w:val="single" w:sz="2" w:space="0" w:color="auto"/>
              <w:right w:val="nil"/>
            </w:tcBorders>
            <w:noWrap/>
            <w:vAlign w:val="center"/>
            <w:hideMark/>
          </w:tcPr>
          <w:p w:rsidR="004D52CC" w:rsidRPr="00542901" w:rsidRDefault="001973E0" w:rsidP="00542901">
            <w:pPr>
              <w:pStyle w:val="cuatexto"/>
              <w:jc w:val="left"/>
              <w:rPr>
                <w:szCs w:val="20"/>
              </w:rPr>
            </w:pPr>
            <w:r w:rsidRPr="00542901">
              <w:rPr>
                <w:szCs w:val="20"/>
              </w:rPr>
              <w:t>P</w:t>
            </w:r>
            <w:r w:rsidR="004D52CC" w:rsidRPr="00542901">
              <w:rPr>
                <w:szCs w:val="20"/>
              </w:rPr>
              <w:t>remios de lotería</w:t>
            </w:r>
            <w:r w:rsidRPr="00542901">
              <w:rPr>
                <w:szCs w:val="20"/>
              </w:rPr>
              <w:t>s y apuestas</w:t>
            </w:r>
          </w:p>
        </w:tc>
        <w:tc>
          <w:tcPr>
            <w:tcW w:w="151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18.777</w:t>
            </w:r>
          </w:p>
        </w:tc>
        <w:tc>
          <w:tcPr>
            <w:tcW w:w="118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18.777</w:t>
            </w:r>
          </w:p>
        </w:tc>
        <w:tc>
          <w:tcPr>
            <w:tcW w:w="114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18.740</w:t>
            </w:r>
          </w:p>
        </w:tc>
        <w:tc>
          <w:tcPr>
            <w:tcW w:w="79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n/a</w:t>
            </w:r>
          </w:p>
        </w:tc>
        <w:tc>
          <w:tcPr>
            <w:tcW w:w="782"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n/a</w:t>
            </w:r>
          </w:p>
        </w:tc>
        <w:tc>
          <w:tcPr>
            <w:tcW w:w="634"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n/a</w:t>
            </w:r>
          </w:p>
        </w:tc>
      </w:tr>
      <w:tr w:rsidR="004D52CC" w:rsidRPr="00542901" w:rsidTr="00F739C5">
        <w:trPr>
          <w:trHeight w:val="284"/>
          <w:jc w:val="center"/>
        </w:trPr>
        <w:tc>
          <w:tcPr>
            <w:tcW w:w="2779" w:type="dxa"/>
            <w:tcBorders>
              <w:top w:val="single" w:sz="2" w:space="0" w:color="auto"/>
              <w:left w:val="nil"/>
              <w:bottom w:val="single" w:sz="2" w:space="0" w:color="auto"/>
              <w:right w:val="nil"/>
            </w:tcBorders>
            <w:noWrap/>
            <w:vAlign w:val="center"/>
          </w:tcPr>
          <w:p w:rsidR="004D52CC" w:rsidRPr="00542901" w:rsidRDefault="004D52CC" w:rsidP="00542901">
            <w:pPr>
              <w:pStyle w:val="cuatexto"/>
              <w:jc w:val="left"/>
              <w:rPr>
                <w:szCs w:val="20"/>
              </w:rPr>
            </w:pPr>
            <w:r w:rsidRPr="00542901">
              <w:rPr>
                <w:szCs w:val="20"/>
              </w:rPr>
              <w:t xml:space="preserve">Otros </w:t>
            </w:r>
          </w:p>
        </w:tc>
        <w:tc>
          <w:tcPr>
            <w:tcW w:w="151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20</w:t>
            </w:r>
          </w:p>
        </w:tc>
        <w:tc>
          <w:tcPr>
            <w:tcW w:w="118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20</w:t>
            </w:r>
          </w:p>
        </w:tc>
        <w:tc>
          <w:tcPr>
            <w:tcW w:w="114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2</w:t>
            </w:r>
            <w:r w:rsidR="001973E0" w:rsidRPr="00542901">
              <w:rPr>
                <w:szCs w:val="20"/>
              </w:rPr>
              <w:t>3</w:t>
            </w:r>
          </w:p>
        </w:tc>
        <w:tc>
          <w:tcPr>
            <w:tcW w:w="79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w:t>
            </w:r>
          </w:p>
        </w:tc>
        <w:tc>
          <w:tcPr>
            <w:tcW w:w="782"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w:t>
            </w:r>
          </w:p>
        </w:tc>
        <w:tc>
          <w:tcPr>
            <w:tcW w:w="634"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-9</w:t>
            </w:r>
            <w:r w:rsidR="001973E0" w:rsidRPr="00542901">
              <w:rPr>
                <w:szCs w:val="20"/>
              </w:rPr>
              <w:t>9</w:t>
            </w:r>
          </w:p>
        </w:tc>
      </w:tr>
      <w:tr w:rsidR="004D52CC" w:rsidRPr="00542901" w:rsidTr="00F739C5">
        <w:trPr>
          <w:trHeight w:val="284"/>
          <w:jc w:val="center"/>
        </w:trPr>
        <w:tc>
          <w:tcPr>
            <w:tcW w:w="2779" w:type="dxa"/>
            <w:tcBorders>
              <w:top w:val="single" w:sz="2" w:space="0" w:color="auto"/>
              <w:left w:val="nil"/>
              <w:bottom w:val="single" w:sz="2" w:space="0" w:color="auto"/>
              <w:right w:val="nil"/>
            </w:tcBorders>
            <w:noWrap/>
            <w:vAlign w:val="center"/>
            <w:hideMark/>
          </w:tcPr>
          <w:p w:rsidR="004D52CC" w:rsidRPr="00542901" w:rsidRDefault="004D52CC" w:rsidP="00542901">
            <w:pPr>
              <w:pStyle w:val="cuatexto"/>
              <w:jc w:val="left"/>
              <w:rPr>
                <w:b/>
                <w:szCs w:val="20"/>
              </w:rPr>
            </w:pPr>
            <w:r w:rsidRPr="00542901">
              <w:rPr>
                <w:b/>
                <w:szCs w:val="20"/>
              </w:rPr>
              <w:t>1. Impuestos directos</w:t>
            </w:r>
          </w:p>
        </w:tc>
        <w:tc>
          <w:tcPr>
            <w:tcW w:w="151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b/>
                <w:szCs w:val="20"/>
              </w:rPr>
            </w:pPr>
            <w:r w:rsidRPr="00542901">
              <w:rPr>
                <w:b/>
                <w:szCs w:val="20"/>
              </w:rPr>
              <w:t>1.467.772</w:t>
            </w:r>
          </w:p>
        </w:tc>
        <w:tc>
          <w:tcPr>
            <w:tcW w:w="118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b/>
                <w:szCs w:val="20"/>
              </w:rPr>
            </w:pPr>
            <w:r w:rsidRPr="00542901">
              <w:rPr>
                <w:b/>
                <w:szCs w:val="20"/>
              </w:rPr>
              <w:t>1.386.235</w:t>
            </w:r>
          </w:p>
        </w:tc>
        <w:tc>
          <w:tcPr>
            <w:tcW w:w="114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b/>
                <w:szCs w:val="20"/>
              </w:rPr>
            </w:pPr>
            <w:r w:rsidRPr="00542901">
              <w:rPr>
                <w:b/>
                <w:szCs w:val="20"/>
              </w:rPr>
              <w:t>1.497.345</w:t>
            </w:r>
          </w:p>
        </w:tc>
        <w:tc>
          <w:tcPr>
            <w:tcW w:w="79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b/>
                <w:szCs w:val="20"/>
              </w:rPr>
            </w:pPr>
            <w:r w:rsidRPr="00542901">
              <w:rPr>
                <w:b/>
                <w:szCs w:val="20"/>
              </w:rPr>
              <w:t>3</w:t>
            </w:r>
          </w:p>
        </w:tc>
        <w:tc>
          <w:tcPr>
            <w:tcW w:w="782"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b/>
                <w:szCs w:val="20"/>
              </w:rPr>
            </w:pPr>
            <w:r w:rsidRPr="00542901">
              <w:rPr>
                <w:b/>
                <w:szCs w:val="20"/>
              </w:rPr>
              <w:t>1</w:t>
            </w:r>
          </w:p>
        </w:tc>
        <w:tc>
          <w:tcPr>
            <w:tcW w:w="634"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b/>
                <w:szCs w:val="20"/>
              </w:rPr>
            </w:pPr>
            <w:r w:rsidRPr="00542901">
              <w:rPr>
                <w:b/>
                <w:szCs w:val="20"/>
              </w:rPr>
              <w:t>7</w:t>
            </w:r>
          </w:p>
        </w:tc>
      </w:tr>
      <w:tr w:rsidR="004D52CC" w:rsidRPr="00542901" w:rsidTr="00542901">
        <w:trPr>
          <w:trHeight w:val="284"/>
          <w:jc w:val="center"/>
        </w:trPr>
        <w:tc>
          <w:tcPr>
            <w:tcW w:w="2779" w:type="dxa"/>
            <w:tcBorders>
              <w:top w:val="single" w:sz="2" w:space="0" w:color="auto"/>
              <w:left w:val="nil"/>
              <w:bottom w:val="single" w:sz="2" w:space="0" w:color="auto"/>
              <w:right w:val="nil"/>
            </w:tcBorders>
            <w:noWrap/>
            <w:vAlign w:val="center"/>
            <w:hideMark/>
          </w:tcPr>
          <w:p w:rsidR="004D52CC" w:rsidRPr="00542901" w:rsidRDefault="004D52CC" w:rsidP="00542901">
            <w:pPr>
              <w:pStyle w:val="cuatexto"/>
              <w:jc w:val="left"/>
              <w:rPr>
                <w:szCs w:val="20"/>
              </w:rPr>
            </w:pPr>
            <w:r w:rsidRPr="00542901">
              <w:rPr>
                <w:szCs w:val="20"/>
              </w:rPr>
              <w:t>IVA</w:t>
            </w:r>
          </w:p>
        </w:tc>
        <w:tc>
          <w:tcPr>
            <w:tcW w:w="151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1.184.257</w:t>
            </w:r>
          </w:p>
        </w:tc>
        <w:tc>
          <w:tcPr>
            <w:tcW w:w="118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1.016.056</w:t>
            </w:r>
          </w:p>
        </w:tc>
        <w:tc>
          <w:tcPr>
            <w:tcW w:w="114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1.213.493</w:t>
            </w:r>
          </w:p>
        </w:tc>
        <w:tc>
          <w:tcPr>
            <w:tcW w:w="79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6</w:t>
            </w:r>
          </w:p>
        </w:tc>
        <w:tc>
          <w:tcPr>
            <w:tcW w:w="782" w:type="dxa"/>
            <w:tcBorders>
              <w:top w:val="single" w:sz="2" w:space="0" w:color="auto"/>
              <w:left w:val="nil"/>
              <w:bottom w:val="single" w:sz="2" w:space="0" w:color="auto"/>
              <w:right w:val="nil"/>
            </w:tcBorders>
            <w:vAlign w:val="center"/>
          </w:tcPr>
          <w:p w:rsidR="004D52CC" w:rsidRPr="00542901" w:rsidRDefault="00676948" w:rsidP="00542901">
            <w:pPr>
              <w:pStyle w:val="cuatexto"/>
              <w:jc w:val="right"/>
              <w:rPr>
                <w:szCs w:val="20"/>
              </w:rPr>
            </w:pPr>
            <w:r w:rsidRPr="00542901">
              <w:rPr>
                <w:szCs w:val="20"/>
              </w:rPr>
              <w:t>0</w:t>
            </w:r>
          </w:p>
        </w:tc>
        <w:tc>
          <w:tcPr>
            <w:tcW w:w="634"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11</w:t>
            </w:r>
          </w:p>
        </w:tc>
      </w:tr>
      <w:tr w:rsidR="004D52CC" w:rsidRPr="00542901" w:rsidTr="00542901">
        <w:trPr>
          <w:trHeight w:val="284"/>
          <w:jc w:val="center"/>
        </w:trPr>
        <w:tc>
          <w:tcPr>
            <w:tcW w:w="2779" w:type="dxa"/>
            <w:tcBorders>
              <w:top w:val="single" w:sz="2" w:space="0" w:color="auto"/>
              <w:left w:val="nil"/>
              <w:bottom w:val="single" w:sz="2" w:space="0" w:color="auto"/>
              <w:right w:val="nil"/>
            </w:tcBorders>
            <w:noWrap/>
            <w:vAlign w:val="center"/>
            <w:hideMark/>
          </w:tcPr>
          <w:p w:rsidR="004D52CC" w:rsidRPr="00542901" w:rsidRDefault="004D52CC" w:rsidP="00542901">
            <w:pPr>
              <w:pStyle w:val="cuatexto"/>
              <w:jc w:val="left"/>
              <w:rPr>
                <w:szCs w:val="20"/>
              </w:rPr>
            </w:pPr>
            <w:r w:rsidRPr="00542901">
              <w:rPr>
                <w:szCs w:val="20"/>
              </w:rPr>
              <w:t>Impuestos especiales</w:t>
            </w:r>
          </w:p>
        </w:tc>
        <w:tc>
          <w:tcPr>
            <w:tcW w:w="151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394.647</w:t>
            </w:r>
          </w:p>
        </w:tc>
        <w:tc>
          <w:tcPr>
            <w:tcW w:w="118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421.466</w:t>
            </w:r>
          </w:p>
        </w:tc>
        <w:tc>
          <w:tcPr>
            <w:tcW w:w="114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393.165</w:t>
            </w:r>
          </w:p>
        </w:tc>
        <w:tc>
          <w:tcPr>
            <w:tcW w:w="79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-5</w:t>
            </w:r>
          </w:p>
        </w:tc>
        <w:tc>
          <w:tcPr>
            <w:tcW w:w="782" w:type="dxa"/>
            <w:tcBorders>
              <w:top w:val="single" w:sz="2" w:space="0" w:color="auto"/>
              <w:left w:val="nil"/>
              <w:bottom w:val="single" w:sz="2" w:space="0" w:color="auto"/>
              <w:right w:val="nil"/>
            </w:tcBorders>
            <w:vAlign w:val="center"/>
          </w:tcPr>
          <w:p w:rsidR="004D52CC" w:rsidRPr="00542901" w:rsidRDefault="00676948" w:rsidP="00542901">
            <w:pPr>
              <w:pStyle w:val="cuatexto"/>
              <w:jc w:val="right"/>
              <w:rPr>
                <w:szCs w:val="20"/>
              </w:rPr>
            </w:pPr>
            <w:r w:rsidRPr="00542901">
              <w:rPr>
                <w:szCs w:val="20"/>
              </w:rPr>
              <w:t>2</w:t>
            </w:r>
          </w:p>
        </w:tc>
        <w:tc>
          <w:tcPr>
            <w:tcW w:w="634"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-5</w:t>
            </w:r>
          </w:p>
        </w:tc>
      </w:tr>
      <w:tr w:rsidR="004D52CC" w:rsidRPr="00542901" w:rsidTr="00542901">
        <w:trPr>
          <w:trHeight w:val="284"/>
          <w:jc w:val="center"/>
        </w:trPr>
        <w:tc>
          <w:tcPr>
            <w:tcW w:w="2779" w:type="dxa"/>
            <w:tcBorders>
              <w:top w:val="single" w:sz="2" w:space="0" w:color="auto"/>
              <w:left w:val="nil"/>
              <w:bottom w:val="single" w:sz="2" w:space="0" w:color="auto"/>
              <w:right w:val="nil"/>
            </w:tcBorders>
            <w:noWrap/>
            <w:vAlign w:val="center"/>
            <w:hideMark/>
          </w:tcPr>
          <w:p w:rsidR="004D52CC" w:rsidRPr="00542901" w:rsidRDefault="00542901" w:rsidP="00542901">
            <w:pPr>
              <w:pStyle w:val="cuatexto"/>
              <w:jc w:val="left"/>
              <w:rPr>
                <w:szCs w:val="20"/>
              </w:rPr>
            </w:pPr>
            <w:r w:rsidRPr="00542901">
              <w:rPr>
                <w:szCs w:val="20"/>
              </w:rPr>
              <w:t>Impuesto sobre primas</w:t>
            </w:r>
            <w:r w:rsidR="004D52CC" w:rsidRPr="00542901">
              <w:rPr>
                <w:szCs w:val="20"/>
              </w:rPr>
              <w:t xml:space="preserve"> seguros</w:t>
            </w:r>
          </w:p>
        </w:tc>
        <w:tc>
          <w:tcPr>
            <w:tcW w:w="151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19.355</w:t>
            </w:r>
          </w:p>
        </w:tc>
        <w:tc>
          <w:tcPr>
            <w:tcW w:w="118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19.365</w:t>
            </w:r>
          </w:p>
        </w:tc>
        <w:tc>
          <w:tcPr>
            <w:tcW w:w="114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19.426</w:t>
            </w:r>
          </w:p>
        </w:tc>
        <w:tc>
          <w:tcPr>
            <w:tcW w:w="79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-1</w:t>
            </w:r>
          </w:p>
        </w:tc>
        <w:tc>
          <w:tcPr>
            <w:tcW w:w="782" w:type="dxa"/>
            <w:tcBorders>
              <w:top w:val="single" w:sz="2" w:space="0" w:color="auto"/>
              <w:left w:val="nil"/>
              <w:bottom w:val="single" w:sz="2" w:space="0" w:color="auto"/>
              <w:right w:val="nil"/>
            </w:tcBorders>
            <w:vAlign w:val="center"/>
          </w:tcPr>
          <w:p w:rsidR="004D52CC" w:rsidRPr="00542901" w:rsidRDefault="00676948" w:rsidP="00542901">
            <w:pPr>
              <w:pStyle w:val="cuatexto"/>
              <w:jc w:val="right"/>
              <w:rPr>
                <w:szCs w:val="20"/>
              </w:rPr>
            </w:pPr>
            <w:r w:rsidRPr="00542901">
              <w:rPr>
                <w:szCs w:val="20"/>
              </w:rPr>
              <w:t>-1</w:t>
            </w:r>
          </w:p>
        </w:tc>
        <w:tc>
          <w:tcPr>
            <w:tcW w:w="634"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-1</w:t>
            </w:r>
          </w:p>
        </w:tc>
      </w:tr>
      <w:tr w:rsidR="004D52CC" w:rsidRPr="00542901" w:rsidTr="00542901">
        <w:trPr>
          <w:trHeight w:val="284"/>
          <w:jc w:val="center"/>
        </w:trPr>
        <w:tc>
          <w:tcPr>
            <w:tcW w:w="2779" w:type="dxa"/>
            <w:tcBorders>
              <w:top w:val="single" w:sz="2" w:space="0" w:color="auto"/>
              <w:left w:val="nil"/>
              <w:bottom w:val="single" w:sz="2" w:space="0" w:color="auto"/>
              <w:right w:val="nil"/>
            </w:tcBorders>
            <w:noWrap/>
            <w:vAlign w:val="center"/>
            <w:hideMark/>
          </w:tcPr>
          <w:p w:rsidR="004D52CC" w:rsidRPr="00542901" w:rsidRDefault="004D52CC" w:rsidP="00542901">
            <w:pPr>
              <w:pStyle w:val="cuatexto"/>
              <w:jc w:val="left"/>
              <w:rPr>
                <w:szCs w:val="20"/>
              </w:rPr>
            </w:pPr>
            <w:r w:rsidRPr="00542901">
              <w:rPr>
                <w:szCs w:val="20"/>
              </w:rPr>
              <w:t>Transmisiones patrimoniales.</w:t>
            </w:r>
          </w:p>
        </w:tc>
        <w:tc>
          <w:tcPr>
            <w:tcW w:w="151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38.763</w:t>
            </w:r>
          </w:p>
        </w:tc>
        <w:tc>
          <w:tcPr>
            <w:tcW w:w="118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36.817</w:t>
            </w:r>
          </w:p>
        </w:tc>
        <w:tc>
          <w:tcPr>
            <w:tcW w:w="114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37.920</w:t>
            </w:r>
          </w:p>
        </w:tc>
        <w:tc>
          <w:tcPr>
            <w:tcW w:w="79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16</w:t>
            </w:r>
          </w:p>
        </w:tc>
        <w:tc>
          <w:tcPr>
            <w:tcW w:w="782" w:type="dxa"/>
            <w:tcBorders>
              <w:top w:val="single" w:sz="2" w:space="0" w:color="auto"/>
              <w:left w:val="nil"/>
              <w:bottom w:val="single" w:sz="2" w:space="0" w:color="auto"/>
              <w:right w:val="nil"/>
            </w:tcBorders>
            <w:vAlign w:val="center"/>
          </w:tcPr>
          <w:p w:rsidR="004D52CC" w:rsidRPr="00542901" w:rsidRDefault="00676948" w:rsidP="00542901">
            <w:pPr>
              <w:pStyle w:val="cuatexto"/>
              <w:jc w:val="right"/>
              <w:rPr>
                <w:szCs w:val="20"/>
              </w:rPr>
            </w:pPr>
            <w:r w:rsidRPr="00542901">
              <w:rPr>
                <w:szCs w:val="20"/>
              </w:rPr>
              <w:t>19</w:t>
            </w:r>
          </w:p>
        </w:tc>
        <w:tc>
          <w:tcPr>
            <w:tcW w:w="634"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20</w:t>
            </w:r>
          </w:p>
        </w:tc>
      </w:tr>
      <w:tr w:rsidR="004D52CC" w:rsidRPr="00542901" w:rsidTr="00F739C5">
        <w:trPr>
          <w:trHeight w:val="284"/>
          <w:jc w:val="center"/>
        </w:trPr>
        <w:tc>
          <w:tcPr>
            <w:tcW w:w="2779" w:type="dxa"/>
            <w:tcBorders>
              <w:top w:val="single" w:sz="2" w:space="0" w:color="auto"/>
              <w:left w:val="nil"/>
              <w:bottom w:val="single" w:sz="2" w:space="0" w:color="auto"/>
              <w:right w:val="nil"/>
            </w:tcBorders>
            <w:noWrap/>
            <w:vAlign w:val="center"/>
            <w:hideMark/>
          </w:tcPr>
          <w:p w:rsidR="004D52CC" w:rsidRPr="00542901" w:rsidRDefault="004D52CC" w:rsidP="00542901">
            <w:pPr>
              <w:pStyle w:val="cuatexto"/>
              <w:jc w:val="left"/>
              <w:rPr>
                <w:szCs w:val="20"/>
              </w:rPr>
            </w:pPr>
            <w:r w:rsidRPr="00542901">
              <w:rPr>
                <w:szCs w:val="20"/>
              </w:rPr>
              <w:t>Actos jurídicos documentados</w:t>
            </w:r>
          </w:p>
        </w:tc>
        <w:tc>
          <w:tcPr>
            <w:tcW w:w="151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9.567</w:t>
            </w:r>
          </w:p>
        </w:tc>
        <w:tc>
          <w:tcPr>
            <w:tcW w:w="118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9.332</w:t>
            </w:r>
          </w:p>
        </w:tc>
        <w:tc>
          <w:tcPr>
            <w:tcW w:w="114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9.403</w:t>
            </w:r>
          </w:p>
        </w:tc>
        <w:tc>
          <w:tcPr>
            <w:tcW w:w="79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-6</w:t>
            </w:r>
          </w:p>
        </w:tc>
        <w:tc>
          <w:tcPr>
            <w:tcW w:w="782" w:type="dxa"/>
            <w:tcBorders>
              <w:top w:val="single" w:sz="2" w:space="0" w:color="auto"/>
              <w:left w:val="nil"/>
              <w:bottom w:val="single" w:sz="2" w:space="0" w:color="auto"/>
              <w:right w:val="nil"/>
            </w:tcBorders>
            <w:vAlign w:val="center"/>
          </w:tcPr>
          <w:p w:rsidR="004D52CC" w:rsidRPr="00542901" w:rsidRDefault="00676948" w:rsidP="00542901">
            <w:pPr>
              <w:pStyle w:val="cuatexto"/>
              <w:jc w:val="right"/>
              <w:rPr>
                <w:szCs w:val="20"/>
              </w:rPr>
            </w:pPr>
            <w:r w:rsidRPr="00542901">
              <w:rPr>
                <w:szCs w:val="20"/>
              </w:rPr>
              <w:t>-10</w:t>
            </w:r>
          </w:p>
        </w:tc>
        <w:tc>
          <w:tcPr>
            <w:tcW w:w="634"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-6</w:t>
            </w:r>
          </w:p>
        </w:tc>
      </w:tr>
      <w:tr w:rsidR="004D52CC" w:rsidRPr="00542901" w:rsidTr="00F739C5">
        <w:trPr>
          <w:trHeight w:val="284"/>
          <w:jc w:val="center"/>
        </w:trPr>
        <w:tc>
          <w:tcPr>
            <w:tcW w:w="2779" w:type="dxa"/>
            <w:tcBorders>
              <w:top w:val="single" w:sz="2" w:space="0" w:color="auto"/>
              <w:left w:val="nil"/>
              <w:bottom w:val="single" w:sz="2" w:space="0" w:color="auto"/>
              <w:right w:val="nil"/>
            </w:tcBorders>
            <w:noWrap/>
            <w:vAlign w:val="center"/>
          </w:tcPr>
          <w:p w:rsidR="004D52CC" w:rsidRPr="00542901" w:rsidRDefault="00081261" w:rsidP="00542901">
            <w:pPr>
              <w:pStyle w:val="cuatexto"/>
              <w:jc w:val="left"/>
              <w:rPr>
                <w:szCs w:val="20"/>
              </w:rPr>
            </w:pPr>
            <w:r w:rsidRPr="00542901">
              <w:rPr>
                <w:szCs w:val="20"/>
              </w:rPr>
              <w:t xml:space="preserve">Otros </w:t>
            </w:r>
          </w:p>
        </w:tc>
        <w:tc>
          <w:tcPr>
            <w:tcW w:w="151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-4.602</w:t>
            </w:r>
          </w:p>
        </w:tc>
        <w:tc>
          <w:tcPr>
            <w:tcW w:w="118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-4.967</w:t>
            </w:r>
          </w:p>
        </w:tc>
        <w:tc>
          <w:tcPr>
            <w:tcW w:w="114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-4.396</w:t>
            </w:r>
          </w:p>
        </w:tc>
        <w:tc>
          <w:tcPr>
            <w:tcW w:w="79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w:t>
            </w:r>
          </w:p>
        </w:tc>
        <w:tc>
          <w:tcPr>
            <w:tcW w:w="782" w:type="dxa"/>
            <w:tcBorders>
              <w:top w:val="single" w:sz="2" w:space="0" w:color="auto"/>
              <w:left w:val="nil"/>
              <w:bottom w:val="single" w:sz="2" w:space="0" w:color="auto"/>
              <w:right w:val="nil"/>
            </w:tcBorders>
            <w:vAlign w:val="center"/>
          </w:tcPr>
          <w:p w:rsidR="004D52CC" w:rsidRPr="00542901" w:rsidRDefault="00676948" w:rsidP="00542901">
            <w:pPr>
              <w:pStyle w:val="cuatexto"/>
              <w:jc w:val="right"/>
              <w:rPr>
                <w:szCs w:val="20"/>
              </w:rPr>
            </w:pPr>
            <w:r w:rsidRPr="00542901">
              <w:rPr>
                <w:szCs w:val="20"/>
              </w:rPr>
              <w:t>153</w:t>
            </w:r>
          </w:p>
        </w:tc>
        <w:tc>
          <w:tcPr>
            <w:tcW w:w="634"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rsidRPr="00542901">
              <w:rPr>
                <w:szCs w:val="20"/>
              </w:rPr>
              <w:t>281</w:t>
            </w:r>
          </w:p>
        </w:tc>
      </w:tr>
      <w:tr w:rsidR="004D52CC" w:rsidRPr="00542901" w:rsidTr="00F739C5">
        <w:trPr>
          <w:trHeight w:val="284"/>
          <w:jc w:val="center"/>
        </w:trPr>
        <w:tc>
          <w:tcPr>
            <w:tcW w:w="2779" w:type="dxa"/>
            <w:tcBorders>
              <w:top w:val="single" w:sz="2" w:space="0" w:color="auto"/>
              <w:left w:val="nil"/>
              <w:bottom w:val="single" w:sz="4" w:space="0" w:color="auto"/>
              <w:right w:val="nil"/>
            </w:tcBorders>
            <w:noWrap/>
            <w:vAlign w:val="center"/>
            <w:hideMark/>
          </w:tcPr>
          <w:p w:rsidR="004D52CC" w:rsidRPr="00542901" w:rsidRDefault="004D52CC" w:rsidP="00542901">
            <w:pPr>
              <w:pStyle w:val="cuatexto"/>
              <w:jc w:val="left"/>
              <w:rPr>
                <w:b/>
                <w:szCs w:val="20"/>
              </w:rPr>
            </w:pPr>
            <w:r w:rsidRPr="00542901">
              <w:rPr>
                <w:b/>
                <w:szCs w:val="20"/>
              </w:rPr>
              <w:t>2. Impuestos indirectos</w:t>
            </w:r>
          </w:p>
        </w:tc>
        <w:tc>
          <w:tcPr>
            <w:tcW w:w="1510" w:type="dxa"/>
            <w:tcBorders>
              <w:top w:val="single" w:sz="2" w:space="0" w:color="auto"/>
              <w:left w:val="nil"/>
              <w:bottom w:val="single" w:sz="4" w:space="0" w:color="auto"/>
              <w:right w:val="nil"/>
            </w:tcBorders>
            <w:vAlign w:val="center"/>
          </w:tcPr>
          <w:p w:rsidR="004D52CC" w:rsidRPr="00542901" w:rsidRDefault="004D52CC" w:rsidP="00542901">
            <w:pPr>
              <w:pStyle w:val="cuatexto"/>
              <w:jc w:val="right"/>
              <w:rPr>
                <w:b/>
                <w:szCs w:val="20"/>
              </w:rPr>
            </w:pPr>
            <w:r w:rsidRPr="00542901">
              <w:rPr>
                <w:b/>
                <w:szCs w:val="20"/>
              </w:rPr>
              <w:t>1.641.986</w:t>
            </w:r>
          </w:p>
        </w:tc>
        <w:tc>
          <w:tcPr>
            <w:tcW w:w="1180" w:type="dxa"/>
            <w:tcBorders>
              <w:top w:val="single" w:sz="2" w:space="0" w:color="auto"/>
              <w:left w:val="nil"/>
              <w:bottom w:val="single" w:sz="4" w:space="0" w:color="auto"/>
              <w:right w:val="nil"/>
            </w:tcBorders>
            <w:vAlign w:val="center"/>
          </w:tcPr>
          <w:p w:rsidR="004D52CC" w:rsidRPr="00542901" w:rsidRDefault="004D52CC" w:rsidP="00542901">
            <w:pPr>
              <w:pStyle w:val="cuatexto"/>
              <w:jc w:val="right"/>
              <w:rPr>
                <w:b/>
                <w:szCs w:val="20"/>
              </w:rPr>
            </w:pPr>
            <w:r w:rsidRPr="00542901">
              <w:rPr>
                <w:b/>
                <w:szCs w:val="20"/>
              </w:rPr>
              <w:t>1.498.068</w:t>
            </w:r>
          </w:p>
        </w:tc>
        <w:tc>
          <w:tcPr>
            <w:tcW w:w="1140" w:type="dxa"/>
            <w:tcBorders>
              <w:top w:val="single" w:sz="2" w:space="0" w:color="auto"/>
              <w:left w:val="nil"/>
              <w:bottom w:val="single" w:sz="4" w:space="0" w:color="auto"/>
              <w:right w:val="nil"/>
            </w:tcBorders>
            <w:vAlign w:val="center"/>
          </w:tcPr>
          <w:p w:rsidR="004D52CC" w:rsidRPr="00542901" w:rsidRDefault="004D52CC" w:rsidP="00542901">
            <w:pPr>
              <w:pStyle w:val="cuatexto"/>
              <w:jc w:val="right"/>
              <w:rPr>
                <w:b/>
                <w:szCs w:val="20"/>
              </w:rPr>
            </w:pPr>
            <w:r w:rsidRPr="00542901">
              <w:rPr>
                <w:b/>
                <w:szCs w:val="20"/>
              </w:rPr>
              <w:t>1.669.011</w:t>
            </w:r>
          </w:p>
        </w:tc>
        <w:tc>
          <w:tcPr>
            <w:tcW w:w="790" w:type="dxa"/>
            <w:tcBorders>
              <w:top w:val="single" w:sz="2" w:space="0" w:color="auto"/>
              <w:left w:val="nil"/>
              <w:bottom w:val="single" w:sz="4" w:space="0" w:color="auto"/>
              <w:right w:val="nil"/>
            </w:tcBorders>
            <w:vAlign w:val="center"/>
          </w:tcPr>
          <w:p w:rsidR="004D52CC" w:rsidRPr="00542901" w:rsidRDefault="004D52CC" w:rsidP="00542901">
            <w:pPr>
              <w:pStyle w:val="cuatexto"/>
              <w:jc w:val="right"/>
              <w:rPr>
                <w:b/>
                <w:szCs w:val="20"/>
              </w:rPr>
            </w:pPr>
            <w:r w:rsidRPr="00542901">
              <w:rPr>
                <w:b/>
                <w:szCs w:val="20"/>
              </w:rPr>
              <w:t>3</w:t>
            </w:r>
          </w:p>
        </w:tc>
        <w:tc>
          <w:tcPr>
            <w:tcW w:w="782" w:type="dxa"/>
            <w:tcBorders>
              <w:top w:val="single" w:sz="2" w:space="0" w:color="auto"/>
              <w:left w:val="nil"/>
              <w:bottom w:val="single" w:sz="4" w:space="0" w:color="auto"/>
              <w:right w:val="nil"/>
            </w:tcBorders>
            <w:vAlign w:val="center"/>
          </w:tcPr>
          <w:p w:rsidR="004D52CC" w:rsidRPr="00542901" w:rsidRDefault="00676948" w:rsidP="00542901">
            <w:pPr>
              <w:pStyle w:val="cuatexto"/>
              <w:jc w:val="right"/>
              <w:rPr>
                <w:b/>
                <w:szCs w:val="20"/>
              </w:rPr>
            </w:pPr>
            <w:r w:rsidRPr="00542901">
              <w:rPr>
                <w:b/>
                <w:szCs w:val="20"/>
              </w:rPr>
              <w:t>1</w:t>
            </w:r>
          </w:p>
        </w:tc>
        <w:tc>
          <w:tcPr>
            <w:tcW w:w="634" w:type="dxa"/>
            <w:tcBorders>
              <w:top w:val="single" w:sz="2" w:space="0" w:color="auto"/>
              <w:left w:val="nil"/>
              <w:bottom w:val="single" w:sz="4" w:space="0" w:color="auto"/>
              <w:right w:val="nil"/>
            </w:tcBorders>
            <w:vAlign w:val="center"/>
          </w:tcPr>
          <w:p w:rsidR="004D52CC" w:rsidRPr="00542901" w:rsidRDefault="004D52CC" w:rsidP="00542901">
            <w:pPr>
              <w:pStyle w:val="cuatexto"/>
              <w:jc w:val="right"/>
              <w:rPr>
                <w:b/>
                <w:szCs w:val="20"/>
              </w:rPr>
            </w:pPr>
            <w:r w:rsidRPr="00542901">
              <w:rPr>
                <w:b/>
                <w:szCs w:val="20"/>
              </w:rPr>
              <w:t>6</w:t>
            </w:r>
          </w:p>
        </w:tc>
      </w:tr>
      <w:tr w:rsidR="00676948" w:rsidRPr="00542901" w:rsidTr="00542901">
        <w:trPr>
          <w:trHeight w:val="284"/>
          <w:jc w:val="center"/>
        </w:trPr>
        <w:tc>
          <w:tcPr>
            <w:tcW w:w="2779" w:type="dxa"/>
            <w:tcBorders>
              <w:top w:val="single" w:sz="4" w:space="0" w:color="auto"/>
              <w:left w:val="nil"/>
              <w:bottom w:val="single" w:sz="4" w:space="0" w:color="auto"/>
              <w:right w:val="nil"/>
            </w:tcBorders>
            <w:shd w:val="clear" w:color="auto" w:fill="A8CBEE" w:themeFill="accent2" w:themeFillTint="66"/>
            <w:noWrap/>
            <w:vAlign w:val="center"/>
            <w:hideMark/>
          </w:tcPr>
          <w:p w:rsidR="00676948" w:rsidRPr="00542901" w:rsidRDefault="00676948" w:rsidP="00542901">
            <w:pPr>
              <w:pStyle w:val="cuadroCabe"/>
              <w:jc w:val="left"/>
              <w:rPr>
                <w:rFonts w:cs="Arial"/>
                <w:szCs w:val="18"/>
              </w:rPr>
            </w:pPr>
            <w:r w:rsidRPr="00542901">
              <w:rPr>
                <w:rFonts w:cs="Arial"/>
                <w:szCs w:val="18"/>
              </w:rPr>
              <w:t>Total impuestos</w:t>
            </w:r>
          </w:p>
        </w:tc>
        <w:tc>
          <w:tcPr>
            <w:tcW w:w="1510" w:type="dxa"/>
            <w:tcBorders>
              <w:top w:val="single" w:sz="4" w:space="0" w:color="auto"/>
              <w:left w:val="nil"/>
              <w:bottom w:val="single" w:sz="4" w:space="0" w:color="auto"/>
              <w:right w:val="nil"/>
            </w:tcBorders>
            <w:shd w:val="clear" w:color="auto" w:fill="A8CBEE" w:themeFill="accent2" w:themeFillTint="66"/>
            <w:vAlign w:val="center"/>
          </w:tcPr>
          <w:p w:rsidR="00676948" w:rsidRPr="00542901" w:rsidRDefault="00676948" w:rsidP="00542901">
            <w:pPr>
              <w:pStyle w:val="cuatexto"/>
              <w:jc w:val="right"/>
              <w:rPr>
                <w:rFonts w:ascii="Arial" w:hAnsi="Arial" w:cs="Arial"/>
                <w:sz w:val="18"/>
                <w:szCs w:val="18"/>
              </w:rPr>
            </w:pPr>
            <w:r w:rsidRPr="00542901">
              <w:rPr>
                <w:rFonts w:ascii="Arial" w:hAnsi="Arial" w:cs="Arial"/>
                <w:sz w:val="18"/>
                <w:szCs w:val="18"/>
              </w:rPr>
              <w:t>3.109.758</w:t>
            </w:r>
          </w:p>
        </w:tc>
        <w:tc>
          <w:tcPr>
            <w:tcW w:w="1180" w:type="dxa"/>
            <w:tcBorders>
              <w:top w:val="single" w:sz="4" w:space="0" w:color="auto"/>
              <w:left w:val="nil"/>
              <w:bottom w:val="single" w:sz="4" w:space="0" w:color="auto"/>
              <w:right w:val="nil"/>
            </w:tcBorders>
            <w:shd w:val="clear" w:color="auto" w:fill="A8CBEE" w:themeFill="accent2" w:themeFillTint="66"/>
            <w:vAlign w:val="center"/>
          </w:tcPr>
          <w:p w:rsidR="00676948" w:rsidRPr="00542901" w:rsidRDefault="00676948" w:rsidP="00542901">
            <w:pPr>
              <w:pStyle w:val="cuatexto"/>
              <w:jc w:val="right"/>
              <w:rPr>
                <w:rFonts w:ascii="Arial" w:hAnsi="Arial" w:cs="Arial"/>
                <w:sz w:val="18"/>
                <w:szCs w:val="18"/>
              </w:rPr>
            </w:pPr>
            <w:r w:rsidRPr="00542901">
              <w:rPr>
                <w:rFonts w:ascii="Arial" w:hAnsi="Arial" w:cs="Arial"/>
                <w:sz w:val="18"/>
                <w:szCs w:val="18"/>
              </w:rPr>
              <w:t>2.884.303</w:t>
            </w:r>
          </w:p>
        </w:tc>
        <w:tc>
          <w:tcPr>
            <w:tcW w:w="1140" w:type="dxa"/>
            <w:tcBorders>
              <w:top w:val="single" w:sz="4" w:space="0" w:color="auto"/>
              <w:left w:val="nil"/>
              <w:bottom w:val="single" w:sz="4" w:space="0" w:color="auto"/>
              <w:right w:val="nil"/>
            </w:tcBorders>
            <w:shd w:val="clear" w:color="auto" w:fill="A8CBEE" w:themeFill="accent2" w:themeFillTint="66"/>
            <w:vAlign w:val="center"/>
          </w:tcPr>
          <w:p w:rsidR="00676948" w:rsidRPr="00542901" w:rsidRDefault="00676948" w:rsidP="00542901">
            <w:pPr>
              <w:pStyle w:val="cuatexto"/>
              <w:jc w:val="right"/>
              <w:rPr>
                <w:rFonts w:ascii="Arial" w:hAnsi="Arial" w:cs="Arial"/>
                <w:sz w:val="18"/>
                <w:szCs w:val="18"/>
              </w:rPr>
            </w:pPr>
            <w:r w:rsidRPr="00542901">
              <w:rPr>
                <w:rFonts w:ascii="Arial" w:hAnsi="Arial" w:cs="Arial"/>
                <w:sz w:val="18"/>
                <w:szCs w:val="18"/>
              </w:rPr>
              <w:t>3.166.356</w:t>
            </w:r>
          </w:p>
        </w:tc>
        <w:tc>
          <w:tcPr>
            <w:tcW w:w="790" w:type="dxa"/>
            <w:tcBorders>
              <w:top w:val="single" w:sz="4" w:space="0" w:color="auto"/>
              <w:left w:val="nil"/>
              <w:bottom w:val="single" w:sz="4" w:space="0" w:color="auto"/>
              <w:right w:val="nil"/>
            </w:tcBorders>
            <w:shd w:val="clear" w:color="auto" w:fill="A8CBEE" w:themeFill="accent2" w:themeFillTint="66"/>
            <w:vAlign w:val="center"/>
          </w:tcPr>
          <w:p w:rsidR="00676948" w:rsidRPr="00542901" w:rsidRDefault="00676948" w:rsidP="00542901">
            <w:pPr>
              <w:pStyle w:val="cuatexto"/>
              <w:jc w:val="right"/>
              <w:rPr>
                <w:rFonts w:ascii="Arial" w:hAnsi="Arial" w:cs="Arial"/>
                <w:sz w:val="18"/>
                <w:szCs w:val="18"/>
              </w:rPr>
            </w:pPr>
            <w:r w:rsidRPr="00542901">
              <w:rPr>
                <w:rFonts w:ascii="Arial" w:hAnsi="Arial" w:cs="Arial"/>
                <w:sz w:val="18"/>
                <w:szCs w:val="18"/>
              </w:rPr>
              <w:t>3</w:t>
            </w:r>
          </w:p>
        </w:tc>
        <w:tc>
          <w:tcPr>
            <w:tcW w:w="782" w:type="dxa"/>
            <w:tcBorders>
              <w:top w:val="single" w:sz="4" w:space="0" w:color="auto"/>
              <w:left w:val="nil"/>
              <w:bottom w:val="single" w:sz="4" w:space="0" w:color="auto"/>
              <w:right w:val="nil"/>
            </w:tcBorders>
            <w:shd w:val="clear" w:color="auto" w:fill="A8CBEE" w:themeFill="accent2" w:themeFillTint="66"/>
            <w:vAlign w:val="center"/>
          </w:tcPr>
          <w:p w:rsidR="00676948" w:rsidRPr="00542901" w:rsidRDefault="00676948" w:rsidP="00542901">
            <w:pPr>
              <w:pStyle w:val="cuatexto"/>
              <w:jc w:val="right"/>
              <w:rPr>
                <w:rFonts w:ascii="Arial" w:hAnsi="Arial" w:cs="Arial"/>
                <w:sz w:val="18"/>
                <w:szCs w:val="18"/>
              </w:rPr>
            </w:pPr>
            <w:r w:rsidRPr="00542901">
              <w:rPr>
                <w:rFonts w:ascii="Arial" w:hAnsi="Arial" w:cs="Arial"/>
                <w:sz w:val="18"/>
                <w:szCs w:val="18"/>
              </w:rPr>
              <w:t>1</w:t>
            </w:r>
          </w:p>
        </w:tc>
        <w:tc>
          <w:tcPr>
            <w:tcW w:w="634" w:type="dxa"/>
            <w:tcBorders>
              <w:top w:val="single" w:sz="4" w:space="0" w:color="auto"/>
              <w:left w:val="nil"/>
              <w:bottom w:val="single" w:sz="4" w:space="0" w:color="auto"/>
              <w:right w:val="nil"/>
            </w:tcBorders>
            <w:shd w:val="clear" w:color="auto" w:fill="A8CBEE" w:themeFill="accent2" w:themeFillTint="66"/>
            <w:vAlign w:val="center"/>
          </w:tcPr>
          <w:p w:rsidR="00676948" w:rsidRPr="00542901" w:rsidRDefault="00676948" w:rsidP="00542901">
            <w:pPr>
              <w:pStyle w:val="cuatexto"/>
              <w:jc w:val="right"/>
              <w:rPr>
                <w:rFonts w:ascii="Arial" w:hAnsi="Arial" w:cs="Arial"/>
                <w:sz w:val="18"/>
                <w:szCs w:val="18"/>
              </w:rPr>
            </w:pPr>
            <w:r w:rsidRPr="00542901">
              <w:rPr>
                <w:rFonts w:ascii="Arial" w:hAnsi="Arial" w:cs="Arial"/>
                <w:sz w:val="18"/>
                <w:szCs w:val="18"/>
              </w:rPr>
              <w:t>6</w:t>
            </w:r>
          </w:p>
        </w:tc>
      </w:tr>
    </w:tbl>
    <w:p w:rsidR="00DE61D1" w:rsidRDefault="00DE61D1">
      <w:pPr>
        <w:spacing w:after="0"/>
        <w:ind w:firstLine="0"/>
        <w:jc w:val="left"/>
      </w:pPr>
    </w:p>
    <w:p w:rsidR="00CB2909" w:rsidRPr="00542901" w:rsidRDefault="00CB2909" w:rsidP="00542901">
      <w:pPr>
        <w:pStyle w:val="texto"/>
        <w:rPr>
          <w:spacing w:val="0"/>
          <w:lang w:val="es-ES"/>
        </w:rPr>
      </w:pPr>
      <w:r w:rsidRPr="00542901">
        <w:rPr>
          <w:spacing w:val="0"/>
          <w:lang w:val="es-ES"/>
        </w:rPr>
        <w:t xml:space="preserve">De su análisis </w:t>
      </w:r>
      <w:r w:rsidR="00171B1C" w:rsidRPr="00542901">
        <w:rPr>
          <w:spacing w:val="0"/>
          <w:lang w:val="es-ES"/>
        </w:rPr>
        <w:t>y de la</w:t>
      </w:r>
      <w:r w:rsidR="00F94686" w:rsidRPr="00542901">
        <w:rPr>
          <w:spacing w:val="0"/>
          <w:lang w:val="es-ES"/>
        </w:rPr>
        <w:t>s</w:t>
      </w:r>
      <w:r w:rsidR="00171B1C" w:rsidRPr="00542901">
        <w:rPr>
          <w:spacing w:val="0"/>
          <w:lang w:val="es-ES"/>
        </w:rPr>
        <w:t xml:space="preserve"> revisiones realizadas, </w:t>
      </w:r>
      <w:r w:rsidRPr="00542901">
        <w:rPr>
          <w:spacing w:val="0"/>
          <w:lang w:val="es-ES"/>
        </w:rPr>
        <w:t>destacamos los siguientes aspectos:</w:t>
      </w:r>
    </w:p>
    <w:p w:rsidR="00CB2909" w:rsidRPr="006F62D7" w:rsidRDefault="00CB2909" w:rsidP="00542901">
      <w:pPr>
        <w:pStyle w:val="texto"/>
        <w:numPr>
          <w:ilvl w:val="0"/>
          <w:numId w:val="2"/>
        </w:numPr>
        <w:tabs>
          <w:tab w:val="clear" w:pos="1948"/>
          <w:tab w:val="clear" w:pos="2835"/>
          <w:tab w:val="clear" w:pos="3969"/>
          <w:tab w:val="clear" w:pos="5103"/>
          <w:tab w:val="clear" w:pos="6237"/>
          <w:tab w:val="clear" w:pos="7371"/>
          <w:tab w:val="num" w:pos="300"/>
          <w:tab w:val="left" w:pos="490"/>
          <w:tab w:val="num" w:pos="4920"/>
        </w:tabs>
        <w:ind w:left="0" w:firstLine="289"/>
        <w:rPr>
          <w:lang w:val="es-ES"/>
        </w:rPr>
      </w:pPr>
      <w:r w:rsidRPr="006F62D7">
        <w:rPr>
          <w:lang w:val="es-ES"/>
        </w:rPr>
        <w:t>Sobre 201</w:t>
      </w:r>
      <w:r w:rsidR="004877F2">
        <w:rPr>
          <w:lang w:val="es-ES"/>
        </w:rPr>
        <w:t>4</w:t>
      </w:r>
      <w:r w:rsidRPr="006F62D7">
        <w:rPr>
          <w:lang w:val="es-ES"/>
        </w:rPr>
        <w:t>, los derechos reconocidos</w:t>
      </w:r>
      <w:r w:rsidR="00577F7E" w:rsidRPr="006F62D7">
        <w:rPr>
          <w:lang w:val="es-ES"/>
        </w:rPr>
        <w:t xml:space="preserve"> netos</w:t>
      </w:r>
      <w:r w:rsidRPr="006F62D7">
        <w:rPr>
          <w:lang w:val="es-ES"/>
        </w:rPr>
        <w:t xml:space="preserve"> por impuestos se han incrementado en un tres por ciento, esto es, en </w:t>
      </w:r>
      <w:r w:rsidR="00577F7E" w:rsidRPr="006F62D7">
        <w:rPr>
          <w:lang w:val="es-ES"/>
        </w:rPr>
        <w:t>torno a 96 millones más.</w:t>
      </w:r>
    </w:p>
    <w:p w:rsidR="004F6158" w:rsidRPr="00542901" w:rsidRDefault="00577F7E" w:rsidP="00542901">
      <w:pPr>
        <w:pStyle w:val="texto"/>
        <w:rPr>
          <w:spacing w:val="0"/>
          <w:lang w:val="es-ES"/>
        </w:rPr>
      </w:pPr>
      <w:r w:rsidRPr="00577F7E">
        <w:rPr>
          <w:lang w:val="es-ES"/>
        </w:rPr>
        <w:t>En 2015, derivado de la modificación del Convenio, se aplican dos nuevos impuestos</w:t>
      </w:r>
      <w:r w:rsidR="004F6158">
        <w:rPr>
          <w:lang w:val="es-ES"/>
        </w:rPr>
        <w:t xml:space="preserve"> directos</w:t>
      </w:r>
      <w:r w:rsidRPr="00577F7E">
        <w:rPr>
          <w:lang w:val="es-ES"/>
        </w:rPr>
        <w:t xml:space="preserve">: </w:t>
      </w:r>
      <w:r w:rsidR="001571B5">
        <w:rPr>
          <w:lang w:val="es-ES"/>
        </w:rPr>
        <w:t xml:space="preserve">gravamen </w:t>
      </w:r>
      <w:r w:rsidRPr="00577F7E">
        <w:rPr>
          <w:lang w:val="es-ES"/>
        </w:rPr>
        <w:t xml:space="preserve">sobre premios de loterías y </w:t>
      </w:r>
      <w:r w:rsidR="001571B5">
        <w:rPr>
          <w:lang w:val="es-ES"/>
        </w:rPr>
        <w:t>apuestas</w:t>
      </w:r>
      <w:r w:rsidRPr="00577F7E">
        <w:rPr>
          <w:lang w:val="es-ES"/>
        </w:rPr>
        <w:t xml:space="preserve"> –con unos derechos de 1</w:t>
      </w:r>
      <w:r w:rsidR="00081261">
        <w:rPr>
          <w:lang w:val="es-ES"/>
        </w:rPr>
        <w:t>8,78</w:t>
      </w:r>
      <w:r w:rsidRPr="00577F7E">
        <w:rPr>
          <w:lang w:val="es-ES"/>
        </w:rPr>
        <w:t xml:space="preserve"> millones</w:t>
      </w:r>
      <w:r w:rsidR="00542901">
        <w:rPr>
          <w:lang w:val="es-ES"/>
        </w:rPr>
        <w:t>–</w:t>
      </w:r>
      <w:r w:rsidRPr="00577F7E">
        <w:rPr>
          <w:lang w:val="es-ES"/>
        </w:rPr>
        <w:t xml:space="preserve"> </w:t>
      </w:r>
      <w:r w:rsidR="001571B5">
        <w:rPr>
          <w:lang w:val="es-ES"/>
        </w:rPr>
        <w:t xml:space="preserve">e impuesto </w:t>
      </w:r>
      <w:r w:rsidRPr="00577F7E">
        <w:rPr>
          <w:lang w:val="es-ES"/>
        </w:rPr>
        <w:t xml:space="preserve">sobre depósitos bancarios </w:t>
      </w:r>
      <w:r w:rsidR="00542901">
        <w:rPr>
          <w:lang w:val="es-ES"/>
        </w:rPr>
        <w:t>–</w:t>
      </w:r>
      <w:r w:rsidRPr="00577F7E">
        <w:rPr>
          <w:lang w:val="es-ES"/>
        </w:rPr>
        <w:t>4</w:t>
      </w:r>
      <w:r w:rsidR="00081261">
        <w:rPr>
          <w:lang w:val="es-ES"/>
        </w:rPr>
        <w:t>,6</w:t>
      </w:r>
      <w:r w:rsidRPr="00577F7E">
        <w:rPr>
          <w:lang w:val="es-ES"/>
        </w:rPr>
        <w:t xml:space="preserve"> millones</w:t>
      </w:r>
      <w:r w:rsidR="00542901">
        <w:rPr>
          <w:lang w:val="es-ES"/>
        </w:rPr>
        <w:t>–</w:t>
      </w:r>
      <w:r w:rsidR="00081261">
        <w:rPr>
          <w:lang w:val="es-ES"/>
        </w:rPr>
        <w:t>; as</w:t>
      </w:r>
      <w:r w:rsidR="004F6158">
        <w:rPr>
          <w:lang w:val="es-ES"/>
        </w:rPr>
        <w:t>í mismo</w:t>
      </w:r>
      <w:r w:rsidR="00081261">
        <w:rPr>
          <w:lang w:val="es-ES"/>
        </w:rPr>
        <w:t>,</w:t>
      </w:r>
      <w:r w:rsidR="004F6158">
        <w:rPr>
          <w:lang w:val="es-ES"/>
        </w:rPr>
        <w:t xml:space="preserve"> en impuestos indirectos</w:t>
      </w:r>
      <w:r w:rsidR="00081261">
        <w:rPr>
          <w:lang w:val="es-ES"/>
        </w:rPr>
        <w:t>,</w:t>
      </w:r>
      <w:r w:rsidR="004F6158">
        <w:rPr>
          <w:lang w:val="es-ES"/>
        </w:rPr>
        <w:t xml:space="preserve"> se aplican otros dos nuevos:</w:t>
      </w:r>
      <w:r w:rsidR="004F6158" w:rsidRPr="004F6158">
        <w:rPr>
          <w:lang w:val="es-ES"/>
        </w:rPr>
        <w:t xml:space="preserve"> Impuesto sobre actividades del juego, </w:t>
      </w:r>
      <w:r w:rsidR="004F6158" w:rsidRPr="00542901">
        <w:rPr>
          <w:spacing w:val="0"/>
          <w:lang w:val="es-ES"/>
        </w:rPr>
        <w:t>con unos derechos de 2,7 millones y el Impuesto sobre gases fluorados de efecto invernadero, con unos derechos de 0,37 millones.</w:t>
      </w:r>
    </w:p>
    <w:p w:rsidR="00577F7E" w:rsidRDefault="00577F7E" w:rsidP="00542901">
      <w:pPr>
        <w:pStyle w:val="texto"/>
        <w:rPr>
          <w:lang w:val="es-ES"/>
        </w:rPr>
      </w:pPr>
      <w:r w:rsidRPr="00577F7E">
        <w:rPr>
          <w:lang w:val="es-ES"/>
        </w:rPr>
        <w:t xml:space="preserve">Si no tuviéramos en cuenta estos </w:t>
      </w:r>
      <w:r w:rsidR="004F6158">
        <w:rPr>
          <w:lang w:val="es-ES"/>
        </w:rPr>
        <w:t xml:space="preserve">nuevos </w:t>
      </w:r>
      <w:r w:rsidRPr="00577F7E">
        <w:rPr>
          <w:lang w:val="es-ES"/>
        </w:rPr>
        <w:t>impuestos, el aumento</w:t>
      </w:r>
      <w:r w:rsidR="004F6158">
        <w:rPr>
          <w:lang w:val="es-ES"/>
        </w:rPr>
        <w:t xml:space="preserve"> global</w:t>
      </w:r>
      <w:r>
        <w:rPr>
          <w:lang w:val="es-ES"/>
        </w:rPr>
        <w:t xml:space="preserve"> anterior de los impuestos en</w:t>
      </w:r>
      <w:r w:rsidRPr="00577F7E">
        <w:rPr>
          <w:lang w:val="es-ES"/>
        </w:rPr>
        <w:t xml:space="preserve"> 2015 sería de 7</w:t>
      </w:r>
      <w:r w:rsidR="004F6158">
        <w:rPr>
          <w:lang w:val="es-ES"/>
        </w:rPr>
        <w:t>0</w:t>
      </w:r>
      <w:r w:rsidRPr="00577F7E">
        <w:rPr>
          <w:lang w:val="es-ES"/>
        </w:rPr>
        <w:t xml:space="preserve"> millones.</w:t>
      </w:r>
    </w:p>
    <w:p w:rsidR="00577F7E" w:rsidRPr="00081261" w:rsidRDefault="00577F7E" w:rsidP="00542901">
      <w:pPr>
        <w:pStyle w:val="texto"/>
        <w:rPr>
          <w:lang w:val="es-ES"/>
        </w:rPr>
      </w:pPr>
      <w:r w:rsidRPr="00081261">
        <w:rPr>
          <w:lang w:val="es-ES"/>
        </w:rPr>
        <w:t>Las tres grandes figuras impositivas</w:t>
      </w:r>
      <w:r w:rsidR="004F6158" w:rsidRPr="00081261">
        <w:rPr>
          <w:lang w:val="es-ES"/>
        </w:rPr>
        <w:t xml:space="preserve"> </w:t>
      </w:r>
      <w:r w:rsidRPr="00081261">
        <w:rPr>
          <w:lang w:val="es-ES"/>
        </w:rPr>
        <w:t>–IRPF, Sociedades e IVA– presentan, todas un crecimiento, si bien éste es muy variado; así el IRPF</w:t>
      </w:r>
      <w:r w:rsidR="00542901">
        <w:rPr>
          <w:lang w:val="es-ES"/>
        </w:rPr>
        <w:t>, aumenta un uno por ciento –10 millones–</w:t>
      </w:r>
      <w:r w:rsidRPr="00081261">
        <w:rPr>
          <w:lang w:val="es-ES"/>
        </w:rPr>
        <w:t xml:space="preserve">, Sociedades </w:t>
      </w:r>
      <w:r w:rsidR="0076710A">
        <w:rPr>
          <w:lang w:val="es-ES"/>
        </w:rPr>
        <w:t>un</w:t>
      </w:r>
      <w:r w:rsidRPr="00081261">
        <w:rPr>
          <w:lang w:val="es-ES"/>
        </w:rPr>
        <w:t xml:space="preserve"> tres por ciento </w:t>
      </w:r>
      <w:r w:rsidR="00542901">
        <w:rPr>
          <w:lang w:val="es-ES"/>
        </w:rPr>
        <w:t>–</w:t>
      </w:r>
      <w:r w:rsidRPr="00081261">
        <w:rPr>
          <w:lang w:val="es-ES"/>
        </w:rPr>
        <w:t>5 millones</w:t>
      </w:r>
      <w:r w:rsidR="00542901">
        <w:rPr>
          <w:lang w:val="es-ES"/>
        </w:rPr>
        <w:t>–</w:t>
      </w:r>
      <w:r w:rsidRPr="00081261">
        <w:rPr>
          <w:lang w:val="es-ES"/>
        </w:rPr>
        <w:t xml:space="preserve"> e IVA un seis por ciento </w:t>
      </w:r>
      <w:r w:rsidR="00542901">
        <w:rPr>
          <w:lang w:val="es-ES"/>
        </w:rPr>
        <w:t>–</w:t>
      </w:r>
      <w:r w:rsidRPr="00081261">
        <w:rPr>
          <w:lang w:val="es-ES"/>
        </w:rPr>
        <w:t>72 millones</w:t>
      </w:r>
      <w:r w:rsidR="00542901">
        <w:rPr>
          <w:lang w:val="es-ES"/>
        </w:rPr>
        <w:t>–</w:t>
      </w:r>
      <w:r w:rsidRPr="00081261">
        <w:rPr>
          <w:lang w:val="es-ES"/>
        </w:rPr>
        <w:t>.</w:t>
      </w:r>
    </w:p>
    <w:p w:rsidR="00CB2909" w:rsidRDefault="00577F7E" w:rsidP="00542901">
      <w:pPr>
        <w:pStyle w:val="texto"/>
        <w:rPr>
          <w:lang w:val="es-ES"/>
        </w:rPr>
      </w:pPr>
      <w:r w:rsidRPr="00081261">
        <w:rPr>
          <w:lang w:val="es-ES"/>
        </w:rPr>
        <w:t>También</w:t>
      </w:r>
      <w:r w:rsidR="00CB2909" w:rsidRPr="00081261">
        <w:rPr>
          <w:lang w:val="es-ES"/>
        </w:rPr>
        <w:t xml:space="preserve"> destacamos el aumento de sucesiones </w:t>
      </w:r>
      <w:r w:rsidR="00754984" w:rsidRPr="00081261">
        <w:rPr>
          <w:lang w:val="es-ES"/>
        </w:rPr>
        <w:t>–cinco millones más</w:t>
      </w:r>
      <w:r w:rsidR="00542901">
        <w:rPr>
          <w:lang w:val="es-ES"/>
        </w:rPr>
        <w:t>–</w:t>
      </w:r>
      <w:r w:rsidR="00754984" w:rsidRPr="00081261">
        <w:rPr>
          <w:lang w:val="es-ES"/>
        </w:rPr>
        <w:t xml:space="preserve"> y la reducción en el impuesto sobre el patrimonio –cuatro millones menos</w:t>
      </w:r>
      <w:r w:rsidR="00542901">
        <w:rPr>
          <w:lang w:val="es-ES"/>
        </w:rPr>
        <w:t>–</w:t>
      </w:r>
      <w:r w:rsidR="00171B1C" w:rsidRPr="00081261">
        <w:rPr>
          <w:lang w:val="es-ES"/>
        </w:rPr>
        <w:t>; e</w:t>
      </w:r>
      <w:r w:rsidR="00754984" w:rsidRPr="00081261">
        <w:rPr>
          <w:lang w:val="es-ES"/>
        </w:rPr>
        <w:t>n impuestos indirectos</w:t>
      </w:r>
      <w:r w:rsidR="00171B1C" w:rsidRPr="00081261">
        <w:rPr>
          <w:lang w:val="es-ES"/>
        </w:rPr>
        <w:t>,</w:t>
      </w:r>
      <w:r w:rsidR="00754984" w:rsidRPr="00081261">
        <w:rPr>
          <w:lang w:val="es-ES"/>
        </w:rPr>
        <w:t xml:space="preserve"> la reducción de los especiales –en 16 millones</w:t>
      </w:r>
      <w:r w:rsidR="00542901">
        <w:rPr>
          <w:lang w:val="es-ES"/>
        </w:rPr>
        <w:t>–</w:t>
      </w:r>
      <w:r w:rsidR="00754984" w:rsidRPr="00081261">
        <w:rPr>
          <w:lang w:val="es-ES"/>
        </w:rPr>
        <w:t xml:space="preserve"> y el aumento de transmisiones patrimoniales </w:t>
      </w:r>
      <w:r w:rsidR="00542901">
        <w:rPr>
          <w:lang w:val="es-ES"/>
        </w:rPr>
        <w:t>–</w:t>
      </w:r>
      <w:r w:rsidR="00754984" w:rsidRPr="00081261">
        <w:rPr>
          <w:lang w:val="es-ES"/>
        </w:rPr>
        <w:t>6 millones</w:t>
      </w:r>
      <w:r w:rsidR="00542901">
        <w:rPr>
          <w:lang w:val="es-ES"/>
        </w:rPr>
        <w:t>–</w:t>
      </w:r>
      <w:r w:rsidR="00754984" w:rsidRPr="00081261">
        <w:rPr>
          <w:lang w:val="es-ES"/>
        </w:rPr>
        <w:t>.</w:t>
      </w:r>
    </w:p>
    <w:p w:rsidR="006F62D7" w:rsidRPr="00081261" w:rsidRDefault="006F62D7" w:rsidP="00542901">
      <w:pPr>
        <w:pStyle w:val="texto"/>
        <w:rPr>
          <w:lang w:val="es-ES"/>
        </w:rPr>
      </w:pPr>
      <w:r>
        <w:rPr>
          <w:lang w:val="es-ES"/>
        </w:rPr>
        <w:t>Dentro de otros impuestos indirectos se incluye el impuesto sobre ventas minoristas de determinados hidrocarburos</w:t>
      </w:r>
      <w:r w:rsidR="008D66A6">
        <w:rPr>
          <w:lang w:val="es-ES"/>
        </w:rPr>
        <w:t xml:space="preserve"> o “céntimo sanitario”</w:t>
      </w:r>
      <w:r>
        <w:rPr>
          <w:lang w:val="es-ES"/>
        </w:rPr>
        <w:t xml:space="preserve">, que presenta un saldo negativo de </w:t>
      </w:r>
      <w:r w:rsidR="008D66A6">
        <w:rPr>
          <w:lang w:val="es-ES"/>
        </w:rPr>
        <w:t>7,76 millones; en 2014, este saldo también era negativo de 2,15 millones. La justificación del mismo deriva de la devolución de este impuesto como consecuencia de la sentencia del Tribunal de Justicia de la Unión Europea. No se ha dotado la correspondiente provisión por devolución de impuestos.</w:t>
      </w:r>
    </w:p>
    <w:p w:rsidR="0032664F" w:rsidRDefault="00CB2909" w:rsidP="00542901">
      <w:pPr>
        <w:pStyle w:val="texto"/>
        <w:numPr>
          <w:ilvl w:val="0"/>
          <w:numId w:val="2"/>
        </w:numPr>
        <w:tabs>
          <w:tab w:val="clear" w:pos="1948"/>
          <w:tab w:val="clear" w:pos="2835"/>
          <w:tab w:val="clear" w:pos="3969"/>
          <w:tab w:val="clear" w:pos="5103"/>
          <w:tab w:val="clear" w:pos="6237"/>
          <w:tab w:val="clear" w:pos="7371"/>
          <w:tab w:val="num" w:pos="300"/>
          <w:tab w:val="left" w:pos="490"/>
          <w:tab w:val="num" w:pos="4920"/>
        </w:tabs>
        <w:ind w:left="0" w:firstLine="289"/>
        <w:rPr>
          <w:rFonts w:ascii="Times New (W1)" w:hAnsi="Times New (W1)" w:cs="Arial"/>
        </w:rPr>
      </w:pPr>
      <w:r w:rsidRPr="00AF0D58">
        <w:rPr>
          <w:rFonts w:ascii="Times New (W1)" w:hAnsi="Times New (W1)" w:cs="Arial"/>
        </w:rPr>
        <w:t>Sobre el IVA, en el cuadro siguiente, desglosamos su importe atendiendo a su forma de gestión: directa por la Hacienda Foral y a través del Convenio Económico con el Estado.</w:t>
      </w:r>
      <w:r w:rsidR="00754984">
        <w:rPr>
          <w:rFonts w:ascii="Times New (W1)" w:hAnsi="Times New (W1)" w:cs="Arial"/>
        </w:rPr>
        <w:t xml:space="preserve"> Presentamos esa comparación desde 2013, primer ejercicio completo en que se aplicó </w:t>
      </w:r>
      <w:r w:rsidR="005E0239">
        <w:rPr>
          <w:rFonts w:ascii="Times New (W1)" w:hAnsi="Times New (W1)" w:cs="Arial"/>
        </w:rPr>
        <w:t xml:space="preserve">el nuevo método de cálculo para los </w:t>
      </w:r>
      <w:r w:rsidR="00754984">
        <w:rPr>
          <w:rFonts w:ascii="Times New (W1)" w:hAnsi="Times New (W1)" w:cs="Arial"/>
        </w:rPr>
        <w:t>ajustes de IVA, de acuerdo con el Convenio</w:t>
      </w:r>
      <w:r w:rsidR="00171B1C">
        <w:rPr>
          <w:rFonts w:ascii="Times New (W1)" w:hAnsi="Times New (W1)" w:cs="Arial"/>
        </w:rPr>
        <w:t>.</w:t>
      </w:r>
    </w:p>
    <w:p w:rsidR="00754984" w:rsidRPr="00F739C5" w:rsidRDefault="00754984" w:rsidP="00F739C5">
      <w:pPr>
        <w:pStyle w:val="texto"/>
        <w:tabs>
          <w:tab w:val="clear" w:pos="2835"/>
          <w:tab w:val="clear" w:pos="3969"/>
          <w:tab w:val="clear" w:pos="5103"/>
          <w:tab w:val="clear" w:pos="6237"/>
          <w:tab w:val="clear" w:pos="7371"/>
          <w:tab w:val="left" w:pos="490"/>
          <w:tab w:val="num" w:pos="4920"/>
        </w:tabs>
        <w:spacing w:after="40"/>
        <w:ind w:left="289" w:firstLine="0"/>
        <w:jc w:val="right"/>
        <w:rPr>
          <w:rFonts w:ascii="Arial Narrow" w:hAnsi="Arial Narrow" w:cs="Arial"/>
        </w:rPr>
      </w:pPr>
      <w:r w:rsidRPr="00F739C5">
        <w:rPr>
          <w:rFonts w:ascii="Arial Narrow" w:hAnsi="Arial Narrow"/>
          <w:sz w:val="18"/>
          <w:szCs w:val="18"/>
        </w:rPr>
        <w:t>(</w:t>
      </w:r>
      <w:r w:rsidR="00465B76" w:rsidRPr="00F739C5">
        <w:rPr>
          <w:rFonts w:ascii="Arial Narrow" w:hAnsi="Arial Narrow"/>
          <w:sz w:val="18"/>
          <w:szCs w:val="18"/>
        </w:rPr>
        <w:t>Miles</w:t>
      </w:r>
      <w:r w:rsidRPr="00F739C5">
        <w:rPr>
          <w:rFonts w:ascii="Arial Narrow" w:hAnsi="Arial Narrow"/>
          <w:sz w:val="18"/>
          <w:szCs w:val="18"/>
        </w:rPr>
        <w:t xml:space="preserve"> de euros)</w:t>
      </w:r>
    </w:p>
    <w:tbl>
      <w:tblPr>
        <w:tblW w:w="8836" w:type="dxa"/>
        <w:jc w:val="center"/>
        <w:tblCellMar>
          <w:left w:w="70" w:type="dxa"/>
          <w:right w:w="70" w:type="dxa"/>
        </w:tblCellMar>
        <w:tblLook w:val="0000" w:firstRow="0" w:lastRow="0" w:firstColumn="0" w:lastColumn="0" w:noHBand="0" w:noVBand="0"/>
      </w:tblPr>
      <w:tblGrid>
        <w:gridCol w:w="1624"/>
        <w:gridCol w:w="1200"/>
        <w:gridCol w:w="1197"/>
        <w:gridCol w:w="1320"/>
        <w:gridCol w:w="1320"/>
        <w:gridCol w:w="1080"/>
        <w:gridCol w:w="1095"/>
      </w:tblGrid>
      <w:tr w:rsidR="00754984" w:rsidRPr="00DB39FD" w:rsidTr="00542901">
        <w:trPr>
          <w:trHeight w:val="284"/>
          <w:jc w:val="center"/>
        </w:trPr>
        <w:tc>
          <w:tcPr>
            <w:tcW w:w="1624" w:type="dxa"/>
            <w:vMerge w:val="restart"/>
            <w:tcBorders>
              <w:top w:val="single" w:sz="4" w:space="0" w:color="auto"/>
            </w:tcBorders>
            <w:shd w:val="clear" w:color="auto" w:fill="ACCBF9" w:themeFill="background2"/>
            <w:noWrap/>
            <w:vAlign w:val="center"/>
          </w:tcPr>
          <w:p w:rsidR="00754984" w:rsidRPr="00EC30F8" w:rsidRDefault="00754984" w:rsidP="000754B7">
            <w:pPr>
              <w:pStyle w:val="cuadroCabe"/>
              <w:jc w:val="left"/>
              <w:rPr>
                <w:rFonts w:cs="Arial"/>
              </w:rPr>
            </w:pPr>
            <w:r w:rsidRPr="00EC30F8">
              <w:rPr>
                <w:rFonts w:cs="Arial"/>
              </w:rPr>
              <w:t>IVA reconocido</w:t>
            </w:r>
          </w:p>
        </w:tc>
        <w:tc>
          <w:tcPr>
            <w:tcW w:w="2397" w:type="dxa"/>
            <w:gridSpan w:val="2"/>
            <w:tcBorders>
              <w:top w:val="single" w:sz="4" w:space="0" w:color="auto"/>
              <w:bottom w:val="single" w:sz="4" w:space="0" w:color="auto"/>
            </w:tcBorders>
            <w:shd w:val="clear" w:color="auto" w:fill="ACCBF9" w:themeFill="background2"/>
            <w:noWrap/>
            <w:vAlign w:val="center"/>
          </w:tcPr>
          <w:p w:rsidR="00754984" w:rsidRPr="00EC30F8" w:rsidRDefault="00754984" w:rsidP="000754B7">
            <w:pPr>
              <w:pStyle w:val="cuadroCabe"/>
              <w:ind w:left="230"/>
              <w:jc w:val="center"/>
              <w:rPr>
                <w:rFonts w:cs="Arial"/>
              </w:rPr>
            </w:pPr>
            <w:r>
              <w:rPr>
                <w:rFonts w:cs="Arial"/>
              </w:rPr>
              <w:t>2013</w:t>
            </w:r>
          </w:p>
        </w:tc>
        <w:tc>
          <w:tcPr>
            <w:tcW w:w="2640" w:type="dxa"/>
            <w:gridSpan w:val="2"/>
            <w:tcBorders>
              <w:top w:val="single" w:sz="4" w:space="0" w:color="auto"/>
              <w:bottom w:val="single" w:sz="4" w:space="0" w:color="auto"/>
            </w:tcBorders>
            <w:shd w:val="clear" w:color="auto" w:fill="ACCBF9" w:themeFill="background2"/>
            <w:noWrap/>
            <w:vAlign w:val="center"/>
          </w:tcPr>
          <w:p w:rsidR="00754984" w:rsidRPr="00EC30F8" w:rsidRDefault="00754984" w:rsidP="000754B7">
            <w:pPr>
              <w:pStyle w:val="cuadroCabe"/>
              <w:ind w:left="290"/>
              <w:jc w:val="center"/>
              <w:rPr>
                <w:rFonts w:cs="Arial"/>
              </w:rPr>
            </w:pPr>
            <w:r>
              <w:rPr>
                <w:rFonts w:cs="Arial"/>
              </w:rPr>
              <w:t>2014</w:t>
            </w:r>
          </w:p>
        </w:tc>
        <w:tc>
          <w:tcPr>
            <w:tcW w:w="2175" w:type="dxa"/>
            <w:gridSpan w:val="2"/>
            <w:tcBorders>
              <w:top w:val="single" w:sz="4" w:space="0" w:color="auto"/>
              <w:bottom w:val="single" w:sz="4" w:space="0" w:color="auto"/>
            </w:tcBorders>
            <w:shd w:val="clear" w:color="auto" w:fill="ACCBF9" w:themeFill="background2"/>
            <w:vAlign w:val="center"/>
          </w:tcPr>
          <w:p w:rsidR="00754984" w:rsidRPr="003526BB" w:rsidRDefault="00754984" w:rsidP="000754B7">
            <w:pPr>
              <w:pStyle w:val="cuadroCabe"/>
              <w:ind w:left="290"/>
              <w:jc w:val="center"/>
              <w:rPr>
                <w:rFonts w:cs="Arial"/>
              </w:rPr>
            </w:pPr>
            <w:r w:rsidRPr="003526BB">
              <w:rPr>
                <w:rFonts w:cs="Arial"/>
              </w:rPr>
              <w:t>201</w:t>
            </w:r>
            <w:r>
              <w:rPr>
                <w:rFonts w:cs="Arial"/>
              </w:rPr>
              <w:t>5</w:t>
            </w:r>
          </w:p>
        </w:tc>
      </w:tr>
      <w:tr w:rsidR="00754984" w:rsidRPr="00DB39FD" w:rsidTr="00542901">
        <w:trPr>
          <w:trHeight w:val="284"/>
          <w:jc w:val="center"/>
        </w:trPr>
        <w:tc>
          <w:tcPr>
            <w:tcW w:w="1624" w:type="dxa"/>
            <w:vMerge/>
            <w:tcBorders>
              <w:bottom w:val="single" w:sz="4" w:space="0" w:color="auto"/>
            </w:tcBorders>
            <w:shd w:val="clear" w:color="auto" w:fill="ACCBF9" w:themeFill="background2"/>
            <w:noWrap/>
            <w:vAlign w:val="center"/>
          </w:tcPr>
          <w:p w:rsidR="00754984" w:rsidRPr="00EC30F8" w:rsidRDefault="00754984" w:rsidP="000754B7">
            <w:pPr>
              <w:pStyle w:val="cuadroCabe"/>
              <w:jc w:val="center"/>
              <w:rPr>
                <w:rFonts w:cs="Arial"/>
              </w:rPr>
            </w:pPr>
          </w:p>
        </w:tc>
        <w:tc>
          <w:tcPr>
            <w:tcW w:w="1200" w:type="dxa"/>
            <w:tcBorders>
              <w:top w:val="single" w:sz="4" w:space="0" w:color="auto"/>
              <w:bottom w:val="single" w:sz="4" w:space="0" w:color="auto"/>
            </w:tcBorders>
            <w:shd w:val="clear" w:color="auto" w:fill="ACCBF9" w:themeFill="background2"/>
            <w:noWrap/>
            <w:vAlign w:val="center"/>
          </w:tcPr>
          <w:p w:rsidR="00754984" w:rsidRPr="00EC30F8" w:rsidRDefault="00754984" w:rsidP="000754B7">
            <w:pPr>
              <w:pStyle w:val="cuadroCabe"/>
              <w:jc w:val="right"/>
              <w:rPr>
                <w:rFonts w:cs="Arial"/>
              </w:rPr>
            </w:pPr>
            <w:r>
              <w:rPr>
                <w:rFonts w:cs="Arial"/>
              </w:rPr>
              <w:t>Importe</w:t>
            </w:r>
          </w:p>
        </w:tc>
        <w:tc>
          <w:tcPr>
            <w:tcW w:w="1197" w:type="dxa"/>
            <w:tcBorders>
              <w:top w:val="single" w:sz="4" w:space="0" w:color="auto"/>
              <w:bottom w:val="single" w:sz="4" w:space="0" w:color="auto"/>
            </w:tcBorders>
            <w:shd w:val="clear" w:color="auto" w:fill="ACCBF9" w:themeFill="background2"/>
            <w:vAlign w:val="center"/>
          </w:tcPr>
          <w:p w:rsidR="00754984" w:rsidRPr="00EC30F8" w:rsidRDefault="00754984" w:rsidP="000754B7">
            <w:pPr>
              <w:pStyle w:val="cuadroCabe"/>
              <w:jc w:val="right"/>
              <w:rPr>
                <w:rFonts w:cs="Arial"/>
              </w:rPr>
            </w:pPr>
            <w:r>
              <w:rPr>
                <w:rFonts w:cs="Arial"/>
              </w:rPr>
              <w:t>Porcentaje</w:t>
            </w:r>
          </w:p>
        </w:tc>
        <w:tc>
          <w:tcPr>
            <w:tcW w:w="1320" w:type="dxa"/>
            <w:tcBorders>
              <w:top w:val="single" w:sz="4" w:space="0" w:color="auto"/>
              <w:bottom w:val="single" w:sz="4" w:space="0" w:color="auto"/>
            </w:tcBorders>
            <w:shd w:val="clear" w:color="auto" w:fill="ACCBF9" w:themeFill="background2"/>
            <w:vAlign w:val="center"/>
          </w:tcPr>
          <w:p w:rsidR="00754984" w:rsidRPr="00EC30F8" w:rsidRDefault="00754984" w:rsidP="000754B7">
            <w:pPr>
              <w:pStyle w:val="cuadroCabe"/>
              <w:jc w:val="right"/>
              <w:rPr>
                <w:rFonts w:cs="Arial"/>
              </w:rPr>
            </w:pPr>
            <w:r>
              <w:rPr>
                <w:rFonts w:cs="Arial"/>
              </w:rPr>
              <w:t>Importe</w:t>
            </w:r>
          </w:p>
        </w:tc>
        <w:tc>
          <w:tcPr>
            <w:tcW w:w="1320" w:type="dxa"/>
            <w:tcBorders>
              <w:top w:val="single" w:sz="4" w:space="0" w:color="auto"/>
              <w:bottom w:val="single" w:sz="4" w:space="0" w:color="auto"/>
            </w:tcBorders>
            <w:shd w:val="clear" w:color="auto" w:fill="ACCBF9" w:themeFill="background2"/>
            <w:vAlign w:val="center"/>
          </w:tcPr>
          <w:p w:rsidR="00754984" w:rsidRPr="00EC30F8" w:rsidRDefault="00754984" w:rsidP="000754B7">
            <w:pPr>
              <w:pStyle w:val="cuadroCabe"/>
              <w:jc w:val="right"/>
              <w:rPr>
                <w:rFonts w:cs="Arial"/>
              </w:rPr>
            </w:pPr>
            <w:r>
              <w:rPr>
                <w:rFonts w:cs="Arial"/>
              </w:rPr>
              <w:t>Porcentaje</w:t>
            </w:r>
          </w:p>
        </w:tc>
        <w:tc>
          <w:tcPr>
            <w:tcW w:w="1080" w:type="dxa"/>
            <w:tcBorders>
              <w:top w:val="single" w:sz="4" w:space="0" w:color="auto"/>
              <w:bottom w:val="single" w:sz="4" w:space="0" w:color="auto"/>
            </w:tcBorders>
            <w:shd w:val="clear" w:color="auto" w:fill="ACCBF9" w:themeFill="background2"/>
            <w:vAlign w:val="center"/>
          </w:tcPr>
          <w:p w:rsidR="00754984" w:rsidRPr="00EC30F8" w:rsidRDefault="00754984" w:rsidP="000754B7">
            <w:pPr>
              <w:pStyle w:val="cuadroCabe"/>
              <w:jc w:val="right"/>
              <w:rPr>
                <w:rFonts w:cs="Arial"/>
              </w:rPr>
            </w:pPr>
            <w:r>
              <w:rPr>
                <w:rFonts w:cs="Arial"/>
              </w:rPr>
              <w:t>Importe</w:t>
            </w:r>
          </w:p>
        </w:tc>
        <w:tc>
          <w:tcPr>
            <w:tcW w:w="1095" w:type="dxa"/>
            <w:tcBorders>
              <w:top w:val="single" w:sz="4" w:space="0" w:color="auto"/>
              <w:bottom w:val="single" w:sz="4" w:space="0" w:color="auto"/>
            </w:tcBorders>
            <w:shd w:val="clear" w:color="auto" w:fill="ACCBF9" w:themeFill="background2"/>
            <w:noWrap/>
            <w:vAlign w:val="center"/>
          </w:tcPr>
          <w:p w:rsidR="00754984" w:rsidRPr="00EC30F8" w:rsidRDefault="00754984" w:rsidP="000754B7">
            <w:pPr>
              <w:pStyle w:val="cuadroCabe"/>
              <w:jc w:val="right"/>
              <w:rPr>
                <w:rFonts w:cs="Arial"/>
              </w:rPr>
            </w:pPr>
            <w:r>
              <w:rPr>
                <w:rFonts w:cs="Arial"/>
              </w:rPr>
              <w:t>Porcentaje</w:t>
            </w:r>
          </w:p>
        </w:tc>
      </w:tr>
      <w:tr w:rsidR="00754984" w:rsidRPr="00AF0D58" w:rsidTr="00542901">
        <w:trPr>
          <w:trHeight w:val="284"/>
          <w:jc w:val="center"/>
        </w:trPr>
        <w:tc>
          <w:tcPr>
            <w:tcW w:w="1624" w:type="dxa"/>
            <w:tcBorders>
              <w:top w:val="single" w:sz="4" w:space="0" w:color="auto"/>
              <w:bottom w:val="single" w:sz="2" w:space="0" w:color="auto"/>
            </w:tcBorders>
            <w:shd w:val="clear" w:color="auto" w:fill="auto"/>
            <w:noWrap/>
            <w:vAlign w:val="center"/>
          </w:tcPr>
          <w:p w:rsidR="00754984" w:rsidRPr="00AF0D58" w:rsidRDefault="00754984" w:rsidP="000754B7">
            <w:pPr>
              <w:pStyle w:val="cuatexto"/>
              <w:ind w:right="-6"/>
              <w:jc w:val="left"/>
              <w:rPr>
                <w:rFonts w:cs="Arial"/>
                <w:szCs w:val="20"/>
                <w:lang w:val="es-ES" w:eastAsia="es-ES"/>
              </w:rPr>
            </w:pPr>
            <w:r w:rsidRPr="00AF0D58">
              <w:rPr>
                <w:rFonts w:cs="Arial"/>
                <w:szCs w:val="20"/>
                <w:lang w:val="es-ES" w:eastAsia="es-ES"/>
              </w:rPr>
              <w:t>Gestión directa</w:t>
            </w:r>
          </w:p>
        </w:tc>
        <w:tc>
          <w:tcPr>
            <w:tcW w:w="1200" w:type="dxa"/>
            <w:tcBorders>
              <w:top w:val="single" w:sz="4" w:space="0" w:color="auto"/>
              <w:bottom w:val="single" w:sz="2" w:space="0" w:color="auto"/>
            </w:tcBorders>
            <w:shd w:val="clear" w:color="auto" w:fill="auto"/>
            <w:noWrap/>
            <w:vAlign w:val="center"/>
          </w:tcPr>
          <w:p w:rsidR="00754984" w:rsidRPr="00AF0D58" w:rsidRDefault="00754984" w:rsidP="000754B7">
            <w:pPr>
              <w:spacing w:after="0"/>
              <w:ind w:firstLine="0"/>
              <w:jc w:val="right"/>
              <w:rPr>
                <w:rFonts w:ascii="Arial Narrow" w:hAnsi="Arial Narrow" w:cs="Arial"/>
                <w:lang w:val="es-ES" w:eastAsia="es-ES"/>
              </w:rPr>
            </w:pPr>
            <w:r w:rsidRPr="00AF0D58">
              <w:rPr>
                <w:rFonts w:ascii="Arial Narrow" w:hAnsi="Arial Narrow" w:cs="Arial"/>
                <w:lang w:val="es-ES" w:eastAsia="es-ES"/>
              </w:rPr>
              <w:t>338.896</w:t>
            </w:r>
          </w:p>
        </w:tc>
        <w:tc>
          <w:tcPr>
            <w:tcW w:w="1197" w:type="dxa"/>
            <w:tcBorders>
              <w:top w:val="single" w:sz="4" w:space="0" w:color="auto"/>
              <w:bottom w:val="single" w:sz="2" w:space="0" w:color="auto"/>
            </w:tcBorders>
            <w:vAlign w:val="center"/>
          </w:tcPr>
          <w:p w:rsidR="00754984" w:rsidRPr="00AF0D58" w:rsidRDefault="00754984" w:rsidP="000754B7">
            <w:pPr>
              <w:spacing w:after="0"/>
              <w:ind w:firstLine="0"/>
              <w:jc w:val="right"/>
              <w:rPr>
                <w:rFonts w:ascii="Arial Narrow" w:hAnsi="Arial Narrow" w:cs="Arial"/>
                <w:lang w:val="es-ES" w:eastAsia="es-ES"/>
              </w:rPr>
            </w:pPr>
            <w:r w:rsidRPr="00AF0D58">
              <w:rPr>
                <w:rFonts w:ascii="Arial Narrow" w:hAnsi="Arial Narrow" w:cs="Arial"/>
                <w:lang w:val="es-ES" w:eastAsia="es-ES"/>
              </w:rPr>
              <w:t>34</w:t>
            </w:r>
          </w:p>
        </w:tc>
        <w:tc>
          <w:tcPr>
            <w:tcW w:w="1320" w:type="dxa"/>
            <w:tcBorders>
              <w:top w:val="single" w:sz="4" w:space="0" w:color="auto"/>
              <w:bottom w:val="single" w:sz="2" w:space="0" w:color="auto"/>
            </w:tcBorders>
            <w:vAlign w:val="center"/>
          </w:tcPr>
          <w:p w:rsidR="00754984" w:rsidRPr="00AF0D58" w:rsidRDefault="00754984" w:rsidP="000754B7">
            <w:pPr>
              <w:spacing w:after="0"/>
              <w:ind w:firstLine="0"/>
              <w:jc w:val="right"/>
              <w:rPr>
                <w:rFonts w:ascii="Arial Narrow" w:hAnsi="Arial Narrow" w:cs="Arial"/>
                <w:lang w:val="es-ES" w:eastAsia="es-ES"/>
              </w:rPr>
            </w:pPr>
            <w:r>
              <w:rPr>
                <w:rFonts w:ascii="Arial Narrow" w:hAnsi="Arial Narrow" w:cs="Arial"/>
                <w:lang w:val="es-ES" w:eastAsia="es-ES"/>
              </w:rPr>
              <w:t>361.073</w:t>
            </w:r>
          </w:p>
        </w:tc>
        <w:tc>
          <w:tcPr>
            <w:tcW w:w="1320" w:type="dxa"/>
            <w:tcBorders>
              <w:top w:val="single" w:sz="4" w:space="0" w:color="auto"/>
              <w:bottom w:val="single" w:sz="2" w:space="0" w:color="auto"/>
            </w:tcBorders>
            <w:vAlign w:val="center"/>
          </w:tcPr>
          <w:p w:rsidR="00754984" w:rsidRPr="00AF0D58" w:rsidRDefault="00754984" w:rsidP="000754B7">
            <w:pPr>
              <w:spacing w:after="0"/>
              <w:ind w:firstLine="0"/>
              <w:jc w:val="right"/>
              <w:rPr>
                <w:rFonts w:ascii="Arial Narrow" w:hAnsi="Arial Narrow" w:cs="Arial"/>
                <w:lang w:val="es-ES" w:eastAsia="es-ES"/>
              </w:rPr>
            </w:pPr>
            <w:r>
              <w:rPr>
                <w:rFonts w:ascii="Arial Narrow" w:hAnsi="Arial Narrow" w:cs="Arial"/>
                <w:lang w:val="es-ES" w:eastAsia="es-ES"/>
              </w:rPr>
              <w:t>32</w:t>
            </w:r>
          </w:p>
        </w:tc>
        <w:tc>
          <w:tcPr>
            <w:tcW w:w="1080" w:type="dxa"/>
            <w:tcBorders>
              <w:top w:val="single" w:sz="4" w:space="0" w:color="auto"/>
              <w:bottom w:val="single" w:sz="2" w:space="0" w:color="auto"/>
            </w:tcBorders>
            <w:vAlign w:val="center"/>
          </w:tcPr>
          <w:p w:rsidR="00754984" w:rsidRPr="00AF0D58" w:rsidRDefault="00754984" w:rsidP="000754B7">
            <w:pPr>
              <w:spacing w:after="0"/>
              <w:ind w:firstLine="0"/>
              <w:jc w:val="right"/>
              <w:rPr>
                <w:rFonts w:ascii="Arial Narrow" w:hAnsi="Arial Narrow" w:cs="Arial"/>
                <w:lang w:val="es-ES" w:eastAsia="es-ES"/>
              </w:rPr>
            </w:pPr>
            <w:r>
              <w:rPr>
                <w:rFonts w:ascii="Arial Narrow" w:hAnsi="Arial Narrow" w:cs="Arial"/>
                <w:lang w:val="es-ES" w:eastAsia="es-ES"/>
              </w:rPr>
              <w:t>372.609</w:t>
            </w:r>
          </w:p>
        </w:tc>
        <w:tc>
          <w:tcPr>
            <w:tcW w:w="1095" w:type="dxa"/>
            <w:tcBorders>
              <w:top w:val="single" w:sz="4" w:space="0" w:color="auto"/>
              <w:bottom w:val="single" w:sz="2" w:space="0" w:color="auto"/>
            </w:tcBorders>
            <w:shd w:val="clear" w:color="auto" w:fill="auto"/>
            <w:noWrap/>
            <w:vAlign w:val="center"/>
          </w:tcPr>
          <w:p w:rsidR="00754984" w:rsidRPr="00AF0D58" w:rsidRDefault="00754984" w:rsidP="000754B7">
            <w:pPr>
              <w:spacing w:after="0"/>
              <w:ind w:firstLine="0"/>
              <w:jc w:val="right"/>
              <w:rPr>
                <w:rFonts w:ascii="Arial Narrow" w:hAnsi="Arial Narrow" w:cs="Arial"/>
                <w:lang w:val="es-ES" w:eastAsia="es-ES"/>
              </w:rPr>
            </w:pPr>
            <w:r>
              <w:rPr>
                <w:rFonts w:ascii="Arial Narrow" w:hAnsi="Arial Narrow" w:cs="Arial"/>
                <w:lang w:val="es-ES" w:eastAsia="es-ES"/>
              </w:rPr>
              <w:t>31</w:t>
            </w:r>
          </w:p>
        </w:tc>
      </w:tr>
      <w:tr w:rsidR="00754984" w:rsidRPr="00AF0D58" w:rsidTr="00542901">
        <w:trPr>
          <w:trHeight w:val="284"/>
          <w:jc w:val="center"/>
        </w:trPr>
        <w:tc>
          <w:tcPr>
            <w:tcW w:w="1624" w:type="dxa"/>
            <w:tcBorders>
              <w:top w:val="single" w:sz="2" w:space="0" w:color="auto"/>
              <w:bottom w:val="single" w:sz="4" w:space="0" w:color="auto"/>
            </w:tcBorders>
            <w:shd w:val="clear" w:color="auto" w:fill="auto"/>
            <w:noWrap/>
            <w:vAlign w:val="center"/>
          </w:tcPr>
          <w:p w:rsidR="00754984" w:rsidRPr="00AF0D58" w:rsidRDefault="00754984" w:rsidP="000754B7">
            <w:pPr>
              <w:pStyle w:val="cuatexto"/>
              <w:ind w:right="-6"/>
              <w:jc w:val="left"/>
              <w:rPr>
                <w:rFonts w:cs="Arial"/>
                <w:szCs w:val="20"/>
                <w:lang w:val="es-ES" w:eastAsia="es-ES"/>
              </w:rPr>
            </w:pPr>
            <w:r w:rsidRPr="00AF0D58">
              <w:rPr>
                <w:rFonts w:cs="Arial"/>
                <w:szCs w:val="20"/>
                <w:lang w:val="es-ES" w:eastAsia="es-ES"/>
              </w:rPr>
              <w:t>Ajuste Convenio</w:t>
            </w:r>
          </w:p>
        </w:tc>
        <w:tc>
          <w:tcPr>
            <w:tcW w:w="1200" w:type="dxa"/>
            <w:tcBorders>
              <w:top w:val="single" w:sz="2" w:space="0" w:color="auto"/>
              <w:bottom w:val="single" w:sz="4" w:space="0" w:color="auto"/>
            </w:tcBorders>
            <w:shd w:val="clear" w:color="auto" w:fill="auto"/>
            <w:noWrap/>
            <w:vAlign w:val="center"/>
          </w:tcPr>
          <w:p w:rsidR="00754984" w:rsidRPr="00AF0D58" w:rsidRDefault="00754984" w:rsidP="000754B7">
            <w:pPr>
              <w:spacing w:after="0"/>
              <w:ind w:firstLine="0"/>
              <w:jc w:val="right"/>
              <w:rPr>
                <w:rFonts w:ascii="Arial Narrow" w:hAnsi="Arial Narrow" w:cs="Arial"/>
                <w:lang w:val="es-ES" w:eastAsia="es-ES"/>
              </w:rPr>
            </w:pPr>
            <w:r w:rsidRPr="00AF0D58">
              <w:rPr>
                <w:rFonts w:ascii="Arial Narrow" w:hAnsi="Arial Narrow" w:cs="Arial"/>
                <w:lang w:val="es-ES" w:eastAsia="es-ES"/>
              </w:rPr>
              <w:t>646.767</w:t>
            </w:r>
          </w:p>
        </w:tc>
        <w:tc>
          <w:tcPr>
            <w:tcW w:w="1197" w:type="dxa"/>
            <w:tcBorders>
              <w:top w:val="single" w:sz="2" w:space="0" w:color="auto"/>
              <w:bottom w:val="single" w:sz="4" w:space="0" w:color="auto"/>
            </w:tcBorders>
            <w:vAlign w:val="center"/>
          </w:tcPr>
          <w:p w:rsidR="00754984" w:rsidRPr="00AF0D58" w:rsidRDefault="00754984" w:rsidP="000754B7">
            <w:pPr>
              <w:spacing w:after="0"/>
              <w:ind w:firstLine="0"/>
              <w:jc w:val="right"/>
              <w:rPr>
                <w:rFonts w:ascii="Arial Narrow" w:hAnsi="Arial Narrow" w:cs="Arial"/>
                <w:lang w:val="es-ES" w:eastAsia="es-ES"/>
              </w:rPr>
            </w:pPr>
            <w:r w:rsidRPr="00AF0D58">
              <w:rPr>
                <w:rFonts w:ascii="Arial Narrow" w:hAnsi="Arial Narrow" w:cs="Arial"/>
                <w:lang w:val="es-ES" w:eastAsia="es-ES"/>
              </w:rPr>
              <w:t>66</w:t>
            </w:r>
          </w:p>
        </w:tc>
        <w:tc>
          <w:tcPr>
            <w:tcW w:w="1320" w:type="dxa"/>
            <w:tcBorders>
              <w:top w:val="single" w:sz="2" w:space="0" w:color="auto"/>
              <w:bottom w:val="single" w:sz="4" w:space="0" w:color="auto"/>
            </w:tcBorders>
            <w:vAlign w:val="center"/>
          </w:tcPr>
          <w:p w:rsidR="00754984" w:rsidRPr="00AF0D58" w:rsidRDefault="00754984" w:rsidP="000754B7">
            <w:pPr>
              <w:spacing w:after="0"/>
              <w:ind w:firstLine="0"/>
              <w:jc w:val="right"/>
              <w:rPr>
                <w:rFonts w:ascii="Arial Narrow" w:hAnsi="Arial Narrow" w:cs="Arial"/>
                <w:lang w:val="es-ES" w:eastAsia="es-ES"/>
              </w:rPr>
            </w:pPr>
            <w:r>
              <w:rPr>
                <w:rFonts w:ascii="Arial Narrow" w:hAnsi="Arial Narrow" w:cs="Arial"/>
                <w:lang w:val="es-ES" w:eastAsia="es-ES"/>
              </w:rPr>
              <w:t>750.869</w:t>
            </w:r>
          </w:p>
        </w:tc>
        <w:tc>
          <w:tcPr>
            <w:tcW w:w="1320" w:type="dxa"/>
            <w:tcBorders>
              <w:top w:val="single" w:sz="2" w:space="0" w:color="auto"/>
              <w:bottom w:val="single" w:sz="4" w:space="0" w:color="auto"/>
            </w:tcBorders>
            <w:vAlign w:val="center"/>
          </w:tcPr>
          <w:p w:rsidR="00754984" w:rsidRPr="00AF0D58" w:rsidRDefault="00754984" w:rsidP="000754B7">
            <w:pPr>
              <w:spacing w:after="0"/>
              <w:ind w:firstLine="0"/>
              <w:jc w:val="right"/>
              <w:rPr>
                <w:rFonts w:ascii="Arial Narrow" w:hAnsi="Arial Narrow" w:cs="Arial"/>
                <w:lang w:val="es-ES" w:eastAsia="es-ES"/>
              </w:rPr>
            </w:pPr>
            <w:r>
              <w:rPr>
                <w:rFonts w:ascii="Arial Narrow" w:hAnsi="Arial Narrow" w:cs="Arial"/>
                <w:lang w:val="es-ES" w:eastAsia="es-ES"/>
              </w:rPr>
              <w:t>68</w:t>
            </w:r>
          </w:p>
        </w:tc>
        <w:tc>
          <w:tcPr>
            <w:tcW w:w="1080" w:type="dxa"/>
            <w:tcBorders>
              <w:top w:val="single" w:sz="2" w:space="0" w:color="auto"/>
              <w:bottom w:val="single" w:sz="4" w:space="0" w:color="auto"/>
            </w:tcBorders>
            <w:vAlign w:val="center"/>
          </w:tcPr>
          <w:p w:rsidR="00754984" w:rsidRPr="00AF0D58" w:rsidRDefault="00754984" w:rsidP="000754B7">
            <w:pPr>
              <w:spacing w:after="0"/>
              <w:ind w:firstLine="0"/>
              <w:jc w:val="right"/>
              <w:rPr>
                <w:rFonts w:ascii="Arial Narrow" w:hAnsi="Arial Narrow" w:cs="Arial"/>
                <w:lang w:val="es-ES" w:eastAsia="es-ES"/>
              </w:rPr>
            </w:pPr>
            <w:r>
              <w:rPr>
                <w:rFonts w:ascii="Arial Narrow" w:hAnsi="Arial Narrow" w:cs="Arial"/>
                <w:lang w:val="es-ES" w:eastAsia="es-ES"/>
              </w:rPr>
              <w:t>811.648</w:t>
            </w:r>
          </w:p>
        </w:tc>
        <w:tc>
          <w:tcPr>
            <w:tcW w:w="1095" w:type="dxa"/>
            <w:tcBorders>
              <w:top w:val="single" w:sz="2" w:space="0" w:color="auto"/>
              <w:bottom w:val="single" w:sz="4" w:space="0" w:color="auto"/>
            </w:tcBorders>
            <w:shd w:val="clear" w:color="auto" w:fill="auto"/>
            <w:noWrap/>
            <w:vAlign w:val="center"/>
          </w:tcPr>
          <w:p w:rsidR="00754984" w:rsidRPr="00AF0D58" w:rsidRDefault="00754984" w:rsidP="000754B7">
            <w:pPr>
              <w:spacing w:after="0"/>
              <w:ind w:firstLine="0"/>
              <w:jc w:val="right"/>
              <w:rPr>
                <w:rFonts w:ascii="Arial Narrow" w:hAnsi="Arial Narrow" w:cs="Arial"/>
                <w:lang w:val="es-ES" w:eastAsia="es-ES"/>
              </w:rPr>
            </w:pPr>
            <w:r>
              <w:rPr>
                <w:rFonts w:ascii="Arial Narrow" w:hAnsi="Arial Narrow" w:cs="Arial"/>
                <w:lang w:val="es-ES" w:eastAsia="es-ES"/>
              </w:rPr>
              <w:t>69</w:t>
            </w:r>
          </w:p>
        </w:tc>
      </w:tr>
      <w:tr w:rsidR="00754984" w:rsidRPr="00414D9D" w:rsidTr="00542901">
        <w:trPr>
          <w:trHeight w:val="284"/>
          <w:jc w:val="center"/>
        </w:trPr>
        <w:tc>
          <w:tcPr>
            <w:tcW w:w="1624" w:type="dxa"/>
            <w:tcBorders>
              <w:top w:val="single" w:sz="4" w:space="0" w:color="auto"/>
              <w:bottom w:val="single" w:sz="4" w:space="0" w:color="auto"/>
            </w:tcBorders>
            <w:shd w:val="clear" w:color="auto" w:fill="ACCBF9" w:themeFill="background2"/>
            <w:noWrap/>
            <w:vAlign w:val="center"/>
          </w:tcPr>
          <w:p w:rsidR="00754984" w:rsidRPr="00414D9D" w:rsidRDefault="00754984" w:rsidP="000754B7">
            <w:pPr>
              <w:pStyle w:val="cuadroCabe"/>
              <w:rPr>
                <w:lang w:val="es-ES" w:eastAsia="es-ES"/>
              </w:rPr>
            </w:pPr>
            <w:r w:rsidRPr="00414D9D">
              <w:rPr>
                <w:lang w:val="es-ES" w:eastAsia="es-ES"/>
              </w:rPr>
              <w:t>Total IVA</w:t>
            </w:r>
          </w:p>
        </w:tc>
        <w:tc>
          <w:tcPr>
            <w:tcW w:w="1200" w:type="dxa"/>
            <w:tcBorders>
              <w:top w:val="single" w:sz="4" w:space="0" w:color="auto"/>
              <w:bottom w:val="single" w:sz="4" w:space="0" w:color="auto"/>
            </w:tcBorders>
            <w:shd w:val="clear" w:color="auto" w:fill="ACCBF9" w:themeFill="background2"/>
            <w:noWrap/>
            <w:vAlign w:val="center"/>
          </w:tcPr>
          <w:p w:rsidR="00754984" w:rsidRPr="00414D9D" w:rsidRDefault="00754984" w:rsidP="000754B7">
            <w:pPr>
              <w:pStyle w:val="cuadroCabe"/>
              <w:jc w:val="right"/>
              <w:rPr>
                <w:szCs w:val="18"/>
              </w:rPr>
            </w:pPr>
            <w:r>
              <w:rPr>
                <w:szCs w:val="18"/>
              </w:rPr>
              <w:t>985.663</w:t>
            </w:r>
          </w:p>
        </w:tc>
        <w:tc>
          <w:tcPr>
            <w:tcW w:w="1197" w:type="dxa"/>
            <w:tcBorders>
              <w:top w:val="single" w:sz="4" w:space="0" w:color="auto"/>
              <w:bottom w:val="single" w:sz="4" w:space="0" w:color="auto"/>
            </w:tcBorders>
            <w:shd w:val="clear" w:color="auto" w:fill="ACCBF9" w:themeFill="background2"/>
            <w:vAlign w:val="center"/>
          </w:tcPr>
          <w:p w:rsidR="00754984" w:rsidRPr="00414D9D" w:rsidRDefault="00754984" w:rsidP="000754B7">
            <w:pPr>
              <w:pStyle w:val="cuadroCabe"/>
              <w:jc w:val="right"/>
              <w:rPr>
                <w:szCs w:val="18"/>
              </w:rPr>
            </w:pPr>
            <w:r>
              <w:rPr>
                <w:szCs w:val="18"/>
              </w:rPr>
              <w:t>100</w:t>
            </w:r>
          </w:p>
        </w:tc>
        <w:tc>
          <w:tcPr>
            <w:tcW w:w="1320" w:type="dxa"/>
            <w:tcBorders>
              <w:top w:val="single" w:sz="4" w:space="0" w:color="auto"/>
              <w:bottom w:val="single" w:sz="4" w:space="0" w:color="auto"/>
            </w:tcBorders>
            <w:shd w:val="clear" w:color="auto" w:fill="ACCBF9" w:themeFill="background2"/>
            <w:vAlign w:val="center"/>
          </w:tcPr>
          <w:p w:rsidR="00754984" w:rsidRPr="00414D9D" w:rsidRDefault="00754984" w:rsidP="000754B7">
            <w:pPr>
              <w:pStyle w:val="cuadroCabe"/>
              <w:jc w:val="right"/>
              <w:rPr>
                <w:szCs w:val="18"/>
              </w:rPr>
            </w:pPr>
            <w:r>
              <w:rPr>
                <w:szCs w:val="18"/>
              </w:rPr>
              <w:t>1.111.942</w:t>
            </w:r>
          </w:p>
        </w:tc>
        <w:tc>
          <w:tcPr>
            <w:tcW w:w="1320" w:type="dxa"/>
            <w:tcBorders>
              <w:top w:val="single" w:sz="4" w:space="0" w:color="auto"/>
              <w:bottom w:val="single" w:sz="4" w:space="0" w:color="auto"/>
            </w:tcBorders>
            <w:shd w:val="clear" w:color="auto" w:fill="ACCBF9" w:themeFill="background2"/>
            <w:vAlign w:val="center"/>
          </w:tcPr>
          <w:p w:rsidR="00754984" w:rsidRPr="00D01D0A" w:rsidRDefault="00754984" w:rsidP="000754B7">
            <w:pPr>
              <w:pStyle w:val="cuadroCabe"/>
              <w:jc w:val="right"/>
              <w:rPr>
                <w:szCs w:val="18"/>
              </w:rPr>
            </w:pPr>
            <w:r>
              <w:rPr>
                <w:szCs w:val="18"/>
              </w:rPr>
              <w:t>100</w:t>
            </w:r>
          </w:p>
        </w:tc>
        <w:tc>
          <w:tcPr>
            <w:tcW w:w="1080" w:type="dxa"/>
            <w:tcBorders>
              <w:top w:val="single" w:sz="4" w:space="0" w:color="auto"/>
              <w:bottom w:val="single" w:sz="4" w:space="0" w:color="auto"/>
            </w:tcBorders>
            <w:shd w:val="clear" w:color="auto" w:fill="ACCBF9" w:themeFill="background2"/>
            <w:vAlign w:val="center"/>
          </w:tcPr>
          <w:p w:rsidR="00754984" w:rsidRPr="00414D9D" w:rsidRDefault="00754984" w:rsidP="000754B7">
            <w:pPr>
              <w:pStyle w:val="cuadroCabe"/>
              <w:jc w:val="right"/>
              <w:rPr>
                <w:szCs w:val="18"/>
              </w:rPr>
            </w:pPr>
            <w:r>
              <w:rPr>
                <w:szCs w:val="18"/>
              </w:rPr>
              <w:t>1.184.257</w:t>
            </w:r>
          </w:p>
        </w:tc>
        <w:tc>
          <w:tcPr>
            <w:tcW w:w="1095" w:type="dxa"/>
            <w:tcBorders>
              <w:top w:val="single" w:sz="4" w:space="0" w:color="auto"/>
              <w:bottom w:val="single" w:sz="4" w:space="0" w:color="auto"/>
            </w:tcBorders>
            <w:shd w:val="clear" w:color="auto" w:fill="ACCBF9" w:themeFill="background2"/>
            <w:noWrap/>
            <w:vAlign w:val="center"/>
          </w:tcPr>
          <w:p w:rsidR="00754984" w:rsidRPr="00414D9D" w:rsidRDefault="00754984" w:rsidP="000754B7">
            <w:pPr>
              <w:pStyle w:val="cuadroCabe"/>
              <w:jc w:val="right"/>
              <w:rPr>
                <w:szCs w:val="18"/>
              </w:rPr>
            </w:pPr>
            <w:r>
              <w:rPr>
                <w:szCs w:val="18"/>
              </w:rPr>
              <w:t>100</w:t>
            </w:r>
          </w:p>
        </w:tc>
      </w:tr>
    </w:tbl>
    <w:p w:rsidR="005E0239" w:rsidRDefault="005E0239" w:rsidP="005E0239">
      <w:pPr>
        <w:pStyle w:val="texto"/>
        <w:spacing w:after="0"/>
        <w:rPr>
          <w:rFonts w:cs="Arial"/>
        </w:rPr>
      </w:pPr>
    </w:p>
    <w:p w:rsidR="006E593E" w:rsidRPr="006E593E" w:rsidRDefault="00754984" w:rsidP="00542901">
      <w:pPr>
        <w:pStyle w:val="texto"/>
        <w:rPr>
          <w:lang w:val="es-ES"/>
        </w:rPr>
      </w:pPr>
      <w:r w:rsidRPr="006E593E">
        <w:rPr>
          <w:lang w:val="es-ES"/>
        </w:rPr>
        <w:t>Como se observa, los derechos reconocidos de este impuesto se generan</w:t>
      </w:r>
      <w:r w:rsidR="00C23207" w:rsidRPr="006E593E">
        <w:rPr>
          <w:lang w:val="es-ES"/>
        </w:rPr>
        <w:t xml:space="preserve"> de forma creciente en los</w:t>
      </w:r>
      <w:r w:rsidRPr="006E593E">
        <w:rPr>
          <w:lang w:val="es-ES"/>
        </w:rPr>
        <w:t xml:space="preserve"> ajustes derivados del Convenio, gestionando la Hacienda Foral en torno a un tercio de esos derechos total por este im</w:t>
      </w:r>
      <w:r w:rsidR="005E0239" w:rsidRPr="006E593E">
        <w:rPr>
          <w:lang w:val="es-ES"/>
        </w:rPr>
        <w:t>puesto.</w:t>
      </w:r>
    </w:p>
    <w:p w:rsidR="006E593E" w:rsidRDefault="006E593E" w:rsidP="00542901">
      <w:pPr>
        <w:pStyle w:val="texto"/>
        <w:rPr>
          <w:lang w:val="es-ES"/>
        </w:rPr>
      </w:pPr>
      <w:r>
        <w:rPr>
          <w:lang w:val="es-ES"/>
        </w:rPr>
        <w:t>Por otra parte, e</w:t>
      </w:r>
      <w:r w:rsidRPr="006D43A7">
        <w:rPr>
          <w:lang w:val="es-ES"/>
        </w:rPr>
        <w:t>l IVA a compensar al cierre del ejercicio 201</w:t>
      </w:r>
      <w:r>
        <w:rPr>
          <w:lang w:val="es-ES"/>
        </w:rPr>
        <w:t>5</w:t>
      </w:r>
      <w:r w:rsidRPr="006D43A7">
        <w:rPr>
          <w:lang w:val="es-ES"/>
        </w:rPr>
        <w:t xml:space="preserve"> y cuya devolución puede solicitarse </w:t>
      </w:r>
      <w:r>
        <w:rPr>
          <w:lang w:val="es-ES"/>
        </w:rPr>
        <w:t>a partir de</w:t>
      </w:r>
      <w:r w:rsidRPr="006D43A7">
        <w:rPr>
          <w:lang w:val="es-ES"/>
        </w:rPr>
        <w:t xml:space="preserve"> enero del ejercicio siguiente, asc</w:t>
      </w:r>
      <w:r>
        <w:rPr>
          <w:lang w:val="es-ES"/>
        </w:rPr>
        <w:t>iende a 157,16 millones</w:t>
      </w:r>
      <w:r w:rsidR="00A739C0">
        <w:rPr>
          <w:lang w:val="es-ES"/>
        </w:rPr>
        <w:t xml:space="preserve"> y</w:t>
      </w:r>
      <w:r>
        <w:rPr>
          <w:lang w:val="es-ES"/>
        </w:rPr>
        <w:t xml:space="preserve"> corresponde a unos 13.500 contribuyentes; en 2014, el importe era de 149,16 millones</w:t>
      </w:r>
      <w:r w:rsidRPr="006D43A7">
        <w:rPr>
          <w:lang w:val="es-ES"/>
        </w:rPr>
        <w:t xml:space="preserve">. </w:t>
      </w:r>
      <w:r>
        <w:rPr>
          <w:lang w:val="es-ES"/>
        </w:rPr>
        <w:t>E</w:t>
      </w:r>
      <w:r w:rsidRPr="00870AAA">
        <w:rPr>
          <w:lang w:val="es-ES"/>
        </w:rPr>
        <w:t>l derecho a solicitar la devolución o efectuar la compensación</w:t>
      </w:r>
      <w:r>
        <w:rPr>
          <w:lang w:val="es-ES"/>
        </w:rPr>
        <w:t xml:space="preserve"> caduca a los cinco años</w:t>
      </w:r>
      <w:r w:rsidRPr="00870AAA">
        <w:rPr>
          <w:lang w:val="es-ES"/>
        </w:rPr>
        <w:t xml:space="preserve">. </w:t>
      </w:r>
      <w:r>
        <w:rPr>
          <w:lang w:val="es-ES"/>
        </w:rPr>
        <w:t>E</w:t>
      </w:r>
      <w:r w:rsidR="00616B28">
        <w:rPr>
          <w:lang w:val="es-ES"/>
        </w:rPr>
        <w:t xml:space="preserve">ste </w:t>
      </w:r>
      <w:r w:rsidRPr="00870AAA">
        <w:rPr>
          <w:lang w:val="es-ES"/>
        </w:rPr>
        <w:t xml:space="preserve">IVA </w:t>
      </w:r>
      <w:r>
        <w:rPr>
          <w:lang w:val="es-ES"/>
        </w:rPr>
        <w:t xml:space="preserve">a compensar </w:t>
      </w:r>
      <w:r w:rsidRPr="00870AAA">
        <w:rPr>
          <w:lang w:val="es-ES"/>
        </w:rPr>
        <w:t xml:space="preserve">se recoge </w:t>
      </w:r>
      <w:r w:rsidRPr="006D43A7">
        <w:rPr>
          <w:lang w:val="es-ES"/>
        </w:rPr>
        <w:t xml:space="preserve">en una cuenta de la Contabilidad auxiliar de terceros </w:t>
      </w:r>
      <w:r>
        <w:rPr>
          <w:lang w:val="es-ES"/>
        </w:rPr>
        <w:t xml:space="preserve">(CAT) </w:t>
      </w:r>
      <w:r w:rsidRPr="006D43A7">
        <w:rPr>
          <w:lang w:val="es-ES"/>
        </w:rPr>
        <w:t xml:space="preserve">denominada “IVA global” y no </w:t>
      </w:r>
      <w:r>
        <w:rPr>
          <w:lang w:val="es-ES"/>
        </w:rPr>
        <w:t>tiene reflejo en la contabilidad general. Se imputa al presupuesto cuando se devuelve o se compensa siempre que de la compensación resulte un saldo a pagar a la Hacienda Tributaria.</w:t>
      </w:r>
      <w:r w:rsidR="00FB671F">
        <w:rPr>
          <w:lang w:val="es-ES"/>
        </w:rPr>
        <w:t xml:space="preserve"> No se aporta información en la memoria </w:t>
      </w:r>
      <w:r w:rsidR="00171B1C">
        <w:rPr>
          <w:lang w:val="es-ES"/>
        </w:rPr>
        <w:t>sobre</w:t>
      </w:r>
      <w:r w:rsidR="00FB671F">
        <w:rPr>
          <w:lang w:val="es-ES"/>
        </w:rPr>
        <w:t xml:space="preserve"> esta</w:t>
      </w:r>
      <w:r w:rsidR="00171B1C">
        <w:rPr>
          <w:lang w:val="es-ES"/>
        </w:rPr>
        <w:t xml:space="preserve"> cuenta.</w:t>
      </w:r>
      <w:r>
        <w:rPr>
          <w:lang w:val="es-ES"/>
        </w:rPr>
        <w:t xml:space="preserve"> </w:t>
      </w:r>
    </w:p>
    <w:p w:rsidR="00F94686" w:rsidRDefault="00AE3D8F" w:rsidP="00542901">
      <w:pPr>
        <w:pStyle w:val="texto"/>
        <w:numPr>
          <w:ilvl w:val="0"/>
          <w:numId w:val="2"/>
        </w:numPr>
        <w:tabs>
          <w:tab w:val="clear" w:pos="1948"/>
          <w:tab w:val="clear" w:pos="2835"/>
          <w:tab w:val="clear" w:pos="3969"/>
          <w:tab w:val="clear" w:pos="5103"/>
          <w:tab w:val="clear" w:pos="6237"/>
          <w:tab w:val="clear" w:pos="7371"/>
          <w:tab w:val="num" w:pos="300"/>
          <w:tab w:val="left" w:pos="490"/>
          <w:tab w:val="num" w:pos="4920"/>
        </w:tabs>
        <w:ind w:left="0" w:firstLine="289"/>
        <w:rPr>
          <w:rFonts w:ascii="Times New (W1)" w:hAnsi="Times New (W1)" w:cs="Arial"/>
        </w:rPr>
      </w:pPr>
      <w:r w:rsidRPr="00F94686">
        <w:rPr>
          <w:rFonts w:ascii="Times New (W1)" w:hAnsi="Times New (W1)" w:cs="Arial"/>
        </w:rPr>
        <w:t xml:space="preserve">La recaudación líquida de los impuestos </w:t>
      </w:r>
      <w:r w:rsidR="00F94686" w:rsidRPr="00F94686">
        <w:rPr>
          <w:rFonts w:ascii="Times New (W1)" w:hAnsi="Times New (W1)" w:cs="Arial"/>
        </w:rPr>
        <w:t>asciende a 3.166,36 millones con un</w:t>
      </w:r>
      <w:r w:rsidRPr="00F94686">
        <w:rPr>
          <w:rFonts w:ascii="Times New (W1)" w:hAnsi="Times New (W1)" w:cs="Arial"/>
        </w:rPr>
        <w:t xml:space="preserve"> aument</w:t>
      </w:r>
      <w:r w:rsidR="00F94686" w:rsidRPr="00F94686">
        <w:rPr>
          <w:rFonts w:ascii="Times New (W1)" w:hAnsi="Times New (W1)" w:cs="Arial"/>
        </w:rPr>
        <w:t>o sobre 2014 de un</w:t>
      </w:r>
      <w:r w:rsidRPr="00F94686">
        <w:rPr>
          <w:rFonts w:ascii="Times New (W1)" w:hAnsi="Times New (W1)" w:cs="Arial"/>
        </w:rPr>
        <w:t xml:space="preserve"> seis por ciento, es decir, 190 millones más. Las principales figuras de impuestos experimentan aumentos en torno a esa media, destacando</w:t>
      </w:r>
      <w:r w:rsidR="00F94686">
        <w:rPr>
          <w:rFonts w:ascii="Times New (W1)" w:hAnsi="Times New (W1)" w:cs="Arial"/>
        </w:rPr>
        <w:t>:</w:t>
      </w:r>
    </w:p>
    <w:p w:rsidR="00F94686" w:rsidRDefault="003D40BB" w:rsidP="00542901">
      <w:pPr>
        <w:pStyle w:val="texto"/>
        <w:tabs>
          <w:tab w:val="num" w:pos="300"/>
        </w:tabs>
        <w:rPr>
          <w:rFonts w:ascii="Times New (W1)" w:hAnsi="Times New (W1)" w:cs="Arial"/>
        </w:rPr>
      </w:pPr>
      <w:r>
        <w:rPr>
          <w:rFonts w:ascii="Times New (W1)" w:hAnsi="Times New (W1)" w:cs="Arial"/>
        </w:rPr>
        <w:t>a)</w:t>
      </w:r>
      <w:r w:rsidR="00F94686">
        <w:rPr>
          <w:rFonts w:ascii="Times New (W1)" w:hAnsi="Times New (W1)" w:cs="Arial"/>
        </w:rPr>
        <w:t xml:space="preserve"> Los incrementos de IVA,</w:t>
      </w:r>
      <w:r w:rsidR="00AE3D8F" w:rsidRPr="00F94686">
        <w:rPr>
          <w:rFonts w:ascii="Times New (W1)" w:hAnsi="Times New (W1)" w:cs="Arial"/>
        </w:rPr>
        <w:t xml:space="preserve"> tanto e</w:t>
      </w:r>
      <w:r w:rsidR="00F94686">
        <w:rPr>
          <w:rFonts w:ascii="Times New (W1)" w:hAnsi="Times New (W1)" w:cs="Arial"/>
        </w:rPr>
        <w:t xml:space="preserve">n gestión directa </w:t>
      </w:r>
      <w:r w:rsidR="00AE3D8F" w:rsidRPr="00F94686">
        <w:rPr>
          <w:rFonts w:ascii="Times New (W1)" w:hAnsi="Times New (W1)" w:cs="Arial"/>
        </w:rPr>
        <w:t xml:space="preserve">un 16 por ciento </w:t>
      </w:r>
      <w:r w:rsidR="00542901">
        <w:rPr>
          <w:rFonts w:ascii="Times New (W1)" w:hAnsi="Times New (W1)" w:cs="Arial"/>
        </w:rPr>
        <w:t>–</w:t>
      </w:r>
      <w:r w:rsidR="00AE3D8F" w:rsidRPr="00F94686">
        <w:rPr>
          <w:rFonts w:ascii="Times New (W1)" w:hAnsi="Times New (W1)" w:cs="Arial"/>
        </w:rPr>
        <w:t>57 millones más</w:t>
      </w:r>
      <w:r w:rsidR="00542901">
        <w:rPr>
          <w:rFonts w:ascii="Times New (W1)" w:hAnsi="Times New (W1)" w:cs="Arial"/>
        </w:rPr>
        <w:t>–</w:t>
      </w:r>
      <w:r w:rsidR="00AE3D8F" w:rsidRPr="00F94686">
        <w:rPr>
          <w:rFonts w:ascii="Times New (W1)" w:hAnsi="Times New (W1)" w:cs="Arial"/>
        </w:rPr>
        <w:t xml:space="preserve"> como por </w:t>
      </w:r>
      <w:r w:rsidR="00F94686">
        <w:rPr>
          <w:rFonts w:ascii="Times New (W1)" w:hAnsi="Times New (W1)" w:cs="Arial"/>
        </w:rPr>
        <w:t xml:space="preserve">los </w:t>
      </w:r>
      <w:r w:rsidR="00AE3D8F" w:rsidRPr="00F94686">
        <w:rPr>
          <w:rFonts w:ascii="Times New (W1)" w:hAnsi="Times New (W1)" w:cs="Arial"/>
        </w:rPr>
        <w:t>ajustes</w:t>
      </w:r>
      <w:r w:rsidR="00F94686">
        <w:rPr>
          <w:rFonts w:ascii="Times New (W1)" w:hAnsi="Times New (W1)" w:cs="Arial"/>
        </w:rPr>
        <w:t xml:space="preserve"> del Convenio en un</w:t>
      </w:r>
      <w:r w:rsidR="00AE3D8F" w:rsidRPr="00F94686">
        <w:rPr>
          <w:rFonts w:ascii="Times New (W1)" w:hAnsi="Times New (W1)" w:cs="Arial"/>
        </w:rPr>
        <w:t xml:space="preserve"> ocho por ciento </w:t>
      </w:r>
      <w:r w:rsidR="00542901">
        <w:rPr>
          <w:rFonts w:ascii="Times New (W1)" w:hAnsi="Times New (W1)" w:cs="Arial"/>
        </w:rPr>
        <w:t>–</w:t>
      </w:r>
      <w:r w:rsidR="00AE3D8F" w:rsidRPr="00F94686">
        <w:rPr>
          <w:rFonts w:ascii="Times New (W1)" w:hAnsi="Times New (W1)" w:cs="Arial"/>
        </w:rPr>
        <w:t>61 millo</w:t>
      </w:r>
      <w:r w:rsidR="00F94686">
        <w:rPr>
          <w:rFonts w:ascii="Times New (W1)" w:hAnsi="Times New (W1)" w:cs="Arial"/>
        </w:rPr>
        <w:t>nes más</w:t>
      </w:r>
      <w:r w:rsidR="00542901">
        <w:rPr>
          <w:rFonts w:ascii="Times New (W1)" w:hAnsi="Times New (W1)" w:cs="Arial"/>
        </w:rPr>
        <w:t>–</w:t>
      </w:r>
      <w:r w:rsidR="00F94686">
        <w:rPr>
          <w:rFonts w:ascii="Times New (W1)" w:hAnsi="Times New (W1)" w:cs="Arial"/>
        </w:rPr>
        <w:t>. La recaudación líquida total de este impuesto ascendió a 1.213,49 millones, un 11 por ciento más que el año anterior</w:t>
      </w:r>
      <w:r>
        <w:rPr>
          <w:rFonts w:ascii="Times New (W1)" w:hAnsi="Times New (W1)" w:cs="Arial"/>
        </w:rPr>
        <w:t>, es decir, 117 millones más</w:t>
      </w:r>
      <w:r w:rsidR="00F94686">
        <w:rPr>
          <w:rFonts w:ascii="Times New (W1)" w:hAnsi="Times New (W1)" w:cs="Arial"/>
        </w:rPr>
        <w:t>.</w:t>
      </w:r>
    </w:p>
    <w:p w:rsidR="00F94686" w:rsidRPr="00542901" w:rsidRDefault="003D40BB" w:rsidP="00542901">
      <w:pPr>
        <w:pStyle w:val="texto"/>
        <w:tabs>
          <w:tab w:val="num" w:pos="300"/>
        </w:tabs>
        <w:rPr>
          <w:rFonts w:ascii="Times New (W1)" w:hAnsi="Times New (W1)" w:cs="Arial"/>
          <w:spacing w:val="4"/>
        </w:rPr>
      </w:pPr>
      <w:r>
        <w:rPr>
          <w:rFonts w:ascii="Times New (W1)" w:hAnsi="Times New (W1)" w:cs="Arial"/>
        </w:rPr>
        <w:t>b)</w:t>
      </w:r>
      <w:r w:rsidR="00F94686" w:rsidRPr="00F94686">
        <w:rPr>
          <w:rFonts w:ascii="Times New (W1)" w:hAnsi="Times New (W1)" w:cs="Arial"/>
        </w:rPr>
        <w:t xml:space="preserve"> </w:t>
      </w:r>
      <w:r w:rsidR="00F94686" w:rsidRPr="00542901">
        <w:rPr>
          <w:rFonts w:ascii="Times New (W1)" w:hAnsi="Times New (W1)" w:cs="Arial"/>
          <w:spacing w:val="4"/>
        </w:rPr>
        <w:t xml:space="preserve">La recaudación líquida de IRPF supuso un total de 1.132,37 millones, con un crecimiento del cinco por ciento, esto es, de 53 millones. Prácticamente la mitad de ese aumento proviene de los ingresos por retenciones del trabajo, </w:t>
      </w:r>
      <w:r w:rsidR="00A31918" w:rsidRPr="00542901">
        <w:rPr>
          <w:rFonts w:ascii="Times New (W1)" w:hAnsi="Times New (W1)" w:cs="Arial"/>
          <w:spacing w:val="4"/>
        </w:rPr>
        <w:t>dato relevante teniendo en cuenta que en</w:t>
      </w:r>
      <w:r w:rsidR="00F94686" w:rsidRPr="00542901">
        <w:rPr>
          <w:rFonts w:ascii="Times New (W1)" w:hAnsi="Times New (W1)" w:cs="Arial"/>
          <w:spacing w:val="4"/>
        </w:rPr>
        <w:t xml:space="preserve"> 2015 se reducen </w:t>
      </w:r>
      <w:r w:rsidR="00A31918" w:rsidRPr="00542901">
        <w:rPr>
          <w:rFonts w:ascii="Times New (W1)" w:hAnsi="Times New (W1)" w:cs="Arial"/>
          <w:spacing w:val="4"/>
        </w:rPr>
        <w:t>los</w:t>
      </w:r>
      <w:r w:rsidR="00F94686" w:rsidRPr="00542901">
        <w:rPr>
          <w:rFonts w:ascii="Times New (W1)" w:hAnsi="Times New (W1)" w:cs="Arial"/>
          <w:spacing w:val="4"/>
        </w:rPr>
        <w:t xml:space="preserve"> tipo</w:t>
      </w:r>
      <w:r w:rsidR="00A31918" w:rsidRPr="00542901">
        <w:rPr>
          <w:rFonts w:ascii="Times New (W1)" w:hAnsi="Times New (W1)" w:cs="Arial"/>
          <w:spacing w:val="4"/>
        </w:rPr>
        <w:t>s</w:t>
      </w:r>
      <w:r w:rsidR="00F94686" w:rsidRPr="00542901">
        <w:rPr>
          <w:rFonts w:ascii="Times New (W1)" w:hAnsi="Times New (W1)" w:cs="Arial"/>
          <w:spacing w:val="4"/>
        </w:rPr>
        <w:t xml:space="preserve"> de estas retenciones.</w:t>
      </w:r>
    </w:p>
    <w:p w:rsidR="00315545" w:rsidRDefault="008F1567" w:rsidP="00F739C5">
      <w:pPr>
        <w:pStyle w:val="texto"/>
        <w:numPr>
          <w:ilvl w:val="0"/>
          <w:numId w:val="2"/>
        </w:numPr>
        <w:tabs>
          <w:tab w:val="clear" w:pos="1948"/>
          <w:tab w:val="clear" w:pos="2835"/>
          <w:tab w:val="clear" w:pos="3969"/>
          <w:tab w:val="clear" w:pos="5103"/>
          <w:tab w:val="clear" w:pos="6237"/>
          <w:tab w:val="clear" w:pos="7371"/>
          <w:tab w:val="num" w:pos="300"/>
          <w:tab w:val="left" w:pos="490"/>
          <w:tab w:val="num" w:pos="4920"/>
        </w:tabs>
        <w:ind w:left="0" w:firstLine="289"/>
        <w:rPr>
          <w:lang w:val="es-ES"/>
        </w:rPr>
      </w:pPr>
      <w:r>
        <w:rPr>
          <w:lang w:val="es-ES"/>
        </w:rPr>
        <w:t xml:space="preserve">Las devoluciones </w:t>
      </w:r>
      <w:r w:rsidRPr="00315545">
        <w:rPr>
          <w:lang w:val="es-ES"/>
        </w:rPr>
        <w:t>gestionadas desde el CAT</w:t>
      </w:r>
      <w:r w:rsidR="00315545">
        <w:rPr>
          <w:lang w:val="es-ES"/>
        </w:rPr>
        <w:t xml:space="preserve"> –tanto en efectivo como por compensación</w:t>
      </w:r>
      <w:r w:rsidR="00542901">
        <w:rPr>
          <w:lang w:val="es-ES"/>
        </w:rPr>
        <w:t>–</w:t>
      </w:r>
      <w:r w:rsidRPr="00315545">
        <w:rPr>
          <w:lang w:val="es-ES"/>
        </w:rPr>
        <w:t xml:space="preserve"> </w:t>
      </w:r>
      <w:r>
        <w:rPr>
          <w:lang w:val="es-ES"/>
        </w:rPr>
        <w:t>y traspasadas globalmente a la liquidación presupuestaria junto a los contraídos, han ascendido a 1.</w:t>
      </w:r>
      <w:r w:rsidR="00315545">
        <w:rPr>
          <w:lang w:val="es-ES"/>
        </w:rPr>
        <w:t>198,74 millones</w:t>
      </w:r>
      <w:r>
        <w:rPr>
          <w:lang w:val="es-ES"/>
        </w:rPr>
        <w:t xml:space="preserve">, un </w:t>
      </w:r>
      <w:r w:rsidR="00315545">
        <w:rPr>
          <w:lang w:val="es-ES"/>
        </w:rPr>
        <w:t>cuatro</w:t>
      </w:r>
      <w:r>
        <w:rPr>
          <w:lang w:val="es-ES"/>
        </w:rPr>
        <w:t xml:space="preserve"> por ciento menos que en el año anterior; en ese importe se incluyen 89 millones de los ajustes del Convenio.</w:t>
      </w:r>
      <w:r w:rsidR="00315545">
        <w:rPr>
          <w:lang w:val="es-ES"/>
        </w:rPr>
        <w:t xml:space="preserve"> Atendiendo a la naturaleza de la devolución, el 85 por ciento se efectúa en metálico.</w:t>
      </w:r>
      <w:r>
        <w:rPr>
          <w:lang w:val="es-ES"/>
        </w:rPr>
        <w:t xml:space="preserve"> </w:t>
      </w:r>
    </w:p>
    <w:p w:rsidR="00315545" w:rsidRDefault="008F1567" w:rsidP="001E7B19">
      <w:pPr>
        <w:pStyle w:val="texto"/>
        <w:spacing w:after="0"/>
        <w:rPr>
          <w:lang w:val="es-ES"/>
        </w:rPr>
      </w:pPr>
      <w:r>
        <w:rPr>
          <w:lang w:val="es-ES"/>
        </w:rPr>
        <w:t xml:space="preserve">Por tipo de impuestos </w:t>
      </w:r>
      <w:r w:rsidR="004A2B3E">
        <w:rPr>
          <w:lang w:val="es-ES"/>
        </w:rPr>
        <w:t>sobresalen</w:t>
      </w:r>
      <w:r>
        <w:rPr>
          <w:lang w:val="es-ES"/>
        </w:rPr>
        <w:t xml:space="preserve"> las siguientes</w:t>
      </w:r>
      <w:r w:rsidR="004A2B3E">
        <w:rPr>
          <w:lang w:val="es-ES"/>
        </w:rPr>
        <w:t xml:space="preserve"> y su comparación con el ejercicio anterior</w:t>
      </w:r>
      <w:r>
        <w:rPr>
          <w:lang w:val="es-ES"/>
        </w:rPr>
        <w:t xml:space="preserve">: </w:t>
      </w:r>
    </w:p>
    <w:p w:rsidR="00F739C5" w:rsidRPr="00846EDC" w:rsidRDefault="00465B76" w:rsidP="00F739C5">
      <w:pPr>
        <w:pStyle w:val="recomen"/>
        <w:numPr>
          <w:ilvl w:val="0"/>
          <w:numId w:val="0"/>
        </w:numPr>
        <w:spacing w:after="40"/>
        <w:ind w:left="1588"/>
        <w:jc w:val="right"/>
        <w:rPr>
          <w:rFonts w:ascii="Arial Narrow" w:hAnsi="Arial Narrow"/>
          <w:i w:val="0"/>
          <w:sz w:val="18"/>
          <w:szCs w:val="18"/>
        </w:rPr>
      </w:pPr>
      <w:r>
        <w:rPr>
          <w:rFonts w:ascii="Arial Narrow" w:hAnsi="Arial Narrow"/>
          <w:i w:val="0"/>
          <w:sz w:val="18"/>
          <w:szCs w:val="18"/>
        </w:rPr>
        <w:t xml:space="preserve"> </w:t>
      </w:r>
      <w:r w:rsidRPr="00846EDC">
        <w:rPr>
          <w:rFonts w:ascii="Arial Narrow" w:hAnsi="Arial Narrow"/>
          <w:i w:val="0"/>
          <w:sz w:val="18"/>
          <w:szCs w:val="18"/>
        </w:rPr>
        <w:t>Miles</w:t>
      </w:r>
      <w:r w:rsidR="00F739C5" w:rsidRPr="00846EDC">
        <w:rPr>
          <w:rFonts w:ascii="Arial Narrow" w:hAnsi="Arial Narrow"/>
          <w:i w:val="0"/>
          <w:sz w:val="18"/>
          <w:szCs w:val="18"/>
        </w:rPr>
        <w:t xml:space="preserve"> de euros</w:t>
      </w:r>
    </w:p>
    <w:tbl>
      <w:tblPr>
        <w:tblW w:w="8880" w:type="dxa"/>
        <w:jc w:val="center"/>
        <w:tblCellMar>
          <w:left w:w="70" w:type="dxa"/>
          <w:right w:w="70" w:type="dxa"/>
        </w:tblCellMar>
        <w:tblLook w:val="04A0" w:firstRow="1" w:lastRow="0" w:firstColumn="1" w:lastColumn="0" w:noHBand="0" w:noVBand="1"/>
      </w:tblPr>
      <w:tblGrid>
        <w:gridCol w:w="6118"/>
        <w:gridCol w:w="1459"/>
        <w:gridCol w:w="1303"/>
      </w:tblGrid>
      <w:tr w:rsidR="004A2B3E" w:rsidRPr="00801987" w:rsidTr="00542901">
        <w:trPr>
          <w:trHeight w:val="284"/>
          <w:jc w:val="center"/>
        </w:trPr>
        <w:tc>
          <w:tcPr>
            <w:tcW w:w="6118" w:type="dxa"/>
            <w:tcBorders>
              <w:top w:val="single" w:sz="4" w:space="0" w:color="auto"/>
              <w:left w:val="nil"/>
              <w:right w:val="nil"/>
            </w:tcBorders>
            <w:shd w:val="clear" w:color="auto" w:fill="ACCBF9" w:themeFill="background2"/>
            <w:vAlign w:val="center"/>
          </w:tcPr>
          <w:p w:rsidR="004A2B3E" w:rsidRPr="00F17123" w:rsidRDefault="004A2B3E" w:rsidP="00542901">
            <w:pPr>
              <w:pStyle w:val="cuadroCabe"/>
              <w:jc w:val="left"/>
              <w:rPr>
                <w:rFonts w:cs="Arial"/>
              </w:rPr>
            </w:pPr>
            <w:r w:rsidRPr="00F17123">
              <w:rPr>
                <w:rFonts w:cs="Arial"/>
              </w:rPr>
              <w:t>Devolución de impuestos</w:t>
            </w:r>
          </w:p>
        </w:tc>
        <w:tc>
          <w:tcPr>
            <w:tcW w:w="1459" w:type="dxa"/>
            <w:tcBorders>
              <w:top w:val="single" w:sz="4" w:space="0" w:color="auto"/>
              <w:left w:val="nil"/>
              <w:right w:val="nil"/>
            </w:tcBorders>
            <w:shd w:val="clear" w:color="auto" w:fill="ACCBF9" w:themeFill="background2"/>
            <w:vAlign w:val="center"/>
          </w:tcPr>
          <w:p w:rsidR="004A2B3E" w:rsidRPr="00F17123" w:rsidRDefault="004A2B3E" w:rsidP="00F57CFF">
            <w:pPr>
              <w:pStyle w:val="cuadroCabe"/>
              <w:jc w:val="right"/>
              <w:rPr>
                <w:rFonts w:cs="Arial"/>
              </w:rPr>
            </w:pPr>
            <w:r w:rsidRPr="00F17123">
              <w:rPr>
                <w:rFonts w:cs="Arial"/>
              </w:rPr>
              <w:t>2014</w:t>
            </w:r>
          </w:p>
        </w:tc>
        <w:tc>
          <w:tcPr>
            <w:tcW w:w="1303" w:type="dxa"/>
            <w:tcBorders>
              <w:top w:val="single" w:sz="4" w:space="0" w:color="auto"/>
              <w:left w:val="nil"/>
              <w:right w:val="nil"/>
            </w:tcBorders>
            <w:shd w:val="clear" w:color="auto" w:fill="ACCBF9" w:themeFill="background2"/>
            <w:vAlign w:val="center"/>
          </w:tcPr>
          <w:p w:rsidR="004A2B3E" w:rsidRPr="00F17123" w:rsidRDefault="004A2B3E" w:rsidP="00F57CFF">
            <w:pPr>
              <w:pStyle w:val="cuadroCabe"/>
              <w:jc w:val="right"/>
              <w:rPr>
                <w:rFonts w:cs="Arial"/>
              </w:rPr>
            </w:pPr>
            <w:r w:rsidRPr="00F17123">
              <w:rPr>
                <w:rFonts w:cs="Arial"/>
              </w:rPr>
              <w:t>2015</w:t>
            </w:r>
          </w:p>
        </w:tc>
      </w:tr>
      <w:tr w:rsidR="004A2B3E" w:rsidRPr="00542901" w:rsidTr="00542901">
        <w:trPr>
          <w:trHeight w:val="284"/>
          <w:jc w:val="center"/>
        </w:trPr>
        <w:tc>
          <w:tcPr>
            <w:tcW w:w="6118" w:type="dxa"/>
            <w:tcBorders>
              <w:top w:val="single" w:sz="4" w:space="0" w:color="auto"/>
              <w:left w:val="nil"/>
              <w:bottom w:val="single" w:sz="2" w:space="0" w:color="auto"/>
              <w:right w:val="nil"/>
            </w:tcBorders>
            <w:noWrap/>
            <w:vAlign w:val="center"/>
            <w:hideMark/>
          </w:tcPr>
          <w:p w:rsidR="004A2B3E" w:rsidRPr="00542901" w:rsidRDefault="004A2B3E" w:rsidP="00F57CFF">
            <w:pPr>
              <w:pStyle w:val="cuatexto"/>
              <w:jc w:val="left"/>
              <w:rPr>
                <w:szCs w:val="20"/>
              </w:rPr>
            </w:pPr>
            <w:r w:rsidRPr="00542901">
              <w:rPr>
                <w:szCs w:val="20"/>
              </w:rPr>
              <w:t>IRPF</w:t>
            </w:r>
          </w:p>
        </w:tc>
        <w:tc>
          <w:tcPr>
            <w:tcW w:w="1459" w:type="dxa"/>
            <w:tcBorders>
              <w:top w:val="single" w:sz="4" w:space="0" w:color="auto"/>
              <w:left w:val="nil"/>
              <w:bottom w:val="single" w:sz="2" w:space="0" w:color="auto"/>
              <w:right w:val="nil"/>
            </w:tcBorders>
            <w:vAlign w:val="center"/>
          </w:tcPr>
          <w:p w:rsidR="004A2B3E" w:rsidRPr="00542901" w:rsidRDefault="00315545" w:rsidP="00F57CFF">
            <w:pPr>
              <w:pStyle w:val="cuatexto"/>
              <w:jc w:val="right"/>
              <w:rPr>
                <w:szCs w:val="20"/>
              </w:rPr>
            </w:pPr>
            <w:r w:rsidRPr="00542901">
              <w:rPr>
                <w:szCs w:val="20"/>
              </w:rPr>
              <w:t>226.433</w:t>
            </w:r>
          </w:p>
        </w:tc>
        <w:tc>
          <w:tcPr>
            <w:tcW w:w="1303" w:type="dxa"/>
            <w:tcBorders>
              <w:top w:val="single" w:sz="4" w:space="0" w:color="auto"/>
              <w:left w:val="nil"/>
              <w:bottom w:val="single" w:sz="2" w:space="0" w:color="auto"/>
              <w:right w:val="nil"/>
            </w:tcBorders>
            <w:vAlign w:val="center"/>
          </w:tcPr>
          <w:p w:rsidR="004A2B3E" w:rsidRPr="00542901" w:rsidRDefault="00315545" w:rsidP="00F57CFF">
            <w:pPr>
              <w:pStyle w:val="cuatexto"/>
              <w:jc w:val="right"/>
              <w:rPr>
                <w:szCs w:val="20"/>
              </w:rPr>
            </w:pPr>
            <w:r w:rsidRPr="00542901">
              <w:rPr>
                <w:szCs w:val="20"/>
              </w:rPr>
              <w:t>211.068</w:t>
            </w:r>
          </w:p>
        </w:tc>
      </w:tr>
      <w:tr w:rsidR="004A2B3E" w:rsidRPr="00542901" w:rsidTr="00542901">
        <w:trPr>
          <w:trHeight w:val="284"/>
          <w:jc w:val="center"/>
        </w:trPr>
        <w:tc>
          <w:tcPr>
            <w:tcW w:w="6118" w:type="dxa"/>
            <w:tcBorders>
              <w:top w:val="single" w:sz="2" w:space="0" w:color="auto"/>
              <w:left w:val="nil"/>
              <w:bottom w:val="single" w:sz="2" w:space="0" w:color="auto"/>
              <w:right w:val="nil"/>
            </w:tcBorders>
            <w:noWrap/>
            <w:vAlign w:val="center"/>
            <w:hideMark/>
          </w:tcPr>
          <w:p w:rsidR="004A2B3E" w:rsidRPr="00542901" w:rsidRDefault="004A2B3E" w:rsidP="00F57CFF">
            <w:pPr>
              <w:pStyle w:val="cuatexto"/>
              <w:jc w:val="left"/>
              <w:rPr>
                <w:szCs w:val="20"/>
              </w:rPr>
            </w:pPr>
            <w:r w:rsidRPr="00542901">
              <w:rPr>
                <w:szCs w:val="20"/>
              </w:rPr>
              <w:t>Sociedades</w:t>
            </w:r>
          </w:p>
        </w:tc>
        <w:tc>
          <w:tcPr>
            <w:tcW w:w="1459" w:type="dxa"/>
            <w:tcBorders>
              <w:top w:val="single" w:sz="2" w:space="0" w:color="auto"/>
              <w:left w:val="nil"/>
              <w:bottom w:val="single" w:sz="2" w:space="0" w:color="auto"/>
              <w:right w:val="nil"/>
            </w:tcBorders>
            <w:vAlign w:val="center"/>
          </w:tcPr>
          <w:p w:rsidR="004A2B3E" w:rsidRPr="00542901" w:rsidRDefault="00315545" w:rsidP="00F57CFF">
            <w:pPr>
              <w:pStyle w:val="cuatexto"/>
              <w:jc w:val="right"/>
              <w:rPr>
                <w:szCs w:val="20"/>
              </w:rPr>
            </w:pPr>
            <w:r w:rsidRPr="00542901">
              <w:rPr>
                <w:szCs w:val="20"/>
              </w:rPr>
              <w:t>93.356</w:t>
            </w:r>
          </w:p>
        </w:tc>
        <w:tc>
          <w:tcPr>
            <w:tcW w:w="1303" w:type="dxa"/>
            <w:tcBorders>
              <w:top w:val="single" w:sz="2" w:space="0" w:color="auto"/>
              <w:left w:val="nil"/>
              <w:bottom w:val="single" w:sz="2" w:space="0" w:color="auto"/>
              <w:right w:val="nil"/>
            </w:tcBorders>
            <w:vAlign w:val="center"/>
          </w:tcPr>
          <w:p w:rsidR="004A2B3E" w:rsidRPr="00542901" w:rsidRDefault="00315545" w:rsidP="00F57CFF">
            <w:pPr>
              <w:pStyle w:val="cuatexto"/>
              <w:jc w:val="right"/>
              <w:rPr>
                <w:szCs w:val="20"/>
              </w:rPr>
            </w:pPr>
            <w:r w:rsidRPr="00542901">
              <w:rPr>
                <w:szCs w:val="20"/>
              </w:rPr>
              <w:t>78.053</w:t>
            </w:r>
          </w:p>
        </w:tc>
      </w:tr>
      <w:tr w:rsidR="004A2B3E" w:rsidRPr="00542901" w:rsidTr="00542901">
        <w:trPr>
          <w:trHeight w:val="284"/>
          <w:jc w:val="center"/>
        </w:trPr>
        <w:tc>
          <w:tcPr>
            <w:tcW w:w="6118" w:type="dxa"/>
            <w:tcBorders>
              <w:top w:val="single" w:sz="2" w:space="0" w:color="auto"/>
              <w:left w:val="nil"/>
              <w:bottom w:val="single" w:sz="2" w:space="0" w:color="auto"/>
              <w:right w:val="nil"/>
            </w:tcBorders>
            <w:noWrap/>
            <w:vAlign w:val="center"/>
          </w:tcPr>
          <w:p w:rsidR="004A2B3E" w:rsidRPr="00542901" w:rsidRDefault="004A2B3E" w:rsidP="00F57CFF">
            <w:pPr>
              <w:pStyle w:val="cuatexto"/>
              <w:jc w:val="left"/>
              <w:rPr>
                <w:szCs w:val="20"/>
              </w:rPr>
            </w:pPr>
            <w:r w:rsidRPr="00542901">
              <w:rPr>
                <w:szCs w:val="20"/>
              </w:rPr>
              <w:t>IVA gestión directa</w:t>
            </w:r>
          </w:p>
        </w:tc>
        <w:tc>
          <w:tcPr>
            <w:tcW w:w="1459" w:type="dxa"/>
            <w:tcBorders>
              <w:top w:val="single" w:sz="2" w:space="0" w:color="auto"/>
              <w:left w:val="nil"/>
              <w:bottom w:val="single" w:sz="2" w:space="0" w:color="auto"/>
              <w:right w:val="nil"/>
            </w:tcBorders>
            <w:vAlign w:val="center"/>
          </w:tcPr>
          <w:p w:rsidR="004A2B3E" w:rsidRPr="00542901" w:rsidRDefault="00315545" w:rsidP="00F57CFF">
            <w:pPr>
              <w:pStyle w:val="cuatexto"/>
              <w:jc w:val="right"/>
              <w:rPr>
                <w:szCs w:val="20"/>
              </w:rPr>
            </w:pPr>
            <w:r w:rsidRPr="00542901">
              <w:rPr>
                <w:szCs w:val="20"/>
              </w:rPr>
              <w:t>809.657</w:t>
            </w:r>
          </w:p>
        </w:tc>
        <w:tc>
          <w:tcPr>
            <w:tcW w:w="1303" w:type="dxa"/>
            <w:tcBorders>
              <w:top w:val="single" w:sz="2" w:space="0" w:color="auto"/>
              <w:left w:val="nil"/>
              <w:bottom w:val="single" w:sz="2" w:space="0" w:color="auto"/>
              <w:right w:val="nil"/>
            </w:tcBorders>
            <w:vAlign w:val="center"/>
          </w:tcPr>
          <w:p w:rsidR="004A2B3E" w:rsidRPr="00542901" w:rsidRDefault="00315545" w:rsidP="00F57CFF">
            <w:pPr>
              <w:pStyle w:val="cuatexto"/>
              <w:jc w:val="right"/>
              <w:rPr>
                <w:szCs w:val="20"/>
              </w:rPr>
            </w:pPr>
            <w:r w:rsidRPr="00542901">
              <w:rPr>
                <w:szCs w:val="20"/>
              </w:rPr>
              <w:t>806.042</w:t>
            </w:r>
          </w:p>
        </w:tc>
      </w:tr>
    </w:tbl>
    <w:p w:rsidR="004A2B3E" w:rsidRDefault="004A2B3E" w:rsidP="001E7B19">
      <w:pPr>
        <w:pStyle w:val="texto"/>
        <w:spacing w:after="0"/>
      </w:pPr>
    </w:p>
    <w:p w:rsidR="008F1567" w:rsidRDefault="004A2B3E" w:rsidP="00542901">
      <w:pPr>
        <w:pStyle w:val="texto"/>
      </w:pPr>
      <w:r>
        <w:t>Es decir, el IVA gestión directa es, con diferencia, el impuesto que genera un mayor volumen de devoluciones, en torno al 6</w:t>
      </w:r>
      <w:r w:rsidR="00315545">
        <w:t>7</w:t>
      </w:r>
      <w:r>
        <w:t xml:space="preserve"> por ciento del total. Sobre 2014, se reducen </w:t>
      </w:r>
      <w:r w:rsidR="00315545">
        <w:t>tales</w:t>
      </w:r>
      <w:r>
        <w:t xml:space="preserve"> devoluciones</w:t>
      </w:r>
      <w:r w:rsidR="00315545">
        <w:t>, especialmente en Sociedades, un 16 por ciento.</w:t>
      </w:r>
      <w:r>
        <w:t xml:space="preserve"> </w:t>
      </w:r>
    </w:p>
    <w:p w:rsidR="009264B9" w:rsidRPr="008D66A6" w:rsidRDefault="008D66A6" w:rsidP="00542901">
      <w:pPr>
        <w:pStyle w:val="texto"/>
      </w:pPr>
      <w:r w:rsidRPr="008D66A6">
        <w:t>Por otra parte, l</w:t>
      </w:r>
      <w:r w:rsidR="009264B9" w:rsidRPr="008D66A6">
        <w:t xml:space="preserve">as devoluciones de impuestos </w:t>
      </w:r>
      <w:r w:rsidRPr="008D66A6">
        <w:t xml:space="preserve">descontadas directamente de los derechos reconocidos </w:t>
      </w:r>
      <w:r w:rsidR="009264B9" w:rsidRPr="008D66A6">
        <w:t>han ascendido a 33</w:t>
      </w:r>
      <w:r w:rsidRPr="008D66A6">
        <w:t>,04</w:t>
      </w:r>
      <w:r w:rsidR="009264B9" w:rsidRPr="008D66A6">
        <w:t xml:space="preserve"> millones frente a los 0,63 millones del ejercicio anterior. Este aumento deriva básicamente de la devolución del impuesto sobre hidrocarburos por liquidaciones correspondientes a los ejercicios de 2013 y 2014 y por una cuantía de 32,75 millones.</w:t>
      </w:r>
      <w:r w:rsidRPr="008D66A6">
        <w:t xml:space="preserve"> Esta devolución deriva del Convenio.</w:t>
      </w:r>
    </w:p>
    <w:p w:rsidR="00685C1D" w:rsidRDefault="00171B1C" w:rsidP="001E7B19">
      <w:pPr>
        <w:pStyle w:val="texto"/>
        <w:numPr>
          <w:ilvl w:val="0"/>
          <w:numId w:val="2"/>
        </w:numPr>
        <w:tabs>
          <w:tab w:val="clear" w:pos="1948"/>
          <w:tab w:val="clear" w:pos="2835"/>
          <w:tab w:val="clear" w:pos="3969"/>
          <w:tab w:val="clear" w:pos="5103"/>
          <w:tab w:val="clear" w:pos="6237"/>
          <w:tab w:val="clear" w:pos="7371"/>
          <w:tab w:val="num" w:pos="300"/>
          <w:tab w:val="left" w:pos="490"/>
          <w:tab w:val="num" w:pos="4920"/>
        </w:tabs>
        <w:spacing w:after="0"/>
        <w:ind w:left="0" w:firstLine="289"/>
      </w:pPr>
      <w:r w:rsidRPr="009264B9">
        <w:t xml:space="preserve">La </w:t>
      </w:r>
      <w:r w:rsidRPr="00081261">
        <w:t>evolución de los derechos reconocidos por impuestos</w:t>
      </w:r>
      <w:r w:rsidRPr="009264B9">
        <w:t xml:space="preserve"> desde 2010 a 2015 se muestra en el cuadro siguiente</w:t>
      </w:r>
      <w:r w:rsidR="00B10FC2">
        <w:t>:</w:t>
      </w:r>
      <w:r w:rsidRPr="009264B9">
        <w:t xml:space="preserve"> </w:t>
      </w:r>
    </w:p>
    <w:p w:rsidR="00465B76" w:rsidRPr="00465B76" w:rsidRDefault="00465B76" w:rsidP="00465B76">
      <w:pPr>
        <w:tabs>
          <w:tab w:val="left" w:pos="480"/>
          <w:tab w:val="num" w:pos="4920"/>
          <w:tab w:val="center" w:pos="5103"/>
          <w:tab w:val="center" w:pos="6237"/>
          <w:tab w:val="center" w:pos="7371"/>
        </w:tabs>
        <w:spacing w:after="40"/>
        <w:ind w:firstLine="284"/>
        <w:jc w:val="right"/>
        <w:rPr>
          <w:rFonts w:ascii="Arial Narrow" w:hAnsi="Arial Narrow"/>
          <w:spacing w:val="6"/>
          <w:sz w:val="18"/>
          <w:szCs w:val="18"/>
          <w:lang w:val="es-ES"/>
        </w:rPr>
      </w:pPr>
      <w:r w:rsidRPr="00465B76">
        <w:rPr>
          <w:rFonts w:ascii="Arial Narrow" w:hAnsi="Arial Narrow"/>
          <w:spacing w:val="6"/>
          <w:sz w:val="18"/>
          <w:szCs w:val="18"/>
          <w:lang w:val="es-ES"/>
        </w:rPr>
        <w:t>Mil</w:t>
      </w:r>
      <w:r>
        <w:rPr>
          <w:rFonts w:ascii="Arial Narrow" w:hAnsi="Arial Narrow"/>
          <w:spacing w:val="6"/>
          <w:sz w:val="18"/>
          <w:szCs w:val="18"/>
          <w:lang w:val="es-ES"/>
        </w:rPr>
        <w:t>lon</w:t>
      </w:r>
      <w:r w:rsidRPr="00465B76">
        <w:rPr>
          <w:rFonts w:ascii="Arial Narrow" w:hAnsi="Arial Narrow"/>
          <w:spacing w:val="6"/>
          <w:sz w:val="18"/>
          <w:szCs w:val="18"/>
          <w:lang w:val="es-ES"/>
        </w:rPr>
        <w:t>es de euros</w:t>
      </w:r>
    </w:p>
    <w:tbl>
      <w:tblPr>
        <w:tblW w:w="8896" w:type="dxa"/>
        <w:jc w:val="center"/>
        <w:tblInd w:w="107" w:type="dxa"/>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2092"/>
        <w:gridCol w:w="937"/>
        <w:gridCol w:w="1216"/>
        <w:gridCol w:w="1216"/>
        <w:gridCol w:w="1216"/>
        <w:gridCol w:w="1216"/>
        <w:gridCol w:w="1003"/>
      </w:tblGrid>
      <w:tr w:rsidR="00171B1C" w:rsidRPr="001A3A81" w:rsidTr="00934343">
        <w:trPr>
          <w:trHeight w:val="284"/>
          <w:jc w:val="center"/>
        </w:trPr>
        <w:tc>
          <w:tcPr>
            <w:tcW w:w="2092" w:type="dxa"/>
            <w:shd w:val="clear" w:color="auto" w:fill="A8CBEE" w:themeFill="accent2" w:themeFillTint="66"/>
            <w:noWrap/>
            <w:vAlign w:val="center"/>
          </w:tcPr>
          <w:p w:rsidR="00171B1C" w:rsidRPr="001A3A81" w:rsidRDefault="00171B1C" w:rsidP="00F57CFF">
            <w:pPr>
              <w:pStyle w:val="cuadroCabe"/>
              <w:jc w:val="left"/>
              <w:rPr>
                <w:rFonts w:cs="Arial"/>
              </w:rPr>
            </w:pPr>
            <w:r w:rsidRPr="001A3A81">
              <w:rPr>
                <w:rFonts w:cs="Arial"/>
              </w:rPr>
              <w:t>Impuestos</w:t>
            </w:r>
            <w:r>
              <w:rPr>
                <w:rFonts w:cs="Arial"/>
              </w:rPr>
              <w:t xml:space="preserve"> (millones)</w:t>
            </w:r>
          </w:p>
        </w:tc>
        <w:tc>
          <w:tcPr>
            <w:tcW w:w="937" w:type="dxa"/>
            <w:shd w:val="clear" w:color="auto" w:fill="A8CBEE" w:themeFill="accent2" w:themeFillTint="66"/>
            <w:vAlign w:val="center"/>
          </w:tcPr>
          <w:p w:rsidR="00171B1C" w:rsidRPr="001A3A81" w:rsidRDefault="00171B1C" w:rsidP="00F57CFF">
            <w:pPr>
              <w:pStyle w:val="cuadroCabe"/>
              <w:jc w:val="right"/>
              <w:rPr>
                <w:rFonts w:cs="Arial"/>
              </w:rPr>
            </w:pPr>
            <w:r w:rsidRPr="001A3A81">
              <w:rPr>
                <w:rFonts w:cs="Arial"/>
              </w:rPr>
              <w:t>2010</w:t>
            </w:r>
          </w:p>
        </w:tc>
        <w:tc>
          <w:tcPr>
            <w:tcW w:w="1216" w:type="dxa"/>
            <w:shd w:val="clear" w:color="auto" w:fill="A8CBEE" w:themeFill="accent2" w:themeFillTint="66"/>
            <w:vAlign w:val="center"/>
          </w:tcPr>
          <w:p w:rsidR="00171B1C" w:rsidRPr="001A3A81" w:rsidRDefault="00171B1C" w:rsidP="00F57CFF">
            <w:pPr>
              <w:pStyle w:val="cuadroCabe"/>
              <w:jc w:val="right"/>
              <w:rPr>
                <w:rFonts w:cs="Arial"/>
              </w:rPr>
            </w:pPr>
            <w:r w:rsidRPr="001A3A81">
              <w:rPr>
                <w:rFonts w:cs="Arial"/>
              </w:rPr>
              <w:t>2011</w:t>
            </w:r>
          </w:p>
        </w:tc>
        <w:tc>
          <w:tcPr>
            <w:tcW w:w="1216" w:type="dxa"/>
            <w:shd w:val="clear" w:color="auto" w:fill="A8CBEE" w:themeFill="accent2" w:themeFillTint="66"/>
            <w:vAlign w:val="center"/>
          </w:tcPr>
          <w:p w:rsidR="00171B1C" w:rsidRPr="001A3A81" w:rsidRDefault="00171B1C" w:rsidP="00F57CFF">
            <w:pPr>
              <w:pStyle w:val="cuadroCabe"/>
              <w:jc w:val="right"/>
              <w:rPr>
                <w:rFonts w:cs="Arial"/>
              </w:rPr>
            </w:pPr>
            <w:r w:rsidRPr="001A3A81">
              <w:rPr>
                <w:rFonts w:cs="Arial"/>
              </w:rPr>
              <w:t>2012</w:t>
            </w:r>
          </w:p>
        </w:tc>
        <w:tc>
          <w:tcPr>
            <w:tcW w:w="1216" w:type="dxa"/>
            <w:shd w:val="clear" w:color="auto" w:fill="A8CBEE" w:themeFill="accent2" w:themeFillTint="66"/>
            <w:vAlign w:val="center"/>
          </w:tcPr>
          <w:p w:rsidR="00171B1C" w:rsidRPr="001A3A81" w:rsidRDefault="00171B1C" w:rsidP="00F57CFF">
            <w:pPr>
              <w:pStyle w:val="cuadroCabe"/>
              <w:jc w:val="right"/>
              <w:rPr>
                <w:rFonts w:cs="Arial"/>
              </w:rPr>
            </w:pPr>
            <w:r w:rsidRPr="001A3A81">
              <w:rPr>
                <w:rFonts w:cs="Arial"/>
              </w:rPr>
              <w:t>2013</w:t>
            </w:r>
          </w:p>
        </w:tc>
        <w:tc>
          <w:tcPr>
            <w:tcW w:w="1216" w:type="dxa"/>
            <w:shd w:val="clear" w:color="auto" w:fill="A8CBEE" w:themeFill="accent2" w:themeFillTint="66"/>
            <w:noWrap/>
            <w:vAlign w:val="center"/>
          </w:tcPr>
          <w:p w:rsidR="00171B1C" w:rsidRPr="001A3A81" w:rsidRDefault="00171B1C" w:rsidP="00F57CFF">
            <w:pPr>
              <w:pStyle w:val="cuadroCabe"/>
              <w:jc w:val="right"/>
              <w:rPr>
                <w:rFonts w:cs="Arial"/>
              </w:rPr>
            </w:pPr>
            <w:r>
              <w:rPr>
                <w:rFonts w:cs="Arial"/>
              </w:rPr>
              <w:t>2014</w:t>
            </w:r>
          </w:p>
        </w:tc>
        <w:tc>
          <w:tcPr>
            <w:tcW w:w="1003" w:type="dxa"/>
            <w:shd w:val="clear" w:color="auto" w:fill="A8CBEE" w:themeFill="accent2" w:themeFillTint="66"/>
            <w:noWrap/>
            <w:vAlign w:val="center"/>
          </w:tcPr>
          <w:p w:rsidR="00171B1C" w:rsidRPr="001A3A81" w:rsidRDefault="00171B1C" w:rsidP="00F57CFF">
            <w:pPr>
              <w:pStyle w:val="cuadroCabe"/>
              <w:jc w:val="right"/>
              <w:rPr>
                <w:rFonts w:cs="Arial"/>
              </w:rPr>
            </w:pPr>
            <w:r>
              <w:rPr>
                <w:rFonts w:cs="Arial"/>
              </w:rPr>
              <w:t>2015</w:t>
            </w:r>
          </w:p>
        </w:tc>
      </w:tr>
      <w:tr w:rsidR="00171B1C" w:rsidRPr="00AF0D58" w:rsidTr="00081FE3">
        <w:trPr>
          <w:trHeight w:val="284"/>
          <w:jc w:val="center"/>
        </w:trPr>
        <w:tc>
          <w:tcPr>
            <w:tcW w:w="2092" w:type="dxa"/>
            <w:shd w:val="clear" w:color="auto" w:fill="auto"/>
            <w:noWrap/>
            <w:vAlign w:val="center"/>
          </w:tcPr>
          <w:p w:rsidR="00171B1C" w:rsidRPr="00AF0D58" w:rsidRDefault="00171B1C" w:rsidP="00F57CFF">
            <w:pPr>
              <w:pStyle w:val="cuatexto"/>
              <w:ind w:right="-6"/>
              <w:jc w:val="left"/>
              <w:rPr>
                <w:rFonts w:cs="Arial"/>
                <w:szCs w:val="20"/>
                <w:lang w:val="es-ES" w:eastAsia="es-ES"/>
              </w:rPr>
            </w:pPr>
            <w:r w:rsidRPr="00AF0D58">
              <w:rPr>
                <w:rFonts w:cs="Arial"/>
                <w:szCs w:val="20"/>
                <w:lang w:val="es-ES" w:eastAsia="es-ES"/>
              </w:rPr>
              <w:t>Impuestos directos</w:t>
            </w:r>
          </w:p>
        </w:tc>
        <w:tc>
          <w:tcPr>
            <w:tcW w:w="937" w:type="dxa"/>
            <w:vAlign w:val="center"/>
          </w:tcPr>
          <w:p w:rsidR="00171B1C" w:rsidRPr="00AF0D58" w:rsidRDefault="00171B1C" w:rsidP="00F57CFF">
            <w:pPr>
              <w:spacing w:after="0"/>
              <w:ind w:firstLine="0"/>
              <w:jc w:val="right"/>
              <w:rPr>
                <w:rFonts w:ascii="Arial Narrow" w:hAnsi="Arial Narrow" w:cs="Arial"/>
                <w:lang w:val="es-ES" w:eastAsia="es-ES"/>
              </w:rPr>
            </w:pPr>
            <w:r w:rsidRPr="00AF0D58">
              <w:rPr>
                <w:rFonts w:ascii="Arial Narrow" w:hAnsi="Arial Narrow" w:cs="Arial"/>
                <w:lang w:val="es-ES" w:eastAsia="es-ES"/>
              </w:rPr>
              <w:t>1.280</w:t>
            </w:r>
          </w:p>
        </w:tc>
        <w:tc>
          <w:tcPr>
            <w:tcW w:w="1216" w:type="dxa"/>
            <w:vAlign w:val="center"/>
          </w:tcPr>
          <w:p w:rsidR="00171B1C" w:rsidRPr="00AF0D58" w:rsidRDefault="00171B1C" w:rsidP="00F57CFF">
            <w:pPr>
              <w:spacing w:after="0"/>
              <w:ind w:firstLine="0"/>
              <w:jc w:val="right"/>
              <w:rPr>
                <w:rFonts w:ascii="Arial Narrow" w:hAnsi="Arial Narrow" w:cs="Arial"/>
                <w:lang w:val="es-ES" w:eastAsia="es-ES"/>
              </w:rPr>
            </w:pPr>
            <w:r w:rsidRPr="00AF0D58">
              <w:rPr>
                <w:rFonts w:ascii="Arial Narrow" w:hAnsi="Arial Narrow" w:cs="Arial"/>
                <w:lang w:val="es-ES" w:eastAsia="es-ES"/>
              </w:rPr>
              <w:t>1.309</w:t>
            </w:r>
          </w:p>
        </w:tc>
        <w:tc>
          <w:tcPr>
            <w:tcW w:w="1216" w:type="dxa"/>
            <w:vAlign w:val="center"/>
          </w:tcPr>
          <w:p w:rsidR="00171B1C" w:rsidRPr="00AF0D58" w:rsidRDefault="00171B1C" w:rsidP="00F57CFF">
            <w:pPr>
              <w:spacing w:after="0"/>
              <w:ind w:firstLine="0"/>
              <w:jc w:val="right"/>
              <w:rPr>
                <w:rFonts w:ascii="Arial Narrow" w:hAnsi="Arial Narrow" w:cs="Arial"/>
                <w:lang w:val="es-ES" w:eastAsia="es-ES"/>
              </w:rPr>
            </w:pPr>
            <w:r w:rsidRPr="00AF0D58">
              <w:rPr>
                <w:rFonts w:ascii="Arial Narrow" w:hAnsi="Arial Narrow" w:cs="Arial"/>
                <w:lang w:val="es-ES" w:eastAsia="es-ES"/>
              </w:rPr>
              <w:t>1.421</w:t>
            </w:r>
          </w:p>
        </w:tc>
        <w:tc>
          <w:tcPr>
            <w:tcW w:w="1216" w:type="dxa"/>
            <w:vAlign w:val="center"/>
          </w:tcPr>
          <w:p w:rsidR="00171B1C" w:rsidRPr="00AF0D58" w:rsidRDefault="00171B1C" w:rsidP="00F57CFF">
            <w:pPr>
              <w:spacing w:after="0"/>
              <w:ind w:firstLine="0"/>
              <w:jc w:val="right"/>
              <w:rPr>
                <w:rFonts w:ascii="Arial Narrow" w:hAnsi="Arial Narrow" w:cs="Arial"/>
                <w:lang w:val="es-ES" w:eastAsia="es-ES"/>
              </w:rPr>
            </w:pPr>
            <w:r w:rsidRPr="00AF0D58">
              <w:rPr>
                <w:rFonts w:ascii="Arial Narrow" w:hAnsi="Arial Narrow" w:cs="Arial"/>
                <w:lang w:val="es-ES" w:eastAsia="es-ES"/>
              </w:rPr>
              <w:t>1.423</w:t>
            </w:r>
          </w:p>
        </w:tc>
        <w:tc>
          <w:tcPr>
            <w:tcW w:w="1216" w:type="dxa"/>
            <w:shd w:val="clear" w:color="auto" w:fill="auto"/>
            <w:noWrap/>
            <w:vAlign w:val="center"/>
          </w:tcPr>
          <w:p w:rsidR="00171B1C" w:rsidRPr="00AF0D58" w:rsidRDefault="00171B1C" w:rsidP="00F57CFF">
            <w:pPr>
              <w:spacing w:after="0"/>
              <w:ind w:firstLine="0"/>
              <w:jc w:val="right"/>
              <w:rPr>
                <w:rFonts w:ascii="Arial Narrow" w:hAnsi="Arial Narrow" w:cs="Arial"/>
                <w:lang w:val="es-ES" w:eastAsia="es-ES"/>
              </w:rPr>
            </w:pPr>
            <w:r>
              <w:rPr>
                <w:rFonts w:ascii="Arial Narrow" w:hAnsi="Arial Narrow" w:cs="Arial"/>
                <w:lang w:val="es-ES" w:eastAsia="es-ES"/>
              </w:rPr>
              <w:t>1.428</w:t>
            </w:r>
          </w:p>
        </w:tc>
        <w:tc>
          <w:tcPr>
            <w:tcW w:w="1003" w:type="dxa"/>
            <w:shd w:val="clear" w:color="auto" w:fill="auto"/>
            <w:noWrap/>
            <w:vAlign w:val="center"/>
          </w:tcPr>
          <w:p w:rsidR="00171B1C" w:rsidRPr="00AF0D58" w:rsidRDefault="00171B1C" w:rsidP="00F57CFF">
            <w:pPr>
              <w:spacing w:after="0"/>
              <w:ind w:firstLine="0"/>
              <w:jc w:val="right"/>
              <w:rPr>
                <w:rFonts w:ascii="Arial Narrow" w:hAnsi="Arial Narrow" w:cs="Arial"/>
                <w:lang w:val="es-ES" w:eastAsia="es-ES"/>
              </w:rPr>
            </w:pPr>
            <w:r>
              <w:rPr>
                <w:rFonts w:ascii="Arial Narrow" w:hAnsi="Arial Narrow" w:cs="Arial"/>
                <w:lang w:val="es-ES" w:eastAsia="es-ES"/>
              </w:rPr>
              <w:t>1.468</w:t>
            </w:r>
          </w:p>
        </w:tc>
      </w:tr>
      <w:tr w:rsidR="00171B1C" w:rsidRPr="00AF0D58" w:rsidTr="00081FE3">
        <w:trPr>
          <w:trHeight w:val="284"/>
          <w:jc w:val="center"/>
        </w:trPr>
        <w:tc>
          <w:tcPr>
            <w:tcW w:w="2092" w:type="dxa"/>
            <w:shd w:val="clear" w:color="auto" w:fill="auto"/>
            <w:noWrap/>
            <w:vAlign w:val="center"/>
          </w:tcPr>
          <w:p w:rsidR="00171B1C" w:rsidRPr="00AF0D58" w:rsidRDefault="00171B1C" w:rsidP="00F57CFF">
            <w:pPr>
              <w:pStyle w:val="cuatexto"/>
              <w:ind w:right="-6"/>
              <w:jc w:val="left"/>
              <w:rPr>
                <w:rFonts w:cs="Arial"/>
                <w:szCs w:val="20"/>
                <w:lang w:val="es-ES" w:eastAsia="es-ES"/>
              </w:rPr>
            </w:pPr>
            <w:r w:rsidRPr="00AF0D58">
              <w:rPr>
                <w:rFonts w:cs="Arial"/>
                <w:szCs w:val="20"/>
                <w:lang w:val="es-ES" w:eastAsia="es-ES"/>
              </w:rPr>
              <w:t>Impuestos Indirectos</w:t>
            </w:r>
          </w:p>
        </w:tc>
        <w:tc>
          <w:tcPr>
            <w:tcW w:w="937" w:type="dxa"/>
            <w:vAlign w:val="center"/>
          </w:tcPr>
          <w:p w:rsidR="00171B1C" w:rsidRPr="00AF0D58" w:rsidRDefault="00171B1C" w:rsidP="00F57CFF">
            <w:pPr>
              <w:spacing w:after="0"/>
              <w:ind w:firstLine="0"/>
              <w:jc w:val="right"/>
              <w:rPr>
                <w:rFonts w:ascii="Arial Narrow" w:hAnsi="Arial Narrow" w:cs="Arial"/>
                <w:lang w:val="es-ES" w:eastAsia="es-ES"/>
              </w:rPr>
            </w:pPr>
            <w:r w:rsidRPr="00AF0D58">
              <w:rPr>
                <w:rFonts w:ascii="Arial Narrow" w:hAnsi="Arial Narrow" w:cs="Arial"/>
                <w:lang w:val="es-ES" w:eastAsia="es-ES"/>
              </w:rPr>
              <w:t>1.655</w:t>
            </w:r>
          </w:p>
        </w:tc>
        <w:tc>
          <w:tcPr>
            <w:tcW w:w="1216" w:type="dxa"/>
            <w:vAlign w:val="center"/>
          </w:tcPr>
          <w:p w:rsidR="00171B1C" w:rsidRPr="00AF0D58" w:rsidRDefault="00171B1C" w:rsidP="00F57CFF">
            <w:pPr>
              <w:spacing w:after="0"/>
              <w:ind w:firstLine="0"/>
              <w:jc w:val="right"/>
              <w:rPr>
                <w:rFonts w:ascii="Arial Narrow" w:hAnsi="Arial Narrow" w:cs="Arial"/>
                <w:lang w:val="es-ES" w:eastAsia="es-ES"/>
              </w:rPr>
            </w:pPr>
            <w:r w:rsidRPr="00AF0D58">
              <w:rPr>
                <w:rFonts w:ascii="Arial Narrow" w:hAnsi="Arial Narrow" w:cs="Arial"/>
                <w:lang w:val="es-ES" w:eastAsia="es-ES"/>
              </w:rPr>
              <w:t>1.645</w:t>
            </w:r>
          </w:p>
        </w:tc>
        <w:tc>
          <w:tcPr>
            <w:tcW w:w="1216" w:type="dxa"/>
            <w:vAlign w:val="center"/>
          </w:tcPr>
          <w:p w:rsidR="00171B1C" w:rsidRPr="00AF0D58" w:rsidRDefault="00171B1C" w:rsidP="00F57CFF">
            <w:pPr>
              <w:spacing w:after="0"/>
              <w:ind w:firstLine="0"/>
              <w:jc w:val="right"/>
              <w:rPr>
                <w:rFonts w:ascii="Arial Narrow" w:hAnsi="Arial Narrow" w:cs="Arial"/>
                <w:lang w:val="es-ES" w:eastAsia="es-ES"/>
              </w:rPr>
            </w:pPr>
            <w:r w:rsidRPr="00AF0D58">
              <w:rPr>
                <w:rFonts w:ascii="Arial Narrow" w:hAnsi="Arial Narrow" w:cs="Arial"/>
                <w:lang w:val="es-ES" w:eastAsia="es-ES"/>
              </w:rPr>
              <w:t>1.515</w:t>
            </w:r>
          </w:p>
        </w:tc>
        <w:tc>
          <w:tcPr>
            <w:tcW w:w="1216" w:type="dxa"/>
            <w:vAlign w:val="center"/>
          </w:tcPr>
          <w:p w:rsidR="00171B1C" w:rsidRPr="00AF0D58" w:rsidRDefault="00171B1C" w:rsidP="00F57CFF">
            <w:pPr>
              <w:spacing w:after="0"/>
              <w:ind w:firstLine="0"/>
              <w:jc w:val="right"/>
              <w:rPr>
                <w:rFonts w:ascii="Arial Narrow" w:hAnsi="Arial Narrow" w:cs="Arial"/>
                <w:lang w:val="es-ES" w:eastAsia="es-ES"/>
              </w:rPr>
            </w:pPr>
            <w:r w:rsidRPr="00AF0D58">
              <w:rPr>
                <w:rFonts w:ascii="Arial Narrow" w:hAnsi="Arial Narrow" w:cs="Arial"/>
                <w:lang w:val="es-ES" w:eastAsia="es-ES"/>
              </w:rPr>
              <w:t>1.522</w:t>
            </w:r>
          </w:p>
        </w:tc>
        <w:tc>
          <w:tcPr>
            <w:tcW w:w="1216" w:type="dxa"/>
            <w:shd w:val="clear" w:color="auto" w:fill="auto"/>
            <w:noWrap/>
            <w:vAlign w:val="center"/>
          </w:tcPr>
          <w:p w:rsidR="00171B1C" w:rsidRPr="00AF0D58" w:rsidRDefault="00171B1C" w:rsidP="00F57CFF">
            <w:pPr>
              <w:spacing w:after="0"/>
              <w:ind w:firstLine="0"/>
              <w:jc w:val="right"/>
              <w:rPr>
                <w:rFonts w:ascii="Arial Narrow" w:hAnsi="Arial Narrow" w:cs="Arial"/>
                <w:lang w:val="es-ES" w:eastAsia="es-ES"/>
              </w:rPr>
            </w:pPr>
            <w:r>
              <w:rPr>
                <w:rFonts w:ascii="Arial Narrow" w:hAnsi="Arial Narrow" w:cs="Arial"/>
                <w:lang w:val="es-ES" w:eastAsia="es-ES"/>
              </w:rPr>
              <w:t>1.586</w:t>
            </w:r>
          </w:p>
        </w:tc>
        <w:tc>
          <w:tcPr>
            <w:tcW w:w="1003" w:type="dxa"/>
            <w:shd w:val="clear" w:color="auto" w:fill="auto"/>
            <w:noWrap/>
            <w:vAlign w:val="center"/>
          </w:tcPr>
          <w:p w:rsidR="00171B1C" w:rsidRPr="00AF0D58" w:rsidRDefault="00171B1C" w:rsidP="00F57CFF">
            <w:pPr>
              <w:spacing w:after="0"/>
              <w:ind w:firstLine="0"/>
              <w:jc w:val="right"/>
              <w:rPr>
                <w:rFonts w:ascii="Arial Narrow" w:hAnsi="Arial Narrow" w:cs="Arial"/>
                <w:lang w:val="es-ES" w:eastAsia="es-ES"/>
              </w:rPr>
            </w:pPr>
            <w:r>
              <w:rPr>
                <w:rFonts w:ascii="Arial Narrow" w:hAnsi="Arial Narrow" w:cs="Arial"/>
                <w:lang w:val="es-ES" w:eastAsia="es-ES"/>
              </w:rPr>
              <w:t>1.641</w:t>
            </w:r>
          </w:p>
        </w:tc>
      </w:tr>
    </w:tbl>
    <w:p w:rsidR="00171B1C" w:rsidRPr="00AE3D8F" w:rsidRDefault="00171B1C" w:rsidP="00F739C5">
      <w:pPr>
        <w:pStyle w:val="texto"/>
        <w:spacing w:before="240"/>
        <w:rPr>
          <w:lang w:val="es-ES"/>
        </w:rPr>
      </w:pPr>
      <w:r w:rsidRPr="00AE3D8F">
        <w:rPr>
          <w:lang w:val="es-ES"/>
        </w:rPr>
        <w:t xml:space="preserve">En definitiva, los impuestos directos han aumentado en torno a 188 millones, manteniendo un ligero y constante aumento a lo largo del periodo analizado. Los impuestos indirectos, en cambio, se mantiene estables con cierta tendencia a su reducción. </w:t>
      </w:r>
    </w:p>
    <w:p w:rsidR="000103C1" w:rsidRDefault="00081261" w:rsidP="00465B76">
      <w:pPr>
        <w:pStyle w:val="texto"/>
        <w:numPr>
          <w:ilvl w:val="0"/>
          <w:numId w:val="2"/>
        </w:numPr>
        <w:tabs>
          <w:tab w:val="clear" w:pos="1948"/>
          <w:tab w:val="clear" w:pos="2835"/>
          <w:tab w:val="clear" w:pos="3969"/>
          <w:tab w:val="clear" w:pos="5103"/>
          <w:tab w:val="clear" w:pos="6237"/>
          <w:tab w:val="clear" w:pos="7371"/>
          <w:tab w:val="num" w:pos="300"/>
          <w:tab w:val="left" w:pos="490"/>
          <w:tab w:val="num" w:pos="4920"/>
        </w:tabs>
        <w:spacing w:after="0"/>
        <w:ind w:left="0" w:firstLine="289"/>
        <w:rPr>
          <w:spacing w:val="2"/>
        </w:rPr>
      </w:pPr>
      <w:r w:rsidRPr="000103C1">
        <w:t>La cuenta general del ejercicio no presenta información sobre la ejecución de los beneficios fiscales.</w:t>
      </w:r>
      <w:r w:rsidR="000103C1" w:rsidRPr="000103C1">
        <w:t xml:space="preserve"> No obstante, en la página web de la Hacienda Tributaria de Navarra se presenta el presupuesto de beneficios fiscales de 2015 y </w:t>
      </w:r>
      <w:r w:rsidR="00685C1D">
        <w:t xml:space="preserve">su estimación </w:t>
      </w:r>
      <w:r w:rsidR="000103C1" w:rsidRPr="000103C1">
        <w:t xml:space="preserve">al cierre de dicho ejercicio. </w:t>
      </w:r>
      <w:r w:rsidR="000103C1" w:rsidRPr="00934343">
        <w:rPr>
          <w:spacing w:val="2"/>
        </w:rPr>
        <w:t>Así, a efectos informativos, en el cuadro siguiente, se muestr</w:t>
      </w:r>
      <w:r w:rsidR="00F739C5">
        <w:rPr>
          <w:spacing w:val="2"/>
        </w:rPr>
        <w:t>a tal información por impuestos</w:t>
      </w:r>
      <w:r w:rsidR="000103C1" w:rsidRPr="00934343">
        <w:rPr>
          <w:spacing w:val="2"/>
        </w:rPr>
        <w:t>:</w:t>
      </w:r>
    </w:p>
    <w:p w:rsidR="00F739C5" w:rsidRPr="00846EDC" w:rsidRDefault="00465B76" w:rsidP="00F739C5">
      <w:pPr>
        <w:pStyle w:val="recomen"/>
        <w:numPr>
          <w:ilvl w:val="0"/>
          <w:numId w:val="0"/>
        </w:numPr>
        <w:spacing w:after="40"/>
        <w:ind w:left="1588"/>
        <w:jc w:val="right"/>
        <w:rPr>
          <w:rFonts w:ascii="Arial Narrow" w:hAnsi="Arial Narrow"/>
          <w:i w:val="0"/>
          <w:sz w:val="18"/>
          <w:szCs w:val="18"/>
        </w:rPr>
      </w:pPr>
      <w:r w:rsidRPr="00846EDC">
        <w:rPr>
          <w:rFonts w:ascii="Arial Narrow" w:hAnsi="Arial Narrow"/>
          <w:i w:val="0"/>
          <w:sz w:val="18"/>
          <w:szCs w:val="18"/>
        </w:rPr>
        <w:t>Miles</w:t>
      </w:r>
      <w:r w:rsidR="00F739C5" w:rsidRPr="00846EDC">
        <w:rPr>
          <w:rFonts w:ascii="Arial Narrow" w:hAnsi="Arial Narrow"/>
          <w:i w:val="0"/>
          <w:sz w:val="18"/>
          <w:szCs w:val="18"/>
        </w:rPr>
        <w:t xml:space="preserve"> de euros</w:t>
      </w:r>
    </w:p>
    <w:tbl>
      <w:tblPr>
        <w:tblW w:w="8759" w:type="dxa"/>
        <w:jc w:val="center"/>
        <w:tblCellMar>
          <w:left w:w="70" w:type="dxa"/>
          <w:right w:w="70" w:type="dxa"/>
        </w:tblCellMar>
        <w:tblLook w:val="04A0" w:firstRow="1" w:lastRow="0" w:firstColumn="1" w:lastColumn="0" w:noHBand="0" w:noVBand="1"/>
      </w:tblPr>
      <w:tblGrid>
        <w:gridCol w:w="5043"/>
        <w:gridCol w:w="1784"/>
        <w:gridCol w:w="1932"/>
      </w:tblGrid>
      <w:tr w:rsidR="000103C1" w:rsidRPr="00801987" w:rsidTr="00465B76">
        <w:trPr>
          <w:trHeight w:val="255"/>
          <w:jc w:val="center"/>
        </w:trPr>
        <w:tc>
          <w:tcPr>
            <w:tcW w:w="5043" w:type="dxa"/>
            <w:vMerge w:val="restart"/>
            <w:tcBorders>
              <w:top w:val="single" w:sz="4" w:space="0" w:color="auto"/>
              <w:left w:val="nil"/>
              <w:bottom w:val="single" w:sz="4" w:space="0" w:color="auto"/>
              <w:right w:val="nil"/>
            </w:tcBorders>
            <w:shd w:val="clear" w:color="auto" w:fill="A8CBEE" w:themeFill="accent2" w:themeFillTint="66"/>
            <w:vAlign w:val="center"/>
          </w:tcPr>
          <w:p w:rsidR="000103C1" w:rsidRPr="000103C1" w:rsidRDefault="000103C1" w:rsidP="00DF3C81">
            <w:pPr>
              <w:pStyle w:val="cuadroCabe"/>
              <w:jc w:val="left"/>
              <w:rPr>
                <w:rFonts w:cs="Arial"/>
              </w:rPr>
            </w:pPr>
            <w:r w:rsidRPr="000103C1">
              <w:rPr>
                <w:rFonts w:cs="Arial"/>
              </w:rPr>
              <w:t>Impuestos</w:t>
            </w:r>
          </w:p>
        </w:tc>
        <w:tc>
          <w:tcPr>
            <w:tcW w:w="1784" w:type="dxa"/>
            <w:vMerge w:val="restart"/>
            <w:tcBorders>
              <w:top w:val="single" w:sz="4" w:space="0" w:color="auto"/>
              <w:left w:val="nil"/>
              <w:bottom w:val="single" w:sz="4" w:space="0" w:color="auto"/>
              <w:right w:val="nil"/>
            </w:tcBorders>
            <w:shd w:val="clear" w:color="auto" w:fill="A8CBEE" w:themeFill="accent2" w:themeFillTint="66"/>
            <w:vAlign w:val="center"/>
          </w:tcPr>
          <w:p w:rsidR="000103C1" w:rsidRPr="000103C1" w:rsidRDefault="000103C1" w:rsidP="00F739C5">
            <w:pPr>
              <w:pStyle w:val="cuadroCabe"/>
              <w:jc w:val="right"/>
              <w:rPr>
                <w:rFonts w:cs="Arial"/>
              </w:rPr>
            </w:pPr>
            <w:r w:rsidRPr="000103C1">
              <w:rPr>
                <w:rFonts w:cs="Arial"/>
              </w:rPr>
              <w:t>Presupuesto beneficios fiscales 2015</w:t>
            </w:r>
          </w:p>
        </w:tc>
        <w:tc>
          <w:tcPr>
            <w:tcW w:w="1932" w:type="dxa"/>
            <w:vMerge w:val="restart"/>
            <w:tcBorders>
              <w:top w:val="single" w:sz="4" w:space="0" w:color="auto"/>
              <w:left w:val="nil"/>
              <w:bottom w:val="single" w:sz="4" w:space="0" w:color="auto"/>
              <w:right w:val="nil"/>
            </w:tcBorders>
            <w:shd w:val="clear" w:color="auto" w:fill="A8CBEE" w:themeFill="accent2" w:themeFillTint="66"/>
            <w:vAlign w:val="center"/>
          </w:tcPr>
          <w:p w:rsidR="000103C1" w:rsidRPr="000103C1" w:rsidRDefault="000103C1" w:rsidP="00F739C5">
            <w:pPr>
              <w:pStyle w:val="cuadroCabe"/>
              <w:jc w:val="right"/>
              <w:rPr>
                <w:rFonts w:cs="Arial"/>
              </w:rPr>
            </w:pPr>
            <w:r w:rsidRPr="000103C1">
              <w:rPr>
                <w:rFonts w:cs="Arial"/>
              </w:rPr>
              <w:t>Estimación cierre 2015</w:t>
            </w:r>
          </w:p>
        </w:tc>
      </w:tr>
      <w:tr w:rsidR="000103C1" w:rsidRPr="00801987" w:rsidTr="00465B76">
        <w:trPr>
          <w:trHeight w:val="255"/>
          <w:jc w:val="center"/>
        </w:trPr>
        <w:tc>
          <w:tcPr>
            <w:tcW w:w="5043" w:type="dxa"/>
            <w:vMerge/>
            <w:tcBorders>
              <w:left w:val="nil"/>
              <w:bottom w:val="single" w:sz="4" w:space="0" w:color="auto"/>
              <w:right w:val="nil"/>
            </w:tcBorders>
            <w:shd w:val="clear" w:color="auto" w:fill="A8CBEE" w:themeFill="accent2" w:themeFillTint="66"/>
            <w:vAlign w:val="center"/>
            <w:hideMark/>
          </w:tcPr>
          <w:p w:rsidR="000103C1" w:rsidRPr="00801987" w:rsidRDefault="000103C1" w:rsidP="00DF3C81">
            <w:pPr>
              <w:pStyle w:val="cuadroCabe"/>
              <w:jc w:val="left"/>
              <w:rPr>
                <w:rFonts w:cs="Arial"/>
                <w:sz w:val="16"/>
                <w:szCs w:val="16"/>
              </w:rPr>
            </w:pPr>
          </w:p>
        </w:tc>
        <w:tc>
          <w:tcPr>
            <w:tcW w:w="1784" w:type="dxa"/>
            <w:vMerge/>
            <w:tcBorders>
              <w:left w:val="nil"/>
              <w:bottom w:val="single" w:sz="4" w:space="0" w:color="auto"/>
              <w:right w:val="nil"/>
            </w:tcBorders>
            <w:shd w:val="clear" w:color="auto" w:fill="A8CBEE" w:themeFill="accent2" w:themeFillTint="66"/>
            <w:vAlign w:val="center"/>
            <w:hideMark/>
          </w:tcPr>
          <w:p w:rsidR="000103C1" w:rsidRPr="00801987" w:rsidRDefault="000103C1" w:rsidP="00DF3C81">
            <w:pPr>
              <w:pStyle w:val="cuadroCabe"/>
              <w:jc w:val="right"/>
              <w:rPr>
                <w:rFonts w:cs="Arial"/>
                <w:sz w:val="16"/>
                <w:szCs w:val="16"/>
              </w:rPr>
            </w:pPr>
          </w:p>
        </w:tc>
        <w:tc>
          <w:tcPr>
            <w:tcW w:w="1932" w:type="dxa"/>
            <w:vMerge/>
            <w:tcBorders>
              <w:left w:val="nil"/>
              <w:bottom w:val="single" w:sz="4" w:space="0" w:color="auto"/>
              <w:right w:val="nil"/>
            </w:tcBorders>
            <w:shd w:val="clear" w:color="auto" w:fill="A8CBEE" w:themeFill="accent2" w:themeFillTint="66"/>
            <w:vAlign w:val="center"/>
            <w:hideMark/>
          </w:tcPr>
          <w:p w:rsidR="000103C1" w:rsidRPr="00801987" w:rsidRDefault="000103C1" w:rsidP="00DF3C81">
            <w:pPr>
              <w:pStyle w:val="cuadroCabe"/>
              <w:jc w:val="right"/>
              <w:rPr>
                <w:rFonts w:cs="Arial"/>
                <w:sz w:val="16"/>
                <w:szCs w:val="16"/>
              </w:rPr>
            </w:pPr>
          </w:p>
        </w:tc>
      </w:tr>
      <w:tr w:rsidR="000103C1" w:rsidRPr="00FA3B66" w:rsidTr="00465B76">
        <w:trPr>
          <w:trHeight w:val="284"/>
          <w:jc w:val="center"/>
        </w:trPr>
        <w:tc>
          <w:tcPr>
            <w:tcW w:w="5043" w:type="dxa"/>
            <w:tcBorders>
              <w:top w:val="single" w:sz="4" w:space="0" w:color="auto"/>
              <w:left w:val="nil"/>
              <w:bottom w:val="single" w:sz="2" w:space="0" w:color="auto"/>
              <w:right w:val="nil"/>
            </w:tcBorders>
            <w:noWrap/>
            <w:vAlign w:val="center"/>
            <w:hideMark/>
          </w:tcPr>
          <w:p w:rsidR="000103C1" w:rsidRPr="000103C1" w:rsidRDefault="000103C1" w:rsidP="00DF3C81">
            <w:pPr>
              <w:pStyle w:val="cuatexto"/>
              <w:jc w:val="left"/>
              <w:rPr>
                <w:szCs w:val="20"/>
              </w:rPr>
            </w:pPr>
            <w:r w:rsidRPr="000103C1">
              <w:rPr>
                <w:szCs w:val="20"/>
              </w:rPr>
              <w:t>IRPF</w:t>
            </w:r>
          </w:p>
        </w:tc>
        <w:tc>
          <w:tcPr>
            <w:tcW w:w="1784" w:type="dxa"/>
            <w:tcBorders>
              <w:top w:val="single" w:sz="4" w:space="0" w:color="auto"/>
              <w:left w:val="nil"/>
              <w:bottom w:val="single" w:sz="2" w:space="0" w:color="auto"/>
              <w:right w:val="nil"/>
            </w:tcBorders>
            <w:vAlign w:val="center"/>
          </w:tcPr>
          <w:p w:rsidR="000103C1" w:rsidRPr="000103C1" w:rsidRDefault="000103C1" w:rsidP="00DF3C81">
            <w:pPr>
              <w:pStyle w:val="cuatexto"/>
              <w:jc w:val="right"/>
              <w:rPr>
                <w:szCs w:val="20"/>
              </w:rPr>
            </w:pPr>
            <w:r w:rsidRPr="000103C1">
              <w:rPr>
                <w:szCs w:val="20"/>
              </w:rPr>
              <w:t>405</w:t>
            </w:r>
          </w:p>
        </w:tc>
        <w:tc>
          <w:tcPr>
            <w:tcW w:w="1932" w:type="dxa"/>
            <w:tcBorders>
              <w:top w:val="single" w:sz="4" w:space="0" w:color="auto"/>
              <w:left w:val="nil"/>
              <w:bottom w:val="single" w:sz="2" w:space="0" w:color="auto"/>
              <w:right w:val="nil"/>
            </w:tcBorders>
            <w:vAlign w:val="center"/>
          </w:tcPr>
          <w:p w:rsidR="000103C1" w:rsidRPr="000103C1" w:rsidRDefault="000103C1" w:rsidP="00DF3C81">
            <w:pPr>
              <w:pStyle w:val="cuatexto"/>
              <w:jc w:val="right"/>
              <w:rPr>
                <w:szCs w:val="20"/>
              </w:rPr>
            </w:pPr>
            <w:r w:rsidRPr="000103C1">
              <w:rPr>
                <w:szCs w:val="20"/>
              </w:rPr>
              <w:t>399</w:t>
            </w:r>
          </w:p>
        </w:tc>
      </w:tr>
      <w:tr w:rsidR="000103C1" w:rsidRPr="00FA3B66" w:rsidTr="00465B76">
        <w:trPr>
          <w:trHeight w:val="284"/>
          <w:jc w:val="center"/>
        </w:trPr>
        <w:tc>
          <w:tcPr>
            <w:tcW w:w="5043" w:type="dxa"/>
            <w:tcBorders>
              <w:top w:val="single" w:sz="2" w:space="0" w:color="auto"/>
              <w:left w:val="nil"/>
              <w:bottom w:val="single" w:sz="2" w:space="0" w:color="auto"/>
              <w:right w:val="nil"/>
            </w:tcBorders>
            <w:noWrap/>
            <w:vAlign w:val="center"/>
            <w:hideMark/>
          </w:tcPr>
          <w:p w:rsidR="000103C1" w:rsidRPr="000103C1" w:rsidRDefault="000103C1" w:rsidP="00DF3C81">
            <w:pPr>
              <w:pStyle w:val="cuatexto"/>
              <w:jc w:val="left"/>
              <w:rPr>
                <w:szCs w:val="20"/>
              </w:rPr>
            </w:pPr>
            <w:r w:rsidRPr="000103C1">
              <w:rPr>
                <w:szCs w:val="20"/>
              </w:rPr>
              <w:t>Sociedades</w:t>
            </w:r>
          </w:p>
        </w:tc>
        <w:tc>
          <w:tcPr>
            <w:tcW w:w="1784" w:type="dxa"/>
            <w:tcBorders>
              <w:top w:val="single" w:sz="2" w:space="0" w:color="auto"/>
              <w:left w:val="nil"/>
              <w:bottom w:val="single" w:sz="2" w:space="0" w:color="auto"/>
              <w:right w:val="nil"/>
            </w:tcBorders>
            <w:vAlign w:val="center"/>
          </w:tcPr>
          <w:p w:rsidR="000103C1" w:rsidRPr="000103C1" w:rsidRDefault="000103C1" w:rsidP="00DF3C81">
            <w:pPr>
              <w:pStyle w:val="cuatexto"/>
              <w:jc w:val="right"/>
              <w:rPr>
                <w:szCs w:val="20"/>
              </w:rPr>
            </w:pPr>
            <w:r w:rsidRPr="000103C1">
              <w:rPr>
                <w:szCs w:val="20"/>
              </w:rPr>
              <w:t>88</w:t>
            </w:r>
          </w:p>
        </w:tc>
        <w:tc>
          <w:tcPr>
            <w:tcW w:w="1932" w:type="dxa"/>
            <w:tcBorders>
              <w:top w:val="single" w:sz="2" w:space="0" w:color="auto"/>
              <w:left w:val="nil"/>
              <w:bottom w:val="single" w:sz="2" w:space="0" w:color="auto"/>
              <w:right w:val="nil"/>
            </w:tcBorders>
            <w:vAlign w:val="center"/>
          </w:tcPr>
          <w:p w:rsidR="000103C1" w:rsidRPr="000103C1" w:rsidRDefault="000103C1" w:rsidP="00DF3C81">
            <w:pPr>
              <w:pStyle w:val="cuatexto"/>
              <w:jc w:val="right"/>
              <w:rPr>
                <w:szCs w:val="20"/>
              </w:rPr>
            </w:pPr>
            <w:r w:rsidRPr="000103C1">
              <w:rPr>
                <w:szCs w:val="20"/>
              </w:rPr>
              <w:t>110</w:t>
            </w:r>
          </w:p>
        </w:tc>
      </w:tr>
      <w:tr w:rsidR="000103C1" w:rsidRPr="00FA3B66" w:rsidTr="00465B76">
        <w:trPr>
          <w:trHeight w:val="284"/>
          <w:jc w:val="center"/>
        </w:trPr>
        <w:tc>
          <w:tcPr>
            <w:tcW w:w="5043" w:type="dxa"/>
            <w:tcBorders>
              <w:top w:val="single" w:sz="2" w:space="0" w:color="auto"/>
              <w:left w:val="nil"/>
              <w:bottom w:val="single" w:sz="2" w:space="0" w:color="auto"/>
              <w:right w:val="nil"/>
            </w:tcBorders>
            <w:noWrap/>
            <w:vAlign w:val="center"/>
            <w:hideMark/>
          </w:tcPr>
          <w:p w:rsidR="000103C1" w:rsidRPr="000103C1" w:rsidRDefault="000103C1" w:rsidP="00DF3C81">
            <w:pPr>
              <w:pStyle w:val="cuatexto"/>
              <w:jc w:val="left"/>
              <w:rPr>
                <w:szCs w:val="20"/>
              </w:rPr>
            </w:pPr>
            <w:r w:rsidRPr="000103C1">
              <w:rPr>
                <w:szCs w:val="20"/>
              </w:rPr>
              <w:t>Renta de no residentes</w:t>
            </w:r>
          </w:p>
        </w:tc>
        <w:tc>
          <w:tcPr>
            <w:tcW w:w="1784" w:type="dxa"/>
            <w:tcBorders>
              <w:top w:val="single" w:sz="2" w:space="0" w:color="auto"/>
              <w:left w:val="nil"/>
              <w:bottom w:val="single" w:sz="2" w:space="0" w:color="auto"/>
              <w:right w:val="nil"/>
            </w:tcBorders>
            <w:vAlign w:val="center"/>
          </w:tcPr>
          <w:p w:rsidR="000103C1" w:rsidRPr="000103C1" w:rsidRDefault="000103C1" w:rsidP="00DF3C81">
            <w:pPr>
              <w:pStyle w:val="cuatexto"/>
              <w:jc w:val="right"/>
              <w:rPr>
                <w:szCs w:val="20"/>
              </w:rPr>
            </w:pPr>
            <w:r w:rsidRPr="000103C1">
              <w:rPr>
                <w:szCs w:val="20"/>
              </w:rPr>
              <w:t>5</w:t>
            </w:r>
          </w:p>
        </w:tc>
        <w:tc>
          <w:tcPr>
            <w:tcW w:w="1932" w:type="dxa"/>
            <w:tcBorders>
              <w:top w:val="single" w:sz="2" w:space="0" w:color="auto"/>
              <w:left w:val="nil"/>
              <w:bottom w:val="single" w:sz="2" w:space="0" w:color="auto"/>
              <w:right w:val="nil"/>
            </w:tcBorders>
            <w:vAlign w:val="center"/>
          </w:tcPr>
          <w:p w:rsidR="000103C1" w:rsidRPr="000103C1" w:rsidRDefault="000103C1" w:rsidP="00DF3C81">
            <w:pPr>
              <w:pStyle w:val="cuatexto"/>
              <w:jc w:val="right"/>
              <w:rPr>
                <w:szCs w:val="20"/>
              </w:rPr>
            </w:pPr>
            <w:r w:rsidRPr="000103C1">
              <w:rPr>
                <w:szCs w:val="20"/>
              </w:rPr>
              <w:t>5</w:t>
            </w:r>
          </w:p>
        </w:tc>
      </w:tr>
      <w:tr w:rsidR="000103C1" w:rsidRPr="00FA3B66" w:rsidTr="00465B76">
        <w:trPr>
          <w:trHeight w:val="284"/>
          <w:jc w:val="center"/>
        </w:trPr>
        <w:tc>
          <w:tcPr>
            <w:tcW w:w="5043" w:type="dxa"/>
            <w:tcBorders>
              <w:top w:val="single" w:sz="2" w:space="0" w:color="auto"/>
              <w:left w:val="nil"/>
              <w:bottom w:val="single" w:sz="2" w:space="0" w:color="auto"/>
              <w:right w:val="nil"/>
            </w:tcBorders>
            <w:noWrap/>
            <w:vAlign w:val="center"/>
            <w:hideMark/>
          </w:tcPr>
          <w:p w:rsidR="000103C1" w:rsidRPr="000103C1" w:rsidRDefault="000103C1" w:rsidP="00DF3C81">
            <w:pPr>
              <w:pStyle w:val="cuatexto"/>
              <w:jc w:val="left"/>
              <w:rPr>
                <w:szCs w:val="20"/>
              </w:rPr>
            </w:pPr>
            <w:r w:rsidRPr="000103C1">
              <w:rPr>
                <w:szCs w:val="20"/>
              </w:rPr>
              <w:t>Patrimonio</w:t>
            </w:r>
          </w:p>
        </w:tc>
        <w:tc>
          <w:tcPr>
            <w:tcW w:w="1784" w:type="dxa"/>
            <w:tcBorders>
              <w:top w:val="single" w:sz="2" w:space="0" w:color="auto"/>
              <w:left w:val="nil"/>
              <w:bottom w:val="single" w:sz="2" w:space="0" w:color="auto"/>
              <w:right w:val="nil"/>
            </w:tcBorders>
            <w:vAlign w:val="center"/>
          </w:tcPr>
          <w:p w:rsidR="000103C1" w:rsidRPr="000103C1" w:rsidRDefault="000103C1" w:rsidP="00DF3C81">
            <w:pPr>
              <w:pStyle w:val="cuatexto"/>
              <w:jc w:val="right"/>
              <w:rPr>
                <w:szCs w:val="20"/>
              </w:rPr>
            </w:pPr>
            <w:r w:rsidRPr="000103C1">
              <w:rPr>
                <w:szCs w:val="20"/>
              </w:rPr>
              <w:t>48</w:t>
            </w:r>
          </w:p>
        </w:tc>
        <w:tc>
          <w:tcPr>
            <w:tcW w:w="1932" w:type="dxa"/>
            <w:tcBorders>
              <w:top w:val="single" w:sz="2" w:space="0" w:color="auto"/>
              <w:left w:val="nil"/>
              <w:bottom w:val="single" w:sz="2" w:space="0" w:color="auto"/>
              <w:right w:val="nil"/>
            </w:tcBorders>
            <w:vAlign w:val="center"/>
          </w:tcPr>
          <w:p w:rsidR="000103C1" w:rsidRPr="000103C1" w:rsidRDefault="000103C1" w:rsidP="00DF3C81">
            <w:pPr>
              <w:pStyle w:val="cuatexto"/>
              <w:jc w:val="right"/>
              <w:rPr>
                <w:szCs w:val="20"/>
              </w:rPr>
            </w:pPr>
            <w:r w:rsidRPr="000103C1">
              <w:rPr>
                <w:szCs w:val="20"/>
              </w:rPr>
              <w:t>43</w:t>
            </w:r>
          </w:p>
        </w:tc>
      </w:tr>
      <w:tr w:rsidR="000103C1" w:rsidRPr="00FA3B66" w:rsidTr="00465B76">
        <w:trPr>
          <w:trHeight w:val="284"/>
          <w:jc w:val="center"/>
        </w:trPr>
        <w:tc>
          <w:tcPr>
            <w:tcW w:w="5043" w:type="dxa"/>
            <w:tcBorders>
              <w:top w:val="single" w:sz="2" w:space="0" w:color="auto"/>
              <w:left w:val="nil"/>
              <w:bottom w:val="single" w:sz="2" w:space="0" w:color="auto"/>
              <w:right w:val="nil"/>
            </w:tcBorders>
            <w:noWrap/>
            <w:vAlign w:val="center"/>
            <w:hideMark/>
          </w:tcPr>
          <w:p w:rsidR="000103C1" w:rsidRPr="000103C1" w:rsidRDefault="000103C1" w:rsidP="00DF3C81">
            <w:pPr>
              <w:pStyle w:val="cuatexto"/>
              <w:jc w:val="left"/>
              <w:rPr>
                <w:szCs w:val="20"/>
              </w:rPr>
            </w:pPr>
            <w:r w:rsidRPr="000103C1">
              <w:rPr>
                <w:szCs w:val="20"/>
              </w:rPr>
              <w:t>Sucesiones y donaciones</w:t>
            </w:r>
          </w:p>
        </w:tc>
        <w:tc>
          <w:tcPr>
            <w:tcW w:w="1784" w:type="dxa"/>
            <w:tcBorders>
              <w:top w:val="single" w:sz="2" w:space="0" w:color="auto"/>
              <w:left w:val="nil"/>
              <w:bottom w:val="single" w:sz="2" w:space="0" w:color="auto"/>
              <w:right w:val="nil"/>
            </w:tcBorders>
            <w:vAlign w:val="center"/>
          </w:tcPr>
          <w:p w:rsidR="000103C1" w:rsidRPr="000103C1" w:rsidRDefault="000103C1" w:rsidP="00DF3C81">
            <w:pPr>
              <w:pStyle w:val="cuatexto"/>
              <w:jc w:val="right"/>
              <w:rPr>
                <w:szCs w:val="20"/>
              </w:rPr>
            </w:pPr>
            <w:r w:rsidRPr="000103C1">
              <w:rPr>
                <w:szCs w:val="20"/>
              </w:rPr>
              <w:t>9</w:t>
            </w:r>
          </w:p>
        </w:tc>
        <w:tc>
          <w:tcPr>
            <w:tcW w:w="1932" w:type="dxa"/>
            <w:tcBorders>
              <w:top w:val="single" w:sz="2" w:space="0" w:color="auto"/>
              <w:left w:val="nil"/>
              <w:bottom w:val="single" w:sz="2" w:space="0" w:color="auto"/>
              <w:right w:val="nil"/>
            </w:tcBorders>
            <w:vAlign w:val="center"/>
          </w:tcPr>
          <w:p w:rsidR="000103C1" w:rsidRPr="000103C1" w:rsidRDefault="000103C1" w:rsidP="00DF3C81">
            <w:pPr>
              <w:pStyle w:val="cuatexto"/>
              <w:jc w:val="right"/>
              <w:rPr>
                <w:szCs w:val="20"/>
              </w:rPr>
            </w:pPr>
            <w:r w:rsidRPr="000103C1">
              <w:rPr>
                <w:szCs w:val="20"/>
              </w:rPr>
              <w:t>10</w:t>
            </w:r>
          </w:p>
        </w:tc>
      </w:tr>
      <w:tr w:rsidR="000103C1" w:rsidRPr="00F739C5" w:rsidTr="00465B76">
        <w:trPr>
          <w:trHeight w:val="284"/>
          <w:jc w:val="center"/>
        </w:trPr>
        <w:tc>
          <w:tcPr>
            <w:tcW w:w="5043" w:type="dxa"/>
            <w:tcBorders>
              <w:top w:val="single" w:sz="4" w:space="0" w:color="auto"/>
              <w:left w:val="nil"/>
              <w:bottom w:val="single" w:sz="4" w:space="0" w:color="auto"/>
              <w:right w:val="nil"/>
            </w:tcBorders>
            <w:noWrap/>
            <w:vAlign w:val="center"/>
            <w:hideMark/>
          </w:tcPr>
          <w:p w:rsidR="000103C1" w:rsidRPr="00F739C5" w:rsidRDefault="000103C1" w:rsidP="00DF3C81">
            <w:pPr>
              <w:pStyle w:val="cuatexto"/>
              <w:jc w:val="left"/>
              <w:rPr>
                <w:b/>
                <w:szCs w:val="20"/>
              </w:rPr>
            </w:pPr>
            <w:r w:rsidRPr="00F739C5">
              <w:rPr>
                <w:b/>
                <w:szCs w:val="20"/>
              </w:rPr>
              <w:t>1. Impuestos directos</w:t>
            </w:r>
          </w:p>
        </w:tc>
        <w:tc>
          <w:tcPr>
            <w:tcW w:w="1784" w:type="dxa"/>
            <w:tcBorders>
              <w:top w:val="single" w:sz="4" w:space="0" w:color="auto"/>
              <w:left w:val="nil"/>
              <w:bottom w:val="single" w:sz="4" w:space="0" w:color="auto"/>
              <w:right w:val="nil"/>
            </w:tcBorders>
            <w:vAlign w:val="center"/>
          </w:tcPr>
          <w:p w:rsidR="000103C1" w:rsidRPr="00F739C5" w:rsidRDefault="000103C1" w:rsidP="00DF3C81">
            <w:pPr>
              <w:pStyle w:val="cuatexto"/>
              <w:jc w:val="right"/>
              <w:rPr>
                <w:b/>
                <w:szCs w:val="20"/>
              </w:rPr>
            </w:pPr>
            <w:r w:rsidRPr="00F739C5">
              <w:rPr>
                <w:b/>
                <w:szCs w:val="20"/>
              </w:rPr>
              <w:t>555</w:t>
            </w:r>
          </w:p>
        </w:tc>
        <w:tc>
          <w:tcPr>
            <w:tcW w:w="1932" w:type="dxa"/>
            <w:tcBorders>
              <w:top w:val="single" w:sz="4" w:space="0" w:color="auto"/>
              <w:left w:val="nil"/>
              <w:bottom w:val="single" w:sz="4" w:space="0" w:color="auto"/>
              <w:right w:val="nil"/>
            </w:tcBorders>
            <w:vAlign w:val="center"/>
          </w:tcPr>
          <w:p w:rsidR="000103C1" w:rsidRPr="00F739C5" w:rsidRDefault="000103C1" w:rsidP="00DF3C81">
            <w:pPr>
              <w:pStyle w:val="cuatexto"/>
              <w:jc w:val="right"/>
              <w:rPr>
                <w:b/>
                <w:szCs w:val="20"/>
              </w:rPr>
            </w:pPr>
            <w:r w:rsidRPr="00F739C5">
              <w:rPr>
                <w:b/>
                <w:szCs w:val="20"/>
              </w:rPr>
              <w:t>567</w:t>
            </w:r>
          </w:p>
        </w:tc>
      </w:tr>
      <w:tr w:rsidR="000103C1" w:rsidRPr="00FA3B66" w:rsidTr="00465B76">
        <w:trPr>
          <w:trHeight w:val="284"/>
          <w:jc w:val="center"/>
        </w:trPr>
        <w:tc>
          <w:tcPr>
            <w:tcW w:w="5043" w:type="dxa"/>
            <w:tcBorders>
              <w:top w:val="single" w:sz="2" w:space="0" w:color="auto"/>
              <w:left w:val="nil"/>
              <w:bottom w:val="single" w:sz="2" w:space="0" w:color="auto"/>
              <w:right w:val="nil"/>
            </w:tcBorders>
            <w:noWrap/>
            <w:vAlign w:val="center"/>
            <w:hideMark/>
          </w:tcPr>
          <w:p w:rsidR="000103C1" w:rsidRPr="000103C1" w:rsidRDefault="000103C1" w:rsidP="00DF3C81">
            <w:pPr>
              <w:pStyle w:val="cuatexto"/>
              <w:jc w:val="left"/>
              <w:rPr>
                <w:szCs w:val="20"/>
              </w:rPr>
            </w:pPr>
            <w:r w:rsidRPr="000103C1">
              <w:rPr>
                <w:szCs w:val="20"/>
              </w:rPr>
              <w:t>IVA</w:t>
            </w:r>
          </w:p>
        </w:tc>
        <w:tc>
          <w:tcPr>
            <w:tcW w:w="1784" w:type="dxa"/>
            <w:tcBorders>
              <w:top w:val="single" w:sz="2" w:space="0" w:color="auto"/>
              <w:left w:val="nil"/>
              <w:bottom w:val="single" w:sz="2" w:space="0" w:color="auto"/>
              <w:right w:val="nil"/>
            </w:tcBorders>
            <w:vAlign w:val="center"/>
          </w:tcPr>
          <w:p w:rsidR="000103C1" w:rsidRPr="000103C1" w:rsidRDefault="000103C1" w:rsidP="00DF3C81">
            <w:pPr>
              <w:pStyle w:val="cuatexto"/>
              <w:jc w:val="right"/>
              <w:rPr>
                <w:szCs w:val="20"/>
              </w:rPr>
            </w:pPr>
            <w:r w:rsidRPr="000103C1">
              <w:rPr>
                <w:szCs w:val="20"/>
              </w:rPr>
              <w:t>728</w:t>
            </w:r>
          </w:p>
        </w:tc>
        <w:tc>
          <w:tcPr>
            <w:tcW w:w="1932" w:type="dxa"/>
            <w:tcBorders>
              <w:top w:val="single" w:sz="2" w:space="0" w:color="auto"/>
              <w:left w:val="nil"/>
              <w:bottom w:val="single" w:sz="2" w:space="0" w:color="auto"/>
              <w:right w:val="nil"/>
            </w:tcBorders>
            <w:vAlign w:val="center"/>
          </w:tcPr>
          <w:p w:rsidR="000103C1" w:rsidRPr="000103C1" w:rsidRDefault="000103C1" w:rsidP="00DF3C81">
            <w:pPr>
              <w:pStyle w:val="cuatexto"/>
              <w:jc w:val="right"/>
              <w:rPr>
                <w:szCs w:val="20"/>
              </w:rPr>
            </w:pPr>
            <w:r w:rsidRPr="000103C1">
              <w:rPr>
                <w:szCs w:val="20"/>
              </w:rPr>
              <w:t>751</w:t>
            </w:r>
          </w:p>
        </w:tc>
      </w:tr>
      <w:tr w:rsidR="000103C1" w:rsidRPr="00FA3B66" w:rsidTr="00465B76">
        <w:trPr>
          <w:trHeight w:val="284"/>
          <w:jc w:val="center"/>
        </w:trPr>
        <w:tc>
          <w:tcPr>
            <w:tcW w:w="5043" w:type="dxa"/>
            <w:tcBorders>
              <w:top w:val="single" w:sz="2" w:space="0" w:color="auto"/>
              <w:left w:val="nil"/>
              <w:bottom w:val="single" w:sz="2" w:space="0" w:color="auto"/>
              <w:right w:val="nil"/>
            </w:tcBorders>
            <w:noWrap/>
            <w:vAlign w:val="center"/>
            <w:hideMark/>
          </w:tcPr>
          <w:p w:rsidR="000103C1" w:rsidRPr="000103C1" w:rsidRDefault="000103C1" w:rsidP="00DF3C81">
            <w:pPr>
              <w:pStyle w:val="cuatexto"/>
              <w:jc w:val="left"/>
              <w:rPr>
                <w:szCs w:val="20"/>
              </w:rPr>
            </w:pPr>
            <w:r w:rsidRPr="000103C1">
              <w:rPr>
                <w:szCs w:val="20"/>
              </w:rPr>
              <w:t>Impuestos especiales</w:t>
            </w:r>
          </w:p>
        </w:tc>
        <w:tc>
          <w:tcPr>
            <w:tcW w:w="1784" w:type="dxa"/>
            <w:tcBorders>
              <w:top w:val="single" w:sz="2" w:space="0" w:color="auto"/>
              <w:left w:val="nil"/>
              <w:bottom w:val="single" w:sz="2" w:space="0" w:color="auto"/>
              <w:right w:val="nil"/>
            </w:tcBorders>
            <w:vAlign w:val="center"/>
          </w:tcPr>
          <w:p w:rsidR="000103C1" w:rsidRPr="000103C1" w:rsidRDefault="000103C1" w:rsidP="00DF3C81">
            <w:pPr>
              <w:pStyle w:val="cuatexto"/>
              <w:jc w:val="right"/>
              <w:rPr>
                <w:szCs w:val="20"/>
              </w:rPr>
            </w:pPr>
            <w:r w:rsidRPr="000103C1">
              <w:rPr>
                <w:szCs w:val="20"/>
              </w:rPr>
              <w:t>47</w:t>
            </w:r>
          </w:p>
        </w:tc>
        <w:tc>
          <w:tcPr>
            <w:tcW w:w="1932" w:type="dxa"/>
            <w:tcBorders>
              <w:top w:val="single" w:sz="2" w:space="0" w:color="auto"/>
              <w:left w:val="nil"/>
              <w:bottom w:val="single" w:sz="2" w:space="0" w:color="auto"/>
              <w:right w:val="nil"/>
            </w:tcBorders>
            <w:vAlign w:val="center"/>
          </w:tcPr>
          <w:p w:rsidR="000103C1" w:rsidRPr="000103C1" w:rsidRDefault="000103C1" w:rsidP="00DF3C81">
            <w:pPr>
              <w:pStyle w:val="cuatexto"/>
              <w:jc w:val="right"/>
              <w:rPr>
                <w:szCs w:val="20"/>
              </w:rPr>
            </w:pPr>
            <w:r w:rsidRPr="000103C1">
              <w:rPr>
                <w:szCs w:val="20"/>
              </w:rPr>
              <w:t>42</w:t>
            </w:r>
          </w:p>
        </w:tc>
      </w:tr>
      <w:tr w:rsidR="000103C1" w:rsidRPr="00FA3B66" w:rsidTr="00465B76">
        <w:trPr>
          <w:trHeight w:val="284"/>
          <w:jc w:val="center"/>
        </w:trPr>
        <w:tc>
          <w:tcPr>
            <w:tcW w:w="5043" w:type="dxa"/>
            <w:tcBorders>
              <w:top w:val="single" w:sz="2" w:space="0" w:color="auto"/>
              <w:left w:val="nil"/>
              <w:bottom w:val="single" w:sz="2" w:space="0" w:color="auto"/>
              <w:right w:val="nil"/>
            </w:tcBorders>
            <w:noWrap/>
            <w:vAlign w:val="center"/>
            <w:hideMark/>
          </w:tcPr>
          <w:p w:rsidR="000103C1" w:rsidRPr="000103C1" w:rsidRDefault="000103C1" w:rsidP="00DF3C81">
            <w:pPr>
              <w:pStyle w:val="cuatexto"/>
              <w:jc w:val="left"/>
              <w:rPr>
                <w:szCs w:val="20"/>
              </w:rPr>
            </w:pPr>
            <w:r w:rsidRPr="000103C1">
              <w:rPr>
                <w:szCs w:val="20"/>
              </w:rPr>
              <w:t>Impuesto sobre las primas de seguros</w:t>
            </w:r>
          </w:p>
        </w:tc>
        <w:tc>
          <w:tcPr>
            <w:tcW w:w="1784" w:type="dxa"/>
            <w:tcBorders>
              <w:top w:val="single" w:sz="2" w:space="0" w:color="auto"/>
              <w:left w:val="nil"/>
              <w:bottom w:val="single" w:sz="2" w:space="0" w:color="auto"/>
              <w:right w:val="nil"/>
            </w:tcBorders>
            <w:vAlign w:val="center"/>
          </w:tcPr>
          <w:p w:rsidR="000103C1" w:rsidRPr="000103C1" w:rsidRDefault="000103C1" w:rsidP="00DF3C81">
            <w:pPr>
              <w:pStyle w:val="cuatexto"/>
              <w:jc w:val="right"/>
              <w:rPr>
                <w:szCs w:val="20"/>
              </w:rPr>
            </w:pPr>
            <w:r w:rsidRPr="000103C1">
              <w:rPr>
                <w:szCs w:val="20"/>
              </w:rPr>
              <w:t>9</w:t>
            </w:r>
          </w:p>
        </w:tc>
        <w:tc>
          <w:tcPr>
            <w:tcW w:w="1932" w:type="dxa"/>
            <w:tcBorders>
              <w:top w:val="single" w:sz="2" w:space="0" w:color="auto"/>
              <w:left w:val="nil"/>
              <w:bottom w:val="single" w:sz="2" w:space="0" w:color="auto"/>
              <w:right w:val="nil"/>
            </w:tcBorders>
            <w:vAlign w:val="center"/>
          </w:tcPr>
          <w:p w:rsidR="000103C1" w:rsidRPr="000103C1" w:rsidRDefault="000103C1" w:rsidP="00DF3C81">
            <w:pPr>
              <w:pStyle w:val="cuatexto"/>
              <w:jc w:val="right"/>
              <w:rPr>
                <w:szCs w:val="20"/>
              </w:rPr>
            </w:pPr>
            <w:r w:rsidRPr="000103C1">
              <w:rPr>
                <w:szCs w:val="20"/>
              </w:rPr>
              <w:t>8</w:t>
            </w:r>
          </w:p>
        </w:tc>
      </w:tr>
      <w:tr w:rsidR="000103C1" w:rsidRPr="00FA3B66" w:rsidTr="00465B76">
        <w:trPr>
          <w:trHeight w:val="284"/>
          <w:jc w:val="center"/>
        </w:trPr>
        <w:tc>
          <w:tcPr>
            <w:tcW w:w="5043" w:type="dxa"/>
            <w:tcBorders>
              <w:top w:val="single" w:sz="2" w:space="0" w:color="auto"/>
              <w:left w:val="nil"/>
              <w:bottom w:val="single" w:sz="2" w:space="0" w:color="auto"/>
              <w:right w:val="nil"/>
            </w:tcBorders>
            <w:noWrap/>
            <w:vAlign w:val="center"/>
            <w:hideMark/>
          </w:tcPr>
          <w:p w:rsidR="000103C1" w:rsidRPr="000103C1" w:rsidRDefault="000103C1" w:rsidP="000103C1">
            <w:pPr>
              <w:pStyle w:val="cuatexto"/>
              <w:jc w:val="left"/>
              <w:rPr>
                <w:szCs w:val="20"/>
              </w:rPr>
            </w:pPr>
            <w:r w:rsidRPr="000103C1">
              <w:rPr>
                <w:szCs w:val="20"/>
              </w:rPr>
              <w:t>Transmisiones patrimoniales y actos jurídicos documentados</w:t>
            </w:r>
          </w:p>
        </w:tc>
        <w:tc>
          <w:tcPr>
            <w:tcW w:w="1784" w:type="dxa"/>
            <w:tcBorders>
              <w:top w:val="single" w:sz="2" w:space="0" w:color="auto"/>
              <w:left w:val="nil"/>
              <w:bottom w:val="single" w:sz="2" w:space="0" w:color="auto"/>
              <w:right w:val="nil"/>
            </w:tcBorders>
            <w:vAlign w:val="center"/>
          </w:tcPr>
          <w:p w:rsidR="000103C1" w:rsidRPr="000103C1" w:rsidRDefault="000103C1" w:rsidP="00DF3C81">
            <w:pPr>
              <w:pStyle w:val="cuatexto"/>
              <w:jc w:val="right"/>
              <w:rPr>
                <w:szCs w:val="20"/>
              </w:rPr>
            </w:pPr>
            <w:r w:rsidRPr="000103C1">
              <w:rPr>
                <w:szCs w:val="20"/>
              </w:rPr>
              <w:t>4</w:t>
            </w:r>
          </w:p>
        </w:tc>
        <w:tc>
          <w:tcPr>
            <w:tcW w:w="1932" w:type="dxa"/>
            <w:tcBorders>
              <w:top w:val="single" w:sz="2" w:space="0" w:color="auto"/>
              <w:left w:val="nil"/>
              <w:bottom w:val="single" w:sz="2" w:space="0" w:color="auto"/>
              <w:right w:val="nil"/>
            </w:tcBorders>
            <w:vAlign w:val="center"/>
          </w:tcPr>
          <w:p w:rsidR="000103C1" w:rsidRPr="000103C1" w:rsidRDefault="000103C1" w:rsidP="00DF3C81">
            <w:pPr>
              <w:pStyle w:val="cuatexto"/>
              <w:jc w:val="right"/>
              <w:rPr>
                <w:szCs w:val="20"/>
              </w:rPr>
            </w:pPr>
            <w:r w:rsidRPr="000103C1">
              <w:rPr>
                <w:szCs w:val="20"/>
              </w:rPr>
              <w:t>5</w:t>
            </w:r>
          </w:p>
        </w:tc>
      </w:tr>
      <w:tr w:rsidR="000103C1" w:rsidRPr="00F739C5" w:rsidTr="00465B76">
        <w:trPr>
          <w:trHeight w:val="284"/>
          <w:jc w:val="center"/>
        </w:trPr>
        <w:tc>
          <w:tcPr>
            <w:tcW w:w="5043" w:type="dxa"/>
            <w:tcBorders>
              <w:top w:val="single" w:sz="4" w:space="0" w:color="auto"/>
              <w:left w:val="nil"/>
              <w:bottom w:val="single" w:sz="4" w:space="0" w:color="auto"/>
              <w:right w:val="nil"/>
            </w:tcBorders>
            <w:noWrap/>
            <w:vAlign w:val="center"/>
            <w:hideMark/>
          </w:tcPr>
          <w:p w:rsidR="000103C1" w:rsidRPr="00F739C5" w:rsidRDefault="000103C1" w:rsidP="00DF3C81">
            <w:pPr>
              <w:pStyle w:val="cuatexto"/>
              <w:jc w:val="left"/>
              <w:rPr>
                <w:b/>
                <w:szCs w:val="20"/>
              </w:rPr>
            </w:pPr>
            <w:r w:rsidRPr="00F739C5">
              <w:rPr>
                <w:b/>
                <w:szCs w:val="20"/>
              </w:rPr>
              <w:t>2. Impuestos indirectos</w:t>
            </w:r>
          </w:p>
        </w:tc>
        <w:tc>
          <w:tcPr>
            <w:tcW w:w="1784" w:type="dxa"/>
            <w:tcBorders>
              <w:top w:val="single" w:sz="4" w:space="0" w:color="auto"/>
              <w:left w:val="nil"/>
              <w:bottom w:val="single" w:sz="4" w:space="0" w:color="auto"/>
              <w:right w:val="nil"/>
            </w:tcBorders>
            <w:vAlign w:val="center"/>
          </w:tcPr>
          <w:p w:rsidR="000103C1" w:rsidRPr="00F739C5" w:rsidRDefault="000103C1" w:rsidP="00DF3C81">
            <w:pPr>
              <w:pStyle w:val="cuatexto"/>
              <w:jc w:val="right"/>
              <w:rPr>
                <w:b/>
                <w:szCs w:val="20"/>
              </w:rPr>
            </w:pPr>
            <w:r w:rsidRPr="00F739C5">
              <w:rPr>
                <w:b/>
                <w:szCs w:val="20"/>
              </w:rPr>
              <w:t>788</w:t>
            </w:r>
          </w:p>
        </w:tc>
        <w:tc>
          <w:tcPr>
            <w:tcW w:w="1932" w:type="dxa"/>
            <w:tcBorders>
              <w:top w:val="single" w:sz="4" w:space="0" w:color="auto"/>
              <w:left w:val="nil"/>
              <w:bottom w:val="single" w:sz="4" w:space="0" w:color="auto"/>
              <w:right w:val="nil"/>
            </w:tcBorders>
            <w:vAlign w:val="center"/>
          </w:tcPr>
          <w:p w:rsidR="000103C1" w:rsidRPr="00F739C5" w:rsidRDefault="000103C1" w:rsidP="00DF3C81">
            <w:pPr>
              <w:pStyle w:val="cuatexto"/>
              <w:jc w:val="right"/>
              <w:rPr>
                <w:b/>
                <w:szCs w:val="20"/>
              </w:rPr>
            </w:pPr>
            <w:r w:rsidRPr="00F739C5">
              <w:rPr>
                <w:b/>
                <w:szCs w:val="20"/>
              </w:rPr>
              <w:t>806</w:t>
            </w:r>
          </w:p>
        </w:tc>
      </w:tr>
      <w:tr w:rsidR="000103C1" w:rsidRPr="00676948" w:rsidTr="00465B76">
        <w:trPr>
          <w:trHeight w:val="312"/>
          <w:jc w:val="center"/>
        </w:trPr>
        <w:tc>
          <w:tcPr>
            <w:tcW w:w="5043" w:type="dxa"/>
            <w:tcBorders>
              <w:top w:val="single" w:sz="4" w:space="0" w:color="auto"/>
              <w:left w:val="nil"/>
              <w:bottom w:val="single" w:sz="4" w:space="0" w:color="auto"/>
              <w:right w:val="nil"/>
            </w:tcBorders>
            <w:shd w:val="clear" w:color="auto" w:fill="A8CBEE" w:themeFill="accent2" w:themeFillTint="66"/>
            <w:noWrap/>
            <w:vAlign w:val="center"/>
            <w:hideMark/>
          </w:tcPr>
          <w:p w:rsidR="000103C1" w:rsidRPr="000103C1" w:rsidRDefault="000103C1" w:rsidP="00DF3C81">
            <w:pPr>
              <w:pStyle w:val="cuadroCabe"/>
              <w:jc w:val="left"/>
              <w:rPr>
                <w:rFonts w:cs="Arial"/>
              </w:rPr>
            </w:pPr>
            <w:r w:rsidRPr="000103C1">
              <w:rPr>
                <w:rFonts w:cs="Arial"/>
              </w:rPr>
              <w:t>Total Beneficios fiscales</w:t>
            </w:r>
          </w:p>
        </w:tc>
        <w:tc>
          <w:tcPr>
            <w:tcW w:w="1784" w:type="dxa"/>
            <w:tcBorders>
              <w:top w:val="single" w:sz="4" w:space="0" w:color="auto"/>
              <w:left w:val="nil"/>
              <w:bottom w:val="single" w:sz="4" w:space="0" w:color="auto"/>
              <w:right w:val="nil"/>
            </w:tcBorders>
            <w:shd w:val="clear" w:color="auto" w:fill="A8CBEE" w:themeFill="accent2" w:themeFillTint="66"/>
            <w:vAlign w:val="center"/>
          </w:tcPr>
          <w:p w:rsidR="000103C1" w:rsidRPr="000103C1" w:rsidRDefault="000103C1" w:rsidP="000103C1">
            <w:pPr>
              <w:pStyle w:val="cuadroCabe"/>
              <w:jc w:val="right"/>
              <w:rPr>
                <w:szCs w:val="18"/>
              </w:rPr>
            </w:pPr>
            <w:r w:rsidRPr="000103C1">
              <w:rPr>
                <w:szCs w:val="18"/>
              </w:rPr>
              <w:t>1.343</w:t>
            </w:r>
          </w:p>
        </w:tc>
        <w:tc>
          <w:tcPr>
            <w:tcW w:w="1932" w:type="dxa"/>
            <w:tcBorders>
              <w:top w:val="single" w:sz="4" w:space="0" w:color="auto"/>
              <w:left w:val="nil"/>
              <w:bottom w:val="single" w:sz="4" w:space="0" w:color="auto"/>
              <w:right w:val="nil"/>
            </w:tcBorders>
            <w:shd w:val="clear" w:color="auto" w:fill="A8CBEE" w:themeFill="accent2" w:themeFillTint="66"/>
            <w:vAlign w:val="center"/>
          </w:tcPr>
          <w:p w:rsidR="000103C1" w:rsidRPr="000103C1" w:rsidRDefault="000103C1" w:rsidP="000103C1">
            <w:pPr>
              <w:pStyle w:val="cuadroCabe"/>
              <w:jc w:val="right"/>
              <w:rPr>
                <w:szCs w:val="18"/>
              </w:rPr>
            </w:pPr>
            <w:r w:rsidRPr="000103C1">
              <w:rPr>
                <w:szCs w:val="18"/>
              </w:rPr>
              <w:t>1.373</w:t>
            </w:r>
          </w:p>
        </w:tc>
      </w:tr>
    </w:tbl>
    <w:p w:rsidR="00E2074D" w:rsidRDefault="000103C1" w:rsidP="006D1534">
      <w:pPr>
        <w:pStyle w:val="texto"/>
        <w:spacing w:before="240"/>
        <w:rPr>
          <w:lang w:val="es-ES"/>
        </w:rPr>
      </w:pPr>
      <w:r>
        <w:rPr>
          <w:lang w:val="es-ES"/>
        </w:rPr>
        <w:t xml:space="preserve">Estos beneficios estimados al cierre representan el </w:t>
      </w:r>
      <w:r w:rsidR="006D1534">
        <w:rPr>
          <w:lang w:val="es-ES"/>
        </w:rPr>
        <w:t>43 por ciento de los derechos reconocidos netos por impuestos del ejercicio</w:t>
      </w:r>
      <w:r w:rsidR="00685C1D">
        <w:rPr>
          <w:lang w:val="es-ES"/>
        </w:rPr>
        <w:t xml:space="preserve"> de 2015</w:t>
      </w:r>
      <w:r w:rsidR="006D1534">
        <w:rPr>
          <w:lang w:val="es-ES"/>
        </w:rPr>
        <w:t>.</w:t>
      </w:r>
    </w:p>
    <w:p w:rsidR="00DE61D1" w:rsidRPr="001E7B19" w:rsidRDefault="00E2074D" w:rsidP="00BC00B6">
      <w:pPr>
        <w:pStyle w:val="texto"/>
        <w:spacing w:after="120"/>
        <w:rPr>
          <w:b/>
          <w:spacing w:val="2"/>
          <w:lang w:val="es-ES"/>
        </w:rPr>
      </w:pPr>
      <w:r w:rsidRPr="001E7B19">
        <w:rPr>
          <w:b/>
          <w:spacing w:val="2"/>
          <w:lang w:val="es-ES"/>
        </w:rPr>
        <w:t>Gravamen especial sobre los premios de determinadas loterías y apuestas.</w:t>
      </w:r>
    </w:p>
    <w:p w:rsidR="000754B7" w:rsidRPr="000D2954" w:rsidRDefault="00B646F3" w:rsidP="00081FE3">
      <w:pPr>
        <w:pStyle w:val="texto"/>
        <w:rPr>
          <w:lang w:val="es-ES"/>
        </w:rPr>
      </w:pPr>
      <w:r>
        <w:rPr>
          <w:lang w:val="es-ES"/>
        </w:rPr>
        <w:t xml:space="preserve">Este gravamen fue creado por la Ley 16/2012, de 27 de diciembre, </w:t>
      </w:r>
      <w:r w:rsidRPr="00B646F3">
        <w:rPr>
          <w:lang w:val="es-ES"/>
        </w:rPr>
        <w:t>por la que se adoptan diversas medidas tributarias dirigidas a la consolidación de las finanzas públicas y al impulso de la actividad económica</w:t>
      </w:r>
      <w:r>
        <w:rPr>
          <w:lang w:val="es-ES"/>
        </w:rPr>
        <w:t>. Mediante la misma se mod</w:t>
      </w:r>
      <w:r w:rsidR="000D2954">
        <w:rPr>
          <w:lang w:val="es-ES"/>
        </w:rPr>
        <w:t>ifica la normativa</w:t>
      </w:r>
      <w:r w:rsidR="002F10F1">
        <w:rPr>
          <w:lang w:val="es-ES"/>
        </w:rPr>
        <w:t xml:space="preserve"> estatal</w:t>
      </w:r>
      <w:r w:rsidR="000D2954">
        <w:rPr>
          <w:lang w:val="es-ES"/>
        </w:rPr>
        <w:t xml:space="preserve"> de IRPF</w:t>
      </w:r>
      <w:r>
        <w:rPr>
          <w:lang w:val="es-ES"/>
        </w:rPr>
        <w:t>, ap</w:t>
      </w:r>
      <w:r w:rsidR="000D2954">
        <w:rPr>
          <w:lang w:val="es-ES"/>
        </w:rPr>
        <w:t>robándose la creación de tal</w:t>
      </w:r>
      <w:r>
        <w:rPr>
          <w:lang w:val="es-ES"/>
        </w:rPr>
        <w:t xml:space="preserve"> gravamen.</w:t>
      </w:r>
      <w:r w:rsidR="0066463C">
        <w:rPr>
          <w:lang w:val="es-ES"/>
        </w:rPr>
        <w:t xml:space="preserve"> </w:t>
      </w:r>
      <w:r w:rsidRPr="00B646F3">
        <w:rPr>
          <w:lang w:val="es-ES"/>
        </w:rPr>
        <w:t>A partir del 1 de enero de 2013 dejan de estar</w:t>
      </w:r>
      <w:r w:rsidR="00081FE3">
        <w:rPr>
          <w:lang w:val="es-ES"/>
        </w:rPr>
        <w:t xml:space="preserve"> </w:t>
      </w:r>
      <w:r w:rsidRPr="00B646F3">
        <w:rPr>
          <w:lang w:val="es-ES"/>
        </w:rPr>
        <w:t>exentos</w:t>
      </w:r>
      <w:r w:rsidR="00081FE3">
        <w:rPr>
          <w:lang w:val="es-ES"/>
        </w:rPr>
        <w:t xml:space="preserve"> </w:t>
      </w:r>
      <w:r w:rsidRPr="00B646F3">
        <w:rPr>
          <w:lang w:val="es-ES"/>
        </w:rPr>
        <w:t xml:space="preserve">los premios de las loterías, apuestas y sorteos organizados por la </w:t>
      </w:r>
      <w:r w:rsidR="000D2954">
        <w:rPr>
          <w:lang w:val="es-ES"/>
        </w:rPr>
        <w:t xml:space="preserve">Sociedad </w:t>
      </w:r>
      <w:r w:rsidR="000754B7">
        <w:rPr>
          <w:lang w:val="es-ES"/>
        </w:rPr>
        <w:t>E</w:t>
      </w:r>
      <w:r w:rsidR="000D2954">
        <w:rPr>
          <w:lang w:val="es-ES"/>
        </w:rPr>
        <w:t xml:space="preserve">statal de Loterías y Apuestas del </w:t>
      </w:r>
      <w:r w:rsidR="000754B7">
        <w:rPr>
          <w:lang w:val="es-ES"/>
        </w:rPr>
        <w:t>E</w:t>
      </w:r>
      <w:r w:rsidR="000D2954">
        <w:rPr>
          <w:lang w:val="es-ES"/>
        </w:rPr>
        <w:t>stado (</w:t>
      </w:r>
      <w:r w:rsidRPr="00B646F3">
        <w:rPr>
          <w:lang w:val="es-ES"/>
        </w:rPr>
        <w:t>SELAE</w:t>
      </w:r>
      <w:r w:rsidR="000D2954">
        <w:rPr>
          <w:lang w:val="es-ES"/>
        </w:rPr>
        <w:t>)</w:t>
      </w:r>
      <w:r w:rsidRPr="00B646F3">
        <w:rPr>
          <w:lang w:val="es-ES"/>
        </w:rPr>
        <w:t>, Cruz Ro</w:t>
      </w:r>
      <w:r w:rsidR="000D2954">
        <w:rPr>
          <w:lang w:val="es-ES"/>
        </w:rPr>
        <w:t xml:space="preserve">ja, </w:t>
      </w:r>
      <w:r w:rsidRPr="00B646F3">
        <w:rPr>
          <w:lang w:val="es-ES"/>
        </w:rPr>
        <w:t>ONCE y entidades análogas de carácter europeo</w:t>
      </w:r>
      <w:r w:rsidR="000D2954">
        <w:rPr>
          <w:lang w:val="es-ES"/>
        </w:rPr>
        <w:t>.</w:t>
      </w:r>
      <w:r w:rsidR="000D2954" w:rsidRPr="000D2954">
        <w:rPr>
          <w:lang w:val="es-ES"/>
        </w:rPr>
        <w:t xml:space="preserve"> </w:t>
      </w:r>
    </w:p>
    <w:p w:rsidR="00C625F8" w:rsidRDefault="00C625F8" w:rsidP="00081FE3">
      <w:pPr>
        <w:pStyle w:val="texto"/>
        <w:rPr>
          <w:lang w:val="es-ES"/>
        </w:rPr>
      </w:pPr>
      <w:r>
        <w:rPr>
          <w:lang w:val="es-ES"/>
        </w:rPr>
        <w:t>En Navarra, el Estado ha gestionado y recaudado inicialmente este gravamen desde 2013 hasta la aprobación de la Ley 14/2015, de 24 de junio, de modificación del Convenio Económico. Mediante esta Ley, la Comunidad Foral es competente</w:t>
      </w:r>
      <w:r w:rsidR="00963DE4">
        <w:rPr>
          <w:lang w:val="es-ES"/>
        </w:rPr>
        <w:t xml:space="preserve"> –desde junio de 2015</w:t>
      </w:r>
      <w:r w:rsidR="00081FE3">
        <w:rPr>
          <w:lang w:val="es-ES"/>
        </w:rPr>
        <w:t>–</w:t>
      </w:r>
      <w:r w:rsidRPr="00C625F8">
        <w:rPr>
          <w:lang w:val="es-ES"/>
        </w:rPr>
        <w:t xml:space="preserve"> para exigir las retenciones e ingresos a cuenta del </w:t>
      </w:r>
      <w:r>
        <w:rPr>
          <w:lang w:val="es-ES"/>
        </w:rPr>
        <w:t xml:space="preserve">citado </w:t>
      </w:r>
      <w:r w:rsidRPr="00C625F8">
        <w:rPr>
          <w:lang w:val="es-ES"/>
        </w:rPr>
        <w:t>gravamen espe</w:t>
      </w:r>
      <w:r>
        <w:rPr>
          <w:lang w:val="es-ES"/>
        </w:rPr>
        <w:t xml:space="preserve">cial </w:t>
      </w:r>
      <w:r w:rsidRPr="00C625F8">
        <w:rPr>
          <w:lang w:val="es-ES"/>
        </w:rPr>
        <w:t>cuando el perceptor tenga su residencia habitual o domicilio fiscal en su territorio</w:t>
      </w:r>
      <w:r>
        <w:rPr>
          <w:lang w:val="es-ES"/>
        </w:rPr>
        <w:t xml:space="preserve"> y para su exacción</w:t>
      </w:r>
      <w:r w:rsidRPr="00C625F8">
        <w:rPr>
          <w:lang w:val="es-ES"/>
        </w:rPr>
        <w:t xml:space="preserve"> deberá aplicar idénticos tipos a los del territorio común</w:t>
      </w:r>
      <w:r w:rsidR="00894A04">
        <w:rPr>
          <w:lang w:val="es-ES"/>
        </w:rPr>
        <w:t>; igualmente se reconoce la competencia de Navarra para recibir la recaudación del mismo desde el 1 de enero de 2013</w:t>
      </w:r>
      <w:r w:rsidRPr="00C625F8">
        <w:rPr>
          <w:lang w:val="es-ES"/>
        </w:rPr>
        <w:t>.</w:t>
      </w:r>
      <w:r w:rsidR="000754B7">
        <w:rPr>
          <w:lang w:val="es-ES"/>
        </w:rPr>
        <w:t xml:space="preserve"> Este gravamen está regulado en la </w:t>
      </w:r>
      <w:r w:rsidR="000754B7" w:rsidRPr="000754B7">
        <w:rPr>
          <w:lang w:val="es-ES"/>
        </w:rPr>
        <w:t>Disposición adicional trigésima séptima del Texto Refundido de la Ley Foral del Impuesto sobre la</w:t>
      </w:r>
      <w:r w:rsidR="000754B7">
        <w:rPr>
          <w:lang w:val="es-ES"/>
        </w:rPr>
        <w:t xml:space="preserve"> Renta de las Personas Físicas.</w:t>
      </w:r>
    </w:p>
    <w:p w:rsidR="002F10F1" w:rsidRPr="001E7B19" w:rsidRDefault="00C23207" w:rsidP="00081FE3">
      <w:pPr>
        <w:pStyle w:val="texto"/>
        <w:rPr>
          <w:spacing w:val="2"/>
          <w:lang w:val="es-ES"/>
        </w:rPr>
      </w:pPr>
      <w:r w:rsidRPr="001E7B19">
        <w:rPr>
          <w:spacing w:val="2"/>
          <w:lang w:val="es-ES"/>
        </w:rPr>
        <w:t xml:space="preserve">Los aspectos básicos de la gestión de </w:t>
      </w:r>
      <w:r w:rsidR="006A5B2E" w:rsidRPr="001E7B19">
        <w:rPr>
          <w:spacing w:val="2"/>
          <w:lang w:val="es-ES"/>
        </w:rPr>
        <w:t>este impuesto</w:t>
      </w:r>
      <w:r w:rsidR="002F10F1" w:rsidRPr="001E7B19">
        <w:rPr>
          <w:spacing w:val="2"/>
          <w:lang w:val="es-ES"/>
        </w:rPr>
        <w:t xml:space="preserve"> se resumen básicamente en:</w:t>
      </w:r>
    </w:p>
    <w:p w:rsidR="002F10F1" w:rsidRPr="000D2954" w:rsidRDefault="002F10F1" w:rsidP="00081FE3">
      <w:pPr>
        <w:pStyle w:val="texto"/>
        <w:numPr>
          <w:ilvl w:val="0"/>
          <w:numId w:val="2"/>
        </w:numPr>
        <w:tabs>
          <w:tab w:val="clear" w:pos="1948"/>
          <w:tab w:val="clear" w:pos="2835"/>
          <w:tab w:val="clear" w:pos="3969"/>
          <w:tab w:val="clear" w:pos="5103"/>
          <w:tab w:val="clear" w:pos="6237"/>
          <w:tab w:val="clear" w:pos="7371"/>
          <w:tab w:val="num" w:pos="300"/>
          <w:tab w:val="left" w:pos="490"/>
          <w:tab w:val="num" w:pos="4920"/>
        </w:tabs>
        <w:ind w:left="0" w:firstLine="290"/>
        <w:rPr>
          <w:lang w:val="es-ES"/>
        </w:rPr>
      </w:pPr>
      <w:r w:rsidRPr="000D2954">
        <w:rPr>
          <w:lang w:val="es-ES"/>
        </w:rPr>
        <w:t>La cuota íntegra del gravamen especial se determinará aplicando a la base imponible el tipo</w:t>
      </w:r>
      <w:r w:rsidR="00081FE3">
        <w:rPr>
          <w:lang w:val="es-ES"/>
        </w:rPr>
        <w:t xml:space="preserve"> </w:t>
      </w:r>
      <w:r w:rsidRPr="000D2954">
        <w:rPr>
          <w:lang w:val="es-ES"/>
        </w:rPr>
        <w:t>del</w:t>
      </w:r>
      <w:r w:rsidR="00081FE3">
        <w:rPr>
          <w:lang w:val="es-ES"/>
        </w:rPr>
        <w:t xml:space="preserve"> </w:t>
      </w:r>
      <w:r w:rsidRPr="000D2954">
        <w:rPr>
          <w:lang w:val="es-ES"/>
        </w:rPr>
        <w:t>20 por ciento.</w:t>
      </w:r>
    </w:p>
    <w:p w:rsidR="002F10F1" w:rsidRPr="000D2954" w:rsidRDefault="002F10F1" w:rsidP="00081FE3">
      <w:pPr>
        <w:pStyle w:val="texto"/>
        <w:numPr>
          <w:ilvl w:val="0"/>
          <w:numId w:val="2"/>
        </w:numPr>
        <w:tabs>
          <w:tab w:val="clear" w:pos="1948"/>
          <w:tab w:val="clear" w:pos="2835"/>
          <w:tab w:val="clear" w:pos="3969"/>
          <w:tab w:val="clear" w:pos="5103"/>
          <w:tab w:val="clear" w:pos="6237"/>
          <w:tab w:val="clear" w:pos="7371"/>
          <w:tab w:val="num" w:pos="300"/>
          <w:tab w:val="left" w:pos="490"/>
          <w:tab w:val="num" w:pos="4920"/>
        </w:tabs>
        <w:ind w:left="0" w:firstLine="290"/>
        <w:rPr>
          <w:lang w:val="es-ES"/>
        </w:rPr>
      </w:pPr>
      <w:r w:rsidRPr="000D2954">
        <w:rPr>
          <w:lang w:val="es-ES"/>
        </w:rPr>
        <w:t>La</w:t>
      </w:r>
      <w:r w:rsidR="00081FE3">
        <w:rPr>
          <w:lang w:val="es-ES"/>
        </w:rPr>
        <w:t xml:space="preserve"> </w:t>
      </w:r>
      <w:r w:rsidR="001E7B19">
        <w:rPr>
          <w:lang w:val="es-ES"/>
        </w:rPr>
        <w:t xml:space="preserve">base imponible </w:t>
      </w:r>
      <w:r w:rsidRPr="000D2954">
        <w:rPr>
          <w:lang w:val="es-ES"/>
        </w:rPr>
        <w:t>del gravamen especial estará formada por el importe del premio que exceda de la cuantía exenta.</w:t>
      </w:r>
    </w:p>
    <w:p w:rsidR="002F10F1" w:rsidRDefault="002F10F1" w:rsidP="00081FE3">
      <w:pPr>
        <w:pStyle w:val="texto"/>
        <w:numPr>
          <w:ilvl w:val="0"/>
          <w:numId w:val="2"/>
        </w:numPr>
        <w:tabs>
          <w:tab w:val="clear" w:pos="1948"/>
          <w:tab w:val="clear" w:pos="2835"/>
          <w:tab w:val="clear" w:pos="3969"/>
          <w:tab w:val="clear" w:pos="5103"/>
          <w:tab w:val="clear" w:pos="6237"/>
          <w:tab w:val="clear" w:pos="7371"/>
          <w:tab w:val="num" w:pos="300"/>
          <w:tab w:val="left" w:pos="490"/>
          <w:tab w:val="num" w:pos="4920"/>
        </w:tabs>
        <w:ind w:left="0" w:firstLine="290"/>
        <w:rPr>
          <w:lang w:val="es-ES"/>
        </w:rPr>
      </w:pPr>
      <w:r w:rsidRPr="000D2954">
        <w:rPr>
          <w:lang w:val="es-ES"/>
        </w:rPr>
        <w:t>Estarán</w:t>
      </w:r>
      <w:r w:rsidR="00081FE3">
        <w:rPr>
          <w:lang w:val="es-ES"/>
        </w:rPr>
        <w:t xml:space="preserve"> </w:t>
      </w:r>
      <w:r w:rsidRPr="000D2954">
        <w:rPr>
          <w:lang w:val="es-ES"/>
        </w:rPr>
        <w:t>exentos</w:t>
      </w:r>
      <w:r w:rsidR="00081FE3">
        <w:rPr>
          <w:lang w:val="es-ES"/>
        </w:rPr>
        <w:t xml:space="preserve"> </w:t>
      </w:r>
      <w:r w:rsidRPr="000D2954">
        <w:rPr>
          <w:lang w:val="es-ES"/>
        </w:rPr>
        <w:t>del gravamen especial los premios cuyo importe íntegro sea igual o inferior a 2.500 euros, mientras que los premios cuyo importe íntegro sea superior a 2.500 euros estarán sujetos al gravamen especial por la parte que exceda de dicho importe.</w:t>
      </w:r>
    </w:p>
    <w:p w:rsidR="002F10F1" w:rsidRDefault="002F10F1" w:rsidP="00081FE3">
      <w:pPr>
        <w:pStyle w:val="texto"/>
        <w:numPr>
          <w:ilvl w:val="0"/>
          <w:numId w:val="2"/>
        </w:numPr>
        <w:tabs>
          <w:tab w:val="clear" w:pos="1948"/>
          <w:tab w:val="clear" w:pos="2835"/>
          <w:tab w:val="clear" w:pos="3969"/>
          <w:tab w:val="clear" w:pos="5103"/>
          <w:tab w:val="clear" w:pos="6237"/>
          <w:tab w:val="clear" w:pos="7371"/>
          <w:tab w:val="num" w:pos="300"/>
          <w:tab w:val="left" w:pos="490"/>
          <w:tab w:val="num" w:pos="4920"/>
        </w:tabs>
        <w:ind w:left="0" w:firstLine="290"/>
        <w:rPr>
          <w:lang w:val="es-ES"/>
        </w:rPr>
      </w:pPr>
      <w:r w:rsidRPr="000754B7">
        <w:rPr>
          <w:lang w:val="es-ES"/>
        </w:rPr>
        <w:t xml:space="preserve">Los sujetos pasivos que hubieran obtenido los premios </w:t>
      </w:r>
      <w:r>
        <w:rPr>
          <w:lang w:val="es-ES"/>
        </w:rPr>
        <w:t>gravados</w:t>
      </w:r>
      <w:r w:rsidRPr="000754B7">
        <w:rPr>
          <w:lang w:val="es-ES"/>
        </w:rPr>
        <w:t xml:space="preserve"> estarán obligados a presentar una autoliquidación por </w:t>
      </w:r>
      <w:r>
        <w:rPr>
          <w:lang w:val="es-ES"/>
        </w:rPr>
        <w:t>el mismo, determinado</w:t>
      </w:r>
      <w:r w:rsidRPr="000754B7">
        <w:rPr>
          <w:lang w:val="es-ES"/>
        </w:rPr>
        <w:t xml:space="preserve"> el importe de la deuda tributaria correspondiente y </w:t>
      </w:r>
      <w:r>
        <w:rPr>
          <w:lang w:val="es-ES"/>
        </w:rPr>
        <w:t>su</w:t>
      </w:r>
      <w:r w:rsidRPr="000754B7">
        <w:rPr>
          <w:lang w:val="es-ES"/>
        </w:rPr>
        <w:t xml:space="preserve"> ingres</w:t>
      </w:r>
      <w:r>
        <w:rPr>
          <w:lang w:val="es-ES"/>
        </w:rPr>
        <w:t>o.</w:t>
      </w:r>
    </w:p>
    <w:p w:rsidR="000754B7" w:rsidRPr="002F10F1" w:rsidRDefault="002F10F1" w:rsidP="00081FE3">
      <w:pPr>
        <w:pStyle w:val="texto"/>
        <w:numPr>
          <w:ilvl w:val="0"/>
          <w:numId w:val="2"/>
        </w:numPr>
        <w:tabs>
          <w:tab w:val="clear" w:pos="1948"/>
          <w:tab w:val="clear" w:pos="2835"/>
          <w:tab w:val="clear" w:pos="3969"/>
          <w:tab w:val="clear" w:pos="5103"/>
          <w:tab w:val="clear" w:pos="6237"/>
          <w:tab w:val="clear" w:pos="7371"/>
          <w:tab w:val="num" w:pos="300"/>
          <w:tab w:val="left" w:pos="490"/>
          <w:tab w:val="num" w:pos="4920"/>
        </w:tabs>
        <w:ind w:left="0" w:firstLine="290"/>
        <w:rPr>
          <w:lang w:val="es-ES"/>
        </w:rPr>
      </w:pPr>
      <w:r>
        <w:rPr>
          <w:lang w:val="es-ES"/>
        </w:rPr>
        <w:t>Las entidades organizadoras de los sorte</w:t>
      </w:r>
      <w:r w:rsidR="009E71EC">
        <w:rPr>
          <w:lang w:val="es-ES"/>
        </w:rPr>
        <w:t>o</w:t>
      </w:r>
      <w:r>
        <w:rPr>
          <w:lang w:val="es-ES"/>
        </w:rPr>
        <w:t xml:space="preserve">s gravados deberán presentar una </w:t>
      </w:r>
      <w:r w:rsidR="000754B7" w:rsidRPr="002F10F1">
        <w:rPr>
          <w:lang w:val="es-ES"/>
        </w:rPr>
        <w:t xml:space="preserve">declaración </w:t>
      </w:r>
      <w:r>
        <w:rPr>
          <w:lang w:val="es-ES"/>
        </w:rPr>
        <w:t>mensual de las retenciones realizadas</w:t>
      </w:r>
      <w:r w:rsidR="000754B7" w:rsidRPr="002F10F1">
        <w:rPr>
          <w:lang w:val="es-ES"/>
        </w:rPr>
        <w:t xml:space="preserve">, siendo </w:t>
      </w:r>
      <w:r>
        <w:rPr>
          <w:lang w:val="es-ES"/>
        </w:rPr>
        <w:t>su</w:t>
      </w:r>
      <w:r w:rsidR="000754B7" w:rsidRPr="002F10F1">
        <w:rPr>
          <w:lang w:val="es-ES"/>
        </w:rPr>
        <w:t xml:space="preserve"> plazo de presentación el de 20 días siguientes naturales al del mes de liquidación. Al cierre del ejercicio se debe presentar un resumen anual de retenciones con información </w:t>
      </w:r>
      <w:r w:rsidR="00465B76">
        <w:rPr>
          <w:lang w:val="es-ES"/>
        </w:rPr>
        <w:t>sobre</w:t>
      </w:r>
      <w:r w:rsidR="00465B76" w:rsidRPr="002F10F1">
        <w:rPr>
          <w:lang w:val="es-ES"/>
        </w:rPr>
        <w:t xml:space="preserve"> perceptores</w:t>
      </w:r>
      <w:r w:rsidR="000754B7" w:rsidRPr="002F10F1">
        <w:rPr>
          <w:lang w:val="es-ES"/>
        </w:rPr>
        <w:t>, base y retención practicada en el año, debiéndose presentar</w:t>
      </w:r>
      <w:r w:rsidR="009E71EC">
        <w:rPr>
          <w:lang w:val="es-ES"/>
        </w:rPr>
        <w:t>la</w:t>
      </w:r>
      <w:r w:rsidR="000754B7" w:rsidRPr="002F10F1">
        <w:rPr>
          <w:lang w:val="es-ES"/>
        </w:rPr>
        <w:t xml:space="preserve"> </w:t>
      </w:r>
      <w:r w:rsidR="00465B76">
        <w:rPr>
          <w:lang w:val="es-ES"/>
        </w:rPr>
        <w:t>en</w:t>
      </w:r>
      <w:r w:rsidR="000754B7" w:rsidRPr="002F10F1">
        <w:rPr>
          <w:lang w:val="es-ES"/>
        </w:rPr>
        <w:t xml:space="preserve"> enero del año siguiente.</w:t>
      </w:r>
    </w:p>
    <w:p w:rsidR="002F10F1" w:rsidRDefault="00963DE4" w:rsidP="001E7B19">
      <w:pPr>
        <w:pStyle w:val="texto"/>
        <w:spacing w:after="0"/>
        <w:rPr>
          <w:lang w:val="es-ES"/>
        </w:rPr>
      </w:pPr>
      <w:r>
        <w:rPr>
          <w:lang w:val="es-ES"/>
        </w:rPr>
        <w:t>En 2015 se han reconocido derechos por este gravamen por una cuantía de 18,78 millones, habiéndose cobrado en su totalidad; en el presupuesto inicial de dicho año estaba contemplado este impuesto con cinco millones.</w:t>
      </w:r>
      <w:r w:rsidR="00081261">
        <w:rPr>
          <w:lang w:val="es-ES"/>
        </w:rPr>
        <w:t xml:space="preserve"> </w:t>
      </w:r>
      <w:r>
        <w:rPr>
          <w:lang w:val="es-ES"/>
        </w:rPr>
        <w:t>Esos derechos reconocidos se desglosan</w:t>
      </w:r>
      <w:r w:rsidR="00081FE3">
        <w:rPr>
          <w:lang w:val="es-ES"/>
        </w:rPr>
        <w:t xml:space="preserve"> </w:t>
      </w:r>
      <w:r w:rsidR="00465B76">
        <w:rPr>
          <w:lang w:val="es-ES"/>
        </w:rPr>
        <w:t xml:space="preserve">en </w:t>
      </w:r>
      <w:r w:rsidR="00081FE3">
        <w:rPr>
          <w:lang w:val="es-ES"/>
        </w:rPr>
        <w:t>el cuadro siguiente:</w:t>
      </w:r>
    </w:p>
    <w:p w:rsidR="00465B76" w:rsidRPr="00C625F8" w:rsidRDefault="00465B76" w:rsidP="00465B76">
      <w:pPr>
        <w:tabs>
          <w:tab w:val="left" w:pos="480"/>
          <w:tab w:val="num" w:pos="4920"/>
          <w:tab w:val="center" w:pos="5103"/>
          <w:tab w:val="center" w:pos="6237"/>
          <w:tab w:val="center" w:pos="7371"/>
        </w:tabs>
        <w:spacing w:after="40"/>
        <w:ind w:firstLine="284"/>
        <w:jc w:val="right"/>
        <w:rPr>
          <w:lang w:val="es-ES"/>
        </w:rPr>
      </w:pPr>
      <w:r w:rsidRPr="00465B76">
        <w:rPr>
          <w:rFonts w:ascii="Arial Narrow" w:hAnsi="Arial Narrow"/>
          <w:spacing w:val="6"/>
          <w:sz w:val="18"/>
          <w:szCs w:val="18"/>
          <w:lang w:val="es-ES"/>
        </w:rPr>
        <w:t>Miles de euros</w:t>
      </w:r>
    </w:p>
    <w:tbl>
      <w:tblPr>
        <w:tblpPr w:leftFromText="141" w:rightFromText="141" w:vertAnchor="text" w:tblpXSpec="center" w:tblpY="1"/>
        <w:tblOverlap w:val="never"/>
        <w:tblW w:w="8809" w:type="dxa"/>
        <w:tblCellMar>
          <w:left w:w="70" w:type="dxa"/>
          <w:right w:w="70" w:type="dxa"/>
        </w:tblCellMar>
        <w:tblLook w:val="04A0" w:firstRow="1" w:lastRow="0" w:firstColumn="1" w:lastColumn="0" w:noHBand="0" w:noVBand="1"/>
      </w:tblPr>
      <w:tblGrid>
        <w:gridCol w:w="2136"/>
        <w:gridCol w:w="3393"/>
        <w:gridCol w:w="1422"/>
        <w:gridCol w:w="1858"/>
      </w:tblGrid>
      <w:tr w:rsidR="00963DE4" w:rsidTr="00934343">
        <w:trPr>
          <w:trHeight w:val="227"/>
        </w:trPr>
        <w:tc>
          <w:tcPr>
            <w:tcW w:w="2136" w:type="dxa"/>
            <w:vMerge w:val="restart"/>
            <w:tcBorders>
              <w:top w:val="single" w:sz="4" w:space="0" w:color="auto"/>
              <w:left w:val="nil"/>
              <w:right w:val="nil"/>
            </w:tcBorders>
            <w:shd w:val="clear" w:color="auto" w:fill="A8CBEE" w:themeFill="accent2" w:themeFillTint="66"/>
            <w:vAlign w:val="center"/>
          </w:tcPr>
          <w:p w:rsidR="00963DE4" w:rsidRPr="00F17123" w:rsidRDefault="00D445B9" w:rsidP="00F17123">
            <w:pPr>
              <w:pStyle w:val="cuadroCabe"/>
              <w:jc w:val="left"/>
              <w:rPr>
                <w:rFonts w:cs="Arial"/>
              </w:rPr>
            </w:pPr>
            <w:r w:rsidRPr="00F17123">
              <w:rPr>
                <w:rFonts w:cs="Arial"/>
              </w:rPr>
              <w:t xml:space="preserve">Periodo de </w:t>
            </w:r>
            <w:r w:rsidR="00963DE4" w:rsidRPr="00F17123">
              <w:rPr>
                <w:rFonts w:cs="Arial"/>
              </w:rPr>
              <w:t>liquidación</w:t>
            </w:r>
          </w:p>
        </w:tc>
        <w:tc>
          <w:tcPr>
            <w:tcW w:w="3393" w:type="dxa"/>
            <w:vMerge w:val="restart"/>
            <w:tcBorders>
              <w:top w:val="single" w:sz="4" w:space="0" w:color="auto"/>
              <w:left w:val="nil"/>
              <w:right w:val="nil"/>
            </w:tcBorders>
            <w:shd w:val="clear" w:color="auto" w:fill="A8CBEE" w:themeFill="accent2" w:themeFillTint="66"/>
            <w:vAlign w:val="center"/>
          </w:tcPr>
          <w:p w:rsidR="00963DE4" w:rsidRPr="00F17123" w:rsidRDefault="00F066B1" w:rsidP="00081FE3">
            <w:pPr>
              <w:pStyle w:val="cuadroCabe"/>
              <w:jc w:val="right"/>
              <w:rPr>
                <w:rFonts w:cs="Arial"/>
              </w:rPr>
            </w:pPr>
            <w:r>
              <w:rPr>
                <w:rFonts w:cs="Arial"/>
              </w:rPr>
              <w:t>Ej</w:t>
            </w:r>
            <w:r w:rsidR="00605BD3">
              <w:rPr>
                <w:rFonts w:cs="Arial"/>
              </w:rPr>
              <w:t>ercicio</w:t>
            </w:r>
            <w:r>
              <w:rPr>
                <w:rFonts w:cs="Arial"/>
              </w:rPr>
              <w:t xml:space="preserve"> i</w:t>
            </w:r>
            <w:r w:rsidR="00963DE4" w:rsidRPr="00F17123">
              <w:rPr>
                <w:rFonts w:cs="Arial"/>
              </w:rPr>
              <w:t>mputación</w:t>
            </w:r>
          </w:p>
          <w:p w:rsidR="00963DE4" w:rsidRPr="00F17123" w:rsidRDefault="00963DE4" w:rsidP="00934343">
            <w:pPr>
              <w:pStyle w:val="cuadroCabe"/>
              <w:jc w:val="right"/>
              <w:rPr>
                <w:rFonts w:cs="Arial"/>
              </w:rPr>
            </w:pPr>
            <w:r w:rsidRPr="00F17123">
              <w:rPr>
                <w:rFonts w:cs="Arial"/>
              </w:rPr>
              <w:t>P</w:t>
            </w:r>
            <w:r w:rsidR="00934343">
              <w:rPr>
                <w:rFonts w:cs="Arial"/>
              </w:rPr>
              <w:t xml:space="preserve">pto. Gob. </w:t>
            </w:r>
            <w:r w:rsidR="00B10FC2">
              <w:rPr>
                <w:rFonts w:cs="Arial"/>
              </w:rPr>
              <w:t>Navarra</w:t>
            </w:r>
          </w:p>
        </w:tc>
        <w:tc>
          <w:tcPr>
            <w:tcW w:w="1422" w:type="dxa"/>
            <w:vMerge w:val="restart"/>
            <w:tcBorders>
              <w:top w:val="single" w:sz="4" w:space="0" w:color="auto"/>
              <w:left w:val="nil"/>
              <w:right w:val="nil"/>
            </w:tcBorders>
            <w:shd w:val="clear" w:color="auto" w:fill="A8CBEE" w:themeFill="accent2" w:themeFillTint="66"/>
            <w:vAlign w:val="center"/>
          </w:tcPr>
          <w:p w:rsidR="00963DE4" w:rsidRPr="00F17123" w:rsidRDefault="00963DE4" w:rsidP="00081FE3">
            <w:pPr>
              <w:pStyle w:val="cuadroCabe"/>
              <w:jc w:val="right"/>
              <w:rPr>
                <w:rFonts w:cs="Arial"/>
              </w:rPr>
            </w:pPr>
            <w:r w:rsidRPr="00F17123">
              <w:rPr>
                <w:rFonts w:cs="Arial"/>
              </w:rPr>
              <w:t>Liquidado por el Estado</w:t>
            </w:r>
          </w:p>
        </w:tc>
        <w:tc>
          <w:tcPr>
            <w:tcW w:w="1858" w:type="dxa"/>
            <w:vMerge w:val="restart"/>
            <w:tcBorders>
              <w:top w:val="single" w:sz="4" w:space="0" w:color="auto"/>
              <w:left w:val="nil"/>
              <w:right w:val="nil"/>
            </w:tcBorders>
            <w:shd w:val="clear" w:color="auto" w:fill="A8CBEE" w:themeFill="accent2" w:themeFillTint="66"/>
            <w:vAlign w:val="center"/>
          </w:tcPr>
          <w:p w:rsidR="00963DE4" w:rsidRPr="00F17123" w:rsidRDefault="00963DE4" w:rsidP="00081FE3">
            <w:pPr>
              <w:pStyle w:val="cuadroCabe"/>
              <w:jc w:val="right"/>
              <w:rPr>
                <w:rFonts w:cs="Arial"/>
              </w:rPr>
            </w:pPr>
            <w:r w:rsidRPr="00F17123">
              <w:rPr>
                <w:rFonts w:cs="Arial"/>
              </w:rPr>
              <w:t>Gestionado por la Hacienda Foral</w:t>
            </w:r>
          </w:p>
        </w:tc>
      </w:tr>
      <w:tr w:rsidR="00963DE4" w:rsidRPr="00801987" w:rsidTr="00934343">
        <w:trPr>
          <w:trHeight w:val="227"/>
        </w:trPr>
        <w:tc>
          <w:tcPr>
            <w:tcW w:w="2136" w:type="dxa"/>
            <w:vMerge/>
            <w:tcBorders>
              <w:left w:val="nil"/>
              <w:bottom w:val="single" w:sz="4" w:space="0" w:color="auto"/>
              <w:right w:val="nil"/>
            </w:tcBorders>
            <w:shd w:val="clear" w:color="auto" w:fill="A8CBEE" w:themeFill="accent2" w:themeFillTint="66"/>
            <w:vAlign w:val="center"/>
          </w:tcPr>
          <w:p w:rsidR="00963DE4" w:rsidRPr="00801987" w:rsidRDefault="00963DE4" w:rsidP="00F17123">
            <w:pPr>
              <w:pStyle w:val="cuadroCabe"/>
              <w:jc w:val="left"/>
              <w:rPr>
                <w:rFonts w:cs="Arial"/>
                <w:sz w:val="16"/>
                <w:szCs w:val="16"/>
              </w:rPr>
            </w:pPr>
          </w:p>
        </w:tc>
        <w:tc>
          <w:tcPr>
            <w:tcW w:w="3393" w:type="dxa"/>
            <w:vMerge/>
            <w:tcBorders>
              <w:left w:val="nil"/>
              <w:bottom w:val="single" w:sz="4" w:space="0" w:color="auto"/>
              <w:right w:val="nil"/>
            </w:tcBorders>
            <w:shd w:val="clear" w:color="auto" w:fill="A8CBEE" w:themeFill="accent2" w:themeFillTint="66"/>
            <w:vAlign w:val="center"/>
          </w:tcPr>
          <w:p w:rsidR="00963DE4" w:rsidRPr="00801987" w:rsidRDefault="00963DE4" w:rsidP="00F17123">
            <w:pPr>
              <w:pStyle w:val="cuadroCabe"/>
              <w:jc w:val="right"/>
              <w:rPr>
                <w:rFonts w:cs="Arial"/>
                <w:sz w:val="16"/>
                <w:szCs w:val="16"/>
              </w:rPr>
            </w:pPr>
          </w:p>
        </w:tc>
        <w:tc>
          <w:tcPr>
            <w:tcW w:w="1422" w:type="dxa"/>
            <w:vMerge/>
            <w:tcBorders>
              <w:left w:val="nil"/>
              <w:bottom w:val="single" w:sz="4" w:space="0" w:color="auto"/>
              <w:right w:val="nil"/>
            </w:tcBorders>
            <w:shd w:val="clear" w:color="auto" w:fill="A8CBEE" w:themeFill="accent2" w:themeFillTint="66"/>
            <w:vAlign w:val="center"/>
          </w:tcPr>
          <w:p w:rsidR="00963DE4" w:rsidRPr="00801987" w:rsidRDefault="00963DE4" w:rsidP="00F17123">
            <w:pPr>
              <w:pStyle w:val="cuadroCabe"/>
              <w:jc w:val="right"/>
              <w:rPr>
                <w:rFonts w:cs="Arial"/>
                <w:sz w:val="16"/>
                <w:szCs w:val="16"/>
              </w:rPr>
            </w:pPr>
          </w:p>
        </w:tc>
        <w:tc>
          <w:tcPr>
            <w:tcW w:w="1858" w:type="dxa"/>
            <w:vMerge/>
            <w:tcBorders>
              <w:left w:val="nil"/>
              <w:bottom w:val="single" w:sz="4" w:space="0" w:color="auto"/>
              <w:right w:val="nil"/>
            </w:tcBorders>
            <w:shd w:val="clear" w:color="auto" w:fill="A8CBEE" w:themeFill="accent2" w:themeFillTint="66"/>
            <w:vAlign w:val="center"/>
          </w:tcPr>
          <w:p w:rsidR="00963DE4" w:rsidRPr="00801987" w:rsidRDefault="00963DE4" w:rsidP="00F17123">
            <w:pPr>
              <w:pStyle w:val="cuadroCabe"/>
              <w:jc w:val="right"/>
              <w:rPr>
                <w:rFonts w:cs="Arial"/>
                <w:sz w:val="16"/>
                <w:szCs w:val="16"/>
              </w:rPr>
            </w:pPr>
          </w:p>
        </w:tc>
      </w:tr>
      <w:tr w:rsidR="00963DE4" w:rsidRPr="00FA3B66" w:rsidTr="00934343">
        <w:trPr>
          <w:trHeight w:val="284"/>
        </w:trPr>
        <w:tc>
          <w:tcPr>
            <w:tcW w:w="2136" w:type="dxa"/>
            <w:tcBorders>
              <w:top w:val="single" w:sz="4" w:space="0" w:color="auto"/>
              <w:left w:val="nil"/>
              <w:bottom w:val="single" w:sz="2" w:space="0" w:color="auto"/>
              <w:right w:val="nil"/>
            </w:tcBorders>
            <w:noWrap/>
            <w:vAlign w:val="center"/>
          </w:tcPr>
          <w:p w:rsidR="00963DE4" w:rsidRPr="002D0DFA" w:rsidRDefault="00963DE4" w:rsidP="002D0DFA">
            <w:pPr>
              <w:pStyle w:val="cuatexto"/>
              <w:ind w:right="-6"/>
              <w:jc w:val="left"/>
              <w:rPr>
                <w:rFonts w:cs="Arial"/>
                <w:szCs w:val="20"/>
                <w:lang w:val="es-ES" w:eastAsia="es-ES"/>
              </w:rPr>
            </w:pPr>
            <w:r w:rsidRPr="002D0DFA">
              <w:rPr>
                <w:rFonts w:cs="Arial"/>
                <w:szCs w:val="20"/>
                <w:lang w:val="es-ES" w:eastAsia="es-ES"/>
              </w:rPr>
              <w:t>2013</w:t>
            </w:r>
          </w:p>
        </w:tc>
        <w:tc>
          <w:tcPr>
            <w:tcW w:w="3393" w:type="dxa"/>
            <w:tcBorders>
              <w:top w:val="single" w:sz="4" w:space="0" w:color="auto"/>
              <w:left w:val="nil"/>
              <w:bottom w:val="single" w:sz="2" w:space="0" w:color="auto"/>
              <w:right w:val="nil"/>
            </w:tcBorders>
            <w:vAlign w:val="center"/>
          </w:tcPr>
          <w:p w:rsidR="00963DE4" w:rsidRPr="002D0DFA" w:rsidRDefault="00963DE4" w:rsidP="002D0DFA">
            <w:pPr>
              <w:spacing w:after="0"/>
              <w:ind w:firstLine="0"/>
              <w:jc w:val="right"/>
              <w:rPr>
                <w:rFonts w:ascii="Arial Narrow" w:hAnsi="Arial Narrow" w:cs="Arial"/>
                <w:lang w:val="es-ES" w:eastAsia="es-ES"/>
              </w:rPr>
            </w:pPr>
            <w:r w:rsidRPr="002D0DFA">
              <w:rPr>
                <w:rFonts w:ascii="Arial Narrow" w:hAnsi="Arial Narrow" w:cs="Arial"/>
                <w:lang w:val="es-ES" w:eastAsia="es-ES"/>
              </w:rPr>
              <w:t>2015</w:t>
            </w:r>
          </w:p>
        </w:tc>
        <w:tc>
          <w:tcPr>
            <w:tcW w:w="1422" w:type="dxa"/>
            <w:tcBorders>
              <w:top w:val="single" w:sz="4" w:space="0" w:color="auto"/>
              <w:left w:val="nil"/>
              <w:bottom w:val="single" w:sz="2" w:space="0" w:color="auto"/>
              <w:right w:val="nil"/>
            </w:tcBorders>
            <w:vAlign w:val="center"/>
          </w:tcPr>
          <w:p w:rsidR="00963DE4" w:rsidRPr="002D0DFA" w:rsidRDefault="00963DE4" w:rsidP="002D0DFA">
            <w:pPr>
              <w:spacing w:after="0"/>
              <w:ind w:firstLine="0"/>
              <w:jc w:val="right"/>
              <w:rPr>
                <w:rFonts w:ascii="Arial Narrow" w:hAnsi="Arial Narrow" w:cs="Arial"/>
                <w:lang w:val="es-ES" w:eastAsia="es-ES"/>
              </w:rPr>
            </w:pPr>
            <w:r w:rsidRPr="002D0DFA">
              <w:rPr>
                <w:rFonts w:ascii="Arial Narrow" w:hAnsi="Arial Narrow" w:cs="Arial"/>
                <w:lang w:val="es-ES" w:eastAsia="es-ES"/>
              </w:rPr>
              <w:t>9.006</w:t>
            </w:r>
          </w:p>
        </w:tc>
        <w:tc>
          <w:tcPr>
            <w:tcW w:w="1858" w:type="dxa"/>
            <w:tcBorders>
              <w:top w:val="single" w:sz="4" w:space="0" w:color="auto"/>
              <w:left w:val="nil"/>
              <w:bottom w:val="single" w:sz="2" w:space="0" w:color="auto"/>
              <w:right w:val="nil"/>
            </w:tcBorders>
            <w:vAlign w:val="center"/>
          </w:tcPr>
          <w:p w:rsidR="00963DE4" w:rsidRPr="002D0DFA" w:rsidRDefault="00963DE4" w:rsidP="002D0DFA">
            <w:pPr>
              <w:spacing w:after="0"/>
              <w:ind w:firstLine="0"/>
              <w:jc w:val="right"/>
              <w:rPr>
                <w:rFonts w:ascii="Arial Narrow" w:hAnsi="Arial Narrow" w:cs="Arial"/>
                <w:lang w:val="es-ES" w:eastAsia="es-ES"/>
              </w:rPr>
            </w:pPr>
          </w:p>
        </w:tc>
      </w:tr>
      <w:tr w:rsidR="00963DE4" w:rsidRPr="00FA3B66" w:rsidTr="00934343">
        <w:trPr>
          <w:trHeight w:val="284"/>
        </w:trPr>
        <w:tc>
          <w:tcPr>
            <w:tcW w:w="2136" w:type="dxa"/>
            <w:tcBorders>
              <w:top w:val="single" w:sz="2" w:space="0" w:color="auto"/>
              <w:left w:val="nil"/>
              <w:bottom w:val="single" w:sz="2" w:space="0" w:color="auto"/>
              <w:right w:val="nil"/>
            </w:tcBorders>
            <w:noWrap/>
            <w:vAlign w:val="center"/>
          </w:tcPr>
          <w:p w:rsidR="00963DE4" w:rsidRPr="002D0DFA" w:rsidRDefault="00963DE4" w:rsidP="002D0DFA">
            <w:pPr>
              <w:pStyle w:val="cuatexto"/>
              <w:ind w:right="-6"/>
              <w:jc w:val="left"/>
              <w:rPr>
                <w:rFonts w:cs="Arial"/>
                <w:szCs w:val="20"/>
                <w:lang w:val="es-ES" w:eastAsia="es-ES"/>
              </w:rPr>
            </w:pPr>
            <w:r w:rsidRPr="002D0DFA">
              <w:rPr>
                <w:rFonts w:cs="Arial"/>
                <w:szCs w:val="20"/>
                <w:lang w:val="es-ES" w:eastAsia="es-ES"/>
              </w:rPr>
              <w:t>2014</w:t>
            </w:r>
          </w:p>
        </w:tc>
        <w:tc>
          <w:tcPr>
            <w:tcW w:w="3393" w:type="dxa"/>
            <w:tcBorders>
              <w:top w:val="single" w:sz="2" w:space="0" w:color="auto"/>
              <w:left w:val="nil"/>
              <w:bottom w:val="single" w:sz="2" w:space="0" w:color="auto"/>
              <w:right w:val="nil"/>
            </w:tcBorders>
            <w:vAlign w:val="center"/>
          </w:tcPr>
          <w:p w:rsidR="00963DE4" w:rsidRPr="002D0DFA" w:rsidRDefault="00963DE4" w:rsidP="002D0DFA">
            <w:pPr>
              <w:spacing w:after="0"/>
              <w:ind w:firstLine="0"/>
              <w:jc w:val="right"/>
              <w:rPr>
                <w:rFonts w:ascii="Arial Narrow" w:hAnsi="Arial Narrow" w:cs="Arial"/>
                <w:lang w:val="es-ES" w:eastAsia="es-ES"/>
              </w:rPr>
            </w:pPr>
            <w:r w:rsidRPr="002D0DFA">
              <w:rPr>
                <w:rFonts w:ascii="Arial Narrow" w:hAnsi="Arial Narrow" w:cs="Arial"/>
                <w:lang w:val="es-ES" w:eastAsia="es-ES"/>
              </w:rPr>
              <w:t>2015</w:t>
            </w:r>
          </w:p>
        </w:tc>
        <w:tc>
          <w:tcPr>
            <w:tcW w:w="1422" w:type="dxa"/>
            <w:tcBorders>
              <w:top w:val="single" w:sz="2" w:space="0" w:color="auto"/>
              <w:left w:val="nil"/>
              <w:bottom w:val="single" w:sz="2" w:space="0" w:color="auto"/>
              <w:right w:val="nil"/>
            </w:tcBorders>
            <w:vAlign w:val="center"/>
          </w:tcPr>
          <w:p w:rsidR="00963DE4" w:rsidRPr="002D0DFA" w:rsidRDefault="00963DE4" w:rsidP="002D0DFA">
            <w:pPr>
              <w:spacing w:after="0"/>
              <w:ind w:firstLine="0"/>
              <w:jc w:val="right"/>
              <w:rPr>
                <w:rFonts w:ascii="Arial Narrow" w:hAnsi="Arial Narrow" w:cs="Arial"/>
                <w:lang w:val="es-ES" w:eastAsia="es-ES"/>
              </w:rPr>
            </w:pPr>
            <w:r w:rsidRPr="002D0DFA">
              <w:rPr>
                <w:rFonts w:ascii="Arial Narrow" w:hAnsi="Arial Narrow" w:cs="Arial"/>
                <w:lang w:val="es-ES" w:eastAsia="es-ES"/>
              </w:rPr>
              <w:t>8.909</w:t>
            </w:r>
          </w:p>
        </w:tc>
        <w:tc>
          <w:tcPr>
            <w:tcW w:w="1858" w:type="dxa"/>
            <w:tcBorders>
              <w:top w:val="single" w:sz="2" w:space="0" w:color="auto"/>
              <w:left w:val="nil"/>
              <w:bottom w:val="single" w:sz="2" w:space="0" w:color="auto"/>
              <w:right w:val="nil"/>
            </w:tcBorders>
            <w:vAlign w:val="center"/>
          </w:tcPr>
          <w:p w:rsidR="00963DE4" w:rsidRPr="002D0DFA" w:rsidRDefault="00963DE4" w:rsidP="002D0DFA">
            <w:pPr>
              <w:spacing w:after="0"/>
              <w:ind w:firstLine="0"/>
              <w:jc w:val="right"/>
              <w:rPr>
                <w:rFonts w:ascii="Arial Narrow" w:hAnsi="Arial Narrow" w:cs="Arial"/>
                <w:lang w:val="es-ES" w:eastAsia="es-ES"/>
              </w:rPr>
            </w:pPr>
          </w:p>
        </w:tc>
      </w:tr>
      <w:tr w:rsidR="00963DE4" w:rsidRPr="00FA3B66" w:rsidTr="00934343">
        <w:trPr>
          <w:trHeight w:val="284"/>
        </w:trPr>
        <w:tc>
          <w:tcPr>
            <w:tcW w:w="2136" w:type="dxa"/>
            <w:tcBorders>
              <w:top w:val="single" w:sz="2" w:space="0" w:color="auto"/>
              <w:left w:val="nil"/>
              <w:bottom w:val="single" w:sz="2" w:space="0" w:color="auto"/>
              <w:right w:val="nil"/>
            </w:tcBorders>
            <w:noWrap/>
            <w:vAlign w:val="center"/>
          </w:tcPr>
          <w:p w:rsidR="00963DE4" w:rsidRPr="002D0DFA" w:rsidRDefault="00963DE4" w:rsidP="002D0DFA">
            <w:pPr>
              <w:pStyle w:val="cuatexto"/>
              <w:ind w:right="-6"/>
              <w:jc w:val="left"/>
              <w:rPr>
                <w:rFonts w:cs="Arial"/>
                <w:szCs w:val="20"/>
                <w:lang w:val="es-ES" w:eastAsia="es-ES"/>
              </w:rPr>
            </w:pPr>
            <w:r w:rsidRPr="002D0DFA">
              <w:rPr>
                <w:rFonts w:cs="Arial"/>
                <w:szCs w:val="20"/>
                <w:lang w:val="es-ES" w:eastAsia="es-ES"/>
              </w:rPr>
              <w:t>2015-</w:t>
            </w:r>
            <w:r w:rsidR="00957545">
              <w:rPr>
                <w:rFonts w:cs="Arial"/>
                <w:szCs w:val="20"/>
                <w:lang w:val="es-ES" w:eastAsia="es-ES"/>
              </w:rPr>
              <w:t xml:space="preserve"> </w:t>
            </w:r>
            <w:r w:rsidRPr="002D0DFA">
              <w:rPr>
                <w:rFonts w:cs="Arial"/>
                <w:szCs w:val="20"/>
                <w:lang w:val="es-ES" w:eastAsia="es-ES"/>
              </w:rPr>
              <w:t xml:space="preserve">Enero a </w:t>
            </w:r>
            <w:r w:rsidR="00FE7418" w:rsidRPr="002D0DFA">
              <w:rPr>
                <w:rFonts w:cs="Arial"/>
                <w:szCs w:val="20"/>
                <w:lang w:val="es-ES" w:eastAsia="es-ES"/>
              </w:rPr>
              <w:t>mayo</w:t>
            </w:r>
          </w:p>
        </w:tc>
        <w:tc>
          <w:tcPr>
            <w:tcW w:w="3393" w:type="dxa"/>
            <w:tcBorders>
              <w:top w:val="single" w:sz="2" w:space="0" w:color="auto"/>
              <w:left w:val="nil"/>
              <w:bottom w:val="single" w:sz="2" w:space="0" w:color="auto"/>
              <w:right w:val="nil"/>
            </w:tcBorders>
            <w:vAlign w:val="center"/>
          </w:tcPr>
          <w:p w:rsidR="00963DE4" w:rsidRPr="002D0DFA" w:rsidRDefault="00963DE4" w:rsidP="002D0DFA">
            <w:pPr>
              <w:spacing w:after="0"/>
              <w:ind w:firstLine="0"/>
              <w:jc w:val="right"/>
              <w:rPr>
                <w:rFonts w:ascii="Arial Narrow" w:hAnsi="Arial Narrow" w:cs="Arial"/>
                <w:lang w:val="es-ES" w:eastAsia="es-ES"/>
              </w:rPr>
            </w:pPr>
            <w:r w:rsidRPr="002D0DFA">
              <w:rPr>
                <w:rFonts w:ascii="Arial Narrow" w:hAnsi="Arial Narrow" w:cs="Arial"/>
                <w:lang w:val="es-ES" w:eastAsia="es-ES"/>
              </w:rPr>
              <w:t>2016</w:t>
            </w:r>
          </w:p>
        </w:tc>
        <w:tc>
          <w:tcPr>
            <w:tcW w:w="1422" w:type="dxa"/>
            <w:tcBorders>
              <w:top w:val="single" w:sz="2" w:space="0" w:color="auto"/>
              <w:left w:val="nil"/>
              <w:bottom w:val="single" w:sz="2" w:space="0" w:color="auto"/>
              <w:right w:val="nil"/>
            </w:tcBorders>
            <w:vAlign w:val="center"/>
          </w:tcPr>
          <w:p w:rsidR="00963DE4" w:rsidRPr="002D0DFA" w:rsidRDefault="00963DE4" w:rsidP="002D0DFA">
            <w:pPr>
              <w:spacing w:after="0"/>
              <w:ind w:firstLine="0"/>
              <w:jc w:val="right"/>
              <w:rPr>
                <w:rFonts w:ascii="Arial Narrow" w:hAnsi="Arial Narrow" w:cs="Arial"/>
                <w:lang w:val="es-ES" w:eastAsia="es-ES"/>
              </w:rPr>
            </w:pPr>
            <w:r w:rsidRPr="002D0DFA">
              <w:rPr>
                <w:rFonts w:ascii="Arial Narrow" w:hAnsi="Arial Narrow" w:cs="Arial"/>
                <w:lang w:val="es-ES" w:eastAsia="es-ES"/>
              </w:rPr>
              <w:t>3.096</w:t>
            </w:r>
          </w:p>
        </w:tc>
        <w:tc>
          <w:tcPr>
            <w:tcW w:w="1858" w:type="dxa"/>
            <w:tcBorders>
              <w:top w:val="single" w:sz="2" w:space="0" w:color="auto"/>
              <w:left w:val="nil"/>
              <w:bottom w:val="single" w:sz="2" w:space="0" w:color="auto"/>
              <w:right w:val="nil"/>
            </w:tcBorders>
            <w:vAlign w:val="center"/>
          </w:tcPr>
          <w:p w:rsidR="00963DE4" w:rsidRPr="002D0DFA" w:rsidRDefault="00963DE4" w:rsidP="002D0DFA">
            <w:pPr>
              <w:spacing w:after="0"/>
              <w:ind w:firstLine="0"/>
              <w:jc w:val="right"/>
              <w:rPr>
                <w:rFonts w:ascii="Arial Narrow" w:hAnsi="Arial Narrow" w:cs="Arial"/>
                <w:lang w:val="es-ES" w:eastAsia="es-ES"/>
              </w:rPr>
            </w:pPr>
          </w:p>
        </w:tc>
      </w:tr>
      <w:tr w:rsidR="00963DE4" w:rsidRPr="00FA3B66" w:rsidTr="00934343">
        <w:trPr>
          <w:trHeight w:val="284"/>
        </w:trPr>
        <w:tc>
          <w:tcPr>
            <w:tcW w:w="2136" w:type="dxa"/>
            <w:tcBorders>
              <w:top w:val="single" w:sz="2" w:space="0" w:color="auto"/>
              <w:left w:val="nil"/>
              <w:bottom w:val="single" w:sz="2" w:space="0" w:color="auto"/>
              <w:right w:val="nil"/>
            </w:tcBorders>
            <w:noWrap/>
            <w:vAlign w:val="center"/>
          </w:tcPr>
          <w:p w:rsidR="00963DE4" w:rsidRPr="002D0DFA" w:rsidRDefault="00963DE4" w:rsidP="002D0DFA">
            <w:pPr>
              <w:pStyle w:val="cuatexto"/>
              <w:ind w:right="-6"/>
              <w:jc w:val="left"/>
              <w:rPr>
                <w:rFonts w:cs="Arial"/>
                <w:szCs w:val="20"/>
                <w:lang w:val="es-ES" w:eastAsia="es-ES"/>
              </w:rPr>
            </w:pPr>
            <w:r w:rsidRPr="002D0DFA">
              <w:rPr>
                <w:rFonts w:cs="Arial"/>
                <w:szCs w:val="20"/>
                <w:lang w:val="es-ES" w:eastAsia="es-ES"/>
              </w:rPr>
              <w:t>2015- Ju</w:t>
            </w:r>
            <w:r w:rsidR="00FE7418" w:rsidRPr="002D0DFA">
              <w:rPr>
                <w:rFonts w:cs="Arial"/>
                <w:szCs w:val="20"/>
                <w:lang w:val="es-ES" w:eastAsia="es-ES"/>
              </w:rPr>
              <w:t>nio</w:t>
            </w:r>
            <w:r w:rsidRPr="002D0DFA">
              <w:rPr>
                <w:rFonts w:cs="Arial"/>
                <w:szCs w:val="20"/>
                <w:lang w:val="es-ES" w:eastAsia="es-ES"/>
              </w:rPr>
              <w:t xml:space="preserve"> a </w:t>
            </w:r>
            <w:r w:rsidR="00FE7418" w:rsidRPr="002D0DFA">
              <w:rPr>
                <w:rFonts w:cs="Arial"/>
                <w:szCs w:val="20"/>
                <w:lang w:val="es-ES" w:eastAsia="es-ES"/>
              </w:rPr>
              <w:t>noviembre</w:t>
            </w:r>
          </w:p>
        </w:tc>
        <w:tc>
          <w:tcPr>
            <w:tcW w:w="3393" w:type="dxa"/>
            <w:tcBorders>
              <w:top w:val="single" w:sz="2" w:space="0" w:color="auto"/>
              <w:left w:val="nil"/>
              <w:bottom w:val="single" w:sz="2" w:space="0" w:color="auto"/>
              <w:right w:val="nil"/>
            </w:tcBorders>
            <w:vAlign w:val="center"/>
          </w:tcPr>
          <w:p w:rsidR="00963DE4" w:rsidRPr="002D0DFA" w:rsidRDefault="00963DE4" w:rsidP="002D0DFA">
            <w:pPr>
              <w:spacing w:after="0"/>
              <w:ind w:firstLine="0"/>
              <w:jc w:val="right"/>
              <w:rPr>
                <w:rFonts w:ascii="Arial Narrow" w:hAnsi="Arial Narrow" w:cs="Arial"/>
                <w:lang w:val="es-ES" w:eastAsia="es-ES"/>
              </w:rPr>
            </w:pPr>
            <w:r w:rsidRPr="002D0DFA">
              <w:rPr>
                <w:rFonts w:ascii="Arial Narrow" w:hAnsi="Arial Narrow" w:cs="Arial"/>
                <w:lang w:val="es-ES" w:eastAsia="es-ES"/>
              </w:rPr>
              <w:t>2015</w:t>
            </w:r>
          </w:p>
        </w:tc>
        <w:tc>
          <w:tcPr>
            <w:tcW w:w="1422" w:type="dxa"/>
            <w:tcBorders>
              <w:top w:val="single" w:sz="2" w:space="0" w:color="auto"/>
              <w:left w:val="nil"/>
              <w:bottom w:val="single" w:sz="2" w:space="0" w:color="auto"/>
              <w:right w:val="nil"/>
            </w:tcBorders>
            <w:vAlign w:val="center"/>
          </w:tcPr>
          <w:p w:rsidR="00963DE4" w:rsidRPr="002D0DFA" w:rsidRDefault="00963DE4" w:rsidP="002D0DFA">
            <w:pPr>
              <w:spacing w:after="0"/>
              <w:ind w:firstLine="0"/>
              <w:jc w:val="right"/>
              <w:rPr>
                <w:rFonts w:ascii="Arial Narrow" w:hAnsi="Arial Narrow" w:cs="Arial"/>
                <w:lang w:val="es-ES" w:eastAsia="es-ES"/>
              </w:rPr>
            </w:pPr>
          </w:p>
        </w:tc>
        <w:tc>
          <w:tcPr>
            <w:tcW w:w="1858" w:type="dxa"/>
            <w:tcBorders>
              <w:top w:val="single" w:sz="2" w:space="0" w:color="auto"/>
              <w:left w:val="nil"/>
              <w:bottom w:val="single" w:sz="2" w:space="0" w:color="auto"/>
              <w:right w:val="nil"/>
            </w:tcBorders>
            <w:vAlign w:val="center"/>
          </w:tcPr>
          <w:p w:rsidR="00963DE4" w:rsidRPr="002D0DFA" w:rsidRDefault="00963DE4" w:rsidP="002D0DFA">
            <w:pPr>
              <w:spacing w:after="0"/>
              <w:ind w:firstLine="0"/>
              <w:jc w:val="right"/>
              <w:rPr>
                <w:rFonts w:ascii="Arial Narrow" w:hAnsi="Arial Narrow" w:cs="Arial"/>
                <w:lang w:val="es-ES" w:eastAsia="es-ES"/>
              </w:rPr>
            </w:pPr>
            <w:r w:rsidRPr="002D0DFA">
              <w:rPr>
                <w:rFonts w:ascii="Arial Narrow" w:hAnsi="Arial Narrow" w:cs="Arial"/>
                <w:lang w:val="es-ES" w:eastAsia="es-ES"/>
              </w:rPr>
              <w:t>862</w:t>
            </w:r>
          </w:p>
        </w:tc>
      </w:tr>
      <w:tr w:rsidR="00FE7418" w:rsidRPr="00FA3B66" w:rsidTr="00934343">
        <w:trPr>
          <w:trHeight w:val="284"/>
        </w:trPr>
        <w:tc>
          <w:tcPr>
            <w:tcW w:w="2136" w:type="dxa"/>
            <w:tcBorders>
              <w:top w:val="single" w:sz="2" w:space="0" w:color="auto"/>
              <w:left w:val="nil"/>
              <w:bottom w:val="single" w:sz="2" w:space="0" w:color="auto"/>
              <w:right w:val="nil"/>
            </w:tcBorders>
            <w:noWrap/>
            <w:vAlign w:val="center"/>
          </w:tcPr>
          <w:p w:rsidR="00FE7418" w:rsidRPr="002D0DFA" w:rsidRDefault="00FE7418" w:rsidP="002D0DFA">
            <w:pPr>
              <w:pStyle w:val="cuatexto"/>
              <w:ind w:right="-6"/>
              <w:jc w:val="left"/>
              <w:rPr>
                <w:rFonts w:cs="Arial"/>
                <w:szCs w:val="20"/>
                <w:lang w:val="es-ES" w:eastAsia="es-ES"/>
              </w:rPr>
            </w:pPr>
            <w:r w:rsidRPr="002D0DFA">
              <w:rPr>
                <w:rFonts w:cs="Arial"/>
                <w:szCs w:val="20"/>
                <w:lang w:val="es-ES" w:eastAsia="es-ES"/>
              </w:rPr>
              <w:t>2015- Diciembre</w:t>
            </w:r>
          </w:p>
        </w:tc>
        <w:tc>
          <w:tcPr>
            <w:tcW w:w="3393" w:type="dxa"/>
            <w:tcBorders>
              <w:top w:val="single" w:sz="2" w:space="0" w:color="auto"/>
              <w:left w:val="nil"/>
              <w:bottom w:val="single" w:sz="2" w:space="0" w:color="auto"/>
              <w:right w:val="nil"/>
            </w:tcBorders>
            <w:vAlign w:val="center"/>
          </w:tcPr>
          <w:p w:rsidR="00FE7418" w:rsidRPr="002D0DFA" w:rsidRDefault="00FE7418" w:rsidP="002D0DFA">
            <w:pPr>
              <w:spacing w:after="0"/>
              <w:ind w:firstLine="0"/>
              <w:jc w:val="right"/>
              <w:rPr>
                <w:rFonts w:ascii="Arial Narrow" w:hAnsi="Arial Narrow" w:cs="Arial"/>
                <w:lang w:val="es-ES" w:eastAsia="es-ES"/>
              </w:rPr>
            </w:pPr>
            <w:r w:rsidRPr="002D0DFA">
              <w:rPr>
                <w:rFonts w:ascii="Arial Narrow" w:hAnsi="Arial Narrow" w:cs="Arial"/>
                <w:lang w:val="es-ES" w:eastAsia="es-ES"/>
              </w:rPr>
              <w:t>2016</w:t>
            </w:r>
          </w:p>
        </w:tc>
        <w:tc>
          <w:tcPr>
            <w:tcW w:w="1422" w:type="dxa"/>
            <w:tcBorders>
              <w:top w:val="single" w:sz="2" w:space="0" w:color="auto"/>
              <w:left w:val="nil"/>
              <w:bottom w:val="single" w:sz="2" w:space="0" w:color="auto"/>
              <w:right w:val="nil"/>
            </w:tcBorders>
            <w:vAlign w:val="center"/>
          </w:tcPr>
          <w:p w:rsidR="00FE7418" w:rsidRPr="002D0DFA" w:rsidRDefault="00FE7418" w:rsidP="002D0DFA">
            <w:pPr>
              <w:spacing w:after="0"/>
              <w:ind w:firstLine="0"/>
              <w:jc w:val="right"/>
              <w:rPr>
                <w:rFonts w:ascii="Arial Narrow" w:hAnsi="Arial Narrow" w:cs="Arial"/>
                <w:lang w:val="es-ES" w:eastAsia="es-ES"/>
              </w:rPr>
            </w:pPr>
          </w:p>
        </w:tc>
        <w:tc>
          <w:tcPr>
            <w:tcW w:w="1858" w:type="dxa"/>
            <w:tcBorders>
              <w:top w:val="single" w:sz="2" w:space="0" w:color="auto"/>
              <w:left w:val="nil"/>
              <w:bottom w:val="single" w:sz="2" w:space="0" w:color="auto"/>
              <w:right w:val="nil"/>
            </w:tcBorders>
            <w:vAlign w:val="center"/>
          </w:tcPr>
          <w:p w:rsidR="00FE7418" w:rsidRPr="002D0DFA" w:rsidRDefault="00FE7418" w:rsidP="002D0DFA">
            <w:pPr>
              <w:spacing w:after="0"/>
              <w:ind w:firstLine="0"/>
              <w:jc w:val="right"/>
              <w:rPr>
                <w:rFonts w:ascii="Arial Narrow" w:hAnsi="Arial Narrow" w:cs="Arial"/>
                <w:lang w:val="es-ES" w:eastAsia="es-ES"/>
              </w:rPr>
            </w:pPr>
            <w:r w:rsidRPr="002D0DFA">
              <w:rPr>
                <w:rFonts w:ascii="Arial Narrow" w:hAnsi="Arial Narrow" w:cs="Arial"/>
                <w:lang w:val="es-ES" w:eastAsia="es-ES"/>
              </w:rPr>
              <w:t>178</w:t>
            </w:r>
          </w:p>
        </w:tc>
      </w:tr>
      <w:tr w:rsidR="004877F2" w:rsidRPr="00FA3B66" w:rsidTr="00934343">
        <w:trPr>
          <w:trHeight w:val="284"/>
        </w:trPr>
        <w:tc>
          <w:tcPr>
            <w:tcW w:w="5529" w:type="dxa"/>
            <w:gridSpan w:val="2"/>
            <w:tcBorders>
              <w:top w:val="single" w:sz="2" w:space="0" w:color="auto"/>
              <w:left w:val="nil"/>
              <w:bottom w:val="single" w:sz="2" w:space="0" w:color="auto"/>
              <w:right w:val="nil"/>
            </w:tcBorders>
            <w:shd w:val="clear" w:color="auto" w:fill="A8CBEE" w:themeFill="accent2" w:themeFillTint="66"/>
            <w:noWrap/>
            <w:vAlign w:val="center"/>
          </w:tcPr>
          <w:p w:rsidR="004877F2" w:rsidRPr="00081FE3" w:rsidRDefault="004877F2" w:rsidP="004877F2">
            <w:pPr>
              <w:spacing w:after="0"/>
              <w:ind w:firstLine="0"/>
              <w:jc w:val="left"/>
              <w:rPr>
                <w:rFonts w:ascii="Arial Narrow" w:hAnsi="Arial Narrow" w:cs="Arial"/>
                <w:sz w:val="18"/>
                <w:szCs w:val="18"/>
                <w:lang w:val="es-ES" w:eastAsia="es-ES"/>
              </w:rPr>
            </w:pPr>
            <w:r w:rsidRPr="00081FE3">
              <w:rPr>
                <w:rFonts w:ascii="Arial" w:hAnsi="Arial" w:cs="Arial"/>
                <w:sz w:val="18"/>
                <w:szCs w:val="18"/>
              </w:rPr>
              <w:t>Total Gravamen</w:t>
            </w:r>
          </w:p>
        </w:tc>
        <w:tc>
          <w:tcPr>
            <w:tcW w:w="1422" w:type="dxa"/>
            <w:tcBorders>
              <w:top w:val="single" w:sz="2" w:space="0" w:color="auto"/>
              <w:left w:val="nil"/>
              <w:bottom w:val="single" w:sz="2" w:space="0" w:color="auto"/>
              <w:right w:val="nil"/>
            </w:tcBorders>
            <w:shd w:val="clear" w:color="auto" w:fill="A8CBEE" w:themeFill="accent2" w:themeFillTint="66"/>
            <w:vAlign w:val="center"/>
          </w:tcPr>
          <w:p w:rsidR="004877F2" w:rsidRPr="00081FE3" w:rsidRDefault="004877F2" w:rsidP="004877F2">
            <w:pPr>
              <w:pStyle w:val="cuadroCabe"/>
              <w:jc w:val="right"/>
              <w:rPr>
                <w:szCs w:val="18"/>
              </w:rPr>
            </w:pPr>
            <w:r w:rsidRPr="00081FE3">
              <w:rPr>
                <w:szCs w:val="18"/>
              </w:rPr>
              <w:t>21.011</w:t>
            </w:r>
          </w:p>
        </w:tc>
        <w:tc>
          <w:tcPr>
            <w:tcW w:w="1858" w:type="dxa"/>
            <w:tcBorders>
              <w:top w:val="single" w:sz="2" w:space="0" w:color="auto"/>
              <w:left w:val="nil"/>
              <w:bottom w:val="single" w:sz="2" w:space="0" w:color="auto"/>
              <w:right w:val="nil"/>
            </w:tcBorders>
            <w:shd w:val="clear" w:color="auto" w:fill="A8CBEE" w:themeFill="accent2" w:themeFillTint="66"/>
            <w:vAlign w:val="center"/>
          </w:tcPr>
          <w:p w:rsidR="004877F2" w:rsidRPr="00081FE3" w:rsidRDefault="004877F2" w:rsidP="004877F2">
            <w:pPr>
              <w:pStyle w:val="cuadroCabe"/>
              <w:jc w:val="right"/>
              <w:rPr>
                <w:szCs w:val="18"/>
              </w:rPr>
            </w:pPr>
            <w:r w:rsidRPr="00081FE3">
              <w:rPr>
                <w:szCs w:val="18"/>
              </w:rPr>
              <w:t>1.040</w:t>
            </w:r>
          </w:p>
        </w:tc>
      </w:tr>
    </w:tbl>
    <w:p w:rsidR="00252FC1" w:rsidRDefault="00FE7418" w:rsidP="00081FE3">
      <w:pPr>
        <w:pStyle w:val="texto"/>
        <w:spacing w:before="360"/>
        <w:rPr>
          <w:lang w:val="es-ES"/>
        </w:rPr>
      </w:pPr>
      <w:r>
        <w:rPr>
          <w:lang w:val="es-ES"/>
        </w:rPr>
        <w:t>En definitiva, al presupuesto de 2015 se imputan lo recaudado por el Estado en los ejercicios de 2013 y 2014</w:t>
      </w:r>
      <w:r w:rsidR="003D72B0">
        <w:rPr>
          <w:lang w:val="es-ES"/>
        </w:rPr>
        <w:t xml:space="preserve"> –amparado en certificaciones</w:t>
      </w:r>
      <w:r w:rsidR="00D445B9">
        <w:rPr>
          <w:lang w:val="es-ES"/>
        </w:rPr>
        <w:t xml:space="preserve"> globales</w:t>
      </w:r>
      <w:r w:rsidR="003D72B0">
        <w:rPr>
          <w:lang w:val="es-ES"/>
        </w:rPr>
        <w:t xml:space="preserve"> de la </w:t>
      </w:r>
      <w:r w:rsidR="00894A04">
        <w:rPr>
          <w:lang w:val="es-ES"/>
        </w:rPr>
        <w:t>Agencia Estatal de Administración de Tributos (AEAT</w:t>
      </w:r>
      <w:r w:rsidR="00B10FC2">
        <w:rPr>
          <w:lang w:val="es-ES"/>
        </w:rPr>
        <w:t>) –</w:t>
      </w:r>
      <w:r>
        <w:rPr>
          <w:lang w:val="es-ES"/>
        </w:rPr>
        <w:t xml:space="preserve"> y lo recaudado por la Hacienda Foral de junio a noviembre de dicho año</w:t>
      </w:r>
      <w:r w:rsidR="00D445B9">
        <w:rPr>
          <w:lang w:val="es-ES"/>
        </w:rPr>
        <w:t>, de acuerdo con las</w:t>
      </w:r>
      <w:r w:rsidRPr="00FE7418">
        <w:rPr>
          <w:lang w:val="es-ES"/>
        </w:rPr>
        <w:t xml:space="preserve"> liquidacio</w:t>
      </w:r>
      <w:r>
        <w:rPr>
          <w:lang w:val="es-ES"/>
        </w:rPr>
        <w:t>nes mensuales de</w:t>
      </w:r>
      <w:r w:rsidR="00D445B9">
        <w:rPr>
          <w:lang w:val="es-ES"/>
        </w:rPr>
        <w:t xml:space="preserve"> dichos meses</w:t>
      </w:r>
      <w:r>
        <w:rPr>
          <w:lang w:val="es-ES"/>
        </w:rPr>
        <w:t xml:space="preserve"> </w:t>
      </w:r>
      <w:r w:rsidRPr="00FE7418">
        <w:rPr>
          <w:lang w:val="es-ES"/>
        </w:rPr>
        <w:t>presentadas por la</w:t>
      </w:r>
      <w:r>
        <w:rPr>
          <w:lang w:val="es-ES"/>
        </w:rPr>
        <w:t xml:space="preserve"> </w:t>
      </w:r>
      <w:r w:rsidRPr="00B646F3">
        <w:rPr>
          <w:lang w:val="es-ES"/>
        </w:rPr>
        <w:t>SELAE</w:t>
      </w:r>
      <w:r>
        <w:rPr>
          <w:lang w:val="es-ES"/>
        </w:rPr>
        <w:t xml:space="preserve"> </w:t>
      </w:r>
      <w:r w:rsidR="00081FE3">
        <w:rPr>
          <w:lang w:val="es-ES"/>
        </w:rPr>
        <w:t>–</w:t>
      </w:r>
      <w:r>
        <w:rPr>
          <w:lang w:val="es-ES"/>
        </w:rPr>
        <w:t>0,38 millones</w:t>
      </w:r>
      <w:r w:rsidR="00081FE3">
        <w:rPr>
          <w:lang w:val="es-ES"/>
        </w:rPr>
        <w:t>–</w:t>
      </w:r>
      <w:r>
        <w:rPr>
          <w:lang w:val="es-ES"/>
        </w:rPr>
        <w:t xml:space="preserve"> y por la </w:t>
      </w:r>
      <w:r w:rsidRPr="00B646F3">
        <w:rPr>
          <w:lang w:val="es-ES"/>
        </w:rPr>
        <w:t>ONCE</w:t>
      </w:r>
      <w:r>
        <w:rPr>
          <w:lang w:val="es-ES"/>
        </w:rPr>
        <w:t xml:space="preserve"> </w:t>
      </w:r>
      <w:r w:rsidR="00081FE3">
        <w:rPr>
          <w:lang w:val="es-ES"/>
        </w:rPr>
        <w:t>–</w:t>
      </w:r>
      <w:r>
        <w:rPr>
          <w:lang w:val="es-ES"/>
        </w:rPr>
        <w:t>0,44 millones</w:t>
      </w:r>
      <w:r w:rsidR="00081FE3">
        <w:rPr>
          <w:lang w:val="es-ES"/>
        </w:rPr>
        <w:t>–</w:t>
      </w:r>
      <w:r>
        <w:rPr>
          <w:lang w:val="es-ES"/>
        </w:rPr>
        <w:t xml:space="preserve">. </w:t>
      </w:r>
    </w:p>
    <w:p w:rsidR="003D72B0" w:rsidRDefault="00FE7418" w:rsidP="00081FE3">
      <w:pPr>
        <w:pStyle w:val="texto"/>
        <w:rPr>
          <w:lang w:val="es-ES"/>
        </w:rPr>
      </w:pPr>
      <w:r>
        <w:rPr>
          <w:lang w:val="es-ES"/>
        </w:rPr>
        <w:t>El mes de diciembre de 2015 se imputa al presupuesto de 2016</w:t>
      </w:r>
      <w:r w:rsidR="001B0417">
        <w:rPr>
          <w:lang w:val="es-ES"/>
        </w:rPr>
        <w:t xml:space="preserve"> y su importe, 0,</w:t>
      </w:r>
      <w:r w:rsidR="004877F2">
        <w:rPr>
          <w:lang w:val="es-ES"/>
        </w:rPr>
        <w:t xml:space="preserve">17 </w:t>
      </w:r>
      <w:r w:rsidR="001B0417">
        <w:rPr>
          <w:lang w:val="es-ES"/>
        </w:rPr>
        <w:t>millones, corresponde a la liquidación mensual presentada por la SELAE, ya que la ONCE presenta una liquidación nula.</w:t>
      </w:r>
      <w:r w:rsidR="00F52958">
        <w:rPr>
          <w:lang w:val="es-ES"/>
        </w:rPr>
        <w:t xml:space="preserve"> </w:t>
      </w:r>
      <w:r w:rsidR="003D72B0">
        <w:rPr>
          <w:lang w:val="es-ES"/>
        </w:rPr>
        <w:t>También se imputa al presu</w:t>
      </w:r>
      <w:r w:rsidR="00465B76">
        <w:rPr>
          <w:lang w:val="es-ES"/>
        </w:rPr>
        <w:t>puesto de 2016</w:t>
      </w:r>
      <w:r w:rsidR="003D72B0">
        <w:rPr>
          <w:lang w:val="es-ES"/>
        </w:rPr>
        <w:t xml:space="preserve"> la parte gestionada por el </w:t>
      </w:r>
      <w:r w:rsidR="005C6601">
        <w:rPr>
          <w:lang w:val="es-ES"/>
        </w:rPr>
        <w:t>E</w:t>
      </w:r>
      <w:r w:rsidR="003D72B0">
        <w:rPr>
          <w:lang w:val="es-ES"/>
        </w:rPr>
        <w:t>stado de los meses de enero a mayo de 2015</w:t>
      </w:r>
      <w:r w:rsidR="00894A04">
        <w:rPr>
          <w:lang w:val="es-ES"/>
        </w:rPr>
        <w:t>, de acuerdo con la certificación</w:t>
      </w:r>
      <w:r w:rsidR="00D445B9">
        <w:rPr>
          <w:lang w:val="es-ES"/>
        </w:rPr>
        <w:t xml:space="preserve"> global</w:t>
      </w:r>
      <w:r w:rsidR="00894A04">
        <w:rPr>
          <w:lang w:val="es-ES"/>
        </w:rPr>
        <w:t xml:space="preserve"> emitida por la AEAT</w:t>
      </w:r>
      <w:r w:rsidR="003D72B0">
        <w:rPr>
          <w:lang w:val="es-ES"/>
        </w:rPr>
        <w:t>.</w:t>
      </w:r>
    </w:p>
    <w:p w:rsidR="005C6601" w:rsidRDefault="005C6601" w:rsidP="00081FE3">
      <w:pPr>
        <w:pStyle w:val="texto"/>
        <w:rPr>
          <w:lang w:val="es-ES"/>
        </w:rPr>
      </w:pPr>
      <w:r>
        <w:rPr>
          <w:lang w:val="es-ES"/>
        </w:rPr>
        <w:t>Con carácter general concluimos que la gestión del gravamen es correcta. Ahora bien</w:t>
      </w:r>
      <w:r w:rsidR="00465B76">
        <w:rPr>
          <w:lang w:val="es-ES"/>
        </w:rPr>
        <w:t>,</w:t>
      </w:r>
      <w:r>
        <w:rPr>
          <w:lang w:val="es-ES"/>
        </w:rPr>
        <w:t xml:space="preserve"> destacamos la diferencia de importes ingresados entre las liquidaciones de 2013 y 2014 con lo recaudado por Navarra en siete meses</w:t>
      </w:r>
      <w:r w:rsidR="00894A04">
        <w:rPr>
          <w:lang w:val="es-ES"/>
        </w:rPr>
        <w:t xml:space="preserve"> de 2015 en </w:t>
      </w:r>
      <w:r>
        <w:rPr>
          <w:lang w:val="es-ES"/>
        </w:rPr>
        <w:t>que ha gestionado este gravamen. Desde la HTN nos informan</w:t>
      </w:r>
      <w:r w:rsidR="00894A04">
        <w:rPr>
          <w:lang w:val="es-ES"/>
        </w:rPr>
        <w:t xml:space="preserve"> que en </w:t>
      </w:r>
      <w:r w:rsidR="00393923">
        <w:rPr>
          <w:lang w:val="es-ES"/>
        </w:rPr>
        <w:t>2013 y 2014</w:t>
      </w:r>
      <w:r>
        <w:rPr>
          <w:lang w:val="es-ES"/>
        </w:rPr>
        <w:t>, la Comunidad Foral se vio agraciada con dos premios relevantes de 32 y 30 mi</w:t>
      </w:r>
      <w:r w:rsidR="00894A04">
        <w:rPr>
          <w:lang w:val="es-ES"/>
        </w:rPr>
        <w:t xml:space="preserve">llones, por lo que el gravamen </w:t>
      </w:r>
      <w:r>
        <w:rPr>
          <w:lang w:val="es-ES"/>
        </w:rPr>
        <w:t>por estos sorteos asc</w:t>
      </w:r>
      <w:r w:rsidR="00894A04">
        <w:rPr>
          <w:lang w:val="es-ES"/>
        </w:rPr>
        <w:t>endió a más de 12 millones</w:t>
      </w:r>
      <w:r>
        <w:rPr>
          <w:lang w:val="es-ES"/>
        </w:rPr>
        <w:t>; también nos manifiestan sus continuos requerimientos de información relevante sobre el mismo a la AEA</w:t>
      </w:r>
      <w:r w:rsidR="00894A04">
        <w:rPr>
          <w:lang w:val="es-ES"/>
        </w:rPr>
        <w:t>T</w:t>
      </w:r>
      <w:r>
        <w:rPr>
          <w:lang w:val="es-ES"/>
        </w:rPr>
        <w:t xml:space="preserve"> para </w:t>
      </w:r>
      <w:r w:rsidR="009568CE">
        <w:rPr>
          <w:lang w:val="es-ES"/>
        </w:rPr>
        <w:t>su</w:t>
      </w:r>
      <w:r>
        <w:rPr>
          <w:lang w:val="es-ES"/>
        </w:rPr>
        <w:t xml:space="preserve"> seguimiento </w:t>
      </w:r>
      <w:r w:rsidR="00DB532C">
        <w:rPr>
          <w:lang w:val="es-ES"/>
        </w:rPr>
        <w:t>así como el de</w:t>
      </w:r>
      <w:r>
        <w:rPr>
          <w:lang w:val="es-ES"/>
        </w:rPr>
        <w:t xml:space="preserve"> los beneficiarios de los sorteos</w:t>
      </w:r>
      <w:r w:rsidR="00F52958">
        <w:rPr>
          <w:lang w:val="es-ES"/>
        </w:rPr>
        <w:t xml:space="preserve"> con domicilio foral</w:t>
      </w:r>
      <w:r>
        <w:rPr>
          <w:lang w:val="es-ES"/>
        </w:rPr>
        <w:t>.</w:t>
      </w:r>
      <w:r w:rsidR="00DB532C">
        <w:rPr>
          <w:lang w:val="es-ES"/>
        </w:rPr>
        <w:t xml:space="preserve"> </w:t>
      </w:r>
    </w:p>
    <w:p w:rsidR="00934343" w:rsidRDefault="009568CE" w:rsidP="00D74577">
      <w:pPr>
        <w:pStyle w:val="texto"/>
        <w:rPr>
          <w:lang w:val="es-ES"/>
        </w:rPr>
      </w:pPr>
      <w:r>
        <w:rPr>
          <w:lang w:val="es-ES"/>
        </w:rPr>
        <w:t>En definitiva, se trata de un gravamen que</w:t>
      </w:r>
      <w:r w:rsidR="00DB532C">
        <w:rPr>
          <w:lang w:val="es-ES"/>
        </w:rPr>
        <w:t>,</w:t>
      </w:r>
      <w:r>
        <w:rPr>
          <w:lang w:val="es-ES"/>
        </w:rPr>
        <w:t xml:space="preserve"> en función de </w:t>
      </w:r>
      <w:r w:rsidR="00B45128">
        <w:rPr>
          <w:lang w:val="es-ES"/>
        </w:rPr>
        <w:t>la aleatoriedad en resultar agraciado</w:t>
      </w:r>
      <w:r w:rsidR="00894A04">
        <w:rPr>
          <w:lang w:val="es-ES"/>
        </w:rPr>
        <w:t xml:space="preserve"> un ciudadano foral</w:t>
      </w:r>
      <w:r w:rsidR="00B45128">
        <w:rPr>
          <w:lang w:val="es-ES"/>
        </w:rPr>
        <w:t xml:space="preserve"> con un premio, la Hacienda Foral se verá beneficiada.</w:t>
      </w:r>
    </w:p>
    <w:p w:rsidR="00791D12" w:rsidRPr="00EF39B8" w:rsidRDefault="00791D12" w:rsidP="00EF39B8">
      <w:pPr>
        <w:pStyle w:val="texto"/>
        <w:spacing w:after="120"/>
        <w:rPr>
          <w:spacing w:val="-3"/>
        </w:rPr>
      </w:pPr>
      <w:r w:rsidRPr="00B218CC">
        <w:rPr>
          <w:spacing w:val="-3"/>
        </w:rPr>
        <w:t>Recomendamos:</w:t>
      </w:r>
    </w:p>
    <w:p w:rsidR="00791D12" w:rsidRPr="00791D12" w:rsidRDefault="00791D12" w:rsidP="00791D12">
      <w:pPr>
        <w:pStyle w:val="texto"/>
        <w:numPr>
          <w:ilvl w:val="0"/>
          <w:numId w:val="2"/>
        </w:numPr>
        <w:tabs>
          <w:tab w:val="clear" w:pos="1948"/>
          <w:tab w:val="clear" w:pos="2835"/>
          <w:tab w:val="clear" w:pos="3969"/>
          <w:tab w:val="clear" w:pos="5103"/>
          <w:tab w:val="clear" w:pos="6237"/>
          <w:tab w:val="clear" w:pos="7371"/>
          <w:tab w:val="num" w:pos="300"/>
          <w:tab w:val="left" w:pos="490"/>
          <w:tab w:val="num" w:pos="4920"/>
        </w:tabs>
        <w:ind w:left="0" w:firstLine="290"/>
        <w:rPr>
          <w:i/>
          <w:lang w:val="es-ES"/>
        </w:rPr>
      </w:pPr>
      <w:r w:rsidRPr="00791D12">
        <w:rPr>
          <w:i/>
          <w:lang w:val="es-ES"/>
        </w:rPr>
        <w:t>Dotar una provisión por las devoluciones de impuestos que no hayan sido reconocidas al final del ejercicio.</w:t>
      </w:r>
    </w:p>
    <w:p w:rsidR="00791D12" w:rsidRDefault="00791D12" w:rsidP="00791D12">
      <w:pPr>
        <w:pStyle w:val="texto"/>
        <w:numPr>
          <w:ilvl w:val="0"/>
          <w:numId w:val="2"/>
        </w:numPr>
        <w:tabs>
          <w:tab w:val="clear" w:pos="1948"/>
          <w:tab w:val="clear" w:pos="2835"/>
          <w:tab w:val="clear" w:pos="3969"/>
          <w:tab w:val="clear" w:pos="5103"/>
          <w:tab w:val="clear" w:pos="6237"/>
          <w:tab w:val="clear" w:pos="7371"/>
          <w:tab w:val="num" w:pos="300"/>
          <w:tab w:val="left" w:pos="490"/>
          <w:tab w:val="num" w:pos="4920"/>
        </w:tabs>
        <w:ind w:left="0" w:firstLine="290"/>
        <w:rPr>
          <w:i/>
        </w:rPr>
      </w:pPr>
      <w:r>
        <w:rPr>
          <w:i/>
        </w:rPr>
        <w:t>Incluir en la Memoria anual un análisis sobre la ejecución de los beneficios fiscales y su aportación a los objetivos establecidos.</w:t>
      </w:r>
    </w:p>
    <w:p w:rsidR="005D2476" w:rsidRPr="00EB0650" w:rsidRDefault="00894A04" w:rsidP="00894A04">
      <w:pPr>
        <w:pStyle w:val="texto"/>
        <w:numPr>
          <w:ilvl w:val="0"/>
          <w:numId w:val="2"/>
        </w:numPr>
        <w:tabs>
          <w:tab w:val="clear" w:pos="1948"/>
          <w:tab w:val="clear" w:pos="2835"/>
          <w:tab w:val="clear" w:pos="3969"/>
          <w:tab w:val="clear" w:pos="5103"/>
          <w:tab w:val="clear" w:pos="6237"/>
          <w:tab w:val="clear" w:pos="7371"/>
          <w:tab w:val="num" w:pos="300"/>
          <w:tab w:val="left" w:pos="490"/>
          <w:tab w:val="num" w:pos="4920"/>
        </w:tabs>
        <w:ind w:left="0" w:firstLine="290"/>
        <w:rPr>
          <w:i/>
          <w:lang w:val="es-ES"/>
        </w:rPr>
      </w:pPr>
      <w:r w:rsidRPr="00EB0650">
        <w:rPr>
          <w:i/>
          <w:lang w:val="es-ES"/>
        </w:rPr>
        <w:t>E</w:t>
      </w:r>
      <w:r w:rsidR="00DB532C" w:rsidRPr="00EB0650">
        <w:rPr>
          <w:i/>
          <w:lang w:val="es-ES"/>
        </w:rPr>
        <w:t xml:space="preserve">studiar la opción de que la HTN pueda dirigirse directamente a las entidades organizadoras de los sorteos </w:t>
      </w:r>
      <w:r w:rsidR="00800B11">
        <w:rPr>
          <w:i/>
          <w:lang w:val="es-ES"/>
        </w:rPr>
        <w:t>de loterías y apuestas s</w:t>
      </w:r>
      <w:r w:rsidR="00393923">
        <w:rPr>
          <w:i/>
          <w:lang w:val="es-ES"/>
        </w:rPr>
        <w:t>ometidos</w:t>
      </w:r>
      <w:r w:rsidR="00800B11">
        <w:rPr>
          <w:i/>
          <w:lang w:val="es-ES"/>
        </w:rPr>
        <w:t xml:space="preserve"> al gravamen sobre premios</w:t>
      </w:r>
      <w:r w:rsidR="00DB532C" w:rsidRPr="00EB0650">
        <w:rPr>
          <w:i/>
          <w:lang w:val="es-ES"/>
        </w:rPr>
        <w:t xml:space="preserve"> para requerirles información sobre los sujetos pasivos con domicilio fiscal en Navarra. </w:t>
      </w:r>
    </w:p>
    <w:p w:rsidR="00563BD9" w:rsidRDefault="00894A04" w:rsidP="00974230">
      <w:pPr>
        <w:pStyle w:val="texto"/>
        <w:numPr>
          <w:ilvl w:val="0"/>
          <w:numId w:val="2"/>
        </w:numPr>
        <w:tabs>
          <w:tab w:val="clear" w:pos="1948"/>
          <w:tab w:val="clear" w:pos="2835"/>
          <w:tab w:val="clear" w:pos="3969"/>
          <w:tab w:val="clear" w:pos="5103"/>
          <w:tab w:val="clear" w:pos="6237"/>
          <w:tab w:val="clear" w:pos="7371"/>
          <w:tab w:val="num" w:pos="300"/>
          <w:tab w:val="left" w:pos="490"/>
          <w:tab w:val="num" w:pos="4920"/>
        </w:tabs>
        <w:ind w:left="0" w:firstLine="290"/>
        <w:rPr>
          <w:i/>
          <w:lang w:val="es-ES"/>
        </w:rPr>
      </w:pPr>
      <w:r w:rsidRPr="00EB0650">
        <w:rPr>
          <w:i/>
          <w:lang w:val="es-ES"/>
        </w:rPr>
        <w:t>Dentro del marco del Convenio, contemplar</w:t>
      </w:r>
      <w:r w:rsidR="00924130">
        <w:rPr>
          <w:i/>
          <w:lang w:val="es-ES"/>
        </w:rPr>
        <w:t>,</w:t>
      </w:r>
      <w:r w:rsidRPr="00EB0650">
        <w:rPr>
          <w:i/>
          <w:lang w:val="es-ES"/>
        </w:rPr>
        <w:t xml:space="preserve"> para </w:t>
      </w:r>
      <w:r w:rsidR="00791D12">
        <w:rPr>
          <w:i/>
          <w:lang w:val="es-ES"/>
        </w:rPr>
        <w:t xml:space="preserve">el </w:t>
      </w:r>
      <w:r w:rsidRPr="00EB0650">
        <w:rPr>
          <w:i/>
          <w:lang w:val="es-ES"/>
        </w:rPr>
        <w:t>gravamen</w:t>
      </w:r>
      <w:r w:rsidR="00791D12">
        <w:rPr>
          <w:i/>
          <w:lang w:val="es-ES"/>
        </w:rPr>
        <w:t xml:space="preserve"> sobre premi</w:t>
      </w:r>
      <w:r w:rsidR="00800B11">
        <w:rPr>
          <w:i/>
          <w:lang w:val="es-ES"/>
        </w:rPr>
        <w:t>os</w:t>
      </w:r>
      <w:r w:rsidR="00924130">
        <w:rPr>
          <w:i/>
          <w:lang w:val="es-ES"/>
        </w:rPr>
        <w:t>,</w:t>
      </w:r>
      <w:r w:rsidRPr="00EB0650">
        <w:rPr>
          <w:i/>
          <w:lang w:val="es-ES"/>
        </w:rPr>
        <w:t xml:space="preserve"> la mejora de los cauces de información entre ambas administraciones tributarias</w:t>
      </w:r>
      <w:r w:rsidR="00924130">
        <w:rPr>
          <w:i/>
          <w:lang w:val="es-ES"/>
        </w:rPr>
        <w:t>.</w:t>
      </w:r>
    </w:p>
    <w:p w:rsidR="001E7B19" w:rsidRPr="00974230" w:rsidRDefault="001E7B19" w:rsidP="001E7B19">
      <w:pPr>
        <w:pStyle w:val="texto"/>
        <w:tabs>
          <w:tab w:val="clear" w:pos="2835"/>
          <w:tab w:val="clear" w:pos="3969"/>
          <w:tab w:val="clear" w:pos="5103"/>
          <w:tab w:val="clear" w:pos="6237"/>
          <w:tab w:val="clear" w:pos="7371"/>
          <w:tab w:val="left" w:pos="490"/>
          <w:tab w:val="num" w:pos="4920"/>
        </w:tabs>
        <w:rPr>
          <w:i/>
          <w:lang w:val="es-ES"/>
        </w:rPr>
      </w:pPr>
    </w:p>
    <w:p w:rsidR="007E7062" w:rsidRPr="00336738" w:rsidRDefault="007E7062" w:rsidP="00071FC3">
      <w:pPr>
        <w:pStyle w:val="atitulo3"/>
        <w:rPr>
          <w:color w:val="auto"/>
          <w:lang w:val="es-ES"/>
        </w:rPr>
      </w:pPr>
      <w:r w:rsidRPr="00336738">
        <w:rPr>
          <w:color w:val="auto"/>
          <w:lang w:val="es-ES"/>
        </w:rPr>
        <w:t>Lucha contra el fraude fiscal</w:t>
      </w:r>
    </w:p>
    <w:p w:rsidR="00563BD9" w:rsidRDefault="006F10AD" w:rsidP="001E7B19">
      <w:pPr>
        <w:pStyle w:val="texto"/>
        <w:spacing w:after="120"/>
        <w:rPr>
          <w:lang w:val="es-ES"/>
        </w:rPr>
      </w:pPr>
      <w:r>
        <w:rPr>
          <w:lang w:val="es-ES"/>
        </w:rPr>
        <w:t>De acuerdo con los datos aportado</w:t>
      </w:r>
      <w:r w:rsidR="00336738">
        <w:rPr>
          <w:lang w:val="es-ES"/>
        </w:rPr>
        <w:t xml:space="preserve">s por la HTN, </w:t>
      </w:r>
      <w:r>
        <w:rPr>
          <w:lang w:val="es-ES"/>
        </w:rPr>
        <w:t xml:space="preserve">la lucha contra el fraude fiscal entre 2008 a 2015 </w:t>
      </w:r>
      <w:r w:rsidR="00336738">
        <w:rPr>
          <w:lang w:val="es-ES"/>
        </w:rPr>
        <w:t xml:space="preserve">ha generado los siguientes </w:t>
      </w:r>
      <w:r w:rsidR="00075E69">
        <w:rPr>
          <w:lang w:val="es-ES"/>
        </w:rPr>
        <w:t xml:space="preserve">ingresos </w:t>
      </w:r>
      <w:r w:rsidR="00336738">
        <w:rPr>
          <w:lang w:val="es-ES"/>
        </w:rPr>
        <w:t>deveng</w:t>
      </w:r>
      <w:r w:rsidR="00075E69">
        <w:rPr>
          <w:lang w:val="es-ES"/>
        </w:rPr>
        <w:t>ados</w:t>
      </w:r>
      <w:r w:rsidR="00336738">
        <w:rPr>
          <w:lang w:val="es-ES"/>
        </w:rPr>
        <w:t>:</w:t>
      </w:r>
    </w:p>
    <w:p w:rsidR="00F739C5" w:rsidRPr="00846EDC" w:rsidRDefault="00465B76" w:rsidP="001E7B19">
      <w:pPr>
        <w:pStyle w:val="recomen"/>
        <w:numPr>
          <w:ilvl w:val="0"/>
          <w:numId w:val="0"/>
        </w:numPr>
        <w:spacing w:after="40"/>
        <w:ind w:left="1588" w:right="142"/>
        <w:jc w:val="right"/>
        <w:rPr>
          <w:rFonts w:ascii="Arial Narrow" w:hAnsi="Arial Narrow"/>
          <w:i w:val="0"/>
          <w:sz w:val="18"/>
          <w:szCs w:val="18"/>
        </w:rPr>
      </w:pPr>
      <w:r w:rsidRPr="00846EDC">
        <w:rPr>
          <w:rFonts w:ascii="Arial Narrow" w:hAnsi="Arial Narrow"/>
          <w:i w:val="0"/>
          <w:sz w:val="18"/>
          <w:szCs w:val="18"/>
        </w:rPr>
        <w:t>Miles</w:t>
      </w:r>
      <w:r w:rsidR="00F739C5" w:rsidRPr="00846EDC">
        <w:rPr>
          <w:rFonts w:ascii="Arial Narrow" w:hAnsi="Arial Narrow"/>
          <w:i w:val="0"/>
          <w:sz w:val="18"/>
          <w:szCs w:val="18"/>
        </w:rPr>
        <w:t xml:space="preserve"> de euros</w:t>
      </w:r>
    </w:p>
    <w:tbl>
      <w:tblPr>
        <w:tblW w:w="8650" w:type="dxa"/>
        <w:jc w:val="center"/>
        <w:tblInd w:w="-156" w:type="dxa"/>
        <w:tblCellMar>
          <w:left w:w="70" w:type="dxa"/>
          <w:right w:w="70" w:type="dxa"/>
        </w:tblCellMar>
        <w:tblLook w:val="04A0" w:firstRow="1" w:lastRow="0" w:firstColumn="1" w:lastColumn="0" w:noHBand="0" w:noVBand="1"/>
      </w:tblPr>
      <w:tblGrid>
        <w:gridCol w:w="1545"/>
        <w:gridCol w:w="1856"/>
        <w:gridCol w:w="1275"/>
        <w:gridCol w:w="1524"/>
        <w:gridCol w:w="1465"/>
        <w:gridCol w:w="985"/>
      </w:tblGrid>
      <w:tr w:rsidR="006943F0" w:rsidRPr="00081FE3" w:rsidTr="00934343">
        <w:trPr>
          <w:trHeight w:val="284"/>
          <w:jc w:val="center"/>
        </w:trPr>
        <w:tc>
          <w:tcPr>
            <w:tcW w:w="1545" w:type="dxa"/>
            <w:tcBorders>
              <w:top w:val="single" w:sz="4" w:space="0" w:color="auto"/>
              <w:bottom w:val="single" w:sz="4" w:space="0" w:color="auto"/>
            </w:tcBorders>
            <w:shd w:val="clear" w:color="auto" w:fill="A8CBEE" w:themeFill="accent2" w:themeFillTint="66"/>
            <w:vAlign w:val="center"/>
            <w:hideMark/>
          </w:tcPr>
          <w:p w:rsidR="007E7062" w:rsidRPr="00081FE3" w:rsidRDefault="007E7062" w:rsidP="00081FE3">
            <w:pPr>
              <w:pStyle w:val="cuadroCabe"/>
              <w:jc w:val="left"/>
              <w:rPr>
                <w:szCs w:val="18"/>
              </w:rPr>
            </w:pPr>
            <w:r w:rsidRPr="00081FE3">
              <w:rPr>
                <w:szCs w:val="18"/>
              </w:rPr>
              <w:t>Ejercicio</w:t>
            </w:r>
          </w:p>
        </w:tc>
        <w:tc>
          <w:tcPr>
            <w:tcW w:w="1856" w:type="dxa"/>
            <w:tcBorders>
              <w:top w:val="single" w:sz="4" w:space="0" w:color="auto"/>
              <w:bottom w:val="single" w:sz="4" w:space="0" w:color="auto"/>
            </w:tcBorders>
            <w:shd w:val="clear" w:color="auto" w:fill="A8CBEE" w:themeFill="accent2" w:themeFillTint="66"/>
            <w:vAlign w:val="center"/>
            <w:hideMark/>
          </w:tcPr>
          <w:p w:rsidR="007E7062" w:rsidRPr="00081FE3" w:rsidRDefault="007E7062" w:rsidP="00081FE3">
            <w:pPr>
              <w:pStyle w:val="cuadroCabe"/>
              <w:jc w:val="right"/>
              <w:rPr>
                <w:szCs w:val="18"/>
              </w:rPr>
            </w:pPr>
            <w:r w:rsidRPr="00081FE3">
              <w:rPr>
                <w:szCs w:val="18"/>
              </w:rPr>
              <w:t>Gestión</w:t>
            </w:r>
            <w:r w:rsidR="00081FE3">
              <w:rPr>
                <w:szCs w:val="18"/>
              </w:rPr>
              <w:t xml:space="preserve"> </w:t>
            </w:r>
            <w:r w:rsidR="0096167A" w:rsidRPr="00081FE3">
              <w:rPr>
                <w:szCs w:val="18"/>
              </w:rPr>
              <w:t>Tributaria</w:t>
            </w:r>
          </w:p>
        </w:tc>
        <w:tc>
          <w:tcPr>
            <w:tcW w:w="1275" w:type="dxa"/>
            <w:tcBorders>
              <w:top w:val="single" w:sz="4" w:space="0" w:color="auto"/>
              <w:bottom w:val="single" w:sz="4" w:space="0" w:color="auto"/>
            </w:tcBorders>
            <w:shd w:val="clear" w:color="auto" w:fill="A8CBEE" w:themeFill="accent2" w:themeFillTint="66"/>
            <w:vAlign w:val="center"/>
            <w:hideMark/>
          </w:tcPr>
          <w:p w:rsidR="007E7062" w:rsidRPr="00081FE3" w:rsidRDefault="007E7062" w:rsidP="00081FE3">
            <w:pPr>
              <w:pStyle w:val="cuadroCabe"/>
              <w:jc w:val="right"/>
              <w:rPr>
                <w:szCs w:val="18"/>
              </w:rPr>
            </w:pPr>
            <w:r w:rsidRPr="00081FE3">
              <w:rPr>
                <w:szCs w:val="18"/>
              </w:rPr>
              <w:t>Inspección</w:t>
            </w:r>
          </w:p>
        </w:tc>
        <w:tc>
          <w:tcPr>
            <w:tcW w:w="1524" w:type="dxa"/>
            <w:tcBorders>
              <w:top w:val="single" w:sz="4" w:space="0" w:color="auto"/>
              <w:bottom w:val="single" w:sz="4" w:space="0" w:color="auto"/>
            </w:tcBorders>
            <w:shd w:val="clear" w:color="auto" w:fill="A8CBEE" w:themeFill="accent2" w:themeFillTint="66"/>
            <w:vAlign w:val="center"/>
            <w:hideMark/>
          </w:tcPr>
          <w:p w:rsidR="007E7062" w:rsidRPr="00081FE3" w:rsidRDefault="007E7062" w:rsidP="00081FE3">
            <w:pPr>
              <w:pStyle w:val="cuadroCabe"/>
              <w:jc w:val="right"/>
              <w:rPr>
                <w:szCs w:val="18"/>
              </w:rPr>
            </w:pPr>
            <w:r w:rsidRPr="00081FE3">
              <w:rPr>
                <w:szCs w:val="18"/>
              </w:rPr>
              <w:t>Delitos</w:t>
            </w:r>
            <w:r w:rsidR="00A10C76" w:rsidRPr="00081FE3">
              <w:rPr>
                <w:szCs w:val="18"/>
              </w:rPr>
              <w:t xml:space="preserve"> fiscales</w:t>
            </w:r>
          </w:p>
        </w:tc>
        <w:tc>
          <w:tcPr>
            <w:tcW w:w="1465" w:type="dxa"/>
            <w:tcBorders>
              <w:top w:val="single" w:sz="4" w:space="0" w:color="auto"/>
              <w:bottom w:val="single" w:sz="4" w:space="0" w:color="auto"/>
            </w:tcBorders>
            <w:shd w:val="clear" w:color="auto" w:fill="A8CBEE" w:themeFill="accent2" w:themeFillTint="66"/>
            <w:vAlign w:val="center"/>
            <w:hideMark/>
          </w:tcPr>
          <w:p w:rsidR="007E7062" w:rsidRPr="00081FE3" w:rsidRDefault="00C42403" w:rsidP="00081FE3">
            <w:pPr>
              <w:pStyle w:val="cuadroCabe"/>
              <w:jc w:val="right"/>
              <w:rPr>
                <w:rFonts w:cs="Arial"/>
                <w:szCs w:val="18"/>
              </w:rPr>
            </w:pPr>
            <w:r w:rsidRPr="00081FE3">
              <w:rPr>
                <w:rFonts w:cs="Arial"/>
                <w:szCs w:val="18"/>
              </w:rPr>
              <w:t>Importe t</w:t>
            </w:r>
            <w:r w:rsidR="007E7062" w:rsidRPr="00081FE3">
              <w:rPr>
                <w:rFonts w:cs="Arial"/>
                <w:szCs w:val="18"/>
              </w:rPr>
              <w:t>otal</w:t>
            </w:r>
          </w:p>
        </w:tc>
        <w:tc>
          <w:tcPr>
            <w:tcW w:w="985" w:type="dxa"/>
            <w:tcBorders>
              <w:top w:val="single" w:sz="4" w:space="0" w:color="auto"/>
              <w:bottom w:val="single" w:sz="4" w:space="0" w:color="auto"/>
            </w:tcBorders>
            <w:shd w:val="clear" w:color="auto" w:fill="A8CBEE" w:themeFill="accent2" w:themeFillTint="66"/>
            <w:vAlign w:val="center"/>
          </w:tcPr>
          <w:p w:rsidR="007E7062" w:rsidRPr="00081FE3" w:rsidRDefault="007E7062" w:rsidP="00081FE3">
            <w:pPr>
              <w:pStyle w:val="cuadroCabe"/>
              <w:jc w:val="right"/>
              <w:rPr>
                <w:rFonts w:cs="Arial"/>
                <w:szCs w:val="18"/>
              </w:rPr>
            </w:pPr>
            <w:r w:rsidRPr="00081FE3">
              <w:rPr>
                <w:rFonts w:cs="Arial"/>
                <w:szCs w:val="18"/>
              </w:rPr>
              <w:t>índice</w:t>
            </w:r>
          </w:p>
        </w:tc>
      </w:tr>
      <w:tr w:rsidR="006943F0" w:rsidRPr="00081FE3" w:rsidTr="00934343">
        <w:trPr>
          <w:trHeight w:val="284"/>
          <w:jc w:val="center"/>
        </w:trPr>
        <w:tc>
          <w:tcPr>
            <w:tcW w:w="1545" w:type="dxa"/>
            <w:tcBorders>
              <w:top w:val="single" w:sz="4" w:space="0" w:color="auto"/>
              <w:bottom w:val="single" w:sz="2" w:space="0" w:color="auto"/>
            </w:tcBorders>
            <w:shd w:val="clear" w:color="auto" w:fill="auto"/>
            <w:noWrap/>
            <w:vAlign w:val="center"/>
          </w:tcPr>
          <w:p w:rsidR="006943F0" w:rsidRPr="00081FE3" w:rsidRDefault="006943F0" w:rsidP="00335EF7">
            <w:pPr>
              <w:pStyle w:val="cuatexto"/>
              <w:jc w:val="left"/>
              <w:rPr>
                <w:szCs w:val="20"/>
              </w:rPr>
            </w:pPr>
            <w:r w:rsidRPr="00081FE3">
              <w:rPr>
                <w:szCs w:val="20"/>
              </w:rPr>
              <w:t>2008</w:t>
            </w:r>
          </w:p>
        </w:tc>
        <w:tc>
          <w:tcPr>
            <w:tcW w:w="1856" w:type="dxa"/>
            <w:tcBorders>
              <w:top w:val="single" w:sz="4" w:space="0" w:color="auto"/>
              <w:bottom w:val="single" w:sz="2" w:space="0" w:color="auto"/>
            </w:tcBorders>
            <w:shd w:val="clear" w:color="auto" w:fill="auto"/>
            <w:noWrap/>
            <w:vAlign w:val="center"/>
          </w:tcPr>
          <w:p w:rsidR="006943F0" w:rsidRPr="00081FE3" w:rsidRDefault="006943F0" w:rsidP="00335EF7">
            <w:pPr>
              <w:pStyle w:val="cuatexto"/>
              <w:jc w:val="right"/>
              <w:rPr>
                <w:szCs w:val="20"/>
              </w:rPr>
            </w:pPr>
            <w:r w:rsidRPr="00081FE3">
              <w:rPr>
                <w:szCs w:val="20"/>
              </w:rPr>
              <w:t>83.930</w:t>
            </w:r>
          </w:p>
        </w:tc>
        <w:tc>
          <w:tcPr>
            <w:tcW w:w="1275" w:type="dxa"/>
            <w:tcBorders>
              <w:top w:val="single" w:sz="4" w:space="0" w:color="auto"/>
              <w:bottom w:val="single" w:sz="2" w:space="0" w:color="auto"/>
            </w:tcBorders>
            <w:shd w:val="clear" w:color="auto" w:fill="auto"/>
            <w:noWrap/>
            <w:vAlign w:val="center"/>
          </w:tcPr>
          <w:p w:rsidR="006943F0" w:rsidRPr="00081FE3" w:rsidRDefault="006943F0" w:rsidP="00335EF7">
            <w:pPr>
              <w:pStyle w:val="cuatexto"/>
              <w:jc w:val="right"/>
              <w:rPr>
                <w:szCs w:val="20"/>
              </w:rPr>
            </w:pPr>
            <w:r w:rsidRPr="00081FE3">
              <w:rPr>
                <w:szCs w:val="20"/>
              </w:rPr>
              <w:t>40.620</w:t>
            </w:r>
          </w:p>
        </w:tc>
        <w:tc>
          <w:tcPr>
            <w:tcW w:w="1524" w:type="dxa"/>
            <w:tcBorders>
              <w:top w:val="single" w:sz="4" w:space="0" w:color="auto"/>
              <w:bottom w:val="single" w:sz="2" w:space="0" w:color="auto"/>
            </w:tcBorders>
            <w:shd w:val="clear" w:color="auto" w:fill="auto"/>
            <w:noWrap/>
            <w:vAlign w:val="center"/>
          </w:tcPr>
          <w:p w:rsidR="006943F0" w:rsidRPr="00081FE3" w:rsidRDefault="006943F0" w:rsidP="00335EF7">
            <w:pPr>
              <w:pStyle w:val="cuatexto"/>
              <w:jc w:val="right"/>
              <w:rPr>
                <w:szCs w:val="20"/>
              </w:rPr>
            </w:pPr>
            <w:r w:rsidRPr="00081FE3">
              <w:rPr>
                <w:szCs w:val="20"/>
              </w:rPr>
              <w:t>7.016</w:t>
            </w:r>
          </w:p>
        </w:tc>
        <w:tc>
          <w:tcPr>
            <w:tcW w:w="1465" w:type="dxa"/>
            <w:tcBorders>
              <w:top w:val="single" w:sz="4" w:space="0" w:color="auto"/>
              <w:bottom w:val="single" w:sz="2" w:space="0" w:color="auto"/>
            </w:tcBorders>
            <w:shd w:val="clear" w:color="auto" w:fill="auto"/>
            <w:noWrap/>
            <w:vAlign w:val="center"/>
          </w:tcPr>
          <w:p w:rsidR="006943F0" w:rsidRPr="00081FE3" w:rsidRDefault="006943F0" w:rsidP="00081FE3">
            <w:pPr>
              <w:pStyle w:val="cuatexto"/>
              <w:jc w:val="right"/>
              <w:rPr>
                <w:rFonts w:ascii="Arial" w:hAnsi="Arial" w:cs="Arial"/>
                <w:sz w:val="18"/>
                <w:szCs w:val="18"/>
              </w:rPr>
            </w:pPr>
            <w:r w:rsidRPr="00081FE3">
              <w:rPr>
                <w:rFonts w:ascii="Arial" w:hAnsi="Arial" w:cs="Arial"/>
                <w:sz w:val="18"/>
                <w:szCs w:val="18"/>
              </w:rPr>
              <w:t>131.566</w:t>
            </w:r>
          </w:p>
        </w:tc>
        <w:tc>
          <w:tcPr>
            <w:tcW w:w="985" w:type="dxa"/>
            <w:tcBorders>
              <w:top w:val="single" w:sz="4" w:space="0" w:color="auto"/>
              <w:bottom w:val="single" w:sz="2" w:space="0" w:color="auto"/>
            </w:tcBorders>
            <w:vAlign w:val="center"/>
          </w:tcPr>
          <w:p w:rsidR="006943F0" w:rsidRPr="00081FE3" w:rsidRDefault="006943F0" w:rsidP="00081FE3">
            <w:pPr>
              <w:pStyle w:val="cuatexto"/>
              <w:jc w:val="right"/>
              <w:rPr>
                <w:rFonts w:ascii="Arial" w:hAnsi="Arial" w:cs="Arial"/>
                <w:sz w:val="18"/>
                <w:szCs w:val="18"/>
              </w:rPr>
            </w:pPr>
            <w:r w:rsidRPr="00081FE3">
              <w:rPr>
                <w:rFonts w:ascii="Arial" w:hAnsi="Arial" w:cs="Arial"/>
                <w:sz w:val="18"/>
                <w:szCs w:val="18"/>
              </w:rPr>
              <w:t>100</w:t>
            </w:r>
          </w:p>
        </w:tc>
      </w:tr>
      <w:tr w:rsidR="006943F0" w:rsidRPr="00081FE3" w:rsidTr="00934343">
        <w:trPr>
          <w:trHeight w:val="284"/>
          <w:jc w:val="center"/>
        </w:trPr>
        <w:tc>
          <w:tcPr>
            <w:tcW w:w="1545"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left"/>
              <w:rPr>
                <w:szCs w:val="20"/>
              </w:rPr>
            </w:pPr>
            <w:r w:rsidRPr="00081FE3">
              <w:rPr>
                <w:szCs w:val="20"/>
              </w:rPr>
              <w:t>2009</w:t>
            </w:r>
          </w:p>
        </w:tc>
        <w:tc>
          <w:tcPr>
            <w:tcW w:w="1856"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right"/>
              <w:rPr>
                <w:szCs w:val="20"/>
              </w:rPr>
            </w:pPr>
            <w:r w:rsidRPr="00081FE3">
              <w:rPr>
                <w:szCs w:val="20"/>
              </w:rPr>
              <w:t>81.404</w:t>
            </w:r>
          </w:p>
        </w:tc>
        <w:tc>
          <w:tcPr>
            <w:tcW w:w="1275"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right"/>
              <w:rPr>
                <w:szCs w:val="20"/>
              </w:rPr>
            </w:pPr>
            <w:r w:rsidRPr="00081FE3">
              <w:rPr>
                <w:szCs w:val="20"/>
              </w:rPr>
              <w:t>51.535</w:t>
            </w:r>
          </w:p>
        </w:tc>
        <w:tc>
          <w:tcPr>
            <w:tcW w:w="1524"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right"/>
              <w:rPr>
                <w:szCs w:val="20"/>
              </w:rPr>
            </w:pPr>
            <w:r w:rsidRPr="00081FE3">
              <w:rPr>
                <w:szCs w:val="20"/>
              </w:rPr>
              <w:t>5.095</w:t>
            </w:r>
          </w:p>
        </w:tc>
        <w:tc>
          <w:tcPr>
            <w:tcW w:w="1465" w:type="dxa"/>
            <w:tcBorders>
              <w:top w:val="single" w:sz="2" w:space="0" w:color="auto"/>
              <w:bottom w:val="single" w:sz="2" w:space="0" w:color="auto"/>
            </w:tcBorders>
            <w:shd w:val="clear" w:color="auto" w:fill="auto"/>
            <w:noWrap/>
            <w:vAlign w:val="center"/>
          </w:tcPr>
          <w:p w:rsidR="006943F0" w:rsidRPr="00081FE3" w:rsidRDefault="006943F0" w:rsidP="00081FE3">
            <w:pPr>
              <w:pStyle w:val="cuatexto"/>
              <w:jc w:val="right"/>
              <w:rPr>
                <w:rFonts w:ascii="Arial" w:hAnsi="Arial" w:cs="Arial"/>
                <w:sz w:val="18"/>
                <w:szCs w:val="18"/>
              </w:rPr>
            </w:pPr>
            <w:r w:rsidRPr="00081FE3">
              <w:rPr>
                <w:rFonts w:ascii="Arial" w:hAnsi="Arial" w:cs="Arial"/>
                <w:sz w:val="18"/>
                <w:szCs w:val="18"/>
              </w:rPr>
              <w:t>138.034</w:t>
            </w:r>
          </w:p>
        </w:tc>
        <w:tc>
          <w:tcPr>
            <w:tcW w:w="985" w:type="dxa"/>
            <w:tcBorders>
              <w:top w:val="single" w:sz="2" w:space="0" w:color="auto"/>
              <w:bottom w:val="single" w:sz="2" w:space="0" w:color="auto"/>
            </w:tcBorders>
            <w:vAlign w:val="center"/>
          </w:tcPr>
          <w:p w:rsidR="006943F0" w:rsidRPr="00081FE3" w:rsidRDefault="006943F0" w:rsidP="00081FE3">
            <w:pPr>
              <w:pStyle w:val="cuatexto"/>
              <w:jc w:val="right"/>
              <w:rPr>
                <w:rFonts w:ascii="Arial" w:hAnsi="Arial" w:cs="Arial"/>
                <w:sz w:val="18"/>
                <w:szCs w:val="18"/>
              </w:rPr>
            </w:pPr>
            <w:r w:rsidRPr="00081FE3">
              <w:rPr>
                <w:rFonts w:ascii="Arial" w:hAnsi="Arial" w:cs="Arial"/>
                <w:sz w:val="18"/>
                <w:szCs w:val="18"/>
              </w:rPr>
              <w:t>105</w:t>
            </w:r>
          </w:p>
        </w:tc>
      </w:tr>
      <w:tr w:rsidR="006943F0" w:rsidRPr="00081FE3" w:rsidTr="00934343">
        <w:trPr>
          <w:trHeight w:val="284"/>
          <w:jc w:val="center"/>
        </w:trPr>
        <w:tc>
          <w:tcPr>
            <w:tcW w:w="1545"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left"/>
              <w:rPr>
                <w:szCs w:val="20"/>
              </w:rPr>
            </w:pPr>
            <w:r w:rsidRPr="00081FE3">
              <w:rPr>
                <w:szCs w:val="20"/>
              </w:rPr>
              <w:t>2010</w:t>
            </w:r>
          </w:p>
        </w:tc>
        <w:tc>
          <w:tcPr>
            <w:tcW w:w="1856"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right"/>
              <w:rPr>
                <w:szCs w:val="20"/>
              </w:rPr>
            </w:pPr>
            <w:r w:rsidRPr="00081FE3">
              <w:rPr>
                <w:szCs w:val="20"/>
              </w:rPr>
              <w:t>67.518</w:t>
            </w:r>
          </w:p>
        </w:tc>
        <w:tc>
          <w:tcPr>
            <w:tcW w:w="1275"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right"/>
              <w:rPr>
                <w:szCs w:val="20"/>
              </w:rPr>
            </w:pPr>
            <w:r w:rsidRPr="00081FE3">
              <w:rPr>
                <w:szCs w:val="20"/>
              </w:rPr>
              <w:t>52.581</w:t>
            </w:r>
          </w:p>
        </w:tc>
        <w:tc>
          <w:tcPr>
            <w:tcW w:w="1524"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right"/>
              <w:rPr>
                <w:szCs w:val="20"/>
              </w:rPr>
            </w:pPr>
            <w:r w:rsidRPr="00081FE3">
              <w:rPr>
                <w:szCs w:val="20"/>
              </w:rPr>
              <w:t>2.271</w:t>
            </w:r>
          </w:p>
        </w:tc>
        <w:tc>
          <w:tcPr>
            <w:tcW w:w="1465" w:type="dxa"/>
            <w:tcBorders>
              <w:top w:val="single" w:sz="2" w:space="0" w:color="auto"/>
              <w:bottom w:val="single" w:sz="2" w:space="0" w:color="auto"/>
            </w:tcBorders>
            <w:shd w:val="clear" w:color="auto" w:fill="auto"/>
            <w:noWrap/>
            <w:vAlign w:val="center"/>
          </w:tcPr>
          <w:p w:rsidR="006943F0" w:rsidRPr="00081FE3" w:rsidRDefault="006943F0" w:rsidP="00081FE3">
            <w:pPr>
              <w:pStyle w:val="cuatexto"/>
              <w:jc w:val="right"/>
              <w:rPr>
                <w:rFonts w:ascii="Arial" w:hAnsi="Arial" w:cs="Arial"/>
                <w:sz w:val="18"/>
                <w:szCs w:val="18"/>
              </w:rPr>
            </w:pPr>
            <w:r w:rsidRPr="00081FE3">
              <w:rPr>
                <w:rFonts w:ascii="Arial" w:hAnsi="Arial" w:cs="Arial"/>
                <w:sz w:val="18"/>
                <w:szCs w:val="18"/>
              </w:rPr>
              <w:t>122.370</w:t>
            </w:r>
          </w:p>
        </w:tc>
        <w:tc>
          <w:tcPr>
            <w:tcW w:w="985" w:type="dxa"/>
            <w:tcBorders>
              <w:top w:val="single" w:sz="2" w:space="0" w:color="auto"/>
              <w:bottom w:val="single" w:sz="2" w:space="0" w:color="auto"/>
            </w:tcBorders>
            <w:vAlign w:val="center"/>
          </w:tcPr>
          <w:p w:rsidR="006943F0" w:rsidRPr="00081FE3" w:rsidRDefault="006943F0" w:rsidP="00081FE3">
            <w:pPr>
              <w:pStyle w:val="cuatexto"/>
              <w:jc w:val="right"/>
              <w:rPr>
                <w:rFonts w:ascii="Arial" w:hAnsi="Arial" w:cs="Arial"/>
                <w:sz w:val="18"/>
                <w:szCs w:val="18"/>
              </w:rPr>
            </w:pPr>
            <w:r w:rsidRPr="00081FE3">
              <w:rPr>
                <w:rFonts w:ascii="Arial" w:hAnsi="Arial" w:cs="Arial"/>
                <w:sz w:val="18"/>
                <w:szCs w:val="18"/>
              </w:rPr>
              <w:t>93</w:t>
            </w:r>
          </w:p>
        </w:tc>
      </w:tr>
      <w:tr w:rsidR="006943F0" w:rsidRPr="00081FE3" w:rsidTr="00934343">
        <w:trPr>
          <w:trHeight w:val="284"/>
          <w:jc w:val="center"/>
        </w:trPr>
        <w:tc>
          <w:tcPr>
            <w:tcW w:w="1545"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left"/>
              <w:rPr>
                <w:szCs w:val="20"/>
              </w:rPr>
            </w:pPr>
            <w:r w:rsidRPr="00081FE3">
              <w:rPr>
                <w:szCs w:val="20"/>
              </w:rPr>
              <w:t>2011</w:t>
            </w:r>
          </w:p>
        </w:tc>
        <w:tc>
          <w:tcPr>
            <w:tcW w:w="1856"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right"/>
              <w:rPr>
                <w:szCs w:val="20"/>
              </w:rPr>
            </w:pPr>
            <w:r w:rsidRPr="00081FE3">
              <w:rPr>
                <w:szCs w:val="20"/>
              </w:rPr>
              <w:t>52.045</w:t>
            </w:r>
          </w:p>
        </w:tc>
        <w:tc>
          <w:tcPr>
            <w:tcW w:w="1275"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right"/>
              <w:rPr>
                <w:szCs w:val="20"/>
              </w:rPr>
            </w:pPr>
            <w:r w:rsidRPr="00081FE3">
              <w:rPr>
                <w:szCs w:val="20"/>
              </w:rPr>
              <w:t>32.193</w:t>
            </w:r>
          </w:p>
        </w:tc>
        <w:tc>
          <w:tcPr>
            <w:tcW w:w="1524"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right"/>
              <w:rPr>
                <w:szCs w:val="20"/>
              </w:rPr>
            </w:pPr>
            <w:r w:rsidRPr="00081FE3">
              <w:rPr>
                <w:szCs w:val="20"/>
              </w:rPr>
              <w:t>6.616</w:t>
            </w:r>
          </w:p>
        </w:tc>
        <w:tc>
          <w:tcPr>
            <w:tcW w:w="1465" w:type="dxa"/>
            <w:tcBorders>
              <w:top w:val="single" w:sz="2" w:space="0" w:color="auto"/>
              <w:bottom w:val="single" w:sz="2" w:space="0" w:color="auto"/>
            </w:tcBorders>
            <w:shd w:val="clear" w:color="auto" w:fill="auto"/>
            <w:noWrap/>
            <w:vAlign w:val="center"/>
          </w:tcPr>
          <w:p w:rsidR="006943F0" w:rsidRPr="00081FE3" w:rsidRDefault="006943F0" w:rsidP="00081FE3">
            <w:pPr>
              <w:pStyle w:val="cuatexto"/>
              <w:jc w:val="right"/>
              <w:rPr>
                <w:rFonts w:ascii="Arial" w:hAnsi="Arial" w:cs="Arial"/>
                <w:sz w:val="18"/>
                <w:szCs w:val="18"/>
              </w:rPr>
            </w:pPr>
            <w:r w:rsidRPr="00081FE3">
              <w:rPr>
                <w:rFonts w:ascii="Arial" w:hAnsi="Arial" w:cs="Arial"/>
                <w:sz w:val="18"/>
                <w:szCs w:val="18"/>
              </w:rPr>
              <w:t>90.853</w:t>
            </w:r>
          </w:p>
        </w:tc>
        <w:tc>
          <w:tcPr>
            <w:tcW w:w="985" w:type="dxa"/>
            <w:tcBorders>
              <w:top w:val="single" w:sz="2" w:space="0" w:color="auto"/>
              <w:bottom w:val="single" w:sz="2" w:space="0" w:color="auto"/>
            </w:tcBorders>
            <w:vAlign w:val="center"/>
          </w:tcPr>
          <w:p w:rsidR="006943F0" w:rsidRPr="00081FE3" w:rsidRDefault="006943F0" w:rsidP="00081FE3">
            <w:pPr>
              <w:pStyle w:val="cuatexto"/>
              <w:jc w:val="right"/>
              <w:rPr>
                <w:rFonts w:ascii="Arial" w:hAnsi="Arial" w:cs="Arial"/>
                <w:sz w:val="18"/>
                <w:szCs w:val="18"/>
              </w:rPr>
            </w:pPr>
            <w:r w:rsidRPr="00081FE3">
              <w:rPr>
                <w:rFonts w:ascii="Arial" w:hAnsi="Arial" w:cs="Arial"/>
                <w:sz w:val="18"/>
                <w:szCs w:val="18"/>
              </w:rPr>
              <w:t>69</w:t>
            </w:r>
          </w:p>
        </w:tc>
      </w:tr>
      <w:tr w:rsidR="006943F0" w:rsidRPr="00081FE3" w:rsidTr="00934343">
        <w:trPr>
          <w:trHeight w:val="284"/>
          <w:jc w:val="center"/>
        </w:trPr>
        <w:tc>
          <w:tcPr>
            <w:tcW w:w="1545"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left"/>
              <w:rPr>
                <w:szCs w:val="20"/>
              </w:rPr>
            </w:pPr>
            <w:r w:rsidRPr="00081FE3">
              <w:rPr>
                <w:szCs w:val="20"/>
              </w:rPr>
              <w:t>2012</w:t>
            </w:r>
          </w:p>
        </w:tc>
        <w:tc>
          <w:tcPr>
            <w:tcW w:w="1856"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right"/>
              <w:rPr>
                <w:szCs w:val="20"/>
              </w:rPr>
            </w:pPr>
            <w:r w:rsidRPr="00081FE3">
              <w:rPr>
                <w:szCs w:val="20"/>
              </w:rPr>
              <w:t>58.648</w:t>
            </w:r>
          </w:p>
        </w:tc>
        <w:tc>
          <w:tcPr>
            <w:tcW w:w="1275"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right"/>
              <w:rPr>
                <w:szCs w:val="20"/>
              </w:rPr>
            </w:pPr>
            <w:r w:rsidRPr="00081FE3">
              <w:rPr>
                <w:szCs w:val="20"/>
              </w:rPr>
              <w:t>38.602</w:t>
            </w:r>
          </w:p>
        </w:tc>
        <w:tc>
          <w:tcPr>
            <w:tcW w:w="1524"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right"/>
              <w:rPr>
                <w:szCs w:val="20"/>
              </w:rPr>
            </w:pPr>
            <w:r w:rsidRPr="00081FE3">
              <w:rPr>
                <w:szCs w:val="20"/>
              </w:rPr>
              <w:t>30.897</w:t>
            </w:r>
          </w:p>
        </w:tc>
        <w:tc>
          <w:tcPr>
            <w:tcW w:w="1465" w:type="dxa"/>
            <w:tcBorders>
              <w:top w:val="single" w:sz="2" w:space="0" w:color="auto"/>
              <w:bottom w:val="single" w:sz="2" w:space="0" w:color="auto"/>
            </w:tcBorders>
            <w:shd w:val="clear" w:color="auto" w:fill="auto"/>
            <w:noWrap/>
            <w:vAlign w:val="center"/>
          </w:tcPr>
          <w:p w:rsidR="006943F0" w:rsidRPr="00081FE3" w:rsidRDefault="006943F0" w:rsidP="00081FE3">
            <w:pPr>
              <w:pStyle w:val="cuatexto"/>
              <w:jc w:val="right"/>
              <w:rPr>
                <w:rFonts w:ascii="Arial" w:hAnsi="Arial" w:cs="Arial"/>
                <w:sz w:val="18"/>
                <w:szCs w:val="18"/>
              </w:rPr>
            </w:pPr>
            <w:r w:rsidRPr="00081FE3">
              <w:rPr>
                <w:rFonts w:ascii="Arial" w:hAnsi="Arial" w:cs="Arial"/>
                <w:sz w:val="18"/>
                <w:szCs w:val="18"/>
              </w:rPr>
              <w:t>128.147</w:t>
            </w:r>
          </w:p>
        </w:tc>
        <w:tc>
          <w:tcPr>
            <w:tcW w:w="985" w:type="dxa"/>
            <w:tcBorders>
              <w:top w:val="single" w:sz="2" w:space="0" w:color="auto"/>
              <w:bottom w:val="single" w:sz="2" w:space="0" w:color="auto"/>
            </w:tcBorders>
            <w:vAlign w:val="center"/>
          </w:tcPr>
          <w:p w:rsidR="006943F0" w:rsidRPr="00081FE3" w:rsidRDefault="006943F0" w:rsidP="00081FE3">
            <w:pPr>
              <w:pStyle w:val="cuatexto"/>
              <w:jc w:val="right"/>
              <w:rPr>
                <w:rFonts w:ascii="Arial" w:hAnsi="Arial" w:cs="Arial"/>
                <w:sz w:val="18"/>
                <w:szCs w:val="18"/>
              </w:rPr>
            </w:pPr>
            <w:r w:rsidRPr="00081FE3">
              <w:rPr>
                <w:rFonts w:ascii="Arial" w:hAnsi="Arial" w:cs="Arial"/>
                <w:sz w:val="18"/>
                <w:szCs w:val="18"/>
              </w:rPr>
              <w:t>97</w:t>
            </w:r>
          </w:p>
        </w:tc>
      </w:tr>
      <w:tr w:rsidR="006943F0" w:rsidRPr="00081FE3" w:rsidTr="00934343">
        <w:trPr>
          <w:trHeight w:val="284"/>
          <w:jc w:val="center"/>
        </w:trPr>
        <w:tc>
          <w:tcPr>
            <w:tcW w:w="1545"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left"/>
              <w:rPr>
                <w:szCs w:val="20"/>
              </w:rPr>
            </w:pPr>
            <w:r w:rsidRPr="00081FE3">
              <w:rPr>
                <w:szCs w:val="20"/>
              </w:rPr>
              <w:t>2013</w:t>
            </w:r>
          </w:p>
        </w:tc>
        <w:tc>
          <w:tcPr>
            <w:tcW w:w="1856"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right"/>
              <w:rPr>
                <w:szCs w:val="20"/>
              </w:rPr>
            </w:pPr>
            <w:r w:rsidRPr="00081FE3">
              <w:rPr>
                <w:szCs w:val="20"/>
              </w:rPr>
              <w:t>57.326</w:t>
            </w:r>
          </w:p>
        </w:tc>
        <w:tc>
          <w:tcPr>
            <w:tcW w:w="1275"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right"/>
              <w:rPr>
                <w:szCs w:val="20"/>
              </w:rPr>
            </w:pPr>
            <w:r w:rsidRPr="00081FE3">
              <w:rPr>
                <w:szCs w:val="20"/>
              </w:rPr>
              <w:t>37.176</w:t>
            </w:r>
          </w:p>
        </w:tc>
        <w:tc>
          <w:tcPr>
            <w:tcW w:w="1524"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right"/>
              <w:rPr>
                <w:szCs w:val="20"/>
              </w:rPr>
            </w:pPr>
            <w:r w:rsidRPr="00081FE3">
              <w:rPr>
                <w:szCs w:val="20"/>
              </w:rPr>
              <w:t>650</w:t>
            </w:r>
          </w:p>
        </w:tc>
        <w:tc>
          <w:tcPr>
            <w:tcW w:w="1465" w:type="dxa"/>
            <w:tcBorders>
              <w:top w:val="single" w:sz="2" w:space="0" w:color="auto"/>
              <w:bottom w:val="single" w:sz="2" w:space="0" w:color="auto"/>
            </w:tcBorders>
            <w:shd w:val="clear" w:color="auto" w:fill="auto"/>
            <w:noWrap/>
            <w:vAlign w:val="center"/>
          </w:tcPr>
          <w:p w:rsidR="006943F0" w:rsidRPr="00081FE3" w:rsidRDefault="006943F0" w:rsidP="00081FE3">
            <w:pPr>
              <w:pStyle w:val="cuatexto"/>
              <w:jc w:val="right"/>
              <w:rPr>
                <w:rFonts w:ascii="Arial" w:hAnsi="Arial" w:cs="Arial"/>
                <w:sz w:val="18"/>
                <w:szCs w:val="18"/>
              </w:rPr>
            </w:pPr>
            <w:r w:rsidRPr="00081FE3">
              <w:rPr>
                <w:rFonts w:ascii="Arial" w:hAnsi="Arial" w:cs="Arial"/>
                <w:sz w:val="18"/>
                <w:szCs w:val="18"/>
              </w:rPr>
              <w:t>95.152</w:t>
            </w:r>
          </w:p>
        </w:tc>
        <w:tc>
          <w:tcPr>
            <w:tcW w:w="985" w:type="dxa"/>
            <w:tcBorders>
              <w:top w:val="single" w:sz="2" w:space="0" w:color="auto"/>
              <w:bottom w:val="single" w:sz="2" w:space="0" w:color="auto"/>
            </w:tcBorders>
            <w:vAlign w:val="center"/>
          </w:tcPr>
          <w:p w:rsidR="006943F0" w:rsidRPr="00081FE3" w:rsidRDefault="006943F0" w:rsidP="00081FE3">
            <w:pPr>
              <w:pStyle w:val="cuatexto"/>
              <w:jc w:val="right"/>
              <w:rPr>
                <w:rFonts w:ascii="Arial" w:hAnsi="Arial" w:cs="Arial"/>
                <w:sz w:val="18"/>
                <w:szCs w:val="18"/>
              </w:rPr>
            </w:pPr>
            <w:r w:rsidRPr="00081FE3">
              <w:rPr>
                <w:rFonts w:ascii="Arial" w:hAnsi="Arial" w:cs="Arial"/>
                <w:sz w:val="18"/>
                <w:szCs w:val="18"/>
              </w:rPr>
              <w:t>72</w:t>
            </w:r>
          </w:p>
        </w:tc>
      </w:tr>
      <w:tr w:rsidR="006943F0" w:rsidRPr="00081FE3" w:rsidTr="00934343">
        <w:trPr>
          <w:trHeight w:val="284"/>
          <w:jc w:val="center"/>
        </w:trPr>
        <w:tc>
          <w:tcPr>
            <w:tcW w:w="1545"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left"/>
              <w:rPr>
                <w:szCs w:val="20"/>
              </w:rPr>
            </w:pPr>
            <w:r w:rsidRPr="00081FE3">
              <w:rPr>
                <w:szCs w:val="20"/>
              </w:rPr>
              <w:t>2014</w:t>
            </w:r>
          </w:p>
        </w:tc>
        <w:tc>
          <w:tcPr>
            <w:tcW w:w="1856"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right"/>
              <w:rPr>
                <w:szCs w:val="20"/>
              </w:rPr>
            </w:pPr>
            <w:r w:rsidRPr="00081FE3">
              <w:rPr>
                <w:szCs w:val="20"/>
              </w:rPr>
              <w:t>56.061</w:t>
            </w:r>
          </w:p>
        </w:tc>
        <w:tc>
          <w:tcPr>
            <w:tcW w:w="1275"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right"/>
              <w:rPr>
                <w:szCs w:val="20"/>
              </w:rPr>
            </w:pPr>
            <w:r w:rsidRPr="00081FE3">
              <w:rPr>
                <w:szCs w:val="20"/>
              </w:rPr>
              <w:t>27.135</w:t>
            </w:r>
          </w:p>
        </w:tc>
        <w:tc>
          <w:tcPr>
            <w:tcW w:w="1524"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right"/>
              <w:rPr>
                <w:szCs w:val="20"/>
              </w:rPr>
            </w:pPr>
            <w:r w:rsidRPr="00081FE3">
              <w:rPr>
                <w:szCs w:val="20"/>
              </w:rPr>
              <w:t>1.546</w:t>
            </w:r>
          </w:p>
        </w:tc>
        <w:tc>
          <w:tcPr>
            <w:tcW w:w="1465" w:type="dxa"/>
            <w:tcBorders>
              <w:top w:val="single" w:sz="2" w:space="0" w:color="auto"/>
              <w:bottom w:val="single" w:sz="2" w:space="0" w:color="auto"/>
            </w:tcBorders>
            <w:shd w:val="clear" w:color="auto" w:fill="auto"/>
            <w:noWrap/>
            <w:vAlign w:val="center"/>
          </w:tcPr>
          <w:p w:rsidR="006943F0" w:rsidRPr="00081FE3" w:rsidRDefault="006943F0" w:rsidP="00081FE3">
            <w:pPr>
              <w:pStyle w:val="cuatexto"/>
              <w:jc w:val="right"/>
              <w:rPr>
                <w:rFonts w:ascii="Arial" w:hAnsi="Arial" w:cs="Arial"/>
                <w:sz w:val="18"/>
                <w:szCs w:val="18"/>
              </w:rPr>
            </w:pPr>
            <w:r w:rsidRPr="00081FE3">
              <w:rPr>
                <w:rFonts w:ascii="Arial" w:hAnsi="Arial" w:cs="Arial"/>
                <w:sz w:val="18"/>
                <w:szCs w:val="18"/>
              </w:rPr>
              <w:t>84.742</w:t>
            </w:r>
          </w:p>
        </w:tc>
        <w:tc>
          <w:tcPr>
            <w:tcW w:w="985" w:type="dxa"/>
            <w:tcBorders>
              <w:top w:val="single" w:sz="2" w:space="0" w:color="auto"/>
              <w:bottom w:val="single" w:sz="2" w:space="0" w:color="auto"/>
            </w:tcBorders>
            <w:vAlign w:val="center"/>
          </w:tcPr>
          <w:p w:rsidR="006943F0" w:rsidRPr="00081FE3" w:rsidRDefault="006943F0" w:rsidP="00081FE3">
            <w:pPr>
              <w:pStyle w:val="cuatexto"/>
              <w:jc w:val="right"/>
              <w:rPr>
                <w:rFonts w:ascii="Arial" w:hAnsi="Arial" w:cs="Arial"/>
                <w:sz w:val="18"/>
                <w:szCs w:val="18"/>
              </w:rPr>
            </w:pPr>
            <w:r w:rsidRPr="00081FE3">
              <w:rPr>
                <w:rFonts w:ascii="Arial" w:hAnsi="Arial" w:cs="Arial"/>
                <w:sz w:val="18"/>
                <w:szCs w:val="18"/>
              </w:rPr>
              <w:t>64</w:t>
            </w:r>
          </w:p>
        </w:tc>
      </w:tr>
      <w:tr w:rsidR="006943F0" w:rsidRPr="00081FE3" w:rsidTr="00934343">
        <w:trPr>
          <w:trHeight w:val="284"/>
          <w:jc w:val="center"/>
        </w:trPr>
        <w:tc>
          <w:tcPr>
            <w:tcW w:w="1545" w:type="dxa"/>
            <w:tcBorders>
              <w:top w:val="single" w:sz="2" w:space="0" w:color="auto"/>
              <w:bottom w:val="single" w:sz="4" w:space="0" w:color="auto"/>
            </w:tcBorders>
            <w:shd w:val="clear" w:color="auto" w:fill="auto"/>
            <w:noWrap/>
            <w:vAlign w:val="center"/>
            <w:hideMark/>
          </w:tcPr>
          <w:p w:rsidR="006943F0" w:rsidRPr="00081FE3" w:rsidRDefault="006943F0" w:rsidP="00B71C21">
            <w:pPr>
              <w:pStyle w:val="cuatexto"/>
              <w:jc w:val="left"/>
              <w:rPr>
                <w:szCs w:val="20"/>
              </w:rPr>
            </w:pPr>
            <w:r w:rsidRPr="00081FE3">
              <w:rPr>
                <w:szCs w:val="20"/>
              </w:rPr>
              <w:t>2015</w:t>
            </w:r>
          </w:p>
        </w:tc>
        <w:tc>
          <w:tcPr>
            <w:tcW w:w="1856" w:type="dxa"/>
            <w:tcBorders>
              <w:top w:val="single" w:sz="2" w:space="0" w:color="auto"/>
              <w:bottom w:val="single" w:sz="4" w:space="0" w:color="auto"/>
            </w:tcBorders>
            <w:shd w:val="clear" w:color="auto" w:fill="auto"/>
            <w:noWrap/>
            <w:vAlign w:val="center"/>
            <w:hideMark/>
          </w:tcPr>
          <w:p w:rsidR="006943F0" w:rsidRPr="00081FE3" w:rsidRDefault="006943F0" w:rsidP="00B71C21">
            <w:pPr>
              <w:pStyle w:val="cuatexto"/>
              <w:jc w:val="right"/>
              <w:rPr>
                <w:szCs w:val="20"/>
              </w:rPr>
            </w:pPr>
            <w:r w:rsidRPr="00081FE3">
              <w:rPr>
                <w:szCs w:val="20"/>
              </w:rPr>
              <w:t>38.133</w:t>
            </w:r>
          </w:p>
        </w:tc>
        <w:tc>
          <w:tcPr>
            <w:tcW w:w="1275" w:type="dxa"/>
            <w:tcBorders>
              <w:top w:val="single" w:sz="2" w:space="0" w:color="auto"/>
              <w:bottom w:val="single" w:sz="4" w:space="0" w:color="auto"/>
            </w:tcBorders>
            <w:shd w:val="clear" w:color="auto" w:fill="auto"/>
            <w:noWrap/>
            <w:vAlign w:val="center"/>
            <w:hideMark/>
          </w:tcPr>
          <w:p w:rsidR="006943F0" w:rsidRPr="00081FE3" w:rsidRDefault="006943F0" w:rsidP="00B71C21">
            <w:pPr>
              <w:pStyle w:val="cuatexto"/>
              <w:jc w:val="right"/>
              <w:rPr>
                <w:szCs w:val="20"/>
              </w:rPr>
            </w:pPr>
            <w:r w:rsidRPr="00081FE3">
              <w:rPr>
                <w:szCs w:val="20"/>
              </w:rPr>
              <w:t>35.060</w:t>
            </w:r>
          </w:p>
        </w:tc>
        <w:tc>
          <w:tcPr>
            <w:tcW w:w="1524" w:type="dxa"/>
            <w:tcBorders>
              <w:top w:val="single" w:sz="2" w:space="0" w:color="auto"/>
              <w:bottom w:val="single" w:sz="4" w:space="0" w:color="auto"/>
            </w:tcBorders>
            <w:shd w:val="clear" w:color="auto" w:fill="auto"/>
            <w:noWrap/>
            <w:vAlign w:val="center"/>
            <w:hideMark/>
          </w:tcPr>
          <w:p w:rsidR="006943F0" w:rsidRPr="00081FE3" w:rsidRDefault="006943F0" w:rsidP="00B71C21">
            <w:pPr>
              <w:pStyle w:val="cuatexto"/>
              <w:jc w:val="right"/>
              <w:rPr>
                <w:szCs w:val="20"/>
              </w:rPr>
            </w:pPr>
            <w:r w:rsidRPr="00081FE3">
              <w:rPr>
                <w:szCs w:val="20"/>
              </w:rPr>
              <w:t>1.993</w:t>
            </w:r>
          </w:p>
        </w:tc>
        <w:tc>
          <w:tcPr>
            <w:tcW w:w="1465" w:type="dxa"/>
            <w:tcBorders>
              <w:top w:val="single" w:sz="2" w:space="0" w:color="auto"/>
              <w:bottom w:val="single" w:sz="4" w:space="0" w:color="auto"/>
            </w:tcBorders>
            <w:shd w:val="clear" w:color="auto" w:fill="auto"/>
            <w:noWrap/>
            <w:vAlign w:val="center"/>
            <w:hideMark/>
          </w:tcPr>
          <w:p w:rsidR="006943F0" w:rsidRPr="00081FE3" w:rsidRDefault="006943F0" w:rsidP="00081FE3">
            <w:pPr>
              <w:pStyle w:val="cuatexto"/>
              <w:jc w:val="right"/>
              <w:rPr>
                <w:rFonts w:ascii="Arial" w:hAnsi="Arial" w:cs="Arial"/>
                <w:sz w:val="18"/>
                <w:szCs w:val="18"/>
              </w:rPr>
            </w:pPr>
            <w:r w:rsidRPr="00081FE3">
              <w:rPr>
                <w:rFonts w:ascii="Arial" w:hAnsi="Arial" w:cs="Arial"/>
                <w:sz w:val="18"/>
                <w:szCs w:val="18"/>
              </w:rPr>
              <w:t>75.186</w:t>
            </w:r>
          </w:p>
        </w:tc>
        <w:tc>
          <w:tcPr>
            <w:tcW w:w="985" w:type="dxa"/>
            <w:tcBorders>
              <w:top w:val="single" w:sz="2" w:space="0" w:color="auto"/>
              <w:bottom w:val="single" w:sz="4" w:space="0" w:color="auto"/>
            </w:tcBorders>
            <w:vAlign w:val="center"/>
          </w:tcPr>
          <w:p w:rsidR="006943F0" w:rsidRPr="00081FE3" w:rsidRDefault="006943F0" w:rsidP="00081FE3">
            <w:pPr>
              <w:pStyle w:val="cuatexto"/>
              <w:jc w:val="right"/>
              <w:rPr>
                <w:rFonts w:ascii="Arial" w:hAnsi="Arial" w:cs="Arial"/>
                <w:sz w:val="18"/>
                <w:szCs w:val="18"/>
              </w:rPr>
            </w:pPr>
            <w:r w:rsidRPr="00081FE3">
              <w:rPr>
                <w:rFonts w:ascii="Arial" w:hAnsi="Arial" w:cs="Arial"/>
                <w:sz w:val="18"/>
                <w:szCs w:val="18"/>
              </w:rPr>
              <w:t>57</w:t>
            </w:r>
          </w:p>
        </w:tc>
      </w:tr>
    </w:tbl>
    <w:p w:rsidR="006943F0" w:rsidRDefault="00465B76" w:rsidP="00081FE3">
      <w:pPr>
        <w:pStyle w:val="texto"/>
        <w:spacing w:before="240"/>
        <w:rPr>
          <w:lang w:val="es-ES"/>
        </w:rPr>
      </w:pPr>
      <w:r>
        <w:rPr>
          <w:lang w:val="es-ES"/>
        </w:rPr>
        <w:t>Como se observa, desde 2012</w:t>
      </w:r>
      <w:r w:rsidR="006F10AD" w:rsidRPr="006F10AD">
        <w:rPr>
          <w:lang w:val="es-ES"/>
        </w:rPr>
        <w:t xml:space="preserve"> se ha</w:t>
      </w:r>
      <w:r>
        <w:rPr>
          <w:lang w:val="es-ES"/>
        </w:rPr>
        <w:t>n</w:t>
      </w:r>
      <w:r w:rsidR="006F10AD" w:rsidRPr="006F10AD">
        <w:rPr>
          <w:lang w:val="es-ES"/>
        </w:rPr>
        <w:t xml:space="preserve"> reducido significativamente los ingresos</w:t>
      </w:r>
      <w:r w:rsidR="00336738">
        <w:rPr>
          <w:lang w:val="es-ES"/>
        </w:rPr>
        <w:t xml:space="preserve"> devengados</w:t>
      </w:r>
      <w:r w:rsidR="006F10AD" w:rsidRPr="006F10AD">
        <w:rPr>
          <w:lang w:val="es-ES"/>
        </w:rPr>
        <w:t xml:space="preserve"> obtenidos por la Hacienda Foral dentro de su plan contra el fraude fiscal, resultando el ejercicio de 2015 el que ofrece unos datos más reduc</w:t>
      </w:r>
      <w:r w:rsidR="006F10AD">
        <w:rPr>
          <w:lang w:val="es-ES"/>
        </w:rPr>
        <w:t>idos globalmente</w:t>
      </w:r>
      <w:r w:rsidR="00C23207">
        <w:rPr>
          <w:lang w:val="es-ES"/>
        </w:rPr>
        <w:t xml:space="preserve"> de </w:t>
      </w:r>
      <w:r w:rsidR="00336738">
        <w:rPr>
          <w:lang w:val="es-ES"/>
        </w:rPr>
        <w:t>devengo</w:t>
      </w:r>
      <w:r w:rsidR="006F10AD">
        <w:rPr>
          <w:lang w:val="es-ES"/>
        </w:rPr>
        <w:t>, un 43 por ciento inferiores a los de 2008.</w:t>
      </w:r>
    </w:p>
    <w:p w:rsidR="00934343" w:rsidRDefault="004C1186" w:rsidP="00D74577">
      <w:pPr>
        <w:pStyle w:val="texto"/>
        <w:rPr>
          <w:lang w:val="es-ES"/>
        </w:rPr>
      </w:pPr>
      <w:r>
        <w:rPr>
          <w:lang w:val="es-ES"/>
        </w:rPr>
        <w:t>Lógicamen</w:t>
      </w:r>
      <w:r w:rsidR="00A10C76">
        <w:rPr>
          <w:lang w:val="es-ES"/>
        </w:rPr>
        <w:t xml:space="preserve">te los datos anteriores </w:t>
      </w:r>
      <w:r>
        <w:rPr>
          <w:lang w:val="es-ES"/>
        </w:rPr>
        <w:t>están afectados por la reducción de la actividad debido a la crisis económica.</w:t>
      </w:r>
    </w:p>
    <w:p w:rsidR="00BF5C0B" w:rsidRDefault="006F10AD" w:rsidP="001E7B19">
      <w:pPr>
        <w:pStyle w:val="texto"/>
        <w:spacing w:after="0"/>
        <w:rPr>
          <w:lang w:val="es-ES"/>
        </w:rPr>
      </w:pPr>
      <w:r>
        <w:rPr>
          <w:lang w:val="es-ES"/>
        </w:rPr>
        <w:t>En el siguiente cuadro comparamos</w:t>
      </w:r>
      <w:r w:rsidR="00C42403">
        <w:rPr>
          <w:lang w:val="es-ES"/>
        </w:rPr>
        <w:t>,</w:t>
      </w:r>
      <w:r>
        <w:rPr>
          <w:lang w:val="es-ES"/>
        </w:rPr>
        <w:t xml:space="preserve"> con </w:t>
      </w:r>
      <w:r w:rsidR="00C23207">
        <w:rPr>
          <w:lang w:val="es-ES"/>
        </w:rPr>
        <w:t>un mayor detalle</w:t>
      </w:r>
      <w:r w:rsidR="00C42403">
        <w:rPr>
          <w:lang w:val="es-ES"/>
        </w:rPr>
        <w:t>,</w:t>
      </w:r>
      <w:r>
        <w:rPr>
          <w:lang w:val="es-ES"/>
        </w:rPr>
        <w:t xml:space="preserve"> las actuaciones contra el fraude de los ejercicios 2014 y 2015:</w:t>
      </w:r>
    </w:p>
    <w:p w:rsidR="00A67E1B" w:rsidRPr="00846EDC" w:rsidRDefault="00465B76" w:rsidP="00A67E1B">
      <w:pPr>
        <w:pStyle w:val="recomen"/>
        <w:numPr>
          <w:ilvl w:val="0"/>
          <w:numId w:val="0"/>
        </w:numPr>
        <w:spacing w:after="40"/>
        <w:ind w:left="1588"/>
        <w:jc w:val="right"/>
        <w:rPr>
          <w:rFonts w:ascii="Arial Narrow" w:hAnsi="Arial Narrow"/>
          <w:i w:val="0"/>
          <w:sz w:val="18"/>
          <w:szCs w:val="18"/>
        </w:rPr>
      </w:pPr>
      <w:r w:rsidRPr="00846EDC">
        <w:rPr>
          <w:rFonts w:ascii="Arial Narrow" w:hAnsi="Arial Narrow"/>
          <w:i w:val="0"/>
          <w:sz w:val="18"/>
          <w:szCs w:val="18"/>
        </w:rPr>
        <w:t>Miles</w:t>
      </w:r>
      <w:r w:rsidR="00A67E1B" w:rsidRPr="00846EDC">
        <w:rPr>
          <w:rFonts w:ascii="Arial Narrow" w:hAnsi="Arial Narrow"/>
          <w:i w:val="0"/>
          <w:sz w:val="18"/>
          <w:szCs w:val="18"/>
        </w:rPr>
        <w:t xml:space="preserve"> de euros</w:t>
      </w:r>
    </w:p>
    <w:tbl>
      <w:tblPr>
        <w:tblW w:w="8755" w:type="dxa"/>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3045"/>
        <w:gridCol w:w="1577"/>
        <w:gridCol w:w="1034"/>
        <w:gridCol w:w="2105"/>
        <w:gridCol w:w="994"/>
      </w:tblGrid>
      <w:tr w:rsidR="00934343" w:rsidRPr="00081FE3" w:rsidTr="00934343">
        <w:trPr>
          <w:trHeight w:val="255"/>
          <w:jc w:val="center"/>
        </w:trPr>
        <w:tc>
          <w:tcPr>
            <w:tcW w:w="3045" w:type="dxa"/>
            <w:tcBorders>
              <w:top w:val="single" w:sz="4" w:space="0" w:color="auto"/>
              <w:bottom w:val="single" w:sz="4" w:space="0" w:color="auto"/>
            </w:tcBorders>
            <w:shd w:val="clear" w:color="auto" w:fill="A8CBEE" w:themeFill="accent2" w:themeFillTint="66"/>
            <w:noWrap/>
            <w:vAlign w:val="center"/>
            <w:hideMark/>
          </w:tcPr>
          <w:p w:rsidR="00934343" w:rsidRPr="00081FE3" w:rsidRDefault="00934343" w:rsidP="00081FE3">
            <w:pPr>
              <w:pStyle w:val="cuadroCabe"/>
              <w:jc w:val="left"/>
              <w:rPr>
                <w:szCs w:val="18"/>
              </w:rPr>
            </w:pPr>
            <w:r w:rsidRPr="00081FE3">
              <w:rPr>
                <w:szCs w:val="18"/>
              </w:rPr>
              <w:t>Lucha contra el fraude fiscal</w:t>
            </w:r>
          </w:p>
        </w:tc>
        <w:tc>
          <w:tcPr>
            <w:tcW w:w="2611" w:type="dxa"/>
            <w:gridSpan w:val="2"/>
            <w:tcBorders>
              <w:top w:val="single" w:sz="4" w:space="0" w:color="auto"/>
              <w:bottom w:val="single" w:sz="4" w:space="0" w:color="auto"/>
            </w:tcBorders>
            <w:shd w:val="clear" w:color="auto" w:fill="A8CBEE" w:themeFill="accent2" w:themeFillTint="66"/>
            <w:vAlign w:val="center"/>
            <w:hideMark/>
          </w:tcPr>
          <w:p w:rsidR="00934343" w:rsidRPr="00081FE3" w:rsidRDefault="00934343" w:rsidP="006943F0">
            <w:pPr>
              <w:pStyle w:val="cuadroCabe"/>
              <w:jc w:val="center"/>
              <w:rPr>
                <w:szCs w:val="18"/>
              </w:rPr>
            </w:pPr>
            <w:r w:rsidRPr="00081FE3">
              <w:rPr>
                <w:szCs w:val="18"/>
              </w:rPr>
              <w:t xml:space="preserve">2015 </w:t>
            </w:r>
          </w:p>
        </w:tc>
        <w:tc>
          <w:tcPr>
            <w:tcW w:w="3099" w:type="dxa"/>
            <w:gridSpan w:val="2"/>
            <w:tcBorders>
              <w:top w:val="single" w:sz="4" w:space="0" w:color="auto"/>
              <w:bottom w:val="single" w:sz="4" w:space="0" w:color="auto"/>
            </w:tcBorders>
            <w:shd w:val="clear" w:color="auto" w:fill="A8CBEE" w:themeFill="accent2" w:themeFillTint="66"/>
            <w:vAlign w:val="center"/>
            <w:hideMark/>
          </w:tcPr>
          <w:p w:rsidR="00934343" w:rsidRPr="00081FE3" w:rsidRDefault="00934343" w:rsidP="00934343">
            <w:pPr>
              <w:pStyle w:val="cuadroCabe"/>
              <w:jc w:val="center"/>
              <w:rPr>
                <w:szCs w:val="18"/>
              </w:rPr>
            </w:pPr>
            <w:r w:rsidRPr="00081FE3">
              <w:rPr>
                <w:szCs w:val="18"/>
              </w:rPr>
              <w:t>2014</w:t>
            </w:r>
          </w:p>
        </w:tc>
      </w:tr>
      <w:tr w:rsidR="006943F0" w:rsidRPr="00081FE3" w:rsidTr="00934343">
        <w:trPr>
          <w:trHeight w:val="255"/>
          <w:jc w:val="center"/>
        </w:trPr>
        <w:tc>
          <w:tcPr>
            <w:tcW w:w="3045" w:type="dxa"/>
            <w:tcBorders>
              <w:top w:val="single" w:sz="4" w:space="0" w:color="auto"/>
              <w:bottom w:val="single" w:sz="4" w:space="0" w:color="auto"/>
            </w:tcBorders>
            <w:shd w:val="clear" w:color="auto" w:fill="A8CBEE" w:themeFill="accent2" w:themeFillTint="66"/>
            <w:vAlign w:val="center"/>
            <w:hideMark/>
          </w:tcPr>
          <w:p w:rsidR="006943F0" w:rsidRPr="00081FE3" w:rsidRDefault="006F10AD" w:rsidP="00081FE3">
            <w:pPr>
              <w:pStyle w:val="cuadroCabe"/>
              <w:jc w:val="left"/>
              <w:rPr>
                <w:szCs w:val="18"/>
              </w:rPr>
            </w:pPr>
            <w:r w:rsidRPr="00081FE3">
              <w:rPr>
                <w:szCs w:val="18"/>
              </w:rPr>
              <w:t>Inspección</w:t>
            </w:r>
          </w:p>
        </w:tc>
        <w:tc>
          <w:tcPr>
            <w:tcW w:w="1577" w:type="dxa"/>
            <w:tcBorders>
              <w:top w:val="single" w:sz="4" w:space="0" w:color="auto"/>
              <w:bottom w:val="single" w:sz="4" w:space="0" w:color="auto"/>
            </w:tcBorders>
            <w:shd w:val="clear" w:color="auto" w:fill="A8CBEE" w:themeFill="accent2" w:themeFillTint="66"/>
            <w:vAlign w:val="center"/>
            <w:hideMark/>
          </w:tcPr>
          <w:p w:rsidR="006943F0" w:rsidRPr="00081FE3" w:rsidRDefault="006943F0" w:rsidP="00081FE3">
            <w:pPr>
              <w:pStyle w:val="cuadroCabe"/>
              <w:jc w:val="right"/>
              <w:rPr>
                <w:szCs w:val="18"/>
              </w:rPr>
            </w:pPr>
            <w:r w:rsidRPr="00081FE3">
              <w:rPr>
                <w:szCs w:val="18"/>
              </w:rPr>
              <w:t>Nº Actuaciones</w:t>
            </w:r>
          </w:p>
        </w:tc>
        <w:tc>
          <w:tcPr>
            <w:tcW w:w="1034" w:type="dxa"/>
            <w:tcBorders>
              <w:top w:val="single" w:sz="4" w:space="0" w:color="auto"/>
              <w:bottom w:val="single" w:sz="4" w:space="0" w:color="auto"/>
            </w:tcBorders>
            <w:shd w:val="clear" w:color="auto" w:fill="A8CBEE" w:themeFill="accent2" w:themeFillTint="66"/>
            <w:vAlign w:val="center"/>
            <w:hideMark/>
          </w:tcPr>
          <w:p w:rsidR="006943F0" w:rsidRPr="00081FE3" w:rsidRDefault="006943F0" w:rsidP="00081FE3">
            <w:pPr>
              <w:pStyle w:val="cuadroCabe"/>
              <w:jc w:val="right"/>
              <w:rPr>
                <w:szCs w:val="18"/>
              </w:rPr>
            </w:pPr>
            <w:r w:rsidRPr="00081FE3">
              <w:rPr>
                <w:szCs w:val="18"/>
              </w:rPr>
              <w:t>Importe</w:t>
            </w:r>
          </w:p>
        </w:tc>
        <w:tc>
          <w:tcPr>
            <w:tcW w:w="2105" w:type="dxa"/>
            <w:tcBorders>
              <w:top w:val="single" w:sz="4" w:space="0" w:color="auto"/>
              <w:bottom w:val="single" w:sz="4" w:space="0" w:color="auto"/>
            </w:tcBorders>
            <w:shd w:val="clear" w:color="auto" w:fill="A8CBEE" w:themeFill="accent2" w:themeFillTint="66"/>
            <w:vAlign w:val="center"/>
            <w:hideMark/>
          </w:tcPr>
          <w:p w:rsidR="006943F0" w:rsidRPr="00081FE3" w:rsidRDefault="006943F0" w:rsidP="00081FE3">
            <w:pPr>
              <w:pStyle w:val="cuadroCabe"/>
              <w:jc w:val="right"/>
              <w:rPr>
                <w:szCs w:val="18"/>
              </w:rPr>
            </w:pPr>
            <w:r w:rsidRPr="00081FE3">
              <w:rPr>
                <w:szCs w:val="18"/>
              </w:rPr>
              <w:t>Nº Actuaciones</w:t>
            </w:r>
          </w:p>
        </w:tc>
        <w:tc>
          <w:tcPr>
            <w:tcW w:w="994" w:type="dxa"/>
            <w:tcBorders>
              <w:top w:val="single" w:sz="4" w:space="0" w:color="auto"/>
              <w:bottom w:val="single" w:sz="4" w:space="0" w:color="auto"/>
            </w:tcBorders>
            <w:shd w:val="clear" w:color="auto" w:fill="A8CBEE" w:themeFill="accent2" w:themeFillTint="66"/>
            <w:vAlign w:val="center"/>
            <w:hideMark/>
          </w:tcPr>
          <w:p w:rsidR="006943F0" w:rsidRPr="00081FE3" w:rsidRDefault="006943F0" w:rsidP="00081FE3">
            <w:pPr>
              <w:pStyle w:val="cuadroCabe"/>
              <w:jc w:val="right"/>
              <w:rPr>
                <w:szCs w:val="18"/>
              </w:rPr>
            </w:pPr>
            <w:r w:rsidRPr="00081FE3">
              <w:rPr>
                <w:szCs w:val="18"/>
              </w:rPr>
              <w:t>Importe</w:t>
            </w:r>
          </w:p>
        </w:tc>
      </w:tr>
      <w:tr w:rsidR="0033770F" w:rsidRPr="006943F0" w:rsidTr="00934343">
        <w:trPr>
          <w:trHeight w:val="255"/>
          <w:jc w:val="center"/>
        </w:trPr>
        <w:tc>
          <w:tcPr>
            <w:tcW w:w="3045" w:type="dxa"/>
            <w:tcBorders>
              <w:top w:val="single" w:sz="4" w:space="0" w:color="auto"/>
            </w:tcBorders>
            <w:shd w:val="clear" w:color="auto" w:fill="auto"/>
            <w:noWrap/>
            <w:vAlign w:val="center"/>
            <w:hideMark/>
          </w:tcPr>
          <w:p w:rsidR="006943F0" w:rsidRPr="006943F0" w:rsidRDefault="006943F0" w:rsidP="00081FE3">
            <w:pPr>
              <w:pStyle w:val="cuatexto"/>
              <w:jc w:val="left"/>
              <w:rPr>
                <w:sz w:val="18"/>
                <w:szCs w:val="18"/>
              </w:rPr>
            </w:pPr>
            <w:r w:rsidRPr="006943F0">
              <w:rPr>
                <w:sz w:val="18"/>
                <w:szCs w:val="18"/>
              </w:rPr>
              <w:t>Actas inspección</w:t>
            </w:r>
          </w:p>
        </w:tc>
        <w:tc>
          <w:tcPr>
            <w:tcW w:w="1577" w:type="dxa"/>
            <w:tcBorders>
              <w:top w:val="single" w:sz="4" w:space="0" w:color="auto"/>
            </w:tcBorders>
            <w:shd w:val="clear" w:color="auto" w:fill="auto"/>
            <w:noWrap/>
            <w:vAlign w:val="center"/>
            <w:hideMark/>
          </w:tcPr>
          <w:p w:rsidR="006943F0" w:rsidRPr="006943F0" w:rsidRDefault="006943F0" w:rsidP="00081FE3">
            <w:pPr>
              <w:pStyle w:val="cuatexto"/>
              <w:jc w:val="right"/>
              <w:rPr>
                <w:sz w:val="18"/>
                <w:szCs w:val="18"/>
              </w:rPr>
            </w:pPr>
            <w:r w:rsidRPr="006943F0">
              <w:rPr>
                <w:sz w:val="18"/>
                <w:szCs w:val="18"/>
              </w:rPr>
              <w:t>692</w:t>
            </w:r>
          </w:p>
        </w:tc>
        <w:tc>
          <w:tcPr>
            <w:tcW w:w="1034" w:type="dxa"/>
            <w:tcBorders>
              <w:top w:val="single" w:sz="4" w:space="0" w:color="auto"/>
            </w:tcBorders>
            <w:shd w:val="clear" w:color="auto" w:fill="auto"/>
            <w:noWrap/>
            <w:vAlign w:val="center"/>
            <w:hideMark/>
          </w:tcPr>
          <w:p w:rsidR="006943F0" w:rsidRPr="006943F0" w:rsidRDefault="006943F0" w:rsidP="00081FE3">
            <w:pPr>
              <w:pStyle w:val="cuatexto"/>
              <w:jc w:val="right"/>
              <w:rPr>
                <w:sz w:val="18"/>
                <w:szCs w:val="18"/>
              </w:rPr>
            </w:pPr>
            <w:r w:rsidRPr="006943F0">
              <w:rPr>
                <w:sz w:val="18"/>
                <w:szCs w:val="18"/>
              </w:rPr>
              <w:t>35.060</w:t>
            </w:r>
          </w:p>
        </w:tc>
        <w:tc>
          <w:tcPr>
            <w:tcW w:w="2105" w:type="dxa"/>
            <w:tcBorders>
              <w:top w:val="single" w:sz="4" w:space="0" w:color="auto"/>
            </w:tcBorders>
            <w:shd w:val="clear" w:color="auto" w:fill="auto"/>
            <w:noWrap/>
            <w:vAlign w:val="center"/>
            <w:hideMark/>
          </w:tcPr>
          <w:p w:rsidR="006943F0" w:rsidRPr="006943F0" w:rsidRDefault="006943F0" w:rsidP="00081FE3">
            <w:pPr>
              <w:pStyle w:val="cuatexto"/>
              <w:jc w:val="right"/>
              <w:rPr>
                <w:sz w:val="18"/>
                <w:szCs w:val="18"/>
              </w:rPr>
            </w:pPr>
            <w:r w:rsidRPr="006943F0">
              <w:rPr>
                <w:sz w:val="18"/>
                <w:szCs w:val="18"/>
              </w:rPr>
              <w:t>986</w:t>
            </w:r>
          </w:p>
        </w:tc>
        <w:tc>
          <w:tcPr>
            <w:tcW w:w="994" w:type="dxa"/>
            <w:tcBorders>
              <w:top w:val="single" w:sz="4" w:space="0" w:color="auto"/>
            </w:tcBorders>
            <w:shd w:val="clear" w:color="auto" w:fill="auto"/>
            <w:noWrap/>
            <w:vAlign w:val="center"/>
            <w:hideMark/>
          </w:tcPr>
          <w:p w:rsidR="006943F0" w:rsidRPr="006943F0" w:rsidRDefault="006943F0" w:rsidP="00081FE3">
            <w:pPr>
              <w:pStyle w:val="cuatexto"/>
              <w:jc w:val="right"/>
              <w:rPr>
                <w:sz w:val="18"/>
                <w:szCs w:val="18"/>
              </w:rPr>
            </w:pPr>
            <w:r w:rsidRPr="006943F0">
              <w:rPr>
                <w:sz w:val="18"/>
                <w:szCs w:val="18"/>
              </w:rPr>
              <w:t>27.135</w:t>
            </w:r>
          </w:p>
        </w:tc>
      </w:tr>
      <w:tr w:rsidR="0033770F" w:rsidRPr="006943F0" w:rsidTr="00934343">
        <w:trPr>
          <w:trHeight w:val="255"/>
          <w:jc w:val="center"/>
        </w:trPr>
        <w:tc>
          <w:tcPr>
            <w:tcW w:w="3045" w:type="dxa"/>
            <w:shd w:val="clear" w:color="auto" w:fill="auto"/>
            <w:noWrap/>
            <w:vAlign w:val="center"/>
            <w:hideMark/>
          </w:tcPr>
          <w:p w:rsidR="006943F0" w:rsidRPr="006943F0" w:rsidRDefault="006943F0" w:rsidP="00081FE3">
            <w:pPr>
              <w:pStyle w:val="cuatexto"/>
              <w:jc w:val="left"/>
              <w:rPr>
                <w:sz w:val="18"/>
                <w:szCs w:val="18"/>
              </w:rPr>
            </w:pPr>
            <w:r w:rsidRPr="006943F0">
              <w:rPr>
                <w:sz w:val="18"/>
                <w:szCs w:val="18"/>
              </w:rPr>
              <w:t>Delitos fiscales</w:t>
            </w:r>
          </w:p>
        </w:tc>
        <w:tc>
          <w:tcPr>
            <w:tcW w:w="1577" w:type="dxa"/>
            <w:shd w:val="clear" w:color="auto" w:fill="auto"/>
            <w:noWrap/>
            <w:vAlign w:val="center"/>
            <w:hideMark/>
          </w:tcPr>
          <w:p w:rsidR="006943F0" w:rsidRPr="006943F0" w:rsidRDefault="006943F0" w:rsidP="00081FE3">
            <w:pPr>
              <w:pStyle w:val="cuatexto"/>
              <w:jc w:val="right"/>
              <w:rPr>
                <w:sz w:val="18"/>
                <w:szCs w:val="18"/>
              </w:rPr>
            </w:pPr>
            <w:r w:rsidRPr="006943F0">
              <w:rPr>
                <w:sz w:val="18"/>
                <w:szCs w:val="18"/>
              </w:rPr>
              <w:t>5</w:t>
            </w:r>
          </w:p>
        </w:tc>
        <w:tc>
          <w:tcPr>
            <w:tcW w:w="1034" w:type="dxa"/>
            <w:shd w:val="clear" w:color="auto" w:fill="auto"/>
            <w:noWrap/>
            <w:vAlign w:val="center"/>
            <w:hideMark/>
          </w:tcPr>
          <w:p w:rsidR="006943F0" w:rsidRPr="006943F0" w:rsidRDefault="006943F0" w:rsidP="00081FE3">
            <w:pPr>
              <w:pStyle w:val="cuatexto"/>
              <w:jc w:val="right"/>
              <w:rPr>
                <w:sz w:val="18"/>
                <w:szCs w:val="18"/>
              </w:rPr>
            </w:pPr>
            <w:r w:rsidRPr="006943F0">
              <w:rPr>
                <w:sz w:val="18"/>
                <w:szCs w:val="18"/>
              </w:rPr>
              <w:t>1.993</w:t>
            </w:r>
          </w:p>
        </w:tc>
        <w:tc>
          <w:tcPr>
            <w:tcW w:w="2105" w:type="dxa"/>
            <w:shd w:val="clear" w:color="auto" w:fill="auto"/>
            <w:noWrap/>
            <w:vAlign w:val="center"/>
            <w:hideMark/>
          </w:tcPr>
          <w:p w:rsidR="006943F0" w:rsidRPr="006943F0" w:rsidRDefault="006943F0" w:rsidP="00081FE3">
            <w:pPr>
              <w:pStyle w:val="cuatexto"/>
              <w:jc w:val="right"/>
              <w:rPr>
                <w:sz w:val="18"/>
                <w:szCs w:val="18"/>
              </w:rPr>
            </w:pPr>
            <w:r w:rsidRPr="006943F0">
              <w:rPr>
                <w:sz w:val="18"/>
                <w:szCs w:val="18"/>
              </w:rPr>
              <w:t>5</w:t>
            </w:r>
          </w:p>
        </w:tc>
        <w:tc>
          <w:tcPr>
            <w:tcW w:w="994" w:type="dxa"/>
            <w:shd w:val="clear" w:color="auto" w:fill="auto"/>
            <w:noWrap/>
            <w:vAlign w:val="center"/>
            <w:hideMark/>
          </w:tcPr>
          <w:p w:rsidR="006943F0" w:rsidRPr="006943F0" w:rsidRDefault="006943F0" w:rsidP="00081FE3">
            <w:pPr>
              <w:pStyle w:val="cuatexto"/>
              <w:jc w:val="right"/>
              <w:rPr>
                <w:sz w:val="18"/>
                <w:szCs w:val="18"/>
              </w:rPr>
            </w:pPr>
            <w:r w:rsidRPr="006943F0">
              <w:rPr>
                <w:sz w:val="18"/>
                <w:szCs w:val="18"/>
              </w:rPr>
              <w:t>1.54</w:t>
            </w:r>
            <w:r w:rsidR="006F10AD">
              <w:rPr>
                <w:sz w:val="18"/>
                <w:szCs w:val="18"/>
              </w:rPr>
              <w:t>6</w:t>
            </w:r>
          </w:p>
        </w:tc>
      </w:tr>
      <w:tr w:rsidR="0033770F" w:rsidRPr="006943F0" w:rsidTr="00934343">
        <w:trPr>
          <w:trHeight w:val="255"/>
          <w:jc w:val="center"/>
        </w:trPr>
        <w:tc>
          <w:tcPr>
            <w:tcW w:w="3045" w:type="dxa"/>
            <w:shd w:val="clear" w:color="auto" w:fill="auto"/>
            <w:noWrap/>
            <w:vAlign w:val="center"/>
            <w:hideMark/>
          </w:tcPr>
          <w:p w:rsidR="006943F0" w:rsidRPr="006943F0" w:rsidRDefault="006943F0" w:rsidP="00081FE3">
            <w:pPr>
              <w:pStyle w:val="cuatexto"/>
              <w:jc w:val="left"/>
              <w:rPr>
                <w:b/>
                <w:sz w:val="18"/>
                <w:szCs w:val="18"/>
              </w:rPr>
            </w:pPr>
            <w:r w:rsidRPr="006943F0">
              <w:rPr>
                <w:b/>
                <w:sz w:val="18"/>
                <w:szCs w:val="18"/>
              </w:rPr>
              <w:t xml:space="preserve">Total Inspección </w:t>
            </w:r>
          </w:p>
        </w:tc>
        <w:tc>
          <w:tcPr>
            <w:tcW w:w="1577" w:type="dxa"/>
            <w:shd w:val="clear" w:color="auto" w:fill="auto"/>
            <w:noWrap/>
            <w:vAlign w:val="center"/>
            <w:hideMark/>
          </w:tcPr>
          <w:p w:rsidR="006943F0" w:rsidRPr="006943F0" w:rsidRDefault="006943F0" w:rsidP="00081FE3">
            <w:pPr>
              <w:pStyle w:val="cuatexto"/>
              <w:jc w:val="right"/>
              <w:rPr>
                <w:b/>
                <w:sz w:val="18"/>
                <w:szCs w:val="18"/>
              </w:rPr>
            </w:pPr>
            <w:r w:rsidRPr="006943F0">
              <w:rPr>
                <w:b/>
                <w:sz w:val="18"/>
                <w:szCs w:val="18"/>
              </w:rPr>
              <w:t>697</w:t>
            </w:r>
          </w:p>
        </w:tc>
        <w:tc>
          <w:tcPr>
            <w:tcW w:w="1034" w:type="dxa"/>
            <w:shd w:val="clear" w:color="auto" w:fill="auto"/>
            <w:noWrap/>
            <w:vAlign w:val="center"/>
            <w:hideMark/>
          </w:tcPr>
          <w:p w:rsidR="006943F0" w:rsidRPr="006943F0" w:rsidRDefault="006943F0" w:rsidP="00081FE3">
            <w:pPr>
              <w:pStyle w:val="cuatexto"/>
              <w:jc w:val="right"/>
              <w:rPr>
                <w:b/>
                <w:sz w:val="18"/>
                <w:szCs w:val="18"/>
              </w:rPr>
            </w:pPr>
            <w:r w:rsidRPr="006943F0">
              <w:rPr>
                <w:b/>
                <w:sz w:val="18"/>
                <w:szCs w:val="18"/>
              </w:rPr>
              <w:t>37.05</w:t>
            </w:r>
            <w:r w:rsidR="006F10AD">
              <w:rPr>
                <w:b/>
                <w:sz w:val="18"/>
                <w:szCs w:val="18"/>
              </w:rPr>
              <w:t>3</w:t>
            </w:r>
          </w:p>
        </w:tc>
        <w:tc>
          <w:tcPr>
            <w:tcW w:w="2105" w:type="dxa"/>
            <w:shd w:val="clear" w:color="auto" w:fill="auto"/>
            <w:noWrap/>
            <w:vAlign w:val="center"/>
            <w:hideMark/>
          </w:tcPr>
          <w:p w:rsidR="006943F0" w:rsidRPr="006943F0" w:rsidRDefault="006943F0" w:rsidP="00081FE3">
            <w:pPr>
              <w:pStyle w:val="cuatexto"/>
              <w:jc w:val="right"/>
              <w:rPr>
                <w:b/>
                <w:sz w:val="18"/>
                <w:szCs w:val="18"/>
              </w:rPr>
            </w:pPr>
            <w:r w:rsidRPr="006943F0">
              <w:rPr>
                <w:b/>
                <w:sz w:val="18"/>
                <w:szCs w:val="18"/>
              </w:rPr>
              <w:t>991</w:t>
            </w:r>
          </w:p>
        </w:tc>
        <w:tc>
          <w:tcPr>
            <w:tcW w:w="994" w:type="dxa"/>
            <w:shd w:val="clear" w:color="auto" w:fill="auto"/>
            <w:noWrap/>
            <w:vAlign w:val="center"/>
            <w:hideMark/>
          </w:tcPr>
          <w:p w:rsidR="006943F0" w:rsidRPr="006943F0" w:rsidRDefault="006943F0" w:rsidP="00081FE3">
            <w:pPr>
              <w:pStyle w:val="cuatexto"/>
              <w:jc w:val="right"/>
              <w:rPr>
                <w:b/>
                <w:sz w:val="18"/>
                <w:szCs w:val="18"/>
              </w:rPr>
            </w:pPr>
            <w:r w:rsidRPr="006943F0">
              <w:rPr>
                <w:b/>
                <w:sz w:val="18"/>
                <w:szCs w:val="18"/>
              </w:rPr>
              <w:t>28.68</w:t>
            </w:r>
            <w:r w:rsidR="006F10AD">
              <w:rPr>
                <w:b/>
                <w:sz w:val="18"/>
                <w:szCs w:val="18"/>
              </w:rPr>
              <w:t>1</w:t>
            </w:r>
          </w:p>
        </w:tc>
      </w:tr>
      <w:tr w:rsidR="006943F0" w:rsidRPr="00081FE3" w:rsidTr="00934343">
        <w:trPr>
          <w:trHeight w:val="255"/>
          <w:jc w:val="center"/>
        </w:trPr>
        <w:tc>
          <w:tcPr>
            <w:tcW w:w="3045" w:type="dxa"/>
            <w:shd w:val="clear" w:color="auto" w:fill="A8CBEE" w:themeFill="accent2" w:themeFillTint="66"/>
            <w:vAlign w:val="center"/>
            <w:hideMark/>
          </w:tcPr>
          <w:p w:rsidR="006943F0" w:rsidRPr="00081FE3" w:rsidRDefault="006F10AD" w:rsidP="00081FE3">
            <w:pPr>
              <w:pStyle w:val="cuadroCabe"/>
              <w:jc w:val="left"/>
              <w:rPr>
                <w:szCs w:val="18"/>
              </w:rPr>
            </w:pPr>
            <w:r w:rsidRPr="00081FE3">
              <w:rPr>
                <w:szCs w:val="18"/>
              </w:rPr>
              <w:t>Gestión</w:t>
            </w:r>
            <w:r w:rsidR="0096167A" w:rsidRPr="00081FE3">
              <w:rPr>
                <w:szCs w:val="18"/>
              </w:rPr>
              <w:t xml:space="preserve"> Tributaria</w:t>
            </w:r>
          </w:p>
        </w:tc>
        <w:tc>
          <w:tcPr>
            <w:tcW w:w="1577" w:type="dxa"/>
            <w:shd w:val="clear" w:color="auto" w:fill="A8CBEE" w:themeFill="accent2" w:themeFillTint="66"/>
            <w:vAlign w:val="center"/>
            <w:hideMark/>
          </w:tcPr>
          <w:p w:rsidR="006943F0" w:rsidRPr="00081FE3" w:rsidRDefault="006943F0" w:rsidP="00081FE3">
            <w:pPr>
              <w:pStyle w:val="cuadroCabe"/>
              <w:jc w:val="right"/>
              <w:rPr>
                <w:szCs w:val="18"/>
              </w:rPr>
            </w:pPr>
            <w:r w:rsidRPr="00081FE3">
              <w:rPr>
                <w:szCs w:val="18"/>
              </w:rPr>
              <w:t>Nº liquidaciones</w:t>
            </w:r>
          </w:p>
        </w:tc>
        <w:tc>
          <w:tcPr>
            <w:tcW w:w="1034" w:type="dxa"/>
            <w:shd w:val="clear" w:color="auto" w:fill="A8CBEE" w:themeFill="accent2" w:themeFillTint="66"/>
            <w:vAlign w:val="center"/>
            <w:hideMark/>
          </w:tcPr>
          <w:p w:rsidR="006943F0" w:rsidRPr="00081FE3" w:rsidRDefault="006943F0" w:rsidP="00081FE3">
            <w:pPr>
              <w:pStyle w:val="cuadroCabe"/>
              <w:jc w:val="right"/>
              <w:rPr>
                <w:szCs w:val="18"/>
              </w:rPr>
            </w:pPr>
            <w:r w:rsidRPr="00081FE3">
              <w:rPr>
                <w:szCs w:val="18"/>
              </w:rPr>
              <w:t>Importe</w:t>
            </w:r>
          </w:p>
        </w:tc>
        <w:tc>
          <w:tcPr>
            <w:tcW w:w="2105" w:type="dxa"/>
            <w:shd w:val="clear" w:color="auto" w:fill="A8CBEE" w:themeFill="accent2" w:themeFillTint="66"/>
            <w:vAlign w:val="center"/>
            <w:hideMark/>
          </w:tcPr>
          <w:p w:rsidR="006943F0" w:rsidRPr="00081FE3" w:rsidRDefault="006943F0" w:rsidP="00081FE3">
            <w:pPr>
              <w:pStyle w:val="cuadroCabe"/>
              <w:jc w:val="right"/>
              <w:rPr>
                <w:szCs w:val="18"/>
              </w:rPr>
            </w:pPr>
            <w:r w:rsidRPr="00081FE3">
              <w:rPr>
                <w:szCs w:val="18"/>
              </w:rPr>
              <w:t>Nº liquidaciones</w:t>
            </w:r>
          </w:p>
        </w:tc>
        <w:tc>
          <w:tcPr>
            <w:tcW w:w="994" w:type="dxa"/>
            <w:shd w:val="clear" w:color="auto" w:fill="A8CBEE" w:themeFill="accent2" w:themeFillTint="66"/>
            <w:vAlign w:val="center"/>
            <w:hideMark/>
          </w:tcPr>
          <w:p w:rsidR="006943F0" w:rsidRPr="00081FE3" w:rsidRDefault="006943F0" w:rsidP="00081FE3">
            <w:pPr>
              <w:pStyle w:val="cuadroCabe"/>
              <w:jc w:val="right"/>
              <w:rPr>
                <w:szCs w:val="18"/>
              </w:rPr>
            </w:pPr>
            <w:r w:rsidRPr="00081FE3">
              <w:rPr>
                <w:szCs w:val="18"/>
              </w:rPr>
              <w:t>Importe</w:t>
            </w:r>
          </w:p>
        </w:tc>
      </w:tr>
      <w:tr w:rsidR="0033770F" w:rsidRPr="006943F0" w:rsidTr="00934343">
        <w:trPr>
          <w:trHeight w:val="255"/>
          <w:jc w:val="center"/>
        </w:trPr>
        <w:tc>
          <w:tcPr>
            <w:tcW w:w="3045" w:type="dxa"/>
            <w:shd w:val="clear" w:color="auto" w:fill="auto"/>
            <w:noWrap/>
            <w:vAlign w:val="center"/>
            <w:hideMark/>
          </w:tcPr>
          <w:p w:rsidR="006943F0" w:rsidRPr="006943F0" w:rsidRDefault="006943F0" w:rsidP="00081FE3">
            <w:pPr>
              <w:pStyle w:val="cuatexto"/>
              <w:jc w:val="left"/>
              <w:rPr>
                <w:sz w:val="18"/>
                <w:szCs w:val="18"/>
              </w:rPr>
            </w:pPr>
            <w:r w:rsidRPr="006943F0">
              <w:rPr>
                <w:sz w:val="18"/>
                <w:szCs w:val="18"/>
              </w:rPr>
              <w:t>IVA</w:t>
            </w:r>
          </w:p>
        </w:tc>
        <w:tc>
          <w:tcPr>
            <w:tcW w:w="1577" w:type="dxa"/>
            <w:shd w:val="clear" w:color="auto" w:fill="auto"/>
            <w:noWrap/>
            <w:vAlign w:val="center"/>
            <w:hideMark/>
          </w:tcPr>
          <w:p w:rsidR="006943F0" w:rsidRPr="006943F0" w:rsidRDefault="006943F0" w:rsidP="00081FE3">
            <w:pPr>
              <w:pStyle w:val="cuatexto"/>
              <w:jc w:val="right"/>
              <w:rPr>
                <w:sz w:val="18"/>
                <w:szCs w:val="18"/>
              </w:rPr>
            </w:pPr>
            <w:r w:rsidRPr="006943F0">
              <w:rPr>
                <w:sz w:val="18"/>
                <w:szCs w:val="18"/>
              </w:rPr>
              <w:t>2.559</w:t>
            </w:r>
          </w:p>
        </w:tc>
        <w:tc>
          <w:tcPr>
            <w:tcW w:w="1034" w:type="dxa"/>
            <w:shd w:val="clear" w:color="auto" w:fill="auto"/>
            <w:noWrap/>
            <w:vAlign w:val="center"/>
            <w:hideMark/>
          </w:tcPr>
          <w:p w:rsidR="006943F0" w:rsidRPr="006943F0" w:rsidRDefault="006943F0" w:rsidP="00081FE3">
            <w:pPr>
              <w:pStyle w:val="cuatexto"/>
              <w:jc w:val="right"/>
              <w:rPr>
                <w:sz w:val="18"/>
                <w:szCs w:val="18"/>
              </w:rPr>
            </w:pPr>
            <w:r w:rsidRPr="006943F0">
              <w:rPr>
                <w:sz w:val="18"/>
                <w:szCs w:val="18"/>
              </w:rPr>
              <w:t>15.24</w:t>
            </w:r>
            <w:r w:rsidR="0033770F">
              <w:rPr>
                <w:sz w:val="18"/>
                <w:szCs w:val="18"/>
              </w:rPr>
              <w:t>4</w:t>
            </w:r>
          </w:p>
        </w:tc>
        <w:tc>
          <w:tcPr>
            <w:tcW w:w="2105" w:type="dxa"/>
            <w:shd w:val="clear" w:color="auto" w:fill="auto"/>
            <w:noWrap/>
            <w:vAlign w:val="center"/>
            <w:hideMark/>
          </w:tcPr>
          <w:p w:rsidR="006943F0" w:rsidRPr="006943F0" w:rsidRDefault="006943F0" w:rsidP="00081FE3">
            <w:pPr>
              <w:pStyle w:val="cuatexto"/>
              <w:jc w:val="right"/>
              <w:rPr>
                <w:sz w:val="18"/>
                <w:szCs w:val="18"/>
              </w:rPr>
            </w:pPr>
            <w:r w:rsidRPr="006943F0">
              <w:rPr>
                <w:sz w:val="18"/>
                <w:szCs w:val="18"/>
              </w:rPr>
              <w:t>3.369</w:t>
            </w:r>
          </w:p>
        </w:tc>
        <w:tc>
          <w:tcPr>
            <w:tcW w:w="994" w:type="dxa"/>
            <w:shd w:val="clear" w:color="auto" w:fill="auto"/>
            <w:noWrap/>
            <w:vAlign w:val="center"/>
            <w:hideMark/>
          </w:tcPr>
          <w:p w:rsidR="006943F0" w:rsidRPr="006943F0" w:rsidRDefault="006943F0" w:rsidP="00081FE3">
            <w:pPr>
              <w:pStyle w:val="cuatexto"/>
              <w:jc w:val="right"/>
              <w:rPr>
                <w:sz w:val="18"/>
                <w:szCs w:val="18"/>
              </w:rPr>
            </w:pPr>
            <w:r w:rsidRPr="006943F0">
              <w:rPr>
                <w:sz w:val="18"/>
                <w:szCs w:val="18"/>
              </w:rPr>
              <w:t>27.248</w:t>
            </w:r>
          </w:p>
        </w:tc>
      </w:tr>
      <w:tr w:rsidR="0033770F" w:rsidRPr="006943F0" w:rsidTr="00934343">
        <w:trPr>
          <w:trHeight w:val="255"/>
          <w:jc w:val="center"/>
        </w:trPr>
        <w:tc>
          <w:tcPr>
            <w:tcW w:w="3045" w:type="dxa"/>
            <w:shd w:val="clear" w:color="auto" w:fill="auto"/>
            <w:noWrap/>
            <w:vAlign w:val="center"/>
            <w:hideMark/>
          </w:tcPr>
          <w:p w:rsidR="006943F0" w:rsidRPr="006943F0" w:rsidRDefault="006943F0" w:rsidP="00081FE3">
            <w:pPr>
              <w:pStyle w:val="cuatexto"/>
              <w:jc w:val="left"/>
              <w:rPr>
                <w:sz w:val="18"/>
                <w:szCs w:val="18"/>
              </w:rPr>
            </w:pPr>
            <w:r w:rsidRPr="006943F0">
              <w:rPr>
                <w:sz w:val="18"/>
                <w:szCs w:val="18"/>
              </w:rPr>
              <w:t>IRPF</w:t>
            </w:r>
          </w:p>
        </w:tc>
        <w:tc>
          <w:tcPr>
            <w:tcW w:w="1577" w:type="dxa"/>
            <w:shd w:val="clear" w:color="auto" w:fill="auto"/>
            <w:noWrap/>
            <w:vAlign w:val="center"/>
            <w:hideMark/>
          </w:tcPr>
          <w:p w:rsidR="006943F0" w:rsidRPr="006943F0" w:rsidRDefault="006943F0" w:rsidP="00081FE3">
            <w:pPr>
              <w:pStyle w:val="cuatexto"/>
              <w:jc w:val="right"/>
              <w:rPr>
                <w:sz w:val="18"/>
                <w:szCs w:val="18"/>
              </w:rPr>
            </w:pPr>
            <w:r w:rsidRPr="006943F0">
              <w:rPr>
                <w:sz w:val="18"/>
                <w:szCs w:val="18"/>
              </w:rPr>
              <w:t>3.258</w:t>
            </w:r>
          </w:p>
        </w:tc>
        <w:tc>
          <w:tcPr>
            <w:tcW w:w="1034" w:type="dxa"/>
            <w:shd w:val="clear" w:color="auto" w:fill="auto"/>
            <w:noWrap/>
            <w:vAlign w:val="center"/>
            <w:hideMark/>
          </w:tcPr>
          <w:p w:rsidR="006943F0" w:rsidRPr="006943F0" w:rsidRDefault="006943F0" w:rsidP="00081FE3">
            <w:pPr>
              <w:pStyle w:val="cuatexto"/>
              <w:jc w:val="right"/>
              <w:rPr>
                <w:sz w:val="18"/>
                <w:szCs w:val="18"/>
              </w:rPr>
            </w:pPr>
            <w:r w:rsidRPr="006943F0">
              <w:rPr>
                <w:sz w:val="18"/>
                <w:szCs w:val="18"/>
              </w:rPr>
              <w:t>5.852</w:t>
            </w:r>
          </w:p>
        </w:tc>
        <w:tc>
          <w:tcPr>
            <w:tcW w:w="2105" w:type="dxa"/>
            <w:shd w:val="clear" w:color="auto" w:fill="auto"/>
            <w:noWrap/>
            <w:vAlign w:val="center"/>
            <w:hideMark/>
          </w:tcPr>
          <w:p w:rsidR="006943F0" w:rsidRPr="006943F0" w:rsidRDefault="006943F0" w:rsidP="00081FE3">
            <w:pPr>
              <w:pStyle w:val="cuatexto"/>
              <w:jc w:val="right"/>
              <w:rPr>
                <w:sz w:val="18"/>
                <w:szCs w:val="18"/>
              </w:rPr>
            </w:pPr>
            <w:r w:rsidRPr="006943F0">
              <w:rPr>
                <w:sz w:val="18"/>
                <w:szCs w:val="18"/>
              </w:rPr>
              <w:t>4.424</w:t>
            </w:r>
          </w:p>
        </w:tc>
        <w:tc>
          <w:tcPr>
            <w:tcW w:w="994" w:type="dxa"/>
            <w:shd w:val="clear" w:color="auto" w:fill="auto"/>
            <w:noWrap/>
            <w:vAlign w:val="center"/>
            <w:hideMark/>
          </w:tcPr>
          <w:p w:rsidR="006943F0" w:rsidRPr="006943F0" w:rsidRDefault="006943F0" w:rsidP="00081FE3">
            <w:pPr>
              <w:pStyle w:val="cuatexto"/>
              <w:jc w:val="right"/>
              <w:rPr>
                <w:sz w:val="18"/>
                <w:szCs w:val="18"/>
              </w:rPr>
            </w:pPr>
            <w:r w:rsidRPr="006943F0">
              <w:rPr>
                <w:sz w:val="18"/>
                <w:szCs w:val="18"/>
              </w:rPr>
              <w:t>6.252</w:t>
            </w:r>
          </w:p>
        </w:tc>
      </w:tr>
      <w:tr w:rsidR="0033770F" w:rsidRPr="006943F0" w:rsidTr="00934343">
        <w:trPr>
          <w:trHeight w:val="255"/>
          <w:jc w:val="center"/>
        </w:trPr>
        <w:tc>
          <w:tcPr>
            <w:tcW w:w="3045" w:type="dxa"/>
            <w:shd w:val="clear" w:color="auto" w:fill="auto"/>
            <w:noWrap/>
            <w:vAlign w:val="center"/>
            <w:hideMark/>
          </w:tcPr>
          <w:p w:rsidR="006943F0" w:rsidRPr="006943F0" w:rsidRDefault="006F10AD" w:rsidP="00081FE3">
            <w:pPr>
              <w:pStyle w:val="cuatexto"/>
              <w:jc w:val="left"/>
              <w:rPr>
                <w:sz w:val="18"/>
                <w:szCs w:val="18"/>
              </w:rPr>
            </w:pPr>
            <w:r>
              <w:rPr>
                <w:sz w:val="18"/>
                <w:szCs w:val="18"/>
              </w:rPr>
              <w:t>Sociedades</w:t>
            </w:r>
          </w:p>
        </w:tc>
        <w:tc>
          <w:tcPr>
            <w:tcW w:w="1577" w:type="dxa"/>
            <w:shd w:val="clear" w:color="auto" w:fill="auto"/>
            <w:noWrap/>
            <w:vAlign w:val="center"/>
            <w:hideMark/>
          </w:tcPr>
          <w:p w:rsidR="006943F0" w:rsidRPr="006943F0" w:rsidRDefault="006943F0" w:rsidP="00081FE3">
            <w:pPr>
              <w:pStyle w:val="cuatexto"/>
              <w:jc w:val="right"/>
              <w:rPr>
                <w:sz w:val="18"/>
                <w:szCs w:val="18"/>
              </w:rPr>
            </w:pPr>
            <w:r w:rsidRPr="006943F0">
              <w:rPr>
                <w:sz w:val="18"/>
                <w:szCs w:val="18"/>
              </w:rPr>
              <w:t>274</w:t>
            </w:r>
          </w:p>
        </w:tc>
        <w:tc>
          <w:tcPr>
            <w:tcW w:w="1034" w:type="dxa"/>
            <w:shd w:val="clear" w:color="auto" w:fill="auto"/>
            <w:noWrap/>
            <w:vAlign w:val="center"/>
            <w:hideMark/>
          </w:tcPr>
          <w:p w:rsidR="006943F0" w:rsidRPr="006943F0" w:rsidRDefault="006943F0" w:rsidP="00081FE3">
            <w:pPr>
              <w:pStyle w:val="cuatexto"/>
              <w:jc w:val="right"/>
              <w:rPr>
                <w:sz w:val="18"/>
                <w:szCs w:val="18"/>
              </w:rPr>
            </w:pPr>
            <w:r w:rsidRPr="006943F0">
              <w:rPr>
                <w:sz w:val="18"/>
                <w:szCs w:val="18"/>
              </w:rPr>
              <w:t>3.385</w:t>
            </w:r>
          </w:p>
        </w:tc>
        <w:tc>
          <w:tcPr>
            <w:tcW w:w="2105" w:type="dxa"/>
            <w:shd w:val="clear" w:color="auto" w:fill="auto"/>
            <w:noWrap/>
            <w:vAlign w:val="center"/>
            <w:hideMark/>
          </w:tcPr>
          <w:p w:rsidR="006943F0" w:rsidRPr="006943F0" w:rsidRDefault="006943F0" w:rsidP="00081FE3">
            <w:pPr>
              <w:pStyle w:val="cuatexto"/>
              <w:jc w:val="right"/>
              <w:rPr>
                <w:sz w:val="18"/>
                <w:szCs w:val="18"/>
              </w:rPr>
            </w:pPr>
            <w:r w:rsidRPr="006943F0">
              <w:rPr>
                <w:sz w:val="18"/>
                <w:szCs w:val="18"/>
              </w:rPr>
              <w:t>262</w:t>
            </w:r>
          </w:p>
        </w:tc>
        <w:tc>
          <w:tcPr>
            <w:tcW w:w="994" w:type="dxa"/>
            <w:shd w:val="clear" w:color="auto" w:fill="auto"/>
            <w:noWrap/>
            <w:vAlign w:val="center"/>
            <w:hideMark/>
          </w:tcPr>
          <w:p w:rsidR="006943F0" w:rsidRPr="006943F0" w:rsidRDefault="006943F0" w:rsidP="00081FE3">
            <w:pPr>
              <w:pStyle w:val="cuatexto"/>
              <w:jc w:val="right"/>
              <w:rPr>
                <w:sz w:val="18"/>
                <w:szCs w:val="18"/>
              </w:rPr>
            </w:pPr>
            <w:r w:rsidRPr="006943F0">
              <w:rPr>
                <w:sz w:val="18"/>
                <w:szCs w:val="18"/>
              </w:rPr>
              <w:t>3.786</w:t>
            </w:r>
          </w:p>
        </w:tc>
      </w:tr>
      <w:tr w:rsidR="0033770F" w:rsidRPr="006943F0" w:rsidTr="00934343">
        <w:trPr>
          <w:trHeight w:val="255"/>
          <w:jc w:val="center"/>
        </w:trPr>
        <w:tc>
          <w:tcPr>
            <w:tcW w:w="3045" w:type="dxa"/>
            <w:shd w:val="clear" w:color="auto" w:fill="auto"/>
            <w:noWrap/>
            <w:vAlign w:val="center"/>
            <w:hideMark/>
          </w:tcPr>
          <w:p w:rsidR="006943F0" w:rsidRPr="006943F0" w:rsidRDefault="006943F0" w:rsidP="00081FE3">
            <w:pPr>
              <w:pStyle w:val="cuatexto"/>
              <w:jc w:val="left"/>
              <w:rPr>
                <w:sz w:val="18"/>
                <w:szCs w:val="18"/>
              </w:rPr>
            </w:pPr>
            <w:r w:rsidRPr="006943F0">
              <w:rPr>
                <w:sz w:val="18"/>
                <w:szCs w:val="18"/>
              </w:rPr>
              <w:t>Requerimientos</w:t>
            </w:r>
          </w:p>
        </w:tc>
        <w:tc>
          <w:tcPr>
            <w:tcW w:w="1577" w:type="dxa"/>
            <w:shd w:val="clear" w:color="auto" w:fill="auto"/>
            <w:noWrap/>
            <w:vAlign w:val="center"/>
            <w:hideMark/>
          </w:tcPr>
          <w:p w:rsidR="006943F0" w:rsidRPr="006943F0" w:rsidRDefault="006943F0" w:rsidP="00081FE3">
            <w:pPr>
              <w:pStyle w:val="cuatexto"/>
              <w:jc w:val="right"/>
              <w:rPr>
                <w:sz w:val="18"/>
                <w:szCs w:val="18"/>
              </w:rPr>
            </w:pPr>
            <w:r w:rsidRPr="006943F0">
              <w:rPr>
                <w:sz w:val="18"/>
                <w:szCs w:val="18"/>
              </w:rPr>
              <w:t>3.520</w:t>
            </w:r>
          </w:p>
        </w:tc>
        <w:tc>
          <w:tcPr>
            <w:tcW w:w="1034" w:type="dxa"/>
            <w:shd w:val="clear" w:color="auto" w:fill="auto"/>
            <w:noWrap/>
            <w:vAlign w:val="center"/>
            <w:hideMark/>
          </w:tcPr>
          <w:p w:rsidR="006943F0" w:rsidRPr="006943F0" w:rsidRDefault="006943F0" w:rsidP="00081FE3">
            <w:pPr>
              <w:pStyle w:val="cuatexto"/>
              <w:jc w:val="right"/>
              <w:rPr>
                <w:sz w:val="18"/>
                <w:szCs w:val="18"/>
              </w:rPr>
            </w:pPr>
            <w:r w:rsidRPr="006943F0">
              <w:rPr>
                <w:sz w:val="18"/>
                <w:szCs w:val="18"/>
              </w:rPr>
              <w:t>4.101</w:t>
            </w:r>
          </w:p>
        </w:tc>
        <w:tc>
          <w:tcPr>
            <w:tcW w:w="2105" w:type="dxa"/>
            <w:shd w:val="clear" w:color="auto" w:fill="auto"/>
            <w:noWrap/>
            <w:vAlign w:val="center"/>
            <w:hideMark/>
          </w:tcPr>
          <w:p w:rsidR="006943F0" w:rsidRPr="006943F0" w:rsidRDefault="006943F0" w:rsidP="00081FE3">
            <w:pPr>
              <w:pStyle w:val="cuatexto"/>
              <w:jc w:val="right"/>
              <w:rPr>
                <w:sz w:val="18"/>
                <w:szCs w:val="18"/>
              </w:rPr>
            </w:pPr>
            <w:r w:rsidRPr="006943F0">
              <w:rPr>
                <w:sz w:val="18"/>
                <w:szCs w:val="18"/>
              </w:rPr>
              <w:t>4.094</w:t>
            </w:r>
          </w:p>
        </w:tc>
        <w:tc>
          <w:tcPr>
            <w:tcW w:w="994" w:type="dxa"/>
            <w:shd w:val="clear" w:color="auto" w:fill="auto"/>
            <w:noWrap/>
            <w:vAlign w:val="center"/>
            <w:hideMark/>
          </w:tcPr>
          <w:p w:rsidR="006943F0" w:rsidRPr="006943F0" w:rsidRDefault="006943F0" w:rsidP="00081FE3">
            <w:pPr>
              <w:pStyle w:val="cuatexto"/>
              <w:jc w:val="right"/>
              <w:rPr>
                <w:sz w:val="18"/>
                <w:szCs w:val="18"/>
              </w:rPr>
            </w:pPr>
            <w:r w:rsidRPr="006943F0">
              <w:rPr>
                <w:sz w:val="18"/>
                <w:szCs w:val="18"/>
              </w:rPr>
              <w:t>5.24</w:t>
            </w:r>
            <w:r w:rsidR="0033770F">
              <w:rPr>
                <w:sz w:val="18"/>
                <w:szCs w:val="18"/>
              </w:rPr>
              <w:t>8</w:t>
            </w:r>
          </w:p>
        </w:tc>
      </w:tr>
      <w:tr w:rsidR="0033770F" w:rsidRPr="006943F0" w:rsidTr="00934343">
        <w:trPr>
          <w:trHeight w:val="255"/>
          <w:jc w:val="center"/>
        </w:trPr>
        <w:tc>
          <w:tcPr>
            <w:tcW w:w="3045" w:type="dxa"/>
            <w:shd w:val="clear" w:color="auto" w:fill="auto"/>
            <w:noWrap/>
            <w:vAlign w:val="center"/>
            <w:hideMark/>
          </w:tcPr>
          <w:p w:rsidR="006943F0" w:rsidRPr="006943F0" w:rsidRDefault="006943F0" w:rsidP="00081FE3">
            <w:pPr>
              <w:pStyle w:val="cuatexto"/>
              <w:jc w:val="left"/>
              <w:rPr>
                <w:sz w:val="18"/>
                <w:szCs w:val="18"/>
              </w:rPr>
            </w:pPr>
            <w:r w:rsidRPr="006943F0">
              <w:rPr>
                <w:sz w:val="18"/>
                <w:szCs w:val="18"/>
              </w:rPr>
              <w:t>Sanciones</w:t>
            </w:r>
          </w:p>
        </w:tc>
        <w:tc>
          <w:tcPr>
            <w:tcW w:w="1577" w:type="dxa"/>
            <w:shd w:val="clear" w:color="auto" w:fill="auto"/>
            <w:noWrap/>
            <w:vAlign w:val="center"/>
            <w:hideMark/>
          </w:tcPr>
          <w:p w:rsidR="006943F0" w:rsidRPr="006943F0" w:rsidRDefault="006943F0" w:rsidP="00081FE3">
            <w:pPr>
              <w:pStyle w:val="cuatexto"/>
              <w:jc w:val="right"/>
              <w:rPr>
                <w:sz w:val="18"/>
                <w:szCs w:val="18"/>
              </w:rPr>
            </w:pPr>
            <w:r w:rsidRPr="006943F0">
              <w:rPr>
                <w:sz w:val="18"/>
                <w:szCs w:val="18"/>
              </w:rPr>
              <w:t>18.953</w:t>
            </w:r>
          </w:p>
        </w:tc>
        <w:tc>
          <w:tcPr>
            <w:tcW w:w="1034" w:type="dxa"/>
            <w:shd w:val="clear" w:color="auto" w:fill="auto"/>
            <w:noWrap/>
            <w:vAlign w:val="center"/>
            <w:hideMark/>
          </w:tcPr>
          <w:p w:rsidR="006943F0" w:rsidRPr="006943F0" w:rsidRDefault="006943F0" w:rsidP="00081FE3">
            <w:pPr>
              <w:pStyle w:val="cuatexto"/>
              <w:jc w:val="right"/>
              <w:rPr>
                <w:sz w:val="18"/>
                <w:szCs w:val="18"/>
              </w:rPr>
            </w:pPr>
            <w:r w:rsidRPr="006943F0">
              <w:rPr>
                <w:sz w:val="18"/>
                <w:szCs w:val="18"/>
              </w:rPr>
              <w:t>4.766</w:t>
            </w:r>
          </w:p>
        </w:tc>
        <w:tc>
          <w:tcPr>
            <w:tcW w:w="2105" w:type="dxa"/>
            <w:shd w:val="clear" w:color="auto" w:fill="auto"/>
            <w:noWrap/>
            <w:vAlign w:val="center"/>
            <w:hideMark/>
          </w:tcPr>
          <w:p w:rsidR="006943F0" w:rsidRPr="006943F0" w:rsidRDefault="006943F0" w:rsidP="00081FE3">
            <w:pPr>
              <w:pStyle w:val="cuatexto"/>
              <w:jc w:val="right"/>
              <w:rPr>
                <w:sz w:val="18"/>
                <w:szCs w:val="18"/>
              </w:rPr>
            </w:pPr>
            <w:r w:rsidRPr="006943F0">
              <w:rPr>
                <w:sz w:val="18"/>
                <w:szCs w:val="18"/>
              </w:rPr>
              <w:t>25.789</w:t>
            </w:r>
          </w:p>
        </w:tc>
        <w:tc>
          <w:tcPr>
            <w:tcW w:w="994" w:type="dxa"/>
            <w:shd w:val="clear" w:color="auto" w:fill="auto"/>
            <w:noWrap/>
            <w:vAlign w:val="center"/>
            <w:hideMark/>
          </w:tcPr>
          <w:p w:rsidR="006943F0" w:rsidRPr="006943F0" w:rsidRDefault="006943F0" w:rsidP="00081FE3">
            <w:pPr>
              <w:pStyle w:val="cuatexto"/>
              <w:jc w:val="right"/>
              <w:rPr>
                <w:sz w:val="18"/>
                <w:szCs w:val="18"/>
              </w:rPr>
            </w:pPr>
            <w:r w:rsidRPr="006943F0">
              <w:rPr>
                <w:sz w:val="18"/>
                <w:szCs w:val="18"/>
              </w:rPr>
              <w:t>5.41</w:t>
            </w:r>
            <w:r w:rsidR="0033770F">
              <w:rPr>
                <w:sz w:val="18"/>
                <w:szCs w:val="18"/>
              </w:rPr>
              <w:t>5</w:t>
            </w:r>
          </w:p>
        </w:tc>
      </w:tr>
      <w:tr w:rsidR="0033770F" w:rsidRPr="006943F0" w:rsidTr="00934343">
        <w:trPr>
          <w:trHeight w:val="255"/>
          <w:jc w:val="center"/>
        </w:trPr>
        <w:tc>
          <w:tcPr>
            <w:tcW w:w="3045" w:type="dxa"/>
            <w:shd w:val="clear" w:color="auto" w:fill="auto"/>
            <w:noWrap/>
            <w:vAlign w:val="center"/>
            <w:hideMark/>
          </w:tcPr>
          <w:p w:rsidR="006943F0" w:rsidRPr="006943F0" w:rsidRDefault="006943F0" w:rsidP="00081FE3">
            <w:pPr>
              <w:pStyle w:val="cuatexto"/>
              <w:jc w:val="left"/>
              <w:rPr>
                <w:sz w:val="18"/>
                <w:szCs w:val="18"/>
              </w:rPr>
            </w:pPr>
            <w:r w:rsidRPr="006943F0">
              <w:rPr>
                <w:sz w:val="18"/>
                <w:szCs w:val="18"/>
              </w:rPr>
              <w:t>Recargos extemporáneos</w:t>
            </w:r>
          </w:p>
        </w:tc>
        <w:tc>
          <w:tcPr>
            <w:tcW w:w="1577" w:type="dxa"/>
            <w:shd w:val="clear" w:color="auto" w:fill="auto"/>
            <w:noWrap/>
            <w:vAlign w:val="center"/>
            <w:hideMark/>
          </w:tcPr>
          <w:p w:rsidR="006943F0" w:rsidRPr="006943F0" w:rsidRDefault="006943F0" w:rsidP="00081FE3">
            <w:pPr>
              <w:pStyle w:val="cuatexto"/>
              <w:jc w:val="right"/>
              <w:rPr>
                <w:sz w:val="18"/>
                <w:szCs w:val="18"/>
              </w:rPr>
            </w:pPr>
            <w:r w:rsidRPr="006943F0">
              <w:rPr>
                <w:sz w:val="18"/>
                <w:szCs w:val="18"/>
              </w:rPr>
              <w:t>5.525</w:t>
            </w:r>
          </w:p>
        </w:tc>
        <w:tc>
          <w:tcPr>
            <w:tcW w:w="1034" w:type="dxa"/>
            <w:shd w:val="clear" w:color="auto" w:fill="auto"/>
            <w:noWrap/>
            <w:vAlign w:val="center"/>
            <w:hideMark/>
          </w:tcPr>
          <w:p w:rsidR="006943F0" w:rsidRPr="006943F0" w:rsidRDefault="006943F0" w:rsidP="00081FE3">
            <w:pPr>
              <w:pStyle w:val="cuatexto"/>
              <w:jc w:val="right"/>
              <w:rPr>
                <w:sz w:val="18"/>
                <w:szCs w:val="18"/>
              </w:rPr>
            </w:pPr>
            <w:r w:rsidRPr="006943F0">
              <w:rPr>
                <w:sz w:val="18"/>
                <w:szCs w:val="18"/>
              </w:rPr>
              <w:t>1.984</w:t>
            </w:r>
          </w:p>
        </w:tc>
        <w:tc>
          <w:tcPr>
            <w:tcW w:w="2105" w:type="dxa"/>
            <w:shd w:val="clear" w:color="auto" w:fill="auto"/>
            <w:noWrap/>
            <w:vAlign w:val="center"/>
            <w:hideMark/>
          </w:tcPr>
          <w:p w:rsidR="006943F0" w:rsidRPr="006943F0" w:rsidRDefault="006943F0" w:rsidP="00081FE3">
            <w:pPr>
              <w:pStyle w:val="cuatexto"/>
              <w:jc w:val="right"/>
              <w:rPr>
                <w:sz w:val="18"/>
                <w:szCs w:val="18"/>
              </w:rPr>
            </w:pPr>
            <w:r w:rsidRPr="006943F0">
              <w:rPr>
                <w:sz w:val="18"/>
                <w:szCs w:val="18"/>
              </w:rPr>
              <w:t>3.688</w:t>
            </w:r>
          </w:p>
        </w:tc>
        <w:tc>
          <w:tcPr>
            <w:tcW w:w="994" w:type="dxa"/>
            <w:shd w:val="clear" w:color="auto" w:fill="auto"/>
            <w:noWrap/>
            <w:vAlign w:val="center"/>
            <w:hideMark/>
          </w:tcPr>
          <w:p w:rsidR="006943F0" w:rsidRPr="006943F0" w:rsidRDefault="006943F0" w:rsidP="00081FE3">
            <w:pPr>
              <w:pStyle w:val="cuatexto"/>
              <w:jc w:val="right"/>
              <w:rPr>
                <w:sz w:val="18"/>
                <w:szCs w:val="18"/>
              </w:rPr>
            </w:pPr>
            <w:r w:rsidRPr="006943F0">
              <w:rPr>
                <w:sz w:val="18"/>
                <w:szCs w:val="18"/>
              </w:rPr>
              <w:t>1.59</w:t>
            </w:r>
            <w:r w:rsidR="0033770F">
              <w:rPr>
                <w:sz w:val="18"/>
                <w:szCs w:val="18"/>
              </w:rPr>
              <w:t>3</w:t>
            </w:r>
          </w:p>
        </w:tc>
      </w:tr>
      <w:tr w:rsidR="0033770F" w:rsidRPr="006943F0" w:rsidTr="00D40542">
        <w:trPr>
          <w:trHeight w:val="255"/>
          <w:jc w:val="center"/>
        </w:trPr>
        <w:tc>
          <w:tcPr>
            <w:tcW w:w="3045" w:type="dxa"/>
            <w:tcBorders>
              <w:bottom w:val="single" w:sz="2" w:space="0" w:color="auto"/>
            </w:tcBorders>
            <w:shd w:val="clear" w:color="auto" w:fill="auto"/>
            <w:noWrap/>
            <w:vAlign w:val="center"/>
            <w:hideMark/>
          </w:tcPr>
          <w:p w:rsidR="006943F0" w:rsidRPr="006943F0" w:rsidRDefault="006943F0" w:rsidP="00081FE3">
            <w:pPr>
              <w:pStyle w:val="cuatexto"/>
              <w:jc w:val="left"/>
              <w:rPr>
                <w:sz w:val="18"/>
                <w:szCs w:val="18"/>
              </w:rPr>
            </w:pPr>
            <w:r w:rsidRPr="006943F0">
              <w:rPr>
                <w:sz w:val="18"/>
                <w:szCs w:val="18"/>
              </w:rPr>
              <w:t>Resto impuestos</w:t>
            </w:r>
          </w:p>
        </w:tc>
        <w:tc>
          <w:tcPr>
            <w:tcW w:w="1577" w:type="dxa"/>
            <w:tcBorders>
              <w:bottom w:val="single" w:sz="2" w:space="0" w:color="auto"/>
            </w:tcBorders>
            <w:shd w:val="clear" w:color="auto" w:fill="auto"/>
            <w:noWrap/>
            <w:vAlign w:val="center"/>
            <w:hideMark/>
          </w:tcPr>
          <w:p w:rsidR="006943F0" w:rsidRPr="006943F0" w:rsidRDefault="006943F0" w:rsidP="00081FE3">
            <w:pPr>
              <w:pStyle w:val="cuatexto"/>
              <w:jc w:val="right"/>
              <w:rPr>
                <w:sz w:val="18"/>
                <w:szCs w:val="18"/>
              </w:rPr>
            </w:pPr>
            <w:r w:rsidRPr="006943F0">
              <w:rPr>
                <w:sz w:val="18"/>
                <w:szCs w:val="18"/>
              </w:rPr>
              <w:t>1.239</w:t>
            </w:r>
          </w:p>
        </w:tc>
        <w:tc>
          <w:tcPr>
            <w:tcW w:w="1034" w:type="dxa"/>
            <w:tcBorders>
              <w:bottom w:val="single" w:sz="2" w:space="0" w:color="auto"/>
            </w:tcBorders>
            <w:shd w:val="clear" w:color="auto" w:fill="auto"/>
            <w:noWrap/>
            <w:vAlign w:val="center"/>
            <w:hideMark/>
          </w:tcPr>
          <w:p w:rsidR="006943F0" w:rsidRPr="006943F0" w:rsidRDefault="006943F0" w:rsidP="00081FE3">
            <w:pPr>
              <w:pStyle w:val="cuatexto"/>
              <w:jc w:val="right"/>
              <w:rPr>
                <w:sz w:val="18"/>
                <w:szCs w:val="18"/>
              </w:rPr>
            </w:pPr>
            <w:r w:rsidRPr="006943F0">
              <w:rPr>
                <w:sz w:val="18"/>
                <w:szCs w:val="18"/>
              </w:rPr>
              <w:t>2.80</w:t>
            </w:r>
            <w:r w:rsidR="0033770F">
              <w:rPr>
                <w:sz w:val="18"/>
                <w:szCs w:val="18"/>
              </w:rPr>
              <w:t>1</w:t>
            </w:r>
          </w:p>
        </w:tc>
        <w:tc>
          <w:tcPr>
            <w:tcW w:w="2105" w:type="dxa"/>
            <w:tcBorders>
              <w:bottom w:val="single" w:sz="2" w:space="0" w:color="auto"/>
            </w:tcBorders>
            <w:shd w:val="clear" w:color="auto" w:fill="auto"/>
            <w:noWrap/>
            <w:vAlign w:val="center"/>
            <w:hideMark/>
          </w:tcPr>
          <w:p w:rsidR="006943F0" w:rsidRPr="006943F0" w:rsidRDefault="006943F0" w:rsidP="00081FE3">
            <w:pPr>
              <w:pStyle w:val="cuatexto"/>
              <w:jc w:val="right"/>
              <w:rPr>
                <w:sz w:val="18"/>
                <w:szCs w:val="18"/>
              </w:rPr>
            </w:pPr>
            <w:r w:rsidRPr="006943F0">
              <w:rPr>
                <w:sz w:val="18"/>
                <w:szCs w:val="18"/>
              </w:rPr>
              <w:t>2.467</w:t>
            </w:r>
          </w:p>
        </w:tc>
        <w:tc>
          <w:tcPr>
            <w:tcW w:w="994" w:type="dxa"/>
            <w:tcBorders>
              <w:bottom w:val="single" w:sz="2" w:space="0" w:color="auto"/>
            </w:tcBorders>
            <w:shd w:val="clear" w:color="auto" w:fill="auto"/>
            <w:noWrap/>
            <w:vAlign w:val="center"/>
            <w:hideMark/>
          </w:tcPr>
          <w:p w:rsidR="006943F0" w:rsidRPr="006943F0" w:rsidRDefault="006943F0" w:rsidP="00081FE3">
            <w:pPr>
              <w:pStyle w:val="cuatexto"/>
              <w:jc w:val="right"/>
              <w:rPr>
                <w:sz w:val="18"/>
                <w:szCs w:val="18"/>
              </w:rPr>
            </w:pPr>
            <w:r w:rsidRPr="006943F0">
              <w:rPr>
                <w:sz w:val="18"/>
                <w:szCs w:val="18"/>
              </w:rPr>
              <w:t>6.519</w:t>
            </w:r>
          </w:p>
        </w:tc>
      </w:tr>
      <w:tr w:rsidR="0033770F" w:rsidRPr="00081FE3" w:rsidTr="00D40542">
        <w:trPr>
          <w:trHeight w:val="255"/>
          <w:jc w:val="center"/>
        </w:trPr>
        <w:tc>
          <w:tcPr>
            <w:tcW w:w="3045" w:type="dxa"/>
            <w:shd w:val="clear" w:color="auto" w:fill="auto"/>
            <w:noWrap/>
            <w:vAlign w:val="center"/>
            <w:hideMark/>
          </w:tcPr>
          <w:p w:rsidR="006943F0" w:rsidRPr="00081FE3" w:rsidRDefault="006943F0" w:rsidP="00081FE3">
            <w:pPr>
              <w:pStyle w:val="cuatexto"/>
              <w:jc w:val="left"/>
              <w:rPr>
                <w:rFonts w:ascii="Arial" w:hAnsi="Arial" w:cs="Arial"/>
                <w:sz w:val="18"/>
                <w:szCs w:val="18"/>
              </w:rPr>
            </w:pPr>
            <w:r w:rsidRPr="00D40542">
              <w:rPr>
                <w:b/>
                <w:sz w:val="18"/>
                <w:szCs w:val="18"/>
              </w:rPr>
              <w:t>Total Gestión</w:t>
            </w:r>
          </w:p>
        </w:tc>
        <w:tc>
          <w:tcPr>
            <w:tcW w:w="1577" w:type="dxa"/>
            <w:shd w:val="clear" w:color="auto" w:fill="auto"/>
            <w:noWrap/>
            <w:vAlign w:val="center"/>
            <w:hideMark/>
          </w:tcPr>
          <w:p w:rsidR="006943F0" w:rsidRPr="00D40542" w:rsidRDefault="006943F0" w:rsidP="00081FE3">
            <w:pPr>
              <w:pStyle w:val="cuatexto"/>
              <w:jc w:val="right"/>
              <w:rPr>
                <w:b/>
                <w:sz w:val="18"/>
                <w:szCs w:val="18"/>
              </w:rPr>
            </w:pPr>
            <w:r w:rsidRPr="00D40542">
              <w:rPr>
                <w:b/>
                <w:sz w:val="18"/>
                <w:szCs w:val="18"/>
              </w:rPr>
              <w:t>35.328</w:t>
            </w:r>
          </w:p>
        </w:tc>
        <w:tc>
          <w:tcPr>
            <w:tcW w:w="1034" w:type="dxa"/>
            <w:shd w:val="clear" w:color="auto" w:fill="auto"/>
            <w:noWrap/>
            <w:vAlign w:val="center"/>
            <w:hideMark/>
          </w:tcPr>
          <w:p w:rsidR="006943F0" w:rsidRPr="00D40542" w:rsidRDefault="006943F0" w:rsidP="00081FE3">
            <w:pPr>
              <w:pStyle w:val="cuatexto"/>
              <w:jc w:val="right"/>
              <w:rPr>
                <w:b/>
                <w:sz w:val="18"/>
                <w:szCs w:val="18"/>
              </w:rPr>
            </w:pPr>
            <w:r w:rsidRPr="00D40542">
              <w:rPr>
                <w:b/>
                <w:sz w:val="18"/>
                <w:szCs w:val="18"/>
              </w:rPr>
              <w:t>38.13</w:t>
            </w:r>
            <w:r w:rsidR="0033770F" w:rsidRPr="00D40542">
              <w:rPr>
                <w:b/>
                <w:sz w:val="18"/>
                <w:szCs w:val="18"/>
              </w:rPr>
              <w:t>3</w:t>
            </w:r>
          </w:p>
        </w:tc>
        <w:tc>
          <w:tcPr>
            <w:tcW w:w="2105" w:type="dxa"/>
            <w:shd w:val="clear" w:color="auto" w:fill="auto"/>
            <w:noWrap/>
            <w:vAlign w:val="center"/>
            <w:hideMark/>
          </w:tcPr>
          <w:p w:rsidR="006943F0" w:rsidRPr="00D40542" w:rsidRDefault="006943F0" w:rsidP="00081FE3">
            <w:pPr>
              <w:pStyle w:val="cuatexto"/>
              <w:jc w:val="right"/>
              <w:rPr>
                <w:b/>
                <w:sz w:val="18"/>
                <w:szCs w:val="18"/>
              </w:rPr>
            </w:pPr>
            <w:r w:rsidRPr="00D40542">
              <w:rPr>
                <w:b/>
                <w:sz w:val="18"/>
                <w:szCs w:val="18"/>
              </w:rPr>
              <w:t>44.093</w:t>
            </w:r>
          </w:p>
        </w:tc>
        <w:tc>
          <w:tcPr>
            <w:tcW w:w="994" w:type="dxa"/>
            <w:shd w:val="clear" w:color="auto" w:fill="auto"/>
            <w:noWrap/>
            <w:vAlign w:val="center"/>
            <w:hideMark/>
          </w:tcPr>
          <w:p w:rsidR="006943F0" w:rsidRPr="00D40542" w:rsidRDefault="006943F0" w:rsidP="00081FE3">
            <w:pPr>
              <w:pStyle w:val="cuatexto"/>
              <w:jc w:val="right"/>
              <w:rPr>
                <w:b/>
                <w:sz w:val="18"/>
                <w:szCs w:val="18"/>
              </w:rPr>
            </w:pPr>
            <w:r w:rsidRPr="00D40542">
              <w:rPr>
                <w:b/>
                <w:sz w:val="18"/>
                <w:szCs w:val="18"/>
              </w:rPr>
              <w:t>56.061</w:t>
            </w:r>
          </w:p>
        </w:tc>
      </w:tr>
    </w:tbl>
    <w:p w:rsidR="003859FD" w:rsidRDefault="003859FD">
      <w:pPr>
        <w:spacing w:after="0"/>
        <w:ind w:firstLine="0"/>
        <w:jc w:val="left"/>
      </w:pPr>
    </w:p>
    <w:p w:rsidR="002228E8" w:rsidRDefault="003859FD" w:rsidP="00CD6468">
      <w:pPr>
        <w:pStyle w:val="texto"/>
        <w:spacing w:after="120"/>
        <w:rPr>
          <w:lang w:val="es-ES"/>
        </w:rPr>
      </w:pPr>
      <w:r w:rsidRPr="003859FD">
        <w:rPr>
          <w:lang w:val="es-ES"/>
        </w:rPr>
        <w:t>Globalmente en 2015 se han realizado menos actuaciones</w:t>
      </w:r>
      <w:r w:rsidR="003D05C3">
        <w:rPr>
          <w:lang w:val="es-ES"/>
        </w:rPr>
        <w:t>/liquidaciones</w:t>
      </w:r>
      <w:r w:rsidRPr="003859FD">
        <w:rPr>
          <w:lang w:val="es-ES"/>
        </w:rPr>
        <w:t>, unas 36.000 frente a 45.000 en 2014</w:t>
      </w:r>
      <w:r w:rsidR="004877F2">
        <w:rPr>
          <w:lang w:val="es-ES"/>
        </w:rPr>
        <w:t>. Por</w:t>
      </w:r>
      <w:r w:rsidRPr="003859FD">
        <w:rPr>
          <w:lang w:val="es-ES"/>
        </w:rPr>
        <w:t xml:space="preserve"> importe </w:t>
      </w:r>
      <w:r w:rsidR="00336738">
        <w:rPr>
          <w:lang w:val="es-ES"/>
        </w:rPr>
        <w:t>devengado</w:t>
      </w:r>
      <w:r w:rsidRPr="003859FD">
        <w:rPr>
          <w:lang w:val="es-ES"/>
        </w:rPr>
        <w:t>, sin embargo, el procedente de Inspección se ha incrementado en un 29 por ciento, en tanto que el de Gestión se ha reducido en un 3</w:t>
      </w:r>
      <w:r w:rsidR="003D05C3">
        <w:rPr>
          <w:lang w:val="es-ES"/>
        </w:rPr>
        <w:t>2</w:t>
      </w:r>
      <w:r w:rsidRPr="003859FD">
        <w:rPr>
          <w:lang w:val="es-ES"/>
        </w:rPr>
        <w:t xml:space="preserve"> por ciento. </w:t>
      </w:r>
    </w:p>
    <w:p w:rsidR="00042056" w:rsidRDefault="00C42403" w:rsidP="00934343">
      <w:pPr>
        <w:pStyle w:val="texto"/>
        <w:spacing w:after="240"/>
        <w:rPr>
          <w:lang w:val="es-ES"/>
        </w:rPr>
      </w:pPr>
      <w:r>
        <w:rPr>
          <w:lang w:val="es-ES"/>
        </w:rPr>
        <w:t xml:space="preserve">En mayo 2016 y </w:t>
      </w:r>
      <w:r w:rsidR="00E6338A" w:rsidRPr="00E6338A">
        <w:rPr>
          <w:lang w:val="es-ES"/>
        </w:rPr>
        <w:t>en aplicación de</w:t>
      </w:r>
      <w:r>
        <w:rPr>
          <w:lang w:val="es-ES"/>
        </w:rPr>
        <w:t>l artículo 6 de la</w:t>
      </w:r>
      <w:r w:rsidR="00E6338A" w:rsidRPr="00E6338A">
        <w:rPr>
          <w:lang w:val="es-ES"/>
        </w:rPr>
        <w:t xml:space="preserve"> ley foral </w:t>
      </w:r>
      <w:bookmarkStart w:id="52" w:name="9420D8AAEE024705A7B6CBE4E827CE21"/>
      <w:r w:rsidR="00C2085E" w:rsidRPr="00C2085E">
        <w:rPr>
          <w:lang w:val="es-ES"/>
        </w:rPr>
        <w:t>14/2013, de 17 de abril, de medidas contra el fraude fiscal</w:t>
      </w:r>
      <w:bookmarkEnd w:id="52"/>
      <w:r w:rsidR="00C2085E">
        <w:rPr>
          <w:lang w:val="es-ES"/>
        </w:rPr>
        <w:t xml:space="preserve">, </w:t>
      </w:r>
      <w:r w:rsidR="00E6338A" w:rsidRPr="00E6338A">
        <w:rPr>
          <w:lang w:val="es-ES"/>
        </w:rPr>
        <w:t>se crea una comisión</w:t>
      </w:r>
      <w:r>
        <w:rPr>
          <w:lang w:val="es-ES"/>
        </w:rPr>
        <w:t xml:space="preserve"> de trabajo permanente de seguimiento y evaluación </w:t>
      </w:r>
      <w:r w:rsidR="00E6338A" w:rsidRPr="00E6338A">
        <w:rPr>
          <w:lang w:val="es-ES"/>
        </w:rPr>
        <w:t>de</w:t>
      </w:r>
      <w:r>
        <w:rPr>
          <w:lang w:val="es-ES"/>
        </w:rPr>
        <w:t xml:space="preserve"> la</w:t>
      </w:r>
      <w:r w:rsidR="00E6338A" w:rsidRPr="00E6338A">
        <w:rPr>
          <w:lang w:val="es-ES"/>
        </w:rPr>
        <w:t xml:space="preserve"> lucha contra el fraude fiscal y la economía su</w:t>
      </w:r>
      <w:r>
        <w:rPr>
          <w:lang w:val="es-ES"/>
        </w:rPr>
        <w:t xml:space="preserve">mergida </w:t>
      </w:r>
      <w:r w:rsidRPr="00C42403">
        <w:rPr>
          <w:lang w:val="es-ES"/>
        </w:rPr>
        <w:t>al “</w:t>
      </w:r>
      <w:r w:rsidRPr="00C42403">
        <w:rPr>
          <w:i/>
          <w:lang w:val="es-ES"/>
        </w:rPr>
        <w:t>objeto de analizar las actuaciones de este ámbito, plantear propuestas y realizar un seguimiento de los planes de actuación y de las medidas diseñadas para luchar contra el fraude fiscal</w:t>
      </w:r>
      <w:r w:rsidRPr="00C42403">
        <w:rPr>
          <w:lang w:val="es-ES"/>
        </w:rPr>
        <w:t>”</w:t>
      </w:r>
      <w:r w:rsidR="002E713F">
        <w:rPr>
          <w:lang w:val="es-ES"/>
        </w:rPr>
        <w:t>; e</w:t>
      </w:r>
      <w:r>
        <w:rPr>
          <w:lang w:val="es-ES"/>
        </w:rPr>
        <w:t xml:space="preserve">ntre sus primeras actuaciones </w:t>
      </w:r>
      <w:r w:rsidR="00A10C76">
        <w:rPr>
          <w:lang w:val="es-ES"/>
        </w:rPr>
        <w:t>ha analizado el</w:t>
      </w:r>
      <w:r w:rsidR="004877F2">
        <w:rPr>
          <w:lang w:val="es-ES"/>
        </w:rPr>
        <w:t xml:space="preserve"> </w:t>
      </w:r>
      <w:r>
        <w:rPr>
          <w:lang w:val="es-ES"/>
        </w:rPr>
        <w:t xml:space="preserve">borrador del nuevo </w:t>
      </w:r>
      <w:r w:rsidR="00C6312F">
        <w:rPr>
          <w:lang w:val="es-ES"/>
        </w:rPr>
        <w:t>P</w:t>
      </w:r>
      <w:r>
        <w:rPr>
          <w:lang w:val="es-ES"/>
        </w:rPr>
        <w:t>lan de lucha contra el fraude</w:t>
      </w:r>
      <w:r w:rsidR="00C6312F">
        <w:rPr>
          <w:lang w:val="es-ES"/>
        </w:rPr>
        <w:t xml:space="preserve"> fiscal</w:t>
      </w:r>
      <w:r w:rsidR="0096167A">
        <w:rPr>
          <w:lang w:val="es-ES"/>
        </w:rPr>
        <w:t xml:space="preserve"> (2016-2019)</w:t>
      </w:r>
      <w:r>
        <w:rPr>
          <w:lang w:val="es-ES"/>
        </w:rPr>
        <w:t>.</w:t>
      </w:r>
      <w:r w:rsidR="00C6312F">
        <w:rPr>
          <w:lang w:val="es-ES"/>
        </w:rPr>
        <w:t xml:space="preserve"> Este Plan ha sido aprobado definitivamente por el Gobierno de Navarra en sesión celebrada el 26 de octubre de 2016.</w:t>
      </w:r>
    </w:p>
    <w:p w:rsidR="00A421D5" w:rsidRPr="00934343" w:rsidRDefault="00171B1C" w:rsidP="00934343">
      <w:pPr>
        <w:pStyle w:val="atitulo2"/>
      </w:pPr>
      <w:bookmarkStart w:id="53" w:name="_Toc463350256"/>
      <w:r w:rsidRPr="00934343">
        <w:t>IV.</w:t>
      </w:r>
      <w:r w:rsidR="00042056" w:rsidRPr="00934343">
        <w:t>10</w:t>
      </w:r>
      <w:r w:rsidR="001654A0" w:rsidRPr="00934343">
        <w:t>.</w:t>
      </w:r>
      <w:r w:rsidRPr="00934343">
        <w:t xml:space="preserve"> Deudores</w:t>
      </w:r>
      <w:bookmarkEnd w:id="53"/>
    </w:p>
    <w:p w:rsidR="00CE6000" w:rsidRDefault="00CE6000" w:rsidP="00A421D5">
      <w:pPr>
        <w:pStyle w:val="texto"/>
        <w:spacing w:after="0"/>
        <w:rPr>
          <w:lang w:val="es-ES"/>
        </w:rPr>
      </w:pPr>
      <w:r w:rsidRPr="00A421D5">
        <w:rPr>
          <w:lang w:val="es-ES"/>
        </w:rPr>
        <w:t>El saldo de deudores a 31 de diciembre de 2015 asciende a 349,62 millones</w:t>
      </w:r>
      <w:r w:rsidR="002F0012" w:rsidRPr="00A421D5">
        <w:rPr>
          <w:lang w:val="es-ES"/>
        </w:rPr>
        <w:t>, un tres por ciento más que el ejercicio anterior,</w:t>
      </w:r>
      <w:r w:rsidRPr="00A421D5">
        <w:rPr>
          <w:lang w:val="es-ES"/>
        </w:rPr>
        <w:t xml:space="preserve"> y presenta el siguiente desglose y su comparación con los saldos del ejercicio anterior:</w:t>
      </w:r>
      <w:r w:rsidR="00672249" w:rsidRPr="00A421D5">
        <w:rPr>
          <w:lang w:val="es-ES"/>
        </w:rPr>
        <w:t xml:space="preserve"> </w:t>
      </w:r>
    </w:p>
    <w:p w:rsidR="00A67E1B" w:rsidRPr="00846EDC" w:rsidRDefault="00465B76" w:rsidP="00A67E1B">
      <w:pPr>
        <w:pStyle w:val="recomen"/>
        <w:numPr>
          <w:ilvl w:val="0"/>
          <w:numId w:val="0"/>
        </w:numPr>
        <w:spacing w:after="40"/>
        <w:ind w:left="1588"/>
        <w:jc w:val="right"/>
        <w:rPr>
          <w:rFonts w:ascii="Arial Narrow" w:hAnsi="Arial Narrow"/>
          <w:i w:val="0"/>
          <w:sz w:val="18"/>
          <w:szCs w:val="18"/>
        </w:rPr>
      </w:pPr>
      <w:r w:rsidRPr="00846EDC">
        <w:rPr>
          <w:rFonts w:ascii="Arial Narrow" w:hAnsi="Arial Narrow"/>
          <w:i w:val="0"/>
          <w:sz w:val="18"/>
          <w:szCs w:val="18"/>
        </w:rPr>
        <w:t>Miles</w:t>
      </w:r>
      <w:r w:rsidR="00A67E1B" w:rsidRPr="00846EDC">
        <w:rPr>
          <w:rFonts w:ascii="Arial Narrow" w:hAnsi="Arial Narrow"/>
          <w:i w:val="0"/>
          <w:sz w:val="18"/>
          <w:szCs w:val="18"/>
        </w:rPr>
        <w:t xml:space="preserve"> de euros</w:t>
      </w:r>
    </w:p>
    <w:tbl>
      <w:tblPr>
        <w:tblW w:w="8746" w:type="dxa"/>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4010"/>
        <w:gridCol w:w="1477"/>
        <w:gridCol w:w="1519"/>
        <w:gridCol w:w="1740"/>
      </w:tblGrid>
      <w:tr w:rsidR="002F0012" w:rsidTr="00811B6D">
        <w:trPr>
          <w:trHeight w:val="284"/>
          <w:jc w:val="center"/>
        </w:trPr>
        <w:tc>
          <w:tcPr>
            <w:tcW w:w="4010" w:type="dxa"/>
            <w:tcBorders>
              <w:top w:val="single" w:sz="4" w:space="0" w:color="auto"/>
              <w:bottom w:val="single" w:sz="4" w:space="0" w:color="auto"/>
            </w:tcBorders>
            <w:shd w:val="clear" w:color="auto" w:fill="A8CBEE" w:themeFill="accent2" w:themeFillTint="66"/>
            <w:noWrap/>
            <w:vAlign w:val="center"/>
            <w:hideMark/>
          </w:tcPr>
          <w:p w:rsidR="002F0012" w:rsidRPr="00CD6468" w:rsidRDefault="002F0012" w:rsidP="002F0012">
            <w:pPr>
              <w:pStyle w:val="cuadroCabe"/>
              <w:jc w:val="left"/>
            </w:pPr>
            <w:r w:rsidRPr="00CD6468">
              <w:t>Deudores</w:t>
            </w:r>
          </w:p>
        </w:tc>
        <w:tc>
          <w:tcPr>
            <w:tcW w:w="1477" w:type="dxa"/>
            <w:tcBorders>
              <w:top w:val="single" w:sz="4" w:space="0" w:color="auto"/>
              <w:bottom w:val="single" w:sz="4" w:space="0" w:color="auto"/>
            </w:tcBorders>
            <w:shd w:val="clear" w:color="auto" w:fill="A8CBEE" w:themeFill="accent2" w:themeFillTint="66"/>
            <w:vAlign w:val="center"/>
          </w:tcPr>
          <w:p w:rsidR="002F0012" w:rsidRPr="00CD6468" w:rsidRDefault="005E5745" w:rsidP="007D3BC3">
            <w:pPr>
              <w:pStyle w:val="cuadroCabe"/>
              <w:jc w:val="right"/>
            </w:pPr>
            <w:r w:rsidRPr="00CD6468">
              <w:t>31</w:t>
            </w:r>
            <w:r w:rsidR="007D3BC3">
              <w:t>-</w:t>
            </w:r>
            <w:r w:rsidRPr="00CD6468">
              <w:t>XII</w:t>
            </w:r>
            <w:r w:rsidR="007D3BC3">
              <w:t>-</w:t>
            </w:r>
            <w:r w:rsidR="002F0012" w:rsidRPr="00CD6468">
              <w:t>2014</w:t>
            </w:r>
          </w:p>
        </w:tc>
        <w:tc>
          <w:tcPr>
            <w:tcW w:w="1519" w:type="dxa"/>
            <w:tcBorders>
              <w:top w:val="single" w:sz="4" w:space="0" w:color="auto"/>
              <w:bottom w:val="single" w:sz="4" w:space="0" w:color="auto"/>
            </w:tcBorders>
            <w:shd w:val="clear" w:color="auto" w:fill="A8CBEE" w:themeFill="accent2" w:themeFillTint="66"/>
            <w:noWrap/>
            <w:vAlign w:val="center"/>
            <w:hideMark/>
          </w:tcPr>
          <w:p w:rsidR="002F0012" w:rsidRPr="00CD6468" w:rsidRDefault="005E5745" w:rsidP="007D3BC3">
            <w:pPr>
              <w:pStyle w:val="cuadroCabe"/>
              <w:jc w:val="right"/>
            </w:pPr>
            <w:r w:rsidRPr="00CD6468">
              <w:t>31</w:t>
            </w:r>
            <w:r w:rsidR="007D3BC3">
              <w:t>-</w:t>
            </w:r>
            <w:r w:rsidRPr="00CD6468">
              <w:t>XII</w:t>
            </w:r>
            <w:r w:rsidR="007D3BC3">
              <w:t>-</w:t>
            </w:r>
            <w:r w:rsidR="002F0012" w:rsidRPr="00CD6468">
              <w:t>2015</w:t>
            </w:r>
          </w:p>
        </w:tc>
        <w:tc>
          <w:tcPr>
            <w:tcW w:w="1740" w:type="dxa"/>
            <w:tcBorders>
              <w:top w:val="single" w:sz="4" w:space="0" w:color="auto"/>
              <w:bottom w:val="single" w:sz="4" w:space="0" w:color="auto"/>
            </w:tcBorders>
            <w:shd w:val="clear" w:color="auto" w:fill="A8CBEE" w:themeFill="accent2" w:themeFillTint="66"/>
            <w:noWrap/>
            <w:vAlign w:val="center"/>
            <w:hideMark/>
          </w:tcPr>
          <w:p w:rsidR="002F0012" w:rsidRPr="00CD6468" w:rsidRDefault="002F0012" w:rsidP="00694C96">
            <w:pPr>
              <w:pStyle w:val="cuadroCabe"/>
              <w:jc w:val="right"/>
            </w:pPr>
            <w:r w:rsidRPr="00CD6468">
              <w:t>% variación 15/14</w:t>
            </w:r>
          </w:p>
        </w:tc>
      </w:tr>
      <w:tr w:rsidR="002F0012" w:rsidTr="00811B6D">
        <w:trPr>
          <w:trHeight w:val="284"/>
          <w:jc w:val="center"/>
        </w:trPr>
        <w:tc>
          <w:tcPr>
            <w:tcW w:w="4010" w:type="dxa"/>
            <w:tcBorders>
              <w:top w:val="single" w:sz="4" w:space="0" w:color="auto"/>
            </w:tcBorders>
            <w:noWrap/>
            <w:vAlign w:val="center"/>
            <w:hideMark/>
          </w:tcPr>
          <w:p w:rsidR="002F0012" w:rsidRPr="00CD6468" w:rsidRDefault="002F0012" w:rsidP="002F0012">
            <w:pPr>
              <w:pStyle w:val="cuatexto"/>
              <w:jc w:val="left"/>
              <w:rPr>
                <w:szCs w:val="20"/>
              </w:rPr>
            </w:pPr>
            <w:r w:rsidRPr="00CD6468">
              <w:rPr>
                <w:szCs w:val="20"/>
              </w:rPr>
              <w:t>Deudores presupuestarios</w:t>
            </w:r>
          </w:p>
        </w:tc>
        <w:tc>
          <w:tcPr>
            <w:tcW w:w="1477" w:type="dxa"/>
            <w:tcBorders>
              <w:top w:val="single" w:sz="4" w:space="0" w:color="auto"/>
            </w:tcBorders>
            <w:vAlign w:val="center"/>
          </w:tcPr>
          <w:p w:rsidR="002F0012" w:rsidRPr="00CD6468" w:rsidRDefault="002F0012" w:rsidP="00694C96">
            <w:pPr>
              <w:pStyle w:val="cuatexto"/>
              <w:jc w:val="right"/>
              <w:rPr>
                <w:szCs w:val="20"/>
              </w:rPr>
            </w:pPr>
            <w:r w:rsidRPr="00CD6468">
              <w:rPr>
                <w:szCs w:val="20"/>
              </w:rPr>
              <w:t>834.531</w:t>
            </w:r>
          </w:p>
        </w:tc>
        <w:tc>
          <w:tcPr>
            <w:tcW w:w="1519" w:type="dxa"/>
            <w:tcBorders>
              <w:top w:val="single" w:sz="4" w:space="0" w:color="auto"/>
            </w:tcBorders>
            <w:noWrap/>
            <w:vAlign w:val="center"/>
            <w:hideMark/>
          </w:tcPr>
          <w:p w:rsidR="002F0012" w:rsidRPr="00CD6468" w:rsidRDefault="002F0012" w:rsidP="00694C96">
            <w:pPr>
              <w:pStyle w:val="cuatexto"/>
              <w:jc w:val="right"/>
              <w:rPr>
                <w:szCs w:val="20"/>
              </w:rPr>
            </w:pPr>
            <w:r w:rsidRPr="00CD6468">
              <w:rPr>
                <w:szCs w:val="20"/>
              </w:rPr>
              <w:t>837.496</w:t>
            </w:r>
          </w:p>
        </w:tc>
        <w:tc>
          <w:tcPr>
            <w:tcW w:w="1740" w:type="dxa"/>
            <w:tcBorders>
              <w:top w:val="single" w:sz="4" w:space="0" w:color="auto"/>
            </w:tcBorders>
            <w:noWrap/>
            <w:vAlign w:val="center"/>
            <w:hideMark/>
          </w:tcPr>
          <w:p w:rsidR="002F0012" w:rsidRPr="00CD6468" w:rsidRDefault="002F0012" w:rsidP="00694C96">
            <w:pPr>
              <w:pStyle w:val="cuatexto"/>
              <w:jc w:val="right"/>
              <w:rPr>
                <w:szCs w:val="20"/>
              </w:rPr>
            </w:pPr>
            <w:r w:rsidRPr="00CD6468">
              <w:rPr>
                <w:szCs w:val="20"/>
              </w:rPr>
              <w:t>-</w:t>
            </w:r>
          </w:p>
        </w:tc>
      </w:tr>
      <w:tr w:rsidR="002F0012" w:rsidTr="00811B6D">
        <w:trPr>
          <w:trHeight w:val="284"/>
          <w:jc w:val="center"/>
        </w:trPr>
        <w:tc>
          <w:tcPr>
            <w:tcW w:w="4010" w:type="dxa"/>
            <w:noWrap/>
            <w:vAlign w:val="center"/>
            <w:hideMark/>
          </w:tcPr>
          <w:p w:rsidR="002F0012" w:rsidRPr="00CD6468" w:rsidRDefault="002F0012" w:rsidP="002F0012">
            <w:pPr>
              <w:pStyle w:val="cuatexto"/>
              <w:jc w:val="left"/>
              <w:rPr>
                <w:szCs w:val="20"/>
              </w:rPr>
            </w:pPr>
            <w:r w:rsidRPr="00CD6468">
              <w:rPr>
                <w:szCs w:val="20"/>
              </w:rPr>
              <w:t>Deudores no presupuestarios</w:t>
            </w:r>
          </w:p>
        </w:tc>
        <w:tc>
          <w:tcPr>
            <w:tcW w:w="1477" w:type="dxa"/>
            <w:vAlign w:val="center"/>
          </w:tcPr>
          <w:p w:rsidR="002F0012" w:rsidRPr="00CD6468" w:rsidRDefault="002F0012" w:rsidP="00694C96">
            <w:pPr>
              <w:pStyle w:val="cuatexto"/>
              <w:jc w:val="right"/>
              <w:rPr>
                <w:szCs w:val="20"/>
              </w:rPr>
            </w:pPr>
            <w:r w:rsidRPr="00CD6468">
              <w:rPr>
                <w:szCs w:val="20"/>
              </w:rPr>
              <w:t>17.053</w:t>
            </w:r>
          </w:p>
        </w:tc>
        <w:tc>
          <w:tcPr>
            <w:tcW w:w="1519" w:type="dxa"/>
            <w:noWrap/>
            <w:vAlign w:val="center"/>
            <w:hideMark/>
          </w:tcPr>
          <w:p w:rsidR="002F0012" w:rsidRPr="00CD6468" w:rsidRDefault="002F0012" w:rsidP="00694C96">
            <w:pPr>
              <w:pStyle w:val="cuatexto"/>
              <w:jc w:val="right"/>
              <w:rPr>
                <w:szCs w:val="20"/>
              </w:rPr>
            </w:pPr>
            <w:r w:rsidRPr="00CD6468">
              <w:rPr>
                <w:szCs w:val="20"/>
              </w:rPr>
              <w:t>5.983</w:t>
            </w:r>
          </w:p>
        </w:tc>
        <w:tc>
          <w:tcPr>
            <w:tcW w:w="1740" w:type="dxa"/>
            <w:noWrap/>
            <w:vAlign w:val="center"/>
            <w:hideMark/>
          </w:tcPr>
          <w:p w:rsidR="002F0012" w:rsidRPr="00CD6468" w:rsidRDefault="002F0012" w:rsidP="00694C96">
            <w:pPr>
              <w:pStyle w:val="cuatexto"/>
              <w:jc w:val="right"/>
              <w:rPr>
                <w:szCs w:val="20"/>
              </w:rPr>
            </w:pPr>
            <w:r w:rsidRPr="00CD6468">
              <w:rPr>
                <w:szCs w:val="20"/>
              </w:rPr>
              <w:t>-65</w:t>
            </w:r>
          </w:p>
        </w:tc>
      </w:tr>
      <w:tr w:rsidR="00711AF7" w:rsidTr="00811B6D">
        <w:trPr>
          <w:trHeight w:val="284"/>
          <w:jc w:val="center"/>
        </w:trPr>
        <w:tc>
          <w:tcPr>
            <w:tcW w:w="4010" w:type="dxa"/>
            <w:noWrap/>
            <w:vAlign w:val="center"/>
          </w:tcPr>
          <w:p w:rsidR="00711AF7" w:rsidRPr="00CD6468" w:rsidRDefault="00711AF7" w:rsidP="002F0012">
            <w:pPr>
              <w:pStyle w:val="cuatexto"/>
              <w:jc w:val="left"/>
              <w:rPr>
                <w:szCs w:val="20"/>
              </w:rPr>
            </w:pPr>
            <w:r w:rsidRPr="00CD6468">
              <w:rPr>
                <w:szCs w:val="20"/>
              </w:rPr>
              <w:t>Deudores por recursos de otros entes públicos</w:t>
            </w:r>
          </w:p>
        </w:tc>
        <w:tc>
          <w:tcPr>
            <w:tcW w:w="1477" w:type="dxa"/>
            <w:vAlign w:val="center"/>
          </w:tcPr>
          <w:p w:rsidR="00711AF7" w:rsidRPr="00CD6468" w:rsidRDefault="00711AF7" w:rsidP="00694C96">
            <w:pPr>
              <w:pStyle w:val="cuatexto"/>
              <w:jc w:val="right"/>
              <w:rPr>
                <w:szCs w:val="20"/>
              </w:rPr>
            </w:pPr>
            <w:r w:rsidRPr="00CD6468">
              <w:rPr>
                <w:szCs w:val="20"/>
              </w:rPr>
              <w:t>82</w:t>
            </w:r>
          </w:p>
        </w:tc>
        <w:tc>
          <w:tcPr>
            <w:tcW w:w="1519" w:type="dxa"/>
            <w:noWrap/>
            <w:vAlign w:val="center"/>
          </w:tcPr>
          <w:p w:rsidR="00711AF7" w:rsidRPr="00CD6468" w:rsidRDefault="00711AF7" w:rsidP="00694C96">
            <w:pPr>
              <w:pStyle w:val="cuatexto"/>
              <w:jc w:val="right"/>
              <w:rPr>
                <w:szCs w:val="20"/>
              </w:rPr>
            </w:pPr>
            <w:r w:rsidRPr="00CD6468">
              <w:rPr>
                <w:szCs w:val="20"/>
              </w:rPr>
              <w:t>311</w:t>
            </w:r>
          </w:p>
        </w:tc>
        <w:tc>
          <w:tcPr>
            <w:tcW w:w="1740" w:type="dxa"/>
            <w:noWrap/>
            <w:vAlign w:val="center"/>
          </w:tcPr>
          <w:p w:rsidR="00711AF7" w:rsidRPr="00CD6468" w:rsidRDefault="00A64536" w:rsidP="00694C96">
            <w:pPr>
              <w:pStyle w:val="cuatexto"/>
              <w:jc w:val="right"/>
              <w:rPr>
                <w:szCs w:val="20"/>
              </w:rPr>
            </w:pPr>
            <w:r w:rsidRPr="00CD6468">
              <w:rPr>
                <w:szCs w:val="20"/>
              </w:rPr>
              <w:t>277</w:t>
            </w:r>
          </w:p>
        </w:tc>
      </w:tr>
      <w:tr w:rsidR="002F0012" w:rsidTr="00811B6D">
        <w:trPr>
          <w:trHeight w:val="284"/>
          <w:jc w:val="center"/>
        </w:trPr>
        <w:tc>
          <w:tcPr>
            <w:tcW w:w="4010" w:type="dxa"/>
            <w:noWrap/>
            <w:vAlign w:val="center"/>
            <w:hideMark/>
          </w:tcPr>
          <w:p w:rsidR="002F0012" w:rsidRPr="00CD6468" w:rsidRDefault="002F0012" w:rsidP="002F0012">
            <w:pPr>
              <w:pStyle w:val="cuatexto"/>
              <w:jc w:val="left"/>
              <w:rPr>
                <w:szCs w:val="20"/>
              </w:rPr>
            </w:pPr>
            <w:r w:rsidRPr="00CD6468">
              <w:rPr>
                <w:szCs w:val="20"/>
              </w:rPr>
              <w:t>Otros deudores</w:t>
            </w:r>
          </w:p>
        </w:tc>
        <w:tc>
          <w:tcPr>
            <w:tcW w:w="1477" w:type="dxa"/>
            <w:vAlign w:val="center"/>
          </w:tcPr>
          <w:p w:rsidR="002F0012" w:rsidRPr="00CD6468" w:rsidRDefault="00711AF7" w:rsidP="00694C96">
            <w:pPr>
              <w:pStyle w:val="cuatexto"/>
              <w:jc w:val="right"/>
              <w:rPr>
                <w:szCs w:val="20"/>
              </w:rPr>
            </w:pPr>
            <w:r w:rsidRPr="00CD6468">
              <w:rPr>
                <w:szCs w:val="20"/>
              </w:rPr>
              <w:t>15.17</w:t>
            </w:r>
            <w:r w:rsidR="00A64536" w:rsidRPr="00CD6468">
              <w:rPr>
                <w:szCs w:val="20"/>
              </w:rPr>
              <w:t>9</w:t>
            </w:r>
          </w:p>
        </w:tc>
        <w:tc>
          <w:tcPr>
            <w:tcW w:w="1519" w:type="dxa"/>
            <w:noWrap/>
            <w:vAlign w:val="center"/>
          </w:tcPr>
          <w:p w:rsidR="002F0012" w:rsidRPr="00CD6468" w:rsidRDefault="00711AF7" w:rsidP="00694C96">
            <w:pPr>
              <w:pStyle w:val="cuatexto"/>
              <w:jc w:val="right"/>
              <w:rPr>
                <w:szCs w:val="20"/>
              </w:rPr>
            </w:pPr>
            <w:r w:rsidRPr="00CD6468">
              <w:rPr>
                <w:szCs w:val="20"/>
              </w:rPr>
              <w:t>4.001</w:t>
            </w:r>
          </w:p>
        </w:tc>
        <w:tc>
          <w:tcPr>
            <w:tcW w:w="1740" w:type="dxa"/>
            <w:noWrap/>
            <w:vAlign w:val="center"/>
            <w:hideMark/>
          </w:tcPr>
          <w:p w:rsidR="002F0012" w:rsidRPr="00CD6468" w:rsidRDefault="002F0012" w:rsidP="00694C96">
            <w:pPr>
              <w:pStyle w:val="cuatexto"/>
              <w:jc w:val="right"/>
              <w:rPr>
                <w:szCs w:val="20"/>
              </w:rPr>
            </w:pPr>
            <w:r w:rsidRPr="00CD6468">
              <w:rPr>
                <w:szCs w:val="20"/>
              </w:rPr>
              <w:t>-74</w:t>
            </w:r>
          </w:p>
        </w:tc>
      </w:tr>
      <w:tr w:rsidR="002F0012" w:rsidTr="00811B6D">
        <w:trPr>
          <w:trHeight w:val="284"/>
          <w:jc w:val="center"/>
        </w:trPr>
        <w:tc>
          <w:tcPr>
            <w:tcW w:w="4010" w:type="dxa"/>
            <w:tcBorders>
              <w:bottom w:val="single" w:sz="4" w:space="0" w:color="auto"/>
            </w:tcBorders>
            <w:noWrap/>
            <w:vAlign w:val="center"/>
            <w:hideMark/>
          </w:tcPr>
          <w:p w:rsidR="002F0012" w:rsidRPr="00CD6468" w:rsidRDefault="002F0012" w:rsidP="002F0012">
            <w:pPr>
              <w:pStyle w:val="cuatexto"/>
              <w:jc w:val="left"/>
              <w:rPr>
                <w:szCs w:val="20"/>
              </w:rPr>
            </w:pPr>
            <w:r w:rsidRPr="00CD6468">
              <w:rPr>
                <w:szCs w:val="20"/>
              </w:rPr>
              <w:t>Provisión para insolvencias</w:t>
            </w:r>
          </w:p>
        </w:tc>
        <w:tc>
          <w:tcPr>
            <w:tcW w:w="1477" w:type="dxa"/>
            <w:tcBorders>
              <w:bottom w:val="single" w:sz="4" w:space="0" w:color="auto"/>
            </w:tcBorders>
            <w:vAlign w:val="center"/>
          </w:tcPr>
          <w:p w:rsidR="002F0012" w:rsidRPr="00CD6468" w:rsidRDefault="002F0012" w:rsidP="00694C96">
            <w:pPr>
              <w:pStyle w:val="cuatexto"/>
              <w:jc w:val="right"/>
              <w:rPr>
                <w:szCs w:val="20"/>
              </w:rPr>
            </w:pPr>
            <w:r w:rsidRPr="00CD6468">
              <w:rPr>
                <w:szCs w:val="20"/>
              </w:rPr>
              <w:t>(528.650)</w:t>
            </w:r>
          </w:p>
        </w:tc>
        <w:tc>
          <w:tcPr>
            <w:tcW w:w="1519" w:type="dxa"/>
            <w:tcBorders>
              <w:bottom w:val="single" w:sz="4" w:space="0" w:color="auto"/>
            </w:tcBorders>
            <w:noWrap/>
            <w:vAlign w:val="center"/>
            <w:hideMark/>
          </w:tcPr>
          <w:p w:rsidR="002F0012" w:rsidRPr="00CD6468" w:rsidRDefault="002F0012" w:rsidP="00694C96">
            <w:pPr>
              <w:pStyle w:val="cuatexto"/>
              <w:jc w:val="right"/>
              <w:rPr>
                <w:szCs w:val="20"/>
              </w:rPr>
            </w:pPr>
            <w:r w:rsidRPr="00CD6468">
              <w:rPr>
                <w:szCs w:val="20"/>
              </w:rPr>
              <w:t>(498.169)</w:t>
            </w:r>
          </w:p>
        </w:tc>
        <w:tc>
          <w:tcPr>
            <w:tcW w:w="1740" w:type="dxa"/>
            <w:tcBorders>
              <w:bottom w:val="single" w:sz="4" w:space="0" w:color="auto"/>
            </w:tcBorders>
            <w:noWrap/>
            <w:vAlign w:val="center"/>
            <w:hideMark/>
          </w:tcPr>
          <w:p w:rsidR="002F0012" w:rsidRPr="00CD6468" w:rsidRDefault="002F0012" w:rsidP="00694C96">
            <w:pPr>
              <w:pStyle w:val="cuatexto"/>
              <w:jc w:val="right"/>
              <w:rPr>
                <w:szCs w:val="20"/>
              </w:rPr>
            </w:pPr>
            <w:r w:rsidRPr="00CD6468">
              <w:rPr>
                <w:szCs w:val="20"/>
              </w:rPr>
              <w:t>-6</w:t>
            </w:r>
          </w:p>
        </w:tc>
      </w:tr>
      <w:tr w:rsidR="002F0012" w:rsidRPr="00694C96" w:rsidTr="00811B6D">
        <w:trPr>
          <w:trHeight w:val="284"/>
          <w:jc w:val="center"/>
        </w:trPr>
        <w:tc>
          <w:tcPr>
            <w:tcW w:w="4010" w:type="dxa"/>
            <w:tcBorders>
              <w:top w:val="single" w:sz="4" w:space="0" w:color="auto"/>
              <w:bottom w:val="single" w:sz="4" w:space="0" w:color="auto"/>
            </w:tcBorders>
            <w:shd w:val="clear" w:color="auto" w:fill="A8CBEE" w:themeFill="accent2" w:themeFillTint="66"/>
            <w:noWrap/>
            <w:vAlign w:val="center"/>
            <w:hideMark/>
          </w:tcPr>
          <w:p w:rsidR="002F0012" w:rsidRPr="00694C96" w:rsidRDefault="002F0012" w:rsidP="002F0012">
            <w:pPr>
              <w:pStyle w:val="cuadroCabe"/>
              <w:jc w:val="left"/>
              <w:rPr>
                <w:rFonts w:cs="Arial"/>
                <w:szCs w:val="18"/>
              </w:rPr>
            </w:pPr>
            <w:r w:rsidRPr="00694C96">
              <w:rPr>
                <w:rFonts w:cs="Arial"/>
                <w:szCs w:val="18"/>
              </w:rPr>
              <w:t>Total deudores</w:t>
            </w:r>
          </w:p>
        </w:tc>
        <w:tc>
          <w:tcPr>
            <w:tcW w:w="1477" w:type="dxa"/>
            <w:tcBorders>
              <w:top w:val="single" w:sz="4" w:space="0" w:color="auto"/>
              <w:bottom w:val="single" w:sz="4" w:space="0" w:color="auto"/>
            </w:tcBorders>
            <w:shd w:val="clear" w:color="auto" w:fill="A8CBEE" w:themeFill="accent2" w:themeFillTint="66"/>
            <w:vAlign w:val="center"/>
          </w:tcPr>
          <w:p w:rsidR="002F0012" w:rsidRPr="00694C96" w:rsidRDefault="002F0012" w:rsidP="00694C96">
            <w:pPr>
              <w:pStyle w:val="cuatexto"/>
              <w:jc w:val="right"/>
              <w:rPr>
                <w:rFonts w:ascii="Arial" w:hAnsi="Arial" w:cs="Arial"/>
                <w:sz w:val="18"/>
                <w:szCs w:val="18"/>
              </w:rPr>
            </w:pPr>
            <w:r w:rsidRPr="00694C96">
              <w:rPr>
                <w:rFonts w:ascii="Arial" w:hAnsi="Arial" w:cs="Arial"/>
                <w:sz w:val="18"/>
                <w:szCs w:val="18"/>
              </w:rPr>
              <w:t>338.195</w:t>
            </w:r>
          </w:p>
        </w:tc>
        <w:tc>
          <w:tcPr>
            <w:tcW w:w="1519" w:type="dxa"/>
            <w:tcBorders>
              <w:top w:val="single" w:sz="4" w:space="0" w:color="auto"/>
              <w:bottom w:val="single" w:sz="4" w:space="0" w:color="auto"/>
            </w:tcBorders>
            <w:shd w:val="clear" w:color="auto" w:fill="A8CBEE" w:themeFill="accent2" w:themeFillTint="66"/>
            <w:noWrap/>
            <w:vAlign w:val="center"/>
            <w:hideMark/>
          </w:tcPr>
          <w:p w:rsidR="002F0012" w:rsidRPr="00694C96" w:rsidRDefault="002F0012" w:rsidP="00694C96">
            <w:pPr>
              <w:pStyle w:val="cuatexto"/>
              <w:jc w:val="right"/>
              <w:rPr>
                <w:rFonts w:ascii="Arial" w:hAnsi="Arial" w:cs="Arial"/>
                <w:sz w:val="18"/>
                <w:szCs w:val="18"/>
              </w:rPr>
            </w:pPr>
            <w:r w:rsidRPr="00694C96">
              <w:rPr>
                <w:rFonts w:ascii="Arial" w:hAnsi="Arial" w:cs="Arial"/>
                <w:sz w:val="18"/>
                <w:szCs w:val="18"/>
              </w:rPr>
              <w:t>349.622</w:t>
            </w:r>
          </w:p>
        </w:tc>
        <w:tc>
          <w:tcPr>
            <w:tcW w:w="1740" w:type="dxa"/>
            <w:tcBorders>
              <w:top w:val="single" w:sz="4" w:space="0" w:color="auto"/>
              <w:bottom w:val="single" w:sz="4" w:space="0" w:color="auto"/>
            </w:tcBorders>
            <w:shd w:val="clear" w:color="auto" w:fill="A8CBEE" w:themeFill="accent2" w:themeFillTint="66"/>
            <w:noWrap/>
            <w:vAlign w:val="center"/>
            <w:hideMark/>
          </w:tcPr>
          <w:p w:rsidR="002F0012" w:rsidRPr="00694C96" w:rsidRDefault="002F0012" w:rsidP="00694C96">
            <w:pPr>
              <w:pStyle w:val="cuatexto"/>
              <w:jc w:val="right"/>
              <w:rPr>
                <w:rFonts w:ascii="Arial" w:hAnsi="Arial" w:cs="Arial"/>
                <w:sz w:val="18"/>
                <w:szCs w:val="18"/>
              </w:rPr>
            </w:pPr>
            <w:r w:rsidRPr="00694C96">
              <w:rPr>
                <w:rFonts w:ascii="Arial" w:hAnsi="Arial" w:cs="Arial"/>
                <w:sz w:val="18"/>
                <w:szCs w:val="18"/>
              </w:rPr>
              <w:t>3</w:t>
            </w:r>
          </w:p>
        </w:tc>
      </w:tr>
    </w:tbl>
    <w:p w:rsidR="00B26488" w:rsidRDefault="00592917" w:rsidP="00694C96">
      <w:pPr>
        <w:pStyle w:val="texto"/>
        <w:spacing w:before="240" w:after="240"/>
      </w:pPr>
      <w:r>
        <w:t>Dest</w:t>
      </w:r>
      <w:r w:rsidR="0008507E">
        <w:t>a</w:t>
      </w:r>
      <w:r>
        <w:t>camos</w:t>
      </w:r>
      <w:r w:rsidR="00E94B1C">
        <w:t xml:space="preserve"> la reducción en los saldos de deudores no presupuestarios y otros deudores así como la disminución de la provisión para insolvencias.</w:t>
      </w:r>
    </w:p>
    <w:p w:rsidR="00B26488" w:rsidRPr="00934343" w:rsidRDefault="00B26488" w:rsidP="00934343">
      <w:pPr>
        <w:pStyle w:val="atitulo3"/>
      </w:pPr>
      <w:r w:rsidRPr="00934343">
        <w:t>Deudores presupuestarios</w:t>
      </w:r>
    </w:p>
    <w:p w:rsidR="00F57CFF" w:rsidRDefault="00672249" w:rsidP="001E7B19">
      <w:pPr>
        <w:pStyle w:val="texto"/>
        <w:spacing w:after="0"/>
      </w:pPr>
      <w:r>
        <w:t>Centrándonos en los deudores presupuestarios, en el siguiente cuadro se muestra su desglose y evolución:</w:t>
      </w:r>
    </w:p>
    <w:p w:rsidR="00A67E1B" w:rsidRPr="00846EDC" w:rsidRDefault="00465B76" w:rsidP="00A67E1B">
      <w:pPr>
        <w:pStyle w:val="recomen"/>
        <w:numPr>
          <w:ilvl w:val="0"/>
          <w:numId w:val="0"/>
        </w:numPr>
        <w:spacing w:after="40"/>
        <w:ind w:left="1588"/>
        <w:jc w:val="right"/>
        <w:rPr>
          <w:rFonts w:ascii="Arial Narrow" w:hAnsi="Arial Narrow"/>
          <w:i w:val="0"/>
          <w:sz w:val="18"/>
          <w:szCs w:val="18"/>
        </w:rPr>
      </w:pPr>
      <w:r w:rsidRPr="00846EDC">
        <w:rPr>
          <w:rFonts w:ascii="Arial Narrow" w:hAnsi="Arial Narrow"/>
          <w:i w:val="0"/>
          <w:sz w:val="18"/>
          <w:szCs w:val="18"/>
        </w:rPr>
        <w:t>Miles</w:t>
      </w:r>
      <w:r w:rsidR="00A67E1B" w:rsidRPr="00846EDC">
        <w:rPr>
          <w:rFonts w:ascii="Arial Narrow" w:hAnsi="Arial Narrow"/>
          <w:i w:val="0"/>
          <w:sz w:val="18"/>
          <w:szCs w:val="18"/>
        </w:rPr>
        <w:t xml:space="preserve"> de euros</w:t>
      </w:r>
    </w:p>
    <w:tbl>
      <w:tblPr>
        <w:tblW w:w="8761" w:type="dxa"/>
        <w:jc w:val="center"/>
        <w:tblCellMar>
          <w:left w:w="70" w:type="dxa"/>
          <w:right w:w="70" w:type="dxa"/>
        </w:tblCellMar>
        <w:tblLook w:val="0000" w:firstRow="0" w:lastRow="0" w:firstColumn="0" w:lastColumn="0" w:noHBand="0" w:noVBand="0"/>
      </w:tblPr>
      <w:tblGrid>
        <w:gridCol w:w="3882"/>
        <w:gridCol w:w="1829"/>
        <w:gridCol w:w="1329"/>
        <w:gridCol w:w="1721"/>
      </w:tblGrid>
      <w:tr w:rsidR="00B76666" w:rsidRPr="00E45B54" w:rsidTr="00465B76">
        <w:trPr>
          <w:trHeight w:val="284"/>
          <w:jc w:val="center"/>
        </w:trPr>
        <w:tc>
          <w:tcPr>
            <w:tcW w:w="3882" w:type="dxa"/>
            <w:tcBorders>
              <w:top w:val="single" w:sz="4" w:space="0" w:color="auto"/>
              <w:bottom w:val="single" w:sz="4" w:space="0" w:color="auto"/>
            </w:tcBorders>
            <w:shd w:val="clear" w:color="auto" w:fill="A8CBEE" w:themeFill="accent2" w:themeFillTint="66"/>
            <w:noWrap/>
            <w:vAlign w:val="center"/>
          </w:tcPr>
          <w:p w:rsidR="00B76666" w:rsidRPr="00C57014" w:rsidRDefault="00B76666" w:rsidP="00F57CFF">
            <w:pPr>
              <w:pStyle w:val="cuadroCabe"/>
              <w:jc w:val="left"/>
            </w:pPr>
            <w:r w:rsidRPr="00C57014">
              <w:t xml:space="preserve">Deudores </w:t>
            </w:r>
            <w:r>
              <w:t>presupuestarios</w:t>
            </w:r>
          </w:p>
        </w:tc>
        <w:tc>
          <w:tcPr>
            <w:tcW w:w="1829" w:type="dxa"/>
            <w:tcBorders>
              <w:top w:val="single" w:sz="4" w:space="0" w:color="auto"/>
              <w:bottom w:val="single" w:sz="4" w:space="0" w:color="auto"/>
            </w:tcBorders>
            <w:shd w:val="clear" w:color="auto" w:fill="A8CBEE" w:themeFill="accent2" w:themeFillTint="66"/>
            <w:vAlign w:val="center"/>
          </w:tcPr>
          <w:p w:rsidR="00B76666" w:rsidRPr="002F0012" w:rsidRDefault="00B76666" w:rsidP="007D3BC3">
            <w:pPr>
              <w:pStyle w:val="cuadroCabe"/>
              <w:jc w:val="right"/>
            </w:pPr>
            <w:r>
              <w:t>31</w:t>
            </w:r>
            <w:r w:rsidR="007D3BC3">
              <w:t>-</w:t>
            </w:r>
            <w:r>
              <w:t>XII</w:t>
            </w:r>
            <w:r w:rsidR="007D3BC3">
              <w:t>-</w:t>
            </w:r>
            <w:r w:rsidRPr="002F0012">
              <w:t>2014</w:t>
            </w:r>
          </w:p>
        </w:tc>
        <w:tc>
          <w:tcPr>
            <w:tcW w:w="1329" w:type="dxa"/>
            <w:tcBorders>
              <w:top w:val="single" w:sz="4" w:space="0" w:color="auto"/>
              <w:bottom w:val="single" w:sz="4" w:space="0" w:color="auto"/>
            </w:tcBorders>
            <w:shd w:val="clear" w:color="auto" w:fill="A8CBEE" w:themeFill="accent2" w:themeFillTint="66"/>
            <w:vAlign w:val="center"/>
          </w:tcPr>
          <w:p w:rsidR="00B76666" w:rsidRPr="002F0012" w:rsidRDefault="00B76666" w:rsidP="007D3BC3">
            <w:pPr>
              <w:pStyle w:val="cuadroCabe"/>
              <w:jc w:val="right"/>
            </w:pPr>
            <w:r>
              <w:t>31</w:t>
            </w:r>
            <w:r w:rsidR="007D3BC3">
              <w:t>-</w:t>
            </w:r>
            <w:r>
              <w:t>XII</w:t>
            </w:r>
            <w:r w:rsidR="007D3BC3">
              <w:t>-</w:t>
            </w:r>
            <w:r w:rsidRPr="002F0012">
              <w:t>2015</w:t>
            </w:r>
          </w:p>
        </w:tc>
        <w:tc>
          <w:tcPr>
            <w:tcW w:w="1721" w:type="dxa"/>
            <w:tcBorders>
              <w:top w:val="single" w:sz="4" w:space="0" w:color="auto"/>
              <w:bottom w:val="single" w:sz="4" w:space="0" w:color="auto"/>
            </w:tcBorders>
            <w:shd w:val="clear" w:color="auto" w:fill="A8CBEE" w:themeFill="accent2" w:themeFillTint="66"/>
            <w:vAlign w:val="center"/>
          </w:tcPr>
          <w:p w:rsidR="00B76666" w:rsidRPr="00C57014" w:rsidRDefault="00811B6D" w:rsidP="00811B6D">
            <w:pPr>
              <w:pStyle w:val="cuadroCabe"/>
              <w:jc w:val="right"/>
            </w:pPr>
            <w:r>
              <w:t>% Variación 15/14</w:t>
            </w:r>
          </w:p>
        </w:tc>
      </w:tr>
      <w:tr w:rsidR="00B76666" w:rsidRPr="00C57014" w:rsidTr="00811B6D">
        <w:trPr>
          <w:trHeight w:val="284"/>
          <w:jc w:val="center"/>
        </w:trPr>
        <w:tc>
          <w:tcPr>
            <w:tcW w:w="3882" w:type="dxa"/>
            <w:tcBorders>
              <w:top w:val="single" w:sz="4" w:space="0" w:color="auto"/>
              <w:bottom w:val="single" w:sz="2" w:space="0" w:color="auto"/>
            </w:tcBorders>
            <w:noWrap/>
            <w:vAlign w:val="center"/>
          </w:tcPr>
          <w:p w:rsidR="00B76666" w:rsidRPr="00C57014" w:rsidRDefault="00B76666" w:rsidP="00F57CFF">
            <w:pPr>
              <w:pStyle w:val="cuatexto"/>
              <w:jc w:val="left"/>
              <w:rPr>
                <w:szCs w:val="20"/>
              </w:rPr>
            </w:pPr>
            <w:r w:rsidRPr="00C57014">
              <w:rPr>
                <w:szCs w:val="20"/>
              </w:rPr>
              <w:t>Deudores en departamentos</w:t>
            </w:r>
          </w:p>
        </w:tc>
        <w:tc>
          <w:tcPr>
            <w:tcW w:w="1829" w:type="dxa"/>
            <w:tcBorders>
              <w:top w:val="single" w:sz="4" w:space="0" w:color="auto"/>
              <w:bottom w:val="single" w:sz="2" w:space="0" w:color="auto"/>
            </w:tcBorders>
            <w:noWrap/>
            <w:vAlign w:val="center"/>
          </w:tcPr>
          <w:p w:rsidR="00B76666" w:rsidRPr="00C57014" w:rsidRDefault="00B76666" w:rsidP="00F57CFF">
            <w:pPr>
              <w:pStyle w:val="cuatexto"/>
              <w:jc w:val="right"/>
              <w:rPr>
                <w:szCs w:val="20"/>
              </w:rPr>
            </w:pPr>
            <w:r w:rsidRPr="00C57014">
              <w:rPr>
                <w:szCs w:val="20"/>
              </w:rPr>
              <w:t>8.637</w:t>
            </w:r>
          </w:p>
        </w:tc>
        <w:tc>
          <w:tcPr>
            <w:tcW w:w="1329" w:type="dxa"/>
            <w:tcBorders>
              <w:top w:val="single" w:sz="4" w:space="0" w:color="auto"/>
              <w:bottom w:val="single" w:sz="2" w:space="0" w:color="auto"/>
            </w:tcBorders>
            <w:noWrap/>
            <w:vAlign w:val="center"/>
          </w:tcPr>
          <w:p w:rsidR="00B76666" w:rsidRPr="00F57CFF" w:rsidRDefault="00B76666" w:rsidP="00F57CFF">
            <w:pPr>
              <w:pStyle w:val="cuatexto"/>
              <w:jc w:val="right"/>
              <w:rPr>
                <w:szCs w:val="20"/>
              </w:rPr>
            </w:pPr>
            <w:r w:rsidRPr="00F57CFF">
              <w:rPr>
                <w:szCs w:val="20"/>
              </w:rPr>
              <w:t>41.46</w:t>
            </w:r>
            <w:r>
              <w:rPr>
                <w:szCs w:val="20"/>
              </w:rPr>
              <w:t>9</w:t>
            </w:r>
          </w:p>
        </w:tc>
        <w:tc>
          <w:tcPr>
            <w:tcW w:w="1721" w:type="dxa"/>
            <w:tcBorders>
              <w:top w:val="single" w:sz="4" w:space="0" w:color="auto"/>
              <w:bottom w:val="single" w:sz="2" w:space="0" w:color="auto"/>
            </w:tcBorders>
            <w:noWrap/>
            <w:vAlign w:val="center"/>
          </w:tcPr>
          <w:p w:rsidR="00B76666" w:rsidRPr="00F57CFF" w:rsidRDefault="00B76666" w:rsidP="00F57CFF">
            <w:pPr>
              <w:pStyle w:val="cuatexto"/>
              <w:jc w:val="right"/>
              <w:rPr>
                <w:szCs w:val="20"/>
              </w:rPr>
            </w:pPr>
            <w:r>
              <w:rPr>
                <w:szCs w:val="20"/>
              </w:rPr>
              <w:t>380</w:t>
            </w:r>
          </w:p>
        </w:tc>
      </w:tr>
      <w:tr w:rsidR="00B76666" w:rsidRPr="00C57014" w:rsidTr="00811B6D">
        <w:trPr>
          <w:trHeight w:val="284"/>
          <w:jc w:val="center"/>
        </w:trPr>
        <w:tc>
          <w:tcPr>
            <w:tcW w:w="3882" w:type="dxa"/>
            <w:tcBorders>
              <w:top w:val="single" w:sz="2" w:space="0" w:color="auto"/>
              <w:bottom w:val="single" w:sz="2" w:space="0" w:color="auto"/>
            </w:tcBorders>
            <w:noWrap/>
            <w:vAlign w:val="center"/>
          </w:tcPr>
          <w:p w:rsidR="00B76666" w:rsidRPr="00C57014" w:rsidRDefault="00B76666" w:rsidP="00F57CFF">
            <w:pPr>
              <w:pStyle w:val="cuatexto"/>
              <w:jc w:val="left"/>
              <w:rPr>
                <w:szCs w:val="20"/>
              </w:rPr>
            </w:pPr>
            <w:r w:rsidRPr="00C57014">
              <w:rPr>
                <w:szCs w:val="20"/>
              </w:rPr>
              <w:t>Deudores gestión ordinaria</w:t>
            </w:r>
          </w:p>
        </w:tc>
        <w:tc>
          <w:tcPr>
            <w:tcW w:w="1829" w:type="dxa"/>
            <w:tcBorders>
              <w:top w:val="single" w:sz="2" w:space="0" w:color="auto"/>
              <w:bottom w:val="single" w:sz="2" w:space="0" w:color="auto"/>
            </w:tcBorders>
            <w:noWrap/>
            <w:vAlign w:val="center"/>
          </w:tcPr>
          <w:p w:rsidR="00B76666" w:rsidRPr="00C57014" w:rsidRDefault="00B76666" w:rsidP="00F57CFF">
            <w:pPr>
              <w:pStyle w:val="cuatexto"/>
              <w:jc w:val="right"/>
              <w:rPr>
                <w:szCs w:val="20"/>
              </w:rPr>
            </w:pPr>
            <w:r w:rsidRPr="00C57014">
              <w:rPr>
                <w:szCs w:val="20"/>
              </w:rPr>
              <w:t>158.220</w:t>
            </w:r>
          </w:p>
        </w:tc>
        <w:tc>
          <w:tcPr>
            <w:tcW w:w="1329" w:type="dxa"/>
            <w:tcBorders>
              <w:top w:val="single" w:sz="2" w:space="0" w:color="auto"/>
              <w:bottom w:val="single" w:sz="2" w:space="0" w:color="auto"/>
            </w:tcBorders>
            <w:noWrap/>
            <w:vAlign w:val="center"/>
          </w:tcPr>
          <w:p w:rsidR="00B76666" w:rsidRPr="00F57CFF" w:rsidRDefault="00B76666" w:rsidP="00F57CFF">
            <w:pPr>
              <w:pStyle w:val="cuatexto"/>
              <w:jc w:val="right"/>
              <w:rPr>
                <w:szCs w:val="20"/>
              </w:rPr>
            </w:pPr>
            <w:r w:rsidRPr="00F57CFF">
              <w:rPr>
                <w:szCs w:val="20"/>
              </w:rPr>
              <w:t>135.9</w:t>
            </w:r>
            <w:r>
              <w:rPr>
                <w:szCs w:val="20"/>
              </w:rPr>
              <w:t>30</w:t>
            </w:r>
          </w:p>
        </w:tc>
        <w:tc>
          <w:tcPr>
            <w:tcW w:w="1721" w:type="dxa"/>
            <w:tcBorders>
              <w:top w:val="single" w:sz="2" w:space="0" w:color="auto"/>
              <w:bottom w:val="single" w:sz="2" w:space="0" w:color="auto"/>
            </w:tcBorders>
            <w:noWrap/>
            <w:vAlign w:val="center"/>
          </w:tcPr>
          <w:p w:rsidR="00B76666" w:rsidRPr="00F57CFF" w:rsidRDefault="00B76666" w:rsidP="00F57CFF">
            <w:pPr>
              <w:pStyle w:val="cuatexto"/>
              <w:jc w:val="right"/>
              <w:rPr>
                <w:szCs w:val="20"/>
              </w:rPr>
            </w:pPr>
            <w:r>
              <w:rPr>
                <w:szCs w:val="20"/>
              </w:rPr>
              <w:t>-14</w:t>
            </w:r>
          </w:p>
        </w:tc>
      </w:tr>
      <w:tr w:rsidR="00B76666" w:rsidRPr="00C57014" w:rsidTr="00811B6D">
        <w:trPr>
          <w:trHeight w:val="284"/>
          <w:jc w:val="center"/>
        </w:trPr>
        <w:tc>
          <w:tcPr>
            <w:tcW w:w="3882" w:type="dxa"/>
            <w:tcBorders>
              <w:top w:val="single" w:sz="2" w:space="0" w:color="auto"/>
              <w:bottom w:val="single" w:sz="2" w:space="0" w:color="auto"/>
            </w:tcBorders>
            <w:noWrap/>
            <w:vAlign w:val="center"/>
          </w:tcPr>
          <w:p w:rsidR="00B76666" w:rsidRPr="00C57014" w:rsidRDefault="00B76666" w:rsidP="00F57CFF">
            <w:pPr>
              <w:pStyle w:val="cuatexto"/>
              <w:jc w:val="left"/>
              <w:rPr>
                <w:szCs w:val="20"/>
              </w:rPr>
            </w:pPr>
            <w:r w:rsidRPr="00C57014">
              <w:rPr>
                <w:szCs w:val="20"/>
              </w:rPr>
              <w:t>Deudores con aplazamiento</w:t>
            </w:r>
          </w:p>
        </w:tc>
        <w:tc>
          <w:tcPr>
            <w:tcW w:w="1829" w:type="dxa"/>
            <w:tcBorders>
              <w:top w:val="single" w:sz="2" w:space="0" w:color="auto"/>
              <w:bottom w:val="single" w:sz="2" w:space="0" w:color="auto"/>
            </w:tcBorders>
            <w:noWrap/>
            <w:vAlign w:val="center"/>
          </w:tcPr>
          <w:p w:rsidR="00B76666" w:rsidRPr="00C57014" w:rsidRDefault="00B76666" w:rsidP="00F57CFF">
            <w:pPr>
              <w:pStyle w:val="cuatexto"/>
              <w:jc w:val="right"/>
              <w:rPr>
                <w:szCs w:val="20"/>
              </w:rPr>
            </w:pPr>
            <w:r w:rsidRPr="00C57014">
              <w:rPr>
                <w:szCs w:val="20"/>
              </w:rPr>
              <w:t>172.628</w:t>
            </w:r>
          </w:p>
        </w:tc>
        <w:tc>
          <w:tcPr>
            <w:tcW w:w="1329" w:type="dxa"/>
            <w:tcBorders>
              <w:top w:val="single" w:sz="2" w:space="0" w:color="auto"/>
              <w:bottom w:val="single" w:sz="2" w:space="0" w:color="auto"/>
            </w:tcBorders>
            <w:noWrap/>
            <w:vAlign w:val="center"/>
          </w:tcPr>
          <w:p w:rsidR="00B76666" w:rsidRPr="00F57CFF" w:rsidRDefault="00B76666" w:rsidP="00F57CFF">
            <w:pPr>
              <w:pStyle w:val="cuatexto"/>
              <w:jc w:val="right"/>
              <w:rPr>
                <w:szCs w:val="20"/>
              </w:rPr>
            </w:pPr>
            <w:r w:rsidRPr="00F57CFF">
              <w:rPr>
                <w:szCs w:val="20"/>
              </w:rPr>
              <w:t>163.760</w:t>
            </w:r>
          </w:p>
        </w:tc>
        <w:tc>
          <w:tcPr>
            <w:tcW w:w="1721" w:type="dxa"/>
            <w:tcBorders>
              <w:top w:val="single" w:sz="2" w:space="0" w:color="auto"/>
              <w:bottom w:val="single" w:sz="2" w:space="0" w:color="auto"/>
            </w:tcBorders>
            <w:noWrap/>
            <w:vAlign w:val="center"/>
          </w:tcPr>
          <w:p w:rsidR="00B76666" w:rsidRPr="00F57CFF" w:rsidRDefault="00B76666" w:rsidP="00F57CFF">
            <w:pPr>
              <w:pStyle w:val="cuatexto"/>
              <w:jc w:val="right"/>
              <w:rPr>
                <w:szCs w:val="20"/>
              </w:rPr>
            </w:pPr>
            <w:r>
              <w:rPr>
                <w:szCs w:val="20"/>
              </w:rPr>
              <w:t>-5</w:t>
            </w:r>
          </w:p>
        </w:tc>
      </w:tr>
      <w:tr w:rsidR="00B76666" w:rsidRPr="00C57014" w:rsidTr="00811B6D">
        <w:trPr>
          <w:trHeight w:val="284"/>
          <w:jc w:val="center"/>
        </w:trPr>
        <w:tc>
          <w:tcPr>
            <w:tcW w:w="3882" w:type="dxa"/>
            <w:tcBorders>
              <w:top w:val="single" w:sz="2" w:space="0" w:color="auto"/>
              <w:bottom w:val="single" w:sz="2" w:space="0" w:color="auto"/>
            </w:tcBorders>
            <w:shd w:val="clear" w:color="auto" w:fill="auto"/>
            <w:noWrap/>
            <w:vAlign w:val="center"/>
          </w:tcPr>
          <w:p w:rsidR="00B76666" w:rsidRPr="00C57014" w:rsidRDefault="00B76666" w:rsidP="00F57CFF">
            <w:pPr>
              <w:pStyle w:val="cuatexto"/>
              <w:jc w:val="left"/>
              <w:rPr>
                <w:szCs w:val="20"/>
              </w:rPr>
            </w:pPr>
            <w:r w:rsidRPr="00C57014">
              <w:rPr>
                <w:szCs w:val="20"/>
              </w:rPr>
              <w:t>Deudores en vía de apremio</w:t>
            </w:r>
          </w:p>
        </w:tc>
        <w:tc>
          <w:tcPr>
            <w:tcW w:w="1829" w:type="dxa"/>
            <w:tcBorders>
              <w:top w:val="single" w:sz="2" w:space="0" w:color="auto"/>
              <w:bottom w:val="single" w:sz="2" w:space="0" w:color="auto"/>
            </w:tcBorders>
            <w:shd w:val="clear" w:color="auto" w:fill="auto"/>
            <w:noWrap/>
            <w:vAlign w:val="center"/>
          </w:tcPr>
          <w:p w:rsidR="00B76666" w:rsidRPr="00C57014" w:rsidRDefault="00B76666" w:rsidP="00F57CFF">
            <w:pPr>
              <w:pStyle w:val="cuatexto"/>
              <w:jc w:val="right"/>
              <w:rPr>
                <w:szCs w:val="20"/>
              </w:rPr>
            </w:pPr>
            <w:r w:rsidRPr="00C57014">
              <w:rPr>
                <w:szCs w:val="20"/>
              </w:rPr>
              <w:t>514.075</w:t>
            </w:r>
          </w:p>
        </w:tc>
        <w:tc>
          <w:tcPr>
            <w:tcW w:w="1329" w:type="dxa"/>
            <w:tcBorders>
              <w:top w:val="single" w:sz="2" w:space="0" w:color="auto"/>
              <w:bottom w:val="single" w:sz="2" w:space="0" w:color="auto"/>
            </w:tcBorders>
            <w:shd w:val="clear" w:color="auto" w:fill="auto"/>
            <w:noWrap/>
            <w:vAlign w:val="center"/>
          </w:tcPr>
          <w:p w:rsidR="00B76666" w:rsidRPr="00F57CFF" w:rsidRDefault="00B76666" w:rsidP="00F57CFF">
            <w:pPr>
              <w:pStyle w:val="cuatexto"/>
              <w:jc w:val="right"/>
              <w:rPr>
                <w:szCs w:val="20"/>
              </w:rPr>
            </w:pPr>
            <w:r w:rsidRPr="00F57CFF">
              <w:rPr>
                <w:szCs w:val="20"/>
              </w:rPr>
              <w:t>496.7</w:t>
            </w:r>
            <w:r>
              <w:rPr>
                <w:szCs w:val="20"/>
              </w:rPr>
              <w:t>80</w:t>
            </w:r>
          </w:p>
        </w:tc>
        <w:tc>
          <w:tcPr>
            <w:tcW w:w="1721" w:type="dxa"/>
            <w:tcBorders>
              <w:top w:val="single" w:sz="2" w:space="0" w:color="auto"/>
              <w:bottom w:val="single" w:sz="2" w:space="0" w:color="auto"/>
            </w:tcBorders>
            <w:shd w:val="clear" w:color="auto" w:fill="auto"/>
            <w:noWrap/>
            <w:vAlign w:val="center"/>
          </w:tcPr>
          <w:p w:rsidR="00B76666" w:rsidRPr="00F57CFF" w:rsidRDefault="00B76666" w:rsidP="00F57CFF">
            <w:pPr>
              <w:pStyle w:val="cuatexto"/>
              <w:jc w:val="right"/>
              <w:rPr>
                <w:szCs w:val="20"/>
              </w:rPr>
            </w:pPr>
            <w:r>
              <w:rPr>
                <w:szCs w:val="20"/>
              </w:rPr>
              <w:t>-3</w:t>
            </w:r>
          </w:p>
        </w:tc>
      </w:tr>
      <w:tr w:rsidR="00B76666" w:rsidRPr="00C57014" w:rsidTr="00811B6D">
        <w:trPr>
          <w:trHeight w:val="284"/>
          <w:jc w:val="center"/>
        </w:trPr>
        <w:tc>
          <w:tcPr>
            <w:tcW w:w="3882" w:type="dxa"/>
            <w:tcBorders>
              <w:top w:val="single" w:sz="2" w:space="0" w:color="auto"/>
              <w:bottom w:val="single" w:sz="2" w:space="0" w:color="auto"/>
            </w:tcBorders>
            <w:noWrap/>
            <w:vAlign w:val="center"/>
          </w:tcPr>
          <w:p w:rsidR="00B76666" w:rsidRPr="00C57014" w:rsidRDefault="00B76666" w:rsidP="00F57CFF">
            <w:pPr>
              <w:pStyle w:val="cuatexto"/>
              <w:jc w:val="left"/>
              <w:rPr>
                <w:szCs w:val="20"/>
              </w:rPr>
            </w:pPr>
            <w:r w:rsidRPr="00C57014">
              <w:rPr>
                <w:szCs w:val="20"/>
              </w:rPr>
              <w:t>Deudores situaciones especiales</w:t>
            </w:r>
          </w:p>
        </w:tc>
        <w:tc>
          <w:tcPr>
            <w:tcW w:w="1829" w:type="dxa"/>
            <w:tcBorders>
              <w:top w:val="single" w:sz="2" w:space="0" w:color="auto"/>
              <w:bottom w:val="single" w:sz="2" w:space="0" w:color="auto"/>
            </w:tcBorders>
            <w:noWrap/>
            <w:vAlign w:val="center"/>
          </w:tcPr>
          <w:p w:rsidR="00B76666" w:rsidRPr="00C57014" w:rsidRDefault="00B76666" w:rsidP="00F57CFF">
            <w:pPr>
              <w:pStyle w:val="cuatexto"/>
              <w:jc w:val="right"/>
              <w:rPr>
                <w:szCs w:val="20"/>
              </w:rPr>
            </w:pPr>
            <w:r w:rsidRPr="00C57014">
              <w:rPr>
                <w:szCs w:val="20"/>
              </w:rPr>
              <w:t>20.428</w:t>
            </w:r>
          </w:p>
        </w:tc>
        <w:tc>
          <w:tcPr>
            <w:tcW w:w="1329" w:type="dxa"/>
            <w:tcBorders>
              <w:top w:val="single" w:sz="2" w:space="0" w:color="auto"/>
              <w:bottom w:val="single" w:sz="2" w:space="0" w:color="auto"/>
            </w:tcBorders>
            <w:noWrap/>
            <w:vAlign w:val="center"/>
          </w:tcPr>
          <w:p w:rsidR="00B76666" w:rsidRPr="00F57CFF" w:rsidRDefault="00B76666" w:rsidP="00F57CFF">
            <w:pPr>
              <w:pStyle w:val="cuatexto"/>
              <w:jc w:val="right"/>
              <w:rPr>
                <w:szCs w:val="20"/>
              </w:rPr>
            </w:pPr>
            <w:r w:rsidRPr="00F57CFF">
              <w:rPr>
                <w:szCs w:val="20"/>
              </w:rPr>
              <w:t>24.01</w:t>
            </w:r>
            <w:r>
              <w:rPr>
                <w:szCs w:val="20"/>
              </w:rPr>
              <w:t>8</w:t>
            </w:r>
          </w:p>
        </w:tc>
        <w:tc>
          <w:tcPr>
            <w:tcW w:w="1721" w:type="dxa"/>
            <w:tcBorders>
              <w:top w:val="single" w:sz="2" w:space="0" w:color="auto"/>
              <w:bottom w:val="single" w:sz="2" w:space="0" w:color="auto"/>
            </w:tcBorders>
            <w:noWrap/>
            <w:vAlign w:val="center"/>
          </w:tcPr>
          <w:p w:rsidR="00B76666" w:rsidRPr="00F57CFF" w:rsidRDefault="00B76666" w:rsidP="00F57CFF">
            <w:pPr>
              <w:pStyle w:val="cuatexto"/>
              <w:jc w:val="right"/>
              <w:rPr>
                <w:szCs w:val="20"/>
              </w:rPr>
            </w:pPr>
            <w:r>
              <w:rPr>
                <w:szCs w:val="20"/>
              </w:rPr>
              <w:t>18</w:t>
            </w:r>
          </w:p>
        </w:tc>
      </w:tr>
      <w:tr w:rsidR="00A64536" w:rsidRPr="00C57014" w:rsidTr="00811B6D">
        <w:trPr>
          <w:trHeight w:val="284"/>
          <w:jc w:val="center"/>
        </w:trPr>
        <w:tc>
          <w:tcPr>
            <w:tcW w:w="3882" w:type="dxa"/>
            <w:tcBorders>
              <w:top w:val="single" w:sz="2" w:space="0" w:color="auto"/>
              <w:bottom w:val="single" w:sz="2" w:space="0" w:color="auto"/>
            </w:tcBorders>
            <w:noWrap/>
            <w:vAlign w:val="center"/>
          </w:tcPr>
          <w:p w:rsidR="00A64536" w:rsidRPr="00A64536" w:rsidRDefault="00A64536" w:rsidP="00F57CFF">
            <w:pPr>
              <w:pStyle w:val="cuatexto"/>
              <w:jc w:val="left"/>
              <w:rPr>
                <w:i/>
                <w:szCs w:val="20"/>
              </w:rPr>
            </w:pPr>
            <w:r w:rsidRPr="00A64536">
              <w:rPr>
                <w:i/>
                <w:szCs w:val="20"/>
              </w:rPr>
              <w:t>Deudores</w:t>
            </w:r>
          </w:p>
        </w:tc>
        <w:tc>
          <w:tcPr>
            <w:tcW w:w="1829" w:type="dxa"/>
            <w:tcBorders>
              <w:top w:val="single" w:sz="2" w:space="0" w:color="auto"/>
              <w:bottom w:val="single" w:sz="2" w:space="0" w:color="auto"/>
            </w:tcBorders>
            <w:noWrap/>
            <w:vAlign w:val="center"/>
          </w:tcPr>
          <w:p w:rsidR="00A64536" w:rsidRPr="00A64536" w:rsidRDefault="00A64536" w:rsidP="00F57CFF">
            <w:pPr>
              <w:pStyle w:val="cuatexto"/>
              <w:jc w:val="right"/>
              <w:rPr>
                <w:i/>
                <w:szCs w:val="20"/>
              </w:rPr>
            </w:pPr>
            <w:r w:rsidRPr="00A64536">
              <w:rPr>
                <w:i/>
                <w:szCs w:val="20"/>
              </w:rPr>
              <w:t>873.987</w:t>
            </w:r>
          </w:p>
        </w:tc>
        <w:tc>
          <w:tcPr>
            <w:tcW w:w="1329" w:type="dxa"/>
            <w:tcBorders>
              <w:top w:val="single" w:sz="2" w:space="0" w:color="auto"/>
              <w:bottom w:val="single" w:sz="2" w:space="0" w:color="auto"/>
            </w:tcBorders>
            <w:noWrap/>
            <w:vAlign w:val="center"/>
          </w:tcPr>
          <w:p w:rsidR="00A64536" w:rsidRPr="00A64536" w:rsidRDefault="00A64536" w:rsidP="00F57CFF">
            <w:pPr>
              <w:pStyle w:val="cuatexto"/>
              <w:jc w:val="right"/>
              <w:rPr>
                <w:i/>
                <w:szCs w:val="20"/>
              </w:rPr>
            </w:pPr>
            <w:r w:rsidRPr="00A64536">
              <w:rPr>
                <w:i/>
                <w:szCs w:val="20"/>
              </w:rPr>
              <w:t>861.956</w:t>
            </w:r>
          </w:p>
        </w:tc>
        <w:tc>
          <w:tcPr>
            <w:tcW w:w="1721" w:type="dxa"/>
            <w:tcBorders>
              <w:top w:val="single" w:sz="2" w:space="0" w:color="auto"/>
              <w:bottom w:val="single" w:sz="2" w:space="0" w:color="auto"/>
            </w:tcBorders>
            <w:noWrap/>
            <w:vAlign w:val="center"/>
          </w:tcPr>
          <w:p w:rsidR="00A64536" w:rsidRPr="00A64536" w:rsidRDefault="00A64536" w:rsidP="00F57CFF">
            <w:pPr>
              <w:pStyle w:val="cuatexto"/>
              <w:jc w:val="right"/>
              <w:rPr>
                <w:i/>
                <w:szCs w:val="20"/>
              </w:rPr>
            </w:pPr>
            <w:r w:rsidRPr="00A64536">
              <w:rPr>
                <w:i/>
                <w:szCs w:val="20"/>
              </w:rPr>
              <w:t>0</w:t>
            </w:r>
          </w:p>
        </w:tc>
      </w:tr>
      <w:tr w:rsidR="00B76666" w:rsidRPr="00C57014" w:rsidTr="00811B6D">
        <w:trPr>
          <w:trHeight w:val="284"/>
          <w:jc w:val="center"/>
        </w:trPr>
        <w:tc>
          <w:tcPr>
            <w:tcW w:w="3882" w:type="dxa"/>
            <w:tcBorders>
              <w:top w:val="single" w:sz="2" w:space="0" w:color="auto"/>
              <w:bottom w:val="single" w:sz="2" w:space="0" w:color="auto"/>
            </w:tcBorders>
            <w:noWrap/>
            <w:vAlign w:val="center"/>
          </w:tcPr>
          <w:p w:rsidR="00B76666" w:rsidRPr="00C57014" w:rsidRDefault="00B76666" w:rsidP="00F57CFF">
            <w:pPr>
              <w:pStyle w:val="cuatexto"/>
              <w:jc w:val="left"/>
              <w:rPr>
                <w:szCs w:val="20"/>
              </w:rPr>
            </w:pPr>
            <w:r w:rsidRPr="00C57014">
              <w:rPr>
                <w:szCs w:val="20"/>
              </w:rPr>
              <w:t>Intereses y recargos no devengados</w:t>
            </w:r>
          </w:p>
        </w:tc>
        <w:tc>
          <w:tcPr>
            <w:tcW w:w="1829" w:type="dxa"/>
            <w:tcBorders>
              <w:top w:val="single" w:sz="2" w:space="0" w:color="auto"/>
              <w:bottom w:val="single" w:sz="2" w:space="0" w:color="auto"/>
            </w:tcBorders>
            <w:noWrap/>
            <w:vAlign w:val="center"/>
          </w:tcPr>
          <w:p w:rsidR="00B76666" w:rsidRPr="00C57014" w:rsidRDefault="00B76666" w:rsidP="00F57CFF">
            <w:pPr>
              <w:pStyle w:val="cuatexto"/>
              <w:jc w:val="right"/>
              <w:rPr>
                <w:szCs w:val="20"/>
              </w:rPr>
            </w:pPr>
            <w:r>
              <w:rPr>
                <w:szCs w:val="20"/>
              </w:rPr>
              <w:t>(</w:t>
            </w:r>
            <w:r w:rsidRPr="00C57014">
              <w:rPr>
                <w:szCs w:val="20"/>
              </w:rPr>
              <w:t>38.337</w:t>
            </w:r>
            <w:r>
              <w:rPr>
                <w:szCs w:val="20"/>
              </w:rPr>
              <w:t>)</w:t>
            </w:r>
          </w:p>
        </w:tc>
        <w:tc>
          <w:tcPr>
            <w:tcW w:w="1329" w:type="dxa"/>
            <w:tcBorders>
              <w:top w:val="single" w:sz="2" w:space="0" w:color="auto"/>
              <w:bottom w:val="single" w:sz="2" w:space="0" w:color="auto"/>
            </w:tcBorders>
            <w:noWrap/>
            <w:vAlign w:val="center"/>
          </w:tcPr>
          <w:p w:rsidR="00B76666" w:rsidRPr="00F57CFF" w:rsidRDefault="00B76666" w:rsidP="00F57CFF">
            <w:pPr>
              <w:pStyle w:val="cuatexto"/>
              <w:jc w:val="right"/>
              <w:rPr>
                <w:szCs w:val="20"/>
              </w:rPr>
            </w:pPr>
            <w:r>
              <w:rPr>
                <w:szCs w:val="20"/>
              </w:rPr>
              <w:t>(</w:t>
            </w:r>
            <w:r w:rsidRPr="00F57CFF">
              <w:rPr>
                <w:szCs w:val="20"/>
              </w:rPr>
              <w:t>23.25</w:t>
            </w:r>
            <w:r>
              <w:rPr>
                <w:szCs w:val="20"/>
              </w:rPr>
              <w:t>7)</w:t>
            </w:r>
          </w:p>
        </w:tc>
        <w:tc>
          <w:tcPr>
            <w:tcW w:w="1721" w:type="dxa"/>
            <w:tcBorders>
              <w:top w:val="single" w:sz="2" w:space="0" w:color="auto"/>
              <w:bottom w:val="single" w:sz="2" w:space="0" w:color="auto"/>
            </w:tcBorders>
            <w:noWrap/>
            <w:vAlign w:val="center"/>
          </w:tcPr>
          <w:p w:rsidR="00B76666" w:rsidRPr="00F57CFF" w:rsidRDefault="00B76666" w:rsidP="00F57CFF">
            <w:pPr>
              <w:pStyle w:val="cuatexto"/>
              <w:jc w:val="right"/>
              <w:rPr>
                <w:szCs w:val="20"/>
              </w:rPr>
            </w:pPr>
            <w:r>
              <w:rPr>
                <w:szCs w:val="20"/>
              </w:rPr>
              <w:t>-39</w:t>
            </w:r>
          </w:p>
        </w:tc>
      </w:tr>
      <w:tr w:rsidR="00B76666" w:rsidRPr="00C57014" w:rsidTr="00811B6D">
        <w:trPr>
          <w:trHeight w:val="284"/>
          <w:jc w:val="center"/>
        </w:trPr>
        <w:tc>
          <w:tcPr>
            <w:tcW w:w="3882" w:type="dxa"/>
            <w:tcBorders>
              <w:top w:val="single" w:sz="2" w:space="0" w:color="auto"/>
              <w:bottom w:val="single" w:sz="4" w:space="0" w:color="auto"/>
            </w:tcBorders>
            <w:noWrap/>
            <w:vAlign w:val="center"/>
          </w:tcPr>
          <w:p w:rsidR="00B76666" w:rsidRPr="00C57014" w:rsidRDefault="00B76666" w:rsidP="00F57CFF">
            <w:pPr>
              <w:pStyle w:val="cuatexto"/>
              <w:jc w:val="left"/>
              <w:rPr>
                <w:szCs w:val="20"/>
              </w:rPr>
            </w:pPr>
            <w:r w:rsidRPr="00C57014">
              <w:rPr>
                <w:szCs w:val="20"/>
              </w:rPr>
              <w:t>Cobros y remesas pendientes aplicación</w:t>
            </w:r>
          </w:p>
        </w:tc>
        <w:tc>
          <w:tcPr>
            <w:tcW w:w="1829" w:type="dxa"/>
            <w:tcBorders>
              <w:top w:val="single" w:sz="2" w:space="0" w:color="auto"/>
              <w:bottom w:val="single" w:sz="4" w:space="0" w:color="auto"/>
            </w:tcBorders>
            <w:noWrap/>
            <w:vAlign w:val="center"/>
          </w:tcPr>
          <w:p w:rsidR="00B76666" w:rsidRPr="00C57014" w:rsidRDefault="00B76666" w:rsidP="00F57CFF">
            <w:pPr>
              <w:pStyle w:val="cuatexto"/>
              <w:jc w:val="right"/>
              <w:rPr>
                <w:szCs w:val="20"/>
              </w:rPr>
            </w:pPr>
            <w:r>
              <w:rPr>
                <w:szCs w:val="20"/>
              </w:rPr>
              <w:t>(</w:t>
            </w:r>
            <w:r w:rsidRPr="00C57014">
              <w:rPr>
                <w:szCs w:val="20"/>
              </w:rPr>
              <w:t>1.120</w:t>
            </w:r>
            <w:r>
              <w:rPr>
                <w:szCs w:val="20"/>
              </w:rPr>
              <w:t>)</w:t>
            </w:r>
          </w:p>
        </w:tc>
        <w:tc>
          <w:tcPr>
            <w:tcW w:w="1329" w:type="dxa"/>
            <w:tcBorders>
              <w:top w:val="single" w:sz="2" w:space="0" w:color="auto"/>
              <w:bottom w:val="single" w:sz="4" w:space="0" w:color="auto"/>
            </w:tcBorders>
            <w:noWrap/>
            <w:vAlign w:val="center"/>
          </w:tcPr>
          <w:p w:rsidR="00B76666" w:rsidRPr="00F57CFF" w:rsidRDefault="00B76666" w:rsidP="00F57CFF">
            <w:pPr>
              <w:pStyle w:val="cuatexto"/>
              <w:jc w:val="right"/>
              <w:rPr>
                <w:szCs w:val="20"/>
              </w:rPr>
            </w:pPr>
            <w:r>
              <w:rPr>
                <w:szCs w:val="20"/>
              </w:rPr>
              <w:t>(</w:t>
            </w:r>
            <w:r w:rsidRPr="00F57CFF">
              <w:rPr>
                <w:szCs w:val="20"/>
              </w:rPr>
              <w:t>1.203</w:t>
            </w:r>
            <w:r>
              <w:rPr>
                <w:szCs w:val="20"/>
              </w:rPr>
              <w:t>)</w:t>
            </w:r>
          </w:p>
        </w:tc>
        <w:tc>
          <w:tcPr>
            <w:tcW w:w="1721" w:type="dxa"/>
            <w:tcBorders>
              <w:top w:val="single" w:sz="2" w:space="0" w:color="auto"/>
              <w:bottom w:val="single" w:sz="4" w:space="0" w:color="auto"/>
            </w:tcBorders>
            <w:noWrap/>
            <w:vAlign w:val="center"/>
          </w:tcPr>
          <w:p w:rsidR="00B76666" w:rsidRPr="00F57CFF" w:rsidRDefault="00B76666" w:rsidP="00F57CFF">
            <w:pPr>
              <w:pStyle w:val="cuatexto"/>
              <w:jc w:val="right"/>
              <w:rPr>
                <w:szCs w:val="20"/>
              </w:rPr>
            </w:pPr>
            <w:r>
              <w:rPr>
                <w:szCs w:val="20"/>
              </w:rPr>
              <w:t>-7</w:t>
            </w:r>
          </w:p>
        </w:tc>
      </w:tr>
      <w:tr w:rsidR="00B76666" w:rsidRPr="00811B6D" w:rsidTr="00465B76">
        <w:trPr>
          <w:trHeight w:val="284"/>
          <w:jc w:val="center"/>
        </w:trPr>
        <w:tc>
          <w:tcPr>
            <w:tcW w:w="3882" w:type="dxa"/>
            <w:tcBorders>
              <w:top w:val="single" w:sz="4" w:space="0" w:color="auto"/>
              <w:bottom w:val="single" w:sz="4" w:space="0" w:color="auto"/>
            </w:tcBorders>
            <w:shd w:val="clear" w:color="auto" w:fill="A8CBEE" w:themeFill="accent2" w:themeFillTint="66"/>
            <w:noWrap/>
            <w:vAlign w:val="center"/>
          </w:tcPr>
          <w:p w:rsidR="00B76666" w:rsidRPr="00811B6D" w:rsidRDefault="00B76666" w:rsidP="00F57CFF">
            <w:pPr>
              <w:pStyle w:val="cuatexto"/>
              <w:jc w:val="left"/>
              <w:rPr>
                <w:rFonts w:ascii="Arial" w:hAnsi="Arial" w:cs="Arial"/>
                <w:sz w:val="18"/>
                <w:szCs w:val="18"/>
              </w:rPr>
            </w:pPr>
            <w:r w:rsidRPr="00811B6D">
              <w:rPr>
                <w:rFonts w:ascii="Arial" w:hAnsi="Arial" w:cs="Arial"/>
                <w:sz w:val="18"/>
                <w:szCs w:val="18"/>
              </w:rPr>
              <w:t>Total deudores presupuestarios</w:t>
            </w:r>
          </w:p>
        </w:tc>
        <w:tc>
          <w:tcPr>
            <w:tcW w:w="1829" w:type="dxa"/>
            <w:tcBorders>
              <w:top w:val="single" w:sz="4" w:space="0" w:color="auto"/>
              <w:bottom w:val="single" w:sz="4" w:space="0" w:color="auto"/>
            </w:tcBorders>
            <w:shd w:val="clear" w:color="auto" w:fill="A8CBEE" w:themeFill="accent2" w:themeFillTint="66"/>
            <w:noWrap/>
            <w:vAlign w:val="center"/>
          </w:tcPr>
          <w:p w:rsidR="00B76666" w:rsidRPr="00811B6D" w:rsidRDefault="00B76666" w:rsidP="00F57CFF">
            <w:pPr>
              <w:pStyle w:val="cuatexto"/>
              <w:jc w:val="right"/>
              <w:rPr>
                <w:rFonts w:ascii="Arial" w:hAnsi="Arial" w:cs="Arial"/>
                <w:sz w:val="18"/>
                <w:szCs w:val="18"/>
              </w:rPr>
            </w:pPr>
            <w:r w:rsidRPr="00811B6D">
              <w:rPr>
                <w:rFonts w:ascii="Arial" w:hAnsi="Arial" w:cs="Arial"/>
                <w:sz w:val="18"/>
                <w:szCs w:val="18"/>
              </w:rPr>
              <w:fldChar w:fldCharType="begin"/>
            </w:r>
            <w:r w:rsidRPr="00811B6D">
              <w:rPr>
                <w:rFonts w:ascii="Arial" w:hAnsi="Arial" w:cs="Arial"/>
                <w:sz w:val="18"/>
                <w:szCs w:val="18"/>
              </w:rPr>
              <w:instrText xml:space="preserve"> =SUM(ABOVE) </w:instrText>
            </w:r>
            <w:r w:rsidRPr="00811B6D">
              <w:rPr>
                <w:rFonts w:ascii="Arial" w:hAnsi="Arial" w:cs="Arial"/>
                <w:sz w:val="18"/>
                <w:szCs w:val="18"/>
              </w:rPr>
              <w:fldChar w:fldCharType="separate"/>
            </w:r>
            <w:r w:rsidRPr="00811B6D">
              <w:rPr>
                <w:rFonts w:ascii="Arial" w:hAnsi="Arial" w:cs="Arial"/>
                <w:sz w:val="18"/>
                <w:szCs w:val="18"/>
              </w:rPr>
              <w:t>834.531</w:t>
            </w:r>
            <w:r w:rsidRPr="00811B6D">
              <w:rPr>
                <w:rFonts w:ascii="Arial" w:hAnsi="Arial" w:cs="Arial"/>
                <w:sz w:val="18"/>
                <w:szCs w:val="18"/>
              </w:rPr>
              <w:fldChar w:fldCharType="end"/>
            </w:r>
          </w:p>
        </w:tc>
        <w:tc>
          <w:tcPr>
            <w:tcW w:w="1329" w:type="dxa"/>
            <w:tcBorders>
              <w:top w:val="single" w:sz="4" w:space="0" w:color="auto"/>
              <w:bottom w:val="single" w:sz="4" w:space="0" w:color="auto"/>
            </w:tcBorders>
            <w:shd w:val="clear" w:color="auto" w:fill="A8CBEE" w:themeFill="accent2" w:themeFillTint="66"/>
            <w:noWrap/>
            <w:vAlign w:val="center"/>
          </w:tcPr>
          <w:p w:rsidR="00B76666" w:rsidRPr="00811B6D" w:rsidRDefault="00B76666" w:rsidP="00F57CFF">
            <w:pPr>
              <w:pStyle w:val="cuatexto"/>
              <w:jc w:val="right"/>
              <w:rPr>
                <w:rFonts w:ascii="Arial" w:hAnsi="Arial" w:cs="Arial"/>
                <w:sz w:val="18"/>
                <w:szCs w:val="18"/>
              </w:rPr>
            </w:pPr>
            <w:r w:rsidRPr="00811B6D">
              <w:rPr>
                <w:rFonts w:ascii="Arial" w:hAnsi="Arial" w:cs="Arial"/>
                <w:sz w:val="18"/>
                <w:szCs w:val="18"/>
              </w:rPr>
              <w:t>837.496</w:t>
            </w:r>
          </w:p>
        </w:tc>
        <w:tc>
          <w:tcPr>
            <w:tcW w:w="1721" w:type="dxa"/>
            <w:tcBorders>
              <w:top w:val="single" w:sz="4" w:space="0" w:color="auto"/>
              <w:bottom w:val="single" w:sz="4" w:space="0" w:color="auto"/>
            </w:tcBorders>
            <w:shd w:val="clear" w:color="auto" w:fill="A8CBEE" w:themeFill="accent2" w:themeFillTint="66"/>
            <w:noWrap/>
            <w:vAlign w:val="center"/>
          </w:tcPr>
          <w:p w:rsidR="00B76666" w:rsidRPr="00811B6D" w:rsidRDefault="00B76666" w:rsidP="00F57CFF">
            <w:pPr>
              <w:pStyle w:val="cuatexto"/>
              <w:jc w:val="right"/>
              <w:rPr>
                <w:rFonts w:ascii="Arial" w:hAnsi="Arial" w:cs="Arial"/>
                <w:sz w:val="18"/>
                <w:szCs w:val="18"/>
              </w:rPr>
            </w:pPr>
            <w:r w:rsidRPr="00811B6D">
              <w:rPr>
                <w:rFonts w:ascii="Arial" w:hAnsi="Arial" w:cs="Arial"/>
                <w:sz w:val="18"/>
                <w:szCs w:val="18"/>
              </w:rPr>
              <w:t>0</w:t>
            </w:r>
          </w:p>
        </w:tc>
      </w:tr>
    </w:tbl>
    <w:p w:rsidR="00B26488" w:rsidRPr="003079B4" w:rsidRDefault="00B26488" w:rsidP="00A67E1B">
      <w:pPr>
        <w:pStyle w:val="texto"/>
        <w:spacing w:before="300"/>
        <w:rPr>
          <w:lang w:val="es-ES"/>
        </w:rPr>
      </w:pPr>
      <w:r w:rsidRPr="00B523BA">
        <w:rPr>
          <w:lang w:val="es-ES"/>
        </w:rPr>
        <w:t xml:space="preserve">El saldo global de 2015, prácticamente no experimenta variación respecto al ejercicio anterior, tres millones de aumento. </w:t>
      </w:r>
      <w:r w:rsidRPr="003079B4">
        <w:rPr>
          <w:lang w:val="es-ES"/>
        </w:rPr>
        <w:t xml:space="preserve">Destaca el incremento de deudores </w:t>
      </w:r>
      <w:r w:rsidR="00E2074D" w:rsidRPr="003079B4">
        <w:rPr>
          <w:lang w:val="es-ES"/>
        </w:rPr>
        <w:t>en</w:t>
      </w:r>
      <w:r w:rsidRPr="003079B4">
        <w:rPr>
          <w:lang w:val="es-ES"/>
        </w:rPr>
        <w:t xml:space="preserve"> departamentos, </w:t>
      </w:r>
      <w:r w:rsidR="00167B41" w:rsidRPr="003079B4">
        <w:rPr>
          <w:lang w:val="es-ES"/>
        </w:rPr>
        <w:t>de los que 30 millones proceden de deudas pendientes de cobro de ADIF por las obras del TAV.</w:t>
      </w:r>
      <w:r w:rsidRPr="003079B4">
        <w:rPr>
          <w:lang w:val="es-ES"/>
        </w:rPr>
        <w:t xml:space="preserve"> </w:t>
      </w:r>
    </w:p>
    <w:p w:rsidR="00B26488" w:rsidRDefault="007B0195" w:rsidP="00655C25">
      <w:pPr>
        <w:pStyle w:val="texto"/>
        <w:rPr>
          <w:lang w:val="es-ES"/>
        </w:rPr>
      </w:pPr>
      <w:r w:rsidRPr="006D43A7">
        <w:rPr>
          <w:lang w:val="es-ES"/>
        </w:rPr>
        <w:t>Los deudores presupuestarios corresponden</w:t>
      </w:r>
      <w:r>
        <w:rPr>
          <w:lang w:val="es-ES"/>
        </w:rPr>
        <w:t xml:space="preserve">, </w:t>
      </w:r>
      <w:r w:rsidRPr="00F83C73">
        <w:rPr>
          <w:lang w:val="es-ES"/>
        </w:rPr>
        <w:t>básicamente</w:t>
      </w:r>
      <w:r>
        <w:rPr>
          <w:lang w:val="es-ES"/>
        </w:rPr>
        <w:t>,</w:t>
      </w:r>
      <w:r w:rsidRPr="006D43A7">
        <w:rPr>
          <w:lang w:val="es-ES"/>
        </w:rPr>
        <w:t xml:space="preserve"> a deudores tributarios en </w:t>
      </w:r>
      <w:r>
        <w:rPr>
          <w:lang w:val="es-ES"/>
        </w:rPr>
        <w:t>distintas situaciones (</w:t>
      </w:r>
      <w:r w:rsidRPr="006D43A7">
        <w:rPr>
          <w:lang w:val="es-ES"/>
        </w:rPr>
        <w:t>gestión ordinaria, en vía de apremio</w:t>
      </w:r>
      <w:r>
        <w:rPr>
          <w:lang w:val="es-ES"/>
        </w:rPr>
        <w:t>,</w:t>
      </w:r>
      <w:r w:rsidRPr="006D43A7">
        <w:rPr>
          <w:lang w:val="es-ES"/>
        </w:rPr>
        <w:t xml:space="preserve"> con aplazamiento</w:t>
      </w:r>
      <w:r>
        <w:rPr>
          <w:lang w:val="es-ES"/>
        </w:rPr>
        <w:t xml:space="preserve"> u otras)</w:t>
      </w:r>
      <w:r w:rsidR="00933016" w:rsidRPr="003303C0">
        <w:rPr>
          <w:lang w:val="es-ES"/>
        </w:rPr>
        <w:t>.</w:t>
      </w:r>
      <w:r w:rsidR="00655C25">
        <w:rPr>
          <w:lang w:val="es-ES"/>
        </w:rPr>
        <w:t xml:space="preserve"> </w:t>
      </w:r>
      <w:r w:rsidR="00B26488" w:rsidRPr="003303C0">
        <w:rPr>
          <w:lang w:val="es-ES"/>
        </w:rPr>
        <w:t>La gestión de la liquidación, recaudación y devolución de los tributos y de algunos otros ingresos de derecho público, tales como intereses y recargos, se realiza a través de la aplicación informática de</w:t>
      </w:r>
      <w:r w:rsidR="00933016" w:rsidRPr="003303C0">
        <w:rPr>
          <w:lang w:val="es-ES"/>
        </w:rPr>
        <w:t>l CAT</w:t>
      </w:r>
      <w:r w:rsidR="00B26488" w:rsidRPr="003303C0">
        <w:rPr>
          <w:lang w:val="es-ES"/>
        </w:rPr>
        <w:t>, cuya información se traspasa</w:t>
      </w:r>
      <w:r w:rsidR="003303C0" w:rsidRPr="003303C0">
        <w:rPr>
          <w:lang w:val="es-ES"/>
        </w:rPr>
        <w:t xml:space="preserve"> a la aplicación </w:t>
      </w:r>
      <w:r w:rsidR="00B26488" w:rsidRPr="003303C0">
        <w:rPr>
          <w:lang w:val="es-ES"/>
        </w:rPr>
        <w:t>contabilidad G</w:t>
      </w:r>
      <w:r w:rsidR="003303C0" w:rsidRPr="003303C0">
        <w:rPr>
          <w:lang w:val="es-ES"/>
        </w:rPr>
        <w:t>E</w:t>
      </w:r>
      <w:r w:rsidR="00CD6468">
        <w:rPr>
          <w:lang w:val="es-ES"/>
        </w:rPr>
        <w:t>´</w:t>
      </w:r>
      <w:r w:rsidR="003303C0" w:rsidRPr="003303C0">
        <w:rPr>
          <w:lang w:val="es-ES"/>
        </w:rPr>
        <w:t>21</w:t>
      </w:r>
      <w:r w:rsidR="00B26488" w:rsidRPr="003303C0">
        <w:rPr>
          <w:lang w:val="es-ES"/>
        </w:rPr>
        <w:t xml:space="preserve">. </w:t>
      </w:r>
    </w:p>
    <w:p w:rsidR="00592917" w:rsidRDefault="00262F79" w:rsidP="001E7B19">
      <w:pPr>
        <w:pStyle w:val="texto"/>
        <w:spacing w:after="0"/>
        <w:rPr>
          <w:lang w:val="es-ES"/>
        </w:rPr>
      </w:pPr>
      <w:r>
        <w:rPr>
          <w:lang w:val="es-ES"/>
        </w:rPr>
        <w:t xml:space="preserve">Dentro de deudores tributarios en gestión ordinaria, el 68 por ciento de su saldo se explica </w:t>
      </w:r>
      <w:r w:rsidR="00013752">
        <w:rPr>
          <w:lang w:val="es-ES"/>
        </w:rPr>
        <w:t>en</w:t>
      </w:r>
      <w:r>
        <w:rPr>
          <w:lang w:val="es-ES"/>
        </w:rPr>
        <w:t xml:space="preserve"> deudas derivadas de los impuestos más relevantes, tal como pu</w:t>
      </w:r>
      <w:r w:rsidR="00013752">
        <w:rPr>
          <w:lang w:val="es-ES"/>
        </w:rPr>
        <w:t>e</w:t>
      </w:r>
      <w:r>
        <w:rPr>
          <w:lang w:val="es-ES"/>
        </w:rPr>
        <w:t xml:space="preserve">de observarse en el cuadro siguiente: </w:t>
      </w:r>
    </w:p>
    <w:p w:rsidR="00A67E1B" w:rsidRPr="00846EDC" w:rsidRDefault="00465B76" w:rsidP="00A67E1B">
      <w:pPr>
        <w:pStyle w:val="recomen"/>
        <w:numPr>
          <w:ilvl w:val="0"/>
          <w:numId w:val="0"/>
        </w:numPr>
        <w:spacing w:after="40"/>
        <w:ind w:left="1588"/>
        <w:jc w:val="right"/>
        <w:rPr>
          <w:rFonts w:ascii="Arial Narrow" w:hAnsi="Arial Narrow"/>
          <w:i w:val="0"/>
          <w:sz w:val="18"/>
          <w:szCs w:val="18"/>
        </w:rPr>
      </w:pPr>
      <w:r w:rsidRPr="00846EDC">
        <w:rPr>
          <w:rFonts w:ascii="Arial Narrow" w:hAnsi="Arial Narrow"/>
          <w:i w:val="0"/>
          <w:sz w:val="18"/>
          <w:szCs w:val="18"/>
        </w:rPr>
        <w:t>Miles</w:t>
      </w:r>
      <w:r w:rsidR="00A67E1B" w:rsidRPr="00846EDC">
        <w:rPr>
          <w:rFonts w:ascii="Arial Narrow" w:hAnsi="Arial Narrow"/>
          <w:i w:val="0"/>
          <w:sz w:val="18"/>
          <w:szCs w:val="18"/>
        </w:rPr>
        <w:t xml:space="preserve"> de euros</w:t>
      </w:r>
    </w:p>
    <w:tbl>
      <w:tblPr>
        <w:tblW w:w="8720" w:type="dxa"/>
        <w:jc w:val="center"/>
        <w:tblCellMar>
          <w:left w:w="70" w:type="dxa"/>
          <w:right w:w="70" w:type="dxa"/>
        </w:tblCellMar>
        <w:tblLook w:val="04A0" w:firstRow="1" w:lastRow="0" w:firstColumn="1" w:lastColumn="0" w:noHBand="0" w:noVBand="1"/>
      </w:tblPr>
      <w:tblGrid>
        <w:gridCol w:w="7019"/>
        <w:gridCol w:w="1701"/>
      </w:tblGrid>
      <w:tr w:rsidR="00013752" w:rsidRPr="00013752" w:rsidTr="00811B6D">
        <w:trPr>
          <w:trHeight w:val="284"/>
          <w:jc w:val="center"/>
        </w:trPr>
        <w:tc>
          <w:tcPr>
            <w:tcW w:w="7019" w:type="dxa"/>
            <w:tcBorders>
              <w:top w:val="single" w:sz="4" w:space="0" w:color="auto"/>
              <w:bottom w:val="single" w:sz="4" w:space="0" w:color="auto"/>
            </w:tcBorders>
            <w:shd w:val="clear" w:color="auto" w:fill="A8CBEE" w:themeFill="accent2" w:themeFillTint="66"/>
            <w:noWrap/>
            <w:vAlign w:val="center"/>
            <w:hideMark/>
          </w:tcPr>
          <w:p w:rsidR="00013752" w:rsidRPr="00013752" w:rsidRDefault="00013752" w:rsidP="00013752">
            <w:pPr>
              <w:pStyle w:val="cuadroCabe"/>
              <w:jc w:val="left"/>
            </w:pPr>
            <w:r w:rsidRPr="00013752">
              <w:t>Deudores en gestión ordinaria</w:t>
            </w:r>
          </w:p>
        </w:tc>
        <w:tc>
          <w:tcPr>
            <w:tcW w:w="1701" w:type="dxa"/>
            <w:tcBorders>
              <w:top w:val="single" w:sz="4" w:space="0" w:color="auto"/>
              <w:bottom w:val="single" w:sz="4" w:space="0" w:color="auto"/>
            </w:tcBorders>
            <w:shd w:val="clear" w:color="auto" w:fill="A8CBEE" w:themeFill="accent2" w:themeFillTint="66"/>
            <w:noWrap/>
            <w:vAlign w:val="center"/>
            <w:hideMark/>
          </w:tcPr>
          <w:p w:rsidR="00013752" w:rsidRPr="00013752" w:rsidRDefault="00013752" w:rsidP="00811B6D">
            <w:pPr>
              <w:pStyle w:val="cuadroCabe"/>
              <w:jc w:val="right"/>
            </w:pPr>
            <w:r w:rsidRPr="00013752">
              <w:t>2015</w:t>
            </w:r>
          </w:p>
        </w:tc>
      </w:tr>
      <w:tr w:rsidR="00013752" w:rsidRPr="00013752" w:rsidTr="00811B6D">
        <w:trPr>
          <w:trHeight w:val="284"/>
          <w:jc w:val="center"/>
        </w:trPr>
        <w:tc>
          <w:tcPr>
            <w:tcW w:w="7019" w:type="dxa"/>
            <w:tcBorders>
              <w:top w:val="single" w:sz="4" w:space="0" w:color="auto"/>
              <w:bottom w:val="single" w:sz="2" w:space="0" w:color="auto"/>
            </w:tcBorders>
            <w:shd w:val="clear" w:color="auto" w:fill="auto"/>
            <w:noWrap/>
            <w:vAlign w:val="center"/>
            <w:hideMark/>
          </w:tcPr>
          <w:p w:rsidR="00013752" w:rsidRPr="00013752" w:rsidRDefault="00013752" w:rsidP="00013752">
            <w:pPr>
              <w:pStyle w:val="cuatexto"/>
              <w:jc w:val="left"/>
              <w:rPr>
                <w:szCs w:val="20"/>
              </w:rPr>
            </w:pPr>
            <w:r w:rsidRPr="00013752">
              <w:rPr>
                <w:szCs w:val="20"/>
              </w:rPr>
              <w:t>Impuesto sobre la renta</w:t>
            </w:r>
          </w:p>
        </w:tc>
        <w:tc>
          <w:tcPr>
            <w:tcW w:w="1701" w:type="dxa"/>
            <w:tcBorders>
              <w:top w:val="single" w:sz="4" w:space="0" w:color="auto"/>
              <w:bottom w:val="single" w:sz="2" w:space="0" w:color="auto"/>
            </w:tcBorders>
            <w:shd w:val="clear" w:color="auto" w:fill="auto"/>
            <w:noWrap/>
            <w:vAlign w:val="center"/>
            <w:hideMark/>
          </w:tcPr>
          <w:p w:rsidR="00013752" w:rsidRPr="00013752" w:rsidRDefault="00013752" w:rsidP="00013752">
            <w:pPr>
              <w:pStyle w:val="cuatexto"/>
              <w:jc w:val="right"/>
              <w:rPr>
                <w:szCs w:val="20"/>
              </w:rPr>
            </w:pPr>
            <w:r w:rsidRPr="00013752">
              <w:rPr>
                <w:szCs w:val="20"/>
              </w:rPr>
              <w:t>16.469</w:t>
            </w:r>
          </w:p>
        </w:tc>
      </w:tr>
      <w:tr w:rsidR="00013752" w:rsidRPr="00013752" w:rsidTr="00811B6D">
        <w:trPr>
          <w:trHeight w:val="284"/>
          <w:jc w:val="center"/>
        </w:trPr>
        <w:tc>
          <w:tcPr>
            <w:tcW w:w="7019" w:type="dxa"/>
            <w:tcBorders>
              <w:top w:val="single" w:sz="2" w:space="0" w:color="auto"/>
              <w:bottom w:val="single" w:sz="2" w:space="0" w:color="auto"/>
            </w:tcBorders>
            <w:shd w:val="clear" w:color="auto" w:fill="auto"/>
            <w:noWrap/>
            <w:vAlign w:val="center"/>
            <w:hideMark/>
          </w:tcPr>
          <w:p w:rsidR="00013752" w:rsidRPr="00013752" w:rsidRDefault="00013752" w:rsidP="00013752">
            <w:pPr>
              <w:pStyle w:val="cuatexto"/>
              <w:jc w:val="left"/>
              <w:rPr>
                <w:szCs w:val="20"/>
              </w:rPr>
            </w:pPr>
            <w:r w:rsidRPr="00013752">
              <w:rPr>
                <w:szCs w:val="20"/>
              </w:rPr>
              <w:t>Impuesto sobre sociedades</w:t>
            </w:r>
          </w:p>
        </w:tc>
        <w:tc>
          <w:tcPr>
            <w:tcW w:w="1701" w:type="dxa"/>
            <w:tcBorders>
              <w:top w:val="single" w:sz="2" w:space="0" w:color="auto"/>
              <w:bottom w:val="single" w:sz="2" w:space="0" w:color="auto"/>
            </w:tcBorders>
            <w:shd w:val="clear" w:color="auto" w:fill="auto"/>
            <w:noWrap/>
            <w:vAlign w:val="center"/>
            <w:hideMark/>
          </w:tcPr>
          <w:p w:rsidR="00013752" w:rsidRPr="00013752" w:rsidRDefault="00013752" w:rsidP="00013752">
            <w:pPr>
              <w:pStyle w:val="cuatexto"/>
              <w:jc w:val="right"/>
              <w:rPr>
                <w:szCs w:val="20"/>
              </w:rPr>
            </w:pPr>
            <w:r w:rsidRPr="00013752">
              <w:rPr>
                <w:szCs w:val="20"/>
              </w:rPr>
              <w:t>11.992</w:t>
            </w:r>
          </w:p>
        </w:tc>
      </w:tr>
      <w:tr w:rsidR="00013752" w:rsidRPr="00013752" w:rsidTr="00811B6D">
        <w:trPr>
          <w:trHeight w:val="284"/>
          <w:jc w:val="center"/>
        </w:trPr>
        <w:tc>
          <w:tcPr>
            <w:tcW w:w="7019" w:type="dxa"/>
            <w:tcBorders>
              <w:top w:val="single" w:sz="2" w:space="0" w:color="auto"/>
              <w:bottom w:val="single" w:sz="4" w:space="0" w:color="auto"/>
            </w:tcBorders>
            <w:shd w:val="clear" w:color="auto" w:fill="auto"/>
            <w:noWrap/>
            <w:vAlign w:val="center"/>
            <w:hideMark/>
          </w:tcPr>
          <w:p w:rsidR="00013752" w:rsidRPr="00013752" w:rsidRDefault="00013752" w:rsidP="00013752">
            <w:pPr>
              <w:pStyle w:val="cuatexto"/>
              <w:jc w:val="left"/>
              <w:rPr>
                <w:szCs w:val="20"/>
              </w:rPr>
            </w:pPr>
            <w:r w:rsidRPr="00013752">
              <w:rPr>
                <w:szCs w:val="20"/>
              </w:rPr>
              <w:t>Impuesto sobre el valor añadido</w:t>
            </w:r>
          </w:p>
        </w:tc>
        <w:tc>
          <w:tcPr>
            <w:tcW w:w="1701" w:type="dxa"/>
            <w:tcBorders>
              <w:top w:val="single" w:sz="2" w:space="0" w:color="auto"/>
              <w:bottom w:val="single" w:sz="4" w:space="0" w:color="auto"/>
            </w:tcBorders>
            <w:shd w:val="clear" w:color="auto" w:fill="auto"/>
            <w:noWrap/>
            <w:vAlign w:val="center"/>
            <w:hideMark/>
          </w:tcPr>
          <w:p w:rsidR="00013752" w:rsidRPr="00013752" w:rsidRDefault="00013752" w:rsidP="00013752">
            <w:pPr>
              <w:pStyle w:val="cuatexto"/>
              <w:jc w:val="right"/>
              <w:rPr>
                <w:szCs w:val="20"/>
              </w:rPr>
            </w:pPr>
            <w:r w:rsidRPr="00013752">
              <w:rPr>
                <w:szCs w:val="20"/>
              </w:rPr>
              <w:t>44.469</w:t>
            </w:r>
          </w:p>
        </w:tc>
      </w:tr>
    </w:tbl>
    <w:p w:rsidR="00934343" w:rsidRDefault="009F12A5" w:rsidP="001E7B19">
      <w:pPr>
        <w:pStyle w:val="texto"/>
        <w:spacing w:before="240"/>
        <w:rPr>
          <w:lang w:val="es-ES"/>
        </w:rPr>
      </w:pPr>
      <w:r>
        <w:rPr>
          <w:lang w:val="es-ES"/>
        </w:rPr>
        <w:t>L</w:t>
      </w:r>
      <w:r w:rsidR="00075A0F">
        <w:rPr>
          <w:lang w:val="es-ES"/>
        </w:rPr>
        <w:t>os</w:t>
      </w:r>
      <w:r>
        <w:rPr>
          <w:lang w:val="es-ES"/>
        </w:rPr>
        <w:t xml:space="preserve"> deudores por aplazamiento presentan, en 2015, un saldo de 163,76 millones, un cinco por ciento inferior al del ejercicio anterior. </w:t>
      </w:r>
    </w:p>
    <w:p w:rsidR="00A67E1B" w:rsidRDefault="009F12A5" w:rsidP="001E7B19">
      <w:pPr>
        <w:pStyle w:val="texto"/>
        <w:spacing w:after="0"/>
        <w:rPr>
          <w:lang w:val="es-ES"/>
        </w:rPr>
      </w:pPr>
      <w:r>
        <w:rPr>
          <w:lang w:val="es-ES"/>
        </w:rPr>
        <w:t>En el cuadro siguiente se desglosan los mismos en función de su situación y del vencimiento de los plazos</w:t>
      </w:r>
      <w:r w:rsidR="007C314F">
        <w:rPr>
          <w:lang w:val="es-ES"/>
        </w:rPr>
        <w:t>:</w:t>
      </w:r>
    </w:p>
    <w:p w:rsidR="00A67E1B" w:rsidRPr="00846EDC" w:rsidRDefault="00465B76" w:rsidP="00A67E1B">
      <w:pPr>
        <w:pStyle w:val="recomen"/>
        <w:numPr>
          <w:ilvl w:val="0"/>
          <w:numId w:val="0"/>
        </w:numPr>
        <w:spacing w:after="40"/>
        <w:ind w:left="1588"/>
        <w:jc w:val="right"/>
        <w:rPr>
          <w:rFonts w:ascii="Arial Narrow" w:hAnsi="Arial Narrow"/>
          <w:i w:val="0"/>
          <w:sz w:val="18"/>
          <w:szCs w:val="18"/>
        </w:rPr>
      </w:pPr>
      <w:r w:rsidRPr="00846EDC">
        <w:rPr>
          <w:rFonts w:ascii="Arial Narrow" w:hAnsi="Arial Narrow"/>
          <w:i w:val="0"/>
          <w:sz w:val="18"/>
          <w:szCs w:val="18"/>
        </w:rPr>
        <w:t>Miles</w:t>
      </w:r>
      <w:r w:rsidR="00A67E1B" w:rsidRPr="00846EDC">
        <w:rPr>
          <w:rFonts w:ascii="Arial Narrow" w:hAnsi="Arial Narrow"/>
          <w:i w:val="0"/>
          <w:sz w:val="18"/>
          <w:szCs w:val="18"/>
        </w:rPr>
        <w:t xml:space="preserve"> de euros</w:t>
      </w:r>
    </w:p>
    <w:tbl>
      <w:tblPr>
        <w:tblW w:w="8744" w:type="dxa"/>
        <w:jc w:val="center"/>
        <w:tblCellMar>
          <w:left w:w="70" w:type="dxa"/>
          <w:right w:w="70" w:type="dxa"/>
        </w:tblCellMar>
        <w:tblLook w:val="0000" w:firstRow="0" w:lastRow="0" w:firstColumn="0" w:lastColumn="0" w:noHBand="0" w:noVBand="0"/>
      </w:tblPr>
      <w:tblGrid>
        <w:gridCol w:w="2672"/>
        <w:gridCol w:w="1275"/>
        <w:gridCol w:w="1276"/>
        <w:gridCol w:w="1559"/>
        <w:gridCol w:w="1962"/>
      </w:tblGrid>
      <w:tr w:rsidR="009F12A5" w:rsidRPr="00E45B54" w:rsidTr="00811B6D">
        <w:trPr>
          <w:trHeight w:val="284"/>
          <w:jc w:val="center"/>
        </w:trPr>
        <w:tc>
          <w:tcPr>
            <w:tcW w:w="2672" w:type="dxa"/>
            <w:tcBorders>
              <w:top w:val="single" w:sz="4" w:space="0" w:color="auto"/>
              <w:bottom w:val="single" w:sz="4" w:space="0" w:color="auto"/>
            </w:tcBorders>
            <w:shd w:val="clear" w:color="auto" w:fill="A8CBEE" w:themeFill="accent2" w:themeFillTint="66"/>
            <w:noWrap/>
            <w:vAlign w:val="center"/>
          </w:tcPr>
          <w:p w:rsidR="009F12A5" w:rsidRPr="00C57014" w:rsidRDefault="009F12A5" w:rsidP="0080028B">
            <w:pPr>
              <w:pStyle w:val="cuadroCabe"/>
              <w:jc w:val="left"/>
            </w:pPr>
            <w:r>
              <w:t>Deudores con aplazamiento</w:t>
            </w:r>
          </w:p>
        </w:tc>
        <w:tc>
          <w:tcPr>
            <w:tcW w:w="1275" w:type="dxa"/>
            <w:tcBorders>
              <w:top w:val="single" w:sz="4" w:space="0" w:color="auto"/>
              <w:bottom w:val="single" w:sz="4" w:space="0" w:color="auto"/>
            </w:tcBorders>
            <w:shd w:val="clear" w:color="auto" w:fill="A8CBEE" w:themeFill="accent2" w:themeFillTint="66"/>
            <w:vAlign w:val="center"/>
          </w:tcPr>
          <w:p w:rsidR="007D3BC3" w:rsidRDefault="009F12A5" w:rsidP="007D3BC3">
            <w:pPr>
              <w:pStyle w:val="cuadroCabe"/>
              <w:jc w:val="right"/>
            </w:pPr>
            <w:r>
              <w:t xml:space="preserve">Saldo a </w:t>
            </w:r>
          </w:p>
          <w:p w:rsidR="009F12A5" w:rsidRPr="002F0012" w:rsidRDefault="009F12A5" w:rsidP="007D3BC3">
            <w:pPr>
              <w:pStyle w:val="cuadroCabe"/>
              <w:jc w:val="right"/>
            </w:pPr>
            <w:r>
              <w:t>31</w:t>
            </w:r>
            <w:r w:rsidR="007D3BC3">
              <w:t>-</w:t>
            </w:r>
            <w:r>
              <w:t>XII</w:t>
            </w:r>
            <w:r w:rsidR="007D3BC3">
              <w:t>-</w:t>
            </w:r>
            <w:r>
              <w:t>2015</w:t>
            </w:r>
          </w:p>
        </w:tc>
        <w:tc>
          <w:tcPr>
            <w:tcW w:w="1276" w:type="dxa"/>
            <w:tcBorders>
              <w:top w:val="single" w:sz="4" w:space="0" w:color="auto"/>
              <w:bottom w:val="single" w:sz="4" w:space="0" w:color="auto"/>
            </w:tcBorders>
            <w:shd w:val="clear" w:color="auto" w:fill="A8CBEE" w:themeFill="accent2" w:themeFillTint="66"/>
            <w:vAlign w:val="center"/>
          </w:tcPr>
          <w:p w:rsidR="009F12A5" w:rsidRPr="002F0012" w:rsidRDefault="009F12A5" w:rsidP="00811B6D">
            <w:pPr>
              <w:pStyle w:val="cuadroCabe"/>
              <w:jc w:val="right"/>
            </w:pPr>
            <w:r>
              <w:t>Importe plazos vencidos</w:t>
            </w:r>
          </w:p>
        </w:tc>
        <w:tc>
          <w:tcPr>
            <w:tcW w:w="1559" w:type="dxa"/>
            <w:tcBorders>
              <w:top w:val="single" w:sz="4" w:space="0" w:color="auto"/>
              <w:bottom w:val="single" w:sz="4" w:space="0" w:color="auto"/>
            </w:tcBorders>
            <w:shd w:val="clear" w:color="auto" w:fill="A8CBEE" w:themeFill="accent2" w:themeFillTint="66"/>
            <w:vAlign w:val="center"/>
          </w:tcPr>
          <w:p w:rsidR="009F12A5" w:rsidRPr="00C57014" w:rsidRDefault="009F12A5" w:rsidP="00811B6D">
            <w:pPr>
              <w:pStyle w:val="cuadroCabe"/>
              <w:jc w:val="right"/>
            </w:pPr>
            <w:r>
              <w:t>Importe plazos no vencidos</w:t>
            </w:r>
          </w:p>
        </w:tc>
        <w:tc>
          <w:tcPr>
            <w:tcW w:w="1962" w:type="dxa"/>
            <w:tcBorders>
              <w:top w:val="single" w:sz="4" w:space="0" w:color="auto"/>
              <w:bottom w:val="single" w:sz="4" w:space="0" w:color="auto"/>
            </w:tcBorders>
            <w:shd w:val="clear" w:color="auto" w:fill="A8CBEE" w:themeFill="accent2" w:themeFillTint="66"/>
            <w:vAlign w:val="center"/>
          </w:tcPr>
          <w:p w:rsidR="00811B6D" w:rsidRDefault="00811B6D" w:rsidP="00811B6D">
            <w:pPr>
              <w:pStyle w:val="cuadroCabe"/>
              <w:jc w:val="right"/>
            </w:pPr>
            <w:r>
              <w:t>Importe plazos</w:t>
            </w:r>
          </w:p>
          <w:p w:rsidR="009F12A5" w:rsidRPr="00C57014" w:rsidRDefault="00811B6D" w:rsidP="00811B6D">
            <w:pPr>
              <w:pStyle w:val="cuadroCabe"/>
              <w:jc w:val="right"/>
            </w:pPr>
            <w:r>
              <w:t>Vencto.</w:t>
            </w:r>
            <w:r w:rsidR="009F12A5">
              <w:t xml:space="preserve"> corto plazo</w:t>
            </w:r>
          </w:p>
        </w:tc>
      </w:tr>
      <w:tr w:rsidR="009F12A5" w:rsidRPr="00C57014" w:rsidTr="00811B6D">
        <w:trPr>
          <w:trHeight w:val="284"/>
          <w:jc w:val="center"/>
        </w:trPr>
        <w:tc>
          <w:tcPr>
            <w:tcW w:w="2672" w:type="dxa"/>
            <w:tcBorders>
              <w:top w:val="single" w:sz="4" w:space="0" w:color="auto"/>
              <w:bottom w:val="single" w:sz="2" w:space="0" w:color="auto"/>
            </w:tcBorders>
            <w:noWrap/>
            <w:vAlign w:val="center"/>
          </w:tcPr>
          <w:p w:rsidR="009F12A5" w:rsidRPr="00C57014" w:rsidRDefault="009F12A5" w:rsidP="0080028B">
            <w:pPr>
              <w:pStyle w:val="cuatexto"/>
              <w:jc w:val="left"/>
              <w:rPr>
                <w:szCs w:val="20"/>
              </w:rPr>
            </w:pPr>
            <w:r>
              <w:rPr>
                <w:szCs w:val="20"/>
              </w:rPr>
              <w:t>En gestión ordinaria</w:t>
            </w:r>
          </w:p>
        </w:tc>
        <w:tc>
          <w:tcPr>
            <w:tcW w:w="1275" w:type="dxa"/>
            <w:tcBorders>
              <w:top w:val="single" w:sz="4" w:space="0" w:color="auto"/>
              <w:bottom w:val="single" w:sz="2" w:space="0" w:color="auto"/>
            </w:tcBorders>
            <w:noWrap/>
            <w:vAlign w:val="center"/>
          </w:tcPr>
          <w:p w:rsidR="009F12A5" w:rsidRPr="009F12A5" w:rsidRDefault="009F12A5" w:rsidP="00811B6D">
            <w:pPr>
              <w:pStyle w:val="cuatexto"/>
              <w:jc w:val="right"/>
              <w:rPr>
                <w:szCs w:val="20"/>
              </w:rPr>
            </w:pPr>
            <w:r w:rsidRPr="009F12A5">
              <w:rPr>
                <w:szCs w:val="20"/>
              </w:rPr>
              <w:t>144.48</w:t>
            </w:r>
            <w:r w:rsidR="007C314F">
              <w:rPr>
                <w:szCs w:val="20"/>
              </w:rPr>
              <w:t>0</w:t>
            </w:r>
          </w:p>
        </w:tc>
        <w:tc>
          <w:tcPr>
            <w:tcW w:w="1276" w:type="dxa"/>
            <w:tcBorders>
              <w:top w:val="single" w:sz="4" w:space="0" w:color="auto"/>
              <w:bottom w:val="single" w:sz="2" w:space="0" w:color="auto"/>
            </w:tcBorders>
            <w:noWrap/>
            <w:vAlign w:val="center"/>
          </w:tcPr>
          <w:p w:rsidR="009F12A5" w:rsidRPr="009F12A5" w:rsidRDefault="009F12A5" w:rsidP="00811B6D">
            <w:pPr>
              <w:pStyle w:val="cuatexto"/>
              <w:jc w:val="right"/>
              <w:rPr>
                <w:szCs w:val="20"/>
              </w:rPr>
            </w:pPr>
            <w:r w:rsidRPr="009F12A5">
              <w:rPr>
                <w:szCs w:val="20"/>
              </w:rPr>
              <w:t>1.43</w:t>
            </w:r>
            <w:r w:rsidR="007C314F">
              <w:rPr>
                <w:szCs w:val="20"/>
              </w:rPr>
              <w:t>9</w:t>
            </w:r>
          </w:p>
        </w:tc>
        <w:tc>
          <w:tcPr>
            <w:tcW w:w="1559" w:type="dxa"/>
            <w:tcBorders>
              <w:top w:val="single" w:sz="4" w:space="0" w:color="auto"/>
              <w:bottom w:val="single" w:sz="2" w:space="0" w:color="auto"/>
            </w:tcBorders>
            <w:noWrap/>
            <w:vAlign w:val="center"/>
          </w:tcPr>
          <w:p w:rsidR="009F12A5" w:rsidRPr="009F12A5" w:rsidRDefault="009F12A5" w:rsidP="00811B6D">
            <w:pPr>
              <w:pStyle w:val="cuatexto"/>
              <w:jc w:val="right"/>
              <w:rPr>
                <w:szCs w:val="20"/>
              </w:rPr>
            </w:pPr>
            <w:r w:rsidRPr="009F12A5">
              <w:rPr>
                <w:szCs w:val="20"/>
              </w:rPr>
              <w:t>143.042</w:t>
            </w:r>
          </w:p>
        </w:tc>
        <w:tc>
          <w:tcPr>
            <w:tcW w:w="1962" w:type="dxa"/>
            <w:tcBorders>
              <w:top w:val="single" w:sz="4" w:space="0" w:color="auto"/>
              <w:bottom w:val="single" w:sz="2" w:space="0" w:color="auto"/>
            </w:tcBorders>
            <w:vAlign w:val="center"/>
          </w:tcPr>
          <w:p w:rsidR="009F12A5" w:rsidRPr="009F12A5" w:rsidRDefault="009F12A5" w:rsidP="00811B6D">
            <w:pPr>
              <w:pStyle w:val="cuatexto"/>
              <w:jc w:val="right"/>
              <w:rPr>
                <w:szCs w:val="20"/>
              </w:rPr>
            </w:pPr>
            <w:r w:rsidRPr="009F12A5">
              <w:rPr>
                <w:szCs w:val="20"/>
              </w:rPr>
              <w:t>55.668</w:t>
            </w:r>
          </w:p>
        </w:tc>
      </w:tr>
      <w:tr w:rsidR="009F12A5" w:rsidRPr="00C57014" w:rsidTr="00811B6D">
        <w:trPr>
          <w:trHeight w:val="284"/>
          <w:jc w:val="center"/>
        </w:trPr>
        <w:tc>
          <w:tcPr>
            <w:tcW w:w="2672" w:type="dxa"/>
            <w:tcBorders>
              <w:top w:val="single" w:sz="2" w:space="0" w:color="auto"/>
              <w:bottom w:val="single" w:sz="2" w:space="0" w:color="auto"/>
            </w:tcBorders>
            <w:noWrap/>
            <w:vAlign w:val="center"/>
          </w:tcPr>
          <w:p w:rsidR="009F12A5" w:rsidRPr="00C57014" w:rsidRDefault="009F12A5" w:rsidP="0080028B">
            <w:pPr>
              <w:pStyle w:val="cuatexto"/>
              <w:jc w:val="left"/>
              <w:rPr>
                <w:szCs w:val="20"/>
              </w:rPr>
            </w:pPr>
            <w:r>
              <w:rPr>
                <w:szCs w:val="20"/>
              </w:rPr>
              <w:t>En vía de apremio</w:t>
            </w:r>
          </w:p>
        </w:tc>
        <w:tc>
          <w:tcPr>
            <w:tcW w:w="1275" w:type="dxa"/>
            <w:tcBorders>
              <w:top w:val="single" w:sz="2" w:space="0" w:color="auto"/>
              <w:bottom w:val="single" w:sz="2" w:space="0" w:color="auto"/>
            </w:tcBorders>
            <w:noWrap/>
            <w:vAlign w:val="center"/>
          </w:tcPr>
          <w:p w:rsidR="009F12A5" w:rsidRPr="009F12A5" w:rsidRDefault="009F12A5" w:rsidP="00811B6D">
            <w:pPr>
              <w:pStyle w:val="cuatexto"/>
              <w:jc w:val="right"/>
              <w:rPr>
                <w:szCs w:val="20"/>
              </w:rPr>
            </w:pPr>
            <w:r w:rsidRPr="009F12A5">
              <w:rPr>
                <w:szCs w:val="20"/>
              </w:rPr>
              <w:t>19.280</w:t>
            </w:r>
          </w:p>
        </w:tc>
        <w:tc>
          <w:tcPr>
            <w:tcW w:w="1276" w:type="dxa"/>
            <w:tcBorders>
              <w:top w:val="single" w:sz="2" w:space="0" w:color="auto"/>
              <w:bottom w:val="single" w:sz="2" w:space="0" w:color="auto"/>
            </w:tcBorders>
            <w:noWrap/>
            <w:vAlign w:val="center"/>
          </w:tcPr>
          <w:p w:rsidR="009F12A5" w:rsidRPr="009F12A5" w:rsidRDefault="009F12A5" w:rsidP="00811B6D">
            <w:pPr>
              <w:pStyle w:val="cuatexto"/>
              <w:jc w:val="right"/>
              <w:rPr>
                <w:szCs w:val="20"/>
              </w:rPr>
            </w:pPr>
            <w:r w:rsidRPr="009F12A5">
              <w:rPr>
                <w:szCs w:val="20"/>
              </w:rPr>
              <w:t>506</w:t>
            </w:r>
          </w:p>
        </w:tc>
        <w:tc>
          <w:tcPr>
            <w:tcW w:w="1559" w:type="dxa"/>
            <w:tcBorders>
              <w:top w:val="single" w:sz="2" w:space="0" w:color="auto"/>
              <w:bottom w:val="single" w:sz="2" w:space="0" w:color="auto"/>
            </w:tcBorders>
            <w:noWrap/>
            <w:vAlign w:val="center"/>
          </w:tcPr>
          <w:p w:rsidR="009F12A5" w:rsidRPr="009F12A5" w:rsidRDefault="009F12A5" w:rsidP="00811B6D">
            <w:pPr>
              <w:pStyle w:val="cuatexto"/>
              <w:jc w:val="right"/>
              <w:rPr>
                <w:szCs w:val="20"/>
              </w:rPr>
            </w:pPr>
            <w:r w:rsidRPr="009F12A5">
              <w:rPr>
                <w:szCs w:val="20"/>
              </w:rPr>
              <w:t>18.774</w:t>
            </w:r>
          </w:p>
        </w:tc>
        <w:tc>
          <w:tcPr>
            <w:tcW w:w="1962" w:type="dxa"/>
            <w:tcBorders>
              <w:top w:val="single" w:sz="2" w:space="0" w:color="auto"/>
              <w:bottom w:val="single" w:sz="2" w:space="0" w:color="auto"/>
            </w:tcBorders>
            <w:vAlign w:val="center"/>
          </w:tcPr>
          <w:p w:rsidR="009F12A5" w:rsidRPr="009F12A5" w:rsidRDefault="009F12A5" w:rsidP="00811B6D">
            <w:pPr>
              <w:pStyle w:val="cuatexto"/>
              <w:jc w:val="right"/>
              <w:rPr>
                <w:szCs w:val="20"/>
              </w:rPr>
            </w:pPr>
            <w:r w:rsidRPr="009F12A5">
              <w:rPr>
                <w:szCs w:val="20"/>
              </w:rPr>
              <w:t>19.280</w:t>
            </w:r>
          </w:p>
        </w:tc>
      </w:tr>
      <w:tr w:rsidR="009F12A5" w:rsidRPr="00811B6D" w:rsidTr="00811B6D">
        <w:trPr>
          <w:trHeight w:val="284"/>
          <w:jc w:val="center"/>
        </w:trPr>
        <w:tc>
          <w:tcPr>
            <w:tcW w:w="2672" w:type="dxa"/>
            <w:tcBorders>
              <w:top w:val="single" w:sz="4" w:space="0" w:color="auto"/>
              <w:bottom w:val="single" w:sz="4" w:space="0" w:color="auto"/>
            </w:tcBorders>
            <w:shd w:val="clear" w:color="auto" w:fill="A8CBEE" w:themeFill="accent2" w:themeFillTint="66"/>
            <w:noWrap/>
            <w:vAlign w:val="center"/>
          </w:tcPr>
          <w:p w:rsidR="009F12A5" w:rsidRPr="00811B6D" w:rsidRDefault="009F12A5" w:rsidP="0080028B">
            <w:pPr>
              <w:pStyle w:val="cuatexto"/>
              <w:jc w:val="left"/>
              <w:rPr>
                <w:rFonts w:ascii="Arial" w:hAnsi="Arial" w:cs="Arial"/>
                <w:sz w:val="18"/>
                <w:szCs w:val="18"/>
              </w:rPr>
            </w:pPr>
            <w:r w:rsidRPr="00811B6D">
              <w:rPr>
                <w:rFonts w:ascii="Arial" w:hAnsi="Arial" w:cs="Arial"/>
                <w:sz w:val="18"/>
                <w:szCs w:val="18"/>
              </w:rPr>
              <w:t>Total</w:t>
            </w:r>
          </w:p>
        </w:tc>
        <w:tc>
          <w:tcPr>
            <w:tcW w:w="1275" w:type="dxa"/>
            <w:tcBorders>
              <w:top w:val="single" w:sz="4" w:space="0" w:color="auto"/>
              <w:bottom w:val="single" w:sz="4" w:space="0" w:color="auto"/>
            </w:tcBorders>
            <w:shd w:val="clear" w:color="auto" w:fill="A8CBEE" w:themeFill="accent2" w:themeFillTint="66"/>
            <w:noWrap/>
            <w:vAlign w:val="center"/>
          </w:tcPr>
          <w:p w:rsidR="009F12A5" w:rsidRPr="00811B6D" w:rsidRDefault="009F12A5" w:rsidP="00811B6D">
            <w:pPr>
              <w:pStyle w:val="cuatexto"/>
              <w:jc w:val="right"/>
              <w:rPr>
                <w:rFonts w:ascii="Arial" w:hAnsi="Arial" w:cs="Arial"/>
                <w:sz w:val="18"/>
                <w:szCs w:val="18"/>
              </w:rPr>
            </w:pPr>
            <w:r w:rsidRPr="00811B6D">
              <w:rPr>
                <w:rFonts w:ascii="Arial" w:hAnsi="Arial" w:cs="Arial"/>
                <w:sz w:val="18"/>
                <w:szCs w:val="18"/>
              </w:rPr>
              <w:t>163.760</w:t>
            </w:r>
          </w:p>
        </w:tc>
        <w:tc>
          <w:tcPr>
            <w:tcW w:w="1276" w:type="dxa"/>
            <w:tcBorders>
              <w:top w:val="single" w:sz="4" w:space="0" w:color="auto"/>
              <w:bottom w:val="single" w:sz="4" w:space="0" w:color="auto"/>
            </w:tcBorders>
            <w:shd w:val="clear" w:color="auto" w:fill="A8CBEE" w:themeFill="accent2" w:themeFillTint="66"/>
            <w:noWrap/>
            <w:vAlign w:val="center"/>
          </w:tcPr>
          <w:p w:rsidR="009F12A5" w:rsidRPr="00811B6D" w:rsidRDefault="009F12A5" w:rsidP="00811B6D">
            <w:pPr>
              <w:pStyle w:val="cuatexto"/>
              <w:jc w:val="right"/>
              <w:rPr>
                <w:rFonts w:ascii="Arial" w:hAnsi="Arial" w:cs="Arial"/>
                <w:sz w:val="18"/>
                <w:szCs w:val="18"/>
              </w:rPr>
            </w:pPr>
            <w:r w:rsidRPr="00811B6D">
              <w:rPr>
                <w:rFonts w:ascii="Arial" w:hAnsi="Arial" w:cs="Arial"/>
                <w:sz w:val="18"/>
                <w:szCs w:val="18"/>
              </w:rPr>
              <w:t>1.945</w:t>
            </w:r>
          </w:p>
        </w:tc>
        <w:tc>
          <w:tcPr>
            <w:tcW w:w="1559" w:type="dxa"/>
            <w:tcBorders>
              <w:top w:val="single" w:sz="4" w:space="0" w:color="auto"/>
              <w:bottom w:val="single" w:sz="4" w:space="0" w:color="auto"/>
            </w:tcBorders>
            <w:shd w:val="clear" w:color="auto" w:fill="A8CBEE" w:themeFill="accent2" w:themeFillTint="66"/>
            <w:noWrap/>
            <w:vAlign w:val="center"/>
          </w:tcPr>
          <w:p w:rsidR="009F12A5" w:rsidRPr="00811B6D" w:rsidRDefault="009F12A5" w:rsidP="00811B6D">
            <w:pPr>
              <w:pStyle w:val="cuatexto"/>
              <w:jc w:val="right"/>
              <w:rPr>
                <w:rFonts w:ascii="Arial" w:hAnsi="Arial" w:cs="Arial"/>
                <w:sz w:val="18"/>
                <w:szCs w:val="18"/>
              </w:rPr>
            </w:pPr>
            <w:r w:rsidRPr="00811B6D">
              <w:rPr>
                <w:rFonts w:ascii="Arial" w:hAnsi="Arial" w:cs="Arial"/>
                <w:sz w:val="18"/>
                <w:szCs w:val="18"/>
              </w:rPr>
              <w:t>161.816</w:t>
            </w:r>
          </w:p>
        </w:tc>
        <w:tc>
          <w:tcPr>
            <w:tcW w:w="1962" w:type="dxa"/>
            <w:tcBorders>
              <w:top w:val="single" w:sz="4" w:space="0" w:color="auto"/>
              <w:bottom w:val="single" w:sz="4" w:space="0" w:color="auto"/>
            </w:tcBorders>
            <w:shd w:val="clear" w:color="auto" w:fill="A8CBEE" w:themeFill="accent2" w:themeFillTint="66"/>
            <w:vAlign w:val="center"/>
          </w:tcPr>
          <w:p w:rsidR="009F12A5" w:rsidRPr="00811B6D" w:rsidRDefault="009F12A5" w:rsidP="00811B6D">
            <w:pPr>
              <w:pStyle w:val="cuatexto"/>
              <w:jc w:val="right"/>
              <w:rPr>
                <w:rFonts w:ascii="Arial" w:hAnsi="Arial" w:cs="Arial"/>
                <w:sz w:val="18"/>
                <w:szCs w:val="18"/>
              </w:rPr>
            </w:pPr>
            <w:r w:rsidRPr="00811B6D">
              <w:rPr>
                <w:rFonts w:ascii="Arial" w:hAnsi="Arial" w:cs="Arial"/>
                <w:sz w:val="18"/>
                <w:szCs w:val="18"/>
              </w:rPr>
              <w:t>74.94</w:t>
            </w:r>
            <w:r w:rsidR="007C314F" w:rsidRPr="00811B6D">
              <w:rPr>
                <w:rFonts w:ascii="Arial" w:hAnsi="Arial" w:cs="Arial"/>
                <w:sz w:val="18"/>
                <w:szCs w:val="18"/>
              </w:rPr>
              <w:t>8</w:t>
            </w:r>
          </w:p>
        </w:tc>
      </w:tr>
    </w:tbl>
    <w:p w:rsidR="00F83C73" w:rsidRDefault="00CD6468" w:rsidP="00811B6D">
      <w:pPr>
        <w:pStyle w:val="texto"/>
        <w:spacing w:before="240"/>
        <w:rPr>
          <w:lang w:val="es-ES"/>
        </w:rPr>
      </w:pPr>
      <w:r>
        <w:rPr>
          <w:lang w:val="es-ES"/>
        </w:rPr>
        <w:t>En</w:t>
      </w:r>
      <w:r w:rsidR="00F83C73">
        <w:rPr>
          <w:lang w:val="es-ES"/>
        </w:rPr>
        <w:t xml:space="preserve"> 2015, señalamos por su peculiaridad y singularidad, la concesión de dos aplazamientos de deuda tributaria al Club Atlético Osasuna, en aplicación de la Ley Foral 26/2014, de reestructuración de su deuda tributaria con la Hacienda Foral. Estos aplazamientos reúnen las siguientes características:</w:t>
      </w:r>
    </w:p>
    <w:p w:rsidR="00F83C73" w:rsidRDefault="00F83C73" w:rsidP="000930A1">
      <w:pPr>
        <w:pStyle w:val="texto"/>
        <w:numPr>
          <w:ilvl w:val="0"/>
          <w:numId w:val="2"/>
        </w:numPr>
        <w:tabs>
          <w:tab w:val="clear" w:pos="1948"/>
          <w:tab w:val="clear" w:pos="2835"/>
          <w:tab w:val="clear" w:pos="3969"/>
          <w:tab w:val="clear" w:pos="5103"/>
          <w:tab w:val="clear" w:pos="6237"/>
          <w:tab w:val="clear" w:pos="7371"/>
          <w:tab w:val="num" w:pos="300"/>
          <w:tab w:val="left" w:pos="490"/>
          <w:tab w:val="num" w:pos="4920"/>
        </w:tabs>
        <w:ind w:left="0" w:firstLine="290"/>
        <w:rPr>
          <w:lang w:val="es-ES"/>
        </w:rPr>
      </w:pPr>
      <w:r>
        <w:rPr>
          <w:lang w:val="es-ES"/>
        </w:rPr>
        <w:t xml:space="preserve">Aplazamiento de 9,77 millones, como consecuencia de la diferencia entre la deuda tributaria del Club </w:t>
      </w:r>
      <w:r w:rsidR="00811B6D">
        <w:rPr>
          <w:lang w:val="es-ES"/>
        </w:rPr>
        <w:t>–</w:t>
      </w:r>
      <w:r>
        <w:rPr>
          <w:lang w:val="es-ES"/>
        </w:rPr>
        <w:t>52,82 millones</w:t>
      </w:r>
      <w:r w:rsidR="00811B6D">
        <w:rPr>
          <w:lang w:val="es-ES"/>
        </w:rPr>
        <w:t>–</w:t>
      </w:r>
      <w:r>
        <w:rPr>
          <w:lang w:val="es-ES"/>
        </w:rPr>
        <w:t xml:space="preserve"> y el valor de tasación de los bienes entregados</w:t>
      </w:r>
      <w:r w:rsidR="00B76666">
        <w:rPr>
          <w:lang w:val="es-ES"/>
        </w:rPr>
        <w:t xml:space="preserve"> por el mismo</w:t>
      </w:r>
      <w:r>
        <w:rPr>
          <w:lang w:val="es-ES"/>
        </w:rPr>
        <w:t xml:space="preserve"> como dación de pago </w:t>
      </w:r>
      <w:r w:rsidR="00811B6D">
        <w:rPr>
          <w:lang w:val="es-ES"/>
        </w:rPr>
        <w:t>–</w:t>
      </w:r>
      <w:r>
        <w:rPr>
          <w:lang w:val="es-ES"/>
        </w:rPr>
        <w:t>43,05 millones</w:t>
      </w:r>
      <w:r w:rsidR="00811B6D">
        <w:rPr>
          <w:lang w:val="es-ES"/>
        </w:rPr>
        <w:t>–</w:t>
      </w:r>
      <w:r>
        <w:rPr>
          <w:lang w:val="es-ES"/>
        </w:rPr>
        <w:t>.</w:t>
      </w:r>
    </w:p>
    <w:p w:rsidR="00F83C73" w:rsidRDefault="00F83C73" w:rsidP="000930A1">
      <w:pPr>
        <w:pStyle w:val="texto"/>
        <w:numPr>
          <w:ilvl w:val="0"/>
          <w:numId w:val="2"/>
        </w:numPr>
        <w:tabs>
          <w:tab w:val="clear" w:pos="1948"/>
          <w:tab w:val="clear" w:pos="2835"/>
          <w:tab w:val="clear" w:pos="3969"/>
          <w:tab w:val="clear" w:pos="5103"/>
          <w:tab w:val="clear" w:pos="6237"/>
          <w:tab w:val="clear" w:pos="7371"/>
          <w:tab w:val="num" w:pos="300"/>
          <w:tab w:val="left" w:pos="490"/>
          <w:tab w:val="num" w:pos="4920"/>
        </w:tabs>
        <w:ind w:left="0" w:firstLine="290"/>
        <w:rPr>
          <w:lang w:val="es-ES"/>
        </w:rPr>
      </w:pPr>
      <w:r>
        <w:rPr>
          <w:lang w:val="es-ES"/>
        </w:rPr>
        <w:t>Aplaz</w:t>
      </w:r>
      <w:r w:rsidR="000930A1">
        <w:rPr>
          <w:lang w:val="es-ES"/>
        </w:rPr>
        <w:t>a</w:t>
      </w:r>
      <w:r>
        <w:rPr>
          <w:lang w:val="es-ES"/>
        </w:rPr>
        <w:t>miento de 10,87 millones derivado del saldo pendiente</w:t>
      </w:r>
      <w:r w:rsidR="000930A1">
        <w:rPr>
          <w:lang w:val="es-ES"/>
        </w:rPr>
        <w:t xml:space="preserve"> de pago de las obligaciones contraídas contra terceros por el Club y que están garantizadas con </w:t>
      </w:r>
      <w:r w:rsidR="00B523BA">
        <w:rPr>
          <w:lang w:val="es-ES"/>
        </w:rPr>
        <w:t xml:space="preserve">parte de </w:t>
      </w:r>
      <w:r w:rsidR="000930A1">
        <w:rPr>
          <w:lang w:val="es-ES"/>
        </w:rPr>
        <w:t>los bienes entregados y con avales otorgados por la Comunidad Foral.</w:t>
      </w:r>
    </w:p>
    <w:p w:rsidR="000930A1" w:rsidRDefault="000930A1" w:rsidP="000930A1">
      <w:pPr>
        <w:pStyle w:val="texto"/>
        <w:numPr>
          <w:ilvl w:val="0"/>
          <w:numId w:val="2"/>
        </w:numPr>
        <w:tabs>
          <w:tab w:val="clear" w:pos="1948"/>
          <w:tab w:val="clear" w:pos="2835"/>
          <w:tab w:val="clear" w:pos="3969"/>
          <w:tab w:val="clear" w:pos="5103"/>
          <w:tab w:val="clear" w:pos="6237"/>
          <w:tab w:val="clear" w:pos="7371"/>
          <w:tab w:val="num" w:pos="300"/>
          <w:tab w:val="left" w:pos="490"/>
          <w:tab w:val="num" w:pos="4920"/>
        </w:tabs>
        <w:ind w:left="0" w:firstLine="290"/>
        <w:rPr>
          <w:lang w:val="es-ES"/>
        </w:rPr>
      </w:pPr>
      <w:r>
        <w:rPr>
          <w:lang w:val="es-ES"/>
        </w:rPr>
        <w:t>El plazo de ambos aplazamientos es de 30 años a contar desde el 1 de enero de 2015</w:t>
      </w:r>
      <w:r w:rsidR="007F7C02">
        <w:rPr>
          <w:lang w:val="es-ES"/>
        </w:rPr>
        <w:t xml:space="preserve"> –hasta enero de 2045</w:t>
      </w:r>
      <w:r w:rsidR="00811B6D">
        <w:rPr>
          <w:lang w:val="es-ES"/>
        </w:rPr>
        <w:t>–</w:t>
      </w:r>
      <w:r>
        <w:rPr>
          <w:lang w:val="es-ES"/>
        </w:rPr>
        <w:t>, otorgándose una moratoria de tres años sin intereses, salvo que el Club ascienda a primera división, en cuyo caso queda sin efecto tal moratoria.</w:t>
      </w:r>
      <w:r w:rsidR="00735287">
        <w:rPr>
          <w:lang w:val="es-ES"/>
        </w:rPr>
        <w:t xml:space="preserve"> Dado que el Club ha ascendido a 1ª división en junio de 2016, esta moratoria queda sin efecto. </w:t>
      </w:r>
    </w:p>
    <w:p w:rsidR="00013752" w:rsidRPr="00013752" w:rsidRDefault="000930A1" w:rsidP="001E7B19">
      <w:pPr>
        <w:pStyle w:val="texto"/>
        <w:numPr>
          <w:ilvl w:val="0"/>
          <w:numId w:val="2"/>
        </w:numPr>
        <w:tabs>
          <w:tab w:val="clear" w:pos="1948"/>
          <w:tab w:val="clear" w:pos="2835"/>
          <w:tab w:val="clear" w:pos="3969"/>
          <w:tab w:val="clear" w:pos="5103"/>
          <w:tab w:val="clear" w:pos="6237"/>
          <w:tab w:val="clear" w:pos="7371"/>
          <w:tab w:val="num" w:pos="300"/>
          <w:tab w:val="left" w:pos="490"/>
          <w:tab w:val="num" w:pos="4920"/>
        </w:tabs>
        <w:ind w:left="0" w:firstLine="289"/>
        <w:rPr>
          <w:lang w:val="es-ES"/>
        </w:rPr>
      </w:pPr>
      <w:r>
        <w:rPr>
          <w:lang w:val="es-ES"/>
        </w:rPr>
        <w:t>El primer aplazamiento, 9,77 millones, se gestionará de acuerd</w:t>
      </w:r>
      <w:r w:rsidR="00070183">
        <w:rPr>
          <w:lang w:val="es-ES"/>
        </w:rPr>
        <w:t xml:space="preserve">o con las normas generales reguladas en el reglamento de recaudación; </w:t>
      </w:r>
      <w:r w:rsidR="007F7C02">
        <w:rPr>
          <w:lang w:val="es-ES"/>
        </w:rPr>
        <w:t>se han precalcu</w:t>
      </w:r>
      <w:r w:rsidR="00322D28">
        <w:rPr>
          <w:lang w:val="es-ES"/>
        </w:rPr>
        <w:t>lado los intereses a fecha de vencimiento</w:t>
      </w:r>
      <w:r w:rsidR="007F7C02">
        <w:rPr>
          <w:lang w:val="es-ES"/>
        </w:rPr>
        <w:t xml:space="preserve"> </w:t>
      </w:r>
      <w:r w:rsidR="00322D28">
        <w:rPr>
          <w:lang w:val="es-ES"/>
        </w:rPr>
        <w:t>del</w:t>
      </w:r>
      <w:r w:rsidR="007F7C02">
        <w:rPr>
          <w:lang w:val="es-ES"/>
        </w:rPr>
        <w:t xml:space="preserve"> mismo que ascienden a un total de 10,40 millones</w:t>
      </w:r>
      <w:r w:rsidR="00393923">
        <w:rPr>
          <w:lang w:val="es-ES"/>
        </w:rPr>
        <w:t>.</w:t>
      </w:r>
      <w:r w:rsidR="007F7C02">
        <w:rPr>
          <w:lang w:val="es-ES"/>
        </w:rPr>
        <w:t xml:space="preserve"> R</w:t>
      </w:r>
      <w:r w:rsidR="00070183">
        <w:rPr>
          <w:lang w:val="es-ES"/>
        </w:rPr>
        <w:t>especto al segundo de los aplazamientos, si el citado Club incumple sus obligaciones con esos terceros, el importe correspondiente al quebranto patrimonial causado a la Hacienda Foral se exigirá por el procedimiento de apremio junto con los intereses de demora devengados.</w:t>
      </w:r>
    </w:p>
    <w:p w:rsidR="00971486" w:rsidRPr="00971486" w:rsidRDefault="00971486" w:rsidP="001E7B19">
      <w:pPr>
        <w:pStyle w:val="texto"/>
        <w:tabs>
          <w:tab w:val="num" w:pos="300"/>
        </w:tabs>
        <w:rPr>
          <w:lang w:val="es-ES"/>
        </w:rPr>
      </w:pPr>
      <w:r>
        <w:rPr>
          <w:lang w:val="es-ES"/>
        </w:rPr>
        <w:t>En relación con e</w:t>
      </w:r>
      <w:r w:rsidR="00A421D5">
        <w:rPr>
          <w:lang w:val="es-ES"/>
        </w:rPr>
        <w:t>se</w:t>
      </w:r>
      <w:r>
        <w:rPr>
          <w:lang w:val="es-ES"/>
        </w:rPr>
        <w:t xml:space="preserve"> primer aplazamiento, recordamos que la citada Ley Foral 26/2014, señalaba que</w:t>
      </w:r>
      <w:r w:rsidRPr="00971486">
        <w:rPr>
          <w:lang w:val="es-ES"/>
        </w:rPr>
        <w:t xml:space="preserve"> </w:t>
      </w:r>
      <w:r>
        <w:rPr>
          <w:lang w:val="es-ES"/>
        </w:rPr>
        <w:t>estaban afectados a su pago los siguientes ingresos del Club:</w:t>
      </w:r>
    </w:p>
    <w:p w:rsidR="00971486" w:rsidRPr="00971486" w:rsidRDefault="00971486" w:rsidP="00971486">
      <w:pPr>
        <w:pStyle w:val="texto"/>
        <w:rPr>
          <w:lang w:val="es-ES"/>
        </w:rPr>
      </w:pPr>
      <w:r>
        <w:rPr>
          <w:szCs w:val="26"/>
        </w:rPr>
        <w:t xml:space="preserve">a) </w:t>
      </w:r>
      <w:r w:rsidRPr="00971486">
        <w:rPr>
          <w:lang w:val="es-ES"/>
        </w:rPr>
        <w:t>El 25 por ciento de los derechos audiovisuales.</w:t>
      </w:r>
    </w:p>
    <w:p w:rsidR="00971486" w:rsidRPr="00971486" w:rsidRDefault="00971486" w:rsidP="00971486">
      <w:pPr>
        <w:pStyle w:val="texto"/>
        <w:rPr>
          <w:lang w:val="es-ES"/>
        </w:rPr>
      </w:pPr>
      <w:r w:rsidRPr="00971486">
        <w:rPr>
          <w:lang w:val="es-ES"/>
        </w:rPr>
        <w:t>b) El 25 por ciento de los derechos de traspaso de jugadores.</w:t>
      </w:r>
    </w:p>
    <w:p w:rsidR="00971486" w:rsidRPr="00695E60" w:rsidRDefault="00971486" w:rsidP="00695E60">
      <w:pPr>
        <w:pStyle w:val="texto"/>
        <w:rPr>
          <w:lang w:val="es-ES"/>
        </w:rPr>
      </w:pPr>
      <w:r w:rsidRPr="00971486">
        <w:rPr>
          <w:lang w:val="es-ES"/>
        </w:rPr>
        <w:t>c) El 100 por cien de las cantidades que perciba por patrocino del Gobierno de Navarra.</w:t>
      </w:r>
    </w:p>
    <w:p w:rsidR="00683E17" w:rsidRPr="0054038F" w:rsidRDefault="00E2074D" w:rsidP="00934343">
      <w:pPr>
        <w:pStyle w:val="atitulo3"/>
        <w:rPr>
          <w:lang w:val="es-ES"/>
        </w:rPr>
      </w:pPr>
      <w:r>
        <w:rPr>
          <w:lang w:val="es-ES"/>
        </w:rPr>
        <w:t>S</w:t>
      </w:r>
      <w:r w:rsidR="00683E17" w:rsidRPr="0054038F">
        <w:rPr>
          <w:lang w:val="es-ES"/>
        </w:rPr>
        <w:t>aldos acreedores</w:t>
      </w:r>
    </w:p>
    <w:p w:rsidR="00E40C32" w:rsidRDefault="00683E17" w:rsidP="00B07A4C">
      <w:pPr>
        <w:pStyle w:val="texto"/>
        <w:spacing w:after="0"/>
        <w:rPr>
          <w:lang w:val="es-ES"/>
        </w:rPr>
      </w:pPr>
      <w:r w:rsidRPr="00E2074D">
        <w:rPr>
          <w:lang w:val="es-ES"/>
        </w:rPr>
        <w:t>En el pasivo del balance y dentro de la rúbrica de acreedores a corto plazo, se</w:t>
      </w:r>
      <w:r w:rsidR="00E2074D" w:rsidRPr="00E2074D">
        <w:rPr>
          <w:lang w:val="es-ES"/>
        </w:rPr>
        <w:t xml:space="preserve"> reflejan</w:t>
      </w:r>
      <w:r w:rsidRPr="00E2074D">
        <w:rPr>
          <w:lang w:val="es-ES"/>
        </w:rPr>
        <w:t xml:space="preserve"> </w:t>
      </w:r>
      <w:r w:rsidR="00E2074D" w:rsidRPr="00E2074D">
        <w:rPr>
          <w:lang w:val="es-ES"/>
        </w:rPr>
        <w:t>las siguientes cuentas</w:t>
      </w:r>
      <w:r w:rsidRPr="00E2074D">
        <w:rPr>
          <w:lang w:val="es-ES"/>
        </w:rPr>
        <w:t>:</w:t>
      </w:r>
      <w:r w:rsidR="00E2074D" w:rsidRPr="00E2074D">
        <w:rPr>
          <w:lang w:val="es-ES"/>
        </w:rPr>
        <w:t xml:space="preserve"> </w:t>
      </w:r>
    </w:p>
    <w:p w:rsidR="00E40C32" w:rsidRPr="00846EDC" w:rsidRDefault="00B07A4C" w:rsidP="00E40C32">
      <w:pPr>
        <w:pStyle w:val="recomen"/>
        <w:numPr>
          <w:ilvl w:val="0"/>
          <w:numId w:val="0"/>
        </w:numPr>
        <w:spacing w:after="40"/>
        <w:ind w:left="1588"/>
        <w:jc w:val="right"/>
        <w:rPr>
          <w:rFonts w:ascii="Arial Narrow" w:hAnsi="Arial Narrow"/>
          <w:i w:val="0"/>
          <w:sz w:val="18"/>
          <w:szCs w:val="18"/>
        </w:rPr>
      </w:pPr>
      <w:r>
        <w:rPr>
          <w:rFonts w:ascii="Arial Narrow" w:hAnsi="Arial Narrow"/>
          <w:i w:val="0"/>
          <w:sz w:val="18"/>
          <w:szCs w:val="18"/>
        </w:rPr>
        <w:t>M</w:t>
      </w:r>
      <w:r w:rsidR="00E40C32" w:rsidRPr="00846EDC">
        <w:rPr>
          <w:rFonts w:ascii="Arial Narrow" w:hAnsi="Arial Narrow"/>
          <w:i w:val="0"/>
          <w:sz w:val="18"/>
          <w:szCs w:val="18"/>
        </w:rPr>
        <w:t>iles de euros</w:t>
      </w:r>
    </w:p>
    <w:tbl>
      <w:tblPr>
        <w:tblW w:w="8878" w:type="dxa"/>
        <w:jc w:val="center"/>
        <w:tblCellMar>
          <w:left w:w="70" w:type="dxa"/>
          <w:right w:w="70" w:type="dxa"/>
        </w:tblCellMar>
        <w:tblLook w:val="0000" w:firstRow="0" w:lastRow="0" w:firstColumn="0" w:lastColumn="0" w:noHBand="0" w:noVBand="0"/>
      </w:tblPr>
      <w:tblGrid>
        <w:gridCol w:w="5830"/>
        <w:gridCol w:w="1577"/>
        <w:gridCol w:w="1471"/>
      </w:tblGrid>
      <w:tr w:rsidR="007D3BC3" w:rsidRPr="00E2074D" w:rsidTr="00811B6D">
        <w:trPr>
          <w:trHeight w:val="284"/>
          <w:jc w:val="center"/>
        </w:trPr>
        <w:tc>
          <w:tcPr>
            <w:tcW w:w="5830" w:type="dxa"/>
            <w:tcBorders>
              <w:top w:val="single" w:sz="4" w:space="0" w:color="auto"/>
              <w:bottom w:val="single" w:sz="4" w:space="0" w:color="auto"/>
            </w:tcBorders>
            <w:shd w:val="clear" w:color="auto" w:fill="A8CBEE" w:themeFill="accent2" w:themeFillTint="66"/>
            <w:noWrap/>
            <w:vAlign w:val="center"/>
          </w:tcPr>
          <w:p w:rsidR="007D3BC3" w:rsidRPr="00E2074D" w:rsidRDefault="007D3BC3" w:rsidP="003C51AE">
            <w:pPr>
              <w:pStyle w:val="cuadroCabe"/>
              <w:jc w:val="left"/>
            </w:pPr>
            <w:r w:rsidRPr="00E2074D">
              <w:t>Saldos acreedores</w:t>
            </w:r>
          </w:p>
        </w:tc>
        <w:tc>
          <w:tcPr>
            <w:tcW w:w="1577" w:type="dxa"/>
            <w:tcBorders>
              <w:top w:val="single" w:sz="4" w:space="0" w:color="auto"/>
              <w:bottom w:val="single" w:sz="4" w:space="0" w:color="auto"/>
            </w:tcBorders>
            <w:shd w:val="clear" w:color="auto" w:fill="A8CBEE" w:themeFill="accent2" w:themeFillTint="66"/>
            <w:vAlign w:val="center"/>
          </w:tcPr>
          <w:p w:rsidR="007D3BC3" w:rsidRPr="002F0012" w:rsidRDefault="007D3BC3" w:rsidP="00B10FC2">
            <w:pPr>
              <w:pStyle w:val="cuadroCabe"/>
              <w:jc w:val="right"/>
            </w:pPr>
            <w:r>
              <w:t>31-XII-</w:t>
            </w:r>
            <w:r w:rsidRPr="002F0012">
              <w:t>2014</w:t>
            </w:r>
          </w:p>
        </w:tc>
        <w:tc>
          <w:tcPr>
            <w:tcW w:w="1471" w:type="dxa"/>
            <w:tcBorders>
              <w:top w:val="single" w:sz="4" w:space="0" w:color="auto"/>
              <w:bottom w:val="single" w:sz="4" w:space="0" w:color="auto"/>
            </w:tcBorders>
            <w:shd w:val="clear" w:color="auto" w:fill="A8CBEE" w:themeFill="accent2" w:themeFillTint="66"/>
            <w:vAlign w:val="center"/>
          </w:tcPr>
          <w:p w:rsidR="007D3BC3" w:rsidRPr="002F0012" w:rsidRDefault="007D3BC3" w:rsidP="00B10FC2">
            <w:pPr>
              <w:pStyle w:val="cuadroCabe"/>
              <w:jc w:val="right"/>
            </w:pPr>
            <w:r>
              <w:t>31-XII-</w:t>
            </w:r>
            <w:r w:rsidRPr="002F0012">
              <w:t>2015</w:t>
            </w:r>
          </w:p>
        </w:tc>
      </w:tr>
      <w:tr w:rsidR="007D3BC3" w:rsidRPr="00E2074D" w:rsidTr="00811B6D">
        <w:trPr>
          <w:trHeight w:val="284"/>
          <w:jc w:val="center"/>
        </w:trPr>
        <w:tc>
          <w:tcPr>
            <w:tcW w:w="5830" w:type="dxa"/>
            <w:tcBorders>
              <w:top w:val="single" w:sz="4" w:space="0" w:color="auto"/>
              <w:bottom w:val="single" w:sz="2" w:space="0" w:color="auto"/>
            </w:tcBorders>
            <w:noWrap/>
            <w:vAlign w:val="center"/>
          </w:tcPr>
          <w:p w:rsidR="007D3BC3" w:rsidRPr="00E2074D" w:rsidRDefault="007D3BC3" w:rsidP="003C51AE">
            <w:pPr>
              <w:pStyle w:val="cuatexto"/>
              <w:jc w:val="left"/>
              <w:rPr>
                <w:szCs w:val="20"/>
              </w:rPr>
            </w:pPr>
            <w:r w:rsidRPr="00E2074D">
              <w:rPr>
                <w:szCs w:val="20"/>
              </w:rPr>
              <w:t>Acreedores devolución de ingresos</w:t>
            </w:r>
          </w:p>
        </w:tc>
        <w:tc>
          <w:tcPr>
            <w:tcW w:w="1577" w:type="dxa"/>
            <w:tcBorders>
              <w:top w:val="single" w:sz="4" w:space="0" w:color="auto"/>
              <w:bottom w:val="single" w:sz="2" w:space="0" w:color="auto"/>
            </w:tcBorders>
            <w:noWrap/>
            <w:vAlign w:val="center"/>
          </w:tcPr>
          <w:p w:rsidR="007D3BC3" w:rsidRPr="00E2074D" w:rsidRDefault="007D3BC3" w:rsidP="003C51AE">
            <w:pPr>
              <w:pStyle w:val="cuatexto"/>
              <w:jc w:val="right"/>
              <w:rPr>
                <w:szCs w:val="20"/>
              </w:rPr>
            </w:pPr>
            <w:r w:rsidRPr="00E2074D">
              <w:rPr>
                <w:szCs w:val="20"/>
              </w:rPr>
              <w:t>27</w:t>
            </w:r>
          </w:p>
        </w:tc>
        <w:tc>
          <w:tcPr>
            <w:tcW w:w="1471" w:type="dxa"/>
            <w:tcBorders>
              <w:top w:val="single" w:sz="4" w:space="0" w:color="auto"/>
              <w:bottom w:val="single" w:sz="2" w:space="0" w:color="auto"/>
            </w:tcBorders>
            <w:noWrap/>
            <w:vAlign w:val="center"/>
          </w:tcPr>
          <w:p w:rsidR="007D3BC3" w:rsidRPr="00E2074D" w:rsidRDefault="007D3BC3" w:rsidP="003C51AE">
            <w:pPr>
              <w:pStyle w:val="cuatexto"/>
              <w:jc w:val="right"/>
              <w:rPr>
                <w:szCs w:val="20"/>
              </w:rPr>
            </w:pPr>
            <w:r w:rsidRPr="00E2074D">
              <w:rPr>
                <w:szCs w:val="20"/>
              </w:rPr>
              <w:t>165.064</w:t>
            </w:r>
          </w:p>
        </w:tc>
      </w:tr>
      <w:tr w:rsidR="007D3BC3" w:rsidRPr="00E2074D" w:rsidTr="00811B6D">
        <w:trPr>
          <w:trHeight w:val="284"/>
          <w:jc w:val="center"/>
        </w:trPr>
        <w:tc>
          <w:tcPr>
            <w:tcW w:w="5830" w:type="dxa"/>
            <w:tcBorders>
              <w:top w:val="single" w:sz="2" w:space="0" w:color="auto"/>
              <w:bottom w:val="single" w:sz="2" w:space="0" w:color="auto"/>
            </w:tcBorders>
            <w:noWrap/>
            <w:vAlign w:val="center"/>
          </w:tcPr>
          <w:p w:rsidR="007D3BC3" w:rsidRPr="00E2074D" w:rsidRDefault="007D3BC3" w:rsidP="003C51AE">
            <w:pPr>
              <w:pStyle w:val="cuatexto"/>
              <w:jc w:val="left"/>
              <w:rPr>
                <w:szCs w:val="20"/>
              </w:rPr>
            </w:pPr>
            <w:r w:rsidRPr="00E2074D">
              <w:rPr>
                <w:szCs w:val="20"/>
              </w:rPr>
              <w:t>Deudores tributarios, saldos acreedores</w:t>
            </w:r>
          </w:p>
        </w:tc>
        <w:tc>
          <w:tcPr>
            <w:tcW w:w="1577" w:type="dxa"/>
            <w:tcBorders>
              <w:top w:val="single" w:sz="2" w:space="0" w:color="auto"/>
              <w:bottom w:val="single" w:sz="2" w:space="0" w:color="auto"/>
            </w:tcBorders>
            <w:noWrap/>
            <w:vAlign w:val="center"/>
          </w:tcPr>
          <w:p w:rsidR="007D3BC3" w:rsidRPr="00E2074D" w:rsidRDefault="007D3BC3" w:rsidP="003C51AE">
            <w:pPr>
              <w:pStyle w:val="cuatexto"/>
              <w:jc w:val="right"/>
              <w:rPr>
                <w:szCs w:val="20"/>
              </w:rPr>
            </w:pPr>
            <w:r w:rsidRPr="00E2074D">
              <w:rPr>
                <w:szCs w:val="20"/>
              </w:rPr>
              <w:t>264.355</w:t>
            </w:r>
          </w:p>
        </w:tc>
        <w:tc>
          <w:tcPr>
            <w:tcW w:w="1471" w:type="dxa"/>
            <w:tcBorders>
              <w:top w:val="single" w:sz="2" w:space="0" w:color="auto"/>
              <w:bottom w:val="single" w:sz="2" w:space="0" w:color="auto"/>
            </w:tcBorders>
            <w:noWrap/>
            <w:vAlign w:val="center"/>
          </w:tcPr>
          <w:p w:rsidR="007D3BC3" w:rsidRPr="00E2074D" w:rsidRDefault="007D3BC3" w:rsidP="003C51AE">
            <w:pPr>
              <w:pStyle w:val="cuatexto"/>
              <w:jc w:val="right"/>
              <w:rPr>
                <w:szCs w:val="20"/>
              </w:rPr>
            </w:pPr>
            <w:r w:rsidRPr="00E2074D">
              <w:rPr>
                <w:szCs w:val="20"/>
              </w:rPr>
              <w:t>136.385</w:t>
            </w:r>
          </w:p>
        </w:tc>
      </w:tr>
    </w:tbl>
    <w:p w:rsidR="003C51AE" w:rsidRDefault="00B21854" w:rsidP="00811B6D">
      <w:pPr>
        <w:pStyle w:val="texto"/>
        <w:spacing w:before="240"/>
        <w:rPr>
          <w:lang w:val="es-ES"/>
        </w:rPr>
      </w:pPr>
      <w:r w:rsidRPr="00B21854">
        <w:rPr>
          <w:lang w:val="es-ES"/>
        </w:rPr>
        <w:t>El incremento en el saldo de l</w:t>
      </w:r>
      <w:r w:rsidR="00E2074D" w:rsidRPr="00B21854">
        <w:rPr>
          <w:lang w:val="es-ES"/>
        </w:rPr>
        <w:t>os acreedores por devolución de impuestos</w:t>
      </w:r>
      <w:r w:rsidR="00A320F4" w:rsidRPr="00B21854">
        <w:rPr>
          <w:lang w:val="es-ES"/>
        </w:rPr>
        <w:t xml:space="preserve"> corresponde</w:t>
      </w:r>
      <w:r w:rsidR="004A7294" w:rsidRPr="00B21854">
        <w:rPr>
          <w:lang w:val="es-ES"/>
        </w:rPr>
        <w:t xml:space="preserve"> a</w:t>
      </w:r>
      <w:r>
        <w:rPr>
          <w:lang w:val="es-ES"/>
        </w:rPr>
        <w:t xml:space="preserve"> un ajuste contable</w:t>
      </w:r>
      <w:r w:rsidR="003F76A1">
        <w:rPr>
          <w:lang w:val="es-ES"/>
        </w:rPr>
        <w:t xml:space="preserve"> de 165,02 millones </w:t>
      </w:r>
      <w:r w:rsidR="007F36B4">
        <w:rPr>
          <w:lang w:val="es-ES"/>
        </w:rPr>
        <w:t>de</w:t>
      </w:r>
      <w:r w:rsidR="003F76A1">
        <w:rPr>
          <w:lang w:val="es-ES"/>
        </w:rPr>
        <w:t xml:space="preserve"> una remesa </w:t>
      </w:r>
      <w:r w:rsidR="00223A71">
        <w:rPr>
          <w:lang w:val="es-ES"/>
        </w:rPr>
        <w:t>por</w:t>
      </w:r>
      <w:r>
        <w:rPr>
          <w:lang w:val="es-ES"/>
        </w:rPr>
        <w:t xml:space="preserve"> devolución de impuestos –básicamente IVA y Sociedades</w:t>
      </w:r>
      <w:r w:rsidR="00811B6D">
        <w:rPr>
          <w:lang w:val="es-ES"/>
        </w:rPr>
        <w:t>–</w:t>
      </w:r>
      <w:r>
        <w:rPr>
          <w:lang w:val="es-ES"/>
        </w:rPr>
        <w:t xml:space="preserve"> que</w:t>
      </w:r>
      <w:r w:rsidR="00C745E8">
        <w:rPr>
          <w:lang w:val="es-ES"/>
        </w:rPr>
        <w:t>,</w:t>
      </w:r>
      <w:r>
        <w:rPr>
          <w:lang w:val="es-ES"/>
        </w:rPr>
        <w:t xml:space="preserve"> según el CAT</w:t>
      </w:r>
      <w:r w:rsidR="00C745E8">
        <w:rPr>
          <w:lang w:val="es-ES"/>
        </w:rPr>
        <w:t>,</w:t>
      </w:r>
      <w:r>
        <w:rPr>
          <w:lang w:val="es-ES"/>
        </w:rPr>
        <w:t xml:space="preserve"> se imputa al ejercicio de 2015, cuando tal devolución se efectuó materialmente por la tesorería en 2016.</w:t>
      </w:r>
      <w:r w:rsidR="00E2074D" w:rsidRPr="00B21854">
        <w:rPr>
          <w:lang w:val="es-ES"/>
        </w:rPr>
        <w:t xml:space="preserve"> </w:t>
      </w:r>
    </w:p>
    <w:p w:rsidR="00A421D5" w:rsidRDefault="000E6404" w:rsidP="00E40C32">
      <w:pPr>
        <w:pStyle w:val="texto"/>
        <w:spacing w:after="120"/>
        <w:rPr>
          <w:lang w:val="es-ES"/>
        </w:rPr>
      </w:pPr>
      <w:r>
        <w:rPr>
          <w:lang w:val="es-ES"/>
        </w:rPr>
        <w:t>El saldo de</w:t>
      </w:r>
      <w:r w:rsidR="00E2074D" w:rsidRPr="00E2074D">
        <w:rPr>
          <w:lang w:val="es-ES"/>
        </w:rPr>
        <w:t xml:space="preserve"> deudores tr</w:t>
      </w:r>
      <w:r w:rsidR="00E2074D">
        <w:rPr>
          <w:lang w:val="es-ES"/>
        </w:rPr>
        <w:t xml:space="preserve">ibutarios saldos acreedores </w:t>
      </w:r>
      <w:r>
        <w:rPr>
          <w:lang w:val="es-ES"/>
        </w:rPr>
        <w:t>se han reducido en un 52 por ciento y</w:t>
      </w:r>
      <w:r w:rsidR="00E2074D">
        <w:rPr>
          <w:lang w:val="es-ES"/>
        </w:rPr>
        <w:t xml:space="preserve"> refleja las devoluciones de impuestos pendientes de ordenar su pago; el 86 por ciento de su saldo</w:t>
      </w:r>
      <w:r w:rsidR="00493E30">
        <w:rPr>
          <w:lang w:val="es-ES"/>
        </w:rPr>
        <w:t xml:space="preserve"> en 2015</w:t>
      </w:r>
      <w:r w:rsidR="00E2074D">
        <w:rPr>
          <w:lang w:val="es-ES"/>
        </w:rPr>
        <w:t xml:space="preserve"> corresponde a devoluciones pendientes de pago de los siguientes impuestos</w:t>
      </w:r>
      <w:r>
        <w:rPr>
          <w:lang w:val="es-ES"/>
        </w:rPr>
        <w:t xml:space="preserve"> y su comparación con el ejercicio </w:t>
      </w:r>
      <w:r w:rsidR="00B10FC2">
        <w:rPr>
          <w:lang w:val="es-ES"/>
        </w:rPr>
        <w:t>anterior:</w:t>
      </w:r>
    </w:p>
    <w:p w:rsidR="00E40C32" w:rsidRPr="00846EDC" w:rsidRDefault="00B07A4C" w:rsidP="00E40C32">
      <w:pPr>
        <w:pStyle w:val="recomen"/>
        <w:numPr>
          <w:ilvl w:val="0"/>
          <w:numId w:val="0"/>
        </w:numPr>
        <w:spacing w:after="40"/>
        <w:ind w:left="1588"/>
        <w:jc w:val="right"/>
        <w:rPr>
          <w:rFonts w:ascii="Arial Narrow" w:hAnsi="Arial Narrow"/>
          <w:i w:val="0"/>
          <w:sz w:val="18"/>
          <w:szCs w:val="18"/>
        </w:rPr>
      </w:pPr>
      <w:r>
        <w:rPr>
          <w:rFonts w:ascii="Arial Narrow" w:hAnsi="Arial Narrow"/>
          <w:i w:val="0"/>
          <w:sz w:val="18"/>
          <w:szCs w:val="18"/>
        </w:rPr>
        <w:t>M</w:t>
      </w:r>
      <w:r w:rsidR="00E40C32" w:rsidRPr="00846EDC">
        <w:rPr>
          <w:rFonts w:ascii="Arial Narrow" w:hAnsi="Arial Narrow"/>
          <w:i w:val="0"/>
          <w:sz w:val="18"/>
          <w:szCs w:val="18"/>
        </w:rPr>
        <w:t>iles de euros</w:t>
      </w:r>
    </w:p>
    <w:tbl>
      <w:tblPr>
        <w:tblW w:w="8865"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5921"/>
        <w:gridCol w:w="1461"/>
        <w:gridCol w:w="1483"/>
      </w:tblGrid>
      <w:tr w:rsidR="007D3BC3" w:rsidRPr="00013752" w:rsidTr="007D3BC3">
        <w:trPr>
          <w:trHeight w:val="284"/>
          <w:jc w:val="center"/>
        </w:trPr>
        <w:tc>
          <w:tcPr>
            <w:tcW w:w="5921" w:type="dxa"/>
            <w:shd w:val="clear" w:color="auto" w:fill="A8CBEE" w:themeFill="accent2" w:themeFillTint="66"/>
            <w:noWrap/>
            <w:vAlign w:val="center"/>
            <w:hideMark/>
          </w:tcPr>
          <w:p w:rsidR="007D3BC3" w:rsidRPr="00013752" w:rsidRDefault="007D3BC3" w:rsidP="00E2074D">
            <w:pPr>
              <w:pStyle w:val="cuadroCabe"/>
              <w:jc w:val="left"/>
            </w:pPr>
            <w:r>
              <w:t>Deudores tributarios, saldos acreedores</w:t>
            </w:r>
          </w:p>
        </w:tc>
        <w:tc>
          <w:tcPr>
            <w:tcW w:w="1461" w:type="dxa"/>
            <w:shd w:val="clear" w:color="auto" w:fill="A8CBEE" w:themeFill="accent2" w:themeFillTint="66"/>
            <w:vAlign w:val="center"/>
          </w:tcPr>
          <w:p w:rsidR="007D3BC3" w:rsidRPr="002F0012" w:rsidRDefault="007D3BC3" w:rsidP="00B10FC2">
            <w:pPr>
              <w:pStyle w:val="cuadroCabe"/>
              <w:jc w:val="right"/>
            </w:pPr>
            <w:r>
              <w:t>31-XII-</w:t>
            </w:r>
            <w:r w:rsidRPr="002F0012">
              <w:t>2014</w:t>
            </w:r>
          </w:p>
        </w:tc>
        <w:tc>
          <w:tcPr>
            <w:tcW w:w="1483" w:type="dxa"/>
            <w:shd w:val="clear" w:color="auto" w:fill="A8CBEE" w:themeFill="accent2" w:themeFillTint="66"/>
            <w:noWrap/>
            <w:vAlign w:val="center"/>
          </w:tcPr>
          <w:p w:rsidR="007D3BC3" w:rsidRPr="002F0012" w:rsidRDefault="007D3BC3" w:rsidP="00B10FC2">
            <w:pPr>
              <w:pStyle w:val="cuadroCabe"/>
              <w:jc w:val="right"/>
            </w:pPr>
            <w:r>
              <w:t>31-XII-</w:t>
            </w:r>
            <w:r w:rsidRPr="002F0012">
              <w:t>2015</w:t>
            </w:r>
          </w:p>
        </w:tc>
      </w:tr>
      <w:tr w:rsidR="007D3BC3" w:rsidRPr="00013752" w:rsidTr="00F7024A">
        <w:trPr>
          <w:trHeight w:val="284"/>
          <w:jc w:val="center"/>
        </w:trPr>
        <w:tc>
          <w:tcPr>
            <w:tcW w:w="5921" w:type="dxa"/>
            <w:shd w:val="clear" w:color="auto" w:fill="auto"/>
            <w:noWrap/>
            <w:vAlign w:val="center"/>
            <w:hideMark/>
          </w:tcPr>
          <w:p w:rsidR="007D3BC3" w:rsidRPr="00013752" w:rsidRDefault="007D3BC3" w:rsidP="000E1A1D">
            <w:pPr>
              <w:pStyle w:val="cuatexto"/>
              <w:jc w:val="left"/>
              <w:rPr>
                <w:szCs w:val="20"/>
              </w:rPr>
            </w:pPr>
            <w:r w:rsidRPr="00013752">
              <w:rPr>
                <w:szCs w:val="20"/>
              </w:rPr>
              <w:t>Impuesto sobre la renta</w:t>
            </w:r>
          </w:p>
        </w:tc>
        <w:tc>
          <w:tcPr>
            <w:tcW w:w="1461" w:type="dxa"/>
            <w:vAlign w:val="center"/>
          </w:tcPr>
          <w:p w:rsidR="007D3BC3" w:rsidRDefault="007D3BC3" w:rsidP="00F7024A">
            <w:pPr>
              <w:pStyle w:val="cuatexto"/>
              <w:jc w:val="right"/>
              <w:rPr>
                <w:szCs w:val="20"/>
              </w:rPr>
            </w:pPr>
            <w:r>
              <w:rPr>
                <w:szCs w:val="20"/>
              </w:rPr>
              <w:t>3.950</w:t>
            </w:r>
          </w:p>
        </w:tc>
        <w:tc>
          <w:tcPr>
            <w:tcW w:w="1483" w:type="dxa"/>
            <w:shd w:val="clear" w:color="auto" w:fill="auto"/>
            <w:noWrap/>
            <w:vAlign w:val="center"/>
          </w:tcPr>
          <w:p w:rsidR="007D3BC3" w:rsidRPr="00013752" w:rsidRDefault="007D3BC3" w:rsidP="00F7024A">
            <w:pPr>
              <w:pStyle w:val="cuatexto"/>
              <w:jc w:val="right"/>
              <w:rPr>
                <w:szCs w:val="20"/>
              </w:rPr>
            </w:pPr>
            <w:r>
              <w:rPr>
                <w:szCs w:val="20"/>
              </w:rPr>
              <w:t>3.680</w:t>
            </w:r>
          </w:p>
        </w:tc>
      </w:tr>
      <w:tr w:rsidR="007D3BC3" w:rsidRPr="00013752" w:rsidTr="00F7024A">
        <w:trPr>
          <w:trHeight w:val="284"/>
          <w:jc w:val="center"/>
        </w:trPr>
        <w:tc>
          <w:tcPr>
            <w:tcW w:w="5921" w:type="dxa"/>
            <w:shd w:val="clear" w:color="auto" w:fill="auto"/>
            <w:noWrap/>
            <w:vAlign w:val="center"/>
            <w:hideMark/>
          </w:tcPr>
          <w:p w:rsidR="007D3BC3" w:rsidRPr="00013752" w:rsidRDefault="007D3BC3" w:rsidP="000E1A1D">
            <w:pPr>
              <w:pStyle w:val="cuatexto"/>
              <w:jc w:val="left"/>
              <w:rPr>
                <w:szCs w:val="20"/>
              </w:rPr>
            </w:pPr>
            <w:r w:rsidRPr="00013752">
              <w:rPr>
                <w:szCs w:val="20"/>
              </w:rPr>
              <w:t>Impuesto sobre sociedades</w:t>
            </w:r>
          </w:p>
        </w:tc>
        <w:tc>
          <w:tcPr>
            <w:tcW w:w="1461" w:type="dxa"/>
            <w:vAlign w:val="center"/>
          </w:tcPr>
          <w:p w:rsidR="007D3BC3" w:rsidRDefault="007D3BC3" w:rsidP="00F7024A">
            <w:pPr>
              <w:pStyle w:val="cuatexto"/>
              <w:jc w:val="right"/>
              <w:rPr>
                <w:szCs w:val="20"/>
              </w:rPr>
            </w:pPr>
            <w:r>
              <w:rPr>
                <w:szCs w:val="20"/>
              </w:rPr>
              <w:t>67.628</w:t>
            </w:r>
          </w:p>
        </w:tc>
        <w:tc>
          <w:tcPr>
            <w:tcW w:w="1483" w:type="dxa"/>
            <w:shd w:val="clear" w:color="auto" w:fill="auto"/>
            <w:noWrap/>
            <w:vAlign w:val="center"/>
          </w:tcPr>
          <w:p w:rsidR="007D3BC3" w:rsidRPr="00013752" w:rsidRDefault="007D3BC3" w:rsidP="00F7024A">
            <w:pPr>
              <w:pStyle w:val="cuatexto"/>
              <w:jc w:val="right"/>
              <w:rPr>
                <w:szCs w:val="20"/>
              </w:rPr>
            </w:pPr>
            <w:r>
              <w:rPr>
                <w:szCs w:val="20"/>
              </w:rPr>
              <w:t>11.379</w:t>
            </w:r>
          </w:p>
        </w:tc>
      </w:tr>
      <w:tr w:rsidR="007D3BC3" w:rsidRPr="00013752" w:rsidTr="00F7024A">
        <w:trPr>
          <w:trHeight w:val="284"/>
          <w:jc w:val="center"/>
        </w:trPr>
        <w:tc>
          <w:tcPr>
            <w:tcW w:w="5921" w:type="dxa"/>
            <w:shd w:val="clear" w:color="auto" w:fill="auto"/>
            <w:noWrap/>
            <w:vAlign w:val="center"/>
            <w:hideMark/>
          </w:tcPr>
          <w:p w:rsidR="007D3BC3" w:rsidRPr="00013752" w:rsidRDefault="007D3BC3" w:rsidP="000E1A1D">
            <w:pPr>
              <w:pStyle w:val="cuatexto"/>
              <w:jc w:val="left"/>
              <w:rPr>
                <w:szCs w:val="20"/>
              </w:rPr>
            </w:pPr>
            <w:r w:rsidRPr="00013752">
              <w:rPr>
                <w:szCs w:val="20"/>
              </w:rPr>
              <w:t>Impuesto sobre el valor añadido</w:t>
            </w:r>
          </w:p>
        </w:tc>
        <w:tc>
          <w:tcPr>
            <w:tcW w:w="1461" w:type="dxa"/>
            <w:vAlign w:val="center"/>
          </w:tcPr>
          <w:p w:rsidR="007D3BC3" w:rsidRDefault="007D3BC3" w:rsidP="00F7024A">
            <w:pPr>
              <w:pStyle w:val="cuatexto"/>
              <w:jc w:val="right"/>
              <w:rPr>
                <w:szCs w:val="20"/>
              </w:rPr>
            </w:pPr>
            <w:r>
              <w:rPr>
                <w:szCs w:val="20"/>
              </w:rPr>
              <w:t>174.020</w:t>
            </w:r>
          </w:p>
        </w:tc>
        <w:tc>
          <w:tcPr>
            <w:tcW w:w="1483" w:type="dxa"/>
            <w:shd w:val="clear" w:color="auto" w:fill="auto"/>
            <w:noWrap/>
            <w:vAlign w:val="center"/>
          </w:tcPr>
          <w:p w:rsidR="007D3BC3" w:rsidRPr="00013752" w:rsidRDefault="007D3BC3" w:rsidP="00F7024A">
            <w:pPr>
              <w:pStyle w:val="cuatexto"/>
              <w:jc w:val="right"/>
              <w:rPr>
                <w:szCs w:val="20"/>
              </w:rPr>
            </w:pPr>
            <w:r>
              <w:rPr>
                <w:szCs w:val="20"/>
              </w:rPr>
              <w:t>99.828</w:t>
            </w:r>
          </w:p>
        </w:tc>
      </w:tr>
    </w:tbl>
    <w:p w:rsidR="00D74577" w:rsidRDefault="00C2037D" w:rsidP="00B07A4C">
      <w:pPr>
        <w:pStyle w:val="texto"/>
        <w:spacing w:before="240"/>
        <w:rPr>
          <w:lang w:val="es-ES"/>
        </w:rPr>
      </w:pPr>
      <w:r w:rsidRPr="00C2037D">
        <w:rPr>
          <w:lang w:val="es-ES"/>
        </w:rPr>
        <w:t>Como se observa, se ha</w:t>
      </w:r>
      <w:r w:rsidR="00465B76">
        <w:rPr>
          <w:lang w:val="es-ES"/>
        </w:rPr>
        <w:t>n</w:t>
      </w:r>
      <w:r w:rsidRPr="00C2037D">
        <w:rPr>
          <w:lang w:val="es-ES"/>
        </w:rPr>
        <w:t xml:space="preserve"> reducido significativamente las devoluciones de Sociedades e IVA pendientes de ordenar su pago.</w:t>
      </w:r>
      <w:r w:rsidR="00D74577">
        <w:rPr>
          <w:lang w:val="es-ES"/>
        </w:rPr>
        <w:t xml:space="preserve"> </w:t>
      </w:r>
    </w:p>
    <w:p w:rsidR="00C2037D" w:rsidRPr="00C2037D" w:rsidRDefault="00D74577" w:rsidP="00B07A4C">
      <w:pPr>
        <w:pStyle w:val="texto"/>
        <w:spacing w:after="240"/>
        <w:rPr>
          <w:lang w:val="es-ES"/>
        </w:rPr>
      </w:pPr>
      <w:r>
        <w:rPr>
          <w:lang w:val="es-ES"/>
        </w:rPr>
        <w:t>No obstante señalar que el cierre contable del ejercicio de 2014 se realizó el 12 de enero de 2015, en tanto que, el de 2015, se efectúa el 25 de enero de 2016; esta diferencia de fechas de cierre, ha afectado a esos saldos.</w:t>
      </w:r>
    </w:p>
    <w:p w:rsidR="00E94B1C" w:rsidRPr="00B07A4C" w:rsidRDefault="00E94B1C" w:rsidP="00071FC3">
      <w:pPr>
        <w:pStyle w:val="atitulo3"/>
        <w:rPr>
          <w:spacing w:val="2"/>
        </w:rPr>
      </w:pPr>
      <w:r w:rsidRPr="00B07A4C">
        <w:rPr>
          <w:spacing w:val="2"/>
        </w:rPr>
        <w:t>Deudores no presupuestarios</w:t>
      </w:r>
      <w:r w:rsidR="003C209B" w:rsidRPr="00B07A4C">
        <w:rPr>
          <w:spacing w:val="2"/>
        </w:rPr>
        <w:t>,</w:t>
      </w:r>
      <w:r w:rsidRPr="00B07A4C">
        <w:rPr>
          <w:spacing w:val="2"/>
        </w:rPr>
        <w:t xml:space="preserve"> otros deudores</w:t>
      </w:r>
      <w:r w:rsidR="003C209B" w:rsidRPr="00B07A4C">
        <w:rPr>
          <w:spacing w:val="2"/>
        </w:rPr>
        <w:t xml:space="preserve"> y provisión para insolvencias</w:t>
      </w:r>
    </w:p>
    <w:p w:rsidR="00E94B1C" w:rsidRPr="00E94B1C" w:rsidRDefault="00E94B1C" w:rsidP="00E94B1C">
      <w:pPr>
        <w:pStyle w:val="texto"/>
        <w:rPr>
          <w:lang w:val="es-ES"/>
        </w:rPr>
      </w:pPr>
      <w:r>
        <w:rPr>
          <w:lang w:val="es-ES"/>
        </w:rPr>
        <w:t>Dentro de deudores no presupuestarios se incluyen 5,86 millones</w:t>
      </w:r>
      <w:r w:rsidRPr="00E94B1C">
        <w:rPr>
          <w:lang w:val="es-ES"/>
        </w:rPr>
        <w:t xml:space="preserve"> en concepto de</w:t>
      </w:r>
      <w:r>
        <w:rPr>
          <w:lang w:val="es-ES"/>
        </w:rPr>
        <w:t xml:space="preserve"> gasto</w:t>
      </w:r>
      <w:r w:rsidR="00B76666">
        <w:rPr>
          <w:lang w:val="es-ES"/>
        </w:rPr>
        <w:t xml:space="preserve"> conformado</w:t>
      </w:r>
      <w:r>
        <w:rPr>
          <w:lang w:val="es-ES"/>
        </w:rPr>
        <w:t xml:space="preserve"> del corredor navarro del TAV pendientes de co</w:t>
      </w:r>
      <w:r w:rsidR="00B76666">
        <w:rPr>
          <w:lang w:val="es-ES"/>
        </w:rPr>
        <w:t xml:space="preserve">brar de </w:t>
      </w:r>
      <w:r>
        <w:rPr>
          <w:lang w:val="es-ES"/>
        </w:rPr>
        <w:t xml:space="preserve">ADIF; en 2014, reflejaba un importe de 16,79 millones. </w:t>
      </w:r>
    </w:p>
    <w:p w:rsidR="00E94B1C" w:rsidRDefault="00E94B1C" w:rsidP="003C209B">
      <w:pPr>
        <w:pStyle w:val="texto"/>
        <w:rPr>
          <w:lang w:val="es-ES"/>
        </w:rPr>
      </w:pPr>
      <w:r>
        <w:rPr>
          <w:lang w:val="es-ES"/>
        </w:rPr>
        <w:t>En otros deudores, destaca la cuenta de operaciones a formalizar del CAT -</w:t>
      </w:r>
      <w:r w:rsidRPr="00E94B1C">
        <w:rPr>
          <w:lang w:val="es-ES"/>
        </w:rPr>
        <w:t>cuenta de enlace entre CAT y contabilidad</w:t>
      </w:r>
      <w:r w:rsidR="00BF1E3B">
        <w:rPr>
          <w:lang w:val="es-ES"/>
        </w:rPr>
        <w:t xml:space="preserve"> general</w:t>
      </w:r>
      <w:r w:rsidR="00344209">
        <w:rPr>
          <w:lang w:val="es-ES"/>
        </w:rPr>
        <w:t>,</w:t>
      </w:r>
      <w:r>
        <w:rPr>
          <w:lang w:val="es-ES"/>
        </w:rPr>
        <w:t xml:space="preserve"> con un saldo de </w:t>
      </w:r>
      <w:r w:rsidRPr="00FF436A">
        <w:rPr>
          <w:lang w:val="es-ES"/>
        </w:rPr>
        <w:t>3,37 millones</w:t>
      </w:r>
      <w:r>
        <w:rPr>
          <w:lang w:val="es-ES"/>
        </w:rPr>
        <w:t>; en 2014, 14,52 millones. Tal como se indicaba en anteriores informes de esta Cámara</w:t>
      </w:r>
      <w:r w:rsidRPr="00E94B1C">
        <w:rPr>
          <w:lang w:val="es-ES"/>
        </w:rPr>
        <w:t>,</w:t>
      </w:r>
      <w:r>
        <w:rPr>
          <w:lang w:val="es-ES"/>
        </w:rPr>
        <w:t xml:space="preserve"> est</w:t>
      </w:r>
      <w:r w:rsidR="00592917">
        <w:rPr>
          <w:lang w:val="es-ES"/>
        </w:rPr>
        <w:t>e</w:t>
      </w:r>
      <w:r>
        <w:rPr>
          <w:lang w:val="es-ES"/>
        </w:rPr>
        <w:t xml:space="preserve"> </w:t>
      </w:r>
      <w:r w:rsidR="00683E17">
        <w:rPr>
          <w:lang w:val="es-ES"/>
        </w:rPr>
        <w:t>importe</w:t>
      </w:r>
      <w:r>
        <w:rPr>
          <w:lang w:val="es-ES"/>
        </w:rPr>
        <w:t xml:space="preserve"> no está debidamente soportado y, además</w:t>
      </w:r>
      <w:r w:rsidR="00465B76">
        <w:rPr>
          <w:lang w:val="es-ES"/>
        </w:rPr>
        <w:t>,</w:t>
      </w:r>
      <w:r>
        <w:rPr>
          <w:lang w:val="es-ES"/>
        </w:rPr>
        <w:t xml:space="preserve"> se desconoce el origen o justificación de su reducción </w:t>
      </w:r>
      <w:r w:rsidR="00683E17">
        <w:rPr>
          <w:lang w:val="es-ES"/>
        </w:rPr>
        <w:t xml:space="preserve">respecto al </w:t>
      </w:r>
      <w:r>
        <w:rPr>
          <w:lang w:val="es-ES"/>
        </w:rPr>
        <w:t>ejercicio anterior, 11,50 millones. El saldo de esta cuenta está totalmente provisionado.</w:t>
      </w:r>
    </w:p>
    <w:p w:rsidR="003C209B" w:rsidRDefault="003C209B" w:rsidP="00F7024A">
      <w:pPr>
        <w:pStyle w:val="texto"/>
        <w:spacing w:after="240"/>
        <w:rPr>
          <w:lang w:val="es-ES"/>
        </w:rPr>
      </w:pPr>
      <w:r>
        <w:rPr>
          <w:lang w:val="es-ES"/>
        </w:rPr>
        <w:t xml:space="preserve">El saldo de la provisión para insolvencias a 31 de diciembre de 2015, 498,17 millones, corresponde en un 98 por ciento a deudores de naturaleza tributaria. </w:t>
      </w:r>
    </w:p>
    <w:p w:rsidR="00FF436A" w:rsidRPr="00E2074D" w:rsidRDefault="00FF436A" w:rsidP="00FF436A">
      <w:pPr>
        <w:pStyle w:val="atitulo3"/>
        <w:rPr>
          <w:lang w:val="es-ES"/>
        </w:rPr>
      </w:pPr>
      <w:r w:rsidRPr="00E2074D">
        <w:rPr>
          <w:lang w:val="es-ES"/>
        </w:rPr>
        <w:t>Tratamiento contable</w:t>
      </w:r>
    </w:p>
    <w:p w:rsidR="00FF436A" w:rsidRPr="00E2074D" w:rsidRDefault="00FF436A" w:rsidP="00FF436A">
      <w:pPr>
        <w:pStyle w:val="texto"/>
        <w:rPr>
          <w:lang w:val="es-ES"/>
        </w:rPr>
      </w:pPr>
      <w:r w:rsidRPr="00E2074D">
        <w:rPr>
          <w:lang w:val="es-ES"/>
        </w:rPr>
        <w:t>Sobre el tratamiento contable y traspaso de los impuestos y demás ingresos y la relación entre la contabilidad auxiliar de terceros (CAT) y el sistema contable GE</w:t>
      </w:r>
      <w:r>
        <w:rPr>
          <w:lang w:val="es-ES"/>
        </w:rPr>
        <w:t>´</w:t>
      </w:r>
      <w:r w:rsidRPr="00E2074D">
        <w:rPr>
          <w:lang w:val="es-ES"/>
        </w:rPr>
        <w:t xml:space="preserve">21, nos reiteramos en lo señalado en informes anteriores sobre la existencia de disfunciones entre ambos sistemas </w:t>
      </w:r>
      <w:r w:rsidR="00465B76">
        <w:rPr>
          <w:lang w:val="es-ES"/>
        </w:rPr>
        <w:t>cuya resolución</w:t>
      </w:r>
      <w:r w:rsidRPr="00E2074D">
        <w:rPr>
          <w:lang w:val="es-ES"/>
        </w:rPr>
        <w:t>, como viene recomenda</w:t>
      </w:r>
      <w:r w:rsidR="00747E8E">
        <w:rPr>
          <w:lang w:val="es-ES"/>
        </w:rPr>
        <w:t>n</w:t>
      </w:r>
      <w:r w:rsidRPr="00E2074D">
        <w:rPr>
          <w:lang w:val="es-ES"/>
        </w:rPr>
        <w:t xml:space="preserve">do esta Cámara, urge </w:t>
      </w:r>
      <w:r w:rsidR="00465B76">
        <w:rPr>
          <w:lang w:val="es-ES"/>
        </w:rPr>
        <w:t>para</w:t>
      </w:r>
      <w:r w:rsidRPr="00E2074D">
        <w:rPr>
          <w:lang w:val="es-ES"/>
        </w:rPr>
        <w:t xml:space="preserve"> garantizar la máxima trazabilidad de la información contable; igualmente se señala la necesidad de aplicar en toda su extensión las cuentas y criterios que el Plan General de Contabilidad Pública contiene para el tratamiento contable adecuado de los impuestos y de los deudores y acreedores tributarios.</w:t>
      </w:r>
    </w:p>
    <w:p w:rsidR="00FF436A" w:rsidRPr="003303C0" w:rsidRDefault="00FF436A" w:rsidP="00FF436A">
      <w:pPr>
        <w:pStyle w:val="texto"/>
        <w:rPr>
          <w:lang w:val="es-ES"/>
        </w:rPr>
      </w:pPr>
      <w:r w:rsidRPr="003303C0">
        <w:rPr>
          <w:lang w:val="es-ES"/>
        </w:rPr>
        <w:t>La liquidación presupuestaria y el balance de situación no recogen correcta</w:t>
      </w:r>
      <w:r>
        <w:rPr>
          <w:lang w:val="es-ES"/>
        </w:rPr>
        <w:t xml:space="preserve">mente </w:t>
      </w:r>
      <w:r w:rsidRPr="003303C0">
        <w:rPr>
          <w:lang w:val="es-ES"/>
        </w:rPr>
        <w:t>la información tributa</w:t>
      </w:r>
      <w:r>
        <w:rPr>
          <w:lang w:val="es-ES"/>
        </w:rPr>
        <w:t>ria</w:t>
      </w:r>
      <w:r w:rsidRPr="003303C0">
        <w:rPr>
          <w:lang w:val="es-ES"/>
        </w:rPr>
        <w:t>. Así, no se distingue entre deudores de ejercicios corrientes y cerrados ni tampoco se anulan los derechos reconocidos correspondientes a los deudores a los que se concede aplazamiento de la deuda, contrariamente a los criterios establecidos en el Plan General de Contabilidad Pública vigente.</w:t>
      </w:r>
    </w:p>
    <w:p w:rsidR="00FF436A" w:rsidRPr="003303C0" w:rsidRDefault="00FF436A" w:rsidP="00FF436A">
      <w:pPr>
        <w:pStyle w:val="texto"/>
        <w:rPr>
          <w:lang w:val="es-ES"/>
        </w:rPr>
      </w:pPr>
      <w:r w:rsidRPr="003303C0">
        <w:rPr>
          <w:lang w:val="es-ES"/>
        </w:rPr>
        <w:t>Los deudores no se recogen en el balance conforme a la clasificación establecida en el Plan General de Contabilidad Pública, ni tampoco los intereses y recargos no liquidados y los cobros pendientes de aplicación que se descuentan del saldo de deudores y debieran registrarse en el pasivo del balance como ingresos anticipados y acreedores, respectivamente.</w:t>
      </w:r>
    </w:p>
    <w:p w:rsidR="00B07A4C" w:rsidRDefault="00B07A4C" w:rsidP="00FF436A">
      <w:pPr>
        <w:pStyle w:val="texto"/>
        <w:rPr>
          <w:lang w:val="es-ES"/>
        </w:rPr>
      </w:pPr>
    </w:p>
    <w:p w:rsidR="00FF436A" w:rsidRPr="006B52F9" w:rsidRDefault="00FF436A" w:rsidP="00FF436A">
      <w:pPr>
        <w:pStyle w:val="texto"/>
        <w:rPr>
          <w:lang w:val="es-ES"/>
        </w:rPr>
      </w:pPr>
      <w:r w:rsidRPr="006B52F9">
        <w:rPr>
          <w:lang w:val="es-ES"/>
        </w:rPr>
        <w:t>En el pasivo del balance y dentro de los acreedores presupuestarios por devolución de impuestos y en otros acreedores, se registran los saldos acreedores de los deudores tributarios mediante un ajuste de la información del CAT. En 2015, el ajuste global ha sido por importe de 152,33 millones.</w:t>
      </w:r>
    </w:p>
    <w:p w:rsidR="00FF436A" w:rsidRPr="003303C0" w:rsidRDefault="00FF436A" w:rsidP="00FF436A">
      <w:pPr>
        <w:pStyle w:val="texto"/>
        <w:rPr>
          <w:lang w:val="es-ES"/>
        </w:rPr>
      </w:pPr>
      <w:r w:rsidRPr="003303C0">
        <w:rPr>
          <w:lang w:val="es-ES"/>
        </w:rPr>
        <w:t>El balance de situación de la cuenta general se obtiene a partir del balance de situación de la aplicación informática de contabilidad, practicando un ajuste extracontable con la información tributaria de CAT sobre deudores y acreedores.</w:t>
      </w:r>
    </w:p>
    <w:p w:rsidR="00FF436A" w:rsidRPr="00040FE1" w:rsidRDefault="00B0621E" w:rsidP="00FF436A">
      <w:pPr>
        <w:pStyle w:val="texto"/>
      </w:pPr>
      <w:r>
        <w:t>E</w:t>
      </w:r>
      <w:r w:rsidR="00FF436A">
        <w:t>l nuevo enlace entre el CAT y el</w:t>
      </w:r>
      <w:r w:rsidR="00747E8E">
        <w:t xml:space="preserve"> GE´21</w:t>
      </w:r>
      <w:r>
        <w:t xml:space="preserve"> está previsto que se aplique en el ejercicio de 2018.</w:t>
      </w:r>
      <w:r w:rsidR="00FF436A">
        <w:t xml:space="preserve"> </w:t>
      </w:r>
    </w:p>
    <w:p w:rsidR="00FF436A" w:rsidRDefault="00FF436A" w:rsidP="00FF436A">
      <w:pPr>
        <w:pStyle w:val="texto"/>
        <w:rPr>
          <w:lang w:val="es-ES"/>
        </w:rPr>
      </w:pPr>
      <w:r w:rsidRPr="00933016">
        <w:rPr>
          <w:lang w:val="es-ES"/>
        </w:rPr>
        <w:t xml:space="preserve">Por último, la cuenta de resultados recoge </w:t>
      </w:r>
      <w:r w:rsidR="00565F20">
        <w:rPr>
          <w:lang w:val="es-ES"/>
        </w:rPr>
        <w:t>un cargo de</w:t>
      </w:r>
      <w:r>
        <w:rPr>
          <w:lang w:val="es-ES"/>
        </w:rPr>
        <w:t xml:space="preserve"> 50,61 millones</w:t>
      </w:r>
      <w:r w:rsidR="00565F20">
        <w:rPr>
          <w:lang w:val="es-ES"/>
        </w:rPr>
        <w:t xml:space="preserve"> por</w:t>
      </w:r>
      <w:r>
        <w:rPr>
          <w:lang w:val="es-ES"/>
        </w:rPr>
        <w:t xml:space="preserve"> prescripciones y </w:t>
      </w:r>
      <w:r w:rsidR="00747E8E">
        <w:rPr>
          <w:lang w:val="es-ES"/>
        </w:rPr>
        <w:t>quitas</w:t>
      </w:r>
      <w:r>
        <w:rPr>
          <w:lang w:val="es-ES"/>
        </w:rPr>
        <w:t xml:space="preserve"> de deuda tributaria</w:t>
      </w:r>
      <w:r w:rsidR="00A421D5">
        <w:rPr>
          <w:rStyle w:val="Refdenotaalpie"/>
          <w:lang w:val="es-ES"/>
        </w:rPr>
        <w:footnoteReference w:id="14"/>
      </w:r>
      <w:r>
        <w:rPr>
          <w:lang w:val="es-ES"/>
        </w:rPr>
        <w:t xml:space="preserve">. </w:t>
      </w:r>
    </w:p>
    <w:p w:rsidR="00FF436A" w:rsidRDefault="006362BE" w:rsidP="00FF436A">
      <w:pPr>
        <w:pStyle w:val="texto"/>
        <w:rPr>
          <w:lang w:val="es-ES"/>
        </w:rPr>
      </w:pPr>
      <w:r>
        <w:rPr>
          <w:lang w:val="es-ES"/>
        </w:rPr>
        <w:t>E</w:t>
      </w:r>
      <w:r w:rsidR="00FF436A">
        <w:rPr>
          <w:lang w:val="es-ES"/>
        </w:rPr>
        <w:t xml:space="preserve">l Gobierno de Navarra ha reconocido un gasto por intereses de demora en la devolución de impuestos y por ingresos indebidos de 0,5 millones. </w:t>
      </w:r>
    </w:p>
    <w:p w:rsidR="00171B1C" w:rsidRPr="00040FE1" w:rsidRDefault="00040FE1" w:rsidP="00040FE1">
      <w:pPr>
        <w:pStyle w:val="texto"/>
        <w:spacing w:after="300"/>
        <w:rPr>
          <w:lang w:val="es-ES"/>
        </w:rPr>
      </w:pPr>
      <w:r>
        <w:rPr>
          <w:lang w:val="es-ES"/>
        </w:rPr>
        <w:t>Recomendamos</w:t>
      </w:r>
      <w:r w:rsidR="00E2074D">
        <w:rPr>
          <w:lang w:val="es-ES"/>
        </w:rPr>
        <w:t>:</w:t>
      </w:r>
    </w:p>
    <w:p w:rsidR="00EF39B8" w:rsidRPr="00040FE1" w:rsidRDefault="00EF39B8" w:rsidP="00EF39B8">
      <w:pPr>
        <w:pStyle w:val="texto"/>
        <w:numPr>
          <w:ilvl w:val="0"/>
          <w:numId w:val="2"/>
        </w:numPr>
        <w:tabs>
          <w:tab w:val="clear" w:pos="1948"/>
          <w:tab w:val="clear" w:pos="2835"/>
          <w:tab w:val="clear" w:pos="3969"/>
          <w:tab w:val="clear" w:pos="5103"/>
          <w:tab w:val="clear" w:pos="6237"/>
          <w:tab w:val="clear" w:pos="7371"/>
          <w:tab w:val="num" w:pos="300"/>
          <w:tab w:val="left" w:pos="490"/>
          <w:tab w:val="num" w:pos="4920"/>
        </w:tabs>
        <w:ind w:left="0" w:firstLine="290"/>
        <w:rPr>
          <w:i/>
          <w:lang w:val="es-ES"/>
        </w:rPr>
      </w:pPr>
      <w:r w:rsidRPr="00040FE1">
        <w:rPr>
          <w:i/>
          <w:lang w:val="es-ES"/>
        </w:rPr>
        <w:t xml:space="preserve">Concluir el proceso de mejora en la coordinación entre los sistemas de contabilidad auxiliar de terceros (CAT) y la contabilidad general. </w:t>
      </w:r>
    </w:p>
    <w:p w:rsidR="009264B9" w:rsidRPr="00040FE1" w:rsidRDefault="00EF39B8" w:rsidP="00EF39B8">
      <w:pPr>
        <w:pStyle w:val="texto"/>
        <w:numPr>
          <w:ilvl w:val="0"/>
          <w:numId w:val="2"/>
        </w:numPr>
        <w:tabs>
          <w:tab w:val="clear" w:pos="1948"/>
          <w:tab w:val="clear" w:pos="2835"/>
          <w:tab w:val="clear" w:pos="3969"/>
          <w:tab w:val="clear" w:pos="5103"/>
          <w:tab w:val="clear" w:pos="6237"/>
          <w:tab w:val="clear" w:pos="7371"/>
          <w:tab w:val="num" w:pos="300"/>
          <w:tab w:val="left" w:pos="490"/>
          <w:tab w:val="num" w:pos="4920"/>
        </w:tabs>
        <w:ind w:left="0" w:firstLine="290"/>
        <w:rPr>
          <w:lang w:val="es-ES"/>
        </w:rPr>
      </w:pPr>
      <w:r w:rsidRPr="00040FE1">
        <w:rPr>
          <w:i/>
          <w:lang w:val="es-ES"/>
        </w:rPr>
        <w:t>Aplicar en toda su extensión los criterios y cuentas contables de deudores y acreedores tributarios previstos en el Plan General de Contabilidad Pública.</w:t>
      </w:r>
    </w:p>
    <w:p w:rsidR="0034477F" w:rsidRPr="00F7024A" w:rsidRDefault="009264B9" w:rsidP="00B07A4C">
      <w:pPr>
        <w:pStyle w:val="texto"/>
        <w:numPr>
          <w:ilvl w:val="0"/>
          <w:numId w:val="2"/>
        </w:numPr>
        <w:tabs>
          <w:tab w:val="clear" w:pos="1948"/>
          <w:tab w:val="clear" w:pos="2835"/>
          <w:tab w:val="clear" w:pos="3969"/>
          <w:tab w:val="clear" w:pos="5103"/>
          <w:tab w:val="clear" w:pos="6237"/>
          <w:tab w:val="clear" w:pos="7371"/>
          <w:tab w:val="num" w:pos="300"/>
          <w:tab w:val="left" w:pos="490"/>
          <w:tab w:val="num" w:pos="4920"/>
        </w:tabs>
        <w:spacing w:after="240"/>
        <w:ind w:left="0" w:firstLine="289"/>
        <w:rPr>
          <w:lang w:val="es-ES"/>
        </w:rPr>
      </w:pPr>
      <w:r w:rsidRPr="00040FE1">
        <w:rPr>
          <w:i/>
          <w:lang w:val="es-ES"/>
        </w:rPr>
        <w:t>Revisar los saldos de deudores tributarios no justificados y proceder, en su caso, a su regularización.</w:t>
      </w:r>
    </w:p>
    <w:p w:rsidR="00C97847" w:rsidRDefault="00C97847" w:rsidP="00C97847">
      <w:pPr>
        <w:pStyle w:val="atitulo2"/>
        <w:spacing w:before="240"/>
      </w:pPr>
      <w:bookmarkStart w:id="54" w:name="_Toc463350257"/>
      <w:r>
        <w:t>IV.</w:t>
      </w:r>
      <w:r w:rsidR="00E30136">
        <w:t>1</w:t>
      </w:r>
      <w:r w:rsidR="00042056">
        <w:t>1</w:t>
      </w:r>
      <w:r>
        <w:t>. Otras áreas de gestión</w:t>
      </w:r>
      <w:bookmarkEnd w:id="54"/>
    </w:p>
    <w:p w:rsidR="008D4FAE" w:rsidRPr="008D4FAE" w:rsidRDefault="008D4FAE" w:rsidP="00071FC3">
      <w:pPr>
        <w:pStyle w:val="atitulo3"/>
        <w:rPr>
          <w:lang w:val="es-ES"/>
        </w:rPr>
      </w:pPr>
      <w:r w:rsidRPr="008D4FAE">
        <w:rPr>
          <w:lang w:val="es-ES"/>
        </w:rPr>
        <w:t>Gastos por transferencias</w:t>
      </w:r>
    </w:p>
    <w:p w:rsidR="0009240A" w:rsidRDefault="0009240A" w:rsidP="008D4FAE">
      <w:pPr>
        <w:pStyle w:val="texto"/>
        <w:spacing w:after="120"/>
        <w:rPr>
          <w:lang w:val="es-ES"/>
        </w:rPr>
      </w:pPr>
      <w:r>
        <w:rPr>
          <w:lang w:val="es-ES"/>
        </w:rPr>
        <w:t xml:space="preserve">De la revisión de una muestra de </w:t>
      </w:r>
      <w:r w:rsidRPr="008D4FAE">
        <w:rPr>
          <w:lang w:val="es-ES"/>
        </w:rPr>
        <w:t>gastos por transferencias</w:t>
      </w:r>
      <w:r w:rsidR="007253A2">
        <w:rPr>
          <w:lang w:val="es-ES"/>
        </w:rPr>
        <w:t>,</w:t>
      </w:r>
      <w:r>
        <w:rPr>
          <w:lang w:val="es-ES"/>
        </w:rPr>
        <w:t xml:space="preserve"> destacamos:</w:t>
      </w:r>
    </w:p>
    <w:p w:rsidR="00F7024A" w:rsidRDefault="0009240A" w:rsidP="00E40C32">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120"/>
        <w:ind w:left="0" w:firstLine="289"/>
        <w:rPr>
          <w:lang w:val="es-ES"/>
        </w:rPr>
      </w:pPr>
      <w:r>
        <w:rPr>
          <w:lang w:val="es-ES"/>
        </w:rPr>
        <w:t>Reparto de herencias legales abintestato o sin testamento. Se han repartido un total de 0,85 millones entre 51 entidades sin ánimo de lucro correspondientes a herencias de 2013 sin testamento y sin herederos declarados, que de acuerdo con la normativa foral, corresponde</w:t>
      </w:r>
      <w:r w:rsidR="00120085">
        <w:rPr>
          <w:lang w:val="es-ES"/>
        </w:rPr>
        <w:t xml:space="preserve"> una vez liquidadas</w:t>
      </w:r>
      <w:r>
        <w:rPr>
          <w:lang w:val="es-ES"/>
        </w:rPr>
        <w:t xml:space="preserve"> al patrimonio de la Administración de la Comunidad Foral. Este reparto</w:t>
      </w:r>
      <w:r w:rsidR="00120085">
        <w:rPr>
          <w:lang w:val="es-ES"/>
        </w:rPr>
        <w:t>, originado en 11 causantes de herencia,</w:t>
      </w:r>
      <w:r>
        <w:rPr>
          <w:lang w:val="es-ES"/>
        </w:rPr>
        <w:t xml:space="preserve"> debe efectuarse a partes iguales entre instituciones sociales de Navarra y de sus muni</w:t>
      </w:r>
      <w:r w:rsidR="00CD0E5B">
        <w:rPr>
          <w:lang w:val="es-ES"/>
        </w:rPr>
        <w:t xml:space="preserve">cipios y el 75 por ciento del mismo </w:t>
      </w:r>
      <w:r w:rsidR="00067F08">
        <w:rPr>
          <w:lang w:val="es-ES"/>
        </w:rPr>
        <w:t>ha correspondido</w:t>
      </w:r>
      <w:r w:rsidR="00CD0E5B">
        <w:rPr>
          <w:lang w:val="es-ES"/>
        </w:rPr>
        <w:t xml:space="preserve"> a las siguientes instituciones</w:t>
      </w:r>
      <w:r w:rsidR="00120085">
        <w:rPr>
          <w:lang w:val="es-ES"/>
        </w:rPr>
        <w:t>:</w:t>
      </w:r>
    </w:p>
    <w:p w:rsidR="00B07A4C" w:rsidRDefault="00B07A4C" w:rsidP="00B07A4C">
      <w:pPr>
        <w:pStyle w:val="texto"/>
        <w:tabs>
          <w:tab w:val="clear" w:pos="2835"/>
          <w:tab w:val="clear" w:pos="3969"/>
          <w:tab w:val="clear" w:pos="5103"/>
          <w:tab w:val="clear" w:pos="6237"/>
          <w:tab w:val="clear" w:pos="7371"/>
          <w:tab w:val="left" w:pos="480"/>
          <w:tab w:val="num" w:pos="4920"/>
        </w:tabs>
        <w:spacing w:after="120"/>
        <w:ind w:left="289" w:firstLine="0"/>
        <w:rPr>
          <w:lang w:val="es-ES"/>
        </w:rPr>
      </w:pPr>
    </w:p>
    <w:p w:rsidR="00B07A4C" w:rsidRDefault="00B07A4C" w:rsidP="00E40C32">
      <w:pPr>
        <w:pStyle w:val="recomen"/>
        <w:numPr>
          <w:ilvl w:val="0"/>
          <w:numId w:val="0"/>
        </w:numPr>
        <w:spacing w:after="40"/>
        <w:ind w:left="1588"/>
        <w:jc w:val="right"/>
        <w:rPr>
          <w:rFonts w:ascii="Arial Narrow" w:hAnsi="Arial Narrow"/>
          <w:i w:val="0"/>
          <w:sz w:val="18"/>
          <w:szCs w:val="18"/>
        </w:rPr>
      </w:pPr>
    </w:p>
    <w:p w:rsidR="00E40C32" w:rsidRPr="00E40C32" w:rsidRDefault="00B07A4C" w:rsidP="00E40C32">
      <w:pPr>
        <w:pStyle w:val="recomen"/>
        <w:numPr>
          <w:ilvl w:val="0"/>
          <w:numId w:val="0"/>
        </w:numPr>
        <w:spacing w:after="40"/>
        <w:ind w:left="1588"/>
        <w:jc w:val="right"/>
        <w:rPr>
          <w:rFonts w:ascii="Arial Narrow" w:hAnsi="Arial Narrow"/>
          <w:i w:val="0"/>
          <w:sz w:val="18"/>
          <w:szCs w:val="18"/>
        </w:rPr>
      </w:pPr>
      <w:r>
        <w:rPr>
          <w:rFonts w:ascii="Arial Narrow" w:hAnsi="Arial Narrow"/>
          <w:i w:val="0"/>
          <w:sz w:val="18"/>
          <w:szCs w:val="18"/>
        </w:rPr>
        <w:t>M</w:t>
      </w:r>
      <w:r w:rsidR="00E40C32" w:rsidRPr="00E40C32">
        <w:rPr>
          <w:rFonts w:ascii="Arial Narrow" w:hAnsi="Arial Narrow"/>
          <w:i w:val="0"/>
          <w:sz w:val="18"/>
          <w:szCs w:val="18"/>
        </w:rPr>
        <w:t>iles de euros</w:t>
      </w:r>
    </w:p>
    <w:tbl>
      <w:tblPr>
        <w:tblW w:w="4961"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7596"/>
        <w:gridCol w:w="1263"/>
      </w:tblGrid>
      <w:tr w:rsidR="00E40C32" w:rsidRPr="00185C62" w:rsidTr="00E40C32">
        <w:trPr>
          <w:trHeight w:hRule="exact" w:val="284"/>
          <w:jc w:val="center"/>
        </w:trPr>
        <w:tc>
          <w:tcPr>
            <w:tcW w:w="4287" w:type="pct"/>
            <w:tcBorders>
              <w:top w:val="single" w:sz="4" w:space="0" w:color="auto"/>
              <w:left w:val="nil"/>
              <w:bottom w:val="single" w:sz="4" w:space="0" w:color="auto"/>
              <w:right w:val="nil"/>
            </w:tcBorders>
            <w:shd w:val="clear" w:color="auto" w:fill="A8CBEE" w:themeFill="accent2" w:themeFillTint="66"/>
            <w:vAlign w:val="center"/>
          </w:tcPr>
          <w:p w:rsidR="00E40C32" w:rsidRPr="00A64F58" w:rsidRDefault="00E40C32" w:rsidP="00A67E1B">
            <w:pPr>
              <w:pStyle w:val="cuadroCabe"/>
              <w:jc w:val="left"/>
              <w:rPr>
                <w:rFonts w:cs="Arial"/>
              </w:rPr>
            </w:pPr>
            <w:r>
              <w:rPr>
                <w:rFonts w:cs="Arial"/>
              </w:rPr>
              <w:t>Reparto herencias abintestato</w:t>
            </w:r>
          </w:p>
        </w:tc>
        <w:tc>
          <w:tcPr>
            <w:tcW w:w="713" w:type="pct"/>
            <w:tcBorders>
              <w:top w:val="single" w:sz="4" w:space="0" w:color="auto"/>
              <w:left w:val="nil"/>
              <w:bottom w:val="single" w:sz="4" w:space="0" w:color="auto"/>
              <w:right w:val="nil"/>
            </w:tcBorders>
            <w:shd w:val="clear" w:color="auto" w:fill="A8CBEE" w:themeFill="accent2" w:themeFillTint="66"/>
            <w:vAlign w:val="center"/>
            <w:hideMark/>
          </w:tcPr>
          <w:p w:rsidR="00E40C32" w:rsidRPr="00A64F58" w:rsidRDefault="00E40C32" w:rsidP="00A67E1B">
            <w:pPr>
              <w:pStyle w:val="cuadroCabe"/>
              <w:jc w:val="right"/>
              <w:rPr>
                <w:rFonts w:cs="Arial"/>
              </w:rPr>
            </w:pPr>
            <w:r>
              <w:rPr>
                <w:rFonts w:cs="Arial"/>
              </w:rPr>
              <w:t>Importe</w:t>
            </w:r>
          </w:p>
        </w:tc>
      </w:tr>
      <w:tr w:rsidR="00E40C32" w:rsidRPr="00185C62" w:rsidTr="00E40C32">
        <w:trPr>
          <w:trHeight w:hRule="exact" w:val="284"/>
          <w:jc w:val="center"/>
        </w:trPr>
        <w:tc>
          <w:tcPr>
            <w:tcW w:w="4287" w:type="pct"/>
            <w:tcBorders>
              <w:top w:val="single" w:sz="4" w:space="0" w:color="auto"/>
              <w:left w:val="nil"/>
              <w:bottom w:val="single" w:sz="2" w:space="0" w:color="auto"/>
              <w:right w:val="nil"/>
            </w:tcBorders>
            <w:noWrap/>
            <w:vAlign w:val="center"/>
          </w:tcPr>
          <w:p w:rsidR="00E40C32" w:rsidRPr="00CD0E5B" w:rsidRDefault="00E40C32" w:rsidP="00E40C32">
            <w:pPr>
              <w:spacing w:after="0"/>
              <w:ind w:firstLine="0"/>
              <w:jc w:val="left"/>
              <w:rPr>
                <w:rFonts w:ascii="Arial Narrow" w:hAnsi="Arial Narrow" w:cs="Arial"/>
                <w:lang w:eastAsia="es-ES"/>
              </w:rPr>
            </w:pPr>
            <w:r w:rsidRPr="00120085">
              <w:rPr>
                <w:rFonts w:ascii="Arial Narrow" w:hAnsi="Arial Narrow" w:cs="Arial"/>
                <w:lang w:eastAsia="es-ES"/>
              </w:rPr>
              <w:t>Casa Misericordia Pamplona</w:t>
            </w:r>
          </w:p>
        </w:tc>
        <w:tc>
          <w:tcPr>
            <w:tcW w:w="713" w:type="pct"/>
            <w:tcBorders>
              <w:top w:val="single" w:sz="4" w:space="0" w:color="auto"/>
              <w:left w:val="nil"/>
              <w:bottom w:val="single" w:sz="2" w:space="0" w:color="auto"/>
              <w:right w:val="nil"/>
            </w:tcBorders>
            <w:vAlign w:val="center"/>
          </w:tcPr>
          <w:p w:rsidR="00E40C32" w:rsidRPr="00CD0E5B" w:rsidRDefault="00E40C32" w:rsidP="00A67E1B">
            <w:pPr>
              <w:spacing w:after="0"/>
              <w:ind w:right="26" w:firstLine="0"/>
              <w:jc w:val="right"/>
              <w:rPr>
                <w:rFonts w:ascii="Arial Narrow" w:hAnsi="Arial Narrow" w:cs="Arial"/>
                <w:lang w:val="es-ES" w:eastAsia="es-ES"/>
              </w:rPr>
            </w:pPr>
            <w:r w:rsidRPr="00CD0E5B">
              <w:rPr>
                <w:rFonts w:ascii="Arial Narrow" w:hAnsi="Arial Narrow" w:cs="Arial"/>
                <w:lang w:val="es-ES" w:eastAsia="es-ES"/>
              </w:rPr>
              <w:t>297</w:t>
            </w:r>
          </w:p>
        </w:tc>
      </w:tr>
      <w:tr w:rsidR="00E40C32" w:rsidRPr="00185C62" w:rsidTr="00E40C32">
        <w:trPr>
          <w:trHeight w:hRule="exact" w:val="284"/>
          <w:jc w:val="center"/>
        </w:trPr>
        <w:tc>
          <w:tcPr>
            <w:tcW w:w="4287" w:type="pct"/>
            <w:tcBorders>
              <w:top w:val="single" w:sz="2" w:space="0" w:color="auto"/>
              <w:left w:val="nil"/>
              <w:bottom w:val="single" w:sz="2" w:space="0" w:color="auto"/>
              <w:right w:val="nil"/>
            </w:tcBorders>
            <w:noWrap/>
            <w:vAlign w:val="center"/>
          </w:tcPr>
          <w:p w:rsidR="00E40C32" w:rsidRPr="00CD0E5B" w:rsidRDefault="00E40C32" w:rsidP="00E40C32">
            <w:pPr>
              <w:spacing w:after="0"/>
              <w:ind w:firstLine="0"/>
              <w:jc w:val="left"/>
              <w:rPr>
                <w:rFonts w:ascii="Arial Narrow" w:hAnsi="Arial Narrow" w:cs="Arial"/>
                <w:lang w:eastAsia="es-ES"/>
              </w:rPr>
            </w:pPr>
            <w:r w:rsidRPr="00120085">
              <w:rPr>
                <w:rFonts w:ascii="Arial Narrow" w:hAnsi="Arial Narrow" w:cs="Arial"/>
                <w:lang w:eastAsia="es-ES"/>
              </w:rPr>
              <w:t>Fundación Ilundain Haritz Berri</w:t>
            </w:r>
          </w:p>
        </w:tc>
        <w:tc>
          <w:tcPr>
            <w:tcW w:w="713" w:type="pct"/>
            <w:tcBorders>
              <w:top w:val="single" w:sz="2" w:space="0" w:color="auto"/>
              <w:left w:val="nil"/>
              <w:bottom w:val="single" w:sz="2" w:space="0" w:color="auto"/>
              <w:right w:val="nil"/>
            </w:tcBorders>
            <w:vAlign w:val="center"/>
          </w:tcPr>
          <w:p w:rsidR="00E40C32" w:rsidRPr="00CD0E5B" w:rsidRDefault="00E40C32" w:rsidP="00A67E1B">
            <w:pPr>
              <w:spacing w:after="0"/>
              <w:ind w:right="26" w:firstLine="0"/>
              <w:jc w:val="right"/>
              <w:rPr>
                <w:rFonts w:ascii="Arial Narrow" w:hAnsi="Arial Narrow" w:cs="Arial"/>
                <w:lang w:val="es-ES" w:eastAsia="es-ES"/>
              </w:rPr>
            </w:pPr>
            <w:r w:rsidRPr="00CD0E5B">
              <w:rPr>
                <w:rFonts w:ascii="Arial Narrow" w:hAnsi="Arial Narrow" w:cs="Arial"/>
                <w:lang w:val="es-ES" w:eastAsia="es-ES"/>
              </w:rPr>
              <w:t>7</w:t>
            </w:r>
            <w:r>
              <w:rPr>
                <w:rFonts w:ascii="Arial Narrow" w:hAnsi="Arial Narrow" w:cs="Arial"/>
                <w:lang w:val="es-ES" w:eastAsia="es-ES"/>
              </w:rPr>
              <w:t>2</w:t>
            </w:r>
          </w:p>
        </w:tc>
      </w:tr>
      <w:tr w:rsidR="00E40C32" w:rsidRPr="00185C62" w:rsidTr="00E40C32">
        <w:trPr>
          <w:trHeight w:hRule="exact" w:val="284"/>
          <w:jc w:val="center"/>
        </w:trPr>
        <w:tc>
          <w:tcPr>
            <w:tcW w:w="4287" w:type="pct"/>
            <w:tcBorders>
              <w:top w:val="single" w:sz="2" w:space="0" w:color="auto"/>
              <w:left w:val="nil"/>
              <w:bottom w:val="single" w:sz="2" w:space="0" w:color="auto"/>
              <w:right w:val="nil"/>
            </w:tcBorders>
            <w:noWrap/>
            <w:vAlign w:val="center"/>
          </w:tcPr>
          <w:p w:rsidR="00E40C32" w:rsidRPr="00CD0E5B" w:rsidRDefault="00E40C32" w:rsidP="00E40C32">
            <w:pPr>
              <w:spacing w:after="0"/>
              <w:ind w:firstLine="0"/>
              <w:jc w:val="left"/>
              <w:rPr>
                <w:rFonts w:ascii="Arial Narrow" w:hAnsi="Arial Narrow" w:cs="Arial"/>
                <w:lang w:eastAsia="es-ES"/>
              </w:rPr>
            </w:pPr>
            <w:r w:rsidRPr="00120085">
              <w:rPr>
                <w:rFonts w:ascii="Arial Narrow" w:hAnsi="Arial Narrow" w:cs="Arial"/>
                <w:lang w:eastAsia="es-ES"/>
              </w:rPr>
              <w:t>Fundación Xilema</w:t>
            </w:r>
          </w:p>
        </w:tc>
        <w:tc>
          <w:tcPr>
            <w:tcW w:w="713" w:type="pct"/>
            <w:tcBorders>
              <w:top w:val="single" w:sz="2" w:space="0" w:color="auto"/>
              <w:left w:val="nil"/>
              <w:bottom w:val="single" w:sz="2" w:space="0" w:color="auto"/>
              <w:right w:val="nil"/>
            </w:tcBorders>
            <w:vAlign w:val="center"/>
          </w:tcPr>
          <w:p w:rsidR="00E40C32" w:rsidRPr="00CD0E5B" w:rsidRDefault="00E40C32" w:rsidP="00A67E1B">
            <w:pPr>
              <w:spacing w:after="0"/>
              <w:ind w:right="26" w:firstLine="0"/>
              <w:jc w:val="right"/>
              <w:rPr>
                <w:rFonts w:ascii="Arial Narrow" w:hAnsi="Arial Narrow" w:cs="Arial"/>
                <w:lang w:val="es-ES" w:eastAsia="es-ES"/>
              </w:rPr>
            </w:pPr>
            <w:r w:rsidRPr="00CD0E5B">
              <w:rPr>
                <w:rFonts w:ascii="Arial Narrow" w:hAnsi="Arial Narrow" w:cs="Arial"/>
                <w:lang w:val="es-ES" w:eastAsia="es-ES"/>
              </w:rPr>
              <w:t>5</w:t>
            </w:r>
            <w:r>
              <w:rPr>
                <w:rFonts w:ascii="Arial Narrow" w:hAnsi="Arial Narrow" w:cs="Arial"/>
                <w:lang w:val="es-ES" w:eastAsia="es-ES"/>
              </w:rPr>
              <w:t>3</w:t>
            </w:r>
          </w:p>
        </w:tc>
      </w:tr>
      <w:tr w:rsidR="00E40C32" w:rsidRPr="00185C62" w:rsidTr="00E40C32">
        <w:trPr>
          <w:trHeight w:hRule="exact" w:val="284"/>
          <w:jc w:val="center"/>
        </w:trPr>
        <w:tc>
          <w:tcPr>
            <w:tcW w:w="4287" w:type="pct"/>
            <w:tcBorders>
              <w:top w:val="single" w:sz="2" w:space="0" w:color="auto"/>
              <w:left w:val="nil"/>
              <w:bottom w:val="single" w:sz="2" w:space="0" w:color="auto"/>
              <w:right w:val="nil"/>
            </w:tcBorders>
            <w:noWrap/>
            <w:vAlign w:val="center"/>
          </w:tcPr>
          <w:p w:rsidR="00E40C32" w:rsidRPr="00CD0E5B" w:rsidRDefault="00E40C32" w:rsidP="00E40C32">
            <w:pPr>
              <w:spacing w:after="0"/>
              <w:ind w:firstLine="0"/>
              <w:jc w:val="left"/>
              <w:rPr>
                <w:rFonts w:ascii="Arial Narrow" w:hAnsi="Arial Narrow" w:cs="Arial"/>
                <w:lang w:eastAsia="es-ES"/>
              </w:rPr>
            </w:pPr>
            <w:r w:rsidRPr="00120085">
              <w:rPr>
                <w:rFonts w:ascii="Arial Narrow" w:hAnsi="Arial Narrow" w:cs="Arial"/>
                <w:lang w:eastAsia="es-ES"/>
              </w:rPr>
              <w:t>Hermanitas de los Pobres</w:t>
            </w:r>
          </w:p>
        </w:tc>
        <w:tc>
          <w:tcPr>
            <w:tcW w:w="713" w:type="pct"/>
            <w:tcBorders>
              <w:top w:val="single" w:sz="2" w:space="0" w:color="auto"/>
              <w:left w:val="nil"/>
              <w:bottom w:val="single" w:sz="2" w:space="0" w:color="auto"/>
              <w:right w:val="nil"/>
            </w:tcBorders>
            <w:vAlign w:val="center"/>
          </w:tcPr>
          <w:p w:rsidR="00E40C32" w:rsidRPr="00CD0E5B" w:rsidRDefault="00E40C32" w:rsidP="00A67E1B">
            <w:pPr>
              <w:spacing w:after="0"/>
              <w:ind w:right="26" w:firstLine="0"/>
              <w:jc w:val="right"/>
              <w:rPr>
                <w:rFonts w:ascii="Arial Narrow" w:hAnsi="Arial Narrow" w:cs="Arial"/>
                <w:lang w:val="es-ES" w:eastAsia="es-ES"/>
              </w:rPr>
            </w:pPr>
            <w:r>
              <w:rPr>
                <w:rFonts w:ascii="Arial Narrow" w:hAnsi="Arial Narrow" w:cs="Arial"/>
                <w:lang w:val="es-ES" w:eastAsia="es-ES"/>
              </w:rPr>
              <w:t>50</w:t>
            </w:r>
          </w:p>
        </w:tc>
      </w:tr>
      <w:tr w:rsidR="00E40C32" w:rsidRPr="00185C62" w:rsidTr="00E40C32">
        <w:trPr>
          <w:trHeight w:hRule="exact" w:val="284"/>
          <w:jc w:val="center"/>
        </w:trPr>
        <w:tc>
          <w:tcPr>
            <w:tcW w:w="4287" w:type="pct"/>
            <w:tcBorders>
              <w:top w:val="single" w:sz="2" w:space="0" w:color="auto"/>
              <w:left w:val="nil"/>
              <w:bottom w:val="single" w:sz="2" w:space="0" w:color="auto"/>
              <w:right w:val="nil"/>
            </w:tcBorders>
            <w:noWrap/>
            <w:vAlign w:val="center"/>
          </w:tcPr>
          <w:p w:rsidR="00E40C32" w:rsidRPr="00CD0E5B" w:rsidRDefault="00E40C32" w:rsidP="00E40C32">
            <w:pPr>
              <w:spacing w:after="0"/>
              <w:ind w:firstLine="0"/>
              <w:jc w:val="left"/>
              <w:rPr>
                <w:rFonts w:ascii="Arial Narrow" w:hAnsi="Arial Narrow" w:cs="Arial"/>
                <w:lang w:eastAsia="es-ES"/>
              </w:rPr>
            </w:pPr>
            <w:r w:rsidRPr="00120085">
              <w:rPr>
                <w:rFonts w:ascii="Arial Narrow" w:hAnsi="Arial Narrow" w:cs="Arial"/>
                <w:lang w:eastAsia="es-ES"/>
              </w:rPr>
              <w:t>C</w:t>
            </w:r>
            <w:r>
              <w:rPr>
                <w:rFonts w:ascii="Arial Narrow" w:hAnsi="Arial Narrow" w:cs="Arial"/>
                <w:lang w:eastAsia="es-ES"/>
              </w:rPr>
              <w:t>á</w:t>
            </w:r>
            <w:r w:rsidRPr="00120085">
              <w:rPr>
                <w:rFonts w:ascii="Arial Narrow" w:hAnsi="Arial Narrow" w:cs="Arial"/>
                <w:lang w:eastAsia="es-ES"/>
              </w:rPr>
              <w:t>ritas Diocesana de Pamplona-Tudela</w:t>
            </w:r>
          </w:p>
        </w:tc>
        <w:tc>
          <w:tcPr>
            <w:tcW w:w="713" w:type="pct"/>
            <w:tcBorders>
              <w:top w:val="single" w:sz="2" w:space="0" w:color="auto"/>
              <w:left w:val="nil"/>
              <w:bottom w:val="single" w:sz="2" w:space="0" w:color="auto"/>
              <w:right w:val="nil"/>
            </w:tcBorders>
            <w:vAlign w:val="center"/>
          </w:tcPr>
          <w:p w:rsidR="00E40C32" w:rsidRPr="00CD0E5B" w:rsidRDefault="00E40C32" w:rsidP="00A67E1B">
            <w:pPr>
              <w:spacing w:after="0"/>
              <w:ind w:right="26" w:firstLine="0"/>
              <w:jc w:val="right"/>
              <w:rPr>
                <w:rFonts w:ascii="Arial Narrow" w:hAnsi="Arial Narrow" w:cs="Arial"/>
                <w:lang w:val="es-ES" w:eastAsia="es-ES"/>
              </w:rPr>
            </w:pPr>
            <w:r w:rsidRPr="00CD0E5B">
              <w:rPr>
                <w:rFonts w:ascii="Arial Narrow" w:hAnsi="Arial Narrow" w:cs="Arial"/>
                <w:lang w:val="es-ES" w:eastAsia="es-ES"/>
              </w:rPr>
              <w:t>3</w:t>
            </w:r>
            <w:r>
              <w:rPr>
                <w:rFonts w:ascii="Arial Narrow" w:hAnsi="Arial Narrow" w:cs="Arial"/>
                <w:lang w:val="es-ES" w:eastAsia="es-ES"/>
              </w:rPr>
              <w:t>6</w:t>
            </w:r>
            <w:r w:rsidRPr="00CD0E5B">
              <w:rPr>
                <w:rFonts w:ascii="Arial Narrow" w:hAnsi="Arial Narrow" w:cs="Arial"/>
                <w:lang w:val="es-ES" w:eastAsia="es-ES"/>
              </w:rPr>
              <w:t xml:space="preserve"> </w:t>
            </w:r>
          </w:p>
        </w:tc>
      </w:tr>
      <w:tr w:rsidR="00E40C32" w:rsidRPr="00185C62" w:rsidTr="00E40C32">
        <w:trPr>
          <w:trHeight w:hRule="exact" w:val="284"/>
          <w:jc w:val="center"/>
        </w:trPr>
        <w:tc>
          <w:tcPr>
            <w:tcW w:w="4287" w:type="pct"/>
            <w:tcBorders>
              <w:top w:val="single" w:sz="2" w:space="0" w:color="auto"/>
              <w:left w:val="nil"/>
              <w:bottom w:val="single" w:sz="2" w:space="0" w:color="auto"/>
              <w:right w:val="nil"/>
            </w:tcBorders>
            <w:noWrap/>
            <w:vAlign w:val="center"/>
          </w:tcPr>
          <w:p w:rsidR="00E40C32" w:rsidRPr="00CD0E5B" w:rsidRDefault="00E40C32" w:rsidP="002A4AE8">
            <w:pPr>
              <w:spacing w:after="0"/>
              <w:ind w:firstLine="0"/>
              <w:jc w:val="left"/>
              <w:rPr>
                <w:rFonts w:ascii="Arial Narrow" w:hAnsi="Arial Narrow" w:cs="Arial"/>
                <w:lang w:eastAsia="es-ES"/>
              </w:rPr>
            </w:pPr>
            <w:r w:rsidRPr="00120085">
              <w:rPr>
                <w:rFonts w:ascii="Arial Narrow" w:hAnsi="Arial Narrow" w:cs="Arial"/>
                <w:lang w:eastAsia="es-ES"/>
              </w:rPr>
              <w:t>Asociación Navarra Nuevo Futuro</w:t>
            </w:r>
          </w:p>
        </w:tc>
        <w:tc>
          <w:tcPr>
            <w:tcW w:w="713" w:type="pct"/>
            <w:tcBorders>
              <w:top w:val="single" w:sz="2" w:space="0" w:color="auto"/>
              <w:left w:val="nil"/>
              <w:bottom w:val="single" w:sz="2" w:space="0" w:color="auto"/>
              <w:right w:val="nil"/>
            </w:tcBorders>
            <w:vAlign w:val="center"/>
          </w:tcPr>
          <w:p w:rsidR="00E40C32" w:rsidRPr="00CD0E5B" w:rsidRDefault="00E40C32" w:rsidP="00A67E1B">
            <w:pPr>
              <w:spacing w:after="0"/>
              <w:ind w:right="26" w:firstLine="0"/>
              <w:jc w:val="right"/>
              <w:rPr>
                <w:rFonts w:ascii="Arial Narrow" w:hAnsi="Arial Narrow" w:cs="Arial"/>
                <w:lang w:val="es-ES" w:eastAsia="es-ES"/>
              </w:rPr>
            </w:pPr>
            <w:r w:rsidRPr="00CD0E5B">
              <w:rPr>
                <w:rFonts w:ascii="Arial Narrow" w:hAnsi="Arial Narrow" w:cs="Arial"/>
                <w:lang w:val="es-ES" w:eastAsia="es-ES"/>
              </w:rPr>
              <w:t xml:space="preserve">35 </w:t>
            </w:r>
          </w:p>
        </w:tc>
      </w:tr>
      <w:tr w:rsidR="00E40C32" w:rsidRPr="00185C62" w:rsidTr="00E40C32">
        <w:trPr>
          <w:trHeight w:hRule="exact" w:val="284"/>
          <w:jc w:val="center"/>
        </w:trPr>
        <w:tc>
          <w:tcPr>
            <w:tcW w:w="4287" w:type="pct"/>
            <w:tcBorders>
              <w:top w:val="single" w:sz="2" w:space="0" w:color="auto"/>
              <w:left w:val="nil"/>
              <w:bottom w:val="single" w:sz="2" w:space="0" w:color="auto"/>
              <w:right w:val="nil"/>
            </w:tcBorders>
            <w:noWrap/>
            <w:vAlign w:val="center"/>
          </w:tcPr>
          <w:p w:rsidR="00E40C32" w:rsidRPr="00CD0E5B" w:rsidRDefault="00E40C32" w:rsidP="002A4AE8">
            <w:pPr>
              <w:spacing w:after="0"/>
              <w:ind w:firstLine="0"/>
              <w:jc w:val="left"/>
              <w:rPr>
                <w:rFonts w:ascii="Arial Narrow" w:hAnsi="Arial Narrow" w:cs="Arial"/>
                <w:lang w:eastAsia="es-ES"/>
              </w:rPr>
            </w:pPr>
            <w:r w:rsidRPr="00120085">
              <w:rPr>
                <w:rFonts w:ascii="Arial Narrow" w:hAnsi="Arial Narrow" w:cs="Arial"/>
                <w:lang w:eastAsia="es-ES"/>
              </w:rPr>
              <w:t>ANFAS</w:t>
            </w:r>
          </w:p>
        </w:tc>
        <w:tc>
          <w:tcPr>
            <w:tcW w:w="713" w:type="pct"/>
            <w:tcBorders>
              <w:top w:val="single" w:sz="2" w:space="0" w:color="auto"/>
              <w:left w:val="nil"/>
              <w:bottom w:val="single" w:sz="2" w:space="0" w:color="auto"/>
              <w:right w:val="nil"/>
            </w:tcBorders>
            <w:vAlign w:val="center"/>
          </w:tcPr>
          <w:p w:rsidR="00E40C32" w:rsidRPr="00CD0E5B" w:rsidRDefault="00E40C32" w:rsidP="00A67E1B">
            <w:pPr>
              <w:spacing w:after="0"/>
              <w:ind w:right="26" w:firstLine="0"/>
              <w:jc w:val="right"/>
              <w:rPr>
                <w:rFonts w:ascii="Arial Narrow" w:hAnsi="Arial Narrow" w:cs="Arial"/>
                <w:lang w:val="es-ES" w:eastAsia="es-ES"/>
              </w:rPr>
            </w:pPr>
            <w:r w:rsidRPr="00CD0E5B">
              <w:rPr>
                <w:rFonts w:ascii="Arial Narrow" w:hAnsi="Arial Narrow" w:cs="Arial"/>
                <w:lang w:val="es-ES" w:eastAsia="es-ES"/>
              </w:rPr>
              <w:t>3</w:t>
            </w:r>
            <w:r>
              <w:rPr>
                <w:rFonts w:ascii="Arial Narrow" w:hAnsi="Arial Narrow" w:cs="Arial"/>
                <w:lang w:val="es-ES" w:eastAsia="es-ES"/>
              </w:rPr>
              <w:t>4</w:t>
            </w:r>
          </w:p>
        </w:tc>
      </w:tr>
      <w:tr w:rsidR="00E40C32" w:rsidRPr="00185C62" w:rsidTr="00E40C32">
        <w:trPr>
          <w:trHeight w:hRule="exact" w:val="284"/>
          <w:jc w:val="center"/>
        </w:trPr>
        <w:tc>
          <w:tcPr>
            <w:tcW w:w="4287" w:type="pct"/>
            <w:tcBorders>
              <w:top w:val="single" w:sz="2" w:space="0" w:color="auto"/>
              <w:left w:val="nil"/>
              <w:bottom w:val="single" w:sz="2" w:space="0" w:color="auto"/>
              <w:right w:val="nil"/>
            </w:tcBorders>
            <w:noWrap/>
            <w:vAlign w:val="center"/>
          </w:tcPr>
          <w:p w:rsidR="00E40C32" w:rsidRPr="00CD0E5B" w:rsidRDefault="00E40C32" w:rsidP="002A4AE8">
            <w:pPr>
              <w:spacing w:after="0"/>
              <w:ind w:firstLine="0"/>
              <w:jc w:val="left"/>
              <w:rPr>
                <w:rFonts w:ascii="Arial Narrow" w:hAnsi="Arial Narrow" w:cs="Arial"/>
                <w:lang w:eastAsia="es-ES"/>
              </w:rPr>
            </w:pPr>
            <w:r w:rsidRPr="00120085">
              <w:rPr>
                <w:rFonts w:ascii="Arial Narrow" w:hAnsi="Arial Narrow" w:cs="Arial"/>
                <w:lang w:eastAsia="es-ES"/>
              </w:rPr>
              <w:t>Fundación bancaria Caja Navarra</w:t>
            </w:r>
          </w:p>
        </w:tc>
        <w:tc>
          <w:tcPr>
            <w:tcW w:w="713" w:type="pct"/>
            <w:tcBorders>
              <w:top w:val="single" w:sz="2" w:space="0" w:color="auto"/>
              <w:left w:val="nil"/>
              <w:bottom w:val="single" w:sz="2" w:space="0" w:color="auto"/>
              <w:right w:val="nil"/>
            </w:tcBorders>
            <w:vAlign w:val="center"/>
          </w:tcPr>
          <w:p w:rsidR="00E40C32" w:rsidRPr="00CD0E5B" w:rsidRDefault="00E40C32" w:rsidP="00A67E1B">
            <w:pPr>
              <w:spacing w:after="0"/>
              <w:ind w:right="26" w:firstLine="0"/>
              <w:jc w:val="right"/>
              <w:rPr>
                <w:rFonts w:ascii="Arial Narrow" w:hAnsi="Arial Narrow" w:cs="Arial"/>
                <w:lang w:val="es-ES" w:eastAsia="es-ES"/>
              </w:rPr>
            </w:pPr>
            <w:r w:rsidRPr="00CD0E5B">
              <w:rPr>
                <w:rFonts w:ascii="Arial Narrow" w:hAnsi="Arial Narrow" w:cs="Arial"/>
                <w:lang w:val="es-ES" w:eastAsia="es-ES"/>
              </w:rPr>
              <w:t>33</w:t>
            </w:r>
          </w:p>
        </w:tc>
      </w:tr>
      <w:tr w:rsidR="00E40C32" w:rsidRPr="00185C62" w:rsidTr="00E40C32">
        <w:trPr>
          <w:trHeight w:hRule="exact" w:val="284"/>
          <w:jc w:val="center"/>
        </w:trPr>
        <w:tc>
          <w:tcPr>
            <w:tcW w:w="4287" w:type="pct"/>
            <w:tcBorders>
              <w:top w:val="single" w:sz="2" w:space="0" w:color="auto"/>
              <w:left w:val="nil"/>
              <w:bottom w:val="single" w:sz="4" w:space="0" w:color="auto"/>
              <w:right w:val="nil"/>
            </w:tcBorders>
            <w:noWrap/>
            <w:vAlign w:val="center"/>
          </w:tcPr>
          <w:p w:rsidR="00E40C32" w:rsidRPr="00CD0E5B" w:rsidRDefault="00E40C32" w:rsidP="002A4AE8">
            <w:pPr>
              <w:spacing w:after="0"/>
              <w:ind w:firstLine="0"/>
              <w:jc w:val="left"/>
              <w:rPr>
                <w:rFonts w:ascii="Arial Narrow" w:hAnsi="Arial Narrow" w:cs="Arial"/>
                <w:lang w:eastAsia="es-ES"/>
              </w:rPr>
            </w:pPr>
            <w:r w:rsidRPr="00120085">
              <w:rPr>
                <w:rFonts w:ascii="Arial Narrow" w:hAnsi="Arial Narrow" w:cs="Arial"/>
                <w:lang w:eastAsia="es-ES"/>
              </w:rPr>
              <w:t>Cruz Roja Española</w:t>
            </w:r>
          </w:p>
        </w:tc>
        <w:tc>
          <w:tcPr>
            <w:tcW w:w="713" w:type="pct"/>
            <w:tcBorders>
              <w:top w:val="single" w:sz="2" w:space="0" w:color="auto"/>
              <w:left w:val="nil"/>
              <w:bottom w:val="single" w:sz="4" w:space="0" w:color="auto"/>
              <w:right w:val="nil"/>
            </w:tcBorders>
            <w:vAlign w:val="center"/>
          </w:tcPr>
          <w:p w:rsidR="00E40C32" w:rsidRPr="00A10C76" w:rsidRDefault="00E40C32" w:rsidP="00A67E1B">
            <w:pPr>
              <w:spacing w:after="0"/>
              <w:ind w:right="26" w:firstLine="0"/>
              <w:jc w:val="right"/>
              <w:rPr>
                <w:rFonts w:ascii="Arial Narrow" w:hAnsi="Arial Narrow" w:cs="Arial"/>
                <w:lang w:val="es-ES" w:eastAsia="es-ES"/>
              </w:rPr>
            </w:pPr>
            <w:r>
              <w:rPr>
                <w:rFonts w:ascii="Arial Narrow" w:hAnsi="Arial Narrow" w:cs="Arial"/>
                <w:lang w:val="es-ES" w:eastAsia="es-ES"/>
              </w:rPr>
              <w:t>32</w:t>
            </w:r>
          </w:p>
        </w:tc>
      </w:tr>
    </w:tbl>
    <w:p w:rsidR="00E40C32" w:rsidRDefault="00E40C32" w:rsidP="00E40C32">
      <w:pPr>
        <w:pStyle w:val="texto"/>
        <w:spacing w:after="0"/>
        <w:rPr>
          <w:lang w:val="es-ES"/>
        </w:rPr>
      </w:pPr>
    </w:p>
    <w:p w:rsidR="00E55C3E" w:rsidRDefault="00120085" w:rsidP="00F7024A">
      <w:pPr>
        <w:pStyle w:val="texto"/>
        <w:rPr>
          <w:lang w:val="es-ES"/>
        </w:rPr>
      </w:pPr>
      <w:r>
        <w:rPr>
          <w:lang w:val="es-ES"/>
        </w:rPr>
        <w:t xml:space="preserve">Revisado el expediente, </w:t>
      </w:r>
      <w:r w:rsidR="00BF5EF6">
        <w:rPr>
          <w:lang w:val="es-ES"/>
        </w:rPr>
        <w:t>é</w:t>
      </w:r>
      <w:r>
        <w:rPr>
          <w:lang w:val="es-ES"/>
        </w:rPr>
        <w:t xml:space="preserve">ste se ha tramitado de acuerdo con la normativa reguladora. </w:t>
      </w:r>
    </w:p>
    <w:p w:rsidR="00F66361" w:rsidRDefault="00120085" w:rsidP="00F7024A">
      <w:pPr>
        <w:pStyle w:val="texto"/>
        <w:rPr>
          <w:lang w:val="es-ES"/>
        </w:rPr>
      </w:pPr>
      <w:r>
        <w:rPr>
          <w:lang w:val="es-ES"/>
        </w:rPr>
        <w:t>Por otra parte, conviene precisar que</w:t>
      </w:r>
      <w:r w:rsidR="007A7AFB">
        <w:rPr>
          <w:lang w:val="es-ES"/>
        </w:rPr>
        <w:t xml:space="preserve"> la Ley Foral</w:t>
      </w:r>
      <w:r w:rsidR="007A7AFB" w:rsidRPr="007A7AFB">
        <w:rPr>
          <w:lang w:val="es-ES"/>
        </w:rPr>
        <w:t xml:space="preserve"> 10/2016, de 1 de julio, de actualización del régimen regulador de la sucesión legal a favor de la Comuni</w:t>
      </w:r>
      <w:r w:rsidR="007A7AFB">
        <w:rPr>
          <w:lang w:val="es-ES"/>
        </w:rPr>
        <w:t>dad Foral de Navarra, establece</w:t>
      </w:r>
      <w:r>
        <w:rPr>
          <w:lang w:val="es-ES"/>
        </w:rPr>
        <w:t xml:space="preserve">, entre otros aspectos, que el producto de tales herencias se ingresará en la tesorería de la Administración Foral y se destinará a financiar gasto social.  </w:t>
      </w:r>
    </w:p>
    <w:p w:rsidR="00F66361" w:rsidRDefault="00F66361" w:rsidP="00F7024A">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Pr>
          <w:lang w:val="es-ES"/>
        </w:rPr>
        <w:t xml:space="preserve">Transferencia Política Comercial de Audenasa, con un gasto de 12,85 millones y que corresponde a los meses de diciembre de 2014 a noviembre de 2015. </w:t>
      </w:r>
      <w:r w:rsidR="007E063B">
        <w:rPr>
          <w:lang w:val="es-ES"/>
        </w:rPr>
        <w:t>La factura</w:t>
      </w:r>
      <w:r w:rsidR="008C4ABF">
        <w:rPr>
          <w:lang w:val="es-ES"/>
        </w:rPr>
        <w:t>s</w:t>
      </w:r>
      <w:r w:rsidR="007E063B">
        <w:rPr>
          <w:lang w:val="es-ES"/>
        </w:rPr>
        <w:t xml:space="preserve"> de diciembre de</w:t>
      </w:r>
      <w:r w:rsidR="008C4ABF">
        <w:rPr>
          <w:lang w:val="es-ES"/>
        </w:rPr>
        <w:t xml:space="preserve"> 2014 y de</w:t>
      </w:r>
      <w:r w:rsidR="007E063B">
        <w:rPr>
          <w:lang w:val="es-ES"/>
        </w:rPr>
        <w:t xml:space="preserve"> 2015</w:t>
      </w:r>
      <w:r w:rsidR="008C4ABF">
        <w:rPr>
          <w:lang w:val="es-ES"/>
        </w:rPr>
        <w:t xml:space="preserve"> ascendieron a 1,30 y 1,41 millones, respectivamente.</w:t>
      </w:r>
    </w:p>
    <w:p w:rsidR="00682597" w:rsidRDefault="00A07559" w:rsidP="00F7024A">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Pr>
          <w:lang w:val="es-ES"/>
        </w:rPr>
        <w:t>L</w:t>
      </w:r>
      <w:r w:rsidR="00682597">
        <w:rPr>
          <w:lang w:val="es-ES"/>
        </w:rPr>
        <w:t>a transferencia a la Universidad Pública de Navarra, 52,44 millo</w:t>
      </w:r>
      <w:r>
        <w:rPr>
          <w:lang w:val="es-ES"/>
        </w:rPr>
        <w:t xml:space="preserve">nes, </w:t>
      </w:r>
      <w:r w:rsidR="00AE2CF7">
        <w:rPr>
          <w:lang w:val="es-ES"/>
        </w:rPr>
        <w:t>fue concedida de acuerdo con el convenio anual firmado con el Gobierno de Navarra. D</w:t>
      </w:r>
      <w:r w:rsidR="00682597">
        <w:rPr>
          <w:lang w:val="es-ES"/>
        </w:rPr>
        <w:t>estacamos que</w:t>
      </w:r>
      <w:r w:rsidR="00C5742C">
        <w:rPr>
          <w:lang w:val="es-ES"/>
        </w:rPr>
        <w:t>,</w:t>
      </w:r>
      <w:r w:rsidR="00682597">
        <w:rPr>
          <w:lang w:val="es-ES"/>
        </w:rPr>
        <w:t xml:space="preserve"> en 2016</w:t>
      </w:r>
      <w:r w:rsidR="00C5742C">
        <w:rPr>
          <w:lang w:val="es-ES"/>
        </w:rPr>
        <w:t>, está muy avanzado</w:t>
      </w:r>
      <w:r w:rsidR="00682597">
        <w:rPr>
          <w:lang w:val="es-ES"/>
        </w:rPr>
        <w:t xml:space="preserve"> la definición de un convenio </w:t>
      </w:r>
      <w:r w:rsidR="00AE2CF7">
        <w:rPr>
          <w:lang w:val="es-ES"/>
        </w:rPr>
        <w:t xml:space="preserve">plurianual </w:t>
      </w:r>
      <w:r w:rsidR="00682597">
        <w:rPr>
          <w:lang w:val="es-ES"/>
        </w:rPr>
        <w:t>que le garantice una financiación esta</w:t>
      </w:r>
      <w:r w:rsidR="00AE2CF7">
        <w:rPr>
          <w:lang w:val="es-ES"/>
        </w:rPr>
        <w:t xml:space="preserve">ble </w:t>
      </w:r>
      <w:r w:rsidR="00682597">
        <w:rPr>
          <w:lang w:val="es-ES"/>
        </w:rPr>
        <w:t>para el periodo de 2017 a 2020.</w:t>
      </w:r>
      <w:r w:rsidR="00C5742C">
        <w:rPr>
          <w:lang w:val="es-ES"/>
        </w:rPr>
        <w:t xml:space="preserve"> Esta financiación está prevista que se vincule a la estructura de la misma y al logro de objetivos o resultados en el ámbito docente e investigador.</w:t>
      </w:r>
    </w:p>
    <w:p w:rsidR="006B75FC" w:rsidRPr="00086A1F" w:rsidRDefault="006B75FC" w:rsidP="00F7024A">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sidRPr="00086A1F">
        <w:rPr>
          <w:lang w:val="es-ES"/>
        </w:rPr>
        <w:t>De</w:t>
      </w:r>
      <w:r w:rsidR="00150E5F">
        <w:rPr>
          <w:lang w:val="es-ES"/>
        </w:rPr>
        <w:t xml:space="preserve"> las</w:t>
      </w:r>
      <w:r w:rsidRPr="00086A1F">
        <w:rPr>
          <w:lang w:val="es-ES"/>
        </w:rPr>
        <w:t xml:space="preserve"> líneas del Plan de Emprendimiento, se ha</w:t>
      </w:r>
      <w:r w:rsidR="00695E60">
        <w:rPr>
          <w:lang w:val="es-ES"/>
        </w:rPr>
        <w:t>n</w:t>
      </w:r>
      <w:r w:rsidRPr="00086A1F">
        <w:rPr>
          <w:lang w:val="es-ES"/>
        </w:rPr>
        <w:t xml:space="preserve"> revisado las correspondientes a Fomento de competitividad de PYMES</w:t>
      </w:r>
      <w:r w:rsidR="0043373F" w:rsidRPr="00086A1F">
        <w:rPr>
          <w:lang w:val="es-ES"/>
        </w:rPr>
        <w:t xml:space="preserve"> </w:t>
      </w:r>
      <w:r w:rsidR="00F7024A">
        <w:rPr>
          <w:lang w:val="es-ES"/>
        </w:rPr>
        <w:t>–</w:t>
      </w:r>
      <w:r w:rsidR="0043373F" w:rsidRPr="00086A1F">
        <w:rPr>
          <w:lang w:val="es-ES"/>
        </w:rPr>
        <w:t>2</w:t>
      </w:r>
      <w:r w:rsidR="00067F08" w:rsidRPr="00086A1F">
        <w:rPr>
          <w:lang w:val="es-ES"/>
        </w:rPr>
        <w:t>6</w:t>
      </w:r>
      <w:r w:rsidR="0043373F" w:rsidRPr="00086A1F">
        <w:rPr>
          <w:lang w:val="es-ES"/>
        </w:rPr>
        <w:t xml:space="preserve"> millones</w:t>
      </w:r>
      <w:r w:rsidR="00F7024A">
        <w:rPr>
          <w:lang w:val="es-ES"/>
        </w:rPr>
        <w:t>–</w:t>
      </w:r>
      <w:r w:rsidR="006362BE">
        <w:rPr>
          <w:lang w:val="es-ES"/>
        </w:rPr>
        <w:t xml:space="preserve"> </w:t>
      </w:r>
      <w:r w:rsidRPr="00086A1F">
        <w:rPr>
          <w:lang w:val="es-ES"/>
        </w:rPr>
        <w:t>y la de Apoyo a la creación de nuevas empresas</w:t>
      </w:r>
      <w:r w:rsidR="0043373F" w:rsidRPr="00086A1F">
        <w:rPr>
          <w:lang w:val="es-ES"/>
        </w:rPr>
        <w:t xml:space="preserve"> </w:t>
      </w:r>
      <w:r w:rsidR="00F7024A">
        <w:rPr>
          <w:lang w:val="es-ES"/>
        </w:rPr>
        <w:t>–</w:t>
      </w:r>
      <w:r w:rsidR="0043373F" w:rsidRPr="00086A1F">
        <w:rPr>
          <w:lang w:val="es-ES"/>
        </w:rPr>
        <w:t>19 millones</w:t>
      </w:r>
      <w:r w:rsidR="00F7024A">
        <w:rPr>
          <w:lang w:val="es-ES"/>
        </w:rPr>
        <w:t>–.</w:t>
      </w:r>
      <w:r w:rsidRPr="00086A1F">
        <w:rPr>
          <w:lang w:val="es-ES"/>
        </w:rPr>
        <w:t>Con carácter general, los expedientes de concesión</w:t>
      </w:r>
      <w:r w:rsidR="0043373F" w:rsidRPr="00086A1F">
        <w:rPr>
          <w:lang w:val="es-ES"/>
        </w:rPr>
        <w:t xml:space="preserve"> y justificación</w:t>
      </w:r>
      <w:r w:rsidRPr="00086A1F">
        <w:rPr>
          <w:lang w:val="es-ES"/>
        </w:rPr>
        <w:t xml:space="preserve"> se ajustan a la normativa aplicable</w:t>
      </w:r>
      <w:r w:rsidR="00086A1F">
        <w:rPr>
          <w:lang w:val="es-ES"/>
        </w:rPr>
        <w:t>.</w:t>
      </w:r>
      <w:r w:rsidRPr="00086A1F">
        <w:rPr>
          <w:lang w:val="es-ES"/>
        </w:rPr>
        <w:t xml:space="preserve"> Así mismo, respecto a las ayudas de Apo</w:t>
      </w:r>
      <w:r w:rsidR="00086A1F">
        <w:rPr>
          <w:lang w:val="es-ES"/>
        </w:rPr>
        <w:t xml:space="preserve">yo a la creación, </w:t>
      </w:r>
      <w:r w:rsidRPr="00086A1F">
        <w:rPr>
          <w:lang w:val="es-ES"/>
        </w:rPr>
        <w:t>se han concedido a 118 beneficiarios por importe</w:t>
      </w:r>
      <w:r w:rsidR="0043373F" w:rsidRPr="00086A1F">
        <w:rPr>
          <w:lang w:val="es-ES"/>
        </w:rPr>
        <w:t xml:space="preserve"> individual máximo de 3.000 eu</w:t>
      </w:r>
      <w:r w:rsidR="00FF3AF0">
        <w:rPr>
          <w:lang w:val="es-ES"/>
        </w:rPr>
        <w:t xml:space="preserve">ros; llamamos la atención </w:t>
      </w:r>
      <w:r w:rsidR="00DC6189">
        <w:rPr>
          <w:lang w:val="es-ES"/>
        </w:rPr>
        <w:t xml:space="preserve">sobre </w:t>
      </w:r>
      <w:r w:rsidR="0043373F" w:rsidRPr="00086A1F">
        <w:rPr>
          <w:lang w:val="es-ES"/>
        </w:rPr>
        <w:t xml:space="preserve">la carga administrativa y de gestión que conlleva la concesión, seguimiento y control </w:t>
      </w:r>
      <w:r w:rsidR="00DC6189">
        <w:rPr>
          <w:lang w:val="es-ES"/>
        </w:rPr>
        <w:t>de</w:t>
      </w:r>
      <w:r w:rsidR="0043373F" w:rsidRPr="00086A1F">
        <w:rPr>
          <w:lang w:val="es-ES"/>
        </w:rPr>
        <w:t xml:space="preserve"> subvenciones de tal cuantía. </w:t>
      </w:r>
    </w:p>
    <w:p w:rsidR="0043373F" w:rsidRDefault="0043373F" w:rsidP="007C6BCB">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240"/>
        <w:ind w:left="0" w:firstLine="289"/>
        <w:rPr>
          <w:lang w:val="es-ES"/>
        </w:rPr>
      </w:pPr>
      <w:r>
        <w:rPr>
          <w:lang w:val="es-ES"/>
        </w:rPr>
        <w:t xml:space="preserve">Se ha revisado igualmente </w:t>
      </w:r>
      <w:r w:rsidR="003A5D6A">
        <w:rPr>
          <w:lang w:val="es-ES"/>
        </w:rPr>
        <w:t>una muestra de</w:t>
      </w:r>
      <w:r>
        <w:rPr>
          <w:lang w:val="es-ES"/>
        </w:rPr>
        <w:t xml:space="preserve"> reintegros de subvenciones imputados al presupuesto de ingresos</w:t>
      </w:r>
      <w:r w:rsidR="00EE7659">
        <w:rPr>
          <w:lang w:val="es-ES"/>
        </w:rPr>
        <w:t xml:space="preserve">, concluyendo que los importes reintegrados </w:t>
      </w:r>
      <w:r w:rsidR="00F7024A">
        <w:rPr>
          <w:lang w:val="es-ES"/>
        </w:rPr>
        <w:t>–pr</w:t>
      </w:r>
      <w:r w:rsidR="00EE7659">
        <w:rPr>
          <w:lang w:val="es-ES"/>
        </w:rPr>
        <w:t>incipal e intereses</w:t>
      </w:r>
      <w:r w:rsidR="00F7024A">
        <w:rPr>
          <w:lang w:val="es-ES"/>
        </w:rPr>
        <w:t>–</w:t>
      </w:r>
      <w:r w:rsidR="00EE7659">
        <w:rPr>
          <w:lang w:val="es-ES"/>
        </w:rPr>
        <w:t xml:space="preserve"> se han efectuado al amparo de la normativa vigente.</w:t>
      </w:r>
    </w:p>
    <w:p w:rsidR="008D4FAE" w:rsidRPr="008D4FAE" w:rsidRDefault="008D4FAE" w:rsidP="00071FC3">
      <w:pPr>
        <w:pStyle w:val="atitulo3"/>
        <w:rPr>
          <w:lang w:val="es-ES"/>
        </w:rPr>
      </w:pPr>
      <w:r w:rsidRPr="008D4FAE">
        <w:rPr>
          <w:lang w:val="es-ES"/>
        </w:rPr>
        <w:t>Gastos en inversiones</w:t>
      </w:r>
    </w:p>
    <w:p w:rsidR="007253A2" w:rsidRDefault="007253A2" w:rsidP="008D4FAE">
      <w:pPr>
        <w:pStyle w:val="texto"/>
        <w:spacing w:after="120"/>
        <w:rPr>
          <w:lang w:val="es-ES"/>
        </w:rPr>
      </w:pPr>
      <w:r>
        <w:rPr>
          <w:lang w:val="es-ES"/>
        </w:rPr>
        <w:t xml:space="preserve">Sobre la revisión del gasto en </w:t>
      </w:r>
      <w:r w:rsidRPr="00F05298">
        <w:rPr>
          <w:lang w:val="es-ES"/>
        </w:rPr>
        <w:t>inversiones</w:t>
      </w:r>
      <w:r>
        <w:rPr>
          <w:lang w:val="es-ES"/>
        </w:rPr>
        <w:t>, señalamos:</w:t>
      </w:r>
    </w:p>
    <w:p w:rsidR="006B3080" w:rsidRDefault="007253A2" w:rsidP="00F05298">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Pr>
          <w:lang w:val="es-ES"/>
        </w:rPr>
        <w:t>El gasto en inversiones ha ascendido a 91,8</w:t>
      </w:r>
      <w:r w:rsidR="00FF3AF0">
        <w:rPr>
          <w:lang w:val="es-ES"/>
        </w:rPr>
        <w:t>6</w:t>
      </w:r>
      <w:r>
        <w:rPr>
          <w:lang w:val="es-ES"/>
        </w:rPr>
        <w:t xml:space="preserve"> millones, un dos por ciento menos que el ejercicio anterior. </w:t>
      </w:r>
      <w:r w:rsidR="006B3080">
        <w:rPr>
          <w:lang w:val="es-ES"/>
        </w:rPr>
        <w:t>El presupuesto asignaba unos créditos iniciales de 131,50 millones, que se modificaron a la baja en 35,70 millones, de los que 29 millones correspond</w:t>
      </w:r>
      <w:r w:rsidR="0073665C">
        <w:rPr>
          <w:lang w:val="es-ES"/>
        </w:rPr>
        <w:t>ían</w:t>
      </w:r>
      <w:r w:rsidR="006B3080">
        <w:rPr>
          <w:lang w:val="es-ES"/>
        </w:rPr>
        <w:t xml:space="preserve"> a obras del TAV.</w:t>
      </w:r>
    </w:p>
    <w:p w:rsidR="007253A2" w:rsidRDefault="007253A2" w:rsidP="00F05298">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Pr>
          <w:lang w:val="es-ES"/>
        </w:rPr>
        <w:t xml:space="preserve">Si analizamos el gasto en este capítulo desde 2008, observamos que se ha reducido en un 70 por </w:t>
      </w:r>
      <w:r w:rsidR="0073665C">
        <w:rPr>
          <w:lang w:val="es-ES"/>
        </w:rPr>
        <w:t xml:space="preserve">ciento, de 306 a </w:t>
      </w:r>
      <w:r>
        <w:rPr>
          <w:lang w:val="es-ES"/>
        </w:rPr>
        <w:t xml:space="preserve">92 millones. </w:t>
      </w:r>
    </w:p>
    <w:p w:rsidR="00C0253F" w:rsidRDefault="007253A2" w:rsidP="00C0253F">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Pr>
          <w:lang w:val="es-ES"/>
        </w:rPr>
        <w:t>Las principales inversiones del ejercicio</w:t>
      </w:r>
      <w:r w:rsidR="00BF549C">
        <w:rPr>
          <w:lang w:val="es-ES"/>
        </w:rPr>
        <w:t xml:space="preserve"> 2015</w:t>
      </w:r>
      <w:r>
        <w:rPr>
          <w:lang w:val="es-ES"/>
        </w:rPr>
        <w:t xml:space="preserve"> hacen referencia a carret</w:t>
      </w:r>
      <w:r w:rsidR="00695E60">
        <w:rPr>
          <w:lang w:val="es-ES"/>
        </w:rPr>
        <w:t>er</w:t>
      </w:r>
      <w:r>
        <w:rPr>
          <w:lang w:val="es-ES"/>
        </w:rPr>
        <w:t xml:space="preserve">as </w:t>
      </w:r>
      <w:r w:rsidR="007C6BCB">
        <w:rPr>
          <w:lang w:val="es-ES"/>
        </w:rPr>
        <w:t>–</w:t>
      </w:r>
      <w:r>
        <w:rPr>
          <w:lang w:val="es-ES"/>
        </w:rPr>
        <w:t>35,85 millones</w:t>
      </w:r>
      <w:r w:rsidR="007C6BCB">
        <w:rPr>
          <w:lang w:val="es-ES"/>
        </w:rPr>
        <w:t>–</w:t>
      </w:r>
      <w:r>
        <w:rPr>
          <w:lang w:val="es-ES"/>
        </w:rPr>
        <w:t xml:space="preserve">, equipos médicos </w:t>
      </w:r>
      <w:r w:rsidR="007C6BCB">
        <w:rPr>
          <w:lang w:val="es-ES"/>
        </w:rPr>
        <w:t>–</w:t>
      </w:r>
      <w:r>
        <w:rPr>
          <w:lang w:val="es-ES"/>
        </w:rPr>
        <w:t>8,90 millones</w:t>
      </w:r>
      <w:r w:rsidR="007C6BCB">
        <w:rPr>
          <w:lang w:val="es-ES"/>
        </w:rPr>
        <w:t>–</w:t>
      </w:r>
      <w:r>
        <w:rPr>
          <w:lang w:val="es-ES"/>
        </w:rPr>
        <w:t xml:space="preserve">, aplicaciones informáticas </w:t>
      </w:r>
      <w:r w:rsidR="007C6BCB">
        <w:rPr>
          <w:lang w:val="es-ES"/>
        </w:rPr>
        <w:t>–</w:t>
      </w:r>
      <w:r>
        <w:rPr>
          <w:lang w:val="es-ES"/>
        </w:rPr>
        <w:t>8,47 millones</w:t>
      </w:r>
      <w:r w:rsidR="007C6BCB">
        <w:rPr>
          <w:lang w:val="es-ES"/>
        </w:rPr>
        <w:t>– y obras del TAV –</w:t>
      </w:r>
      <w:r w:rsidR="006B3080">
        <w:rPr>
          <w:lang w:val="es-ES"/>
        </w:rPr>
        <w:t>8,</w:t>
      </w:r>
      <w:r w:rsidR="00FF3AF0">
        <w:rPr>
          <w:lang w:val="es-ES"/>
        </w:rPr>
        <w:t>60</w:t>
      </w:r>
      <w:r w:rsidR="006B3080">
        <w:rPr>
          <w:lang w:val="es-ES"/>
        </w:rPr>
        <w:t xml:space="preserve"> millones</w:t>
      </w:r>
      <w:r w:rsidR="007C6BCB">
        <w:rPr>
          <w:lang w:val="es-ES"/>
        </w:rPr>
        <w:t>–</w:t>
      </w:r>
      <w:r w:rsidR="006B3080">
        <w:rPr>
          <w:lang w:val="es-ES"/>
        </w:rPr>
        <w:t>.</w:t>
      </w:r>
    </w:p>
    <w:p w:rsidR="005E15C7" w:rsidRDefault="00C0253F" w:rsidP="00846EDC">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120"/>
        <w:ind w:left="0" w:firstLine="289"/>
        <w:rPr>
          <w:lang w:val="es-ES"/>
        </w:rPr>
      </w:pPr>
      <w:r>
        <w:rPr>
          <w:lang w:val="es-ES"/>
        </w:rPr>
        <w:t>S</w:t>
      </w:r>
      <w:r w:rsidR="00FE4D94" w:rsidRPr="00C0253F">
        <w:rPr>
          <w:lang w:val="es-ES"/>
        </w:rPr>
        <w:t>e han revisado</w:t>
      </w:r>
      <w:r w:rsidR="00C2590F" w:rsidRPr="00C0253F">
        <w:rPr>
          <w:lang w:val="es-ES"/>
        </w:rPr>
        <w:t xml:space="preserve"> específicamente</w:t>
      </w:r>
      <w:r w:rsidR="00FE4D94" w:rsidRPr="00C0253F">
        <w:rPr>
          <w:lang w:val="es-ES"/>
        </w:rPr>
        <w:t xml:space="preserve"> los siguientes contratos: </w:t>
      </w:r>
    </w:p>
    <w:p w:rsidR="00846EDC" w:rsidRPr="00846EDC" w:rsidRDefault="006362BE" w:rsidP="00846EDC">
      <w:pPr>
        <w:pStyle w:val="recomen"/>
        <w:numPr>
          <w:ilvl w:val="0"/>
          <w:numId w:val="0"/>
        </w:numPr>
        <w:spacing w:after="40"/>
        <w:ind w:left="1588"/>
        <w:jc w:val="right"/>
        <w:rPr>
          <w:rFonts w:ascii="Arial Narrow" w:hAnsi="Arial Narrow"/>
          <w:i w:val="0"/>
          <w:sz w:val="18"/>
          <w:szCs w:val="18"/>
        </w:rPr>
      </w:pPr>
      <w:r w:rsidRPr="00846EDC">
        <w:rPr>
          <w:rFonts w:ascii="Arial Narrow" w:hAnsi="Arial Narrow"/>
          <w:i w:val="0"/>
          <w:sz w:val="18"/>
          <w:szCs w:val="18"/>
        </w:rPr>
        <w:t>Miles</w:t>
      </w:r>
      <w:r w:rsidR="00846EDC" w:rsidRPr="00846EDC">
        <w:rPr>
          <w:rFonts w:ascii="Arial Narrow" w:hAnsi="Arial Narrow"/>
          <w:i w:val="0"/>
          <w:sz w:val="18"/>
          <w:szCs w:val="18"/>
        </w:rPr>
        <w:t xml:space="preserve"> de euros</w:t>
      </w:r>
    </w:p>
    <w:tbl>
      <w:tblPr>
        <w:tblW w:w="8760" w:type="dxa"/>
        <w:jc w:val="center"/>
        <w:tblBorders>
          <w:top w:val="single" w:sz="4" w:space="0" w:color="auto"/>
          <w:bottom w:val="single" w:sz="4" w:space="0" w:color="auto"/>
        </w:tblBorders>
        <w:tblLayout w:type="fixed"/>
        <w:tblLook w:val="01E0" w:firstRow="1" w:lastRow="1" w:firstColumn="1" w:lastColumn="1" w:noHBand="0" w:noVBand="0"/>
      </w:tblPr>
      <w:tblGrid>
        <w:gridCol w:w="2101"/>
        <w:gridCol w:w="1029"/>
        <w:gridCol w:w="1443"/>
        <w:gridCol w:w="1058"/>
        <w:gridCol w:w="1034"/>
        <w:gridCol w:w="953"/>
        <w:gridCol w:w="1142"/>
      </w:tblGrid>
      <w:tr w:rsidR="00732EA7" w:rsidRPr="00F7024A" w:rsidTr="00CA4665">
        <w:trPr>
          <w:trHeight w:val="284"/>
          <w:jc w:val="center"/>
        </w:trPr>
        <w:tc>
          <w:tcPr>
            <w:tcW w:w="2101" w:type="dxa"/>
            <w:tcBorders>
              <w:top w:val="single" w:sz="4" w:space="0" w:color="auto"/>
              <w:bottom w:val="single" w:sz="4" w:space="0" w:color="auto"/>
            </w:tcBorders>
            <w:shd w:val="clear" w:color="auto" w:fill="ACCBF9" w:themeFill="background2"/>
            <w:vAlign w:val="center"/>
            <w:hideMark/>
          </w:tcPr>
          <w:p w:rsidR="00732EA7" w:rsidRPr="00F7024A" w:rsidRDefault="00732EA7" w:rsidP="00F7024A">
            <w:pPr>
              <w:pStyle w:val="cuadroCabe"/>
              <w:tabs>
                <w:tab w:val="clear" w:pos="2835"/>
                <w:tab w:val="clear" w:pos="3969"/>
                <w:tab w:val="clear" w:pos="5103"/>
                <w:tab w:val="clear" w:pos="6237"/>
                <w:tab w:val="clear" w:pos="7371"/>
              </w:tabs>
              <w:jc w:val="left"/>
              <w:rPr>
                <w:rFonts w:cs="Arial"/>
                <w:sz w:val="17"/>
                <w:szCs w:val="17"/>
              </w:rPr>
            </w:pPr>
            <w:r w:rsidRPr="00F7024A">
              <w:rPr>
                <w:rFonts w:cs="Arial"/>
                <w:sz w:val="17"/>
                <w:szCs w:val="17"/>
              </w:rPr>
              <w:t>Objeto</w:t>
            </w:r>
          </w:p>
        </w:tc>
        <w:tc>
          <w:tcPr>
            <w:tcW w:w="1029" w:type="dxa"/>
            <w:tcBorders>
              <w:top w:val="single" w:sz="4" w:space="0" w:color="auto"/>
              <w:bottom w:val="single" w:sz="4" w:space="0" w:color="auto"/>
            </w:tcBorders>
            <w:shd w:val="clear" w:color="auto" w:fill="ACCBF9" w:themeFill="background2"/>
            <w:vAlign w:val="center"/>
            <w:hideMark/>
          </w:tcPr>
          <w:p w:rsidR="00732EA7" w:rsidRPr="00F7024A" w:rsidRDefault="00732EA7" w:rsidP="00E434DE">
            <w:pPr>
              <w:pStyle w:val="cuadroCabe"/>
              <w:jc w:val="left"/>
              <w:rPr>
                <w:rFonts w:cs="Arial"/>
                <w:sz w:val="17"/>
                <w:szCs w:val="17"/>
              </w:rPr>
            </w:pPr>
            <w:r w:rsidRPr="00F7024A">
              <w:rPr>
                <w:rFonts w:cs="Arial"/>
                <w:sz w:val="17"/>
                <w:szCs w:val="17"/>
              </w:rPr>
              <w:t>Tipo</w:t>
            </w:r>
          </w:p>
        </w:tc>
        <w:tc>
          <w:tcPr>
            <w:tcW w:w="1443" w:type="dxa"/>
            <w:tcBorders>
              <w:top w:val="single" w:sz="4" w:space="0" w:color="auto"/>
              <w:bottom w:val="single" w:sz="4" w:space="0" w:color="auto"/>
            </w:tcBorders>
            <w:shd w:val="clear" w:color="auto" w:fill="ACCBF9" w:themeFill="background2"/>
            <w:vAlign w:val="center"/>
            <w:hideMark/>
          </w:tcPr>
          <w:p w:rsidR="00732EA7" w:rsidRPr="00F7024A" w:rsidRDefault="00732EA7" w:rsidP="00E434DE">
            <w:pPr>
              <w:pStyle w:val="cuadroCabe"/>
              <w:jc w:val="left"/>
              <w:rPr>
                <w:rFonts w:cs="Arial"/>
                <w:sz w:val="17"/>
                <w:szCs w:val="17"/>
              </w:rPr>
            </w:pPr>
            <w:r w:rsidRPr="00F7024A">
              <w:rPr>
                <w:rFonts w:cs="Arial"/>
                <w:sz w:val="17"/>
                <w:szCs w:val="17"/>
              </w:rPr>
              <w:t>Procedimiento</w:t>
            </w:r>
          </w:p>
        </w:tc>
        <w:tc>
          <w:tcPr>
            <w:tcW w:w="1058" w:type="dxa"/>
            <w:tcBorders>
              <w:top w:val="single" w:sz="4" w:space="0" w:color="auto"/>
              <w:bottom w:val="single" w:sz="4" w:space="0" w:color="auto"/>
            </w:tcBorders>
            <w:shd w:val="clear" w:color="auto" w:fill="ACCBF9" w:themeFill="background2"/>
            <w:vAlign w:val="center"/>
          </w:tcPr>
          <w:p w:rsidR="00732EA7" w:rsidRPr="00F7024A" w:rsidRDefault="00732EA7" w:rsidP="00E40C32">
            <w:pPr>
              <w:pStyle w:val="cuadroCabe"/>
              <w:jc w:val="right"/>
              <w:rPr>
                <w:rFonts w:cs="Arial"/>
                <w:sz w:val="17"/>
                <w:szCs w:val="17"/>
              </w:rPr>
            </w:pPr>
            <w:r w:rsidRPr="00F7024A">
              <w:rPr>
                <w:rFonts w:cs="Arial"/>
                <w:sz w:val="17"/>
                <w:szCs w:val="17"/>
              </w:rPr>
              <w:t>Número licitadores</w:t>
            </w:r>
          </w:p>
        </w:tc>
        <w:tc>
          <w:tcPr>
            <w:tcW w:w="1034" w:type="dxa"/>
            <w:tcBorders>
              <w:top w:val="single" w:sz="4" w:space="0" w:color="auto"/>
              <w:bottom w:val="single" w:sz="4" w:space="0" w:color="auto"/>
            </w:tcBorders>
            <w:shd w:val="clear" w:color="auto" w:fill="ACCBF9" w:themeFill="background2"/>
            <w:vAlign w:val="center"/>
            <w:hideMark/>
          </w:tcPr>
          <w:p w:rsidR="00732EA7" w:rsidRPr="00F7024A" w:rsidRDefault="00732EA7" w:rsidP="00E40C32">
            <w:pPr>
              <w:pStyle w:val="cuadroCabe"/>
              <w:jc w:val="right"/>
              <w:rPr>
                <w:rFonts w:cs="Arial"/>
                <w:sz w:val="17"/>
                <w:szCs w:val="17"/>
              </w:rPr>
            </w:pPr>
            <w:r w:rsidRPr="00F7024A">
              <w:rPr>
                <w:rFonts w:cs="Arial"/>
                <w:sz w:val="17"/>
                <w:szCs w:val="17"/>
              </w:rPr>
              <w:t xml:space="preserve">Precio licitación </w:t>
            </w:r>
          </w:p>
        </w:tc>
        <w:tc>
          <w:tcPr>
            <w:tcW w:w="953" w:type="dxa"/>
            <w:tcBorders>
              <w:top w:val="single" w:sz="4" w:space="0" w:color="auto"/>
              <w:bottom w:val="single" w:sz="4" w:space="0" w:color="auto"/>
            </w:tcBorders>
            <w:shd w:val="clear" w:color="auto" w:fill="ACCBF9" w:themeFill="background2"/>
            <w:vAlign w:val="center"/>
            <w:hideMark/>
          </w:tcPr>
          <w:p w:rsidR="00732EA7" w:rsidRPr="00F7024A" w:rsidRDefault="00732EA7" w:rsidP="00E40C32">
            <w:pPr>
              <w:pStyle w:val="cuadroCabe"/>
              <w:jc w:val="right"/>
              <w:rPr>
                <w:rFonts w:cs="Arial"/>
                <w:sz w:val="17"/>
                <w:szCs w:val="17"/>
              </w:rPr>
            </w:pPr>
            <w:r w:rsidRPr="00F7024A">
              <w:rPr>
                <w:rFonts w:cs="Arial"/>
                <w:sz w:val="17"/>
                <w:szCs w:val="17"/>
              </w:rPr>
              <w:t xml:space="preserve">Importe </w:t>
            </w:r>
          </w:p>
          <w:p w:rsidR="00732EA7" w:rsidRPr="00F7024A" w:rsidRDefault="00732EA7" w:rsidP="00E40C32">
            <w:pPr>
              <w:pStyle w:val="cuadroCabe"/>
              <w:jc w:val="right"/>
              <w:rPr>
                <w:rFonts w:cs="Arial"/>
                <w:sz w:val="17"/>
                <w:szCs w:val="17"/>
              </w:rPr>
            </w:pPr>
            <w:r w:rsidRPr="00F7024A">
              <w:rPr>
                <w:rFonts w:cs="Arial"/>
                <w:sz w:val="17"/>
                <w:szCs w:val="17"/>
              </w:rPr>
              <w:t xml:space="preserve">adjudic. </w:t>
            </w:r>
          </w:p>
        </w:tc>
        <w:tc>
          <w:tcPr>
            <w:tcW w:w="1142" w:type="dxa"/>
            <w:tcBorders>
              <w:top w:val="single" w:sz="4" w:space="0" w:color="auto"/>
              <w:bottom w:val="single" w:sz="4" w:space="0" w:color="auto"/>
            </w:tcBorders>
            <w:shd w:val="clear" w:color="auto" w:fill="ACCBF9" w:themeFill="background2"/>
            <w:vAlign w:val="center"/>
          </w:tcPr>
          <w:p w:rsidR="00732EA7" w:rsidRPr="00F7024A" w:rsidRDefault="00732EA7" w:rsidP="00E40C32">
            <w:pPr>
              <w:pStyle w:val="cuadroCabe"/>
              <w:jc w:val="right"/>
              <w:rPr>
                <w:rFonts w:cs="Arial"/>
                <w:sz w:val="17"/>
                <w:szCs w:val="17"/>
              </w:rPr>
            </w:pPr>
            <w:r w:rsidRPr="00F7024A">
              <w:rPr>
                <w:rFonts w:cs="Arial"/>
                <w:sz w:val="17"/>
                <w:szCs w:val="17"/>
              </w:rPr>
              <w:t>Gasto</w:t>
            </w:r>
          </w:p>
          <w:p w:rsidR="00732EA7" w:rsidRPr="00F7024A" w:rsidRDefault="00BA335B" w:rsidP="00BA335B">
            <w:pPr>
              <w:pStyle w:val="cuadroCabe"/>
              <w:jc w:val="right"/>
              <w:rPr>
                <w:rFonts w:cs="Arial"/>
                <w:sz w:val="17"/>
                <w:szCs w:val="17"/>
              </w:rPr>
            </w:pPr>
            <w:r>
              <w:rPr>
                <w:rFonts w:cs="Arial"/>
                <w:sz w:val="17"/>
                <w:szCs w:val="17"/>
              </w:rPr>
              <w:t>e</w:t>
            </w:r>
            <w:r w:rsidR="00732EA7" w:rsidRPr="00F7024A">
              <w:rPr>
                <w:rFonts w:cs="Arial"/>
                <w:sz w:val="17"/>
                <w:szCs w:val="17"/>
              </w:rPr>
              <w:t>jecutado</w:t>
            </w:r>
            <w:r w:rsidR="00FF3AF0" w:rsidRPr="00F7024A">
              <w:rPr>
                <w:rFonts w:cs="Arial"/>
                <w:sz w:val="17"/>
                <w:szCs w:val="17"/>
              </w:rPr>
              <w:t xml:space="preserve"> a 31</w:t>
            </w:r>
            <w:r>
              <w:rPr>
                <w:rFonts w:cs="Arial"/>
                <w:sz w:val="17"/>
                <w:szCs w:val="17"/>
              </w:rPr>
              <w:t>-</w:t>
            </w:r>
            <w:r w:rsidR="00FF3AF0" w:rsidRPr="00F7024A">
              <w:rPr>
                <w:rFonts w:cs="Arial"/>
                <w:sz w:val="17"/>
                <w:szCs w:val="17"/>
              </w:rPr>
              <w:t>XII</w:t>
            </w:r>
            <w:r>
              <w:rPr>
                <w:rFonts w:cs="Arial"/>
                <w:sz w:val="17"/>
                <w:szCs w:val="17"/>
              </w:rPr>
              <w:t>-</w:t>
            </w:r>
            <w:r w:rsidR="00FF3AF0" w:rsidRPr="00F7024A">
              <w:rPr>
                <w:rFonts w:cs="Arial"/>
                <w:sz w:val="17"/>
                <w:szCs w:val="17"/>
              </w:rPr>
              <w:t>15</w:t>
            </w:r>
          </w:p>
        </w:tc>
      </w:tr>
      <w:tr w:rsidR="00732EA7" w:rsidRPr="007A01AC" w:rsidTr="00CA4665">
        <w:trPr>
          <w:trHeight w:val="284"/>
          <w:jc w:val="center"/>
        </w:trPr>
        <w:tc>
          <w:tcPr>
            <w:tcW w:w="2101" w:type="dxa"/>
            <w:tcBorders>
              <w:top w:val="single" w:sz="4" w:space="0" w:color="auto"/>
              <w:bottom w:val="single" w:sz="2" w:space="0" w:color="auto"/>
            </w:tcBorders>
            <w:vAlign w:val="center"/>
          </w:tcPr>
          <w:p w:rsidR="00732EA7" w:rsidRPr="009D1DA5" w:rsidRDefault="00732EA7" w:rsidP="00F7024A">
            <w:pPr>
              <w:spacing w:after="0"/>
              <w:ind w:firstLine="0"/>
              <w:jc w:val="left"/>
              <w:rPr>
                <w:rFonts w:ascii="Arial Narrow" w:hAnsi="Arial Narrow" w:cs="Arial"/>
                <w:lang w:eastAsia="es-ES"/>
              </w:rPr>
            </w:pPr>
            <w:r w:rsidRPr="009D1DA5">
              <w:rPr>
                <w:rFonts w:ascii="Arial Narrow" w:hAnsi="Arial Narrow" w:cs="Arial"/>
                <w:lang w:eastAsia="es-ES"/>
              </w:rPr>
              <w:t>2ª Fase del nuevo colegio de Sarriguren</w:t>
            </w:r>
            <w:r w:rsidR="00FF3AF0">
              <w:rPr>
                <w:rFonts w:ascii="Arial Narrow" w:hAnsi="Arial Narrow" w:cs="Arial"/>
                <w:lang w:eastAsia="es-ES"/>
              </w:rPr>
              <w:t xml:space="preserve"> </w:t>
            </w:r>
            <w:r w:rsidR="00FF3AF0" w:rsidRPr="00213508">
              <w:rPr>
                <w:rFonts w:ascii="Arial Narrow" w:hAnsi="Arial Narrow" w:cs="Arial"/>
                <w:vertAlign w:val="superscript"/>
                <w:lang w:eastAsia="es-ES"/>
              </w:rPr>
              <w:t>(1)</w:t>
            </w:r>
          </w:p>
        </w:tc>
        <w:tc>
          <w:tcPr>
            <w:tcW w:w="1029" w:type="dxa"/>
            <w:tcBorders>
              <w:top w:val="single" w:sz="4" w:space="0" w:color="auto"/>
              <w:bottom w:val="single" w:sz="2" w:space="0" w:color="auto"/>
            </w:tcBorders>
            <w:vAlign w:val="center"/>
          </w:tcPr>
          <w:p w:rsidR="00732EA7" w:rsidRPr="009D1DA5" w:rsidRDefault="00732EA7" w:rsidP="009D1DA5">
            <w:pPr>
              <w:spacing w:after="0"/>
              <w:ind w:firstLine="0"/>
              <w:jc w:val="left"/>
              <w:rPr>
                <w:rFonts w:ascii="Arial Narrow" w:hAnsi="Arial Narrow" w:cs="Arial"/>
                <w:lang w:eastAsia="es-ES"/>
              </w:rPr>
            </w:pPr>
            <w:r w:rsidRPr="009D1DA5">
              <w:rPr>
                <w:rFonts w:ascii="Arial Narrow" w:hAnsi="Arial Narrow" w:cs="Arial"/>
                <w:lang w:eastAsia="es-ES"/>
              </w:rPr>
              <w:t>Obras</w:t>
            </w:r>
          </w:p>
        </w:tc>
        <w:tc>
          <w:tcPr>
            <w:tcW w:w="1443" w:type="dxa"/>
            <w:tcBorders>
              <w:top w:val="single" w:sz="4" w:space="0" w:color="auto"/>
              <w:bottom w:val="single" w:sz="2" w:space="0" w:color="auto"/>
            </w:tcBorders>
            <w:vAlign w:val="center"/>
          </w:tcPr>
          <w:p w:rsidR="00732EA7" w:rsidRPr="009D1DA5" w:rsidRDefault="00732EA7" w:rsidP="0062189D">
            <w:pPr>
              <w:spacing w:after="0"/>
              <w:ind w:firstLine="0"/>
              <w:jc w:val="left"/>
              <w:rPr>
                <w:rFonts w:ascii="Arial Narrow" w:hAnsi="Arial Narrow" w:cs="Arial"/>
                <w:lang w:eastAsia="es-ES"/>
              </w:rPr>
            </w:pPr>
            <w:r w:rsidRPr="009D1DA5">
              <w:rPr>
                <w:rFonts w:ascii="Arial Narrow" w:hAnsi="Arial Narrow" w:cs="Arial"/>
                <w:lang w:eastAsia="es-ES"/>
              </w:rPr>
              <w:t>Abierto inferior al umbral comunitario</w:t>
            </w:r>
            <w:r w:rsidR="0062189D">
              <w:rPr>
                <w:rFonts w:ascii="Arial Narrow" w:hAnsi="Arial Narrow" w:cs="Arial"/>
                <w:lang w:eastAsia="es-ES"/>
              </w:rPr>
              <w:t>/</w:t>
            </w:r>
            <w:r>
              <w:rPr>
                <w:rFonts w:ascii="Arial Narrow" w:hAnsi="Arial Narrow" w:cs="Arial"/>
                <w:lang w:eastAsia="es-ES"/>
              </w:rPr>
              <w:t>Urgencia</w:t>
            </w:r>
          </w:p>
        </w:tc>
        <w:tc>
          <w:tcPr>
            <w:tcW w:w="1058" w:type="dxa"/>
            <w:tcBorders>
              <w:top w:val="single" w:sz="4" w:space="0" w:color="auto"/>
              <w:bottom w:val="single" w:sz="2" w:space="0" w:color="auto"/>
            </w:tcBorders>
            <w:vAlign w:val="center"/>
          </w:tcPr>
          <w:p w:rsidR="00732EA7" w:rsidRPr="009D1DA5" w:rsidRDefault="00732EA7" w:rsidP="00E40C32">
            <w:pPr>
              <w:spacing w:after="0"/>
              <w:ind w:firstLine="0"/>
              <w:jc w:val="right"/>
              <w:rPr>
                <w:rFonts w:ascii="Arial Narrow" w:hAnsi="Arial Narrow" w:cs="Arial"/>
                <w:lang w:eastAsia="es-ES"/>
              </w:rPr>
            </w:pPr>
            <w:r>
              <w:rPr>
                <w:rFonts w:ascii="Arial Narrow" w:hAnsi="Arial Narrow" w:cs="Arial"/>
                <w:lang w:eastAsia="es-ES"/>
              </w:rPr>
              <w:t>14</w:t>
            </w:r>
          </w:p>
        </w:tc>
        <w:tc>
          <w:tcPr>
            <w:tcW w:w="1034" w:type="dxa"/>
            <w:tcBorders>
              <w:top w:val="single" w:sz="4" w:space="0" w:color="auto"/>
              <w:bottom w:val="single" w:sz="2" w:space="0" w:color="auto"/>
            </w:tcBorders>
            <w:vAlign w:val="center"/>
          </w:tcPr>
          <w:p w:rsidR="00732EA7" w:rsidRPr="009D1DA5" w:rsidRDefault="00732EA7" w:rsidP="00E40C32">
            <w:pPr>
              <w:spacing w:after="0"/>
              <w:ind w:firstLine="0"/>
              <w:jc w:val="right"/>
              <w:rPr>
                <w:rFonts w:ascii="Arial Narrow" w:hAnsi="Arial Narrow" w:cs="Arial"/>
                <w:lang w:eastAsia="es-ES"/>
              </w:rPr>
            </w:pPr>
            <w:r w:rsidRPr="009D1DA5">
              <w:rPr>
                <w:rFonts w:ascii="Arial Narrow" w:hAnsi="Arial Narrow" w:cs="Arial"/>
                <w:lang w:eastAsia="es-ES"/>
              </w:rPr>
              <w:t>2.515</w:t>
            </w:r>
          </w:p>
        </w:tc>
        <w:tc>
          <w:tcPr>
            <w:tcW w:w="953" w:type="dxa"/>
            <w:tcBorders>
              <w:top w:val="single" w:sz="4" w:space="0" w:color="auto"/>
              <w:bottom w:val="single" w:sz="2" w:space="0" w:color="auto"/>
            </w:tcBorders>
            <w:vAlign w:val="center"/>
          </w:tcPr>
          <w:p w:rsidR="00732EA7" w:rsidRPr="009D1DA5" w:rsidRDefault="00732EA7" w:rsidP="00E40C32">
            <w:pPr>
              <w:spacing w:after="0"/>
              <w:ind w:firstLine="0"/>
              <w:jc w:val="right"/>
              <w:rPr>
                <w:rFonts w:ascii="Arial Narrow" w:hAnsi="Arial Narrow" w:cs="Arial"/>
                <w:lang w:eastAsia="es-ES"/>
              </w:rPr>
            </w:pPr>
            <w:r w:rsidRPr="009D1DA5">
              <w:rPr>
                <w:rFonts w:ascii="Arial Narrow" w:hAnsi="Arial Narrow" w:cs="Arial"/>
                <w:lang w:eastAsia="es-ES"/>
              </w:rPr>
              <w:t>1.849</w:t>
            </w:r>
          </w:p>
        </w:tc>
        <w:tc>
          <w:tcPr>
            <w:tcW w:w="1142" w:type="dxa"/>
            <w:tcBorders>
              <w:top w:val="single" w:sz="4" w:space="0" w:color="auto"/>
              <w:bottom w:val="single" w:sz="2" w:space="0" w:color="auto"/>
            </w:tcBorders>
            <w:vAlign w:val="center"/>
          </w:tcPr>
          <w:p w:rsidR="00732EA7" w:rsidRPr="009D1DA5" w:rsidRDefault="00FF3AF0" w:rsidP="00E40C32">
            <w:pPr>
              <w:spacing w:after="0"/>
              <w:ind w:firstLine="0"/>
              <w:jc w:val="right"/>
              <w:rPr>
                <w:rFonts w:ascii="Arial Narrow" w:hAnsi="Arial Narrow" w:cs="Arial"/>
                <w:lang w:eastAsia="es-ES"/>
              </w:rPr>
            </w:pPr>
            <w:r>
              <w:rPr>
                <w:rFonts w:ascii="Arial Narrow" w:hAnsi="Arial Narrow" w:cs="Arial"/>
                <w:lang w:eastAsia="es-ES"/>
              </w:rPr>
              <w:t>93</w:t>
            </w:r>
          </w:p>
        </w:tc>
      </w:tr>
      <w:tr w:rsidR="00732EA7" w:rsidRPr="007A01AC" w:rsidTr="00CA4665">
        <w:trPr>
          <w:trHeight w:val="284"/>
          <w:jc w:val="center"/>
        </w:trPr>
        <w:tc>
          <w:tcPr>
            <w:tcW w:w="2101" w:type="dxa"/>
            <w:tcBorders>
              <w:top w:val="single" w:sz="2" w:space="0" w:color="auto"/>
              <w:bottom w:val="single" w:sz="2" w:space="0" w:color="auto"/>
            </w:tcBorders>
            <w:vAlign w:val="center"/>
          </w:tcPr>
          <w:p w:rsidR="00732EA7" w:rsidRPr="009D1DA5" w:rsidRDefault="00732EA7" w:rsidP="00F7024A">
            <w:pPr>
              <w:spacing w:after="0"/>
              <w:ind w:firstLine="0"/>
              <w:jc w:val="left"/>
              <w:rPr>
                <w:rFonts w:ascii="Arial Narrow" w:hAnsi="Arial Narrow" w:cs="Arial"/>
                <w:lang w:eastAsia="es-ES"/>
              </w:rPr>
            </w:pPr>
            <w:r>
              <w:rPr>
                <w:rFonts w:ascii="Arial Narrow" w:hAnsi="Arial Narrow" w:cs="Arial"/>
                <w:lang w:eastAsia="es-ES"/>
              </w:rPr>
              <w:t>Dirección Obra aparejador colegio Sarriguren</w:t>
            </w:r>
            <w:r w:rsidR="00FF3AF0">
              <w:rPr>
                <w:rFonts w:ascii="Arial Narrow" w:hAnsi="Arial Narrow" w:cs="Arial"/>
                <w:lang w:eastAsia="es-ES"/>
              </w:rPr>
              <w:t xml:space="preserve"> </w:t>
            </w:r>
            <w:r w:rsidR="00FF3AF0" w:rsidRPr="00213508">
              <w:rPr>
                <w:rFonts w:ascii="Arial Narrow" w:hAnsi="Arial Narrow" w:cs="Arial"/>
                <w:vertAlign w:val="superscript"/>
                <w:lang w:eastAsia="es-ES"/>
              </w:rPr>
              <w:t>(1)</w:t>
            </w:r>
          </w:p>
        </w:tc>
        <w:tc>
          <w:tcPr>
            <w:tcW w:w="1029" w:type="dxa"/>
            <w:tcBorders>
              <w:top w:val="single" w:sz="2" w:space="0" w:color="auto"/>
              <w:bottom w:val="single" w:sz="2" w:space="0" w:color="auto"/>
            </w:tcBorders>
            <w:vAlign w:val="center"/>
          </w:tcPr>
          <w:p w:rsidR="00732EA7" w:rsidRPr="009D1DA5" w:rsidRDefault="00732EA7" w:rsidP="009D1DA5">
            <w:pPr>
              <w:spacing w:after="0"/>
              <w:ind w:firstLine="0"/>
              <w:jc w:val="left"/>
              <w:rPr>
                <w:rFonts w:ascii="Arial Narrow" w:hAnsi="Arial Narrow" w:cs="Arial"/>
                <w:lang w:eastAsia="es-ES"/>
              </w:rPr>
            </w:pPr>
            <w:r>
              <w:rPr>
                <w:rFonts w:ascii="Arial Narrow" w:hAnsi="Arial Narrow" w:cs="Arial"/>
                <w:lang w:eastAsia="es-ES"/>
              </w:rPr>
              <w:t>Asistencia Técnica</w:t>
            </w:r>
          </w:p>
        </w:tc>
        <w:tc>
          <w:tcPr>
            <w:tcW w:w="1443" w:type="dxa"/>
            <w:tcBorders>
              <w:top w:val="single" w:sz="2" w:space="0" w:color="auto"/>
              <w:bottom w:val="single" w:sz="2" w:space="0" w:color="auto"/>
            </w:tcBorders>
            <w:vAlign w:val="center"/>
          </w:tcPr>
          <w:p w:rsidR="00732EA7" w:rsidRPr="009D1DA5" w:rsidRDefault="00732EA7" w:rsidP="009D1DA5">
            <w:pPr>
              <w:spacing w:after="0"/>
              <w:ind w:firstLine="0"/>
              <w:jc w:val="left"/>
              <w:rPr>
                <w:rFonts w:ascii="Arial Narrow" w:hAnsi="Arial Narrow" w:cs="Arial"/>
                <w:lang w:eastAsia="es-ES"/>
              </w:rPr>
            </w:pPr>
            <w:r>
              <w:rPr>
                <w:rFonts w:ascii="Arial Narrow" w:hAnsi="Arial Narrow" w:cs="Arial"/>
                <w:lang w:eastAsia="es-ES"/>
              </w:rPr>
              <w:t>Negociado sin publicidad</w:t>
            </w:r>
          </w:p>
        </w:tc>
        <w:tc>
          <w:tcPr>
            <w:tcW w:w="1058" w:type="dxa"/>
            <w:tcBorders>
              <w:top w:val="single" w:sz="2" w:space="0" w:color="auto"/>
              <w:bottom w:val="single" w:sz="2" w:space="0" w:color="auto"/>
            </w:tcBorders>
            <w:vAlign w:val="center"/>
          </w:tcPr>
          <w:p w:rsidR="00732EA7" w:rsidRPr="009D1DA5" w:rsidRDefault="00732EA7" w:rsidP="00E40C32">
            <w:pPr>
              <w:spacing w:after="0"/>
              <w:ind w:firstLine="0"/>
              <w:jc w:val="right"/>
              <w:rPr>
                <w:rFonts w:ascii="Arial Narrow" w:hAnsi="Arial Narrow" w:cs="Arial"/>
                <w:lang w:eastAsia="es-ES"/>
              </w:rPr>
            </w:pPr>
            <w:r>
              <w:rPr>
                <w:rFonts w:ascii="Arial Narrow" w:hAnsi="Arial Narrow" w:cs="Arial"/>
                <w:lang w:eastAsia="es-ES"/>
              </w:rPr>
              <w:t>9</w:t>
            </w:r>
          </w:p>
        </w:tc>
        <w:tc>
          <w:tcPr>
            <w:tcW w:w="1034" w:type="dxa"/>
            <w:tcBorders>
              <w:top w:val="single" w:sz="2" w:space="0" w:color="auto"/>
              <w:bottom w:val="single" w:sz="2" w:space="0" w:color="auto"/>
            </w:tcBorders>
            <w:vAlign w:val="center"/>
          </w:tcPr>
          <w:p w:rsidR="00732EA7" w:rsidRPr="009D1DA5" w:rsidRDefault="00732EA7" w:rsidP="00E40C32">
            <w:pPr>
              <w:spacing w:after="0"/>
              <w:ind w:firstLine="0"/>
              <w:jc w:val="right"/>
              <w:rPr>
                <w:rFonts w:ascii="Arial Narrow" w:hAnsi="Arial Narrow" w:cs="Arial"/>
                <w:lang w:eastAsia="es-ES"/>
              </w:rPr>
            </w:pPr>
            <w:r>
              <w:rPr>
                <w:rFonts w:ascii="Arial Narrow" w:hAnsi="Arial Narrow" w:cs="Arial"/>
                <w:lang w:eastAsia="es-ES"/>
              </w:rPr>
              <w:t>49</w:t>
            </w:r>
          </w:p>
        </w:tc>
        <w:tc>
          <w:tcPr>
            <w:tcW w:w="953" w:type="dxa"/>
            <w:tcBorders>
              <w:top w:val="single" w:sz="2" w:space="0" w:color="auto"/>
              <w:bottom w:val="single" w:sz="2" w:space="0" w:color="auto"/>
            </w:tcBorders>
            <w:vAlign w:val="center"/>
          </w:tcPr>
          <w:p w:rsidR="00732EA7" w:rsidRPr="009D1DA5" w:rsidRDefault="00732EA7" w:rsidP="00E40C32">
            <w:pPr>
              <w:spacing w:after="0"/>
              <w:ind w:firstLine="0"/>
              <w:jc w:val="right"/>
              <w:rPr>
                <w:rFonts w:ascii="Arial Narrow" w:hAnsi="Arial Narrow" w:cs="Arial"/>
                <w:lang w:eastAsia="es-ES"/>
              </w:rPr>
            </w:pPr>
            <w:r>
              <w:rPr>
                <w:rFonts w:ascii="Arial Narrow" w:hAnsi="Arial Narrow" w:cs="Arial"/>
                <w:lang w:eastAsia="es-ES"/>
              </w:rPr>
              <w:t>16</w:t>
            </w:r>
          </w:p>
        </w:tc>
        <w:tc>
          <w:tcPr>
            <w:tcW w:w="1142" w:type="dxa"/>
            <w:tcBorders>
              <w:top w:val="single" w:sz="2" w:space="0" w:color="auto"/>
              <w:bottom w:val="single" w:sz="2" w:space="0" w:color="auto"/>
            </w:tcBorders>
            <w:vAlign w:val="center"/>
          </w:tcPr>
          <w:p w:rsidR="00732EA7" w:rsidRPr="009D1DA5" w:rsidRDefault="00732EA7" w:rsidP="00E40C32">
            <w:pPr>
              <w:spacing w:after="0"/>
              <w:ind w:firstLine="0"/>
              <w:jc w:val="right"/>
              <w:rPr>
                <w:rFonts w:ascii="Arial Narrow" w:hAnsi="Arial Narrow" w:cs="Arial"/>
                <w:lang w:eastAsia="es-ES"/>
              </w:rPr>
            </w:pPr>
            <w:r>
              <w:rPr>
                <w:rFonts w:ascii="Arial Narrow" w:hAnsi="Arial Narrow" w:cs="Arial"/>
                <w:lang w:eastAsia="es-ES"/>
              </w:rPr>
              <w:t>-</w:t>
            </w:r>
          </w:p>
        </w:tc>
      </w:tr>
      <w:tr w:rsidR="00732EA7" w:rsidRPr="007A01AC" w:rsidTr="00CA4665">
        <w:trPr>
          <w:trHeight w:val="284"/>
          <w:jc w:val="center"/>
        </w:trPr>
        <w:tc>
          <w:tcPr>
            <w:tcW w:w="2101" w:type="dxa"/>
            <w:tcBorders>
              <w:top w:val="single" w:sz="2" w:space="0" w:color="auto"/>
              <w:bottom w:val="single" w:sz="2" w:space="0" w:color="auto"/>
            </w:tcBorders>
            <w:vAlign w:val="center"/>
          </w:tcPr>
          <w:p w:rsidR="00732EA7" w:rsidRPr="009D1DA5" w:rsidRDefault="00732EA7" w:rsidP="00F7024A">
            <w:pPr>
              <w:spacing w:after="0"/>
              <w:ind w:firstLine="0"/>
              <w:jc w:val="left"/>
              <w:rPr>
                <w:rFonts w:ascii="Arial Narrow" w:hAnsi="Arial Narrow" w:cs="Arial"/>
                <w:lang w:eastAsia="es-ES"/>
              </w:rPr>
            </w:pPr>
            <w:r>
              <w:rPr>
                <w:rFonts w:ascii="Arial Narrow" w:hAnsi="Arial Narrow" w:cs="Arial"/>
                <w:lang w:eastAsia="es-ES"/>
              </w:rPr>
              <w:t>3ª Fase Colegio Público Orkoien</w:t>
            </w:r>
          </w:p>
        </w:tc>
        <w:tc>
          <w:tcPr>
            <w:tcW w:w="1029" w:type="dxa"/>
            <w:tcBorders>
              <w:top w:val="single" w:sz="2" w:space="0" w:color="auto"/>
              <w:bottom w:val="single" w:sz="2" w:space="0" w:color="auto"/>
            </w:tcBorders>
            <w:vAlign w:val="center"/>
          </w:tcPr>
          <w:p w:rsidR="00732EA7" w:rsidRPr="009D1DA5" w:rsidRDefault="00732EA7" w:rsidP="009D1DA5">
            <w:pPr>
              <w:spacing w:after="0"/>
              <w:ind w:firstLine="0"/>
              <w:jc w:val="left"/>
              <w:rPr>
                <w:rFonts w:ascii="Arial Narrow" w:hAnsi="Arial Narrow" w:cs="Arial"/>
                <w:lang w:eastAsia="es-ES"/>
              </w:rPr>
            </w:pPr>
            <w:r>
              <w:rPr>
                <w:rFonts w:ascii="Arial Narrow" w:hAnsi="Arial Narrow" w:cs="Arial"/>
                <w:lang w:eastAsia="es-ES"/>
              </w:rPr>
              <w:t>Obras</w:t>
            </w:r>
          </w:p>
        </w:tc>
        <w:tc>
          <w:tcPr>
            <w:tcW w:w="1443" w:type="dxa"/>
            <w:tcBorders>
              <w:top w:val="single" w:sz="2" w:space="0" w:color="auto"/>
              <w:bottom w:val="single" w:sz="2" w:space="0" w:color="auto"/>
            </w:tcBorders>
            <w:vAlign w:val="center"/>
          </w:tcPr>
          <w:p w:rsidR="00732EA7" w:rsidRPr="009D1DA5" w:rsidRDefault="00732EA7" w:rsidP="00732EA7">
            <w:pPr>
              <w:spacing w:after="0"/>
              <w:ind w:firstLine="0"/>
              <w:jc w:val="left"/>
              <w:rPr>
                <w:rFonts w:ascii="Arial Narrow" w:hAnsi="Arial Narrow" w:cs="Arial"/>
                <w:lang w:eastAsia="es-ES"/>
              </w:rPr>
            </w:pPr>
            <w:r w:rsidRPr="009D1DA5">
              <w:rPr>
                <w:rFonts w:ascii="Arial Narrow" w:hAnsi="Arial Narrow" w:cs="Arial"/>
                <w:lang w:eastAsia="es-ES"/>
              </w:rPr>
              <w:t>Abierto inferior al umbral comunitario</w:t>
            </w:r>
            <w:r>
              <w:rPr>
                <w:rFonts w:ascii="Arial Narrow" w:hAnsi="Arial Narrow" w:cs="Arial"/>
                <w:lang w:eastAsia="es-ES"/>
              </w:rPr>
              <w:t>/Urgencia</w:t>
            </w:r>
          </w:p>
        </w:tc>
        <w:tc>
          <w:tcPr>
            <w:tcW w:w="1058" w:type="dxa"/>
            <w:tcBorders>
              <w:top w:val="single" w:sz="2" w:space="0" w:color="auto"/>
              <w:bottom w:val="single" w:sz="2" w:space="0" w:color="auto"/>
            </w:tcBorders>
            <w:vAlign w:val="center"/>
          </w:tcPr>
          <w:p w:rsidR="00732EA7" w:rsidRPr="009D1DA5" w:rsidRDefault="00732EA7" w:rsidP="00E40C32">
            <w:pPr>
              <w:spacing w:after="0"/>
              <w:ind w:firstLine="0"/>
              <w:jc w:val="right"/>
              <w:rPr>
                <w:rFonts w:ascii="Arial Narrow" w:hAnsi="Arial Narrow" w:cs="Arial"/>
                <w:lang w:eastAsia="es-ES"/>
              </w:rPr>
            </w:pPr>
            <w:r>
              <w:rPr>
                <w:rFonts w:ascii="Arial Narrow" w:hAnsi="Arial Narrow" w:cs="Arial"/>
                <w:lang w:eastAsia="es-ES"/>
              </w:rPr>
              <w:t>14</w:t>
            </w:r>
          </w:p>
        </w:tc>
        <w:tc>
          <w:tcPr>
            <w:tcW w:w="1034" w:type="dxa"/>
            <w:tcBorders>
              <w:top w:val="single" w:sz="2" w:space="0" w:color="auto"/>
              <w:bottom w:val="single" w:sz="2" w:space="0" w:color="auto"/>
            </w:tcBorders>
            <w:vAlign w:val="center"/>
          </w:tcPr>
          <w:p w:rsidR="00732EA7" w:rsidRPr="009D1DA5" w:rsidRDefault="00732EA7" w:rsidP="00E40C32">
            <w:pPr>
              <w:spacing w:after="0"/>
              <w:ind w:firstLine="0"/>
              <w:jc w:val="right"/>
              <w:rPr>
                <w:rFonts w:ascii="Arial Narrow" w:hAnsi="Arial Narrow" w:cs="Arial"/>
                <w:lang w:eastAsia="es-ES"/>
              </w:rPr>
            </w:pPr>
            <w:r>
              <w:rPr>
                <w:rFonts w:ascii="Arial Narrow" w:hAnsi="Arial Narrow" w:cs="Arial"/>
                <w:lang w:eastAsia="es-ES"/>
              </w:rPr>
              <w:t>994</w:t>
            </w:r>
          </w:p>
        </w:tc>
        <w:tc>
          <w:tcPr>
            <w:tcW w:w="953" w:type="dxa"/>
            <w:tcBorders>
              <w:top w:val="single" w:sz="2" w:space="0" w:color="auto"/>
              <w:bottom w:val="single" w:sz="2" w:space="0" w:color="auto"/>
            </w:tcBorders>
            <w:vAlign w:val="center"/>
          </w:tcPr>
          <w:p w:rsidR="00732EA7" w:rsidRPr="009D1DA5" w:rsidRDefault="00732EA7" w:rsidP="00E40C32">
            <w:pPr>
              <w:spacing w:after="0"/>
              <w:ind w:firstLine="0"/>
              <w:jc w:val="right"/>
              <w:rPr>
                <w:rFonts w:ascii="Arial Narrow" w:hAnsi="Arial Narrow" w:cs="Arial"/>
                <w:lang w:eastAsia="es-ES"/>
              </w:rPr>
            </w:pPr>
            <w:r>
              <w:rPr>
                <w:rFonts w:ascii="Arial Narrow" w:hAnsi="Arial Narrow" w:cs="Arial"/>
                <w:lang w:eastAsia="es-ES"/>
              </w:rPr>
              <w:t>787</w:t>
            </w:r>
          </w:p>
        </w:tc>
        <w:tc>
          <w:tcPr>
            <w:tcW w:w="1142" w:type="dxa"/>
            <w:tcBorders>
              <w:top w:val="single" w:sz="2" w:space="0" w:color="auto"/>
              <w:bottom w:val="single" w:sz="2" w:space="0" w:color="auto"/>
            </w:tcBorders>
            <w:vAlign w:val="center"/>
          </w:tcPr>
          <w:p w:rsidR="00732EA7" w:rsidRPr="009D1DA5" w:rsidRDefault="00732EA7" w:rsidP="00E40C32">
            <w:pPr>
              <w:spacing w:after="0"/>
              <w:ind w:firstLine="0"/>
              <w:jc w:val="right"/>
              <w:rPr>
                <w:rFonts w:ascii="Arial Narrow" w:hAnsi="Arial Narrow" w:cs="Arial"/>
                <w:lang w:eastAsia="es-ES"/>
              </w:rPr>
            </w:pPr>
            <w:r>
              <w:rPr>
                <w:rFonts w:ascii="Arial Narrow" w:hAnsi="Arial Narrow" w:cs="Arial"/>
                <w:lang w:eastAsia="es-ES"/>
              </w:rPr>
              <w:t>786</w:t>
            </w:r>
          </w:p>
        </w:tc>
      </w:tr>
      <w:tr w:rsidR="00732EA7" w:rsidRPr="007A01AC" w:rsidTr="00CA4665">
        <w:trPr>
          <w:trHeight w:val="284"/>
          <w:jc w:val="center"/>
        </w:trPr>
        <w:tc>
          <w:tcPr>
            <w:tcW w:w="2101" w:type="dxa"/>
            <w:tcBorders>
              <w:top w:val="single" w:sz="2" w:space="0" w:color="auto"/>
              <w:bottom w:val="single" w:sz="2" w:space="0" w:color="auto"/>
            </w:tcBorders>
            <w:vAlign w:val="center"/>
          </w:tcPr>
          <w:p w:rsidR="00732EA7" w:rsidRPr="009D1DA5" w:rsidRDefault="00732EA7" w:rsidP="00F7024A">
            <w:pPr>
              <w:spacing w:after="0"/>
              <w:ind w:firstLine="0"/>
              <w:jc w:val="left"/>
              <w:rPr>
                <w:rFonts w:ascii="Arial Narrow" w:hAnsi="Arial Narrow" w:cs="Arial"/>
                <w:lang w:eastAsia="es-ES"/>
              </w:rPr>
            </w:pPr>
            <w:r>
              <w:rPr>
                <w:rFonts w:ascii="Arial Narrow" w:hAnsi="Arial Narrow" w:cs="Arial"/>
                <w:lang w:eastAsia="es-ES"/>
              </w:rPr>
              <w:t>Adaptación proyecto y Dirección Obra colegio Orkoien</w:t>
            </w:r>
          </w:p>
        </w:tc>
        <w:tc>
          <w:tcPr>
            <w:tcW w:w="1029" w:type="dxa"/>
            <w:tcBorders>
              <w:top w:val="single" w:sz="2" w:space="0" w:color="auto"/>
              <w:bottom w:val="single" w:sz="2" w:space="0" w:color="auto"/>
            </w:tcBorders>
            <w:vAlign w:val="center"/>
          </w:tcPr>
          <w:p w:rsidR="00732EA7" w:rsidRPr="009D1DA5" w:rsidRDefault="00732EA7" w:rsidP="00E434DE">
            <w:pPr>
              <w:spacing w:after="0"/>
              <w:ind w:firstLine="0"/>
              <w:jc w:val="left"/>
              <w:rPr>
                <w:rFonts w:ascii="Arial Narrow" w:hAnsi="Arial Narrow" w:cs="Arial"/>
                <w:lang w:eastAsia="es-ES"/>
              </w:rPr>
            </w:pPr>
            <w:r>
              <w:rPr>
                <w:rFonts w:ascii="Arial Narrow" w:hAnsi="Arial Narrow" w:cs="Arial"/>
                <w:lang w:eastAsia="es-ES"/>
              </w:rPr>
              <w:t>Asistencia Técnica</w:t>
            </w:r>
          </w:p>
        </w:tc>
        <w:tc>
          <w:tcPr>
            <w:tcW w:w="1443" w:type="dxa"/>
            <w:tcBorders>
              <w:top w:val="single" w:sz="2" w:space="0" w:color="auto"/>
              <w:bottom w:val="single" w:sz="2" w:space="0" w:color="auto"/>
            </w:tcBorders>
            <w:vAlign w:val="center"/>
          </w:tcPr>
          <w:p w:rsidR="00732EA7" w:rsidRPr="009D1DA5" w:rsidRDefault="00732EA7" w:rsidP="00E434DE">
            <w:pPr>
              <w:spacing w:after="0"/>
              <w:ind w:firstLine="0"/>
              <w:jc w:val="left"/>
              <w:rPr>
                <w:rFonts w:ascii="Arial Narrow" w:hAnsi="Arial Narrow" w:cs="Arial"/>
                <w:lang w:eastAsia="es-ES"/>
              </w:rPr>
            </w:pPr>
            <w:r>
              <w:rPr>
                <w:rFonts w:ascii="Arial Narrow" w:hAnsi="Arial Narrow" w:cs="Arial"/>
                <w:lang w:eastAsia="es-ES"/>
              </w:rPr>
              <w:t>Negociado sin publicidad</w:t>
            </w:r>
          </w:p>
        </w:tc>
        <w:tc>
          <w:tcPr>
            <w:tcW w:w="1058" w:type="dxa"/>
            <w:tcBorders>
              <w:top w:val="single" w:sz="2" w:space="0" w:color="auto"/>
              <w:bottom w:val="single" w:sz="2" w:space="0" w:color="auto"/>
            </w:tcBorders>
            <w:vAlign w:val="center"/>
          </w:tcPr>
          <w:p w:rsidR="00732EA7" w:rsidRPr="009D1DA5" w:rsidRDefault="00732EA7" w:rsidP="00E40C32">
            <w:pPr>
              <w:spacing w:after="0"/>
              <w:ind w:firstLine="0"/>
              <w:jc w:val="right"/>
              <w:rPr>
                <w:rFonts w:ascii="Arial Narrow" w:hAnsi="Arial Narrow" w:cs="Arial"/>
                <w:lang w:eastAsia="es-ES"/>
              </w:rPr>
            </w:pPr>
            <w:r>
              <w:rPr>
                <w:rFonts w:ascii="Arial Narrow" w:hAnsi="Arial Narrow" w:cs="Arial"/>
                <w:lang w:eastAsia="es-ES"/>
              </w:rPr>
              <w:t>5</w:t>
            </w:r>
          </w:p>
        </w:tc>
        <w:tc>
          <w:tcPr>
            <w:tcW w:w="1034" w:type="dxa"/>
            <w:tcBorders>
              <w:top w:val="single" w:sz="2" w:space="0" w:color="auto"/>
              <w:bottom w:val="single" w:sz="2" w:space="0" w:color="auto"/>
            </w:tcBorders>
            <w:vAlign w:val="center"/>
          </w:tcPr>
          <w:p w:rsidR="00732EA7" w:rsidRPr="009D1DA5" w:rsidRDefault="00732EA7" w:rsidP="00E40C32">
            <w:pPr>
              <w:spacing w:after="0"/>
              <w:ind w:firstLine="0"/>
              <w:jc w:val="right"/>
              <w:rPr>
                <w:rFonts w:ascii="Arial Narrow" w:hAnsi="Arial Narrow" w:cs="Arial"/>
                <w:lang w:eastAsia="es-ES"/>
              </w:rPr>
            </w:pPr>
            <w:r>
              <w:rPr>
                <w:rFonts w:ascii="Arial Narrow" w:hAnsi="Arial Narrow" w:cs="Arial"/>
                <w:lang w:eastAsia="es-ES"/>
              </w:rPr>
              <w:t>27</w:t>
            </w:r>
          </w:p>
        </w:tc>
        <w:tc>
          <w:tcPr>
            <w:tcW w:w="953" w:type="dxa"/>
            <w:tcBorders>
              <w:top w:val="single" w:sz="2" w:space="0" w:color="auto"/>
              <w:bottom w:val="single" w:sz="2" w:space="0" w:color="auto"/>
            </w:tcBorders>
            <w:vAlign w:val="center"/>
          </w:tcPr>
          <w:p w:rsidR="00732EA7" w:rsidRPr="009D1DA5" w:rsidRDefault="00732EA7" w:rsidP="00E40C32">
            <w:pPr>
              <w:spacing w:after="0"/>
              <w:ind w:firstLine="0"/>
              <w:jc w:val="right"/>
              <w:rPr>
                <w:rFonts w:ascii="Arial Narrow" w:hAnsi="Arial Narrow" w:cs="Arial"/>
                <w:lang w:eastAsia="es-ES"/>
              </w:rPr>
            </w:pPr>
            <w:r>
              <w:rPr>
                <w:rFonts w:ascii="Arial Narrow" w:hAnsi="Arial Narrow" w:cs="Arial"/>
                <w:lang w:eastAsia="es-ES"/>
              </w:rPr>
              <w:t>24</w:t>
            </w:r>
          </w:p>
        </w:tc>
        <w:tc>
          <w:tcPr>
            <w:tcW w:w="1142" w:type="dxa"/>
            <w:tcBorders>
              <w:top w:val="single" w:sz="2" w:space="0" w:color="auto"/>
              <w:bottom w:val="single" w:sz="2" w:space="0" w:color="auto"/>
            </w:tcBorders>
            <w:vAlign w:val="center"/>
          </w:tcPr>
          <w:p w:rsidR="00732EA7" w:rsidRPr="009D1DA5" w:rsidRDefault="00732EA7" w:rsidP="00E40C32">
            <w:pPr>
              <w:spacing w:after="0"/>
              <w:ind w:firstLine="0"/>
              <w:jc w:val="right"/>
              <w:rPr>
                <w:rFonts w:ascii="Arial Narrow" w:hAnsi="Arial Narrow" w:cs="Arial"/>
                <w:lang w:eastAsia="es-ES"/>
              </w:rPr>
            </w:pPr>
            <w:r>
              <w:rPr>
                <w:rFonts w:ascii="Arial Narrow" w:hAnsi="Arial Narrow" w:cs="Arial"/>
                <w:lang w:eastAsia="es-ES"/>
              </w:rPr>
              <w:t>24</w:t>
            </w:r>
          </w:p>
        </w:tc>
      </w:tr>
      <w:tr w:rsidR="00732EA7" w:rsidRPr="007A01AC" w:rsidTr="00CA4665">
        <w:trPr>
          <w:trHeight w:val="284"/>
          <w:jc w:val="center"/>
        </w:trPr>
        <w:tc>
          <w:tcPr>
            <w:tcW w:w="2101" w:type="dxa"/>
            <w:tcBorders>
              <w:top w:val="single" w:sz="2" w:space="0" w:color="auto"/>
              <w:bottom w:val="single" w:sz="2" w:space="0" w:color="auto"/>
            </w:tcBorders>
            <w:vAlign w:val="center"/>
          </w:tcPr>
          <w:p w:rsidR="00732EA7" w:rsidRPr="009D1DA5" w:rsidRDefault="0062189D" w:rsidP="00F7024A">
            <w:pPr>
              <w:spacing w:after="0"/>
              <w:ind w:firstLine="0"/>
              <w:jc w:val="left"/>
              <w:rPr>
                <w:rFonts w:ascii="Arial Narrow" w:hAnsi="Arial Narrow" w:cs="Arial"/>
                <w:lang w:eastAsia="es-ES"/>
              </w:rPr>
            </w:pPr>
            <w:r>
              <w:rPr>
                <w:rFonts w:ascii="Arial Narrow" w:hAnsi="Arial Narrow" w:cs="Arial"/>
                <w:lang w:eastAsia="es-ES"/>
              </w:rPr>
              <w:t>Supresión paso a nivel en Izurdiaga</w:t>
            </w:r>
            <w:r w:rsidR="00FF3AF0">
              <w:rPr>
                <w:rFonts w:ascii="Arial Narrow" w:hAnsi="Arial Narrow" w:cs="Arial"/>
                <w:lang w:eastAsia="es-ES"/>
              </w:rPr>
              <w:t xml:space="preserve"> </w:t>
            </w:r>
            <w:r w:rsidR="00FF3AF0" w:rsidRPr="00F7024A">
              <w:rPr>
                <w:rFonts w:ascii="Arial Narrow" w:hAnsi="Arial Narrow" w:cs="Arial"/>
                <w:vertAlign w:val="superscript"/>
                <w:lang w:eastAsia="es-ES"/>
              </w:rPr>
              <w:t>(1)</w:t>
            </w:r>
          </w:p>
        </w:tc>
        <w:tc>
          <w:tcPr>
            <w:tcW w:w="1029" w:type="dxa"/>
            <w:tcBorders>
              <w:top w:val="single" w:sz="2" w:space="0" w:color="auto"/>
              <w:bottom w:val="single" w:sz="2" w:space="0" w:color="auto"/>
            </w:tcBorders>
            <w:vAlign w:val="center"/>
          </w:tcPr>
          <w:p w:rsidR="00732EA7" w:rsidRPr="009D1DA5" w:rsidRDefault="0062189D" w:rsidP="009D1DA5">
            <w:pPr>
              <w:spacing w:after="0"/>
              <w:ind w:firstLine="0"/>
              <w:jc w:val="left"/>
              <w:rPr>
                <w:rFonts w:ascii="Arial Narrow" w:hAnsi="Arial Narrow" w:cs="Arial"/>
                <w:lang w:eastAsia="es-ES"/>
              </w:rPr>
            </w:pPr>
            <w:r>
              <w:rPr>
                <w:rFonts w:ascii="Arial Narrow" w:hAnsi="Arial Narrow" w:cs="Arial"/>
                <w:lang w:eastAsia="es-ES"/>
              </w:rPr>
              <w:t>Obras</w:t>
            </w:r>
          </w:p>
        </w:tc>
        <w:tc>
          <w:tcPr>
            <w:tcW w:w="1443" w:type="dxa"/>
            <w:tcBorders>
              <w:top w:val="single" w:sz="2" w:space="0" w:color="auto"/>
              <w:bottom w:val="single" w:sz="2" w:space="0" w:color="auto"/>
            </w:tcBorders>
            <w:vAlign w:val="center"/>
          </w:tcPr>
          <w:p w:rsidR="00732EA7" w:rsidRPr="009D1DA5" w:rsidRDefault="0062189D" w:rsidP="00F7024A">
            <w:pPr>
              <w:spacing w:after="0"/>
              <w:ind w:firstLine="0"/>
              <w:jc w:val="left"/>
              <w:rPr>
                <w:rFonts w:ascii="Arial Narrow" w:hAnsi="Arial Narrow" w:cs="Arial"/>
                <w:lang w:eastAsia="es-ES"/>
              </w:rPr>
            </w:pPr>
            <w:r w:rsidRPr="009D1DA5">
              <w:rPr>
                <w:rFonts w:ascii="Arial Narrow" w:hAnsi="Arial Narrow" w:cs="Arial"/>
                <w:lang w:eastAsia="es-ES"/>
              </w:rPr>
              <w:t>Abierto inf</w:t>
            </w:r>
            <w:r w:rsidR="00F7024A">
              <w:rPr>
                <w:rFonts w:ascii="Arial Narrow" w:hAnsi="Arial Narrow" w:cs="Arial"/>
                <w:lang w:eastAsia="es-ES"/>
              </w:rPr>
              <w:t xml:space="preserve">. </w:t>
            </w:r>
            <w:r w:rsidRPr="009D1DA5">
              <w:rPr>
                <w:rFonts w:ascii="Arial Narrow" w:hAnsi="Arial Narrow" w:cs="Arial"/>
                <w:lang w:eastAsia="es-ES"/>
              </w:rPr>
              <w:t>umbral comunitario</w:t>
            </w:r>
          </w:p>
        </w:tc>
        <w:tc>
          <w:tcPr>
            <w:tcW w:w="1058" w:type="dxa"/>
            <w:tcBorders>
              <w:top w:val="single" w:sz="2" w:space="0" w:color="auto"/>
              <w:bottom w:val="single" w:sz="2" w:space="0" w:color="auto"/>
            </w:tcBorders>
            <w:vAlign w:val="center"/>
          </w:tcPr>
          <w:p w:rsidR="00732EA7" w:rsidRPr="009D1DA5" w:rsidRDefault="0062189D" w:rsidP="00E40C32">
            <w:pPr>
              <w:spacing w:after="0"/>
              <w:ind w:firstLine="0"/>
              <w:jc w:val="right"/>
              <w:rPr>
                <w:rFonts w:ascii="Arial Narrow" w:hAnsi="Arial Narrow" w:cs="Arial"/>
                <w:lang w:eastAsia="es-ES"/>
              </w:rPr>
            </w:pPr>
            <w:r>
              <w:rPr>
                <w:rFonts w:ascii="Arial Narrow" w:hAnsi="Arial Narrow" w:cs="Arial"/>
                <w:lang w:eastAsia="es-ES"/>
              </w:rPr>
              <w:t>13</w:t>
            </w:r>
          </w:p>
        </w:tc>
        <w:tc>
          <w:tcPr>
            <w:tcW w:w="1034" w:type="dxa"/>
            <w:tcBorders>
              <w:top w:val="single" w:sz="2" w:space="0" w:color="auto"/>
              <w:bottom w:val="single" w:sz="2" w:space="0" w:color="auto"/>
            </w:tcBorders>
            <w:vAlign w:val="center"/>
          </w:tcPr>
          <w:p w:rsidR="00732EA7" w:rsidRPr="009D1DA5" w:rsidRDefault="0062189D" w:rsidP="00E40C32">
            <w:pPr>
              <w:spacing w:after="0"/>
              <w:ind w:firstLine="0"/>
              <w:jc w:val="right"/>
              <w:rPr>
                <w:rFonts w:ascii="Arial Narrow" w:hAnsi="Arial Narrow" w:cs="Arial"/>
                <w:lang w:eastAsia="es-ES"/>
              </w:rPr>
            </w:pPr>
            <w:r>
              <w:rPr>
                <w:rFonts w:ascii="Arial Narrow" w:hAnsi="Arial Narrow" w:cs="Arial"/>
                <w:lang w:eastAsia="es-ES"/>
              </w:rPr>
              <w:t>3.746</w:t>
            </w:r>
          </w:p>
        </w:tc>
        <w:tc>
          <w:tcPr>
            <w:tcW w:w="953" w:type="dxa"/>
            <w:tcBorders>
              <w:top w:val="single" w:sz="2" w:space="0" w:color="auto"/>
              <w:bottom w:val="single" w:sz="2" w:space="0" w:color="auto"/>
            </w:tcBorders>
            <w:vAlign w:val="center"/>
          </w:tcPr>
          <w:p w:rsidR="00732EA7" w:rsidRPr="009D1DA5" w:rsidRDefault="0062189D" w:rsidP="00E40C32">
            <w:pPr>
              <w:spacing w:after="0"/>
              <w:ind w:firstLine="0"/>
              <w:jc w:val="right"/>
              <w:rPr>
                <w:rFonts w:ascii="Arial Narrow" w:hAnsi="Arial Narrow" w:cs="Arial"/>
                <w:lang w:eastAsia="es-ES"/>
              </w:rPr>
            </w:pPr>
            <w:r>
              <w:rPr>
                <w:rFonts w:ascii="Arial Narrow" w:hAnsi="Arial Narrow" w:cs="Arial"/>
                <w:lang w:eastAsia="es-ES"/>
              </w:rPr>
              <w:t>2.622</w:t>
            </w:r>
          </w:p>
        </w:tc>
        <w:tc>
          <w:tcPr>
            <w:tcW w:w="1142" w:type="dxa"/>
            <w:tcBorders>
              <w:top w:val="single" w:sz="2" w:space="0" w:color="auto"/>
              <w:bottom w:val="single" w:sz="2" w:space="0" w:color="auto"/>
            </w:tcBorders>
            <w:vAlign w:val="center"/>
          </w:tcPr>
          <w:p w:rsidR="00732EA7" w:rsidRPr="009D1DA5" w:rsidRDefault="0062189D" w:rsidP="00E40C32">
            <w:pPr>
              <w:spacing w:after="0"/>
              <w:ind w:firstLine="0"/>
              <w:jc w:val="right"/>
              <w:rPr>
                <w:rFonts w:ascii="Arial Narrow" w:hAnsi="Arial Narrow" w:cs="Arial"/>
                <w:lang w:eastAsia="es-ES"/>
              </w:rPr>
            </w:pPr>
            <w:r>
              <w:rPr>
                <w:rFonts w:ascii="Arial Narrow" w:hAnsi="Arial Narrow" w:cs="Arial"/>
                <w:lang w:eastAsia="es-ES"/>
              </w:rPr>
              <w:t>749</w:t>
            </w:r>
          </w:p>
        </w:tc>
      </w:tr>
    </w:tbl>
    <w:p w:rsidR="00FF3AF0" w:rsidRPr="00605BD3" w:rsidRDefault="00F7024A" w:rsidP="00605BD3">
      <w:pPr>
        <w:pStyle w:val="texto"/>
        <w:spacing w:before="40" w:after="40"/>
        <w:ind w:firstLine="0"/>
        <w:rPr>
          <w:rFonts w:ascii="Arial Narrow" w:hAnsi="Arial Narrow"/>
          <w:bCs/>
          <w:spacing w:val="-3"/>
          <w:sz w:val="16"/>
          <w:szCs w:val="16"/>
          <w:lang w:val="es-ES"/>
        </w:rPr>
      </w:pPr>
      <w:r w:rsidRPr="00605BD3">
        <w:rPr>
          <w:rFonts w:ascii="Arial Narrow" w:hAnsi="Arial Narrow"/>
          <w:bCs/>
          <w:spacing w:val="-3"/>
          <w:sz w:val="16"/>
          <w:szCs w:val="16"/>
          <w:lang w:val="es-ES"/>
        </w:rPr>
        <w:t xml:space="preserve">(1) </w:t>
      </w:r>
      <w:r w:rsidR="00FF3AF0" w:rsidRPr="00605BD3">
        <w:rPr>
          <w:rFonts w:ascii="Arial Narrow" w:hAnsi="Arial Narrow"/>
          <w:bCs/>
          <w:spacing w:val="-3"/>
          <w:sz w:val="16"/>
          <w:szCs w:val="16"/>
          <w:lang w:val="es-ES"/>
        </w:rPr>
        <w:t>No terminadas a 31 de diciembre de 2015</w:t>
      </w:r>
    </w:p>
    <w:p w:rsidR="006B3080" w:rsidRDefault="00FE4D94" w:rsidP="00CA4665">
      <w:pPr>
        <w:pStyle w:val="texto"/>
        <w:spacing w:before="280"/>
        <w:rPr>
          <w:lang w:val="es-ES"/>
        </w:rPr>
      </w:pPr>
      <w:r w:rsidRPr="006D43A7">
        <w:rPr>
          <w:lang w:val="es-ES"/>
        </w:rPr>
        <w:t>En general, los expedientes de</w:t>
      </w:r>
      <w:r>
        <w:rPr>
          <w:lang w:val="es-ES"/>
        </w:rPr>
        <w:t xml:space="preserve"> contratación </w:t>
      </w:r>
      <w:r w:rsidR="009D1DA5">
        <w:rPr>
          <w:lang w:val="es-ES"/>
        </w:rPr>
        <w:t>revisados</w:t>
      </w:r>
      <w:r>
        <w:rPr>
          <w:lang w:val="es-ES"/>
        </w:rPr>
        <w:t xml:space="preserve"> </w:t>
      </w:r>
      <w:r w:rsidRPr="006D43A7">
        <w:rPr>
          <w:lang w:val="es-ES"/>
        </w:rPr>
        <w:t>se adjudicaron y ejecutaron conforme a la legislación contractual y los gastos derivados de los mi</w:t>
      </w:r>
      <w:r w:rsidR="00CA4665">
        <w:rPr>
          <w:lang w:val="es-ES"/>
        </w:rPr>
        <w:t>s</w:t>
      </w:r>
      <w:r w:rsidRPr="006D43A7">
        <w:rPr>
          <w:lang w:val="es-ES"/>
        </w:rPr>
        <w:t xml:space="preserve">mos están aprobados, fiscalizados, justificados y correctamente contabilizados. </w:t>
      </w:r>
      <w:r w:rsidR="0062189D">
        <w:rPr>
          <w:lang w:val="es-ES"/>
        </w:rPr>
        <w:t>Destacamos así mismo los siguientes aspectos:</w:t>
      </w:r>
    </w:p>
    <w:p w:rsidR="0062189D" w:rsidRDefault="00FF436A" w:rsidP="00CA4665">
      <w:pPr>
        <w:pStyle w:val="texto"/>
        <w:rPr>
          <w:lang w:val="es-ES"/>
        </w:rPr>
      </w:pPr>
      <w:r>
        <w:rPr>
          <w:lang w:val="es-ES"/>
        </w:rPr>
        <w:t xml:space="preserve">a) </w:t>
      </w:r>
      <w:r w:rsidR="0062189D">
        <w:rPr>
          <w:lang w:val="es-ES"/>
        </w:rPr>
        <w:t>La urgencia en la tramitación de las obras de los coleg</w:t>
      </w:r>
      <w:r w:rsidR="00FF3AF0">
        <w:rPr>
          <w:lang w:val="es-ES"/>
        </w:rPr>
        <w:t>io</w:t>
      </w:r>
      <w:r w:rsidR="0062189D">
        <w:rPr>
          <w:lang w:val="es-ES"/>
        </w:rPr>
        <w:t>s</w:t>
      </w:r>
      <w:r w:rsidR="00FF3AF0">
        <w:rPr>
          <w:lang w:val="es-ES"/>
        </w:rPr>
        <w:t xml:space="preserve"> municipales</w:t>
      </w:r>
      <w:r w:rsidR="0062189D">
        <w:rPr>
          <w:lang w:val="es-ES"/>
        </w:rPr>
        <w:t xml:space="preserve"> se justifica en las necesidades docentes de los centros.</w:t>
      </w:r>
    </w:p>
    <w:p w:rsidR="0062189D" w:rsidRDefault="00FF436A" w:rsidP="00CA4665">
      <w:pPr>
        <w:pStyle w:val="texto"/>
        <w:rPr>
          <w:lang w:val="es-ES"/>
        </w:rPr>
      </w:pPr>
      <w:r>
        <w:rPr>
          <w:lang w:val="es-ES"/>
        </w:rPr>
        <w:t xml:space="preserve">b) </w:t>
      </w:r>
      <w:r w:rsidR="0062189D">
        <w:rPr>
          <w:lang w:val="es-ES"/>
        </w:rPr>
        <w:t>En los contratos de obras se observa una baja media cifrada en torno al 25 por ciento sobre el precio de licitación.</w:t>
      </w:r>
    </w:p>
    <w:p w:rsidR="0062189D" w:rsidRDefault="00FF436A" w:rsidP="00CA4665">
      <w:pPr>
        <w:pStyle w:val="texto"/>
        <w:rPr>
          <w:lang w:val="es-ES"/>
        </w:rPr>
      </w:pPr>
      <w:r>
        <w:rPr>
          <w:lang w:val="es-ES"/>
        </w:rPr>
        <w:t xml:space="preserve">c) </w:t>
      </w:r>
      <w:r w:rsidR="0062189D">
        <w:rPr>
          <w:lang w:val="es-ES"/>
        </w:rPr>
        <w:t>Consta negociación efectiva con los licitadores en los contratos de asistencia</w:t>
      </w:r>
      <w:r w:rsidR="005D6093">
        <w:rPr>
          <w:lang w:val="es-ES"/>
        </w:rPr>
        <w:t xml:space="preserve"> revisados</w:t>
      </w:r>
      <w:r w:rsidR="0062189D">
        <w:rPr>
          <w:lang w:val="es-ES"/>
        </w:rPr>
        <w:t xml:space="preserve">. </w:t>
      </w:r>
    </w:p>
    <w:p w:rsidR="008B12F7" w:rsidRPr="008B12F7" w:rsidRDefault="00FF436A" w:rsidP="00CA4665">
      <w:pPr>
        <w:pStyle w:val="texto"/>
        <w:rPr>
          <w:lang w:val="es-ES"/>
        </w:rPr>
      </w:pPr>
      <w:r>
        <w:rPr>
          <w:lang w:val="es-ES"/>
        </w:rPr>
        <w:t xml:space="preserve">d) </w:t>
      </w:r>
      <w:r w:rsidR="00672837">
        <w:rPr>
          <w:lang w:val="es-ES"/>
        </w:rPr>
        <w:t xml:space="preserve">Determinadas certificaciones de obra se abonan superando el plazo legal de pago, </w:t>
      </w:r>
      <w:r w:rsidR="00672837" w:rsidRPr="00B90C65">
        <w:rPr>
          <w:lang w:val="es-ES"/>
        </w:rPr>
        <w:t>no constando que se hayan abonado intereses de demora a</w:t>
      </w:r>
      <w:r w:rsidR="00C2590F" w:rsidRPr="00B90C65">
        <w:rPr>
          <w:lang w:val="es-ES"/>
        </w:rPr>
        <w:t xml:space="preserve"> </w:t>
      </w:r>
      <w:r w:rsidR="00672837" w:rsidRPr="00B90C65">
        <w:rPr>
          <w:lang w:val="es-ES"/>
        </w:rPr>
        <w:t>l</w:t>
      </w:r>
      <w:r w:rsidR="00C2590F" w:rsidRPr="00B90C65">
        <w:rPr>
          <w:lang w:val="es-ES"/>
        </w:rPr>
        <w:t>os</w:t>
      </w:r>
      <w:r w:rsidR="00672837" w:rsidRPr="00B90C65">
        <w:rPr>
          <w:lang w:val="es-ES"/>
        </w:rPr>
        <w:t xml:space="preserve"> adjudicatario</w:t>
      </w:r>
      <w:r w:rsidR="00C2590F" w:rsidRPr="00B90C65">
        <w:rPr>
          <w:lang w:val="es-ES"/>
        </w:rPr>
        <w:t>s</w:t>
      </w:r>
      <w:r w:rsidR="00672837" w:rsidRPr="00B90C65">
        <w:rPr>
          <w:lang w:val="es-ES"/>
        </w:rPr>
        <w:t>.</w:t>
      </w:r>
    </w:p>
    <w:p w:rsidR="0074190A" w:rsidRDefault="00C36765" w:rsidP="00CA4665">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Pr>
          <w:lang w:val="es-ES"/>
        </w:rPr>
        <w:t>Por otra parte,</w:t>
      </w:r>
      <w:r w:rsidR="0086114F">
        <w:rPr>
          <w:lang w:val="es-ES"/>
        </w:rPr>
        <w:t xml:space="preserve"> </w:t>
      </w:r>
      <w:r w:rsidR="008B12F7" w:rsidRPr="008B12F7">
        <w:rPr>
          <w:lang w:val="es-ES"/>
        </w:rPr>
        <w:t>señalamos que la Disposición Adicional tercera de la Ley 20/2013, de garantía de la unidad de mercado, recogió la obligatoriedad para los órganos de c</w:t>
      </w:r>
      <w:r w:rsidR="008B12F7">
        <w:rPr>
          <w:lang w:val="es-ES"/>
        </w:rPr>
        <w:t xml:space="preserve">ontratación del sector público </w:t>
      </w:r>
      <w:r w:rsidR="008B12F7" w:rsidRPr="008B12F7">
        <w:rPr>
          <w:lang w:val="es-ES"/>
        </w:rPr>
        <w:t>de</w:t>
      </w:r>
      <w:r w:rsidR="008B12F7">
        <w:rPr>
          <w:lang w:val="es-ES"/>
        </w:rPr>
        <w:t xml:space="preserve"> la</w:t>
      </w:r>
      <w:r w:rsidR="008B12F7" w:rsidRPr="008B12F7">
        <w:rPr>
          <w:lang w:val="es-ES"/>
        </w:rPr>
        <w:t xml:space="preserve"> publicación de las convocatorias de licitaciones de los contratos públicos y de sus resultados en la Plataforma de Contratación del Sector Público</w:t>
      </w:r>
      <w:r w:rsidR="0074190A">
        <w:rPr>
          <w:lang w:val="es-ES"/>
        </w:rPr>
        <w:t xml:space="preserve">. Esta publicación puede efectuarse </w:t>
      </w:r>
      <w:r w:rsidR="008B12F7" w:rsidRPr="008B12F7">
        <w:rPr>
          <w:lang w:val="es-ES"/>
        </w:rPr>
        <w:t xml:space="preserve"> </w:t>
      </w:r>
      <w:r w:rsidR="0074190A">
        <w:rPr>
          <w:lang w:val="es-ES"/>
        </w:rPr>
        <w:t>de</w:t>
      </w:r>
      <w:r w:rsidR="008B12F7" w:rsidRPr="008B12F7">
        <w:rPr>
          <w:lang w:val="es-ES"/>
        </w:rPr>
        <w:t xml:space="preserve"> forma directa o mediante interconexión </w:t>
      </w:r>
      <w:r w:rsidR="00FF3AF0">
        <w:rPr>
          <w:lang w:val="es-ES"/>
        </w:rPr>
        <w:t>telemática</w:t>
      </w:r>
      <w:r w:rsidR="008B12F7" w:rsidRPr="008B12F7">
        <w:rPr>
          <w:lang w:val="es-ES"/>
        </w:rPr>
        <w:t xml:space="preserve">. </w:t>
      </w:r>
    </w:p>
    <w:p w:rsidR="008B12F7" w:rsidRDefault="008B12F7" w:rsidP="00CA4665">
      <w:pPr>
        <w:pStyle w:val="texto"/>
        <w:rPr>
          <w:lang w:val="es-ES"/>
        </w:rPr>
      </w:pPr>
      <w:r w:rsidRPr="008B12F7">
        <w:rPr>
          <w:lang w:val="es-ES"/>
        </w:rPr>
        <w:t xml:space="preserve">La Comunidad Foral de Navarra no ha realizado la </w:t>
      </w:r>
      <w:r>
        <w:rPr>
          <w:lang w:val="es-ES"/>
        </w:rPr>
        <w:t xml:space="preserve">citada </w:t>
      </w:r>
      <w:r w:rsidRPr="008B12F7">
        <w:rPr>
          <w:lang w:val="es-ES"/>
        </w:rPr>
        <w:t>interconexión del Portal de Contratación de Na</w:t>
      </w:r>
      <w:r w:rsidR="0074190A">
        <w:rPr>
          <w:lang w:val="es-ES"/>
        </w:rPr>
        <w:t>varra con es</w:t>
      </w:r>
      <w:r w:rsidRPr="008B12F7">
        <w:rPr>
          <w:lang w:val="es-ES"/>
        </w:rPr>
        <w:t xml:space="preserve">a </w:t>
      </w:r>
      <w:r>
        <w:rPr>
          <w:lang w:val="es-ES"/>
        </w:rPr>
        <w:t>P</w:t>
      </w:r>
      <w:r w:rsidRPr="008B12F7">
        <w:rPr>
          <w:lang w:val="es-ES"/>
        </w:rPr>
        <w:t>lataforma, lo que disminuye cualitativa y cuantitativamente la necesaria publicidad exigida por aplicación del principio básico contractual de transparen</w:t>
      </w:r>
      <w:r>
        <w:rPr>
          <w:lang w:val="es-ES"/>
        </w:rPr>
        <w:t>cia.</w:t>
      </w:r>
    </w:p>
    <w:p w:rsidR="00C36765" w:rsidRPr="008B12F7" w:rsidRDefault="00C36765" w:rsidP="00C36765">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Pr>
          <w:lang w:val="es-ES"/>
        </w:rPr>
        <w:t>Finalmente, a la fecha de redacción de este informe, la Administración de la Comunidad Foral, que tiene atribuidas competencias exclusivas en materia de regulación de la contratación pública, no ha traspuesto a Navarra las directivas comunitarias en materia de concesiones y contratación pública. El plazo para su transposición concluyó el 18 de abril de 2016 y su incumplimiento puede generar incertidumbres y ausencia de seguridad jurídica.</w:t>
      </w:r>
    </w:p>
    <w:p w:rsidR="00C36765" w:rsidRPr="00C36765" w:rsidRDefault="004D47CA" w:rsidP="00CA4665">
      <w:pPr>
        <w:pStyle w:val="texto"/>
        <w:spacing w:after="240"/>
        <w:rPr>
          <w:lang w:val="es-ES"/>
        </w:rPr>
      </w:pPr>
      <w:r w:rsidRPr="00C36765">
        <w:rPr>
          <w:lang w:val="es-ES"/>
        </w:rPr>
        <w:t>Recomendamos</w:t>
      </w:r>
      <w:r w:rsidR="00C36765">
        <w:rPr>
          <w:lang w:val="es-ES"/>
        </w:rPr>
        <w:t>:</w:t>
      </w:r>
      <w:r w:rsidR="008B12F7" w:rsidRPr="00C36765">
        <w:rPr>
          <w:lang w:val="es-ES"/>
        </w:rPr>
        <w:t xml:space="preserve"> </w:t>
      </w:r>
    </w:p>
    <w:p w:rsidR="00C36765" w:rsidRPr="00C36765" w:rsidRDefault="00C36765" w:rsidP="00C36765">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i/>
          <w:lang w:val="es-ES"/>
        </w:rPr>
      </w:pPr>
      <w:r w:rsidRPr="00C36765">
        <w:rPr>
          <w:i/>
          <w:lang w:val="es-ES"/>
        </w:rPr>
        <w:t>E</w:t>
      </w:r>
      <w:r w:rsidR="008B12F7" w:rsidRPr="00C36765">
        <w:rPr>
          <w:i/>
          <w:lang w:val="es-ES"/>
        </w:rPr>
        <w:t>n aras de la aplicación del principio transparencia de las contrataciones públicas, reali</w:t>
      </w:r>
      <w:r w:rsidR="006362BE">
        <w:rPr>
          <w:i/>
          <w:lang w:val="es-ES"/>
        </w:rPr>
        <w:t>zar</w:t>
      </w:r>
      <w:r w:rsidR="008B12F7" w:rsidRPr="00C36765">
        <w:rPr>
          <w:i/>
          <w:lang w:val="es-ES"/>
        </w:rPr>
        <w:t xml:space="preserve"> las actuaciones oportunas para que sea agregada por interconexión la información </w:t>
      </w:r>
      <w:r w:rsidR="00B51943" w:rsidRPr="00C36765">
        <w:rPr>
          <w:i/>
          <w:lang w:val="es-ES"/>
        </w:rPr>
        <w:t>del</w:t>
      </w:r>
      <w:r w:rsidR="008B12F7" w:rsidRPr="00C36765">
        <w:rPr>
          <w:i/>
          <w:lang w:val="es-ES"/>
        </w:rPr>
        <w:t xml:space="preserve"> Portal de Contratación de Navarra en la Plataforma de Contratación del Sector Público.</w:t>
      </w:r>
    </w:p>
    <w:p w:rsidR="00FC76E2" w:rsidRPr="00C36765" w:rsidRDefault="006362BE" w:rsidP="00C36765">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i/>
          <w:lang w:val="es-ES"/>
        </w:rPr>
      </w:pPr>
      <w:r>
        <w:rPr>
          <w:i/>
          <w:lang w:val="es-ES"/>
        </w:rPr>
        <w:t>A</w:t>
      </w:r>
      <w:r w:rsidR="00974A43">
        <w:rPr>
          <w:i/>
          <w:lang w:val="es-ES"/>
        </w:rPr>
        <w:t>pr</w:t>
      </w:r>
      <w:r>
        <w:rPr>
          <w:i/>
          <w:lang w:val="es-ES"/>
        </w:rPr>
        <w:t>obar</w:t>
      </w:r>
      <w:r w:rsidR="00974A43">
        <w:rPr>
          <w:i/>
          <w:lang w:val="es-ES"/>
        </w:rPr>
        <w:t xml:space="preserve"> una nueva ley foral de contratos públicos adaptada a </w:t>
      </w:r>
      <w:r w:rsidR="00C36765" w:rsidRPr="00C36765">
        <w:rPr>
          <w:i/>
          <w:lang w:val="es-ES"/>
        </w:rPr>
        <w:t>las directivas europeas</w:t>
      </w:r>
      <w:r w:rsidR="00974A43">
        <w:rPr>
          <w:i/>
          <w:lang w:val="es-ES"/>
        </w:rPr>
        <w:t xml:space="preserve"> en la materia</w:t>
      </w:r>
      <w:r w:rsidR="00C36765">
        <w:rPr>
          <w:i/>
          <w:lang w:val="es-ES"/>
        </w:rPr>
        <w:t>.</w:t>
      </w:r>
      <w:r w:rsidR="008B12F7" w:rsidRPr="00C36765">
        <w:rPr>
          <w:i/>
          <w:lang w:val="es-ES"/>
        </w:rPr>
        <w:t xml:space="preserve"> </w:t>
      </w:r>
    </w:p>
    <w:p w:rsidR="00F05298" w:rsidRPr="00F05298" w:rsidRDefault="00F05298" w:rsidP="00071FC3">
      <w:pPr>
        <w:pStyle w:val="atitulo3"/>
        <w:rPr>
          <w:lang w:val="es-ES"/>
        </w:rPr>
      </w:pPr>
      <w:r w:rsidRPr="00F05298">
        <w:rPr>
          <w:lang w:val="es-ES"/>
        </w:rPr>
        <w:t>Tesorería</w:t>
      </w:r>
    </w:p>
    <w:p w:rsidR="00F05298" w:rsidRDefault="00F05298" w:rsidP="00B07A4C">
      <w:pPr>
        <w:pStyle w:val="texto"/>
        <w:spacing w:after="0"/>
        <w:rPr>
          <w:lang w:val="es-ES"/>
        </w:rPr>
      </w:pPr>
      <w:r w:rsidRPr="00A64F58">
        <w:rPr>
          <w:lang w:val="es-ES"/>
        </w:rPr>
        <w:t xml:space="preserve">La </w:t>
      </w:r>
      <w:r w:rsidRPr="00F05298">
        <w:rPr>
          <w:lang w:val="es-ES"/>
        </w:rPr>
        <w:t>tesorería</w:t>
      </w:r>
      <w:r w:rsidRPr="00A64F58">
        <w:rPr>
          <w:lang w:val="es-ES"/>
        </w:rPr>
        <w:t xml:space="preserve"> existente a 31 de diciembre de 201</w:t>
      </w:r>
      <w:r>
        <w:rPr>
          <w:lang w:val="es-ES"/>
        </w:rPr>
        <w:t>5</w:t>
      </w:r>
      <w:r w:rsidRPr="00A64F58">
        <w:rPr>
          <w:lang w:val="es-ES"/>
        </w:rPr>
        <w:t xml:space="preserve"> asc</w:t>
      </w:r>
      <w:r>
        <w:rPr>
          <w:lang w:val="es-ES"/>
        </w:rPr>
        <w:t>iende</w:t>
      </w:r>
      <w:r w:rsidRPr="00A64F58">
        <w:rPr>
          <w:lang w:val="es-ES"/>
        </w:rPr>
        <w:t xml:space="preserve"> a </w:t>
      </w:r>
      <w:r>
        <w:rPr>
          <w:lang w:val="es-ES"/>
        </w:rPr>
        <w:t>61,97 millones</w:t>
      </w:r>
      <w:r w:rsidRPr="00A64F58">
        <w:rPr>
          <w:lang w:val="es-ES"/>
        </w:rPr>
        <w:t xml:space="preserve"> </w:t>
      </w:r>
      <w:r w:rsidR="00317C06">
        <w:rPr>
          <w:lang w:val="es-ES"/>
        </w:rPr>
        <w:t>materializados</w:t>
      </w:r>
      <w:r>
        <w:rPr>
          <w:lang w:val="es-ES"/>
        </w:rPr>
        <w:t xml:space="preserve"> en </w:t>
      </w:r>
      <w:r w:rsidRPr="00A64F58">
        <w:rPr>
          <w:lang w:val="es-ES"/>
        </w:rPr>
        <w:t>los siguientes tipos de cuentas:</w:t>
      </w:r>
    </w:p>
    <w:p w:rsidR="00846EDC" w:rsidRPr="00846EDC" w:rsidRDefault="006362BE" w:rsidP="00846EDC">
      <w:pPr>
        <w:pStyle w:val="recomen"/>
        <w:numPr>
          <w:ilvl w:val="0"/>
          <w:numId w:val="0"/>
        </w:numPr>
        <w:spacing w:after="40"/>
        <w:ind w:left="1588"/>
        <w:jc w:val="right"/>
        <w:rPr>
          <w:rFonts w:ascii="Arial Narrow" w:hAnsi="Arial Narrow"/>
          <w:i w:val="0"/>
          <w:sz w:val="18"/>
          <w:szCs w:val="18"/>
        </w:rPr>
      </w:pPr>
      <w:r w:rsidRPr="00846EDC">
        <w:rPr>
          <w:rFonts w:ascii="Arial Narrow" w:hAnsi="Arial Narrow"/>
          <w:i w:val="0"/>
          <w:sz w:val="18"/>
          <w:szCs w:val="18"/>
        </w:rPr>
        <w:t>Miles</w:t>
      </w:r>
      <w:r w:rsidR="00846EDC" w:rsidRPr="00846EDC">
        <w:rPr>
          <w:rFonts w:ascii="Arial Narrow" w:hAnsi="Arial Narrow"/>
          <w:i w:val="0"/>
          <w:sz w:val="18"/>
          <w:szCs w:val="18"/>
        </w:rPr>
        <w:t xml:space="preserve"> de euros</w:t>
      </w:r>
    </w:p>
    <w:tbl>
      <w:tblPr>
        <w:tblW w:w="4961"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4080"/>
        <w:gridCol w:w="1657"/>
        <w:gridCol w:w="1758"/>
        <w:gridCol w:w="1364"/>
      </w:tblGrid>
      <w:tr w:rsidR="00F05298" w:rsidRPr="00185C62" w:rsidTr="007C6BCB">
        <w:trPr>
          <w:trHeight w:hRule="exact" w:val="284"/>
          <w:jc w:val="center"/>
        </w:trPr>
        <w:tc>
          <w:tcPr>
            <w:tcW w:w="2303" w:type="pct"/>
            <w:tcBorders>
              <w:top w:val="single" w:sz="4" w:space="0" w:color="auto"/>
              <w:left w:val="nil"/>
              <w:bottom w:val="single" w:sz="4" w:space="0" w:color="auto"/>
              <w:right w:val="nil"/>
            </w:tcBorders>
            <w:shd w:val="clear" w:color="auto" w:fill="A8CBEE" w:themeFill="accent2" w:themeFillTint="66"/>
            <w:vAlign w:val="center"/>
            <w:hideMark/>
          </w:tcPr>
          <w:p w:rsidR="00F05298" w:rsidRPr="00A64F58" w:rsidRDefault="00F05298" w:rsidP="002B0232">
            <w:pPr>
              <w:pStyle w:val="cuadroCabe"/>
              <w:jc w:val="left"/>
              <w:rPr>
                <w:rFonts w:cs="Arial"/>
              </w:rPr>
            </w:pPr>
            <w:r>
              <w:rPr>
                <w:rFonts w:cs="Arial"/>
              </w:rPr>
              <w:t>Tesorería</w:t>
            </w:r>
          </w:p>
        </w:tc>
        <w:tc>
          <w:tcPr>
            <w:tcW w:w="935" w:type="pct"/>
            <w:tcBorders>
              <w:top w:val="single" w:sz="4" w:space="0" w:color="auto"/>
              <w:left w:val="nil"/>
              <w:bottom w:val="single" w:sz="4" w:space="0" w:color="auto"/>
              <w:right w:val="nil"/>
            </w:tcBorders>
            <w:shd w:val="clear" w:color="auto" w:fill="A8CBEE" w:themeFill="accent2" w:themeFillTint="66"/>
            <w:vAlign w:val="center"/>
            <w:hideMark/>
          </w:tcPr>
          <w:p w:rsidR="00F05298" w:rsidRPr="00A64F58" w:rsidRDefault="00F05298" w:rsidP="00CA4665">
            <w:pPr>
              <w:pStyle w:val="cuadroCabe"/>
              <w:jc w:val="right"/>
              <w:rPr>
                <w:rFonts w:cs="Arial"/>
              </w:rPr>
            </w:pPr>
            <w:r w:rsidRPr="00A64F58">
              <w:rPr>
                <w:rFonts w:cs="Arial"/>
              </w:rPr>
              <w:t>31</w:t>
            </w:r>
            <w:r>
              <w:rPr>
                <w:rFonts w:cs="Arial"/>
              </w:rPr>
              <w:t>-XII-</w:t>
            </w:r>
            <w:r w:rsidRPr="00A64F58">
              <w:rPr>
                <w:rFonts w:cs="Arial"/>
              </w:rPr>
              <w:t>2014</w:t>
            </w:r>
          </w:p>
        </w:tc>
        <w:tc>
          <w:tcPr>
            <w:tcW w:w="992" w:type="pct"/>
            <w:tcBorders>
              <w:top w:val="single" w:sz="4" w:space="0" w:color="auto"/>
              <w:left w:val="nil"/>
              <w:bottom w:val="single" w:sz="4" w:space="0" w:color="auto"/>
              <w:right w:val="nil"/>
            </w:tcBorders>
            <w:shd w:val="clear" w:color="auto" w:fill="A8CBEE" w:themeFill="accent2" w:themeFillTint="66"/>
            <w:vAlign w:val="center"/>
            <w:hideMark/>
          </w:tcPr>
          <w:p w:rsidR="00F05298" w:rsidRPr="00A64F58" w:rsidRDefault="00F05298" w:rsidP="00CA4665">
            <w:pPr>
              <w:pStyle w:val="cuadroCabe"/>
              <w:jc w:val="right"/>
              <w:rPr>
                <w:rFonts w:cs="Arial"/>
              </w:rPr>
            </w:pPr>
            <w:r w:rsidRPr="00A64F58">
              <w:rPr>
                <w:rFonts w:cs="Arial"/>
              </w:rPr>
              <w:t>31</w:t>
            </w:r>
            <w:r>
              <w:rPr>
                <w:rFonts w:cs="Arial"/>
              </w:rPr>
              <w:t>-XII-</w:t>
            </w:r>
            <w:r w:rsidRPr="00A64F58">
              <w:rPr>
                <w:rFonts w:cs="Arial"/>
              </w:rPr>
              <w:t>201</w:t>
            </w:r>
            <w:r>
              <w:rPr>
                <w:rFonts w:cs="Arial"/>
              </w:rPr>
              <w:t>5</w:t>
            </w:r>
          </w:p>
        </w:tc>
        <w:tc>
          <w:tcPr>
            <w:tcW w:w="770" w:type="pct"/>
            <w:tcBorders>
              <w:top w:val="single" w:sz="4" w:space="0" w:color="auto"/>
              <w:left w:val="nil"/>
              <w:bottom w:val="single" w:sz="4" w:space="0" w:color="auto"/>
              <w:right w:val="nil"/>
            </w:tcBorders>
            <w:shd w:val="clear" w:color="auto" w:fill="A8CBEE" w:themeFill="accent2" w:themeFillTint="66"/>
            <w:vAlign w:val="center"/>
            <w:hideMark/>
          </w:tcPr>
          <w:p w:rsidR="00F05298" w:rsidRPr="00A64F58" w:rsidRDefault="00F05298" w:rsidP="00CA4665">
            <w:pPr>
              <w:pStyle w:val="cuadroCabe"/>
              <w:jc w:val="right"/>
              <w:rPr>
                <w:rFonts w:cs="Arial"/>
              </w:rPr>
            </w:pPr>
            <w:r w:rsidRPr="00A64F58">
              <w:rPr>
                <w:rFonts w:cs="Arial"/>
              </w:rPr>
              <w:t>% variación</w:t>
            </w:r>
          </w:p>
        </w:tc>
      </w:tr>
      <w:tr w:rsidR="00F05298" w:rsidRPr="00185C62" w:rsidTr="00CA4665">
        <w:trPr>
          <w:trHeight w:hRule="exact" w:val="284"/>
          <w:jc w:val="center"/>
        </w:trPr>
        <w:tc>
          <w:tcPr>
            <w:tcW w:w="2303" w:type="pct"/>
            <w:tcBorders>
              <w:top w:val="single" w:sz="4" w:space="0" w:color="auto"/>
              <w:left w:val="nil"/>
              <w:bottom w:val="single" w:sz="2" w:space="0" w:color="auto"/>
              <w:right w:val="nil"/>
            </w:tcBorders>
            <w:noWrap/>
            <w:vAlign w:val="center"/>
            <w:hideMark/>
          </w:tcPr>
          <w:p w:rsidR="00F05298" w:rsidRPr="00185C62" w:rsidRDefault="00F05298" w:rsidP="002B0232">
            <w:pPr>
              <w:pStyle w:val="cuatexto"/>
              <w:jc w:val="left"/>
              <w:rPr>
                <w:szCs w:val="20"/>
              </w:rPr>
            </w:pPr>
            <w:r w:rsidRPr="00185C62">
              <w:rPr>
                <w:szCs w:val="20"/>
              </w:rPr>
              <w:t>Cuentas corrientes operativas</w:t>
            </w:r>
          </w:p>
        </w:tc>
        <w:tc>
          <w:tcPr>
            <w:tcW w:w="935" w:type="pct"/>
            <w:tcBorders>
              <w:top w:val="single" w:sz="4" w:space="0" w:color="auto"/>
              <w:left w:val="nil"/>
              <w:bottom w:val="single" w:sz="2" w:space="0" w:color="auto"/>
              <w:right w:val="nil"/>
            </w:tcBorders>
            <w:vAlign w:val="center"/>
            <w:hideMark/>
          </w:tcPr>
          <w:p w:rsidR="00F05298" w:rsidRPr="00185C62" w:rsidRDefault="00F05298" w:rsidP="00CA4665">
            <w:pPr>
              <w:pStyle w:val="cuatexto"/>
              <w:jc w:val="right"/>
              <w:rPr>
                <w:szCs w:val="20"/>
              </w:rPr>
            </w:pPr>
            <w:r w:rsidRPr="00185C62">
              <w:rPr>
                <w:szCs w:val="20"/>
              </w:rPr>
              <w:t>10.037</w:t>
            </w:r>
          </w:p>
        </w:tc>
        <w:tc>
          <w:tcPr>
            <w:tcW w:w="992" w:type="pct"/>
            <w:tcBorders>
              <w:top w:val="single" w:sz="4" w:space="0" w:color="auto"/>
              <w:left w:val="nil"/>
              <w:bottom w:val="single" w:sz="2" w:space="0" w:color="auto"/>
              <w:right w:val="nil"/>
            </w:tcBorders>
            <w:vAlign w:val="center"/>
          </w:tcPr>
          <w:p w:rsidR="00F05298" w:rsidRPr="00185C62" w:rsidRDefault="00F05298" w:rsidP="00CA4665">
            <w:pPr>
              <w:pStyle w:val="cuatexto"/>
              <w:jc w:val="right"/>
              <w:rPr>
                <w:szCs w:val="20"/>
              </w:rPr>
            </w:pPr>
            <w:r>
              <w:rPr>
                <w:szCs w:val="20"/>
              </w:rPr>
              <w:t>10.395</w:t>
            </w:r>
          </w:p>
        </w:tc>
        <w:tc>
          <w:tcPr>
            <w:tcW w:w="770" w:type="pct"/>
            <w:tcBorders>
              <w:top w:val="single" w:sz="4" w:space="0" w:color="auto"/>
              <w:left w:val="nil"/>
              <w:bottom w:val="single" w:sz="2" w:space="0" w:color="auto"/>
              <w:right w:val="nil"/>
            </w:tcBorders>
            <w:vAlign w:val="center"/>
          </w:tcPr>
          <w:p w:rsidR="00F05298" w:rsidRPr="00185C62" w:rsidRDefault="00F05298" w:rsidP="00CA4665">
            <w:pPr>
              <w:pStyle w:val="cuatexto"/>
              <w:jc w:val="right"/>
              <w:rPr>
                <w:szCs w:val="20"/>
              </w:rPr>
            </w:pPr>
            <w:r>
              <w:rPr>
                <w:szCs w:val="20"/>
              </w:rPr>
              <w:t>4</w:t>
            </w:r>
          </w:p>
        </w:tc>
      </w:tr>
      <w:tr w:rsidR="00F05298" w:rsidRPr="00185C62" w:rsidTr="00CA4665">
        <w:trPr>
          <w:trHeight w:hRule="exact" w:val="284"/>
          <w:jc w:val="center"/>
        </w:trPr>
        <w:tc>
          <w:tcPr>
            <w:tcW w:w="2303" w:type="pct"/>
            <w:tcBorders>
              <w:top w:val="single" w:sz="2" w:space="0" w:color="auto"/>
              <w:left w:val="nil"/>
              <w:bottom w:val="single" w:sz="2" w:space="0" w:color="auto"/>
              <w:right w:val="nil"/>
            </w:tcBorders>
            <w:noWrap/>
            <w:vAlign w:val="center"/>
            <w:hideMark/>
          </w:tcPr>
          <w:p w:rsidR="00F05298" w:rsidRPr="00185C62" w:rsidRDefault="00F05298" w:rsidP="002B0232">
            <w:pPr>
              <w:pStyle w:val="cuatexto"/>
              <w:jc w:val="left"/>
              <w:rPr>
                <w:szCs w:val="20"/>
              </w:rPr>
            </w:pPr>
            <w:r w:rsidRPr="00185C62">
              <w:rPr>
                <w:szCs w:val="20"/>
              </w:rPr>
              <w:t>Cuentas financieras de inversión</w:t>
            </w:r>
          </w:p>
        </w:tc>
        <w:tc>
          <w:tcPr>
            <w:tcW w:w="935" w:type="pct"/>
            <w:tcBorders>
              <w:top w:val="single" w:sz="2" w:space="0" w:color="auto"/>
              <w:left w:val="nil"/>
              <w:bottom w:val="single" w:sz="2" w:space="0" w:color="auto"/>
              <w:right w:val="nil"/>
            </w:tcBorders>
            <w:vAlign w:val="center"/>
            <w:hideMark/>
          </w:tcPr>
          <w:p w:rsidR="00F05298" w:rsidRPr="00185C62" w:rsidRDefault="00F05298" w:rsidP="00CA4665">
            <w:pPr>
              <w:pStyle w:val="cuatexto"/>
              <w:jc w:val="right"/>
              <w:rPr>
                <w:szCs w:val="20"/>
              </w:rPr>
            </w:pPr>
            <w:r w:rsidRPr="00185C62">
              <w:rPr>
                <w:szCs w:val="20"/>
              </w:rPr>
              <w:t>155.669</w:t>
            </w:r>
          </w:p>
        </w:tc>
        <w:tc>
          <w:tcPr>
            <w:tcW w:w="992" w:type="pct"/>
            <w:tcBorders>
              <w:top w:val="single" w:sz="2" w:space="0" w:color="auto"/>
              <w:left w:val="nil"/>
              <w:bottom w:val="single" w:sz="2" w:space="0" w:color="auto"/>
              <w:right w:val="nil"/>
            </w:tcBorders>
            <w:vAlign w:val="center"/>
          </w:tcPr>
          <w:p w:rsidR="00F05298" w:rsidRPr="00185C62" w:rsidRDefault="00F05298" w:rsidP="00CA4665">
            <w:pPr>
              <w:pStyle w:val="cuatexto"/>
              <w:jc w:val="right"/>
              <w:rPr>
                <w:szCs w:val="20"/>
              </w:rPr>
            </w:pPr>
            <w:r>
              <w:rPr>
                <w:szCs w:val="20"/>
              </w:rPr>
              <w:t>51.576</w:t>
            </w:r>
          </w:p>
        </w:tc>
        <w:tc>
          <w:tcPr>
            <w:tcW w:w="770" w:type="pct"/>
            <w:tcBorders>
              <w:top w:val="single" w:sz="2" w:space="0" w:color="auto"/>
              <w:left w:val="nil"/>
              <w:bottom w:val="single" w:sz="2" w:space="0" w:color="auto"/>
              <w:right w:val="nil"/>
            </w:tcBorders>
            <w:vAlign w:val="center"/>
          </w:tcPr>
          <w:p w:rsidR="00F05298" w:rsidRPr="00185C62" w:rsidRDefault="00F05298" w:rsidP="00CA4665">
            <w:pPr>
              <w:pStyle w:val="cuatexto"/>
              <w:jc w:val="right"/>
              <w:rPr>
                <w:szCs w:val="20"/>
              </w:rPr>
            </w:pPr>
            <w:r>
              <w:rPr>
                <w:szCs w:val="20"/>
              </w:rPr>
              <w:t>-67</w:t>
            </w:r>
          </w:p>
        </w:tc>
      </w:tr>
      <w:tr w:rsidR="00F05298" w:rsidRPr="00185C62" w:rsidTr="00CA4665">
        <w:trPr>
          <w:trHeight w:hRule="exact" w:val="284"/>
          <w:jc w:val="center"/>
        </w:trPr>
        <w:tc>
          <w:tcPr>
            <w:tcW w:w="2303" w:type="pct"/>
            <w:tcBorders>
              <w:top w:val="single" w:sz="2" w:space="0" w:color="auto"/>
              <w:left w:val="nil"/>
              <w:bottom w:val="single" w:sz="4" w:space="0" w:color="auto"/>
              <w:right w:val="nil"/>
            </w:tcBorders>
            <w:noWrap/>
            <w:vAlign w:val="center"/>
          </w:tcPr>
          <w:p w:rsidR="00F05298" w:rsidRPr="00185C62" w:rsidRDefault="00F05298" w:rsidP="002B0232">
            <w:pPr>
              <w:pStyle w:val="cuatexto"/>
              <w:jc w:val="left"/>
              <w:rPr>
                <w:szCs w:val="20"/>
              </w:rPr>
            </w:pPr>
            <w:r w:rsidRPr="00185C62">
              <w:rPr>
                <w:szCs w:val="20"/>
              </w:rPr>
              <w:t>Cuentas de crédito</w:t>
            </w:r>
          </w:p>
        </w:tc>
        <w:tc>
          <w:tcPr>
            <w:tcW w:w="935" w:type="pct"/>
            <w:tcBorders>
              <w:top w:val="single" w:sz="2" w:space="0" w:color="auto"/>
              <w:left w:val="nil"/>
              <w:bottom w:val="single" w:sz="4" w:space="0" w:color="auto"/>
              <w:right w:val="nil"/>
            </w:tcBorders>
            <w:vAlign w:val="center"/>
          </w:tcPr>
          <w:p w:rsidR="00F05298" w:rsidRPr="00185C62" w:rsidRDefault="00F05298" w:rsidP="00CA4665">
            <w:pPr>
              <w:pStyle w:val="cuatexto"/>
              <w:jc w:val="right"/>
              <w:rPr>
                <w:szCs w:val="20"/>
              </w:rPr>
            </w:pPr>
            <w:r>
              <w:rPr>
                <w:szCs w:val="20"/>
              </w:rPr>
              <w:t>9</w:t>
            </w:r>
          </w:p>
        </w:tc>
        <w:tc>
          <w:tcPr>
            <w:tcW w:w="992" w:type="pct"/>
            <w:tcBorders>
              <w:top w:val="single" w:sz="2" w:space="0" w:color="auto"/>
              <w:left w:val="nil"/>
              <w:bottom w:val="single" w:sz="4" w:space="0" w:color="auto"/>
              <w:right w:val="nil"/>
            </w:tcBorders>
            <w:vAlign w:val="center"/>
          </w:tcPr>
          <w:p w:rsidR="00F05298" w:rsidRPr="00185C62" w:rsidRDefault="00F05298" w:rsidP="00CA4665">
            <w:pPr>
              <w:pStyle w:val="cuatexto"/>
              <w:jc w:val="right"/>
              <w:rPr>
                <w:szCs w:val="20"/>
              </w:rPr>
            </w:pPr>
            <w:r>
              <w:rPr>
                <w:szCs w:val="20"/>
              </w:rPr>
              <w:t>0</w:t>
            </w:r>
          </w:p>
        </w:tc>
        <w:tc>
          <w:tcPr>
            <w:tcW w:w="770" w:type="pct"/>
            <w:tcBorders>
              <w:top w:val="single" w:sz="2" w:space="0" w:color="auto"/>
              <w:left w:val="nil"/>
              <w:bottom w:val="single" w:sz="4" w:space="0" w:color="auto"/>
              <w:right w:val="nil"/>
            </w:tcBorders>
            <w:vAlign w:val="center"/>
          </w:tcPr>
          <w:p w:rsidR="00F05298" w:rsidRPr="00185C62" w:rsidRDefault="00F05298" w:rsidP="00CA4665">
            <w:pPr>
              <w:pStyle w:val="cuatexto"/>
              <w:jc w:val="right"/>
              <w:rPr>
                <w:szCs w:val="20"/>
              </w:rPr>
            </w:pPr>
            <w:r>
              <w:rPr>
                <w:szCs w:val="20"/>
              </w:rPr>
              <w:t>-100</w:t>
            </w:r>
          </w:p>
        </w:tc>
      </w:tr>
      <w:tr w:rsidR="00F05298" w:rsidRPr="00185C62" w:rsidTr="007C6BCB">
        <w:trPr>
          <w:trHeight w:hRule="exact" w:val="284"/>
          <w:jc w:val="center"/>
        </w:trPr>
        <w:tc>
          <w:tcPr>
            <w:tcW w:w="2303" w:type="pct"/>
            <w:tcBorders>
              <w:top w:val="single" w:sz="4" w:space="0" w:color="auto"/>
              <w:left w:val="nil"/>
              <w:bottom w:val="single" w:sz="4" w:space="0" w:color="auto"/>
              <w:right w:val="nil"/>
            </w:tcBorders>
            <w:shd w:val="clear" w:color="auto" w:fill="A8CBEE" w:themeFill="accent2" w:themeFillTint="66"/>
            <w:noWrap/>
            <w:vAlign w:val="center"/>
            <w:hideMark/>
          </w:tcPr>
          <w:p w:rsidR="00F05298" w:rsidRPr="00185C62" w:rsidRDefault="00F05298" w:rsidP="002B0232">
            <w:pPr>
              <w:pStyle w:val="cuadroCabe"/>
              <w:jc w:val="left"/>
              <w:rPr>
                <w:szCs w:val="18"/>
              </w:rPr>
            </w:pPr>
            <w:r w:rsidRPr="00185C62">
              <w:rPr>
                <w:szCs w:val="18"/>
              </w:rPr>
              <w:t>Total</w:t>
            </w:r>
          </w:p>
        </w:tc>
        <w:tc>
          <w:tcPr>
            <w:tcW w:w="935" w:type="pct"/>
            <w:tcBorders>
              <w:top w:val="single" w:sz="4" w:space="0" w:color="auto"/>
              <w:left w:val="nil"/>
              <w:bottom w:val="single" w:sz="4" w:space="0" w:color="auto"/>
              <w:right w:val="nil"/>
            </w:tcBorders>
            <w:shd w:val="clear" w:color="auto" w:fill="A8CBEE" w:themeFill="accent2" w:themeFillTint="66"/>
            <w:vAlign w:val="center"/>
          </w:tcPr>
          <w:p w:rsidR="00F05298" w:rsidRPr="00185C62" w:rsidRDefault="00F05298" w:rsidP="00CA4665">
            <w:pPr>
              <w:pStyle w:val="cuadroCabe"/>
              <w:jc w:val="right"/>
              <w:rPr>
                <w:szCs w:val="18"/>
              </w:rPr>
            </w:pPr>
            <w:r w:rsidRPr="00185C62">
              <w:rPr>
                <w:szCs w:val="18"/>
              </w:rPr>
              <w:fldChar w:fldCharType="begin"/>
            </w:r>
            <w:r w:rsidRPr="00185C62">
              <w:rPr>
                <w:szCs w:val="18"/>
              </w:rPr>
              <w:instrText xml:space="preserve"> =SUM(ABOVE) </w:instrText>
            </w:r>
            <w:r w:rsidRPr="00185C62">
              <w:rPr>
                <w:szCs w:val="18"/>
              </w:rPr>
              <w:fldChar w:fldCharType="separate"/>
            </w:r>
            <w:r w:rsidRPr="00185C62">
              <w:rPr>
                <w:szCs w:val="18"/>
              </w:rPr>
              <w:t>165.715</w:t>
            </w:r>
            <w:r w:rsidRPr="00185C62">
              <w:rPr>
                <w:szCs w:val="18"/>
              </w:rPr>
              <w:fldChar w:fldCharType="end"/>
            </w:r>
          </w:p>
        </w:tc>
        <w:tc>
          <w:tcPr>
            <w:tcW w:w="992" w:type="pct"/>
            <w:tcBorders>
              <w:top w:val="single" w:sz="4" w:space="0" w:color="auto"/>
              <w:left w:val="nil"/>
              <w:bottom w:val="single" w:sz="4" w:space="0" w:color="auto"/>
              <w:right w:val="nil"/>
            </w:tcBorders>
            <w:shd w:val="clear" w:color="auto" w:fill="A8CBEE" w:themeFill="accent2" w:themeFillTint="66"/>
            <w:vAlign w:val="center"/>
          </w:tcPr>
          <w:p w:rsidR="00F05298" w:rsidRPr="00185C62" w:rsidRDefault="00F05298" w:rsidP="00CA4665">
            <w:pPr>
              <w:pStyle w:val="cuadroCabe"/>
              <w:jc w:val="right"/>
              <w:rPr>
                <w:szCs w:val="18"/>
              </w:rPr>
            </w:pPr>
            <w:r>
              <w:rPr>
                <w:szCs w:val="18"/>
              </w:rPr>
              <w:t>61.971</w:t>
            </w:r>
          </w:p>
        </w:tc>
        <w:tc>
          <w:tcPr>
            <w:tcW w:w="770" w:type="pct"/>
            <w:tcBorders>
              <w:top w:val="single" w:sz="4" w:space="0" w:color="auto"/>
              <w:left w:val="nil"/>
              <w:bottom w:val="single" w:sz="4" w:space="0" w:color="auto"/>
              <w:right w:val="nil"/>
            </w:tcBorders>
            <w:shd w:val="clear" w:color="auto" w:fill="A8CBEE" w:themeFill="accent2" w:themeFillTint="66"/>
            <w:vAlign w:val="center"/>
          </w:tcPr>
          <w:p w:rsidR="00F05298" w:rsidRPr="00185C62" w:rsidRDefault="00F05298" w:rsidP="00CA4665">
            <w:pPr>
              <w:pStyle w:val="cuadroCabe"/>
              <w:jc w:val="right"/>
              <w:rPr>
                <w:szCs w:val="18"/>
              </w:rPr>
            </w:pPr>
            <w:r>
              <w:rPr>
                <w:szCs w:val="18"/>
              </w:rPr>
              <w:t>-37</w:t>
            </w:r>
          </w:p>
        </w:tc>
      </w:tr>
    </w:tbl>
    <w:p w:rsidR="00F05298" w:rsidRDefault="00F05298" w:rsidP="00CA4665">
      <w:pPr>
        <w:pStyle w:val="texto"/>
        <w:spacing w:before="240"/>
        <w:rPr>
          <w:lang w:val="es-ES"/>
        </w:rPr>
      </w:pPr>
      <w:r>
        <w:rPr>
          <w:lang w:val="es-ES"/>
        </w:rPr>
        <w:t>Es decir, los saldos de tesorería se han reducido en un 37 por ciento, lo que representa un importe inferior de prácticamente 104 millones. Esta reducción de los fondos líquidos incide, entre otros factores, en el cálculo del remanente de tesorería.</w:t>
      </w:r>
    </w:p>
    <w:p w:rsidR="00F05298" w:rsidRDefault="00F05298" w:rsidP="00CA4665">
      <w:pPr>
        <w:pStyle w:val="texto"/>
        <w:rPr>
          <w:lang w:val="es-ES"/>
        </w:rPr>
      </w:pPr>
      <w:r>
        <w:rPr>
          <w:lang w:val="es-ES"/>
        </w:rPr>
        <w:t>Los anteriores fondos han generado unos intereses de 0,14 millones, frente a los 1,3 millones generados en 2014.</w:t>
      </w:r>
    </w:p>
    <w:p w:rsidR="00F05298" w:rsidRDefault="00F05298" w:rsidP="00CA4665">
      <w:pPr>
        <w:pStyle w:val="texto"/>
        <w:rPr>
          <w:lang w:val="es-ES"/>
        </w:rPr>
      </w:pPr>
      <w:r>
        <w:rPr>
          <w:lang w:val="es-ES"/>
        </w:rPr>
        <w:t>Durante 2015 no se han concertado imposiciones a plazo.</w:t>
      </w:r>
    </w:p>
    <w:p w:rsidR="00F05298" w:rsidRDefault="00F05298" w:rsidP="00F05298">
      <w:pPr>
        <w:pStyle w:val="texto"/>
        <w:spacing w:after="120"/>
        <w:rPr>
          <w:lang w:val="es-ES"/>
        </w:rPr>
      </w:pPr>
      <w:r w:rsidRPr="00966A81">
        <w:rPr>
          <w:lang w:val="es-ES"/>
        </w:rPr>
        <w:t>Así mismo, en 2015 se concert</w:t>
      </w:r>
      <w:r w:rsidR="00966A81" w:rsidRPr="00966A81">
        <w:rPr>
          <w:lang w:val="es-ES"/>
        </w:rPr>
        <w:t>aron un total de 550 millones en créditos p</w:t>
      </w:r>
      <w:r w:rsidRPr="00966A81">
        <w:rPr>
          <w:lang w:val="es-ES"/>
        </w:rPr>
        <w:t>ara hacer frente a necesidades de tesorería a corto plazo</w:t>
      </w:r>
      <w:r w:rsidR="006273DC">
        <w:rPr>
          <w:lang w:val="es-ES"/>
        </w:rPr>
        <w:t>, si bien no se llegó a utilizar un crédito por importe de 100 millones. E</w:t>
      </w:r>
      <w:r w:rsidR="00966A81" w:rsidRPr="00966A81">
        <w:rPr>
          <w:lang w:val="es-ES"/>
        </w:rPr>
        <w:t>l coste financiero de estas operaciones ascendió a 0,37 millones.</w:t>
      </w:r>
      <w:r w:rsidRPr="00966A81">
        <w:rPr>
          <w:lang w:val="es-ES"/>
        </w:rPr>
        <w:t xml:space="preserve"> En 2014, esas necesidades precisaron de líneas de crédito por importe de 250 millones</w:t>
      </w:r>
      <w:r w:rsidR="00966A81" w:rsidRPr="00966A81">
        <w:rPr>
          <w:lang w:val="es-ES"/>
        </w:rPr>
        <w:t xml:space="preserve"> y un coste financiero de 0,56 millones.</w:t>
      </w:r>
    </w:p>
    <w:p w:rsidR="00CC24B4" w:rsidRPr="00966A81" w:rsidRDefault="00CC24B4" w:rsidP="00CA4665">
      <w:pPr>
        <w:pStyle w:val="texto"/>
        <w:spacing w:after="240"/>
        <w:rPr>
          <w:lang w:val="es-ES"/>
        </w:rPr>
      </w:pPr>
      <w:r>
        <w:t>En algunos supuestos, las anteriores cuentas de crédito pueden utilizarse a través de cuentas de inversión; en estos casos, los saldos favorables de dichas cuentas son remunerados al tipo de interés pactado, habiéndose obtenido en 2015 unos ingresos de 6.238 euros.</w:t>
      </w:r>
    </w:p>
    <w:p w:rsidR="00F05298" w:rsidRDefault="00F05298" w:rsidP="00071FC3">
      <w:pPr>
        <w:pStyle w:val="atitulo3"/>
        <w:rPr>
          <w:lang w:val="es-ES"/>
        </w:rPr>
      </w:pPr>
      <w:r>
        <w:rPr>
          <w:lang w:val="es-ES"/>
        </w:rPr>
        <w:t>Inmovilizado no financiero</w:t>
      </w:r>
    </w:p>
    <w:p w:rsidR="00B66F3E" w:rsidRDefault="00CF0906" w:rsidP="00846EDC">
      <w:pPr>
        <w:pStyle w:val="texto"/>
        <w:spacing w:after="120"/>
      </w:pPr>
      <w:r w:rsidRPr="00CF0906">
        <w:t>El saldo de esta masa patrimonial en 2015 y su comparación con el año anterior, se</w:t>
      </w:r>
      <w:r w:rsidR="00846EDC">
        <w:t xml:space="preserve"> refleja en el siguiente cuadro.</w:t>
      </w:r>
    </w:p>
    <w:p w:rsidR="00846EDC" w:rsidRPr="00846EDC" w:rsidRDefault="006362BE" w:rsidP="00846EDC">
      <w:pPr>
        <w:pStyle w:val="recomen"/>
        <w:numPr>
          <w:ilvl w:val="0"/>
          <w:numId w:val="0"/>
        </w:numPr>
        <w:spacing w:after="40"/>
        <w:ind w:left="1588" w:right="142"/>
        <w:jc w:val="right"/>
        <w:rPr>
          <w:rFonts w:ascii="Arial Narrow" w:hAnsi="Arial Narrow"/>
          <w:i w:val="0"/>
          <w:sz w:val="18"/>
          <w:szCs w:val="18"/>
        </w:rPr>
      </w:pPr>
      <w:r w:rsidRPr="00846EDC">
        <w:rPr>
          <w:rFonts w:ascii="Arial Narrow" w:hAnsi="Arial Narrow"/>
          <w:i w:val="0"/>
          <w:sz w:val="18"/>
          <w:szCs w:val="18"/>
        </w:rPr>
        <w:t>Miles</w:t>
      </w:r>
      <w:r w:rsidR="00846EDC" w:rsidRPr="00846EDC">
        <w:rPr>
          <w:rFonts w:ascii="Arial Narrow" w:hAnsi="Arial Narrow"/>
          <w:i w:val="0"/>
          <w:sz w:val="18"/>
          <w:szCs w:val="18"/>
        </w:rPr>
        <w:t xml:space="preserve"> de euros</w:t>
      </w:r>
    </w:p>
    <w:tbl>
      <w:tblPr>
        <w:tblW w:w="8711" w:type="dxa"/>
        <w:jc w:val="center"/>
        <w:tblLayout w:type="fixed"/>
        <w:tblCellMar>
          <w:left w:w="70" w:type="dxa"/>
          <w:right w:w="70" w:type="dxa"/>
        </w:tblCellMar>
        <w:tblLook w:val="0000" w:firstRow="0" w:lastRow="0" w:firstColumn="0" w:lastColumn="0" w:noHBand="0" w:noVBand="0"/>
      </w:tblPr>
      <w:tblGrid>
        <w:gridCol w:w="5027"/>
        <w:gridCol w:w="1842"/>
        <w:gridCol w:w="1842"/>
      </w:tblGrid>
      <w:tr w:rsidR="0004089C" w:rsidRPr="00E97FC9" w:rsidTr="007C6BCB">
        <w:trPr>
          <w:trHeight w:hRule="exact" w:val="284"/>
          <w:jc w:val="center"/>
        </w:trPr>
        <w:tc>
          <w:tcPr>
            <w:tcW w:w="5027" w:type="dxa"/>
            <w:tcBorders>
              <w:top w:val="single" w:sz="4" w:space="0" w:color="auto"/>
              <w:bottom w:val="single" w:sz="4" w:space="0" w:color="auto"/>
            </w:tcBorders>
            <w:shd w:val="clear" w:color="auto" w:fill="A8CBEE" w:themeFill="accent2" w:themeFillTint="66"/>
            <w:vAlign w:val="center"/>
          </w:tcPr>
          <w:p w:rsidR="0004089C" w:rsidRPr="00A64F58" w:rsidRDefault="0004089C" w:rsidP="00CF0906">
            <w:pPr>
              <w:pStyle w:val="cuadroCabe"/>
              <w:jc w:val="left"/>
              <w:rPr>
                <w:rFonts w:cs="Arial"/>
              </w:rPr>
            </w:pPr>
            <w:r>
              <w:rPr>
                <w:rFonts w:cs="Arial"/>
              </w:rPr>
              <w:t>Inmovilizado no financiero</w:t>
            </w:r>
          </w:p>
        </w:tc>
        <w:tc>
          <w:tcPr>
            <w:tcW w:w="1842" w:type="dxa"/>
            <w:tcBorders>
              <w:top w:val="single" w:sz="4" w:space="0" w:color="auto"/>
              <w:bottom w:val="single" w:sz="4" w:space="0" w:color="auto"/>
            </w:tcBorders>
            <w:shd w:val="clear" w:color="auto" w:fill="A8CBEE" w:themeFill="accent2" w:themeFillTint="66"/>
            <w:vAlign w:val="center"/>
          </w:tcPr>
          <w:p w:rsidR="0004089C" w:rsidRPr="00A64F58" w:rsidRDefault="0004089C" w:rsidP="00CA4665">
            <w:pPr>
              <w:pStyle w:val="cuadroCabe"/>
              <w:jc w:val="right"/>
              <w:rPr>
                <w:rFonts w:cs="Arial"/>
              </w:rPr>
            </w:pPr>
            <w:r w:rsidRPr="00A64F58">
              <w:rPr>
                <w:rFonts w:cs="Arial"/>
              </w:rPr>
              <w:t>31</w:t>
            </w:r>
            <w:r>
              <w:rPr>
                <w:rFonts w:cs="Arial"/>
              </w:rPr>
              <w:t>-XII-</w:t>
            </w:r>
            <w:r w:rsidRPr="00A64F58">
              <w:rPr>
                <w:rFonts w:cs="Arial"/>
              </w:rPr>
              <w:t>201</w:t>
            </w:r>
            <w:r>
              <w:rPr>
                <w:rFonts w:cs="Arial"/>
              </w:rPr>
              <w:t>4</w:t>
            </w:r>
          </w:p>
        </w:tc>
        <w:tc>
          <w:tcPr>
            <w:tcW w:w="1842" w:type="dxa"/>
            <w:tcBorders>
              <w:top w:val="single" w:sz="4" w:space="0" w:color="auto"/>
              <w:bottom w:val="single" w:sz="4" w:space="0" w:color="auto"/>
            </w:tcBorders>
            <w:shd w:val="clear" w:color="auto" w:fill="A8CBEE" w:themeFill="accent2" w:themeFillTint="66"/>
            <w:vAlign w:val="center"/>
          </w:tcPr>
          <w:p w:rsidR="0004089C" w:rsidRPr="00A64F58" w:rsidRDefault="0004089C" w:rsidP="00CA4665">
            <w:pPr>
              <w:pStyle w:val="cuadroCabe"/>
              <w:jc w:val="right"/>
              <w:rPr>
                <w:rFonts w:cs="Arial"/>
              </w:rPr>
            </w:pPr>
            <w:r w:rsidRPr="00A64F58">
              <w:rPr>
                <w:rFonts w:cs="Arial"/>
              </w:rPr>
              <w:t>31</w:t>
            </w:r>
            <w:r>
              <w:rPr>
                <w:rFonts w:cs="Arial"/>
              </w:rPr>
              <w:t>-XII-2015</w:t>
            </w:r>
          </w:p>
        </w:tc>
      </w:tr>
      <w:tr w:rsidR="0004089C" w:rsidRPr="00E97FC9" w:rsidTr="00CA4665">
        <w:trPr>
          <w:trHeight w:hRule="exact" w:val="284"/>
          <w:jc w:val="center"/>
        </w:trPr>
        <w:tc>
          <w:tcPr>
            <w:tcW w:w="5027" w:type="dxa"/>
            <w:tcBorders>
              <w:top w:val="single" w:sz="4" w:space="0" w:color="auto"/>
              <w:bottom w:val="single" w:sz="2" w:space="0" w:color="auto"/>
            </w:tcBorders>
            <w:vAlign w:val="center"/>
          </w:tcPr>
          <w:p w:rsidR="0004089C" w:rsidRPr="00CF0906" w:rsidRDefault="0004089C" w:rsidP="00CF0906">
            <w:pPr>
              <w:pStyle w:val="cuatexto"/>
              <w:jc w:val="left"/>
              <w:rPr>
                <w:szCs w:val="20"/>
              </w:rPr>
            </w:pPr>
            <w:r w:rsidRPr="00CF0906">
              <w:rPr>
                <w:szCs w:val="20"/>
              </w:rPr>
              <w:t xml:space="preserve">Terrenos y construcciones </w:t>
            </w:r>
          </w:p>
        </w:tc>
        <w:tc>
          <w:tcPr>
            <w:tcW w:w="1842" w:type="dxa"/>
            <w:tcBorders>
              <w:top w:val="single" w:sz="4" w:space="0" w:color="auto"/>
              <w:bottom w:val="single" w:sz="2" w:space="0" w:color="auto"/>
            </w:tcBorders>
            <w:vAlign w:val="center"/>
          </w:tcPr>
          <w:p w:rsidR="0004089C" w:rsidRPr="00CF0906" w:rsidRDefault="0004089C" w:rsidP="00CA4665">
            <w:pPr>
              <w:pStyle w:val="cuatexto"/>
              <w:jc w:val="right"/>
              <w:rPr>
                <w:szCs w:val="20"/>
              </w:rPr>
            </w:pPr>
            <w:r w:rsidRPr="00CF0906">
              <w:rPr>
                <w:szCs w:val="20"/>
              </w:rPr>
              <w:t>1.431.3</w:t>
            </w:r>
            <w:r w:rsidR="001D68AA">
              <w:rPr>
                <w:szCs w:val="20"/>
              </w:rPr>
              <w:t>70</w:t>
            </w:r>
          </w:p>
        </w:tc>
        <w:tc>
          <w:tcPr>
            <w:tcW w:w="1842" w:type="dxa"/>
            <w:tcBorders>
              <w:top w:val="single" w:sz="4" w:space="0" w:color="auto"/>
              <w:bottom w:val="single" w:sz="2" w:space="0" w:color="auto"/>
            </w:tcBorders>
            <w:vAlign w:val="center"/>
          </w:tcPr>
          <w:p w:rsidR="0004089C" w:rsidRPr="00CF0906" w:rsidRDefault="0004089C" w:rsidP="00CA4665">
            <w:pPr>
              <w:pStyle w:val="cuatexto"/>
              <w:jc w:val="right"/>
              <w:rPr>
                <w:szCs w:val="20"/>
              </w:rPr>
            </w:pPr>
            <w:r w:rsidRPr="00CF0906">
              <w:rPr>
                <w:szCs w:val="20"/>
              </w:rPr>
              <w:t>1.467.31</w:t>
            </w:r>
            <w:r w:rsidR="00FF3AF0">
              <w:rPr>
                <w:szCs w:val="20"/>
              </w:rPr>
              <w:t>5</w:t>
            </w:r>
          </w:p>
        </w:tc>
      </w:tr>
      <w:tr w:rsidR="0004089C" w:rsidRPr="00E97FC9" w:rsidTr="00CA4665">
        <w:trPr>
          <w:trHeight w:hRule="exact" w:val="284"/>
          <w:jc w:val="center"/>
        </w:trPr>
        <w:tc>
          <w:tcPr>
            <w:tcW w:w="5027" w:type="dxa"/>
            <w:tcBorders>
              <w:top w:val="single" w:sz="2" w:space="0" w:color="auto"/>
              <w:bottom w:val="single" w:sz="2" w:space="0" w:color="auto"/>
            </w:tcBorders>
            <w:vAlign w:val="center"/>
          </w:tcPr>
          <w:p w:rsidR="0004089C" w:rsidRPr="00CF0906" w:rsidRDefault="0004089C" w:rsidP="00CF0906">
            <w:pPr>
              <w:pStyle w:val="cuatexto"/>
              <w:jc w:val="left"/>
              <w:rPr>
                <w:szCs w:val="20"/>
              </w:rPr>
            </w:pPr>
            <w:r w:rsidRPr="00CF0906">
              <w:rPr>
                <w:szCs w:val="20"/>
              </w:rPr>
              <w:t>Instalaciones técnicas y maquinaria</w:t>
            </w:r>
          </w:p>
        </w:tc>
        <w:tc>
          <w:tcPr>
            <w:tcW w:w="1842" w:type="dxa"/>
            <w:tcBorders>
              <w:top w:val="single" w:sz="2" w:space="0" w:color="auto"/>
              <w:bottom w:val="single" w:sz="2" w:space="0" w:color="auto"/>
            </w:tcBorders>
            <w:vAlign w:val="center"/>
          </w:tcPr>
          <w:p w:rsidR="0004089C" w:rsidRPr="00CF0906" w:rsidRDefault="0004089C" w:rsidP="00CA4665">
            <w:pPr>
              <w:pStyle w:val="cuatexto"/>
              <w:jc w:val="right"/>
              <w:rPr>
                <w:szCs w:val="20"/>
              </w:rPr>
            </w:pPr>
            <w:r w:rsidRPr="00CF0906">
              <w:rPr>
                <w:szCs w:val="20"/>
              </w:rPr>
              <w:t>66.726</w:t>
            </w:r>
          </w:p>
        </w:tc>
        <w:tc>
          <w:tcPr>
            <w:tcW w:w="1842" w:type="dxa"/>
            <w:tcBorders>
              <w:top w:val="single" w:sz="2" w:space="0" w:color="auto"/>
              <w:bottom w:val="single" w:sz="2" w:space="0" w:color="auto"/>
            </w:tcBorders>
            <w:vAlign w:val="center"/>
          </w:tcPr>
          <w:p w:rsidR="0004089C" w:rsidRPr="00CF0906" w:rsidRDefault="0004089C" w:rsidP="00CA4665">
            <w:pPr>
              <w:pStyle w:val="cuatexto"/>
              <w:jc w:val="right"/>
              <w:rPr>
                <w:szCs w:val="20"/>
              </w:rPr>
            </w:pPr>
            <w:r w:rsidRPr="00CF0906">
              <w:rPr>
                <w:szCs w:val="20"/>
              </w:rPr>
              <w:t>68.40</w:t>
            </w:r>
            <w:r w:rsidR="00FF3AF0">
              <w:rPr>
                <w:szCs w:val="20"/>
              </w:rPr>
              <w:t>0</w:t>
            </w:r>
          </w:p>
        </w:tc>
      </w:tr>
      <w:tr w:rsidR="0004089C" w:rsidRPr="00E97FC9" w:rsidTr="00CA4665">
        <w:trPr>
          <w:trHeight w:hRule="exact" w:val="284"/>
          <w:jc w:val="center"/>
        </w:trPr>
        <w:tc>
          <w:tcPr>
            <w:tcW w:w="5027" w:type="dxa"/>
            <w:tcBorders>
              <w:top w:val="single" w:sz="2" w:space="0" w:color="auto"/>
              <w:bottom w:val="single" w:sz="2" w:space="0" w:color="auto"/>
            </w:tcBorders>
            <w:vAlign w:val="center"/>
          </w:tcPr>
          <w:p w:rsidR="0004089C" w:rsidRPr="00CF0906" w:rsidRDefault="0004089C" w:rsidP="00CF0906">
            <w:pPr>
              <w:pStyle w:val="cuatexto"/>
              <w:jc w:val="left"/>
              <w:rPr>
                <w:szCs w:val="20"/>
              </w:rPr>
            </w:pPr>
            <w:r w:rsidRPr="00CF0906">
              <w:rPr>
                <w:szCs w:val="20"/>
              </w:rPr>
              <w:t>Utillaje y mobiliario</w:t>
            </w:r>
          </w:p>
        </w:tc>
        <w:tc>
          <w:tcPr>
            <w:tcW w:w="1842" w:type="dxa"/>
            <w:tcBorders>
              <w:top w:val="single" w:sz="2" w:space="0" w:color="auto"/>
              <w:bottom w:val="single" w:sz="2" w:space="0" w:color="auto"/>
            </w:tcBorders>
            <w:vAlign w:val="center"/>
          </w:tcPr>
          <w:p w:rsidR="0004089C" w:rsidRPr="00CF0906" w:rsidRDefault="0004089C" w:rsidP="00CA4665">
            <w:pPr>
              <w:pStyle w:val="cuatexto"/>
              <w:jc w:val="right"/>
              <w:rPr>
                <w:szCs w:val="20"/>
              </w:rPr>
            </w:pPr>
            <w:r w:rsidRPr="00CF0906">
              <w:rPr>
                <w:szCs w:val="20"/>
              </w:rPr>
              <w:t>364.22</w:t>
            </w:r>
            <w:r w:rsidR="001D68AA">
              <w:rPr>
                <w:szCs w:val="20"/>
              </w:rPr>
              <w:t>9</w:t>
            </w:r>
          </w:p>
        </w:tc>
        <w:tc>
          <w:tcPr>
            <w:tcW w:w="1842" w:type="dxa"/>
            <w:tcBorders>
              <w:top w:val="single" w:sz="2" w:space="0" w:color="auto"/>
              <w:bottom w:val="single" w:sz="2" w:space="0" w:color="auto"/>
            </w:tcBorders>
            <w:vAlign w:val="center"/>
          </w:tcPr>
          <w:p w:rsidR="0004089C" w:rsidRPr="00CF0906" w:rsidRDefault="0004089C" w:rsidP="00CA4665">
            <w:pPr>
              <w:pStyle w:val="cuatexto"/>
              <w:jc w:val="right"/>
              <w:rPr>
                <w:szCs w:val="20"/>
              </w:rPr>
            </w:pPr>
            <w:r w:rsidRPr="00CF0906">
              <w:rPr>
                <w:szCs w:val="20"/>
              </w:rPr>
              <w:t>301.3</w:t>
            </w:r>
            <w:r>
              <w:rPr>
                <w:szCs w:val="20"/>
              </w:rPr>
              <w:t>20</w:t>
            </w:r>
          </w:p>
        </w:tc>
      </w:tr>
      <w:tr w:rsidR="0004089C" w:rsidRPr="00E97FC9" w:rsidTr="00CA4665">
        <w:trPr>
          <w:trHeight w:hRule="exact" w:val="284"/>
          <w:jc w:val="center"/>
        </w:trPr>
        <w:tc>
          <w:tcPr>
            <w:tcW w:w="5027" w:type="dxa"/>
            <w:tcBorders>
              <w:top w:val="single" w:sz="2" w:space="0" w:color="auto"/>
              <w:bottom w:val="single" w:sz="2" w:space="0" w:color="auto"/>
            </w:tcBorders>
            <w:vAlign w:val="center"/>
          </w:tcPr>
          <w:p w:rsidR="0004089C" w:rsidRPr="00CF0906" w:rsidRDefault="0004089C" w:rsidP="00CF0906">
            <w:pPr>
              <w:pStyle w:val="cuatexto"/>
              <w:jc w:val="left"/>
              <w:rPr>
                <w:szCs w:val="20"/>
              </w:rPr>
            </w:pPr>
            <w:r w:rsidRPr="00CF0906">
              <w:rPr>
                <w:szCs w:val="20"/>
              </w:rPr>
              <w:t xml:space="preserve">Otro inmovilizado </w:t>
            </w:r>
          </w:p>
        </w:tc>
        <w:tc>
          <w:tcPr>
            <w:tcW w:w="1842" w:type="dxa"/>
            <w:tcBorders>
              <w:top w:val="single" w:sz="2" w:space="0" w:color="auto"/>
              <w:bottom w:val="single" w:sz="2" w:space="0" w:color="auto"/>
            </w:tcBorders>
            <w:vAlign w:val="center"/>
          </w:tcPr>
          <w:p w:rsidR="0004089C" w:rsidRPr="00CF0906" w:rsidRDefault="0004089C" w:rsidP="00CA4665">
            <w:pPr>
              <w:pStyle w:val="cuatexto"/>
              <w:jc w:val="right"/>
              <w:rPr>
                <w:szCs w:val="20"/>
              </w:rPr>
            </w:pPr>
            <w:r w:rsidRPr="00CF0906">
              <w:rPr>
                <w:szCs w:val="20"/>
              </w:rPr>
              <w:t>245.228</w:t>
            </w:r>
          </w:p>
        </w:tc>
        <w:tc>
          <w:tcPr>
            <w:tcW w:w="1842" w:type="dxa"/>
            <w:tcBorders>
              <w:top w:val="single" w:sz="2" w:space="0" w:color="auto"/>
              <w:bottom w:val="single" w:sz="2" w:space="0" w:color="auto"/>
            </w:tcBorders>
            <w:vAlign w:val="center"/>
          </w:tcPr>
          <w:p w:rsidR="0004089C" w:rsidRPr="00CF0906" w:rsidRDefault="0004089C" w:rsidP="00CA4665">
            <w:pPr>
              <w:pStyle w:val="cuatexto"/>
              <w:jc w:val="right"/>
              <w:rPr>
                <w:szCs w:val="20"/>
              </w:rPr>
            </w:pPr>
            <w:r w:rsidRPr="00CF0906">
              <w:rPr>
                <w:szCs w:val="20"/>
              </w:rPr>
              <w:t>345.764</w:t>
            </w:r>
          </w:p>
        </w:tc>
      </w:tr>
      <w:tr w:rsidR="0004089C" w:rsidRPr="00E97FC9" w:rsidTr="007C6BCB">
        <w:trPr>
          <w:trHeight w:hRule="exact" w:val="284"/>
          <w:jc w:val="center"/>
        </w:trPr>
        <w:tc>
          <w:tcPr>
            <w:tcW w:w="5027" w:type="dxa"/>
            <w:tcBorders>
              <w:top w:val="single" w:sz="2" w:space="0" w:color="auto"/>
              <w:bottom w:val="single" w:sz="2" w:space="0" w:color="auto"/>
            </w:tcBorders>
            <w:shd w:val="clear" w:color="auto" w:fill="A8CBEE" w:themeFill="accent2" w:themeFillTint="66"/>
            <w:vAlign w:val="center"/>
          </w:tcPr>
          <w:p w:rsidR="0004089C" w:rsidRPr="00CF0906" w:rsidRDefault="0004089C" w:rsidP="00CF0906">
            <w:pPr>
              <w:pStyle w:val="cuadroCabe"/>
              <w:jc w:val="left"/>
              <w:rPr>
                <w:rFonts w:ascii="Arial Narrow" w:hAnsi="Arial Narrow"/>
                <w:szCs w:val="20"/>
              </w:rPr>
            </w:pPr>
            <w:r w:rsidRPr="00CF0906">
              <w:rPr>
                <w:rFonts w:cs="Arial"/>
              </w:rPr>
              <w:t>Total inmovilizado no financiero</w:t>
            </w:r>
          </w:p>
        </w:tc>
        <w:tc>
          <w:tcPr>
            <w:tcW w:w="1842" w:type="dxa"/>
            <w:tcBorders>
              <w:top w:val="single" w:sz="2" w:space="0" w:color="auto"/>
              <w:bottom w:val="single" w:sz="2" w:space="0" w:color="auto"/>
            </w:tcBorders>
            <w:shd w:val="clear" w:color="auto" w:fill="A8CBEE" w:themeFill="accent2" w:themeFillTint="66"/>
            <w:vAlign w:val="center"/>
          </w:tcPr>
          <w:p w:rsidR="0004089C" w:rsidRPr="00CF0906" w:rsidRDefault="0004089C" w:rsidP="00CA4665">
            <w:pPr>
              <w:pStyle w:val="cuadroCabe"/>
              <w:jc w:val="right"/>
              <w:rPr>
                <w:szCs w:val="18"/>
              </w:rPr>
            </w:pPr>
            <w:r w:rsidRPr="00CF0906">
              <w:rPr>
                <w:szCs w:val="18"/>
              </w:rPr>
              <w:t>2.107.553</w:t>
            </w:r>
          </w:p>
        </w:tc>
        <w:tc>
          <w:tcPr>
            <w:tcW w:w="1842" w:type="dxa"/>
            <w:tcBorders>
              <w:top w:val="single" w:sz="2" w:space="0" w:color="auto"/>
              <w:bottom w:val="single" w:sz="2" w:space="0" w:color="auto"/>
            </w:tcBorders>
            <w:shd w:val="clear" w:color="auto" w:fill="A8CBEE" w:themeFill="accent2" w:themeFillTint="66"/>
            <w:vAlign w:val="center"/>
          </w:tcPr>
          <w:p w:rsidR="0004089C" w:rsidRPr="00CF0906" w:rsidRDefault="0004089C" w:rsidP="00CA4665">
            <w:pPr>
              <w:pStyle w:val="cuadroCabe"/>
              <w:jc w:val="right"/>
              <w:rPr>
                <w:szCs w:val="18"/>
              </w:rPr>
            </w:pPr>
            <w:r w:rsidRPr="00CF0906">
              <w:rPr>
                <w:szCs w:val="18"/>
              </w:rPr>
              <w:t>2.182.799</w:t>
            </w:r>
          </w:p>
        </w:tc>
      </w:tr>
    </w:tbl>
    <w:p w:rsidR="008D14C9" w:rsidRDefault="0048692D" w:rsidP="00B07A4C">
      <w:pPr>
        <w:pStyle w:val="texto"/>
        <w:spacing w:before="240" w:after="0"/>
        <w:rPr>
          <w:lang w:val="es-ES"/>
        </w:rPr>
      </w:pPr>
      <w:r w:rsidRPr="0048692D">
        <w:rPr>
          <w:lang w:val="es-ES"/>
        </w:rPr>
        <w:t>La operación más relevante</w:t>
      </w:r>
      <w:r w:rsidR="00D56386">
        <w:rPr>
          <w:lang w:val="es-ES"/>
        </w:rPr>
        <w:t xml:space="preserve"> y singular</w:t>
      </w:r>
      <w:r w:rsidRPr="0048692D">
        <w:rPr>
          <w:lang w:val="es-ES"/>
        </w:rPr>
        <w:t xml:space="preserve"> del ejercicio hace referencia al alta</w:t>
      </w:r>
      <w:r w:rsidR="00D56386">
        <w:rPr>
          <w:lang w:val="es-ES"/>
        </w:rPr>
        <w:t xml:space="preserve"> en esta masa patrimonial</w:t>
      </w:r>
      <w:r w:rsidRPr="0048692D">
        <w:rPr>
          <w:lang w:val="es-ES"/>
        </w:rPr>
        <w:t xml:space="preserve"> de los</w:t>
      </w:r>
      <w:r>
        <w:rPr>
          <w:lang w:val="es-ES"/>
        </w:rPr>
        <w:t xml:space="preserve"> inmuebles del Club Atlético Osasuna </w:t>
      </w:r>
      <w:r w:rsidR="00D56386">
        <w:rPr>
          <w:lang w:val="es-ES"/>
        </w:rPr>
        <w:t xml:space="preserve">entregados </w:t>
      </w:r>
      <w:r>
        <w:rPr>
          <w:lang w:val="es-ES"/>
        </w:rPr>
        <w:t>en dación de pago por su deuda tributaria</w:t>
      </w:r>
      <w:r w:rsidR="00D56386">
        <w:rPr>
          <w:lang w:val="es-ES"/>
        </w:rPr>
        <w:t>,</w:t>
      </w:r>
      <w:r>
        <w:rPr>
          <w:lang w:val="es-ES"/>
        </w:rPr>
        <w:t xml:space="preserve"> en aplicación de la Ley Foral 26/2014. De acuerdo con dicha Ley Foral, los bienes entregados se valoran en un total de 43,05 millones, según el siguiente detalle:</w:t>
      </w:r>
    </w:p>
    <w:p w:rsidR="00846EDC" w:rsidRPr="00846EDC" w:rsidRDefault="006362BE" w:rsidP="00846EDC">
      <w:pPr>
        <w:pStyle w:val="recomen"/>
        <w:numPr>
          <w:ilvl w:val="0"/>
          <w:numId w:val="0"/>
        </w:numPr>
        <w:spacing w:after="40"/>
        <w:ind w:left="1588"/>
        <w:jc w:val="right"/>
        <w:rPr>
          <w:rFonts w:ascii="Arial Narrow" w:hAnsi="Arial Narrow"/>
          <w:i w:val="0"/>
          <w:sz w:val="18"/>
          <w:szCs w:val="18"/>
        </w:rPr>
      </w:pPr>
      <w:r w:rsidRPr="00846EDC">
        <w:rPr>
          <w:rFonts w:ascii="Arial Narrow" w:hAnsi="Arial Narrow"/>
          <w:i w:val="0"/>
          <w:sz w:val="18"/>
          <w:szCs w:val="18"/>
        </w:rPr>
        <w:t>Miles</w:t>
      </w:r>
      <w:r w:rsidR="00846EDC" w:rsidRPr="00846EDC">
        <w:rPr>
          <w:rFonts w:ascii="Arial Narrow" w:hAnsi="Arial Narrow"/>
          <w:i w:val="0"/>
          <w:sz w:val="18"/>
          <w:szCs w:val="18"/>
        </w:rPr>
        <w:t xml:space="preserve"> de euros</w:t>
      </w:r>
    </w:p>
    <w:tbl>
      <w:tblPr>
        <w:tblW w:w="8864" w:type="dxa"/>
        <w:jc w:val="center"/>
        <w:tblCellMar>
          <w:left w:w="70" w:type="dxa"/>
          <w:right w:w="70" w:type="dxa"/>
        </w:tblCellMar>
        <w:tblLook w:val="04A0" w:firstRow="1" w:lastRow="0" w:firstColumn="1" w:lastColumn="0" w:noHBand="0" w:noVBand="1"/>
      </w:tblPr>
      <w:tblGrid>
        <w:gridCol w:w="7149"/>
        <w:gridCol w:w="1715"/>
      </w:tblGrid>
      <w:tr w:rsidR="00C90979" w:rsidRPr="006F2B1B" w:rsidTr="00CA4665">
        <w:trPr>
          <w:trHeight w:val="284"/>
          <w:jc w:val="center"/>
        </w:trPr>
        <w:tc>
          <w:tcPr>
            <w:tcW w:w="7149" w:type="dxa"/>
            <w:tcBorders>
              <w:top w:val="single" w:sz="4" w:space="0" w:color="auto"/>
              <w:bottom w:val="single" w:sz="4" w:space="0" w:color="auto"/>
            </w:tcBorders>
            <w:shd w:val="clear" w:color="auto" w:fill="A8CBEE" w:themeFill="accent2" w:themeFillTint="66"/>
            <w:vAlign w:val="center"/>
          </w:tcPr>
          <w:p w:rsidR="00C90979" w:rsidRPr="00C90979" w:rsidRDefault="00C90979" w:rsidP="00E32CBA">
            <w:pPr>
              <w:pStyle w:val="cuadroCabe"/>
              <w:jc w:val="left"/>
              <w:rPr>
                <w:rFonts w:cs="Arial"/>
              </w:rPr>
            </w:pPr>
            <w:r w:rsidRPr="00C90979">
              <w:rPr>
                <w:rFonts w:cs="Arial"/>
              </w:rPr>
              <w:t>Bienes dación pago C.A. Osasuna</w:t>
            </w:r>
          </w:p>
        </w:tc>
        <w:tc>
          <w:tcPr>
            <w:tcW w:w="1715" w:type="dxa"/>
            <w:tcBorders>
              <w:top w:val="single" w:sz="4" w:space="0" w:color="auto"/>
              <w:bottom w:val="single" w:sz="4" w:space="0" w:color="auto"/>
            </w:tcBorders>
            <w:shd w:val="clear" w:color="auto" w:fill="A8CBEE" w:themeFill="accent2" w:themeFillTint="66"/>
            <w:vAlign w:val="center"/>
          </w:tcPr>
          <w:p w:rsidR="00C90979" w:rsidRPr="00C90979" w:rsidRDefault="00C90979" w:rsidP="00E32CBA">
            <w:pPr>
              <w:pStyle w:val="cuadroCabe"/>
              <w:jc w:val="center"/>
              <w:rPr>
                <w:rFonts w:cs="Arial"/>
              </w:rPr>
            </w:pPr>
            <w:r>
              <w:rPr>
                <w:rFonts w:cs="Arial"/>
              </w:rPr>
              <w:t>Importe</w:t>
            </w:r>
          </w:p>
        </w:tc>
      </w:tr>
      <w:tr w:rsidR="00C90979" w:rsidRPr="00747271" w:rsidTr="00CA4665">
        <w:trPr>
          <w:trHeight w:val="284"/>
          <w:jc w:val="center"/>
        </w:trPr>
        <w:tc>
          <w:tcPr>
            <w:tcW w:w="7149" w:type="dxa"/>
            <w:tcBorders>
              <w:top w:val="single" w:sz="4" w:space="0" w:color="auto"/>
              <w:bottom w:val="single" w:sz="2" w:space="0" w:color="auto"/>
            </w:tcBorders>
            <w:vAlign w:val="center"/>
          </w:tcPr>
          <w:p w:rsidR="00C90979" w:rsidRPr="00C90979" w:rsidRDefault="00C90979" w:rsidP="00E32CBA">
            <w:pPr>
              <w:pStyle w:val="cuatexto"/>
              <w:jc w:val="left"/>
              <w:rPr>
                <w:szCs w:val="20"/>
              </w:rPr>
            </w:pPr>
            <w:r w:rsidRPr="00C90979">
              <w:rPr>
                <w:szCs w:val="20"/>
              </w:rPr>
              <w:t>Estadio El Sadar Pamplona</w:t>
            </w:r>
          </w:p>
        </w:tc>
        <w:tc>
          <w:tcPr>
            <w:tcW w:w="1715" w:type="dxa"/>
            <w:tcBorders>
              <w:top w:val="single" w:sz="4" w:space="0" w:color="auto"/>
              <w:bottom w:val="single" w:sz="2" w:space="0" w:color="auto"/>
            </w:tcBorders>
            <w:vAlign w:val="center"/>
          </w:tcPr>
          <w:p w:rsidR="00C90979" w:rsidRPr="00747271" w:rsidRDefault="00C90979" w:rsidP="00E32CBA">
            <w:pPr>
              <w:pStyle w:val="cuatexto"/>
              <w:jc w:val="right"/>
            </w:pPr>
            <w:r w:rsidRPr="00747271">
              <w:t>23.543</w:t>
            </w:r>
          </w:p>
        </w:tc>
      </w:tr>
      <w:tr w:rsidR="00C90979" w:rsidRPr="00747271" w:rsidTr="00CA4665">
        <w:trPr>
          <w:trHeight w:val="284"/>
          <w:jc w:val="center"/>
        </w:trPr>
        <w:tc>
          <w:tcPr>
            <w:tcW w:w="7149" w:type="dxa"/>
            <w:tcBorders>
              <w:top w:val="single" w:sz="2" w:space="0" w:color="auto"/>
              <w:bottom w:val="single" w:sz="2" w:space="0" w:color="auto"/>
            </w:tcBorders>
            <w:vAlign w:val="center"/>
          </w:tcPr>
          <w:p w:rsidR="00C90979" w:rsidRPr="00C90979" w:rsidRDefault="00E32CBA" w:rsidP="00E32CBA">
            <w:pPr>
              <w:pStyle w:val="cuatexto"/>
              <w:jc w:val="left"/>
              <w:rPr>
                <w:szCs w:val="20"/>
              </w:rPr>
            </w:pPr>
            <w:r>
              <w:rPr>
                <w:szCs w:val="20"/>
              </w:rPr>
              <w:t xml:space="preserve">Dos viviendas </w:t>
            </w:r>
            <w:r w:rsidR="00C90979" w:rsidRPr="00C90979">
              <w:rPr>
                <w:szCs w:val="20"/>
              </w:rPr>
              <w:t>Pamplona</w:t>
            </w:r>
          </w:p>
        </w:tc>
        <w:tc>
          <w:tcPr>
            <w:tcW w:w="1715" w:type="dxa"/>
            <w:tcBorders>
              <w:top w:val="single" w:sz="2" w:space="0" w:color="auto"/>
              <w:bottom w:val="single" w:sz="2" w:space="0" w:color="auto"/>
            </w:tcBorders>
            <w:vAlign w:val="center"/>
          </w:tcPr>
          <w:p w:rsidR="00C90979" w:rsidRPr="00747271" w:rsidRDefault="00C90979" w:rsidP="00E32CBA">
            <w:pPr>
              <w:pStyle w:val="cuatexto"/>
              <w:jc w:val="right"/>
            </w:pPr>
            <w:r w:rsidRPr="00747271">
              <w:t>40</w:t>
            </w:r>
            <w:r w:rsidR="00E32CBA">
              <w:t>4</w:t>
            </w:r>
          </w:p>
        </w:tc>
      </w:tr>
      <w:tr w:rsidR="00C90979" w:rsidRPr="00747271" w:rsidTr="00CA4665">
        <w:trPr>
          <w:trHeight w:val="284"/>
          <w:jc w:val="center"/>
        </w:trPr>
        <w:tc>
          <w:tcPr>
            <w:tcW w:w="7149" w:type="dxa"/>
            <w:tcBorders>
              <w:top w:val="single" w:sz="2" w:space="0" w:color="auto"/>
              <w:bottom w:val="single" w:sz="2" w:space="0" w:color="auto"/>
            </w:tcBorders>
            <w:vAlign w:val="center"/>
          </w:tcPr>
          <w:p w:rsidR="00C90979" w:rsidRPr="00C90979" w:rsidRDefault="00E32CBA" w:rsidP="00E32CBA">
            <w:pPr>
              <w:pStyle w:val="cuatexto"/>
              <w:jc w:val="left"/>
              <w:rPr>
                <w:szCs w:val="20"/>
              </w:rPr>
            </w:pPr>
            <w:r>
              <w:rPr>
                <w:szCs w:val="20"/>
              </w:rPr>
              <w:t xml:space="preserve">Parcela </w:t>
            </w:r>
            <w:r w:rsidR="00C90979" w:rsidRPr="00C90979">
              <w:rPr>
                <w:szCs w:val="20"/>
              </w:rPr>
              <w:t>Pamplona</w:t>
            </w:r>
          </w:p>
        </w:tc>
        <w:tc>
          <w:tcPr>
            <w:tcW w:w="1715" w:type="dxa"/>
            <w:tcBorders>
              <w:top w:val="single" w:sz="2" w:space="0" w:color="auto"/>
              <w:bottom w:val="single" w:sz="2" w:space="0" w:color="auto"/>
            </w:tcBorders>
            <w:vAlign w:val="center"/>
          </w:tcPr>
          <w:p w:rsidR="00C90979" w:rsidRPr="00747271" w:rsidRDefault="00C90979" w:rsidP="00E32CBA">
            <w:pPr>
              <w:pStyle w:val="cuatexto"/>
              <w:jc w:val="right"/>
            </w:pPr>
            <w:r w:rsidRPr="00747271">
              <w:t>648</w:t>
            </w:r>
          </w:p>
        </w:tc>
      </w:tr>
      <w:tr w:rsidR="00C90979" w:rsidRPr="00747271" w:rsidTr="00CA4665">
        <w:trPr>
          <w:trHeight w:val="284"/>
          <w:jc w:val="center"/>
        </w:trPr>
        <w:tc>
          <w:tcPr>
            <w:tcW w:w="7149" w:type="dxa"/>
            <w:tcBorders>
              <w:top w:val="single" w:sz="2" w:space="0" w:color="auto"/>
              <w:bottom w:val="single" w:sz="2" w:space="0" w:color="auto"/>
            </w:tcBorders>
            <w:vAlign w:val="center"/>
          </w:tcPr>
          <w:p w:rsidR="00C90979" w:rsidRPr="00C90979" w:rsidRDefault="00C90979" w:rsidP="00E32CBA">
            <w:pPr>
              <w:pStyle w:val="cuatexto"/>
              <w:jc w:val="left"/>
              <w:rPr>
                <w:szCs w:val="20"/>
              </w:rPr>
            </w:pPr>
            <w:r w:rsidRPr="00C90979">
              <w:rPr>
                <w:szCs w:val="20"/>
              </w:rPr>
              <w:t>Instalaciones Tajonar</w:t>
            </w:r>
          </w:p>
        </w:tc>
        <w:tc>
          <w:tcPr>
            <w:tcW w:w="1715" w:type="dxa"/>
            <w:tcBorders>
              <w:top w:val="single" w:sz="2" w:space="0" w:color="auto"/>
              <w:bottom w:val="single" w:sz="2" w:space="0" w:color="auto"/>
            </w:tcBorders>
            <w:vAlign w:val="center"/>
          </w:tcPr>
          <w:p w:rsidR="00C90979" w:rsidRPr="00747271" w:rsidRDefault="00C90979" w:rsidP="00E32CBA">
            <w:pPr>
              <w:pStyle w:val="cuatexto"/>
              <w:jc w:val="right"/>
            </w:pPr>
            <w:r w:rsidRPr="00747271">
              <w:t>14.44</w:t>
            </w:r>
            <w:r>
              <w:t>9</w:t>
            </w:r>
          </w:p>
        </w:tc>
      </w:tr>
      <w:tr w:rsidR="00C90979" w:rsidRPr="00747271" w:rsidTr="00CA4665">
        <w:trPr>
          <w:trHeight w:val="284"/>
          <w:jc w:val="center"/>
        </w:trPr>
        <w:tc>
          <w:tcPr>
            <w:tcW w:w="7149" w:type="dxa"/>
            <w:tcBorders>
              <w:top w:val="single" w:sz="2" w:space="0" w:color="auto"/>
              <w:bottom w:val="single" w:sz="2" w:space="0" w:color="auto"/>
            </w:tcBorders>
            <w:vAlign w:val="center"/>
          </w:tcPr>
          <w:p w:rsidR="00C90979" w:rsidRPr="00C90979" w:rsidRDefault="00C90979" w:rsidP="00E32CBA">
            <w:pPr>
              <w:pStyle w:val="cuatexto"/>
              <w:jc w:val="left"/>
              <w:rPr>
                <w:szCs w:val="20"/>
              </w:rPr>
            </w:pPr>
            <w:r w:rsidRPr="00C90979">
              <w:rPr>
                <w:szCs w:val="20"/>
              </w:rPr>
              <w:t>Solar futuro parque empresarial Tajonar</w:t>
            </w:r>
          </w:p>
        </w:tc>
        <w:tc>
          <w:tcPr>
            <w:tcW w:w="1715" w:type="dxa"/>
            <w:tcBorders>
              <w:top w:val="single" w:sz="2" w:space="0" w:color="auto"/>
              <w:bottom w:val="single" w:sz="2" w:space="0" w:color="auto"/>
            </w:tcBorders>
            <w:vAlign w:val="center"/>
          </w:tcPr>
          <w:p w:rsidR="00C90979" w:rsidRPr="00747271" w:rsidRDefault="00C90979" w:rsidP="00E32CBA">
            <w:pPr>
              <w:pStyle w:val="cuatexto"/>
              <w:jc w:val="right"/>
            </w:pPr>
            <w:r w:rsidRPr="00A1290C">
              <w:t>4.002</w:t>
            </w:r>
          </w:p>
        </w:tc>
      </w:tr>
      <w:tr w:rsidR="00C90979" w:rsidRPr="00747271" w:rsidTr="00CA4665">
        <w:trPr>
          <w:trHeight w:val="284"/>
          <w:jc w:val="center"/>
        </w:trPr>
        <w:tc>
          <w:tcPr>
            <w:tcW w:w="7149" w:type="dxa"/>
            <w:tcBorders>
              <w:top w:val="single" w:sz="2" w:space="0" w:color="auto"/>
              <w:bottom w:val="single" w:sz="2" w:space="0" w:color="auto"/>
            </w:tcBorders>
            <w:shd w:val="clear" w:color="auto" w:fill="A8CBEE" w:themeFill="accent2" w:themeFillTint="66"/>
            <w:vAlign w:val="center"/>
          </w:tcPr>
          <w:p w:rsidR="00C90979" w:rsidRPr="00185C62" w:rsidRDefault="00C90979" w:rsidP="00E32CBA">
            <w:pPr>
              <w:pStyle w:val="cuadroCabe"/>
              <w:jc w:val="left"/>
              <w:rPr>
                <w:szCs w:val="18"/>
              </w:rPr>
            </w:pPr>
            <w:r w:rsidRPr="00185C62">
              <w:rPr>
                <w:szCs w:val="18"/>
              </w:rPr>
              <w:t>Total</w:t>
            </w:r>
            <w:r>
              <w:rPr>
                <w:szCs w:val="18"/>
              </w:rPr>
              <w:t xml:space="preserve"> bienes</w:t>
            </w:r>
          </w:p>
        </w:tc>
        <w:tc>
          <w:tcPr>
            <w:tcW w:w="1715" w:type="dxa"/>
            <w:tcBorders>
              <w:top w:val="single" w:sz="2" w:space="0" w:color="auto"/>
              <w:bottom w:val="single" w:sz="2" w:space="0" w:color="auto"/>
            </w:tcBorders>
            <w:shd w:val="clear" w:color="auto" w:fill="A8CBEE" w:themeFill="accent2" w:themeFillTint="66"/>
            <w:vAlign w:val="center"/>
          </w:tcPr>
          <w:p w:rsidR="00C90979" w:rsidRPr="00185C62" w:rsidRDefault="00C90979" w:rsidP="00E32CBA">
            <w:pPr>
              <w:pStyle w:val="cuadroCabe"/>
              <w:jc w:val="right"/>
              <w:rPr>
                <w:szCs w:val="18"/>
              </w:rPr>
            </w:pPr>
            <w:r>
              <w:rPr>
                <w:szCs w:val="18"/>
              </w:rPr>
              <w:t>43.046</w:t>
            </w:r>
          </w:p>
        </w:tc>
      </w:tr>
    </w:tbl>
    <w:p w:rsidR="00162587" w:rsidRDefault="00162587" w:rsidP="00CA4665">
      <w:pPr>
        <w:pStyle w:val="texto"/>
        <w:spacing w:before="240"/>
        <w:rPr>
          <w:lang w:val="es-ES"/>
        </w:rPr>
      </w:pPr>
      <w:r>
        <w:rPr>
          <w:lang w:val="es-ES"/>
        </w:rPr>
        <w:t xml:space="preserve">Estos bienes </w:t>
      </w:r>
      <w:r w:rsidR="00317C06">
        <w:rPr>
          <w:lang w:val="es-ES"/>
        </w:rPr>
        <w:t xml:space="preserve">se han escriturado, inscrito en el </w:t>
      </w:r>
      <w:r w:rsidR="00B76666">
        <w:rPr>
          <w:lang w:val="es-ES"/>
        </w:rPr>
        <w:t>R</w:t>
      </w:r>
      <w:r w:rsidR="00317C06">
        <w:rPr>
          <w:lang w:val="es-ES"/>
        </w:rPr>
        <w:t xml:space="preserve">egistro de la Propiedad y </w:t>
      </w:r>
      <w:r>
        <w:rPr>
          <w:lang w:val="es-ES"/>
        </w:rPr>
        <w:t>se han dado de alta en el inventario del Gobierno de Navarra.</w:t>
      </w:r>
      <w:r w:rsidR="00C90979">
        <w:rPr>
          <w:lang w:val="es-ES"/>
        </w:rPr>
        <w:t xml:space="preserve"> El estadio de El Sadar y las instalaciones de Tajonar se adscriben al Instituto Navarro de Deportes y Juventud; el resto de bienes, inicialmente, al Departamento de Hacienda y Política Financiera.</w:t>
      </w:r>
    </w:p>
    <w:p w:rsidR="00576223" w:rsidRDefault="00576223" w:rsidP="00CA4665">
      <w:pPr>
        <w:pStyle w:val="texto"/>
        <w:rPr>
          <w:lang w:val="es-ES"/>
        </w:rPr>
      </w:pPr>
      <w:r>
        <w:rPr>
          <w:lang w:val="es-ES"/>
        </w:rPr>
        <w:t xml:space="preserve">Ahora bien, </w:t>
      </w:r>
      <w:r w:rsidR="00162587">
        <w:rPr>
          <w:lang w:val="es-ES"/>
        </w:rPr>
        <w:t>el anterior</w:t>
      </w:r>
      <w:r>
        <w:rPr>
          <w:lang w:val="es-ES"/>
        </w:rPr>
        <w:t xml:space="preserve"> importe se corresponde con el valor </w:t>
      </w:r>
      <w:r w:rsidR="00EF0DE1">
        <w:rPr>
          <w:lang w:val="es-ES"/>
        </w:rPr>
        <w:t xml:space="preserve">total </w:t>
      </w:r>
      <w:r>
        <w:rPr>
          <w:lang w:val="es-ES"/>
        </w:rPr>
        <w:t>de tasación, pero hay que descontar</w:t>
      </w:r>
      <w:r w:rsidR="00EF0DE1">
        <w:rPr>
          <w:lang w:val="es-ES"/>
        </w:rPr>
        <w:t xml:space="preserve"> las obligaciones contraídas por el Club a favor de terceros garantizadas con esos bienes y que asciende a 10,87 millones. Este importe se refleja en el pasivo del balance en la cuenta “Provisión de Inmovilizado Largo Plazo Club Atlético Osasuna” dentro de la masa patrimonial de acreedores a largo plazo.</w:t>
      </w:r>
      <w:r w:rsidR="00BB0A31">
        <w:rPr>
          <w:lang w:val="es-ES"/>
        </w:rPr>
        <w:t xml:space="preserve"> Cuando el Club acredite el cumplimiento esas obligaciones con terceros, se </w:t>
      </w:r>
      <w:r w:rsidR="001E4A4C">
        <w:rPr>
          <w:lang w:val="es-ES"/>
        </w:rPr>
        <w:t>cancelará tal provisión.</w:t>
      </w:r>
    </w:p>
    <w:p w:rsidR="00FB5191" w:rsidRDefault="00820248" w:rsidP="00CA4665">
      <w:pPr>
        <w:pStyle w:val="texto"/>
        <w:rPr>
          <w:lang w:val="es-ES"/>
        </w:rPr>
      </w:pPr>
      <w:r>
        <w:rPr>
          <w:lang w:val="es-ES"/>
        </w:rPr>
        <w:t>S</w:t>
      </w:r>
      <w:r w:rsidR="00FB5191">
        <w:rPr>
          <w:lang w:val="es-ES"/>
        </w:rPr>
        <w:t>e han materializado</w:t>
      </w:r>
      <w:r w:rsidR="00FC44C9">
        <w:rPr>
          <w:lang w:val="es-ES"/>
        </w:rPr>
        <w:t xml:space="preserve"> con el club</w:t>
      </w:r>
      <w:r w:rsidR="00FB5191">
        <w:rPr>
          <w:lang w:val="es-ES"/>
        </w:rPr>
        <w:t xml:space="preserve"> el resto de compromisos contemplados en la citada Ley Foral sobre la cesión gratuita del estadio de El Sadar y el arrendamiento de las instalaciones deportivas de Tajonar</w:t>
      </w:r>
      <w:r w:rsidR="00FC44C9">
        <w:rPr>
          <w:lang w:val="es-ES"/>
        </w:rPr>
        <w:t>.</w:t>
      </w:r>
      <w:r w:rsidR="00FB5191">
        <w:rPr>
          <w:lang w:val="es-ES"/>
        </w:rPr>
        <w:t xml:space="preserve"> Así mismo, en 2016, una de las viviendas se ha adscrito al Departamento de Derechos Sociales</w:t>
      </w:r>
      <w:r w:rsidR="00C90979">
        <w:rPr>
          <w:lang w:val="es-ES"/>
        </w:rPr>
        <w:t xml:space="preserve"> para su política de vivienda social</w:t>
      </w:r>
      <w:r w:rsidR="00FB5191">
        <w:rPr>
          <w:lang w:val="es-ES"/>
        </w:rPr>
        <w:t xml:space="preserve"> y la otra se ha vendido</w:t>
      </w:r>
      <w:r w:rsidR="003F4432">
        <w:rPr>
          <w:lang w:val="es-ES"/>
        </w:rPr>
        <w:t xml:space="preserve"> en subasta pública</w:t>
      </w:r>
      <w:r w:rsidR="00FB5191">
        <w:rPr>
          <w:lang w:val="es-ES"/>
        </w:rPr>
        <w:t>.</w:t>
      </w:r>
    </w:p>
    <w:p w:rsidR="00CF0906" w:rsidRDefault="00576223" w:rsidP="007C6BCB">
      <w:pPr>
        <w:pStyle w:val="texto"/>
        <w:rPr>
          <w:lang w:val="es-ES"/>
        </w:rPr>
      </w:pPr>
      <w:r>
        <w:rPr>
          <w:lang w:val="es-ES"/>
        </w:rPr>
        <w:t>El conjunto de la</w:t>
      </w:r>
      <w:r w:rsidR="00F91D16">
        <w:rPr>
          <w:lang w:val="es-ES"/>
        </w:rPr>
        <w:t xml:space="preserve"> anterior operación implica un ajuste negativo </w:t>
      </w:r>
      <w:r w:rsidR="00EF0DE1">
        <w:rPr>
          <w:lang w:val="es-ES"/>
        </w:rPr>
        <w:t xml:space="preserve">de 43 millones </w:t>
      </w:r>
      <w:r w:rsidR="00F91D16">
        <w:rPr>
          <w:lang w:val="es-ES"/>
        </w:rPr>
        <w:t>en la cuantificación de las necesidades de financiación a efectos de la normativa de estabilidad presupuestaria.</w:t>
      </w:r>
    </w:p>
    <w:p w:rsidR="00CF0906" w:rsidRDefault="00AB553D" w:rsidP="007C6BCB">
      <w:pPr>
        <w:pStyle w:val="texto"/>
        <w:rPr>
          <w:lang w:val="es-ES"/>
        </w:rPr>
      </w:pPr>
      <w:r>
        <w:rPr>
          <w:lang w:val="es-ES"/>
        </w:rPr>
        <w:t>E</w:t>
      </w:r>
      <w:r w:rsidR="00CF0906">
        <w:rPr>
          <w:lang w:val="es-ES"/>
        </w:rPr>
        <w:t>n 2015, como resultado de la disolución de la Agencia Navarra de Emergencias, se realiza</w:t>
      </w:r>
      <w:r w:rsidR="00440A5E">
        <w:rPr>
          <w:lang w:val="es-ES"/>
        </w:rPr>
        <w:t>,</w:t>
      </w:r>
      <w:r w:rsidR="00CF0906">
        <w:rPr>
          <w:lang w:val="es-ES"/>
        </w:rPr>
        <w:t xml:space="preserve"> </w:t>
      </w:r>
      <w:r w:rsidR="00440A5E">
        <w:rPr>
          <w:lang w:val="es-ES"/>
        </w:rPr>
        <w:t xml:space="preserve">por la desafectación de sus bienes, </w:t>
      </w:r>
      <w:r w:rsidR="00CF0906">
        <w:rPr>
          <w:lang w:val="es-ES"/>
        </w:rPr>
        <w:t xml:space="preserve">una reclasificación de sus bienes </w:t>
      </w:r>
      <w:r w:rsidR="0073665C">
        <w:rPr>
          <w:lang w:val="es-ES"/>
        </w:rPr>
        <w:t>en el</w:t>
      </w:r>
      <w:r w:rsidR="00CF0906">
        <w:rPr>
          <w:lang w:val="es-ES"/>
        </w:rPr>
        <w:t xml:space="preserve"> inmovilizado</w:t>
      </w:r>
      <w:r w:rsidR="00440A5E">
        <w:rPr>
          <w:lang w:val="es-ES"/>
        </w:rPr>
        <w:t xml:space="preserve"> </w:t>
      </w:r>
      <w:r w:rsidR="00CF0906">
        <w:rPr>
          <w:lang w:val="es-ES"/>
        </w:rPr>
        <w:t xml:space="preserve">por importe </w:t>
      </w:r>
      <w:r w:rsidR="00FF3AF0">
        <w:rPr>
          <w:lang w:val="es-ES"/>
        </w:rPr>
        <w:t>cercano a</w:t>
      </w:r>
      <w:r w:rsidR="00CF0906">
        <w:rPr>
          <w:lang w:val="es-ES"/>
        </w:rPr>
        <w:t xml:space="preserve"> 20 millones.</w:t>
      </w:r>
    </w:p>
    <w:p w:rsidR="00F1677B" w:rsidRDefault="00F1677B" w:rsidP="007C6BCB">
      <w:pPr>
        <w:pStyle w:val="texto"/>
        <w:rPr>
          <w:lang w:val="es-ES"/>
        </w:rPr>
      </w:pPr>
      <w:r>
        <w:rPr>
          <w:lang w:val="es-ES"/>
        </w:rPr>
        <w:t xml:space="preserve">También en 2014 se modificaron los criterios de contabilización de las obras del TAV, por lo que las mismas ya no se registran dentro del inmovilizado material en curso, sino en inmovilizado financiero. </w:t>
      </w:r>
    </w:p>
    <w:p w:rsidR="0048692D" w:rsidRDefault="0048692D" w:rsidP="007C6BCB">
      <w:pPr>
        <w:pStyle w:val="texto"/>
        <w:rPr>
          <w:lang w:val="es-ES"/>
        </w:rPr>
      </w:pPr>
      <w:r>
        <w:rPr>
          <w:lang w:val="es-ES"/>
        </w:rPr>
        <w:t>Por otra parte, siguen vigentes los comentarios sobre esta área reflejados en informes anteriores de la Cámara de Comptos y que básicamente hacen referencia a:</w:t>
      </w:r>
    </w:p>
    <w:p w:rsidR="0048692D" w:rsidRPr="00CA4665" w:rsidRDefault="0048692D" w:rsidP="007C6BCB">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spacing w:val="2"/>
          <w:lang w:val="es-ES"/>
        </w:rPr>
      </w:pPr>
      <w:r w:rsidRPr="006D43A7">
        <w:rPr>
          <w:lang w:val="es-ES"/>
        </w:rPr>
        <w:t>Las inversiones en infraestructuras de uso o servicio público</w:t>
      </w:r>
      <w:r>
        <w:rPr>
          <w:lang w:val="es-ES"/>
        </w:rPr>
        <w:t xml:space="preserve"> y las inmovilizaciones intangibles </w:t>
      </w:r>
      <w:r w:rsidRPr="006D43A7">
        <w:rPr>
          <w:lang w:val="es-ES"/>
        </w:rPr>
        <w:t>no se re</w:t>
      </w:r>
      <w:r w:rsidR="00D56386">
        <w:rPr>
          <w:lang w:val="es-ES"/>
        </w:rPr>
        <w:t>flejan</w:t>
      </w:r>
      <w:r w:rsidRPr="006D43A7">
        <w:rPr>
          <w:lang w:val="es-ES"/>
        </w:rPr>
        <w:t xml:space="preserve"> en el inmoviliza</w:t>
      </w:r>
      <w:r w:rsidR="00D56386">
        <w:rPr>
          <w:lang w:val="es-ES"/>
        </w:rPr>
        <w:t xml:space="preserve">do </w:t>
      </w:r>
      <w:r w:rsidRPr="006D43A7">
        <w:rPr>
          <w:lang w:val="es-ES"/>
        </w:rPr>
        <w:t>del balance, sino que se imputan a la cuenta del resultado económico en concepto de pérdidas del inmovilizado.</w:t>
      </w:r>
      <w:r>
        <w:rPr>
          <w:lang w:val="es-ES"/>
        </w:rPr>
        <w:t xml:space="preserve"> </w:t>
      </w:r>
      <w:r w:rsidRPr="00CA4665">
        <w:rPr>
          <w:spacing w:val="2"/>
          <w:lang w:val="es-ES"/>
        </w:rPr>
        <w:t>El importe de este cargo en 2015 asciende a</w:t>
      </w:r>
      <w:r w:rsidR="00D56386" w:rsidRPr="00CA4665">
        <w:rPr>
          <w:spacing w:val="2"/>
          <w:lang w:val="es-ES"/>
        </w:rPr>
        <w:t xml:space="preserve"> un total de</w:t>
      </w:r>
      <w:r w:rsidRPr="00CA4665">
        <w:rPr>
          <w:spacing w:val="2"/>
          <w:lang w:val="es-ES"/>
        </w:rPr>
        <w:t xml:space="preserve"> 50,24 millo</w:t>
      </w:r>
      <w:r w:rsidR="006A6928" w:rsidRPr="00CA4665">
        <w:rPr>
          <w:spacing w:val="2"/>
          <w:lang w:val="es-ES"/>
        </w:rPr>
        <w:t>nes</w:t>
      </w:r>
      <w:r w:rsidRPr="00CA4665">
        <w:rPr>
          <w:spacing w:val="2"/>
          <w:lang w:val="es-ES"/>
        </w:rPr>
        <w:t>.</w:t>
      </w:r>
    </w:p>
    <w:p w:rsidR="007178A0" w:rsidRDefault="007178A0" w:rsidP="007C6BCB">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Pr>
          <w:lang w:val="es-ES"/>
        </w:rPr>
        <w:t>No se registran las cesiones y adscripciones de bienes salvo las efectuadas dentro de la estructura del Gobierno</w:t>
      </w:r>
      <w:r w:rsidR="00261071">
        <w:rPr>
          <w:lang w:val="es-ES"/>
        </w:rPr>
        <w:t xml:space="preserve"> y sus </w:t>
      </w:r>
      <w:r w:rsidR="006362BE">
        <w:rPr>
          <w:lang w:val="es-ES"/>
        </w:rPr>
        <w:t>organismos autónomos.</w:t>
      </w:r>
    </w:p>
    <w:p w:rsidR="0048692D" w:rsidRPr="006D43A7" w:rsidRDefault="0048692D" w:rsidP="007C6BCB">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sidRPr="006D43A7">
        <w:rPr>
          <w:lang w:val="es-ES"/>
        </w:rPr>
        <w:t>No se ha definido ni aplicado una política de amortizaciones para reflejar el deterioro de los bienes del inmovilizado.</w:t>
      </w:r>
    </w:p>
    <w:p w:rsidR="0048692D" w:rsidRPr="006D43A7" w:rsidRDefault="0048692D" w:rsidP="007C6BCB">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sidRPr="006D43A7">
        <w:rPr>
          <w:lang w:val="es-ES"/>
        </w:rPr>
        <w:t xml:space="preserve">No consta </w:t>
      </w:r>
      <w:r>
        <w:rPr>
          <w:lang w:val="es-ES"/>
        </w:rPr>
        <w:t>un inventario</w:t>
      </w:r>
      <w:r w:rsidR="007F4C71" w:rsidRPr="007B6EB3">
        <w:rPr>
          <w:szCs w:val="26"/>
        </w:rPr>
        <w:t xml:space="preserve"> general de bienes</w:t>
      </w:r>
      <w:r w:rsidR="00CF1B77">
        <w:rPr>
          <w:szCs w:val="26"/>
        </w:rPr>
        <w:t xml:space="preserve"> y derechos</w:t>
      </w:r>
      <w:r w:rsidR="007F4C71" w:rsidRPr="007B6EB3">
        <w:rPr>
          <w:szCs w:val="26"/>
        </w:rPr>
        <w:t xml:space="preserve"> adecuadamente valorado</w:t>
      </w:r>
      <w:r w:rsidR="007F4C71">
        <w:rPr>
          <w:szCs w:val="26"/>
        </w:rPr>
        <w:t xml:space="preserve"> de acuerdo con los principios y criterios contables aplicables</w:t>
      </w:r>
      <w:r w:rsidR="00B641CB">
        <w:rPr>
          <w:szCs w:val="26"/>
        </w:rPr>
        <w:t xml:space="preserve"> y que respalde el sald</w:t>
      </w:r>
      <w:r w:rsidR="00CF1B77">
        <w:rPr>
          <w:szCs w:val="26"/>
        </w:rPr>
        <w:t>o del inmovilizado</w:t>
      </w:r>
      <w:r w:rsidR="00B641CB">
        <w:rPr>
          <w:szCs w:val="26"/>
        </w:rPr>
        <w:t>.</w:t>
      </w:r>
      <w:r w:rsidR="00B641CB" w:rsidRPr="00B641CB">
        <w:rPr>
          <w:rFonts w:ascii="Times New (W1)" w:hAnsi="Times New (W1)"/>
        </w:rPr>
        <w:t xml:space="preserve"> </w:t>
      </w:r>
      <w:r w:rsidR="00B641CB" w:rsidRPr="00841721">
        <w:rPr>
          <w:rFonts w:ascii="Times New (W1)" w:hAnsi="Times New (W1)"/>
        </w:rPr>
        <w:t xml:space="preserve">El inventario elaborado por el Servicio de Patrimonio se centra fundamentalmente en </w:t>
      </w:r>
      <w:r w:rsidR="00FA1EE4">
        <w:rPr>
          <w:rFonts w:ascii="Times New (W1)" w:hAnsi="Times New (W1)"/>
        </w:rPr>
        <w:t>terrenos y edificios</w:t>
      </w:r>
      <w:r w:rsidR="00B641CB" w:rsidRPr="00841721">
        <w:rPr>
          <w:rFonts w:ascii="Times New (W1)" w:hAnsi="Times New (W1)"/>
        </w:rPr>
        <w:t xml:space="preserve"> y se confecciona con criterios jurídicos y de identificación</w:t>
      </w:r>
      <w:r w:rsidR="00C90979">
        <w:rPr>
          <w:rFonts w:ascii="Times New (W1)" w:hAnsi="Times New (W1)"/>
        </w:rPr>
        <w:t xml:space="preserve"> física</w:t>
      </w:r>
      <w:r w:rsidR="00B641CB" w:rsidRPr="00841721">
        <w:rPr>
          <w:rFonts w:ascii="Times New (W1)" w:hAnsi="Times New (W1)"/>
        </w:rPr>
        <w:t xml:space="preserve"> de los mismos</w:t>
      </w:r>
      <w:r w:rsidR="00B641CB">
        <w:rPr>
          <w:rFonts w:ascii="Times New (W1)" w:hAnsi="Times New (W1)"/>
        </w:rPr>
        <w:t>.</w:t>
      </w:r>
    </w:p>
    <w:p w:rsidR="00B641CB" w:rsidRDefault="00B641CB" w:rsidP="00B641CB">
      <w:pPr>
        <w:pStyle w:val="texto"/>
        <w:spacing w:after="120"/>
        <w:rPr>
          <w:lang w:val="es-ES"/>
        </w:rPr>
      </w:pPr>
      <w:r w:rsidRPr="00B641CB">
        <w:rPr>
          <w:lang w:val="es-ES"/>
        </w:rPr>
        <w:t>Dentro del marco de implantación del nuevo plan contable público, puede resultar el momento oportuno para resolver esta salvedad en las cuentas del Gobierno de Navarra así como para implantar su tratamiento informático adecuado</w:t>
      </w:r>
      <w:r w:rsidR="00FA1EE4">
        <w:rPr>
          <w:lang w:val="es-ES"/>
        </w:rPr>
        <w:t>.</w:t>
      </w:r>
      <w:r>
        <w:rPr>
          <w:lang w:val="es-ES"/>
        </w:rPr>
        <w:t xml:space="preserve"> </w:t>
      </w:r>
    </w:p>
    <w:p w:rsidR="00B641CB" w:rsidRDefault="00B641CB" w:rsidP="00B641CB">
      <w:pPr>
        <w:pStyle w:val="texto"/>
        <w:spacing w:after="120"/>
        <w:rPr>
          <w:lang w:val="es-ES"/>
        </w:rPr>
      </w:pPr>
      <w:r w:rsidRPr="00B641CB">
        <w:rPr>
          <w:lang w:val="es-ES"/>
        </w:rPr>
        <w:t>Por otra parte, en mayo de 2014, se</w:t>
      </w:r>
      <w:r>
        <w:rPr>
          <w:lang w:val="es-ES"/>
        </w:rPr>
        <w:t xml:space="preserve"> aprobó una modificación de la L</w:t>
      </w:r>
      <w:r w:rsidR="00191C78">
        <w:rPr>
          <w:lang w:val="es-ES"/>
        </w:rPr>
        <w:t>FHP</w:t>
      </w:r>
      <w:r>
        <w:rPr>
          <w:lang w:val="es-ES"/>
        </w:rPr>
        <w:t xml:space="preserve"> que, entre otros aspectos, </w:t>
      </w:r>
      <w:r w:rsidR="00BF5C0B">
        <w:rPr>
          <w:lang w:val="es-ES"/>
        </w:rPr>
        <w:t>reformó</w:t>
      </w:r>
      <w:r>
        <w:rPr>
          <w:lang w:val="es-ES"/>
        </w:rPr>
        <w:t xml:space="preserve"> el art</w:t>
      </w:r>
      <w:r w:rsidRPr="00B641CB">
        <w:rPr>
          <w:lang w:val="es-ES"/>
        </w:rPr>
        <w:t xml:space="preserve"> 121.1.f)  regulador de los principios contables públicos, establec</w:t>
      </w:r>
      <w:r>
        <w:rPr>
          <w:lang w:val="es-ES"/>
        </w:rPr>
        <w:t xml:space="preserve">iéndose </w:t>
      </w:r>
      <w:r w:rsidRPr="00B641CB">
        <w:rPr>
          <w:lang w:val="es-ES"/>
        </w:rPr>
        <w:t xml:space="preserve">que dentro de los bienes del Gobierno se incluirán las infraestructuras y demás bienes de uso público o general, valorados por su precio de adquisición o coste de producción. </w:t>
      </w:r>
    </w:p>
    <w:p w:rsidR="00B641CB" w:rsidRDefault="00B641CB" w:rsidP="00B641CB">
      <w:pPr>
        <w:pStyle w:val="texto"/>
        <w:spacing w:after="120"/>
        <w:rPr>
          <w:lang w:val="es-ES"/>
        </w:rPr>
      </w:pPr>
      <w:r>
        <w:rPr>
          <w:lang w:val="es-ES"/>
        </w:rPr>
        <w:t>Recomendamos</w:t>
      </w:r>
      <w:r w:rsidR="00BF549C">
        <w:rPr>
          <w:lang w:val="es-ES"/>
        </w:rPr>
        <w:t>:</w:t>
      </w:r>
    </w:p>
    <w:p w:rsidR="00B641CB" w:rsidRDefault="00B641CB" w:rsidP="00E578EF">
      <w:pPr>
        <w:pStyle w:val="texto"/>
        <w:numPr>
          <w:ilvl w:val="0"/>
          <w:numId w:val="6"/>
        </w:numPr>
        <w:tabs>
          <w:tab w:val="left" w:pos="490"/>
          <w:tab w:val="num" w:pos="1915"/>
        </w:tabs>
        <w:spacing w:after="120"/>
        <w:ind w:left="0" w:right="29" w:firstLine="284"/>
        <w:rPr>
          <w:i/>
        </w:rPr>
      </w:pPr>
      <w:r w:rsidRPr="00260289">
        <w:rPr>
          <w:i/>
          <w:color w:val="000000"/>
        </w:rPr>
        <w:t>Aplicar el</w:t>
      </w:r>
      <w:r>
        <w:rPr>
          <w:i/>
          <w:color w:val="000000"/>
        </w:rPr>
        <w:t xml:space="preserve"> nuevo</w:t>
      </w:r>
      <w:r w:rsidRPr="00260289">
        <w:rPr>
          <w:i/>
          <w:color w:val="000000"/>
        </w:rPr>
        <w:t xml:space="preserve"> </w:t>
      </w:r>
      <w:r w:rsidRPr="00260289">
        <w:rPr>
          <w:i/>
        </w:rPr>
        <w:t>P</w:t>
      </w:r>
      <w:r>
        <w:rPr>
          <w:i/>
        </w:rPr>
        <w:t xml:space="preserve">lan </w:t>
      </w:r>
      <w:r w:rsidRPr="00260289">
        <w:rPr>
          <w:i/>
        </w:rPr>
        <w:t>G</w:t>
      </w:r>
      <w:r>
        <w:rPr>
          <w:i/>
        </w:rPr>
        <w:t xml:space="preserve">eneral de </w:t>
      </w:r>
      <w:r w:rsidRPr="00260289">
        <w:rPr>
          <w:i/>
        </w:rPr>
        <w:t>C</w:t>
      </w:r>
      <w:r>
        <w:rPr>
          <w:i/>
        </w:rPr>
        <w:t xml:space="preserve">ontabilidad </w:t>
      </w:r>
      <w:r w:rsidRPr="00260289">
        <w:rPr>
          <w:i/>
        </w:rPr>
        <w:t>P</w:t>
      </w:r>
      <w:r>
        <w:rPr>
          <w:i/>
        </w:rPr>
        <w:t>ública (PGCP)</w:t>
      </w:r>
      <w:r w:rsidRPr="00260289">
        <w:rPr>
          <w:i/>
        </w:rPr>
        <w:t xml:space="preserve"> en to</w:t>
      </w:r>
      <w:r>
        <w:rPr>
          <w:i/>
        </w:rPr>
        <w:t>da su extensión a</w:t>
      </w:r>
      <w:r w:rsidRPr="00260289">
        <w:rPr>
          <w:i/>
        </w:rPr>
        <w:t xml:space="preserve"> las operaciones de inmovilizado</w:t>
      </w:r>
      <w:r>
        <w:rPr>
          <w:i/>
        </w:rPr>
        <w:t>.</w:t>
      </w:r>
      <w:r w:rsidRPr="00203B8E">
        <w:rPr>
          <w:i/>
        </w:rPr>
        <w:t xml:space="preserve"> </w:t>
      </w:r>
    </w:p>
    <w:p w:rsidR="00191C78" w:rsidRDefault="00B641CB" w:rsidP="00E578EF">
      <w:pPr>
        <w:pStyle w:val="texto"/>
        <w:numPr>
          <w:ilvl w:val="0"/>
          <w:numId w:val="6"/>
        </w:numPr>
        <w:tabs>
          <w:tab w:val="left" w:pos="490"/>
          <w:tab w:val="num" w:pos="1915"/>
        </w:tabs>
        <w:spacing w:after="120"/>
        <w:ind w:left="0" w:right="29" w:firstLine="284"/>
        <w:rPr>
          <w:i/>
        </w:rPr>
      </w:pPr>
      <w:r w:rsidRPr="00203B8E">
        <w:rPr>
          <w:i/>
        </w:rPr>
        <w:t>Elaborar un inventario co</w:t>
      </w:r>
      <w:r w:rsidR="00191C78">
        <w:rPr>
          <w:i/>
        </w:rPr>
        <w:t>mpleto de los bienes</w:t>
      </w:r>
      <w:r w:rsidR="00DD4128">
        <w:rPr>
          <w:i/>
        </w:rPr>
        <w:t xml:space="preserve"> y derechos</w:t>
      </w:r>
      <w:r w:rsidR="00191C78">
        <w:rPr>
          <w:i/>
        </w:rPr>
        <w:t xml:space="preserve"> </w:t>
      </w:r>
      <w:r w:rsidRPr="00203B8E">
        <w:rPr>
          <w:i/>
        </w:rPr>
        <w:t>de la Comunidad Foral de Navarra</w:t>
      </w:r>
      <w:r w:rsidR="00261071">
        <w:rPr>
          <w:i/>
        </w:rPr>
        <w:t xml:space="preserve"> </w:t>
      </w:r>
      <w:r w:rsidRPr="00191C78">
        <w:rPr>
          <w:i/>
        </w:rPr>
        <w:t xml:space="preserve">al objeto de constituir una herramienta imprescindible para el tratamiento contable </w:t>
      </w:r>
      <w:r w:rsidR="006362BE" w:rsidRPr="00191C78">
        <w:rPr>
          <w:i/>
        </w:rPr>
        <w:t xml:space="preserve">de los </w:t>
      </w:r>
      <w:r w:rsidR="006362BE">
        <w:rPr>
          <w:i/>
        </w:rPr>
        <w:t>mismos. D</w:t>
      </w:r>
      <w:r w:rsidR="006362BE" w:rsidRPr="00191C78">
        <w:rPr>
          <w:i/>
        </w:rPr>
        <w:t>ebe</w:t>
      </w:r>
      <w:r w:rsidRPr="00191C78">
        <w:rPr>
          <w:i/>
        </w:rPr>
        <w:t xml:space="preserve"> elaborarse teniendo en cuenta, además de los propios criterios jurídicos, las necesidades derivadas de su tratamiento contable. Para ello debe incorporar los criterios recogidos en el nuevo PGCP, al objeto de</w:t>
      </w:r>
      <w:r w:rsidR="000D4327">
        <w:rPr>
          <w:i/>
        </w:rPr>
        <w:t xml:space="preserve"> valorar y</w:t>
      </w:r>
      <w:r w:rsidRPr="00191C78">
        <w:rPr>
          <w:i/>
        </w:rPr>
        <w:t xml:space="preserve"> respaldar adecuadamente los saldos contables de las cuentas de inmovilizado.</w:t>
      </w:r>
    </w:p>
    <w:p w:rsidR="00191C78" w:rsidRDefault="00191C78" w:rsidP="00E578EF">
      <w:pPr>
        <w:pStyle w:val="texto"/>
        <w:numPr>
          <w:ilvl w:val="0"/>
          <w:numId w:val="6"/>
        </w:numPr>
        <w:tabs>
          <w:tab w:val="left" w:pos="490"/>
          <w:tab w:val="num" w:pos="1915"/>
        </w:tabs>
        <w:spacing w:after="120"/>
        <w:ind w:left="0" w:right="29" w:firstLine="284"/>
        <w:rPr>
          <w:i/>
        </w:rPr>
      </w:pPr>
      <w:r>
        <w:rPr>
          <w:i/>
        </w:rPr>
        <w:t>Incluir en la memoria anual información sobre dicho inventario, de acuerdo con las previsiones de la LFHP.</w:t>
      </w:r>
    </w:p>
    <w:p w:rsidR="00A912C2" w:rsidRDefault="00191C78" w:rsidP="00E578EF">
      <w:pPr>
        <w:pStyle w:val="texto"/>
        <w:numPr>
          <w:ilvl w:val="0"/>
          <w:numId w:val="6"/>
        </w:numPr>
        <w:tabs>
          <w:tab w:val="left" w:pos="490"/>
          <w:tab w:val="num" w:pos="1915"/>
        </w:tabs>
        <w:spacing w:after="0"/>
        <w:ind w:left="0" w:right="29" w:firstLine="284"/>
        <w:rPr>
          <w:i/>
        </w:rPr>
      </w:pPr>
      <w:r>
        <w:rPr>
          <w:i/>
        </w:rPr>
        <w:t>Definir una política de amortizaciones y de deterioros para hacer frente a la depreciación</w:t>
      </w:r>
      <w:r w:rsidR="00B641CB" w:rsidRPr="00191C78">
        <w:rPr>
          <w:i/>
        </w:rPr>
        <w:t xml:space="preserve"> </w:t>
      </w:r>
      <w:r>
        <w:rPr>
          <w:i/>
        </w:rPr>
        <w:t>de los elementos del inmovilizado no financier</w:t>
      </w:r>
      <w:r w:rsidR="007178A0">
        <w:rPr>
          <w:i/>
        </w:rPr>
        <w:t>o</w:t>
      </w:r>
      <w:r>
        <w:rPr>
          <w:i/>
        </w:rPr>
        <w:t>.</w:t>
      </w:r>
    </w:p>
    <w:p w:rsidR="00CA4665" w:rsidRPr="00CA4665" w:rsidRDefault="00CA4665" w:rsidP="00CA4665">
      <w:pPr>
        <w:pStyle w:val="texto"/>
        <w:spacing w:after="0"/>
        <w:rPr>
          <w:lang w:val="es-ES"/>
        </w:rPr>
      </w:pPr>
    </w:p>
    <w:p w:rsidR="00CA4665" w:rsidRPr="007C6BCB" w:rsidRDefault="00F05298" w:rsidP="007C6BCB">
      <w:pPr>
        <w:pStyle w:val="atitulo3"/>
      </w:pPr>
      <w:r w:rsidRPr="007C6BCB">
        <w:t>Otras áreas</w:t>
      </w:r>
    </w:p>
    <w:p w:rsidR="00F05298" w:rsidRDefault="00F05298" w:rsidP="00846EDC">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120"/>
        <w:ind w:left="0" w:firstLine="289"/>
        <w:rPr>
          <w:lang w:val="es-ES"/>
        </w:rPr>
      </w:pPr>
      <w:r w:rsidRPr="002C301E">
        <w:rPr>
          <w:lang w:val="es-ES"/>
        </w:rPr>
        <w:t xml:space="preserve">Gasto presupuestario </w:t>
      </w:r>
      <w:r w:rsidR="002C301E">
        <w:rPr>
          <w:lang w:val="es-ES"/>
        </w:rPr>
        <w:t>por</w:t>
      </w:r>
      <w:r w:rsidRPr="005D6093">
        <w:rPr>
          <w:b/>
          <w:lang w:val="es-ES"/>
        </w:rPr>
        <w:t xml:space="preserve"> inversiones realizadas en colaboración público-privada</w:t>
      </w:r>
      <w:r>
        <w:rPr>
          <w:lang w:val="es-ES"/>
        </w:rPr>
        <w:t xml:space="preserve">. </w:t>
      </w:r>
      <w:r w:rsidR="00261071">
        <w:rPr>
          <w:lang w:val="es-ES"/>
        </w:rPr>
        <w:t>De acuerdo con la información disponible por esta Cámara, los gastos anteriores e</w:t>
      </w:r>
      <w:r>
        <w:rPr>
          <w:lang w:val="es-ES"/>
        </w:rPr>
        <w:t>n 2015 han ascendido a un total de 74 millones,</w:t>
      </w:r>
      <w:r w:rsidR="00FF3AF0" w:rsidRPr="00FF3AF0">
        <w:rPr>
          <w:lang w:val="es-ES"/>
        </w:rPr>
        <w:t xml:space="preserve"> </w:t>
      </w:r>
      <w:r w:rsidR="00FF3AF0">
        <w:rPr>
          <w:lang w:val="es-ES"/>
        </w:rPr>
        <w:t xml:space="preserve">un </w:t>
      </w:r>
      <w:r w:rsidR="00527391">
        <w:rPr>
          <w:lang w:val="es-ES"/>
        </w:rPr>
        <w:t>tres</w:t>
      </w:r>
      <w:r w:rsidR="00FF3AF0">
        <w:rPr>
          <w:lang w:val="es-ES"/>
        </w:rPr>
        <w:t xml:space="preserve"> por ciento superior al de 2014, esto es, dos millones más. Ese gasto se desglosa en</w:t>
      </w:r>
      <w:r>
        <w:rPr>
          <w:lang w:val="es-ES"/>
        </w:rPr>
        <w:t xml:space="preserve">: </w:t>
      </w:r>
    </w:p>
    <w:p w:rsidR="00846EDC" w:rsidRPr="00846EDC" w:rsidRDefault="006362BE" w:rsidP="00846EDC">
      <w:pPr>
        <w:pStyle w:val="recomen"/>
        <w:numPr>
          <w:ilvl w:val="0"/>
          <w:numId w:val="0"/>
        </w:numPr>
        <w:spacing w:after="40"/>
        <w:ind w:left="1588"/>
        <w:jc w:val="right"/>
        <w:rPr>
          <w:rFonts w:ascii="Arial Narrow" w:hAnsi="Arial Narrow"/>
          <w:i w:val="0"/>
          <w:sz w:val="18"/>
          <w:szCs w:val="18"/>
        </w:rPr>
      </w:pPr>
      <w:r w:rsidRPr="00846EDC">
        <w:rPr>
          <w:rFonts w:ascii="Arial Narrow" w:hAnsi="Arial Narrow"/>
          <w:i w:val="0"/>
          <w:sz w:val="18"/>
          <w:szCs w:val="18"/>
        </w:rPr>
        <w:t>Miles</w:t>
      </w:r>
      <w:r w:rsidR="00846EDC" w:rsidRPr="00846EDC">
        <w:rPr>
          <w:rFonts w:ascii="Arial Narrow" w:hAnsi="Arial Narrow"/>
          <w:i w:val="0"/>
          <w:sz w:val="18"/>
          <w:szCs w:val="18"/>
        </w:rPr>
        <w:t xml:space="preserve"> de euros</w:t>
      </w:r>
    </w:p>
    <w:tbl>
      <w:tblPr>
        <w:tblW w:w="8874" w:type="dxa"/>
        <w:jc w:val="center"/>
        <w:tblInd w:w="-1452" w:type="dxa"/>
        <w:tblCellMar>
          <w:left w:w="70" w:type="dxa"/>
          <w:right w:w="70" w:type="dxa"/>
        </w:tblCellMar>
        <w:tblLook w:val="0000" w:firstRow="0" w:lastRow="0" w:firstColumn="0" w:lastColumn="0" w:noHBand="0" w:noVBand="0"/>
      </w:tblPr>
      <w:tblGrid>
        <w:gridCol w:w="6327"/>
        <w:gridCol w:w="1210"/>
        <w:gridCol w:w="1337"/>
      </w:tblGrid>
      <w:tr w:rsidR="00F05298" w:rsidRPr="00D3443F" w:rsidTr="00CA4665">
        <w:trPr>
          <w:trHeight w:val="306"/>
          <w:jc w:val="center"/>
        </w:trPr>
        <w:tc>
          <w:tcPr>
            <w:tcW w:w="6327" w:type="dxa"/>
            <w:tcBorders>
              <w:top w:val="single" w:sz="4" w:space="0" w:color="auto"/>
              <w:bottom w:val="single" w:sz="4" w:space="0" w:color="auto"/>
            </w:tcBorders>
            <w:shd w:val="clear" w:color="auto" w:fill="A8CBEE" w:themeFill="accent2" w:themeFillTint="66"/>
            <w:vAlign w:val="center"/>
          </w:tcPr>
          <w:p w:rsidR="00F05298" w:rsidRPr="00D3443F" w:rsidRDefault="00F05298" w:rsidP="002B0232">
            <w:pPr>
              <w:pStyle w:val="cuadroCabe"/>
              <w:jc w:val="left"/>
              <w:rPr>
                <w:rFonts w:cs="Arial"/>
              </w:rPr>
            </w:pPr>
            <w:r>
              <w:rPr>
                <w:rFonts w:cs="Arial"/>
              </w:rPr>
              <w:t>Gastos presupuestarios colaboración público- privada</w:t>
            </w:r>
          </w:p>
        </w:tc>
        <w:tc>
          <w:tcPr>
            <w:tcW w:w="1210" w:type="dxa"/>
            <w:tcBorders>
              <w:top w:val="single" w:sz="4" w:space="0" w:color="auto"/>
              <w:bottom w:val="single" w:sz="4" w:space="0" w:color="auto"/>
            </w:tcBorders>
            <w:shd w:val="clear" w:color="auto" w:fill="A8CBEE" w:themeFill="accent2" w:themeFillTint="66"/>
            <w:noWrap/>
            <w:vAlign w:val="center"/>
          </w:tcPr>
          <w:p w:rsidR="00F05298" w:rsidRPr="00D3443F" w:rsidRDefault="00F05298" w:rsidP="002B0232">
            <w:pPr>
              <w:pStyle w:val="cuadroCabe"/>
              <w:jc w:val="right"/>
              <w:rPr>
                <w:rFonts w:cs="Arial"/>
              </w:rPr>
            </w:pPr>
            <w:r>
              <w:rPr>
                <w:rFonts w:cs="Arial"/>
              </w:rPr>
              <w:t>2014</w:t>
            </w:r>
          </w:p>
        </w:tc>
        <w:tc>
          <w:tcPr>
            <w:tcW w:w="1337" w:type="dxa"/>
            <w:tcBorders>
              <w:top w:val="single" w:sz="4" w:space="0" w:color="auto"/>
              <w:bottom w:val="single" w:sz="4" w:space="0" w:color="auto"/>
            </w:tcBorders>
            <w:shd w:val="clear" w:color="auto" w:fill="A8CBEE" w:themeFill="accent2" w:themeFillTint="66"/>
            <w:vAlign w:val="center"/>
          </w:tcPr>
          <w:p w:rsidR="00F05298" w:rsidRPr="00D3443F" w:rsidRDefault="00F05298" w:rsidP="002B0232">
            <w:pPr>
              <w:pStyle w:val="cuadroCabe"/>
              <w:jc w:val="right"/>
              <w:rPr>
                <w:rFonts w:cs="Arial"/>
              </w:rPr>
            </w:pPr>
            <w:r>
              <w:rPr>
                <w:rFonts w:cs="Arial"/>
              </w:rPr>
              <w:t>2015</w:t>
            </w:r>
          </w:p>
        </w:tc>
      </w:tr>
      <w:tr w:rsidR="00F05298" w:rsidRPr="00AE5B59" w:rsidTr="00CA4665">
        <w:trPr>
          <w:trHeight w:val="304"/>
          <w:jc w:val="center"/>
        </w:trPr>
        <w:tc>
          <w:tcPr>
            <w:tcW w:w="6327" w:type="dxa"/>
            <w:tcBorders>
              <w:top w:val="single" w:sz="4" w:space="0" w:color="auto"/>
              <w:bottom w:val="single" w:sz="2" w:space="0" w:color="auto"/>
            </w:tcBorders>
            <w:shd w:val="clear" w:color="auto" w:fill="auto"/>
            <w:vAlign w:val="center"/>
          </w:tcPr>
          <w:p w:rsidR="00F05298" w:rsidRPr="00AE5B59" w:rsidRDefault="00F05298" w:rsidP="002B0232">
            <w:pPr>
              <w:spacing w:after="0"/>
              <w:ind w:firstLine="0"/>
              <w:jc w:val="left"/>
              <w:rPr>
                <w:rFonts w:ascii="Arial Narrow" w:hAnsi="Arial Narrow" w:cs="Arial"/>
                <w:lang w:eastAsia="es-ES"/>
              </w:rPr>
            </w:pPr>
            <w:r>
              <w:rPr>
                <w:rFonts w:ascii="Arial Narrow" w:hAnsi="Arial Narrow" w:cs="Arial"/>
                <w:lang w:eastAsia="es-ES"/>
              </w:rPr>
              <w:t>Canon autovía del Camino</w:t>
            </w:r>
          </w:p>
        </w:tc>
        <w:tc>
          <w:tcPr>
            <w:tcW w:w="1210" w:type="dxa"/>
            <w:tcBorders>
              <w:top w:val="single" w:sz="4" w:space="0" w:color="auto"/>
              <w:bottom w:val="single" w:sz="2" w:space="0" w:color="auto"/>
            </w:tcBorders>
            <w:shd w:val="clear" w:color="auto" w:fill="auto"/>
            <w:noWrap/>
            <w:vAlign w:val="center"/>
          </w:tcPr>
          <w:p w:rsidR="00F05298" w:rsidRPr="00AE5B59" w:rsidRDefault="00F05298" w:rsidP="002B0232">
            <w:pPr>
              <w:spacing w:after="0"/>
              <w:ind w:firstLine="0"/>
              <w:jc w:val="right"/>
              <w:rPr>
                <w:rFonts w:ascii="Arial Narrow" w:hAnsi="Arial Narrow" w:cs="Arial"/>
                <w:lang w:val="es-ES" w:eastAsia="es-ES"/>
              </w:rPr>
            </w:pPr>
            <w:r>
              <w:rPr>
                <w:rFonts w:ascii="Arial Narrow" w:hAnsi="Arial Narrow" w:cs="Arial"/>
                <w:lang w:val="es-ES" w:eastAsia="es-ES"/>
              </w:rPr>
              <w:t>36.323</w:t>
            </w:r>
          </w:p>
        </w:tc>
        <w:tc>
          <w:tcPr>
            <w:tcW w:w="1337" w:type="dxa"/>
            <w:tcBorders>
              <w:top w:val="single" w:sz="4" w:space="0" w:color="auto"/>
              <w:bottom w:val="single" w:sz="2" w:space="0" w:color="auto"/>
            </w:tcBorders>
            <w:vAlign w:val="center"/>
          </w:tcPr>
          <w:p w:rsidR="00F05298" w:rsidRPr="00AE5B59" w:rsidRDefault="00F05298" w:rsidP="002B0232">
            <w:pPr>
              <w:spacing w:after="0"/>
              <w:ind w:firstLine="0"/>
              <w:jc w:val="right"/>
              <w:rPr>
                <w:rFonts w:ascii="Arial Narrow" w:hAnsi="Arial Narrow" w:cs="Arial"/>
                <w:lang w:val="es-ES" w:eastAsia="es-ES"/>
              </w:rPr>
            </w:pPr>
            <w:r>
              <w:rPr>
                <w:rFonts w:ascii="Arial Narrow" w:hAnsi="Arial Narrow" w:cs="Arial"/>
                <w:lang w:val="es-ES" w:eastAsia="es-ES"/>
              </w:rPr>
              <w:t>38.547</w:t>
            </w:r>
          </w:p>
        </w:tc>
      </w:tr>
      <w:tr w:rsidR="00F05298" w:rsidRPr="00AE5B59" w:rsidTr="00CA4665">
        <w:trPr>
          <w:trHeight w:val="304"/>
          <w:jc w:val="center"/>
        </w:trPr>
        <w:tc>
          <w:tcPr>
            <w:tcW w:w="6327" w:type="dxa"/>
            <w:tcBorders>
              <w:top w:val="single" w:sz="4" w:space="0" w:color="auto"/>
              <w:bottom w:val="single" w:sz="2" w:space="0" w:color="auto"/>
            </w:tcBorders>
            <w:shd w:val="clear" w:color="auto" w:fill="auto"/>
            <w:vAlign w:val="center"/>
          </w:tcPr>
          <w:p w:rsidR="00F05298" w:rsidRPr="00AE5B59" w:rsidRDefault="00F05298" w:rsidP="002B0232">
            <w:pPr>
              <w:spacing w:after="0"/>
              <w:ind w:firstLine="0"/>
              <w:jc w:val="left"/>
              <w:rPr>
                <w:rFonts w:ascii="Arial Narrow" w:hAnsi="Arial Narrow" w:cs="Arial"/>
                <w:lang w:eastAsia="es-ES"/>
              </w:rPr>
            </w:pPr>
            <w:r>
              <w:rPr>
                <w:rFonts w:ascii="Arial Narrow" w:hAnsi="Arial Narrow" w:cs="Arial"/>
                <w:lang w:eastAsia="es-ES"/>
              </w:rPr>
              <w:t>Canon Autovía Pirineos</w:t>
            </w:r>
          </w:p>
        </w:tc>
        <w:tc>
          <w:tcPr>
            <w:tcW w:w="1210" w:type="dxa"/>
            <w:tcBorders>
              <w:top w:val="single" w:sz="4" w:space="0" w:color="auto"/>
              <w:bottom w:val="single" w:sz="2" w:space="0" w:color="auto"/>
            </w:tcBorders>
            <w:shd w:val="clear" w:color="auto" w:fill="auto"/>
            <w:noWrap/>
            <w:vAlign w:val="center"/>
          </w:tcPr>
          <w:p w:rsidR="00F05298" w:rsidRDefault="00F05298" w:rsidP="002B0232">
            <w:pPr>
              <w:spacing w:after="0"/>
              <w:ind w:firstLine="0"/>
              <w:jc w:val="right"/>
              <w:rPr>
                <w:rFonts w:ascii="Arial Narrow" w:hAnsi="Arial Narrow" w:cs="Arial"/>
                <w:lang w:val="es-ES" w:eastAsia="es-ES"/>
              </w:rPr>
            </w:pPr>
            <w:r>
              <w:rPr>
                <w:rFonts w:ascii="Arial Narrow" w:hAnsi="Arial Narrow" w:cs="Arial"/>
                <w:lang w:val="es-ES" w:eastAsia="es-ES"/>
              </w:rPr>
              <w:t>15.122</w:t>
            </w:r>
          </w:p>
        </w:tc>
        <w:tc>
          <w:tcPr>
            <w:tcW w:w="1337" w:type="dxa"/>
            <w:tcBorders>
              <w:top w:val="single" w:sz="4" w:space="0" w:color="auto"/>
              <w:bottom w:val="single" w:sz="2" w:space="0" w:color="auto"/>
            </w:tcBorders>
            <w:vAlign w:val="center"/>
          </w:tcPr>
          <w:p w:rsidR="00F05298" w:rsidRDefault="00F05298" w:rsidP="002B0232">
            <w:pPr>
              <w:spacing w:after="0"/>
              <w:ind w:firstLine="0"/>
              <w:jc w:val="right"/>
              <w:rPr>
                <w:rFonts w:ascii="Arial Narrow" w:hAnsi="Arial Narrow" w:cs="Arial"/>
                <w:lang w:val="es-ES" w:eastAsia="es-ES"/>
              </w:rPr>
            </w:pPr>
            <w:r>
              <w:rPr>
                <w:rFonts w:ascii="Arial Narrow" w:hAnsi="Arial Narrow" w:cs="Arial"/>
                <w:lang w:val="es-ES" w:eastAsia="es-ES"/>
              </w:rPr>
              <w:t>14.492</w:t>
            </w:r>
          </w:p>
        </w:tc>
      </w:tr>
      <w:tr w:rsidR="00F05298" w:rsidRPr="00AE5B59" w:rsidTr="00CA4665">
        <w:trPr>
          <w:trHeight w:val="304"/>
          <w:jc w:val="center"/>
        </w:trPr>
        <w:tc>
          <w:tcPr>
            <w:tcW w:w="6327" w:type="dxa"/>
            <w:tcBorders>
              <w:top w:val="single" w:sz="4" w:space="0" w:color="auto"/>
              <w:bottom w:val="single" w:sz="2" w:space="0" w:color="auto"/>
            </w:tcBorders>
            <w:shd w:val="clear" w:color="auto" w:fill="auto"/>
            <w:vAlign w:val="center"/>
          </w:tcPr>
          <w:p w:rsidR="00F05298" w:rsidRPr="00AE5B59" w:rsidRDefault="00F05298" w:rsidP="002B0232">
            <w:pPr>
              <w:spacing w:after="0"/>
              <w:ind w:firstLine="0"/>
              <w:jc w:val="left"/>
              <w:rPr>
                <w:rFonts w:ascii="Arial Narrow" w:hAnsi="Arial Narrow" w:cs="Arial"/>
                <w:lang w:eastAsia="es-ES"/>
              </w:rPr>
            </w:pPr>
            <w:r>
              <w:rPr>
                <w:rFonts w:ascii="Arial Narrow" w:hAnsi="Arial Narrow" w:cs="Arial"/>
                <w:lang w:eastAsia="es-ES"/>
              </w:rPr>
              <w:t>Riegos Canal de Navarra</w:t>
            </w:r>
          </w:p>
        </w:tc>
        <w:tc>
          <w:tcPr>
            <w:tcW w:w="1210" w:type="dxa"/>
            <w:tcBorders>
              <w:top w:val="single" w:sz="4" w:space="0" w:color="auto"/>
              <w:bottom w:val="single" w:sz="2" w:space="0" w:color="auto"/>
            </w:tcBorders>
            <w:shd w:val="clear" w:color="auto" w:fill="auto"/>
            <w:noWrap/>
            <w:vAlign w:val="center"/>
          </w:tcPr>
          <w:p w:rsidR="00F05298" w:rsidRDefault="00F05298" w:rsidP="002B0232">
            <w:pPr>
              <w:spacing w:after="0"/>
              <w:ind w:firstLine="0"/>
              <w:jc w:val="right"/>
              <w:rPr>
                <w:rFonts w:ascii="Arial Narrow" w:hAnsi="Arial Narrow" w:cs="Arial"/>
                <w:lang w:val="es-ES" w:eastAsia="es-ES"/>
              </w:rPr>
            </w:pPr>
            <w:r>
              <w:rPr>
                <w:rFonts w:ascii="Arial Narrow" w:hAnsi="Arial Narrow" w:cs="Arial"/>
                <w:lang w:val="es-ES" w:eastAsia="es-ES"/>
              </w:rPr>
              <w:t>14.935</w:t>
            </w:r>
          </w:p>
        </w:tc>
        <w:tc>
          <w:tcPr>
            <w:tcW w:w="1337" w:type="dxa"/>
            <w:tcBorders>
              <w:top w:val="single" w:sz="4" w:space="0" w:color="auto"/>
              <w:bottom w:val="single" w:sz="2" w:space="0" w:color="auto"/>
            </w:tcBorders>
            <w:vAlign w:val="center"/>
          </w:tcPr>
          <w:p w:rsidR="00F05298" w:rsidRDefault="00F05298" w:rsidP="002B0232">
            <w:pPr>
              <w:spacing w:after="0"/>
              <w:ind w:firstLine="0"/>
              <w:jc w:val="right"/>
              <w:rPr>
                <w:rFonts w:ascii="Arial Narrow" w:hAnsi="Arial Narrow" w:cs="Arial"/>
                <w:lang w:val="es-ES" w:eastAsia="es-ES"/>
              </w:rPr>
            </w:pPr>
            <w:r>
              <w:rPr>
                <w:rFonts w:ascii="Arial Narrow" w:hAnsi="Arial Narrow" w:cs="Arial"/>
                <w:lang w:val="es-ES" w:eastAsia="es-ES"/>
              </w:rPr>
              <w:t>15.173</w:t>
            </w:r>
          </w:p>
        </w:tc>
      </w:tr>
      <w:tr w:rsidR="00F05298" w:rsidRPr="00AE5B59" w:rsidTr="00CA4665">
        <w:trPr>
          <w:trHeight w:val="304"/>
          <w:jc w:val="center"/>
        </w:trPr>
        <w:tc>
          <w:tcPr>
            <w:tcW w:w="6327" w:type="dxa"/>
            <w:tcBorders>
              <w:top w:val="single" w:sz="2" w:space="0" w:color="auto"/>
              <w:bottom w:val="single" w:sz="2" w:space="0" w:color="auto"/>
            </w:tcBorders>
            <w:shd w:val="clear" w:color="auto" w:fill="auto"/>
            <w:vAlign w:val="center"/>
          </w:tcPr>
          <w:p w:rsidR="00F05298" w:rsidRPr="00AE5B59" w:rsidRDefault="00F05298" w:rsidP="002B0232">
            <w:pPr>
              <w:spacing w:after="0"/>
              <w:ind w:firstLine="0"/>
              <w:jc w:val="left"/>
              <w:rPr>
                <w:rFonts w:ascii="Arial Narrow" w:hAnsi="Arial Narrow" w:cs="Arial"/>
                <w:lang w:val="es-ES" w:eastAsia="es-ES"/>
              </w:rPr>
            </w:pPr>
            <w:r>
              <w:rPr>
                <w:rFonts w:ascii="Arial Narrow" w:hAnsi="Arial Narrow" w:cs="Arial"/>
                <w:lang w:val="es-ES" w:eastAsia="es-ES"/>
              </w:rPr>
              <w:t>Contrato Alimentación Complejo Hospitalario de Navarra</w:t>
            </w:r>
          </w:p>
        </w:tc>
        <w:tc>
          <w:tcPr>
            <w:tcW w:w="1210" w:type="dxa"/>
            <w:tcBorders>
              <w:top w:val="single" w:sz="2" w:space="0" w:color="auto"/>
              <w:bottom w:val="single" w:sz="2" w:space="0" w:color="auto"/>
            </w:tcBorders>
            <w:shd w:val="clear" w:color="auto" w:fill="auto"/>
            <w:noWrap/>
            <w:vAlign w:val="center"/>
          </w:tcPr>
          <w:p w:rsidR="00F05298" w:rsidRPr="00AE5B59" w:rsidRDefault="00F05298" w:rsidP="002B0232">
            <w:pPr>
              <w:spacing w:after="0"/>
              <w:ind w:firstLine="0"/>
              <w:jc w:val="right"/>
              <w:rPr>
                <w:rFonts w:ascii="Arial Narrow" w:hAnsi="Arial Narrow" w:cs="Arial"/>
                <w:lang w:val="es-ES" w:eastAsia="es-ES"/>
              </w:rPr>
            </w:pPr>
            <w:r>
              <w:rPr>
                <w:rFonts w:ascii="Arial Narrow" w:hAnsi="Arial Narrow" w:cs="Arial"/>
                <w:lang w:val="es-ES" w:eastAsia="es-ES"/>
              </w:rPr>
              <w:t>5.683</w:t>
            </w:r>
          </w:p>
        </w:tc>
        <w:tc>
          <w:tcPr>
            <w:tcW w:w="1337" w:type="dxa"/>
            <w:tcBorders>
              <w:top w:val="single" w:sz="2" w:space="0" w:color="auto"/>
              <w:bottom w:val="single" w:sz="2" w:space="0" w:color="auto"/>
            </w:tcBorders>
            <w:vAlign w:val="center"/>
          </w:tcPr>
          <w:p w:rsidR="00F05298" w:rsidRPr="00AE5B59" w:rsidRDefault="00F05298" w:rsidP="002B0232">
            <w:pPr>
              <w:spacing w:after="0"/>
              <w:ind w:firstLine="0"/>
              <w:jc w:val="right"/>
              <w:rPr>
                <w:rFonts w:ascii="Arial Narrow" w:hAnsi="Arial Narrow" w:cs="Arial"/>
                <w:lang w:val="es-ES" w:eastAsia="es-ES"/>
              </w:rPr>
            </w:pPr>
            <w:r>
              <w:rPr>
                <w:rFonts w:ascii="Arial Narrow" w:hAnsi="Arial Narrow" w:cs="Arial"/>
                <w:lang w:val="es-ES" w:eastAsia="es-ES"/>
              </w:rPr>
              <w:t>5.840</w:t>
            </w:r>
          </w:p>
        </w:tc>
      </w:tr>
      <w:tr w:rsidR="00F05298" w:rsidRPr="00FD1EFF" w:rsidTr="00CA4665">
        <w:trPr>
          <w:trHeight w:val="266"/>
          <w:jc w:val="center"/>
        </w:trPr>
        <w:tc>
          <w:tcPr>
            <w:tcW w:w="6327" w:type="dxa"/>
            <w:tcBorders>
              <w:top w:val="single" w:sz="2" w:space="0" w:color="auto"/>
              <w:bottom w:val="single" w:sz="4" w:space="0" w:color="auto"/>
            </w:tcBorders>
            <w:shd w:val="clear" w:color="auto" w:fill="A8CBEE" w:themeFill="accent2" w:themeFillTint="66"/>
            <w:vAlign w:val="center"/>
          </w:tcPr>
          <w:p w:rsidR="00F05298" w:rsidRPr="00FD1EFF" w:rsidRDefault="00F05298" w:rsidP="002B0232">
            <w:pPr>
              <w:pStyle w:val="cuadroCabe"/>
              <w:rPr>
                <w:lang w:val="es-ES" w:eastAsia="es-ES"/>
              </w:rPr>
            </w:pPr>
            <w:r>
              <w:rPr>
                <w:lang w:val="es-ES" w:eastAsia="es-ES"/>
              </w:rPr>
              <w:t xml:space="preserve">Total </w:t>
            </w:r>
            <w:r w:rsidR="00A07559">
              <w:rPr>
                <w:lang w:val="es-ES" w:eastAsia="es-ES"/>
              </w:rPr>
              <w:t>CPP</w:t>
            </w:r>
          </w:p>
        </w:tc>
        <w:tc>
          <w:tcPr>
            <w:tcW w:w="1210" w:type="dxa"/>
            <w:tcBorders>
              <w:top w:val="single" w:sz="2" w:space="0" w:color="auto"/>
              <w:bottom w:val="single" w:sz="4" w:space="0" w:color="auto"/>
            </w:tcBorders>
            <w:shd w:val="clear" w:color="auto" w:fill="A8CBEE" w:themeFill="accent2" w:themeFillTint="66"/>
            <w:noWrap/>
            <w:vAlign w:val="center"/>
          </w:tcPr>
          <w:p w:rsidR="00F05298" w:rsidRPr="00FD1EFF" w:rsidRDefault="00F05298" w:rsidP="002B0232">
            <w:pPr>
              <w:pStyle w:val="cuadroCabe"/>
              <w:jc w:val="right"/>
              <w:rPr>
                <w:lang w:val="es-ES" w:eastAsia="es-ES"/>
              </w:rPr>
            </w:pPr>
            <w:r>
              <w:rPr>
                <w:lang w:val="es-ES" w:eastAsia="es-ES"/>
              </w:rPr>
              <w:t>72.063</w:t>
            </w:r>
          </w:p>
        </w:tc>
        <w:tc>
          <w:tcPr>
            <w:tcW w:w="1337" w:type="dxa"/>
            <w:tcBorders>
              <w:top w:val="single" w:sz="2" w:space="0" w:color="auto"/>
              <w:bottom w:val="single" w:sz="4" w:space="0" w:color="auto"/>
            </w:tcBorders>
            <w:shd w:val="clear" w:color="auto" w:fill="A8CBEE" w:themeFill="accent2" w:themeFillTint="66"/>
            <w:vAlign w:val="center"/>
          </w:tcPr>
          <w:p w:rsidR="00F05298" w:rsidRPr="00FD1EFF" w:rsidRDefault="00F05298" w:rsidP="002B0232">
            <w:pPr>
              <w:pStyle w:val="cuadroCabe"/>
              <w:jc w:val="right"/>
              <w:rPr>
                <w:lang w:val="es-ES" w:eastAsia="es-ES"/>
              </w:rPr>
            </w:pPr>
            <w:r>
              <w:rPr>
                <w:lang w:val="es-ES" w:eastAsia="es-ES"/>
              </w:rPr>
              <w:t>74.052</w:t>
            </w:r>
          </w:p>
        </w:tc>
      </w:tr>
    </w:tbl>
    <w:p w:rsidR="00CA4665" w:rsidRDefault="00F05298" w:rsidP="00527391">
      <w:pPr>
        <w:pStyle w:val="texto"/>
        <w:spacing w:before="240"/>
        <w:rPr>
          <w:lang w:val="es-ES"/>
        </w:rPr>
      </w:pPr>
      <w:r>
        <w:rPr>
          <w:lang w:val="es-ES"/>
        </w:rPr>
        <w:t>Analizada la documentación soporte de los gastos anteriores observamos que las partidas relativas a las auto</w:t>
      </w:r>
      <w:r w:rsidR="00FF3AF0">
        <w:rPr>
          <w:lang w:val="es-ES"/>
        </w:rPr>
        <w:t>vías</w:t>
      </w:r>
      <w:r>
        <w:rPr>
          <w:lang w:val="es-ES"/>
        </w:rPr>
        <w:t xml:space="preserve"> solo reflejan la facturación de 11 meses (enero a noviembre) y la liquidación del ejercicio anterior. El importe de las facturas de 2015 registradas en 2016 asciende a 4,69 millones, de los que 3,41 millones corresponden a la autovía del Camino y 1,28 millones a la del Pirineo. </w:t>
      </w:r>
    </w:p>
    <w:p w:rsidR="00F05298" w:rsidRDefault="00F05298" w:rsidP="00F05298">
      <w:pPr>
        <w:pStyle w:val="texto"/>
        <w:spacing w:after="120"/>
        <w:rPr>
          <w:lang w:val="es-ES"/>
        </w:rPr>
      </w:pPr>
      <w:r>
        <w:rPr>
          <w:lang w:val="es-ES"/>
        </w:rPr>
        <w:t>Las facturas del contrato de alimentación del Complejo se refieren al periodo de 20 de diciembre de 2014 a 20 de diciembre de 2015.</w:t>
      </w:r>
    </w:p>
    <w:p w:rsidR="00C0253F" w:rsidRDefault="00C0253F" w:rsidP="0009240A">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Pr>
          <w:lang w:val="es-ES"/>
        </w:rPr>
        <w:t xml:space="preserve">Gasto en </w:t>
      </w:r>
      <w:r w:rsidRPr="00C0253F">
        <w:rPr>
          <w:b/>
          <w:lang w:val="es-ES"/>
        </w:rPr>
        <w:t>fármacos</w:t>
      </w:r>
      <w:r>
        <w:rPr>
          <w:lang w:val="es-ES"/>
        </w:rPr>
        <w:t xml:space="preserve">. En 2015, </w:t>
      </w:r>
      <w:r w:rsidR="001829FB">
        <w:rPr>
          <w:lang w:val="es-ES"/>
        </w:rPr>
        <w:t xml:space="preserve">el Gobierno </w:t>
      </w:r>
      <w:r>
        <w:rPr>
          <w:lang w:val="es-ES"/>
        </w:rPr>
        <w:t>ha gast</w:t>
      </w:r>
      <w:r w:rsidR="00BC1EBE">
        <w:rPr>
          <w:lang w:val="es-ES"/>
        </w:rPr>
        <w:t>ado</w:t>
      </w:r>
      <w:r>
        <w:rPr>
          <w:lang w:val="es-ES"/>
        </w:rPr>
        <w:t xml:space="preserve"> en fármacos un total de 94,29 millones, un 14 por ciento más que el ejercicio anterior; el 81 por ciento de este gasto se concentra en el Complejo Hospitalario de Navarra</w:t>
      </w:r>
      <w:r w:rsidR="00BB46FF">
        <w:rPr>
          <w:lang w:val="es-ES"/>
        </w:rPr>
        <w:t xml:space="preserve"> y el 12 por ciento en el Hospital Reina Sofía</w:t>
      </w:r>
      <w:r>
        <w:rPr>
          <w:lang w:val="es-ES"/>
        </w:rPr>
        <w:t>.</w:t>
      </w:r>
    </w:p>
    <w:p w:rsidR="00C0253F" w:rsidRDefault="00FF3AF0" w:rsidP="00C0253F">
      <w:pPr>
        <w:pStyle w:val="texto"/>
        <w:spacing w:after="120"/>
        <w:rPr>
          <w:lang w:val="es-ES"/>
        </w:rPr>
      </w:pPr>
      <w:r>
        <w:rPr>
          <w:lang w:val="es-ES"/>
        </w:rPr>
        <w:t>S</w:t>
      </w:r>
      <w:r w:rsidR="005E3ACC">
        <w:rPr>
          <w:lang w:val="es-ES"/>
        </w:rPr>
        <w:t>e ha r</w:t>
      </w:r>
      <w:r w:rsidR="00C0253F">
        <w:rPr>
          <w:lang w:val="es-ES"/>
        </w:rPr>
        <w:t>evisad</w:t>
      </w:r>
      <w:r w:rsidR="005E3ACC">
        <w:rPr>
          <w:lang w:val="es-ES"/>
        </w:rPr>
        <w:t>o</w:t>
      </w:r>
      <w:r w:rsidR="00C0253F">
        <w:rPr>
          <w:lang w:val="es-ES"/>
        </w:rPr>
        <w:t xml:space="preserve"> la razonabilidad del cierre del ejercicio sobre los 23 proveedores (</w:t>
      </w:r>
      <w:r w:rsidR="008C2DE8">
        <w:rPr>
          <w:lang w:val="es-ES"/>
        </w:rPr>
        <w:t>de un total de</w:t>
      </w:r>
      <w:r w:rsidR="00C0253F">
        <w:rPr>
          <w:lang w:val="es-ES"/>
        </w:rPr>
        <w:t xml:space="preserve"> 244 suministradores) que presentan un gasto superior al millón (</w:t>
      </w:r>
      <w:r w:rsidR="008C2DE8">
        <w:rPr>
          <w:lang w:val="es-ES"/>
        </w:rPr>
        <w:t>importe acumulado de</w:t>
      </w:r>
      <w:r w:rsidR="00C0253F">
        <w:rPr>
          <w:lang w:val="es-ES"/>
        </w:rPr>
        <w:t xml:space="preserve"> 77,91 millones)</w:t>
      </w:r>
      <w:r w:rsidR="005E3ACC">
        <w:rPr>
          <w:lang w:val="es-ES"/>
        </w:rPr>
        <w:t>. O</w:t>
      </w:r>
      <w:r w:rsidR="00C0253F">
        <w:rPr>
          <w:lang w:val="es-ES"/>
        </w:rPr>
        <w:t xml:space="preserve">bservamos que facturas </w:t>
      </w:r>
      <w:r w:rsidR="005E3ACC">
        <w:rPr>
          <w:lang w:val="es-ES"/>
        </w:rPr>
        <w:t>fechadas en 2015</w:t>
      </w:r>
      <w:r w:rsidR="00C0253F">
        <w:rPr>
          <w:lang w:val="es-ES"/>
        </w:rPr>
        <w:t xml:space="preserve"> por importe de 1,48 millones se han imputado al presupuesto de 2016</w:t>
      </w:r>
      <w:r w:rsidR="001F09F1">
        <w:rPr>
          <w:lang w:val="es-ES"/>
        </w:rPr>
        <w:t xml:space="preserve">; </w:t>
      </w:r>
      <w:r w:rsidR="00C0253F">
        <w:rPr>
          <w:lang w:val="es-ES"/>
        </w:rPr>
        <w:t>estas facturas están registradas en acreedores por operaciones pendientes de aplicar al presupuesto.</w:t>
      </w:r>
    </w:p>
    <w:p w:rsidR="00A6470D" w:rsidRDefault="00A6470D" w:rsidP="0009240A">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Pr>
          <w:lang w:val="es-ES"/>
        </w:rPr>
        <w:t xml:space="preserve">Gasto en </w:t>
      </w:r>
      <w:r w:rsidRPr="002C301E">
        <w:rPr>
          <w:b/>
          <w:lang w:val="es-ES"/>
        </w:rPr>
        <w:t>conciertos sanitarios</w:t>
      </w:r>
      <w:r>
        <w:rPr>
          <w:lang w:val="es-ES"/>
        </w:rPr>
        <w:t>. En 2015, los gastos por conciertos sanitarios han ascendido a 64,7 millones, un 15 por ciento más que en el ejercicio anterior, esto es, 8,39 millones más.</w:t>
      </w:r>
    </w:p>
    <w:p w:rsidR="00A6470D" w:rsidRDefault="00A6470D" w:rsidP="00B07A4C">
      <w:pPr>
        <w:pStyle w:val="texto"/>
        <w:tabs>
          <w:tab w:val="clear" w:pos="2835"/>
          <w:tab w:val="clear" w:pos="3969"/>
          <w:tab w:val="clear" w:pos="5103"/>
          <w:tab w:val="clear" w:pos="6237"/>
          <w:tab w:val="clear" w:pos="7371"/>
          <w:tab w:val="left" w:pos="480"/>
          <w:tab w:val="num" w:pos="4920"/>
        </w:tabs>
        <w:spacing w:after="0"/>
        <w:rPr>
          <w:lang w:val="es-ES"/>
        </w:rPr>
      </w:pPr>
      <w:r>
        <w:rPr>
          <w:lang w:val="es-ES"/>
        </w:rPr>
        <w:t xml:space="preserve">En el cuadro siguiente mostramos el importe de las distintas partidas y su </w:t>
      </w:r>
      <w:r w:rsidR="00846EDC">
        <w:rPr>
          <w:lang w:val="es-ES"/>
        </w:rPr>
        <w:t>comparación con el año anterior</w:t>
      </w:r>
      <w:r>
        <w:rPr>
          <w:lang w:val="es-ES"/>
        </w:rPr>
        <w:t>:</w:t>
      </w:r>
    </w:p>
    <w:p w:rsidR="00846EDC" w:rsidRPr="00846EDC" w:rsidRDefault="006362BE" w:rsidP="00846EDC">
      <w:pPr>
        <w:pStyle w:val="recomen"/>
        <w:numPr>
          <w:ilvl w:val="0"/>
          <w:numId w:val="0"/>
        </w:numPr>
        <w:spacing w:after="40"/>
        <w:ind w:left="1588"/>
        <w:jc w:val="right"/>
        <w:rPr>
          <w:rFonts w:ascii="Arial Narrow" w:hAnsi="Arial Narrow"/>
          <w:i w:val="0"/>
          <w:sz w:val="18"/>
          <w:szCs w:val="18"/>
        </w:rPr>
      </w:pPr>
      <w:r w:rsidRPr="00846EDC">
        <w:rPr>
          <w:rFonts w:ascii="Arial Narrow" w:hAnsi="Arial Narrow"/>
          <w:i w:val="0"/>
          <w:sz w:val="18"/>
          <w:szCs w:val="18"/>
        </w:rPr>
        <w:t>Miles</w:t>
      </w:r>
      <w:r w:rsidR="00846EDC" w:rsidRPr="00846EDC">
        <w:rPr>
          <w:rFonts w:ascii="Arial Narrow" w:hAnsi="Arial Narrow"/>
          <w:i w:val="0"/>
          <w:sz w:val="18"/>
          <w:szCs w:val="18"/>
        </w:rPr>
        <w:t xml:space="preserve"> de euros</w:t>
      </w:r>
    </w:p>
    <w:tbl>
      <w:tblPr>
        <w:tblW w:w="8880" w:type="dxa"/>
        <w:jc w:val="center"/>
        <w:tblCellMar>
          <w:left w:w="70" w:type="dxa"/>
          <w:right w:w="70" w:type="dxa"/>
        </w:tblCellMar>
        <w:tblLook w:val="04A0" w:firstRow="1" w:lastRow="0" w:firstColumn="1" w:lastColumn="0" w:noHBand="0" w:noVBand="1"/>
      </w:tblPr>
      <w:tblGrid>
        <w:gridCol w:w="5647"/>
        <w:gridCol w:w="1107"/>
        <w:gridCol w:w="1134"/>
        <w:gridCol w:w="992"/>
      </w:tblGrid>
      <w:tr w:rsidR="00A6470D" w:rsidRPr="00A6470D" w:rsidTr="008B61F1">
        <w:trPr>
          <w:trHeight w:val="284"/>
          <w:jc w:val="center"/>
        </w:trPr>
        <w:tc>
          <w:tcPr>
            <w:tcW w:w="5647" w:type="dxa"/>
            <w:tcBorders>
              <w:top w:val="single" w:sz="4" w:space="0" w:color="auto"/>
              <w:bottom w:val="single" w:sz="4" w:space="0" w:color="auto"/>
            </w:tcBorders>
            <w:shd w:val="clear" w:color="auto" w:fill="A8CBEE" w:themeFill="accent2" w:themeFillTint="66"/>
            <w:noWrap/>
            <w:vAlign w:val="center"/>
            <w:hideMark/>
          </w:tcPr>
          <w:p w:rsidR="00A6470D" w:rsidRPr="00A6470D" w:rsidRDefault="00A6470D" w:rsidP="00A6470D">
            <w:pPr>
              <w:pStyle w:val="cuadroCabe"/>
              <w:jc w:val="left"/>
              <w:rPr>
                <w:rFonts w:cs="Arial"/>
              </w:rPr>
            </w:pPr>
            <w:r w:rsidRPr="00A6470D">
              <w:rPr>
                <w:rFonts w:cs="Arial"/>
              </w:rPr>
              <w:t>Conciertos sanitarios</w:t>
            </w:r>
          </w:p>
        </w:tc>
        <w:tc>
          <w:tcPr>
            <w:tcW w:w="1107" w:type="dxa"/>
            <w:tcBorders>
              <w:top w:val="single" w:sz="4" w:space="0" w:color="auto"/>
              <w:bottom w:val="single" w:sz="4" w:space="0" w:color="auto"/>
            </w:tcBorders>
            <w:shd w:val="clear" w:color="auto" w:fill="A8CBEE" w:themeFill="accent2" w:themeFillTint="66"/>
            <w:noWrap/>
            <w:vAlign w:val="center"/>
            <w:hideMark/>
          </w:tcPr>
          <w:p w:rsidR="00A6470D" w:rsidRPr="00A6470D" w:rsidRDefault="00A6470D" w:rsidP="008B61F1">
            <w:pPr>
              <w:pStyle w:val="cuadroCabe"/>
              <w:jc w:val="right"/>
              <w:rPr>
                <w:rFonts w:cs="Arial"/>
              </w:rPr>
            </w:pPr>
            <w:r w:rsidRPr="00A6470D">
              <w:rPr>
                <w:rFonts w:cs="Arial"/>
              </w:rPr>
              <w:t>2014</w:t>
            </w:r>
          </w:p>
        </w:tc>
        <w:tc>
          <w:tcPr>
            <w:tcW w:w="1134" w:type="dxa"/>
            <w:tcBorders>
              <w:top w:val="single" w:sz="4" w:space="0" w:color="auto"/>
              <w:bottom w:val="single" w:sz="4" w:space="0" w:color="auto"/>
            </w:tcBorders>
            <w:shd w:val="clear" w:color="auto" w:fill="A8CBEE" w:themeFill="accent2" w:themeFillTint="66"/>
            <w:noWrap/>
            <w:vAlign w:val="center"/>
            <w:hideMark/>
          </w:tcPr>
          <w:p w:rsidR="00A6470D" w:rsidRPr="00A6470D" w:rsidRDefault="00A6470D" w:rsidP="008B61F1">
            <w:pPr>
              <w:pStyle w:val="cuadroCabe"/>
              <w:jc w:val="right"/>
              <w:rPr>
                <w:rFonts w:cs="Arial"/>
              </w:rPr>
            </w:pPr>
            <w:r w:rsidRPr="00A6470D">
              <w:rPr>
                <w:rFonts w:cs="Arial"/>
              </w:rPr>
              <w:t>2015</w:t>
            </w:r>
          </w:p>
        </w:tc>
        <w:tc>
          <w:tcPr>
            <w:tcW w:w="992" w:type="dxa"/>
            <w:tcBorders>
              <w:top w:val="single" w:sz="4" w:space="0" w:color="auto"/>
              <w:bottom w:val="single" w:sz="4" w:space="0" w:color="auto"/>
            </w:tcBorders>
            <w:shd w:val="clear" w:color="auto" w:fill="A8CBEE" w:themeFill="accent2" w:themeFillTint="66"/>
            <w:noWrap/>
            <w:vAlign w:val="center"/>
            <w:hideMark/>
          </w:tcPr>
          <w:p w:rsidR="00A6470D" w:rsidRPr="00A6470D" w:rsidRDefault="00A6470D" w:rsidP="008B61F1">
            <w:pPr>
              <w:pStyle w:val="cuadroCabe"/>
              <w:jc w:val="right"/>
              <w:rPr>
                <w:rFonts w:cs="Arial"/>
              </w:rPr>
            </w:pPr>
            <w:r>
              <w:rPr>
                <w:rFonts w:cs="Arial"/>
              </w:rPr>
              <w:t>% 15/</w:t>
            </w:r>
            <w:r w:rsidRPr="00A6470D">
              <w:rPr>
                <w:rFonts w:cs="Arial"/>
              </w:rPr>
              <w:t>14</w:t>
            </w:r>
          </w:p>
        </w:tc>
      </w:tr>
      <w:tr w:rsidR="00A6470D" w:rsidRPr="00A6470D" w:rsidTr="008B61F1">
        <w:trPr>
          <w:trHeight w:val="284"/>
          <w:jc w:val="center"/>
        </w:trPr>
        <w:tc>
          <w:tcPr>
            <w:tcW w:w="5647" w:type="dxa"/>
            <w:tcBorders>
              <w:top w:val="single" w:sz="4" w:space="0" w:color="auto"/>
              <w:bottom w:val="single" w:sz="2" w:space="0" w:color="auto"/>
            </w:tcBorders>
            <w:shd w:val="clear" w:color="auto" w:fill="auto"/>
            <w:noWrap/>
            <w:vAlign w:val="center"/>
            <w:hideMark/>
          </w:tcPr>
          <w:p w:rsidR="00A6470D" w:rsidRPr="00A6470D" w:rsidRDefault="00A6470D" w:rsidP="00A6470D">
            <w:pPr>
              <w:spacing w:after="0"/>
              <w:ind w:firstLine="0"/>
              <w:jc w:val="left"/>
              <w:rPr>
                <w:rFonts w:ascii="Arial Narrow" w:hAnsi="Arial Narrow" w:cs="Arial"/>
                <w:lang w:eastAsia="es-ES"/>
              </w:rPr>
            </w:pPr>
            <w:r w:rsidRPr="00A6470D">
              <w:rPr>
                <w:rFonts w:ascii="Arial Narrow" w:hAnsi="Arial Narrow" w:cs="Arial"/>
                <w:lang w:eastAsia="es-ES"/>
              </w:rPr>
              <w:t>Convenio asistencia sanitaria metabolopatías</w:t>
            </w:r>
          </w:p>
        </w:tc>
        <w:tc>
          <w:tcPr>
            <w:tcW w:w="1107" w:type="dxa"/>
            <w:tcBorders>
              <w:top w:val="single" w:sz="4"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r w:rsidRPr="00A6470D">
              <w:rPr>
                <w:rFonts w:ascii="Arial Narrow" w:hAnsi="Arial Narrow" w:cs="Arial"/>
                <w:lang w:val="es-ES" w:eastAsia="es-ES"/>
              </w:rPr>
              <w:t>0</w:t>
            </w:r>
          </w:p>
        </w:tc>
        <w:tc>
          <w:tcPr>
            <w:tcW w:w="1134" w:type="dxa"/>
            <w:tcBorders>
              <w:top w:val="single" w:sz="4"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r w:rsidRPr="00A6470D">
              <w:rPr>
                <w:rFonts w:ascii="Arial Narrow" w:hAnsi="Arial Narrow" w:cs="Arial"/>
                <w:lang w:val="es-ES" w:eastAsia="es-ES"/>
              </w:rPr>
              <w:t>90</w:t>
            </w:r>
          </w:p>
        </w:tc>
        <w:tc>
          <w:tcPr>
            <w:tcW w:w="992" w:type="dxa"/>
            <w:tcBorders>
              <w:top w:val="single" w:sz="4"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r>
              <w:rPr>
                <w:rFonts w:ascii="Arial Narrow" w:hAnsi="Arial Narrow" w:cs="Arial"/>
                <w:lang w:val="es-ES" w:eastAsia="es-ES"/>
              </w:rPr>
              <w:t>-</w:t>
            </w:r>
          </w:p>
        </w:tc>
      </w:tr>
      <w:tr w:rsidR="00A6470D" w:rsidRPr="00A6470D" w:rsidTr="008B61F1">
        <w:trPr>
          <w:trHeight w:val="284"/>
          <w:jc w:val="center"/>
        </w:trPr>
        <w:tc>
          <w:tcPr>
            <w:tcW w:w="5647" w:type="dxa"/>
            <w:tcBorders>
              <w:top w:val="single" w:sz="2" w:space="0" w:color="auto"/>
              <w:bottom w:val="single" w:sz="2" w:space="0" w:color="auto"/>
            </w:tcBorders>
            <w:shd w:val="clear" w:color="auto" w:fill="auto"/>
            <w:noWrap/>
            <w:vAlign w:val="center"/>
            <w:hideMark/>
          </w:tcPr>
          <w:p w:rsidR="00A6470D" w:rsidRPr="00A6470D" w:rsidRDefault="00A6470D" w:rsidP="00A6470D">
            <w:pPr>
              <w:spacing w:after="0"/>
              <w:ind w:firstLine="0"/>
              <w:jc w:val="left"/>
              <w:rPr>
                <w:rFonts w:ascii="Arial Narrow" w:hAnsi="Arial Narrow" w:cs="Arial"/>
                <w:lang w:eastAsia="es-ES"/>
              </w:rPr>
            </w:pPr>
            <w:r w:rsidRPr="00A6470D">
              <w:rPr>
                <w:rFonts w:ascii="Arial Narrow" w:hAnsi="Arial Narrow" w:cs="Arial"/>
                <w:lang w:eastAsia="es-ES"/>
              </w:rPr>
              <w:t>Asistencia sanitaria en otros centros</w:t>
            </w:r>
          </w:p>
        </w:tc>
        <w:tc>
          <w:tcPr>
            <w:tcW w:w="1107"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r w:rsidRPr="00A6470D">
              <w:rPr>
                <w:rFonts w:ascii="Arial Narrow" w:hAnsi="Arial Narrow" w:cs="Arial"/>
                <w:lang w:val="es-ES" w:eastAsia="es-ES"/>
              </w:rPr>
              <w:t>3.162</w:t>
            </w:r>
          </w:p>
        </w:tc>
        <w:tc>
          <w:tcPr>
            <w:tcW w:w="1134"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r w:rsidRPr="00A6470D">
              <w:rPr>
                <w:rFonts w:ascii="Arial Narrow" w:hAnsi="Arial Narrow" w:cs="Arial"/>
                <w:lang w:val="es-ES" w:eastAsia="es-ES"/>
              </w:rPr>
              <w:t>3.456</w:t>
            </w:r>
          </w:p>
        </w:tc>
        <w:tc>
          <w:tcPr>
            <w:tcW w:w="992"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r w:rsidRPr="00A6470D">
              <w:rPr>
                <w:rFonts w:ascii="Arial Narrow" w:hAnsi="Arial Narrow" w:cs="Arial"/>
                <w:lang w:val="es-ES" w:eastAsia="es-ES"/>
              </w:rPr>
              <w:t>9</w:t>
            </w:r>
          </w:p>
        </w:tc>
      </w:tr>
      <w:tr w:rsidR="00A6470D" w:rsidRPr="00A6470D" w:rsidTr="008B61F1">
        <w:trPr>
          <w:trHeight w:val="284"/>
          <w:jc w:val="center"/>
        </w:trPr>
        <w:tc>
          <w:tcPr>
            <w:tcW w:w="5647" w:type="dxa"/>
            <w:tcBorders>
              <w:top w:val="single" w:sz="2" w:space="0" w:color="auto"/>
              <w:bottom w:val="single" w:sz="2" w:space="0" w:color="auto"/>
            </w:tcBorders>
            <w:shd w:val="clear" w:color="auto" w:fill="auto"/>
            <w:noWrap/>
            <w:vAlign w:val="center"/>
            <w:hideMark/>
          </w:tcPr>
          <w:p w:rsidR="00A6470D" w:rsidRPr="00A6470D" w:rsidRDefault="00A6470D" w:rsidP="00C1550C">
            <w:pPr>
              <w:spacing w:after="0"/>
              <w:ind w:firstLine="0"/>
              <w:jc w:val="left"/>
              <w:rPr>
                <w:rFonts w:ascii="Arial Narrow" w:hAnsi="Arial Narrow" w:cs="Arial"/>
                <w:lang w:eastAsia="es-ES"/>
              </w:rPr>
            </w:pPr>
            <w:r w:rsidRPr="00A6470D">
              <w:rPr>
                <w:rFonts w:ascii="Arial Narrow" w:hAnsi="Arial Narrow" w:cs="Arial"/>
                <w:lang w:eastAsia="es-ES"/>
              </w:rPr>
              <w:t xml:space="preserve">Asistencia sanitaria con la </w:t>
            </w:r>
            <w:r w:rsidR="00C1550C">
              <w:rPr>
                <w:rFonts w:ascii="Arial Narrow" w:hAnsi="Arial Narrow" w:cs="Arial"/>
                <w:lang w:eastAsia="es-ES"/>
              </w:rPr>
              <w:t>Hospital</w:t>
            </w:r>
            <w:r w:rsidRPr="00A6470D">
              <w:rPr>
                <w:rFonts w:ascii="Arial Narrow" w:hAnsi="Arial Narrow" w:cs="Arial"/>
                <w:lang w:eastAsia="es-ES"/>
              </w:rPr>
              <w:t xml:space="preserve"> San Juan de Dios</w:t>
            </w:r>
          </w:p>
        </w:tc>
        <w:tc>
          <w:tcPr>
            <w:tcW w:w="1107"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r w:rsidRPr="00A6470D">
              <w:rPr>
                <w:rFonts w:ascii="Arial Narrow" w:hAnsi="Arial Narrow" w:cs="Arial"/>
                <w:lang w:val="es-ES" w:eastAsia="es-ES"/>
              </w:rPr>
              <w:t>17.017</w:t>
            </w:r>
          </w:p>
        </w:tc>
        <w:tc>
          <w:tcPr>
            <w:tcW w:w="1134"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r w:rsidRPr="00A6470D">
              <w:rPr>
                <w:rFonts w:ascii="Arial Narrow" w:hAnsi="Arial Narrow" w:cs="Arial"/>
                <w:lang w:val="es-ES" w:eastAsia="es-ES"/>
              </w:rPr>
              <w:t>19.342</w:t>
            </w:r>
          </w:p>
        </w:tc>
        <w:tc>
          <w:tcPr>
            <w:tcW w:w="992"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r w:rsidRPr="00A6470D">
              <w:rPr>
                <w:rFonts w:ascii="Arial Narrow" w:hAnsi="Arial Narrow" w:cs="Arial"/>
                <w:lang w:val="es-ES" w:eastAsia="es-ES"/>
              </w:rPr>
              <w:t>14</w:t>
            </w:r>
          </w:p>
        </w:tc>
      </w:tr>
      <w:tr w:rsidR="00A6470D" w:rsidRPr="00A6470D" w:rsidTr="008B61F1">
        <w:trPr>
          <w:trHeight w:val="284"/>
          <w:jc w:val="center"/>
        </w:trPr>
        <w:tc>
          <w:tcPr>
            <w:tcW w:w="5647" w:type="dxa"/>
            <w:tcBorders>
              <w:top w:val="single" w:sz="2" w:space="0" w:color="auto"/>
              <w:bottom w:val="single" w:sz="2" w:space="0" w:color="auto"/>
            </w:tcBorders>
            <w:shd w:val="clear" w:color="auto" w:fill="auto"/>
            <w:noWrap/>
            <w:vAlign w:val="center"/>
            <w:hideMark/>
          </w:tcPr>
          <w:p w:rsidR="00A6470D" w:rsidRPr="00A6470D" w:rsidRDefault="00A6470D" w:rsidP="00A6470D">
            <w:pPr>
              <w:spacing w:after="0"/>
              <w:ind w:firstLine="0"/>
              <w:jc w:val="left"/>
              <w:rPr>
                <w:rFonts w:ascii="Arial Narrow" w:hAnsi="Arial Narrow" w:cs="Arial"/>
                <w:lang w:eastAsia="es-ES"/>
              </w:rPr>
            </w:pPr>
            <w:r w:rsidRPr="00A6470D">
              <w:rPr>
                <w:rFonts w:ascii="Arial Narrow" w:hAnsi="Arial Narrow" w:cs="Arial"/>
                <w:lang w:eastAsia="es-ES"/>
              </w:rPr>
              <w:t>Conciertos por diálisis domiciliaria</w:t>
            </w:r>
          </w:p>
        </w:tc>
        <w:tc>
          <w:tcPr>
            <w:tcW w:w="1107"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r w:rsidRPr="00A6470D">
              <w:rPr>
                <w:rFonts w:ascii="Arial Narrow" w:hAnsi="Arial Narrow" w:cs="Arial"/>
                <w:lang w:val="es-ES" w:eastAsia="es-ES"/>
              </w:rPr>
              <w:t>1.087</w:t>
            </w:r>
          </w:p>
        </w:tc>
        <w:tc>
          <w:tcPr>
            <w:tcW w:w="1134"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r w:rsidRPr="00A6470D">
              <w:rPr>
                <w:rFonts w:ascii="Arial Narrow" w:hAnsi="Arial Narrow" w:cs="Arial"/>
                <w:lang w:val="es-ES" w:eastAsia="es-ES"/>
              </w:rPr>
              <w:t>1.702</w:t>
            </w:r>
          </w:p>
        </w:tc>
        <w:tc>
          <w:tcPr>
            <w:tcW w:w="992"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r w:rsidRPr="00A6470D">
              <w:rPr>
                <w:rFonts w:ascii="Arial Narrow" w:hAnsi="Arial Narrow" w:cs="Arial"/>
                <w:lang w:val="es-ES" w:eastAsia="es-ES"/>
              </w:rPr>
              <w:t>57</w:t>
            </w:r>
          </w:p>
        </w:tc>
      </w:tr>
      <w:tr w:rsidR="00A6470D" w:rsidRPr="00A6470D" w:rsidTr="008B61F1">
        <w:trPr>
          <w:trHeight w:val="284"/>
          <w:jc w:val="center"/>
        </w:trPr>
        <w:tc>
          <w:tcPr>
            <w:tcW w:w="5647" w:type="dxa"/>
            <w:tcBorders>
              <w:top w:val="single" w:sz="2" w:space="0" w:color="auto"/>
              <w:bottom w:val="single" w:sz="2" w:space="0" w:color="auto"/>
            </w:tcBorders>
            <w:shd w:val="clear" w:color="auto" w:fill="auto"/>
            <w:noWrap/>
            <w:vAlign w:val="center"/>
            <w:hideMark/>
          </w:tcPr>
          <w:p w:rsidR="00A6470D" w:rsidRPr="00A6470D" w:rsidRDefault="00A6470D" w:rsidP="00A6470D">
            <w:pPr>
              <w:spacing w:after="0"/>
              <w:ind w:firstLine="0"/>
              <w:jc w:val="left"/>
              <w:rPr>
                <w:rFonts w:ascii="Arial Narrow" w:hAnsi="Arial Narrow" w:cs="Arial"/>
                <w:lang w:eastAsia="es-ES"/>
              </w:rPr>
            </w:pPr>
            <w:r w:rsidRPr="00A6470D">
              <w:rPr>
                <w:rFonts w:ascii="Arial Narrow" w:hAnsi="Arial Narrow" w:cs="Arial"/>
                <w:lang w:eastAsia="es-ES"/>
              </w:rPr>
              <w:t>Conciertos por oxigenoterapia</w:t>
            </w:r>
          </w:p>
        </w:tc>
        <w:tc>
          <w:tcPr>
            <w:tcW w:w="1107"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r w:rsidRPr="00A6470D">
              <w:rPr>
                <w:rFonts w:ascii="Arial Narrow" w:hAnsi="Arial Narrow" w:cs="Arial"/>
                <w:lang w:val="es-ES" w:eastAsia="es-ES"/>
              </w:rPr>
              <w:t>3.076</w:t>
            </w:r>
          </w:p>
        </w:tc>
        <w:tc>
          <w:tcPr>
            <w:tcW w:w="1134"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r w:rsidRPr="00A6470D">
              <w:rPr>
                <w:rFonts w:ascii="Arial Narrow" w:hAnsi="Arial Narrow" w:cs="Arial"/>
                <w:lang w:val="es-ES" w:eastAsia="es-ES"/>
              </w:rPr>
              <w:t>2.590</w:t>
            </w:r>
          </w:p>
        </w:tc>
        <w:tc>
          <w:tcPr>
            <w:tcW w:w="992"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r w:rsidRPr="00A6470D">
              <w:rPr>
                <w:rFonts w:ascii="Arial Narrow" w:hAnsi="Arial Narrow" w:cs="Arial"/>
                <w:lang w:val="es-ES" w:eastAsia="es-ES"/>
              </w:rPr>
              <w:t>-16</w:t>
            </w:r>
          </w:p>
        </w:tc>
      </w:tr>
      <w:tr w:rsidR="00A6470D" w:rsidRPr="00A6470D" w:rsidTr="008B61F1">
        <w:trPr>
          <w:trHeight w:val="284"/>
          <w:jc w:val="center"/>
        </w:trPr>
        <w:tc>
          <w:tcPr>
            <w:tcW w:w="5647" w:type="dxa"/>
            <w:tcBorders>
              <w:top w:val="single" w:sz="2" w:space="0" w:color="auto"/>
              <w:bottom w:val="single" w:sz="2" w:space="0" w:color="auto"/>
            </w:tcBorders>
            <w:shd w:val="clear" w:color="auto" w:fill="auto"/>
            <w:noWrap/>
            <w:vAlign w:val="center"/>
            <w:hideMark/>
          </w:tcPr>
          <w:p w:rsidR="00A6470D" w:rsidRPr="00A6470D" w:rsidRDefault="00A6470D" w:rsidP="00A6470D">
            <w:pPr>
              <w:spacing w:after="0"/>
              <w:ind w:firstLine="0"/>
              <w:jc w:val="left"/>
              <w:rPr>
                <w:rFonts w:ascii="Arial Narrow" w:hAnsi="Arial Narrow" w:cs="Arial"/>
                <w:lang w:eastAsia="es-ES"/>
              </w:rPr>
            </w:pPr>
            <w:r w:rsidRPr="00A6470D">
              <w:rPr>
                <w:rFonts w:ascii="Arial Narrow" w:hAnsi="Arial Narrow" w:cs="Arial"/>
                <w:lang w:eastAsia="es-ES"/>
              </w:rPr>
              <w:t>Asistencia sanitaria con la Clínica Universidad de Navarra</w:t>
            </w:r>
          </w:p>
        </w:tc>
        <w:tc>
          <w:tcPr>
            <w:tcW w:w="1107"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r w:rsidRPr="00A6470D">
              <w:rPr>
                <w:rFonts w:ascii="Arial Narrow" w:hAnsi="Arial Narrow" w:cs="Arial"/>
                <w:lang w:val="es-ES" w:eastAsia="es-ES"/>
              </w:rPr>
              <w:t>8.973</w:t>
            </w:r>
          </w:p>
        </w:tc>
        <w:tc>
          <w:tcPr>
            <w:tcW w:w="1134"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r w:rsidRPr="00A6470D">
              <w:rPr>
                <w:rFonts w:ascii="Arial Narrow" w:hAnsi="Arial Narrow" w:cs="Arial"/>
                <w:lang w:val="es-ES" w:eastAsia="es-ES"/>
              </w:rPr>
              <w:t>10.808</w:t>
            </w:r>
          </w:p>
        </w:tc>
        <w:tc>
          <w:tcPr>
            <w:tcW w:w="992"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r w:rsidRPr="00A6470D">
              <w:rPr>
                <w:rFonts w:ascii="Arial Narrow" w:hAnsi="Arial Narrow" w:cs="Arial"/>
                <w:lang w:val="es-ES" w:eastAsia="es-ES"/>
              </w:rPr>
              <w:t>20</w:t>
            </w:r>
          </w:p>
        </w:tc>
      </w:tr>
      <w:tr w:rsidR="00A6470D" w:rsidRPr="00A6470D" w:rsidTr="008B61F1">
        <w:trPr>
          <w:trHeight w:val="284"/>
          <w:jc w:val="center"/>
        </w:trPr>
        <w:tc>
          <w:tcPr>
            <w:tcW w:w="5647" w:type="dxa"/>
            <w:tcBorders>
              <w:top w:val="single" w:sz="2" w:space="0" w:color="auto"/>
              <w:bottom w:val="single" w:sz="2" w:space="0" w:color="auto"/>
            </w:tcBorders>
            <w:shd w:val="clear" w:color="auto" w:fill="auto"/>
            <w:noWrap/>
            <w:vAlign w:val="center"/>
            <w:hideMark/>
          </w:tcPr>
          <w:p w:rsidR="00A6470D" w:rsidRPr="00A6470D" w:rsidRDefault="00A6470D" w:rsidP="00A6470D">
            <w:pPr>
              <w:spacing w:after="0"/>
              <w:ind w:firstLine="0"/>
              <w:jc w:val="left"/>
              <w:rPr>
                <w:rFonts w:ascii="Arial Narrow" w:hAnsi="Arial Narrow" w:cs="Arial"/>
                <w:lang w:eastAsia="es-ES"/>
              </w:rPr>
            </w:pPr>
            <w:r w:rsidRPr="00A6470D">
              <w:rPr>
                <w:rFonts w:ascii="Arial Narrow" w:hAnsi="Arial Narrow" w:cs="Arial"/>
                <w:lang w:eastAsia="es-ES"/>
              </w:rPr>
              <w:t>Trasplantes de órganos</w:t>
            </w:r>
          </w:p>
        </w:tc>
        <w:tc>
          <w:tcPr>
            <w:tcW w:w="1107"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r w:rsidRPr="00A6470D">
              <w:rPr>
                <w:rFonts w:ascii="Arial Narrow" w:hAnsi="Arial Narrow" w:cs="Arial"/>
                <w:lang w:val="es-ES" w:eastAsia="es-ES"/>
              </w:rPr>
              <w:t>6.037</w:t>
            </w:r>
          </w:p>
        </w:tc>
        <w:tc>
          <w:tcPr>
            <w:tcW w:w="1134"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r w:rsidRPr="00A6470D">
              <w:rPr>
                <w:rFonts w:ascii="Arial Narrow" w:hAnsi="Arial Narrow" w:cs="Arial"/>
                <w:lang w:val="es-ES" w:eastAsia="es-ES"/>
              </w:rPr>
              <w:t>8.295</w:t>
            </w:r>
          </w:p>
        </w:tc>
        <w:tc>
          <w:tcPr>
            <w:tcW w:w="992"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r w:rsidRPr="00A6470D">
              <w:rPr>
                <w:rFonts w:ascii="Arial Narrow" w:hAnsi="Arial Narrow" w:cs="Arial"/>
                <w:lang w:val="es-ES" w:eastAsia="es-ES"/>
              </w:rPr>
              <w:t>37</w:t>
            </w:r>
          </w:p>
        </w:tc>
      </w:tr>
      <w:tr w:rsidR="00A6470D" w:rsidRPr="00A6470D" w:rsidTr="008B61F1">
        <w:trPr>
          <w:trHeight w:val="284"/>
          <w:jc w:val="center"/>
        </w:trPr>
        <w:tc>
          <w:tcPr>
            <w:tcW w:w="5647" w:type="dxa"/>
            <w:tcBorders>
              <w:top w:val="single" w:sz="2" w:space="0" w:color="auto"/>
              <w:bottom w:val="single" w:sz="2" w:space="0" w:color="auto"/>
            </w:tcBorders>
            <w:shd w:val="clear" w:color="auto" w:fill="auto"/>
            <w:noWrap/>
            <w:vAlign w:val="center"/>
            <w:hideMark/>
          </w:tcPr>
          <w:p w:rsidR="00A6470D" w:rsidRPr="00A6470D" w:rsidRDefault="00A6470D" w:rsidP="00A6470D">
            <w:pPr>
              <w:spacing w:after="0"/>
              <w:ind w:firstLine="0"/>
              <w:jc w:val="left"/>
              <w:rPr>
                <w:rFonts w:ascii="Arial Narrow" w:hAnsi="Arial Narrow" w:cs="Arial"/>
                <w:lang w:eastAsia="es-ES"/>
              </w:rPr>
            </w:pPr>
            <w:r w:rsidRPr="00A6470D">
              <w:rPr>
                <w:rFonts w:ascii="Arial Narrow" w:hAnsi="Arial Narrow" w:cs="Arial"/>
                <w:lang w:eastAsia="es-ES"/>
              </w:rPr>
              <w:t>Acuerdo marco para la derivación de pacientes por listas de espera</w:t>
            </w:r>
          </w:p>
        </w:tc>
        <w:tc>
          <w:tcPr>
            <w:tcW w:w="1107"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r w:rsidRPr="00A6470D">
              <w:rPr>
                <w:rFonts w:ascii="Arial Narrow" w:hAnsi="Arial Narrow" w:cs="Arial"/>
                <w:lang w:val="es-ES" w:eastAsia="es-ES"/>
              </w:rPr>
              <w:t>1.344</w:t>
            </w:r>
          </w:p>
        </w:tc>
        <w:tc>
          <w:tcPr>
            <w:tcW w:w="1134"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r w:rsidRPr="00A6470D">
              <w:rPr>
                <w:rFonts w:ascii="Arial Narrow" w:hAnsi="Arial Narrow" w:cs="Arial"/>
                <w:lang w:val="es-ES" w:eastAsia="es-ES"/>
              </w:rPr>
              <w:t>1.408</w:t>
            </w:r>
          </w:p>
        </w:tc>
        <w:tc>
          <w:tcPr>
            <w:tcW w:w="992"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r w:rsidRPr="00A6470D">
              <w:rPr>
                <w:rFonts w:ascii="Arial Narrow" w:hAnsi="Arial Narrow" w:cs="Arial"/>
                <w:lang w:val="es-ES" w:eastAsia="es-ES"/>
              </w:rPr>
              <w:t>5</w:t>
            </w:r>
          </w:p>
        </w:tc>
      </w:tr>
      <w:tr w:rsidR="00A6470D" w:rsidRPr="00A6470D" w:rsidTr="008B61F1">
        <w:trPr>
          <w:trHeight w:val="284"/>
          <w:jc w:val="center"/>
        </w:trPr>
        <w:tc>
          <w:tcPr>
            <w:tcW w:w="5647" w:type="dxa"/>
            <w:tcBorders>
              <w:top w:val="single" w:sz="2" w:space="0" w:color="auto"/>
              <w:bottom w:val="single" w:sz="2" w:space="0" w:color="auto"/>
            </w:tcBorders>
            <w:shd w:val="clear" w:color="auto" w:fill="auto"/>
            <w:noWrap/>
            <w:vAlign w:val="center"/>
            <w:hideMark/>
          </w:tcPr>
          <w:p w:rsidR="00A6470D" w:rsidRPr="00A6470D" w:rsidRDefault="00A6470D" w:rsidP="00A6470D">
            <w:pPr>
              <w:spacing w:after="0"/>
              <w:ind w:firstLine="0"/>
              <w:jc w:val="left"/>
              <w:rPr>
                <w:rFonts w:ascii="Arial Narrow" w:hAnsi="Arial Narrow" w:cs="Arial"/>
                <w:lang w:eastAsia="es-ES"/>
              </w:rPr>
            </w:pPr>
            <w:r w:rsidRPr="00A6470D">
              <w:rPr>
                <w:rFonts w:ascii="Arial Narrow" w:hAnsi="Arial Narrow" w:cs="Arial"/>
                <w:lang w:eastAsia="es-ES"/>
              </w:rPr>
              <w:t>Convenio de asistencia sanitaria al personal de la Universidad de Navarra</w:t>
            </w:r>
          </w:p>
        </w:tc>
        <w:tc>
          <w:tcPr>
            <w:tcW w:w="1107"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r w:rsidRPr="00A6470D">
              <w:rPr>
                <w:rFonts w:ascii="Arial Narrow" w:hAnsi="Arial Narrow" w:cs="Arial"/>
                <w:lang w:val="es-ES" w:eastAsia="es-ES"/>
              </w:rPr>
              <w:t>5.097</w:t>
            </w:r>
          </w:p>
        </w:tc>
        <w:tc>
          <w:tcPr>
            <w:tcW w:w="1134"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r w:rsidRPr="00A6470D">
              <w:rPr>
                <w:rFonts w:ascii="Arial Narrow" w:hAnsi="Arial Narrow" w:cs="Arial"/>
                <w:lang w:val="es-ES" w:eastAsia="es-ES"/>
              </w:rPr>
              <w:t>5.111</w:t>
            </w:r>
          </w:p>
        </w:tc>
        <w:tc>
          <w:tcPr>
            <w:tcW w:w="992"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r>
              <w:rPr>
                <w:rFonts w:ascii="Arial Narrow" w:hAnsi="Arial Narrow" w:cs="Arial"/>
                <w:lang w:val="es-ES" w:eastAsia="es-ES"/>
              </w:rPr>
              <w:t>-</w:t>
            </w:r>
          </w:p>
        </w:tc>
      </w:tr>
      <w:tr w:rsidR="00A6470D" w:rsidRPr="00A6470D" w:rsidTr="008B61F1">
        <w:trPr>
          <w:trHeight w:val="284"/>
          <w:jc w:val="center"/>
        </w:trPr>
        <w:tc>
          <w:tcPr>
            <w:tcW w:w="5647" w:type="dxa"/>
            <w:tcBorders>
              <w:top w:val="single" w:sz="2" w:space="0" w:color="auto"/>
              <w:bottom w:val="single" w:sz="2" w:space="0" w:color="auto"/>
            </w:tcBorders>
            <w:shd w:val="clear" w:color="auto" w:fill="auto"/>
            <w:noWrap/>
            <w:vAlign w:val="center"/>
            <w:hideMark/>
          </w:tcPr>
          <w:p w:rsidR="00A6470D" w:rsidRPr="00A6470D" w:rsidRDefault="00A6470D" w:rsidP="00A6470D">
            <w:pPr>
              <w:spacing w:after="0"/>
              <w:ind w:firstLine="0"/>
              <w:jc w:val="left"/>
              <w:rPr>
                <w:rFonts w:ascii="Arial Narrow" w:hAnsi="Arial Narrow" w:cs="Arial"/>
                <w:lang w:eastAsia="es-ES"/>
              </w:rPr>
            </w:pPr>
            <w:r w:rsidRPr="00A6470D">
              <w:rPr>
                <w:rFonts w:ascii="Arial Narrow" w:hAnsi="Arial Narrow" w:cs="Arial"/>
                <w:lang w:eastAsia="es-ES"/>
              </w:rPr>
              <w:t>Asistencia sanitaria con la Clínica San Miguel</w:t>
            </w:r>
          </w:p>
        </w:tc>
        <w:tc>
          <w:tcPr>
            <w:tcW w:w="1107"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r w:rsidRPr="00A6470D">
              <w:rPr>
                <w:rFonts w:ascii="Arial Narrow" w:hAnsi="Arial Narrow" w:cs="Arial"/>
                <w:lang w:val="es-ES" w:eastAsia="es-ES"/>
              </w:rPr>
              <w:t>1.944</w:t>
            </w:r>
          </w:p>
        </w:tc>
        <w:tc>
          <w:tcPr>
            <w:tcW w:w="1134"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r w:rsidRPr="00A6470D">
              <w:rPr>
                <w:rFonts w:ascii="Arial Narrow" w:hAnsi="Arial Narrow" w:cs="Arial"/>
                <w:lang w:val="es-ES" w:eastAsia="es-ES"/>
              </w:rPr>
              <w:t> </w:t>
            </w:r>
          </w:p>
        </w:tc>
        <w:tc>
          <w:tcPr>
            <w:tcW w:w="992"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r w:rsidRPr="00A6470D">
              <w:rPr>
                <w:rFonts w:ascii="Arial Narrow" w:hAnsi="Arial Narrow" w:cs="Arial"/>
                <w:lang w:val="es-ES" w:eastAsia="es-ES"/>
              </w:rPr>
              <w:t>-100</w:t>
            </w:r>
          </w:p>
        </w:tc>
      </w:tr>
      <w:tr w:rsidR="00A6470D" w:rsidRPr="00A6470D" w:rsidTr="008B61F1">
        <w:trPr>
          <w:trHeight w:val="284"/>
          <w:jc w:val="center"/>
        </w:trPr>
        <w:tc>
          <w:tcPr>
            <w:tcW w:w="5647" w:type="dxa"/>
            <w:tcBorders>
              <w:top w:val="single" w:sz="2" w:space="0" w:color="auto"/>
              <w:bottom w:val="single" w:sz="2" w:space="0" w:color="auto"/>
            </w:tcBorders>
            <w:shd w:val="clear" w:color="auto" w:fill="auto"/>
            <w:noWrap/>
            <w:vAlign w:val="center"/>
            <w:hideMark/>
          </w:tcPr>
          <w:p w:rsidR="00A6470D" w:rsidRPr="00A6470D" w:rsidRDefault="00A6470D" w:rsidP="00A6470D">
            <w:pPr>
              <w:spacing w:after="0"/>
              <w:ind w:firstLine="0"/>
              <w:jc w:val="left"/>
              <w:rPr>
                <w:rFonts w:ascii="Arial Narrow" w:hAnsi="Arial Narrow" w:cs="Arial"/>
                <w:lang w:eastAsia="es-ES"/>
              </w:rPr>
            </w:pPr>
            <w:r w:rsidRPr="00A6470D">
              <w:rPr>
                <w:rFonts w:ascii="Arial Narrow" w:hAnsi="Arial Narrow" w:cs="Arial"/>
                <w:lang w:eastAsia="es-ES"/>
              </w:rPr>
              <w:t>Conciertos de asistencia sanitaria de prótesis</w:t>
            </w:r>
          </w:p>
        </w:tc>
        <w:tc>
          <w:tcPr>
            <w:tcW w:w="1107"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p>
        </w:tc>
        <w:tc>
          <w:tcPr>
            <w:tcW w:w="1134"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r w:rsidRPr="00A6470D">
              <w:rPr>
                <w:rFonts w:ascii="Arial Narrow" w:hAnsi="Arial Narrow" w:cs="Arial"/>
                <w:lang w:val="es-ES" w:eastAsia="es-ES"/>
              </w:rPr>
              <w:t>2.400</w:t>
            </w:r>
          </w:p>
        </w:tc>
        <w:tc>
          <w:tcPr>
            <w:tcW w:w="992"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r>
              <w:rPr>
                <w:rFonts w:ascii="Arial Narrow" w:hAnsi="Arial Narrow" w:cs="Arial"/>
                <w:lang w:val="es-ES" w:eastAsia="es-ES"/>
              </w:rPr>
              <w:t>-</w:t>
            </w:r>
          </w:p>
        </w:tc>
      </w:tr>
      <w:tr w:rsidR="00A6470D" w:rsidRPr="00A6470D" w:rsidTr="008B61F1">
        <w:trPr>
          <w:trHeight w:val="284"/>
          <w:jc w:val="center"/>
        </w:trPr>
        <w:tc>
          <w:tcPr>
            <w:tcW w:w="5647" w:type="dxa"/>
            <w:tcBorders>
              <w:top w:val="single" w:sz="2" w:space="0" w:color="auto"/>
              <w:bottom w:val="single" w:sz="2" w:space="0" w:color="auto"/>
            </w:tcBorders>
            <w:shd w:val="clear" w:color="auto" w:fill="auto"/>
            <w:noWrap/>
            <w:vAlign w:val="center"/>
            <w:hideMark/>
          </w:tcPr>
          <w:p w:rsidR="00A6470D" w:rsidRPr="00A6470D" w:rsidRDefault="00A6470D" w:rsidP="00A6470D">
            <w:pPr>
              <w:spacing w:after="0"/>
              <w:ind w:firstLine="0"/>
              <w:jc w:val="left"/>
              <w:rPr>
                <w:rFonts w:ascii="Arial Narrow" w:hAnsi="Arial Narrow" w:cs="Arial"/>
                <w:lang w:eastAsia="es-ES"/>
              </w:rPr>
            </w:pPr>
            <w:r w:rsidRPr="00A6470D">
              <w:rPr>
                <w:rFonts w:ascii="Arial Narrow" w:hAnsi="Arial Narrow" w:cs="Arial"/>
                <w:lang w:eastAsia="es-ES"/>
              </w:rPr>
              <w:t>Concierto con centro de salud mental Josefina Arregui</w:t>
            </w:r>
          </w:p>
        </w:tc>
        <w:tc>
          <w:tcPr>
            <w:tcW w:w="1107"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r w:rsidRPr="00A6470D">
              <w:rPr>
                <w:rFonts w:ascii="Arial Narrow" w:hAnsi="Arial Narrow" w:cs="Arial"/>
                <w:lang w:val="es-ES" w:eastAsia="es-ES"/>
              </w:rPr>
              <w:t>1.234</w:t>
            </w:r>
          </w:p>
        </w:tc>
        <w:tc>
          <w:tcPr>
            <w:tcW w:w="1134"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r w:rsidRPr="00A6470D">
              <w:rPr>
                <w:rFonts w:ascii="Arial Narrow" w:hAnsi="Arial Narrow" w:cs="Arial"/>
                <w:lang w:val="es-ES" w:eastAsia="es-ES"/>
              </w:rPr>
              <w:t>1.310</w:t>
            </w:r>
          </w:p>
        </w:tc>
        <w:tc>
          <w:tcPr>
            <w:tcW w:w="992"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r w:rsidRPr="00A6470D">
              <w:rPr>
                <w:rFonts w:ascii="Arial Narrow" w:hAnsi="Arial Narrow" w:cs="Arial"/>
                <w:lang w:val="es-ES" w:eastAsia="es-ES"/>
              </w:rPr>
              <w:t>6</w:t>
            </w:r>
          </w:p>
        </w:tc>
      </w:tr>
      <w:tr w:rsidR="00A6470D" w:rsidRPr="00A6470D" w:rsidTr="008B61F1">
        <w:trPr>
          <w:trHeight w:val="284"/>
          <w:jc w:val="center"/>
        </w:trPr>
        <w:tc>
          <w:tcPr>
            <w:tcW w:w="5647" w:type="dxa"/>
            <w:tcBorders>
              <w:top w:val="single" w:sz="2" w:space="0" w:color="auto"/>
              <w:bottom w:val="single" w:sz="2" w:space="0" w:color="auto"/>
            </w:tcBorders>
            <w:shd w:val="clear" w:color="auto" w:fill="auto"/>
            <w:noWrap/>
            <w:vAlign w:val="center"/>
            <w:hideMark/>
          </w:tcPr>
          <w:p w:rsidR="00A6470D" w:rsidRPr="00A6470D" w:rsidRDefault="00A6470D" w:rsidP="00A6470D">
            <w:pPr>
              <w:spacing w:after="0"/>
              <w:ind w:firstLine="0"/>
              <w:jc w:val="left"/>
              <w:rPr>
                <w:rFonts w:ascii="Arial Narrow" w:hAnsi="Arial Narrow" w:cs="Arial"/>
                <w:lang w:eastAsia="es-ES"/>
              </w:rPr>
            </w:pPr>
            <w:r w:rsidRPr="00A6470D">
              <w:rPr>
                <w:rFonts w:ascii="Arial Narrow" w:hAnsi="Arial Narrow" w:cs="Arial"/>
                <w:lang w:eastAsia="es-ES"/>
              </w:rPr>
              <w:t>Conciertos con centros de salud mental</w:t>
            </w:r>
          </w:p>
        </w:tc>
        <w:tc>
          <w:tcPr>
            <w:tcW w:w="1107"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r w:rsidRPr="00A6470D">
              <w:rPr>
                <w:rFonts w:ascii="Arial Narrow" w:hAnsi="Arial Narrow" w:cs="Arial"/>
                <w:lang w:val="es-ES" w:eastAsia="es-ES"/>
              </w:rPr>
              <w:t>3.377</w:t>
            </w:r>
          </w:p>
        </w:tc>
        <w:tc>
          <w:tcPr>
            <w:tcW w:w="1134"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r w:rsidRPr="00A6470D">
              <w:rPr>
                <w:rFonts w:ascii="Arial Narrow" w:hAnsi="Arial Narrow" w:cs="Arial"/>
                <w:lang w:val="es-ES" w:eastAsia="es-ES"/>
              </w:rPr>
              <w:t>4.293</w:t>
            </w:r>
          </w:p>
        </w:tc>
        <w:tc>
          <w:tcPr>
            <w:tcW w:w="992"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r w:rsidRPr="00A6470D">
              <w:rPr>
                <w:rFonts w:ascii="Arial Narrow" w:hAnsi="Arial Narrow" w:cs="Arial"/>
                <w:lang w:val="es-ES" w:eastAsia="es-ES"/>
              </w:rPr>
              <w:t>27</w:t>
            </w:r>
          </w:p>
        </w:tc>
      </w:tr>
      <w:tr w:rsidR="00A6470D" w:rsidRPr="00A6470D" w:rsidTr="008B61F1">
        <w:trPr>
          <w:trHeight w:val="284"/>
          <w:jc w:val="center"/>
        </w:trPr>
        <w:tc>
          <w:tcPr>
            <w:tcW w:w="5647" w:type="dxa"/>
            <w:tcBorders>
              <w:top w:val="single" w:sz="2" w:space="0" w:color="auto"/>
              <w:bottom w:val="single" w:sz="2" w:space="0" w:color="auto"/>
            </w:tcBorders>
            <w:shd w:val="clear" w:color="auto" w:fill="auto"/>
            <w:noWrap/>
            <w:vAlign w:val="center"/>
            <w:hideMark/>
          </w:tcPr>
          <w:p w:rsidR="00A6470D" w:rsidRPr="00A6470D" w:rsidRDefault="00A6470D" w:rsidP="00C019B2">
            <w:pPr>
              <w:spacing w:after="0"/>
              <w:ind w:firstLine="0"/>
              <w:jc w:val="left"/>
              <w:rPr>
                <w:rFonts w:ascii="Arial Narrow" w:hAnsi="Arial Narrow" w:cs="Arial"/>
                <w:lang w:eastAsia="es-ES"/>
              </w:rPr>
            </w:pPr>
            <w:r w:rsidRPr="00A6470D">
              <w:rPr>
                <w:rFonts w:ascii="Arial Narrow" w:hAnsi="Arial Narrow" w:cs="Arial"/>
                <w:lang w:eastAsia="es-ES"/>
              </w:rPr>
              <w:t xml:space="preserve">Programas, proyectos y coordinación con la </w:t>
            </w:r>
            <w:r w:rsidRPr="00FF3AF0">
              <w:rPr>
                <w:rFonts w:ascii="Arial Narrow" w:hAnsi="Arial Narrow" w:cs="Arial"/>
                <w:lang w:eastAsia="es-ES"/>
              </w:rPr>
              <w:t xml:space="preserve">Agencia Navarra </w:t>
            </w:r>
            <w:r w:rsidR="00C019B2">
              <w:rPr>
                <w:rFonts w:ascii="Arial Narrow" w:hAnsi="Arial Narrow" w:cs="Arial"/>
                <w:lang w:eastAsia="es-ES"/>
              </w:rPr>
              <w:t>para la Autonomía de las Personas</w:t>
            </w:r>
          </w:p>
        </w:tc>
        <w:tc>
          <w:tcPr>
            <w:tcW w:w="1107"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r w:rsidRPr="00A6470D">
              <w:rPr>
                <w:rFonts w:ascii="Arial Narrow" w:hAnsi="Arial Narrow" w:cs="Arial"/>
                <w:lang w:val="es-ES" w:eastAsia="es-ES"/>
              </w:rPr>
              <w:t>1.460</w:t>
            </w:r>
          </w:p>
        </w:tc>
        <w:tc>
          <w:tcPr>
            <w:tcW w:w="1134"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r w:rsidRPr="00A6470D">
              <w:rPr>
                <w:rFonts w:ascii="Arial Narrow" w:hAnsi="Arial Narrow" w:cs="Arial"/>
                <w:lang w:val="es-ES" w:eastAsia="es-ES"/>
              </w:rPr>
              <w:t>1.483</w:t>
            </w:r>
          </w:p>
        </w:tc>
        <w:tc>
          <w:tcPr>
            <w:tcW w:w="992"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r w:rsidRPr="00A6470D">
              <w:rPr>
                <w:rFonts w:ascii="Arial Narrow" w:hAnsi="Arial Narrow" w:cs="Arial"/>
                <w:lang w:val="es-ES" w:eastAsia="es-ES"/>
              </w:rPr>
              <w:t>2</w:t>
            </w:r>
          </w:p>
        </w:tc>
      </w:tr>
      <w:tr w:rsidR="00A6470D" w:rsidRPr="00A6470D" w:rsidTr="008B61F1">
        <w:trPr>
          <w:trHeight w:val="284"/>
          <w:jc w:val="center"/>
        </w:trPr>
        <w:tc>
          <w:tcPr>
            <w:tcW w:w="5647" w:type="dxa"/>
            <w:tcBorders>
              <w:top w:val="single" w:sz="2" w:space="0" w:color="auto"/>
              <w:bottom w:val="single" w:sz="4" w:space="0" w:color="auto"/>
            </w:tcBorders>
            <w:shd w:val="clear" w:color="auto" w:fill="auto"/>
            <w:noWrap/>
            <w:vAlign w:val="center"/>
            <w:hideMark/>
          </w:tcPr>
          <w:p w:rsidR="00A6470D" w:rsidRPr="00A6470D" w:rsidRDefault="00A6470D" w:rsidP="00A6470D">
            <w:pPr>
              <w:spacing w:after="0"/>
              <w:ind w:firstLine="0"/>
              <w:jc w:val="left"/>
              <w:rPr>
                <w:rFonts w:ascii="Arial Narrow" w:hAnsi="Arial Narrow" w:cs="Arial"/>
                <w:lang w:eastAsia="es-ES"/>
              </w:rPr>
            </w:pPr>
            <w:r w:rsidRPr="00A6470D">
              <w:rPr>
                <w:rFonts w:ascii="Arial Narrow" w:hAnsi="Arial Narrow" w:cs="Arial"/>
                <w:lang w:eastAsia="es-ES"/>
              </w:rPr>
              <w:t>Programa de salud bucodental</w:t>
            </w:r>
          </w:p>
        </w:tc>
        <w:tc>
          <w:tcPr>
            <w:tcW w:w="1107" w:type="dxa"/>
            <w:tcBorders>
              <w:top w:val="single" w:sz="2" w:space="0" w:color="auto"/>
              <w:bottom w:val="single" w:sz="4"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r w:rsidRPr="00A6470D">
              <w:rPr>
                <w:rFonts w:ascii="Arial Narrow" w:hAnsi="Arial Narrow" w:cs="Arial"/>
                <w:lang w:val="es-ES" w:eastAsia="es-ES"/>
              </w:rPr>
              <w:t>2.500</w:t>
            </w:r>
          </w:p>
        </w:tc>
        <w:tc>
          <w:tcPr>
            <w:tcW w:w="1134" w:type="dxa"/>
            <w:tcBorders>
              <w:top w:val="single" w:sz="2" w:space="0" w:color="auto"/>
              <w:bottom w:val="single" w:sz="4"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r w:rsidRPr="00A6470D">
              <w:rPr>
                <w:rFonts w:ascii="Arial Narrow" w:hAnsi="Arial Narrow" w:cs="Arial"/>
                <w:lang w:val="es-ES" w:eastAsia="es-ES"/>
              </w:rPr>
              <w:t>2.415</w:t>
            </w:r>
          </w:p>
        </w:tc>
        <w:tc>
          <w:tcPr>
            <w:tcW w:w="992" w:type="dxa"/>
            <w:tcBorders>
              <w:top w:val="single" w:sz="2" w:space="0" w:color="auto"/>
              <w:bottom w:val="single" w:sz="4"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lang w:val="es-ES" w:eastAsia="es-ES"/>
              </w:rPr>
            </w:pPr>
            <w:r w:rsidRPr="00A6470D">
              <w:rPr>
                <w:rFonts w:ascii="Arial Narrow" w:hAnsi="Arial Narrow" w:cs="Arial"/>
                <w:lang w:val="es-ES" w:eastAsia="es-ES"/>
              </w:rPr>
              <w:t>-3</w:t>
            </w:r>
          </w:p>
        </w:tc>
      </w:tr>
      <w:tr w:rsidR="00A6470D" w:rsidRPr="00A6470D" w:rsidTr="008B61F1">
        <w:trPr>
          <w:trHeight w:val="284"/>
          <w:jc w:val="center"/>
        </w:trPr>
        <w:tc>
          <w:tcPr>
            <w:tcW w:w="5647" w:type="dxa"/>
            <w:tcBorders>
              <w:top w:val="single" w:sz="4" w:space="0" w:color="auto"/>
              <w:bottom w:val="single" w:sz="4" w:space="0" w:color="auto"/>
            </w:tcBorders>
            <w:shd w:val="clear" w:color="auto" w:fill="A8CBEE" w:themeFill="accent2" w:themeFillTint="66"/>
            <w:noWrap/>
            <w:vAlign w:val="center"/>
            <w:hideMark/>
          </w:tcPr>
          <w:p w:rsidR="00A6470D" w:rsidRPr="00A6470D" w:rsidRDefault="00A6470D" w:rsidP="00A6470D">
            <w:pPr>
              <w:pStyle w:val="cuadroCabe"/>
              <w:jc w:val="left"/>
              <w:rPr>
                <w:rFonts w:cs="Arial"/>
              </w:rPr>
            </w:pPr>
            <w:r w:rsidRPr="00A6470D">
              <w:rPr>
                <w:rFonts w:cs="Arial"/>
              </w:rPr>
              <w:t>Total conciertos</w:t>
            </w:r>
          </w:p>
        </w:tc>
        <w:tc>
          <w:tcPr>
            <w:tcW w:w="1107" w:type="dxa"/>
            <w:tcBorders>
              <w:top w:val="single" w:sz="4" w:space="0" w:color="auto"/>
              <w:bottom w:val="single" w:sz="4" w:space="0" w:color="auto"/>
            </w:tcBorders>
            <w:shd w:val="clear" w:color="auto" w:fill="A8CBEE" w:themeFill="accent2" w:themeFillTint="66"/>
            <w:noWrap/>
            <w:vAlign w:val="center"/>
            <w:hideMark/>
          </w:tcPr>
          <w:p w:rsidR="00A6470D" w:rsidRPr="00A6470D" w:rsidRDefault="00A6470D" w:rsidP="008B61F1">
            <w:pPr>
              <w:pStyle w:val="cuadroCabe"/>
              <w:jc w:val="right"/>
              <w:rPr>
                <w:lang w:val="es-ES" w:eastAsia="es-ES"/>
              </w:rPr>
            </w:pPr>
            <w:r w:rsidRPr="00A6470D">
              <w:rPr>
                <w:lang w:val="es-ES" w:eastAsia="es-ES"/>
              </w:rPr>
              <w:t>56.308</w:t>
            </w:r>
          </w:p>
        </w:tc>
        <w:tc>
          <w:tcPr>
            <w:tcW w:w="1134" w:type="dxa"/>
            <w:tcBorders>
              <w:top w:val="single" w:sz="4" w:space="0" w:color="auto"/>
              <w:bottom w:val="single" w:sz="4" w:space="0" w:color="auto"/>
            </w:tcBorders>
            <w:shd w:val="clear" w:color="auto" w:fill="A8CBEE" w:themeFill="accent2" w:themeFillTint="66"/>
            <w:noWrap/>
            <w:vAlign w:val="center"/>
            <w:hideMark/>
          </w:tcPr>
          <w:p w:rsidR="00A6470D" w:rsidRPr="00A6470D" w:rsidRDefault="00A6470D" w:rsidP="008B61F1">
            <w:pPr>
              <w:pStyle w:val="cuadroCabe"/>
              <w:jc w:val="right"/>
              <w:rPr>
                <w:lang w:val="es-ES" w:eastAsia="es-ES"/>
              </w:rPr>
            </w:pPr>
            <w:r w:rsidRPr="00A6470D">
              <w:rPr>
                <w:lang w:val="es-ES" w:eastAsia="es-ES"/>
              </w:rPr>
              <w:t>64.701</w:t>
            </w:r>
          </w:p>
        </w:tc>
        <w:tc>
          <w:tcPr>
            <w:tcW w:w="992" w:type="dxa"/>
            <w:tcBorders>
              <w:top w:val="single" w:sz="4" w:space="0" w:color="auto"/>
              <w:bottom w:val="single" w:sz="4" w:space="0" w:color="auto"/>
            </w:tcBorders>
            <w:shd w:val="clear" w:color="auto" w:fill="A8CBEE" w:themeFill="accent2" w:themeFillTint="66"/>
            <w:noWrap/>
            <w:vAlign w:val="center"/>
            <w:hideMark/>
          </w:tcPr>
          <w:p w:rsidR="00A6470D" w:rsidRPr="00B07A4C" w:rsidRDefault="00A6470D" w:rsidP="007C6BCB">
            <w:pPr>
              <w:pStyle w:val="cuadroCabe"/>
              <w:jc w:val="right"/>
              <w:rPr>
                <w:lang w:val="es-ES" w:eastAsia="es-ES"/>
              </w:rPr>
            </w:pPr>
            <w:r w:rsidRPr="00B07A4C">
              <w:rPr>
                <w:lang w:val="es-ES" w:eastAsia="es-ES"/>
              </w:rPr>
              <w:t>15</w:t>
            </w:r>
          </w:p>
        </w:tc>
      </w:tr>
    </w:tbl>
    <w:p w:rsidR="00C1550C" w:rsidRDefault="000A2DDE" w:rsidP="008B61F1">
      <w:pPr>
        <w:pStyle w:val="texto"/>
        <w:tabs>
          <w:tab w:val="clear" w:pos="2835"/>
          <w:tab w:val="clear" w:pos="3969"/>
          <w:tab w:val="clear" w:pos="5103"/>
          <w:tab w:val="clear" w:pos="6237"/>
          <w:tab w:val="clear" w:pos="7371"/>
          <w:tab w:val="left" w:pos="480"/>
          <w:tab w:val="num" w:pos="4920"/>
        </w:tabs>
        <w:spacing w:before="240"/>
        <w:rPr>
          <w:lang w:val="es-ES"/>
        </w:rPr>
      </w:pPr>
      <w:r>
        <w:rPr>
          <w:lang w:val="es-ES"/>
        </w:rPr>
        <w:t>El gasto anterior corresponde a 255 proveedores</w:t>
      </w:r>
      <w:r w:rsidR="00CC0D1E">
        <w:rPr>
          <w:lang w:val="es-ES"/>
        </w:rPr>
        <w:t>,</w:t>
      </w:r>
      <w:r w:rsidR="00527391">
        <w:rPr>
          <w:lang w:val="es-ES"/>
        </w:rPr>
        <w:t xml:space="preserve"> </w:t>
      </w:r>
      <w:r>
        <w:rPr>
          <w:lang w:val="es-ES"/>
        </w:rPr>
        <w:t xml:space="preserve">de los que siete presentan un gasto superior al millón. </w:t>
      </w:r>
    </w:p>
    <w:p w:rsidR="002C301E" w:rsidRDefault="000A2DDE" w:rsidP="002C301E">
      <w:pPr>
        <w:pStyle w:val="texto"/>
        <w:tabs>
          <w:tab w:val="clear" w:pos="2835"/>
          <w:tab w:val="clear" w:pos="3969"/>
          <w:tab w:val="clear" w:pos="5103"/>
          <w:tab w:val="clear" w:pos="6237"/>
          <w:tab w:val="clear" w:pos="7371"/>
          <w:tab w:val="left" w:pos="480"/>
          <w:tab w:val="num" w:pos="4920"/>
        </w:tabs>
        <w:rPr>
          <w:lang w:val="es-ES"/>
        </w:rPr>
      </w:pPr>
      <w:r>
        <w:rPr>
          <w:lang w:val="es-ES"/>
        </w:rPr>
        <w:t xml:space="preserve">La Universidad de Navarra </w:t>
      </w:r>
      <w:r w:rsidR="008B61F1">
        <w:rPr>
          <w:lang w:val="es-ES"/>
        </w:rPr>
        <w:t>–</w:t>
      </w:r>
      <w:r>
        <w:rPr>
          <w:lang w:val="es-ES"/>
        </w:rPr>
        <w:t>26,5 millones</w:t>
      </w:r>
      <w:r w:rsidR="008B61F1">
        <w:rPr>
          <w:lang w:val="es-ES"/>
        </w:rPr>
        <w:t>–</w:t>
      </w:r>
      <w:r>
        <w:rPr>
          <w:lang w:val="es-ES"/>
        </w:rPr>
        <w:t xml:space="preserve"> y el</w:t>
      </w:r>
      <w:r w:rsidR="002C301E">
        <w:rPr>
          <w:lang w:val="es-ES"/>
        </w:rPr>
        <w:t xml:space="preserve"> </w:t>
      </w:r>
      <w:r>
        <w:rPr>
          <w:lang w:val="es-ES"/>
        </w:rPr>
        <w:t>Hospital S</w:t>
      </w:r>
      <w:r w:rsidR="002C301E">
        <w:rPr>
          <w:lang w:val="es-ES"/>
        </w:rPr>
        <w:t>an Juan de Dios</w:t>
      </w:r>
      <w:r w:rsidR="008B61F1">
        <w:rPr>
          <w:lang w:val="es-ES"/>
        </w:rPr>
        <w:t xml:space="preserve"> –</w:t>
      </w:r>
      <w:r>
        <w:rPr>
          <w:lang w:val="es-ES"/>
        </w:rPr>
        <w:t>19,8 millones</w:t>
      </w:r>
      <w:r w:rsidR="008B61F1">
        <w:rPr>
          <w:lang w:val="es-ES"/>
        </w:rPr>
        <w:t xml:space="preserve">– </w:t>
      </w:r>
      <w:r>
        <w:rPr>
          <w:lang w:val="es-ES"/>
        </w:rPr>
        <w:t>justifican el 72 por ciento del gasto total.</w:t>
      </w:r>
      <w:r w:rsidR="002C301E">
        <w:rPr>
          <w:lang w:val="es-ES"/>
        </w:rPr>
        <w:t xml:space="preserve"> </w:t>
      </w:r>
    </w:p>
    <w:p w:rsidR="00C1550C" w:rsidRPr="00C1550C" w:rsidRDefault="00C1550C" w:rsidP="008B61F1">
      <w:pPr>
        <w:pStyle w:val="texto"/>
        <w:tabs>
          <w:tab w:val="clear" w:pos="2835"/>
          <w:tab w:val="clear" w:pos="3969"/>
          <w:tab w:val="clear" w:pos="5103"/>
          <w:tab w:val="clear" w:pos="6237"/>
          <w:tab w:val="clear" w:pos="7371"/>
          <w:tab w:val="left" w:pos="480"/>
          <w:tab w:val="num" w:pos="4920"/>
        </w:tabs>
        <w:rPr>
          <w:lang w:val="es-ES"/>
        </w:rPr>
      </w:pPr>
      <w:r w:rsidRPr="00C1550C">
        <w:rPr>
          <w:lang w:val="es-ES"/>
        </w:rPr>
        <w:t>La Universidad de Navarra</w:t>
      </w:r>
      <w:r>
        <w:rPr>
          <w:lang w:val="es-ES"/>
        </w:rPr>
        <w:t xml:space="preserve">, en 2015, </w:t>
      </w:r>
      <w:r w:rsidRPr="00C1550C">
        <w:rPr>
          <w:lang w:val="es-ES"/>
        </w:rPr>
        <w:t>ha realizado servicios de asistencia sanitaria a pacientes derivados desde el sistema general</w:t>
      </w:r>
      <w:r>
        <w:rPr>
          <w:lang w:val="es-ES"/>
        </w:rPr>
        <w:t xml:space="preserve"> </w:t>
      </w:r>
      <w:r w:rsidR="008B61F1">
        <w:rPr>
          <w:lang w:val="es-ES"/>
        </w:rPr>
        <w:t>–</w:t>
      </w:r>
      <w:r w:rsidRPr="00C1550C">
        <w:rPr>
          <w:lang w:val="es-ES"/>
        </w:rPr>
        <w:t>10,8 millo</w:t>
      </w:r>
      <w:r>
        <w:rPr>
          <w:lang w:val="es-ES"/>
        </w:rPr>
        <w:t>nes</w:t>
      </w:r>
      <w:r w:rsidR="008B61F1">
        <w:rPr>
          <w:lang w:val="es-ES"/>
        </w:rPr>
        <w:t>–</w:t>
      </w:r>
      <w:r w:rsidRPr="00C1550C">
        <w:rPr>
          <w:lang w:val="es-ES"/>
        </w:rPr>
        <w:t xml:space="preserve">, </w:t>
      </w:r>
      <w:r>
        <w:rPr>
          <w:lang w:val="es-ES"/>
        </w:rPr>
        <w:t>s</w:t>
      </w:r>
      <w:r w:rsidRPr="00C1550C">
        <w:rPr>
          <w:lang w:val="es-ES"/>
        </w:rPr>
        <w:t>ervicios de trasplantes de órga</w:t>
      </w:r>
      <w:r>
        <w:rPr>
          <w:lang w:val="es-ES"/>
        </w:rPr>
        <w:t xml:space="preserve">nos </w:t>
      </w:r>
      <w:r w:rsidR="008B61F1">
        <w:rPr>
          <w:lang w:val="es-ES"/>
        </w:rPr>
        <w:t>–</w:t>
      </w:r>
      <w:r w:rsidRPr="00C1550C">
        <w:rPr>
          <w:lang w:val="es-ES"/>
        </w:rPr>
        <w:t>8,3 millones</w:t>
      </w:r>
      <w:r w:rsidR="008B61F1">
        <w:rPr>
          <w:lang w:val="es-ES"/>
        </w:rPr>
        <w:t>–</w:t>
      </w:r>
      <w:r w:rsidRPr="00C1550C">
        <w:rPr>
          <w:lang w:val="es-ES"/>
        </w:rPr>
        <w:t>, asistencia sanitaria a</w:t>
      </w:r>
      <w:r>
        <w:rPr>
          <w:lang w:val="es-ES"/>
        </w:rPr>
        <w:t xml:space="preserve"> su propio</w:t>
      </w:r>
      <w:r w:rsidRPr="00C1550C">
        <w:rPr>
          <w:lang w:val="es-ES"/>
        </w:rPr>
        <w:t xml:space="preserve"> per</w:t>
      </w:r>
      <w:r>
        <w:rPr>
          <w:lang w:val="es-ES"/>
        </w:rPr>
        <w:t xml:space="preserve">sonal </w:t>
      </w:r>
      <w:r w:rsidR="008B61F1">
        <w:rPr>
          <w:lang w:val="es-ES"/>
        </w:rPr>
        <w:t>–</w:t>
      </w:r>
      <w:r w:rsidRPr="00C1550C">
        <w:rPr>
          <w:lang w:val="es-ES"/>
        </w:rPr>
        <w:t>5,1 millones</w:t>
      </w:r>
      <w:r w:rsidR="008B61F1">
        <w:rPr>
          <w:lang w:val="es-ES"/>
        </w:rPr>
        <w:t>–, prótesis –</w:t>
      </w:r>
      <w:r w:rsidRPr="00C1550C">
        <w:rPr>
          <w:lang w:val="es-ES"/>
        </w:rPr>
        <w:t>1,5 millones</w:t>
      </w:r>
      <w:r w:rsidR="008B61F1">
        <w:rPr>
          <w:lang w:val="es-ES"/>
        </w:rPr>
        <w:t>–</w:t>
      </w:r>
      <w:r>
        <w:rPr>
          <w:lang w:val="es-ES"/>
        </w:rPr>
        <w:t xml:space="preserve"> y </w:t>
      </w:r>
      <w:r w:rsidRPr="00C1550C">
        <w:rPr>
          <w:lang w:val="es-ES"/>
        </w:rPr>
        <w:t>en el acuerdo marco para la derivación de pacientes por listas de espera</w:t>
      </w:r>
      <w:r>
        <w:rPr>
          <w:lang w:val="es-ES"/>
        </w:rPr>
        <w:t xml:space="preserve"> </w:t>
      </w:r>
      <w:r w:rsidR="008B61F1">
        <w:rPr>
          <w:lang w:val="es-ES"/>
        </w:rPr>
        <w:t>–</w:t>
      </w:r>
      <w:r>
        <w:rPr>
          <w:lang w:val="es-ES"/>
        </w:rPr>
        <w:t>0,8 millones</w:t>
      </w:r>
      <w:r w:rsidR="008B61F1">
        <w:rPr>
          <w:lang w:val="es-ES"/>
        </w:rPr>
        <w:t>–</w:t>
      </w:r>
      <w:r w:rsidR="00023842">
        <w:rPr>
          <w:lang w:val="es-ES"/>
        </w:rPr>
        <w:t>.</w:t>
      </w:r>
      <w:r>
        <w:rPr>
          <w:lang w:val="es-ES"/>
        </w:rPr>
        <w:t xml:space="preserve"> Sobre 2014, su gasto ha aumentado en un 28 por ciento.</w:t>
      </w:r>
    </w:p>
    <w:p w:rsidR="00C1550C" w:rsidRPr="00C1550C" w:rsidRDefault="00C1550C" w:rsidP="008B61F1">
      <w:pPr>
        <w:pStyle w:val="texto"/>
        <w:tabs>
          <w:tab w:val="clear" w:pos="2835"/>
          <w:tab w:val="clear" w:pos="3969"/>
          <w:tab w:val="clear" w:pos="5103"/>
          <w:tab w:val="clear" w:pos="6237"/>
          <w:tab w:val="clear" w:pos="7371"/>
          <w:tab w:val="left" w:pos="480"/>
          <w:tab w:val="num" w:pos="4920"/>
        </w:tabs>
        <w:rPr>
          <w:lang w:val="es-ES"/>
        </w:rPr>
      </w:pPr>
      <w:r w:rsidRPr="00C1550C">
        <w:rPr>
          <w:lang w:val="es-ES"/>
        </w:rPr>
        <w:t>El</w:t>
      </w:r>
      <w:r>
        <w:rPr>
          <w:lang w:val="es-ES"/>
        </w:rPr>
        <w:t xml:space="preserve"> gasto del</w:t>
      </w:r>
      <w:r w:rsidRPr="00C1550C">
        <w:rPr>
          <w:lang w:val="es-ES"/>
        </w:rPr>
        <w:t xml:space="preserve"> Hospital San Juan de Dios </w:t>
      </w:r>
      <w:r>
        <w:rPr>
          <w:lang w:val="es-ES"/>
        </w:rPr>
        <w:t>c</w:t>
      </w:r>
      <w:r w:rsidRPr="00C1550C">
        <w:rPr>
          <w:lang w:val="es-ES"/>
        </w:rPr>
        <w:t>orresponde casi en su totalidad a gastos en la partida específica de asistencia sanitaria</w:t>
      </w:r>
      <w:r w:rsidR="008B61F1">
        <w:rPr>
          <w:lang w:val="es-ES"/>
        </w:rPr>
        <w:t xml:space="preserve"> –</w:t>
      </w:r>
      <w:r w:rsidRPr="00C1550C">
        <w:rPr>
          <w:lang w:val="es-ES"/>
        </w:rPr>
        <w:t>19,3 millones</w:t>
      </w:r>
      <w:r w:rsidR="008B61F1">
        <w:rPr>
          <w:lang w:val="es-ES"/>
        </w:rPr>
        <w:t>–</w:t>
      </w:r>
      <w:r w:rsidRPr="00C1550C">
        <w:rPr>
          <w:lang w:val="es-ES"/>
        </w:rPr>
        <w:t xml:space="preserve"> y a gas</w:t>
      </w:r>
      <w:r>
        <w:rPr>
          <w:lang w:val="es-ES"/>
        </w:rPr>
        <w:t xml:space="preserve">tos de ecografías </w:t>
      </w:r>
      <w:r w:rsidR="008B61F1">
        <w:rPr>
          <w:lang w:val="es-ES"/>
        </w:rPr>
        <w:t>–</w:t>
      </w:r>
      <w:r w:rsidRPr="00C1550C">
        <w:rPr>
          <w:lang w:val="es-ES"/>
        </w:rPr>
        <w:t>0,4 millones</w:t>
      </w:r>
      <w:r w:rsidR="008B61F1">
        <w:rPr>
          <w:lang w:val="es-ES"/>
        </w:rPr>
        <w:t>–</w:t>
      </w:r>
      <w:r w:rsidRPr="00C1550C">
        <w:rPr>
          <w:lang w:val="es-ES"/>
        </w:rPr>
        <w:t>. Respecto del gasto de 2014 ha aumentado un 13</w:t>
      </w:r>
      <w:r>
        <w:rPr>
          <w:lang w:val="es-ES"/>
        </w:rPr>
        <w:t xml:space="preserve"> por ciento</w:t>
      </w:r>
      <w:r w:rsidRPr="00C1550C">
        <w:rPr>
          <w:lang w:val="es-ES"/>
        </w:rPr>
        <w:t>.</w:t>
      </w:r>
    </w:p>
    <w:p w:rsidR="002C301E" w:rsidRDefault="004862FB" w:rsidP="008B61F1">
      <w:pPr>
        <w:pStyle w:val="texto"/>
        <w:rPr>
          <w:lang w:val="es-ES"/>
        </w:rPr>
      </w:pPr>
      <w:r>
        <w:rPr>
          <w:lang w:val="es-ES"/>
        </w:rPr>
        <w:t xml:space="preserve">De la revisión realizada </w:t>
      </w:r>
      <w:r w:rsidR="00FA4F43">
        <w:rPr>
          <w:lang w:val="es-ES"/>
        </w:rPr>
        <w:t>a los proveedores de más de un millón de euros</w:t>
      </w:r>
      <w:r w:rsidR="00FF3AF0">
        <w:rPr>
          <w:lang w:val="es-ES"/>
        </w:rPr>
        <w:t>,</w:t>
      </w:r>
      <w:r w:rsidR="00FA4F43">
        <w:rPr>
          <w:lang w:val="es-ES"/>
        </w:rPr>
        <w:t xml:space="preserve"> </w:t>
      </w:r>
      <w:r>
        <w:rPr>
          <w:lang w:val="es-ES"/>
        </w:rPr>
        <w:t>se observan gastos</w:t>
      </w:r>
      <w:r w:rsidR="00C1550C">
        <w:rPr>
          <w:lang w:val="es-ES"/>
        </w:rPr>
        <w:t xml:space="preserve"> por conciertos </w:t>
      </w:r>
      <w:r>
        <w:rPr>
          <w:lang w:val="es-ES"/>
        </w:rPr>
        <w:t>de 2015 que se han trasladado a 2016 por importe de 0,</w:t>
      </w:r>
      <w:r w:rsidR="00FA4F43">
        <w:rPr>
          <w:lang w:val="es-ES"/>
        </w:rPr>
        <w:t>52</w:t>
      </w:r>
      <w:r>
        <w:rPr>
          <w:lang w:val="es-ES"/>
        </w:rPr>
        <w:t xml:space="preserve"> millones.</w:t>
      </w:r>
      <w:r w:rsidRPr="004862FB">
        <w:rPr>
          <w:lang w:val="es-ES"/>
        </w:rPr>
        <w:t xml:space="preserve"> </w:t>
      </w:r>
      <w:r>
        <w:rPr>
          <w:lang w:val="es-ES"/>
        </w:rPr>
        <w:t>Estas facturas están registradas en acreedores por operaciones pendientes de aplicar al presupuesto.</w:t>
      </w:r>
    </w:p>
    <w:p w:rsidR="00111FC7" w:rsidRPr="0008010B" w:rsidRDefault="0009240A" w:rsidP="008B61F1">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sidRPr="00376B49">
        <w:rPr>
          <w:lang w:val="es-ES"/>
        </w:rPr>
        <w:t xml:space="preserve">Como principales operaciones de </w:t>
      </w:r>
      <w:r w:rsidRPr="00376B49">
        <w:rPr>
          <w:b/>
          <w:lang w:val="es-ES"/>
        </w:rPr>
        <w:t>gasto en activos financieros</w:t>
      </w:r>
      <w:r w:rsidRPr="00376B49">
        <w:rPr>
          <w:lang w:val="es-ES"/>
        </w:rPr>
        <w:t xml:space="preserve"> señalamos la concesión de un </w:t>
      </w:r>
      <w:r w:rsidR="00111FC7">
        <w:rPr>
          <w:lang w:val="es-ES"/>
        </w:rPr>
        <w:t>anticipo</w:t>
      </w:r>
      <w:r w:rsidRPr="00376B49">
        <w:rPr>
          <w:lang w:val="es-ES"/>
        </w:rPr>
        <w:t xml:space="preserve"> de 8,5 millones a la sociedad Canal de Navarra, SA</w:t>
      </w:r>
      <w:r w:rsidR="00F50793" w:rsidRPr="00376B49">
        <w:rPr>
          <w:lang w:val="es-ES"/>
        </w:rPr>
        <w:t>,</w:t>
      </w:r>
      <w:r w:rsidR="00A0352E" w:rsidRPr="00376B49">
        <w:rPr>
          <w:lang w:val="es-ES"/>
        </w:rPr>
        <w:t xml:space="preserve"> un </w:t>
      </w:r>
      <w:r w:rsidR="000C03E8">
        <w:rPr>
          <w:lang w:val="es-ES"/>
        </w:rPr>
        <w:t>gasto de</w:t>
      </w:r>
      <w:r w:rsidR="00A0352E" w:rsidRPr="00376B49">
        <w:rPr>
          <w:lang w:val="es-ES"/>
        </w:rPr>
        <w:t xml:space="preserve"> 15,67</w:t>
      </w:r>
      <w:r w:rsidRPr="00376B49">
        <w:rPr>
          <w:lang w:val="es-ES"/>
        </w:rPr>
        <w:t xml:space="preserve"> millones para </w:t>
      </w:r>
      <w:r w:rsidR="00A0352E" w:rsidRPr="00376B49">
        <w:rPr>
          <w:lang w:val="es-ES"/>
        </w:rPr>
        <w:t>dos</w:t>
      </w:r>
      <w:r w:rsidRPr="00376B49">
        <w:rPr>
          <w:lang w:val="es-ES"/>
        </w:rPr>
        <w:t xml:space="preserve"> ampliaciones de capital de la </w:t>
      </w:r>
      <w:r w:rsidR="00A0352E" w:rsidRPr="00376B49">
        <w:rPr>
          <w:lang w:val="es-ES"/>
        </w:rPr>
        <w:t>CPEN</w:t>
      </w:r>
      <w:r w:rsidR="00376B49" w:rsidRPr="00376B49">
        <w:rPr>
          <w:lang w:val="es-ES"/>
        </w:rPr>
        <w:t xml:space="preserve"> </w:t>
      </w:r>
      <w:r w:rsidR="00A0352E" w:rsidRPr="00376B49">
        <w:rPr>
          <w:lang w:val="es-ES"/>
        </w:rPr>
        <w:t xml:space="preserve">y </w:t>
      </w:r>
      <w:r w:rsidR="000C03E8">
        <w:rPr>
          <w:lang w:val="es-ES"/>
        </w:rPr>
        <w:t>otro</w:t>
      </w:r>
      <w:r w:rsidR="00111FC7">
        <w:rPr>
          <w:lang w:val="es-ES"/>
        </w:rPr>
        <w:t xml:space="preserve"> </w:t>
      </w:r>
      <w:r w:rsidR="00A0352E" w:rsidRPr="00376B49">
        <w:rPr>
          <w:lang w:val="es-ES"/>
        </w:rPr>
        <w:t xml:space="preserve">de </w:t>
      </w:r>
      <w:r w:rsidR="00A0352E" w:rsidRPr="0008010B">
        <w:rPr>
          <w:lang w:val="es-ES"/>
        </w:rPr>
        <w:t xml:space="preserve">4 millones para </w:t>
      </w:r>
      <w:r w:rsidR="00F50793" w:rsidRPr="0008010B">
        <w:rPr>
          <w:lang w:val="es-ES"/>
        </w:rPr>
        <w:t>otra</w:t>
      </w:r>
      <w:r w:rsidR="00A0352E" w:rsidRPr="0008010B">
        <w:rPr>
          <w:lang w:val="es-ES"/>
        </w:rPr>
        <w:t xml:space="preserve"> ampliación del capital de la</w:t>
      </w:r>
      <w:r w:rsidR="00F50793" w:rsidRPr="0008010B">
        <w:rPr>
          <w:lang w:val="es-ES"/>
        </w:rPr>
        <w:t xml:space="preserve"> citada CPEN que, al cierre del ejercicio, estaba en tramitación.</w:t>
      </w:r>
      <w:r w:rsidR="00111FC7" w:rsidRPr="0008010B">
        <w:rPr>
          <w:lang w:val="es-ES"/>
        </w:rPr>
        <w:t xml:space="preserve"> </w:t>
      </w:r>
    </w:p>
    <w:p w:rsidR="0009240A" w:rsidRPr="00376B49" w:rsidRDefault="00111FC7" w:rsidP="008B61F1">
      <w:pPr>
        <w:pStyle w:val="texto"/>
        <w:rPr>
          <w:lang w:val="es-ES"/>
        </w:rPr>
      </w:pPr>
      <w:r>
        <w:rPr>
          <w:lang w:val="es-ES"/>
        </w:rPr>
        <w:t>A 31 de diciembre de 2015, los anticipos a Canal de Navarra ascienden a 17 millones.</w:t>
      </w:r>
    </w:p>
    <w:p w:rsidR="00C1033B" w:rsidRDefault="007B57F0" w:rsidP="00B07A4C">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0"/>
        <w:ind w:left="0" w:firstLine="289"/>
        <w:rPr>
          <w:lang w:val="es-ES"/>
        </w:rPr>
      </w:pPr>
      <w:r>
        <w:rPr>
          <w:lang w:val="es-ES"/>
        </w:rPr>
        <w:t xml:space="preserve">La cuenta </w:t>
      </w:r>
      <w:r w:rsidRPr="005D6093">
        <w:rPr>
          <w:b/>
          <w:lang w:val="es-ES"/>
        </w:rPr>
        <w:t>“Acreedores por operaciones pendientes de aplicar al presupuesto”</w:t>
      </w:r>
      <w:r>
        <w:rPr>
          <w:lang w:val="es-ES"/>
        </w:rPr>
        <w:t xml:space="preserve"> presenta un saldo a 31 de diciembre de 2015 de 6,45 millones, cuyo desglose y comparación con el ejercicio anterior, se muestra en el siguiente cuadro: </w:t>
      </w:r>
    </w:p>
    <w:p w:rsidR="00846EDC" w:rsidRPr="00846EDC" w:rsidRDefault="006362BE" w:rsidP="00846EDC">
      <w:pPr>
        <w:pStyle w:val="recomen"/>
        <w:numPr>
          <w:ilvl w:val="0"/>
          <w:numId w:val="0"/>
        </w:numPr>
        <w:spacing w:after="40"/>
        <w:ind w:left="1588"/>
        <w:jc w:val="right"/>
        <w:rPr>
          <w:rFonts w:ascii="Arial Narrow" w:hAnsi="Arial Narrow"/>
          <w:i w:val="0"/>
          <w:sz w:val="18"/>
          <w:szCs w:val="18"/>
        </w:rPr>
      </w:pPr>
      <w:r w:rsidRPr="00846EDC">
        <w:rPr>
          <w:rFonts w:ascii="Arial Narrow" w:hAnsi="Arial Narrow"/>
          <w:i w:val="0"/>
          <w:sz w:val="18"/>
          <w:szCs w:val="18"/>
        </w:rPr>
        <w:t>Miles</w:t>
      </w:r>
      <w:r w:rsidR="00846EDC" w:rsidRPr="00846EDC">
        <w:rPr>
          <w:rFonts w:ascii="Arial Narrow" w:hAnsi="Arial Narrow"/>
          <w:i w:val="0"/>
          <w:sz w:val="18"/>
          <w:szCs w:val="18"/>
        </w:rPr>
        <w:t xml:space="preserve"> de euros</w:t>
      </w:r>
    </w:p>
    <w:tbl>
      <w:tblPr>
        <w:tblW w:w="8763" w:type="dxa"/>
        <w:jc w:val="center"/>
        <w:tblCellMar>
          <w:left w:w="70" w:type="dxa"/>
          <w:right w:w="70" w:type="dxa"/>
        </w:tblCellMar>
        <w:tblLook w:val="0000" w:firstRow="0" w:lastRow="0" w:firstColumn="0" w:lastColumn="0" w:noHBand="0" w:noVBand="0"/>
      </w:tblPr>
      <w:tblGrid>
        <w:gridCol w:w="6137"/>
        <w:gridCol w:w="1210"/>
        <w:gridCol w:w="1416"/>
      </w:tblGrid>
      <w:tr w:rsidR="002D3A3E" w:rsidRPr="0068118D" w:rsidTr="00846EDC">
        <w:trPr>
          <w:trHeight w:val="284"/>
          <w:jc w:val="center"/>
        </w:trPr>
        <w:tc>
          <w:tcPr>
            <w:tcW w:w="6137" w:type="dxa"/>
            <w:tcBorders>
              <w:top w:val="single" w:sz="4" w:space="0" w:color="auto"/>
              <w:bottom w:val="single" w:sz="4" w:space="0" w:color="auto"/>
            </w:tcBorders>
            <w:shd w:val="clear" w:color="auto" w:fill="A8CBEE" w:themeFill="accent2" w:themeFillTint="66"/>
            <w:vAlign w:val="center"/>
          </w:tcPr>
          <w:p w:rsidR="002D3A3E" w:rsidRPr="00D3443F" w:rsidRDefault="002D3A3E" w:rsidP="007B57F0">
            <w:pPr>
              <w:pStyle w:val="cuadroCabe"/>
              <w:jc w:val="left"/>
              <w:rPr>
                <w:rFonts w:cs="Arial"/>
              </w:rPr>
            </w:pPr>
            <w:r>
              <w:rPr>
                <w:rFonts w:cs="Arial"/>
              </w:rPr>
              <w:t>Acreedores operaciones pendientes de aplicar al presupuesto</w:t>
            </w:r>
          </w:p>
        </w:tc>
        <w:tc>
          <w:tcPr>
            <w:tcW w:w="1210" w:type="dxa"/>
            <w:tcBorders>
              <w:top w:val="single" w:sz="4" w:space="0" w:color="auto"/>
              <w:bottom w:val="single" w:sz="4" w:space="0" w:color="auto"/>
            </w:tcBorders>
            <w:shd w:val="clear" w:color="auto" w:fill="A8CBEE" w:themeFill="accent2" w:themeFillTint="66"/>
            <w:noWrap/>
            <w:vAlign w:val="center"/>
          </w:tcPr>
          <w:p w:rsidR="002D3A3E" w:rsidRPr="00D3443F" w:rsidRDefault="002D3A3E" w:rsidP="00960405">
            <w:pPr>
              <w:pStyle w:val="cuadroCabe"/>
              <w:jc w:val="right"/>
              <w:rPr>
                <w:rFonts w:cs="Arial"/>
              </w:rPr>
            </w:pPr>
            <w:r>
              <w:rPr>
                <w:rFonts w:cs="Arial"/>
              </w:rPr>
              <w:t>31-XII-2014</w:t>
            </w:r>
          </w:p>
        </w:tc>
        <w:tc>
          <w:tcPr>
            <w:tcW w:w="1416" w:type="dxa"/>
            <w:tcBorders>
              <w:top w:val="single" w:sz="4" w:space="0" w:color="auto"/>
              <w:bottom w:val="single" w:sz="4" w:space="0" w:color="auto"/>
            </w:tcBorders>
            <w:shd w:val="clear" w:color="auto" w:fill="A8CBEE" w:themeFill="accent2" w:themeFillTint="66"/>
            <w:vAlign w:val="center"/>
          </w:tcPr>
          <w:p w:rsidR="002D3A3E" w:rsidRPr="00D3443F" w:rsidRDefault="002D3A3E" w:rsidP="00960405">
            <w:pPr>
              <w:pStyle w:val="cuadroCabe"/>
              <w:jc w:val="right"/>
              <w:rPr>
                <w:rFonts w:cs="Arial"/>
              </w:rPr>
            </w:pPr>
            <w:r>
              <w:rPr>
                <w:rFonts w:cs="Arial"/>
              </w:rPr>
              <w:t>31-XII-2015</w:t>
            </w:r>
          </w:p>
        </w:tc>
      </w:tr>
      <w:tr w:rsidR="002D3A3E" w:rsidRPr="00AE5B59" w:rsidTr="00846EDC">
        <w:trPr>
          <w:trHeight w:val="284"/>
          <w:jc w:val="center"/>
        </w:trPr>
        <w:tc>
          <w:tcPr>
            <w:tcW w:w="6137" w:type="dxa"/>
            <w:tcBorders>
              <w:top w:val="single" w:sz="4" w:space="0" w:color="auto"/>
              <w:bottom w:val="single" w:sz="2" w:space="0" w:color="auto"/>
            </w:tcBorders>
            <w:shd w:val="clear" w:color="auto" w:fill="auto"/>
            <w:vAlign w:val="center"/>
          </w:tcPr>
          <w:p w:rsidR="002D3A3E" w:rsidRPr="00AE5B59" w:rsidRDefault="002D3A3E" w:rsidP="00960405">
            <w:pPr>
              <w:spacing w:after="0"/>
              <w:ind w:firstLine="0"/>
              <w:jc w:val="left"/>
              <w:rPr>
                <w:rFonts w:ascii="Arial Narrow" w:hAnsi="Arial Narrow" w:cs="Arial"/>
                <w:lang w:eastAsia="es-ES"/>
              </w:rPr>
            </w:pPr>
            <w:r w:rsidRPr="00AE5B59">
              <w:rPr>
                <w:rFonts w:ascii="Arial Narrow" w:hAnsi="Arial Narrow" w:cs="Arial"/>
                <w:lang w:eastAsia="es-ES"/>
              </w:rPr>
              <w:t>Registro de Facturas</w:t>
            </w:r>
          </w:p>
        </w:tc>
        <w:tc>
          <w:tcPr>
            <w:tcW w:w="1210" w:type="dxa"/>
            <w:tcBorders>
              <w:top w:val="single" w:sz="4" w:space="0" w:color="auto"/>
              <w:bottom w:val="single" w:sz="2" w:space="0" w:color="auto"/>
            </w:tcBorders>
            <w:shd w:val="clear" w:color="auto" w:fill="auto"/>
            <w:noWrap/>
            <w:vAlign w:val="center"/>
          </w:tcPr>
          <w:p w:rsidR="002D3A3E" w:rsidRPr="00AE5B59" w:rsidRDefault="002D3A3E" w:rsidP="00960405">
            <w:pPr>
              <w:spacing w:after="0"/>
              <w:ind w:firstLine="0"/>
              <w:jc w:val="right"/>
              <w:rPr>
                <w:rFonts w:ascii="Arial Narrow" w:hAnsi="Arial Narrow" w:cs="Arial"/>
                <w:lang w:val="es-ES" w:eastAsia="es-ES"/>
              </w:rPr>
            </w:pPr>
            <w:r>
              <w:rPr>
                <w:rFonts w:ascii="Arial Narrow" w:hAnsi="Arial Narrow" w:cs="Arial"/>
                <w:lang w:val="es-ES" w:eastAsia="es-ES"/>
              </w:rPr>
              <w:t>2.781</w:t>
            </w:r>
          </w:p>
        </w:tc>
        <w:tc>
          <w:tcPr>
            <w:tcW w:w="1416" w:type="dxa"/>
            <w:tcBorders>
              <w:top w:val="single" w:sz="4" w:space="0" w:color="auto"/>
              <w:bottom w:val="single" w:sz="2" w:space="0" w:color="auto"/>
            </w:tcBorders>
            <w:vAlign w:val="center"/>
          </w:tcPr>
          <w:p w:rsidR="002D3A3E" w:rsidRPr="00AE5B59" w:rsidRDefault="002D3A3E" w:rsidP="00960405">
            <w:pPr>
              <w:spacing w:after="0"/>
              <w:ind w:firstLine="0"/>
              <w:jc w:val="right"/>
              <w:rPr>
                <w:rFonts w:ascii="Arial Narrow" w:hAnsi="Arial Narrow" w:cs="Arial"/>
                <w:lang w:val="es-ES" w:eastAsia="es-ES"/>
              </w:rPr>
            </w:pPr>
            <w:r>
              <w:rPr>
                <w:rFonts w:ascii="Arial Narrow" w:hAnsi="Arial Narrow" w:cs="Arial"/>
                <w:lang w:val="es-ES" w:eastAsia="es-ES"/>
              </w:rPr>
              <w:t>5.721</w:t>
            </w:r>
          </w:p>
        </w:tc>
      </w:tr>
      <w:tr w:rsidR="002D3A3E" w:rsidRPr="00AE5B59" w:rsidTr="00846EDC">
        <w:trPr>
          <w:trHeight w:val="284"/>
          <w:jc w:val="center"/>
        </w:trPr>
        <w:tc>
          <w:tcPr>
            <w:tcW w:w="6137" w:type="dxa"/>
            <w:tcBorders>
              <w:top w:val="single" w:sz="2" w:space="0" w:color="auto"/>
              <w:bottom w:val="single" w:sz="2" w:space="0" w:color="auto"/>
            </w:tcBorders>
            <w:shd w:val="clear" w:color="auto" w:fill="auto"/>
            <w:vAlign w:val="center"/>
          </w:tcPr>
          <w:p w:rsidR="002D3A3E" w:rsidRPr="00AE5B59" w:rsidRDefault="00B46895" w:rsidP="00B46895">
            <w:pPr>
              <w:spacing w:after="0"/>
              <w:ind w:firstLine="0"/>
              <w:jc w:val="left"/>
              <w:rPr>
                <w:rFonts w:ascii="Arial Narrow" w:hAnsi="Arial Narrow" w:cs="Arial"/>
                <w:lang w:val="es-ES" w:eastAsia="es-ES"/>
              </w:rPr>
            </w:pPr>
            <w:r>
              <w:rPr>
                <w:rFonts w:ascii="Arial Narrow" w:hAnsi="Arial Narrow" w:cs="Arial"/>
                <w:lang w:val="es-ES" w:eastAsia="es-ES"/>
              </w:rPr>
              <w:t>Registro Facturas-</w:t>
            </w:r>
            <w:r w:rsidR="002D3A3E" w:rsidRPr="00AE5B59">
              <w:rPr>
                <w:rFonts w:ascii="Arial Narrow" w:hAnsi="Arial Narrow" w:cs="Arial"/>
                <w:lang w:val="es-ES" w:eastAsia="es-ES"/>
              </w:rPr>
              <w:t>Módulo de Salud</w:t>
            </w:r>
          </w:p>
        </w:tc>
        <w:tc>
          <w:tcPr>
            <w:tcW w:w="1210" w:type="dxa"/>
            <w:tcBorders>
              <w:top w:val="single" w:sz="2" w:space="0" w:color="auto"/>
              <w:bottom w:val="single" w:sz="2" w:space="0" w:color="auto"/>
            </w:tcBorders>
            <w:shd w:val="clear" w:color="auto" w:fill="auto"/>
            <w:noWrap/>
            <w:vAlign w:val="center"/>
          </w:tcPr>
          <w:p w:rsidR="002D3A3E" w:rsidRPr="00AE5B59" w:rsidRDefault="002D3A3E" w:rsidP="00960405">
            <w:pPr>
              <w:spacing w:after="0"/>
              <w:ind w:firstLine="0"/>
              <w:jc w:val="right"/>
              <w:rPr>
                <w:rFonts w:ascii="Arial Narrow" w:hAnsi="Arial Narrow" w:cs="Arial"/>
                <w:lang w:val="es-ES" w:eastAsia="es-ES"/>
              </w:rPr>
            </w:pPr>
            <w:r>
              <w:rPr>
                <w:rFonts w:ascii="Arial Narrow" w:hAnsi="Arial Narrow" w:cs="Arial"/>
                <w:lang w:val="es-ES" w:eastAsia="es-ES"/>
              </w:rPr>
              <w:t>875</w:t>
            </w:r>
          </w:p>
        </w:tc>
        <w:tc>
          <w:tcPr>
            <w:tcW w:w="1416" w:type="dxa"/>
            <w:tcBorders>
              <w:top w:val="single" w:sz="2" w:space="0" w:color="auto"/>
              <w:bottom w:val="single" w:sz="2" w:space="0" w:color="auto"/>
            </w:tcBorders>
            <w:vAlign w:val="center"/>
          </w:tcPr>
          <w:p w:rsidR="002D3A3E" w:rsidRPr="00AE5B59" w:rsidRDefault="002D3A3E" w:rsidP="00960405">
            <w:pPr>
              <w:spacing w:after="0"/>
              <w:ind w:firstLine="0"/>
              <w:jc w:val="right"/>
              <w:rPr>
                <w:rFonts w:ascii="Arial Narrow" w:hAnsi="Arial Narrow" w:cs="Arial"/>
                <w:lang w:val="es-ES" w:eastAsia="es-ES"/>
              </w:rPr>
            </w:pPr>
            <w:r>
              <w:rPr>
                <w:rFonts w:ascii="Arial Narrow" w:hAnsi="Arial Narrow" w:cs="Arial"/>
                <w:lang w:val="es-ES" w:eastAsia="es-ES"/>
              </w:rPr>
              <w:t>732</w:t>
            </w:r>
          </w:p>
        </w:tc>
      </w:tr>
      <w:tr w:rsidR="002D3A3E" w:rsidRPr="00FD1EFF" w:rsidTr="00846EDC">
        <w:trPr>
          <w:trHeight w:val="284"/>
          <w:jc w:val="center"/>
        </w:trPr>
        <w:tc>
          <w:tcPr>
            <w:tcW w:w="6137" w:type="dxa"/>
            <w:tcBorders>
              <w:top w:val="single" w:sz="2" w:space="0" w:color="auto"/>
              <w:bottom w:val="single" w:sz="4" w:space="0" w:color="auto"/>
            </w:tcBorders>
            <w:shd w:val="clear" w:color="auto" w:fill="A8CBEE" w:themeFill="accent2" w:themeFillTint="66"/>
            <w:vAlign w:val="center"/>
          </w:tcPr>
          <w:p w:rsidR="002D3A3E" w:rsidRPr="00FD1EFF" w:rsidRDefault="002D3A3E" w:rsidP="00960405">
            <w:pPr>
              <w:pStyle w:val="cuadroCabe"/>
              <w:rPr>
                <w:lang w:val="es-ES" w:eastAsia="es-ES"/>
              </w:rPr>
            </w:pPr>
            <w:r>
              <w:rPr>
                <w:lang w:val="es-ES" w:eastAsia="es-ES"/>
              </w:rPr>
              <w:t>Total saldo</w:t>
            </w:r>
          </w:p>
        </w:tc>
        <w:tc>
          <w:tcPr>
            <w:tcW w:w="1210" w:type="dxa"/>
            <w:tcBorders>
              <w:top w:val="single" w:sz="2" w:space="0" w:color="auto"/>
              <w:bottom w:val="single" w:sz="4" w:space="0" w:color="auto"/>
            </w:tcBorders>
            <w:shd w:val="clear" w:color="auto" w:fill="A8CBEE" w:themeFill="accent2" w:themeFillTint="66"/>
            <w:noWrap/>
            <w:vAlign w:val="center"/>
          </w:tcPr>
          <w:p w:rsidR="002D3A3E" w:rsidRPr="00FD1EFF" w:rsidRDefault="002D3A3E" w:rsidP="00960405">
            <w:pPr>
              <w:pStyle w:val="cuadroCabe"/>
              <w:jc w:val="right"/>
              <w:rPr>
                <w:lang w:val="es-ES" w:eastAsia="es-ES"/>
              </w:rPr>
            </w:pPr>
            <w:r>
              <w:rPr>
                <w:lang w:val="es-ES" w:eastAsia="es-ES"/>
              </w:rPr>
              <w:t>3.656</w:t>
            </w:r>
          </w:p>
        </w:tc>
        <w:tc>
          <w:tcPr>
            <w:tcW w:w="1416" w:type="dxa"/>
            <w:tcBorders>
              <w:top w:val="single" w:sz="2" w:space="0" w:color="auto"/>
              <w:bottom w:val="single" w:sz="4" w:space="0" w:color="auto"/>
            </w:tcBorders>
            <w:shd w:val="clear" w:color="auto" w:fill="A8CBEE" w:themeFill="accent2" w:themeFillTint="66"/>
            <w:vAlign w:val="center"/>
          </w:tcPr>
          <w:p w:rsidR="002D3A3E" w:rsidRPr="00FD1EFF" w:rsidRDefault="002D3A3E" w:rsidP="00960405">
            <w:pPr>
              <w:pStyle w:val="cuadroCabe"/>
              <w:jc w:val="right"/>
              <w:rPr>
                <w:lang w:val="es-ES" w:eastAsia="es-ES"/>
              </w:rPr>
            </w:pPr>
            <w:r>
              <w:rPr>
                <w:lang w:val="es-ES" w:eastAsia="es-ES"/>
              </w:rPr>
              <w:t>6.453</w:t>
            </w:r>
          </w:p>
        </w:tc>
      </w:tr>
    </w:tbl>
    <w:p w:rsidR="004426FC" w:rsidRDefault="00F36BE8" w:rsidP="008B61F1">
      <w:pPr>
        <w:pStyle w:val="texto"/>
        <w:spacing w:before="240"/>
        <w:rPr>
          <w:lang w:val="es-ES"/>
        </w:rPr>
      </w:pPr>
      <w:r>
        <w:rPr>
          <w:lang w:val="es-ES"/>
        </w:rPr>
        <w:t xml:space="preserve">La plataforma informática FACE </w:t>
      </w:r>
      <w:r w:rsidR="004E2DEC">
        <w:rPr>
          <w:lang w:val="es-ES"/>
        </w:rPr>
        <w:t>para el R</w:t>
      </w:r>
      <w:r>
        <w:rPr>
          <w:lang w:val="es-ES"/>
        </w:rPr>
        <w:t>egistro de Facturas se implanta efectivamente a partir de mayo de 2015 con la finalidad de control y seguimiento electrónico de las facturas y para registrar las</w:t>
      </w:r>
      <w:r w:rsidR="004426FC">
        <w:rPr>
          <w:lang w:val="es-ES"/>
        </w:rPr>
        <w:t xml:space="preserve"> operaciones pendientes de aplicar al presupuesto</w:t>
      </w:r>
      <w:r w:rsidR="004E2DEC">
        <w:rPr>
          <w:lang w:val="es-ES"/>
        </w:rPr>
        <w:t xml:space="preserve"> al final del ejercicio</w:t>
      </w:r>
      <w:r w:rsidR="004426FC">
        <w:rPr>
          <w:lang w:val="es-ES"/>
        </w:rPr>
        <w:t xml:space="preserve">. </w:t>
      </w:r>
    </w:p>
    <w:p w:rsidR="002D3A3E" w:rsidRDefault="008C2DE8" w:rsidP="007B57F0">
      <w:pPr>
        <w:pStyle w:val="texto"/>
        <w:spacing w:after="120"/>
        <w:rPr>
          <w:lang w:val="es-ES"/>
        </w:rPr>
      </w:pPr>
      <w:r>
        <w:rPr>
          <w:lang w:val="es-ES"/>
        </w:rPr>
        <w:t>Se observa</w:t>
      </w:r>
      <w:r w:rsidR="002D3A3E">
        <w:rPr>
          <w:lang w:val="es-ES"/>
        </w:rPr>
        <w:t xml:space="preserve"> un mejor funcionamiento</w:t>
      </w:r>
      <w:r w:rsidR="004E2DEC">
        <w:rPr>
          <w:lang w:val="es-ES"/>
        </w:rPr>
        <w:t xml:space="preserve"> desde esa fecha</w:t>
      </w:r>
      <w:r w:rsidR="002D3A3E">
        <w:rPr>
          <w:lang w:val="es-ES"/>
        </w:rPr>
        <w:t xml:space="preserve"> del </w:t>
      </w:r>
      <w:r w:rsidR="004426FC">
        <w:rPr>
          <w:lang w:val="es-ES"/>
        </w:rPr>
        <w:t xml:space="preserve">citado </w:t>
      </w:r>
      <w:r w:rsidR="002D3A3E">
        <w:rPr>
          <w:lang w:val="es-ES"/>
        </w:rPr>
        <w:t>Regis</w:t>
      </w:r>
      <w:r w:rsidR="004426FC">
        <w:rPr>
          <w:lang w:val="es-ES"/>
        </w:rPr>
        <w:t>tro</w:t>
      </w:r>
      <w:r w:rsidR="002D3A3E">
        <w:rPr>
          <w:lang w:val="es-ES"/>
        </w:rPr>
        <w:t>, lo que ha permitido</w:t>
      </w:r>
      <w:r w:rsidR="00FF3AF0">
        <w:rPr>
          <w:lang w:val="es-ES"/>
        </w:rPr>
        <w:t xml:space="preserve">, además de controlar </w:t>
      </w:r>
      <w:r w:rsidR="00E53E1B">
        <w:rPr>
          <w:lang w:val="es-ES"/>
        </w:rPr>
        <w:t>las facturas de forma telemática,</w:t>
      </w:r>
      <w:r w:rsidR="002D3A3E">
        <w:rPr>
          <w:lang w:val="es-ES"/>
        </w:rPr>
        <w:t xml:space="preserve"> identificar un mayor volumen de </w:t>
      </w:r>
      <w:r w:rsidR="00E53E1B">
        <w:rPr>
          <w:lang w:val="es-ES"/>
        </w:rPr>
        <w:t>las</w:t>
      </w:r>
      <w:r w:rsidR="002D3A3E">
        <w:rPr>
          <w:lang w:val="es-ES"/>
        </w:rPr>
        <w:t xml:space="preserve"> pendientes de imputar al presupuesto al cierre del ejercicio.</w:t>
      </w:r>
      <w:r w:rsidR="004426FC">
        <w:rPr>
          <w:lang w:val="es-ES"/>
        </w:rPr>
        <w:t xml:space="preserve"> No obstante, aún no ha concluido el proceso de identificación y revisión de las facturas que conforman el saldo final. </w:t>
      </w:r>
    </w:p>
    <w:p w:rsidR="004426FC" w:rsidRDefault="00E53E1B" w:rsidP="00E53E1B">
      <w:pPr>
        <w:pStyle w:val="texto"/>
        <w:spacing w:after="120"/>
        <w:rPr>
          <w:lang w:val="es-ES"/>
        </w:rPr>
      </w:pPr>
      <w:r>
        <w:rPr>
          <w:lang w:val="es-ES"/>
        </w:rPr>
        <w:t>La cuenta de acreedores pendientes de aplicar al presupuesto se desglosa contable</w:t>
      </w:r>
      <w:r w:rsidR="004E2DEC">
        <w:rPr>
          <w:lang w:val="es-ES"/>
        </w:rPr>
        <w:t>mente</w:t>
      </w:r>
      <w:r>
        <w:rPr>
          <w:lang w:val="es-ES"/>
        </w:rPr>
        <w:t xml:space="preserve"> en subcuentas por capítulo económico. </w:t>
      </w:r>
      <w:r w:rsidR="004426FC">
        <w:rPr>
          <w:lang w:val="es-ES"/>
        </w:rPr>
        <w:t xml:space="preserve">El total de cargos </w:t>
      </w:r>
      <w:r>
        <w:rPr>
          <w:lang w:val="es-ES"/>
        </w:rPr>
        <w:t xml:space="preserve">en la misma asciende </w:t>
      </w:r>
      <w:r w:rsidR="004426FC">
        <w:rPr>
          <w:lang w:val="es-ES"/>
        </w:rPr>
        <w:t>prácticamente</w:t>
      </w:r>
      <w:r>
        <w:rPr>
          <w:lang w:val="es-ES"/>
        </w:rPr>
        <w:t xml:space="preserve"> a</w:t>
      </w:r>
      <w:r w:rsidR="004426FC">
        <w:rPr>
          <w:lang w:val="es-ES"/>
        </w:rPr>
        <w:t xml:space="preserve"> 8</w:t>
      </w:r>
      <w:r>
        <w:rPr>
          <w:lang w:val="es-ES"/>
        </w:rPr>
        <w:t xml:space="preserve">00 millones y, </w:t>
      </w:r>
      <w:r w:rsidR="004426FC">
        <w:rPr>
          <w:lang w:val="es-ES"/>
        </w:rPr>
        <w:t>de abonos, a 806 millones.</w:t>
      </w:r>
    </w:p>
    <w:p w:rsidR="00735AA2" w:rsidRDefault="00735AA2" w:rsidP="0041180E">
      <w:pPr>
        <w:pStyle w:val="texto"/>
        <w:rPr>
          <w:lang w:val="es-ES"/>
        </w:rPr>
      </w:pPr>
      <w:r>
        <w:rPr>
          <w:lang w:val="es-ES"/>
        </w:rPr>
        <w:t xml:space="preserve">El saldo a 31 de diciembre de 2015 por capítulos presupuestarios se centra básicamente en el capítulo 2 </w:t>
      </w:r>
      <w:r w:rsidR="008B61F1">
        <w:rPr>
          <w:lang w:val="es-ES"/>
        </w:rPr>
        <w:t>–</w:t>
      </w:r>
      <w:r>
        <w:rPr>
          <w:lang w:val="es-ES"/>
        </w:rPr>
        <w:t>4,96 millones</w:t>
      </w:r>
      <w:r w:rsidR="008B61F1">
        <w:rPr>
          <w:lang w:val="es-ES"/>
        </w:rPr>
        <w:t>–</w:t>
      </w:r>
      <w:r>
        <w:rPr>
          <w:lang w:val="es-ES"/>
        </w:rPr>
        <w:t xml:space="preserve">, en el 4 </w:t>
      </w:r>
      <w:r w:rsidR="008B61F1">
        <w:rPr>
          <w:lang w:val="es-ES"/>
        </w:rPr>
        <w:t>–</w:t>
      </w:r>
      <w:r>
        <w:rPr>
          <w:lang w:val="es-ES"/>
        </w:rPr>
        <w:t>0,69 millones</w:t>
      </w:r>
      <w:r w:rsidR="008B61F1">
        <w:rPr>
          <w:lang w:val="es-ES"/>
        </w:rPr>
        <w:t>–</w:t>
      </w:r>
      <w:r>
        <w:rPr>
          <w:lang w:val="es-ES"/>
        </w:rPr>
        <w:t xml:space="preserve"> y en el 6 </w:t>
      </w:r>
      <w:r w:rsidR="008B61F1">
        <w:rPr>
          <w:lang w:val="es-ES"/>
        </w:rPr>
        <w:t>–</w:t>
      </w:r>
      <w:r>
        <w:rPr>
          <w:lang w:val="es-ES"/>
        </w:rPr>
        <w:t>0,79 millones</w:t>
      </w:r>
      <w:r w:rsidR="008B61F1">
        <w:rPr>
          <w:lang w:val="es-ES"/>
        </w:rPr>
        <w:t>–</w:t>
      </w:r>
      <w:r>
        <w:rPr>
          <w:lang w:val="es-ES"/>
        </w:rPr>
        <w:t>.</w:t>
      </w:r>
    </w:p>
    <w:p w:rsidR="00E93170" w:rsidRDefault="002D3A3E" w:rsidP="0041180E">
      <w:pPr>
        <w:pStyle w:val="texto"/>
        <w:spacing w:after="180"/>
        <w:rPr>
          <w:lang w:val="es-ES"/>
        </w:rPr>
      </w:pPr>
      <w:r>
        <w:rPr>
          <w:lang w:val="es-ES"/>
        </w:rPr>
        <w:t xml:space="preserve">La diferencia entre los saldos </w:t>
      </w:r>
      <w:r w:rsidR="001F09F1">
        <w:rPr>
          <w:lang w:val="es-ES"/>
        </w:rPr>
        <w:t xml:space="preserve">iniciales y finales </w:t>
      </w:r>
      <w:r>
        <w:rPr>
          <w:lang w:val="es-ES"/>
        </w:rPr>
        <w:t xml:space="preserve">anteriores, 2,8 millones, </w:t>
      </w:r>
      <w:r w:rsidR="00F519E9">
        <w:rPr>
          <w:lang w:val="es-ES"/>
        </w:rPr>
        <w:t>implica</w:t>
      </w:r>
      <w:r>
        <w:rPr>
          <w:lang w:val="es-ES"/>
        </w:rPr>
        <w:t xml:space="preserve"> un ajuste negativo, en términos de contabilidad nacional, en el cálculo de las necesidades de financiación del ejercicio.</w:t>
      </w:r>
    </w:p>
    <w:p w:rsidR="00FF1B5F" w:rsidRPr="00EB315D" w:rsidRDefault="00FF1B5F" w:rsidP="00FF1B5F">
      <w:pPr>
        <w:pStyle w:val="atitulo2"/>
        <w:spacing w:before="240"/>
        <w:rPr>
          <w:color w:val="auto"/>
        </w:rPr>
      </w:pPr>
      <w:bookmarkStart w:id="55" w:name="_Toc463350258"/>
      <w:r w:rsidRPr="00EB315D">
        <w:rPr>
          <w:color w:val="auto"/>
        </w:rPr>
        <w:t>IV.1</w:t>
      </w:r>
      <w:r w:rsidR="00042056" w:rsidRPr="00EB315D">
        <w:rPr>
          <w:color w:val="auto"/>
        </w:rPr>
        <w:t>2</w:t>
      </w:r>
      <w:r w:rsidRPr="00EB315D">
        <w:rPr>
          <w:color w:val="auto"/>
        </w:rPr>
        <w:t>. Sociedades públicas</w:t>
      </w:r>
      <w:r w:rsidR="00FB702A" w:rsidRPr="00EB315D">
        <w:rPr>
          <w:color w:val="auto"/>
        </w:rPr>
        <w:t xml:space="preserve"> y grupo empresarial CPEN</w:t>
      </w:r>
      <w:bookmarkEnd w:id="55"/>
    </w:p>
    <w:p w:rsidR="00FB702A" w:rsidRDefault="00FB702A" w:rsidP="00071FC3">
      <w:pPr>
        <w:pStyle w:val="atitulo3"/>
      </w:pPr>
      <w:r>
        <w:t>Sociedades públicas</w:t>
      </w:r>
    </w:p>
    <w:p w:rsidR="00997244" w:rsidRPr="00BF5C0B" w:rsidRDefault="00184DB2" w:rsidP="00B07A4C">
      <w:pPr>
        <w:pStyle w:val="texto"/>
        <w:spacing w:after="120"/>
        <w:rPr>
          <w:rFonts w:ascii="Times New (W1)" w:hAnsi="Times New (W1)"/>
        </w:rPr>
      </w:pPr>
      <w:r>
        <w:rPr>
          <w:rFonts w:ascii="Times New (W1)" w:hAnsi="Times New (W1)"/>
        </w:rPr>
        <w:t xml:space="preserve">El número de sociedades públicas en 2015 asciende a 16, idéntica cifra que en 2014. </w:t>
      </w:r>
      <w:r w:rsidR="00864016">
        <w:rPr>
          <w:rFonts w:ascii="Times New (W1)" w:hAnsi="Times New (W1)"/>
        </w:rPr>
        <w:t>De acuerdo con las cuentas anuales de las mismas, l</w:t>
      </w:r>
      <w:r w:rsidRPr="00841721">
        <w:rPr>
          <w:rFonts w:ascii="Times New (W1)" w:hAnsi="Times New (W1)"/>
        </w:rPr>
        <w:t>os principales indicadores agregados de 201</w:t>
      </w:r>
      <w:r>
        <w:rPr>
          <w:rFonts w:ascii="Times New (W1)" w:hAnsi="Times New (W1)"/>
        </w:rPr>
        <w:t>5</w:t>
      </w:r>
      <w:r w:rsidRPr="00841721">
        <w:rPr>
          <w:rFonts w:ascii="Times New (W1)" w:hAnsi="Times New (W1)"/>
        </w:rPr>
        <w:t xml:space="preserve"> y su comparación con </w:t>
      </w:r>
      <w:r>
        <w:rPr>
          <w:rFonts w:ascii="Times New (W1)" w:hAnsi="Times New (W1)"/>
        </w:rPr>
        <w:t>el ejercicio anterior se</w:t>
      </w:r>
      <w:r w:rsidRPr="00841721">
        <w:rPr>
          <w:rFonts w:ascii="Times New (W1)" w:hAnsi="Times New (W1)"/>
        </w:rPr>
        <w:t xml:space="preserve"> r</w:t>
      </w:r>
      <w:r w:rsidR="00BF5C0B">
        <w:rPr>
          <w:rFonts w:ascii="Times New (W1)" w:hAnsi="Times New (W1)"/>
        </w:rPr>
        <w:t>eflejan en el cuadro siguiente:</w:t>
      </w:r>
    </w:p>
    <w:p w:rsidR="00884D9D" w:rsidRPr="00846EDC" w:rsidRDefault="00997244" w:rsidP="008B61F1">
      <w:pPr>
        <w:spacing w:after="40"/>
        <w:jc w:val="right"/>
        <w:rPr>
          <w:rFonts w:ascii="Arial Narrow" w:hAnsi="Arial Narrow"/>
          <w:sz w:val="18"/>
          <w:szCs w:val="18"/>
        </w:rPr>
      </w:pPr>
      <w:r w:rsidRPr="00846EDC">
        <w:rPr>
          <w:rFonts w:ascii="Arial Narrow" w:hAnsi="Arial Narrow"/>
          <w:sz w:val="18"/>
          <w:szCs w:val="18"/>
        </w:rPr>
        <w:t>(</w:t>
      </w:r>
      <w:r w:rsidR="006362BE" w:rsidRPr="00846EDC">
        <w:rPr>
          <w:rFonts w:ascii="Arial Narrow" w:hAnsi="Arial Narrow"/>
          <w:sz w:val="18"/>
          <w:szCs w:val="18"/>
        </w:rPr>
        <w:t>Miles</w:t>
      </w:r>
      <w:r w:rsidRPr="00846EDC">
        <w:rPr>
          <w:rFonts w:ascii="Arial Narrow" w:hAnsi="Arial Narrow"/>
          <w:sz w:val="18"/>
          <w:szCs w:val="18"/>
        </w:rPr>
        <w:t xml:space="preserve"> de euros, salvo los que indiquen número)</w:t>
      </w:r>
    </w:p>
    <w:tbl>
      <w:tblPr>
        <w:tblW w:w="8984" w:type="dxa"/>
        <w:jc w:val="center"/>
        <w:tblCellMar>
          <w:left w:w="70" w:type="dxa"/>
          <w:right w:w="70" w:type="dxa"/>
        </w:tblCellMar>
        <w:tblLook w:val="04A0" w:firstRow="1" w:lastRow="0" w:firstColumn="1" w:lastColumn="0" w:noHBand="0" w:noVBand="1"/>
      </w:tblPr>
      <w:tblGrid>
        <w:gridCol w:w="6584"/>
        <w:gridCol w:w="1200"/>
        <w:gridCol w:w="1200"/>
      </w:tblGrid>
      <w:tr w:rsidR="00884D9D" w:rsidRPr="00025F0D" w:rsidTr="00846EDC">
        <w:trPr>
          <w:trHeight w:val="284"/>
          <w:jc w:val="center"/>
        </w:trPr>
        <w:tc>
          <w:tcPr>
            <w:tcW w:w="6584" w:type="dxa"/>
            <w:tcBorders>
              <w:top w:val="single" w:sz="4" w:space="0" w:color="auto"/>
              <w:bottom w:val="single" w:sz="4" w:space="0" w:color="auto"/>
            </w:tcBorders>
            <w:shd w:val="clear" w:color="auto" w:fill="A8CBEE" w:themeFill="accent2" w:themeFillTint="66"/>
            <w:noWrap/>
            <w:vAlign w:val="center"/>
            <w:hideMark/>
          </w:tcPr>
          <w:p w:rsidR="00884D9D" w:rsidRPr="00025F0D" w:rsidRDefault="00884D9D" w:rsidP="0041180E">
            <w:pPr>
              <w:pStyle w:val="cuadroCabe"/>
              <w:jc w:val="left"/>
              <w:rPr>
                <w:rFonts w:cs="Arial"/>
              </w:rPr>
            </w:pPr>
            <w:r w:rsidRPr="00884D9D">
              <w:rPr>
                <w:rFonts w:cs="Arial"/>
              </w:rPr>
              <w:t>Indicador</w:t>
            </w:r>
            <w:r>
              <w:rPr>
                <w:rFonts w:cs="Arial"/>
              </w:rPr>
              <w:t>es agregados</w:t>
            </w:r>
            <w:r w:rsidR="003205FB">
              <w:rPr>
                <w:rFonts w:cs="Arial"/>
              </w:rPr>
              <w:t xml:space="preserve"> sociedades públicas</w:t>
            </w:r>
          </w:p>
        </w:tc>
        <w:tc>
          <w:tcPr>
            <w:tcW w:w="1200" w:type="dxa"/>
            <w:tcBorders>
              <w:top w:val="single" w:sz="4" w:space="0" w:color="auto"/>
              <w:bottom w:val="single" w:sz="4" w:space="0" w:color="auto"/>
            </w:tcBorders>
            <w:shd w:val="clear" w:color="auto" w:fill="A8CBEE" w:themeFill="accent2" w:themeFillTint="66"/>
            <w:vAlign w:val="center"/>
          </w:tcPr>
          <w:p w:rsidR="00884D9D" w:rsidRPr="00025F0D" w:rsidRDefault="00884D9D" w:rsidP="0041180E">
            <w:pPr>
              <w:pStyle w:val="cuadroCabe"/>
              <w:jc w:val="right"/>
              <w:rPr>
                <w:rFonts w:cs="Arial"/>
              </w:rPr>
            </w:pPr>
            <w:r w:rsidRPr="00025F0D">
              <w:rPr>
                <w:rFonts w:cs="Arial"/>
              </w:rPr>
              <w:t>2014</w:t>
            </w:r>
          </w:p>
        </w:tc>
        <w:tc>
          <w:tcPr>
            <w:tcW w:w="1200" w:type="dxa"/>
            <w:tcBorders>
              <w:top w:val="single" w:sz="4" w:space="0" w:color="auto"/>
              <w:bottom w:val="single" w:sz="4" w:space="0" w:color="auto"/>
            </w:tcBorders>
            <w:shd w:val="clear" w:color="auto" w:fill="A8CBEE" w:themeFill="accent2" w:themeFillTint="66"/>
            <w:noWrap/>
            <w:vAlign w:val="center"/>
            <w:hideMark/>
          </w:tcPr>
          <w:p w:rsidR="00884D9D" w:rsidRPr="00025F0D" w:rsidRDefault="00884D9D" w:rsidP="0041180E">
            <w:pPr>
              <w:pStyle w:val="cuadroCabe"/>
              <w:jc w:val="right"/>
              <w:rPr>
                <w:rFonts w:cs="Arial"/>
              </w:rPr>
            </w:pPr>
            <w:r w:rsidRPr="00025F0D">
              <w:rPr>
                <w:rFonts w:cs="Arial"/>
              </w:rPr>
              <w:t>2015</w:t>
            </w:r>
          </w:p>
        </w:tc>
      </w:tr>
      <w:tr w:rsidR="00884D9D" w:rsidRPr="00025F0D" w:rsidTr="00846EDC">
        <w:trPr>
          <w:trHeight w:val="284"/>
          <w:jc w:val="center"/>
        </w:trPr>
        <w:tc>
          <w:tcPr>
            <w:tcW w:w="6584" w:type="dxa"/>
            <w:tcBorders>
              <w:top w:val="single" w:sz="4" w:space="0" w:color="auto"/>
              <w:bottom w:val="single" w:sz="2" w:space="0" w:color="auto"/>
            </w:tcBorders>
            <w:shd w:val="clear" w:color="auto" w:fill="auto"/>
            <w:noWrap/>
            <w:vAlign w:val="center"/>
            <w:hideMark/>
          </w:tcPr>
          <w:p w:rsidR="00884D9D" w:rsidRPr="00025F0D" w:rsidRDefault="00884D9D" w:rsidP="0041180E">
            <w:pPr>
              <w:spacing w:after="0"/>
              <w:ind w:firstLine="0"/>
              <w:jc w:val="left"/>
              <w:rPr>
                <w:rFonts w:ascii="Arial Narrow" w:hAnsi="Arial Narrow" w:cs="Arial"/>
                <w:lang w:eastAsia="es-ES"/>
              </w:rPr>
            </w:pPr>
            <w:r w:rsidRPr="00025F0D">
              <w:rPr>
                <w:rFonts w:ascii="Arial Narrow" w:hAnsi="Arial Narrow" w:cs="Arial"/>
                <w:lang w:eastAsia="es-ES"/>
              </w:rPr>
              <w:t>Patrimonio Neto</w:t>
            </w:r>
          </w:p>
        </w:tc>
        <w:tc>
          <w:tcPr>
            <w:tcW w:w="1200" w:type="dxa"/>
            <w:tcBorders>
              <w:top w:val="single" w:sz="4" w:space="0" w:color="auto"/>
              <w:bottom w:val="single" w:sz="2" w:space="0" w:color="auto"/>
            </w:tcBorders>
            <w:vAlign w:val="center"/>
          </w:tcPr>
          <w:p w:rsidR="00884D9D" w:rsidRPr="00025F0D" w:rsidRDefault="00884D9D" w:rsidP="0041180E">
            <w:pPr>
              <w:spacing w:after="0"/>
              <w:ind w:firstLine="0"/>
              <w:jc w:val="right"/>
              <w:rPr>
                <w:rFonts w:ascii="Arial Narrow" w:hAnsi="Arial Narrow" w:cs="Arial"/>
                <w:lang w:val="es-ES" w:eastAsia="es-ES"/>
              </w:rPr>
            </w:pPr>
            <w:r w:rsidRPr="00025F0D">
              <w:rPr>
                <w:rFonts w:ascii="Arial Narrow" w:hAnsi="Arial Narrow" w:cs="Arial"/>
                <w:lang w:val="es-ES" w:eastAsia="es-ES"/>
              </w:rPr>
              <w:t xml:space="preserve">883.654 </w:t>
            </w:r>
          </w:p>
        </w:tc>
        <w:tc>
          <w:tcPr>
            <w:tcW w:w="1200" w:type="dxa"/>
            <w:tcBorders>
              <w:top w:val="single" w:sz="4" w:space="0" w:color="auto"/>
              <w:bottom w:val="single" w:sz="2" w:space="0" w:color="auto"/>
            </w:tcBorders>
            <w:shd w:val="clear" w:color="auto" w:fill="auto"/>
            <w:noWrap/>
            <w:vAlign w:val="center"/>
            <w:hideMark/>
          </w:tcPr>
          <w:p w:rsidR="00884D9D" w:rsidRPr="00025F0D" w:rsidRDefault="00884D9D" w:rsidP="0041180E">
            <w:pPr>
              <w:spacing w:after="0"/>
              <w:ind w:firstLine="0"/>
              <w:jc w:val="right"/>
              <w:rPr>
                <w:rFonts w:ascii="Arial Narrow" w:hAnsi="Arial Narrow" w:cs="Arial"/>
                <w:lang w:val="es-ES" w:eastAsia="es-ES"/>
              </w:rPr>
            </w:pPr>
            <w:r w:rsidRPr="00025F0D">
              <w:rPr>
                <w:rFonts w:ascii="Arial Narrow" w:hAnsi="Arial Narrow" w:cs="Arial"/>
                <w:lang w:val="es-ES" w:eastAsia="es-ES"/>
              </w:rPr>
              <w:t xml:space="preserve">853.321 </w:t>
            </w:r>
          </w:p>
        </w:tc>
      </w:tr>
      <w:tr w:rsidR="00F71F2B" w:rsidRPr="00025F0D" w:rsidTr="00846EDC">
        <w:trPr>
          <w:trHeight w:val="284"/>
          <w:jc w:val="center"/>
        </w:trPr>
        <w:tc>
          <w:tcPr>
            <w:tcW w:w="6584" w:type="dxa"/>
            <w:tcBorders>
              <w:top w:val="single" w:sz="2" w:space="0" w:color="auto"/>
              <w:bottom w:val="single" w:sz="2" w:space="0" w:color="auto"/>
            </w:tcBorders>
            <w:shd w:val="clear" w:color="auto" w:fill="auto"/>
            <w:noWrap/>
            <w:vAlign w:val="center"/>
            <w:hideMark/>
          </w:tcPr>
          <w:p w:rsidR="00F71F2B" w:rsidRPr="00DD1E04" w:rsidRDefault="00F71F2B" w:rsidP="0041180E">
            <w:pPr>
              <w:spacing w:after="0"/>
              <w:ind w:firstLine="0"/>
              <w:jc w:val="left"/>
              <w:rPr>
                <w:rFonts w:ascii="Arial Narrow" w:hAnsi="Arial Narrow" w:cs="Arial"/>
                <w:lang w:eastAsia="es-ES"/>
              </w:rPr>
            </w:pPr>
            <w:r w:rsidRPr="00DD1E04">
              <w:rPr>
                <w:rFonts w:ascii="Arial Narrow" w:hAnsi="Arial Narrow" w:cs="Arial"/>
                <w:lang w:eastAsia="es-ES"/>
              </w:rPr>
              <w:t xml:space="preserve">Deuda a Largo Plazo </w:t>
            </w:r>
          </w:p>
        </w:tc>
        <w:tc>
          <w:tcPr>
            <w:tcW w:w="1200" w:type="dxa"/>
            <w:tcBorders>
              <w:top w:val="single" w:sz="2" w:space="0" w:color="auto"/>
              <w:bottom w:val="single" w:sz="2" w:space="0" w:color="auto"/>
            </w:tcBorders>
            <w:vAlign w:val="center"/>
          </w:tcPr>
          <w:p w:rsidR="00F71F2B" w:rsidRPr="002742C2" w:rsidRDefault="00F71F2B" w:rsidP="0041180E">
            <w:pPr>
              <w:spacing w:after="0"/>
              <w:ind w:firstLine="0"/>
              <w:jc w:val="right"/>
              <w:rPr>
                <w:rFonts w:ascii="Arial Narrow" w:hAnsi="Arial Narrow" w:cs="Arial"/>
                <w:lang w:val="es-ES" w:eastAsia="es-ES"/>
              </w:rPr>
            </w:pPr>
            <w:r w:rsidRPr="002742C2">
              <w:rPr>
                <w:rFonts w:ascii="Arial Narrow" w:hAnsi="Arial Narrow" w:cs="Arial"/>
                <w:lang w:val="es-ES" w:eastAsia="es-ES"/>
              </w:rPr>
              <w:t>252.002</w:t>
            </w:r>
          </w:p>
        </w:tc>
        <w:tc>
          <w:tcPr>
            <w:tcW w:w="1200" w:type="dxa"/>
            <w:tcBorders>
              <w:top w:val="single" w:sz="2" w:space="0" w:color="auto"/>
              <w:bottom w:val="single" w:sz="2" w:space="0" w:color="auto"/>
            </w:tcBorders>
            <w:shd w:val="clear" w:color="auto" w:fill="auto"/>
            <w:noWrap/>
            <w:vAlign w:val="center"/>
          </w:tcPr>
          <w:p w:rsidR="00F71F2B" w:rsidRPr="002742C2" w:rsidRDefault="00F71F2B" w:rsidP="0041180E">
            <w:pPr>
              <w:spacing w:after="0"/>
              <w:ind w:firstLine="0"/>
              <w:jc w:val="right"/>
              <w:rPr>
                <w:rFonts w:ascii="Arial Narrow" w:hAnsi="Arial Narrow" w:cs="Arial"/>
                <w:lang w:val="es-ES" w:eastAsia="es-ES"/>
              </w:rPr>
            </w:pPr>
            <w:r w:rsidRPr="002742C2">
              <w:rPr>
                <w:rFonts w:ascii="Arial Narrow" w:hAnsi="Arial Narrow" w:cs="Arial"/>
                <w:lang w:val="es-ES" w:eastAsia="es-ES"/>
              </w:rPr>
              <w:t>225.135</w:t>
            </w:r>
          </w:p>
        </w:tc>
      </w:tr>
      <w:tr w:rsidR="00F71F2B" w:rsidRPr="00025F0D" w:rsidTr="00846EDC">
        <w:trPr>
          <w:trHeight w:val="284"/>
          <w:jc w:val="center"/>
        </w:trPr>
        <w:tc>
          <w:tcPr>
            <w:tcW w:w="6584" w:type="dxa"/>
            <w:tcBorders>
              <w:top w:val="single" w:sz="2" w:space="0" w:color="auto"/>
              <w:bottom w:val="single" w:sz="2" w:space="0" w:color="auto"/>
            </w:tcBorders>
            <w:shd w:val="clear" w:color="auto" w:fill="auto"/>
            <w:noWrap/>
            <w:vAlign w:val="center"/>
            <w:hideMark/>
          </w:tcPr>
          <w:p w:rsidR="00F71F2B" w:rsidRPr="00DD1E04" w:rsidRDefault="00F71F2B" w:rsidP="0041180E">
            <w:pPr>
              <w:spacing w:after="0"/>
              <w:ind w:firstLine="0"/>
              <w:jc w:val="left"/>
              <w:rPr>
                <w:rFonts w:ascii="Arial Narrow" w:hAnsi="Arial Narrow" w:cs="Arial"/>
                <w:lang w:eastAsia="es-ES"/>
              </w:rPr>
            </w:pPr>
            <w:r w:rsidRPr="00DD1E04">
              <w:rPr>
                <w:rFonts w:ascii="Arial Narrow" w:hAnsi="Arial Narrow" w:cs="Arial"/>
                <w:lang w:eastAsia="es-ES"/>
              </w:rPr>
              <w:t xml:space="preserve">Deudas a Corto Plazo </w:t>
            </w:r>
          </w:p>
        </w:tc>
        <w:tc>
          <w:tcPr>
            <w:tcW w:w="1200" w:type="dxa"/>
            <w:tcBorders>
              <w:top w:val="single" w:sz="2" w:space="0" w:color="auto"/>
              <w:bottom w:val="single" w:sz="2" w:space="0" w:color="auto"/>
            </w:tcBorders>
            <w:vAlign w:val="center"/>
          </w:tcPr>
          <w:p w:rsidR="00F71F2B" w:rsidRPr="002742C2" w:rsidRDefault="00F71F2B" w:rsidP="0041180E">
            <w:pPr>
              <w:spacing w:after="0"/>
              <w:ind w:firstLine="0"/>
              <w:jc w:val="right"/>
              <w:rPr>
                <w:rFonts w:ascii="Arial Narrow" w:hAnsi="Arial Narrow" w:cs="Arial"/>
                <w:lang w:val="es-ES" w:eastAsia="es-ES"/>
              </w:rPr>
            </w:pPr>
            <w:r w:rsidRPr="002742C2">
              <w:rPr>
                <w:rFonts w:ascii="Arial Narrow" w:hAnsi="Arial Narrow" w:cs="Arial"/>
                <w:lang w:val="es-ES" w:eastAsia="es-ES"/>
              </w:rPr>
              <w:t>40.</w:t>
            </w:r>
            <w:r w:rsidR="005418C4" w:rsidRPr="002742C2">
              <w:rPr>
                <w:rFonts w:ascii="Arial Narrow" w:hAnsi="Arial Narrow" w:cs="Arial"/>
                <w:lang w:val="es-ES" w:eastAsia="es-ES"/>
              </w:rPr>
              <w:t>899</w:t>
            </w:r>
          </w:p>
        </w:tc>
        <w:tc>
          <w:tcPr>
            <w:tcW w:w="1200" w:type="dxa"/>
            <w:tcBorders>
              <w:top w:val="single" w:sz="2" w:space="0" w:color="auto"/>
              <w:bottom w:val="single" w:sz="2" w:space="0" w:color="auto"/>
            </w:tcBorders>
            <w:shd w:val="clear" w:color="auto" w:fill="auto"/>
            <w:noWrap/>
            <w:vAlign w:val="center"/>
          </w:tcPr>
          <w:p w:rsidR="00F71F2B" w:rsidRPr="002742C2" w:rsidRDefault="00F71F2B" w:rsidP="0041180E">
            <w:pPr>
              <w:spacing w:after="0"/>
              <w:ind w:firstLine="0"/>
              <w:jc w:val="right"/>
              <w:rPr>
                <w:rFonts w:ascii="Arial Narrow" w:hAnsi="Arial Narrow" w:cs="Arial"/>
                <w:lang w:val="es-ES" w:eastAsia="es-ES"/>
              </w:rPr>
            </w:pPr>
            <w:r w:rsidRPr="002742C2">
              <w:rPr>
                <w:rFonts w:ascii="Arial Narrow" w:hAnsi="Arial Narrow" w:cs="Arial"/>
                <w:lang w:val="es-ES" w:eastAsia="es-ES"/>
              </w:rPr>
              <w:t>34.1</w:t>
            </w:r>
            <w:r w:rsidR="007F59B4" w:rsidRPr="002742C2">
              <w:rPr>
                <w:rFonts w:ascii="Arial Narrow" w:hAnsi="Arial Narrow" w:cs="Arial"/>
                <w:lang w:val="es-ES" w:eastAsia="es-ES"/>
              </w:rPr>
              <w:t>72</w:t>
            </w:r>
          </w:p>
        </w:tc>
      </w:tr>
      <w:tr w:rsidR="00F71F2B" w:rsidRPr="00025F0D" w:rsidTr="00846EDC">
        <w:trPr>
          <w:trHeight w:val="284"/>
          <w:jc w:val="center"/>
        </w:trPr>
        <w:tc>
          <w:tcPr>
            <w:tcW w:w="6584" w:type="dxa"/>
            <w:tcBorders>
              <w:top w:val="single" w:sz="2" w:space="0" w:color="auto"/>
              <w:bottom w:val="single" w:sz="2" w:space="0" w:color="auto"/>
            </w:tcBorders>
            <w:shd w:val="clear" w:color="auto" w:fill="auto"/>
            <w:noWrap/>
            <w:vAlign w:val="center"/>
            <w:hideMark/>
          </w:tcPr>
          <w:p w:rsidR="00F71F2B" w:rsidRPr="00025F0D" w:rsidRDefault="00F71F2B" w:rsidP="0041180E">
            <w:pPr>
              <w:spacing w:after="0"/>
              <w:ind w:firstLine="0"/>
              <w:jc w:val="left"/>
              <w:rPr>
                <w:rFonts w:ascii="Arial Narrow" w:hAnsi="Arial Narrow" w:cs="Arial"/>
                <w:lang w:eastAsia="es-ES"/>
              </w:rPr>
            </w:pPr>
            <w:r w:rsidRPr="00025F0D">
              <w:rPr>
                <w:rFonts w:ascii="Arial Narrow" w:hAnsi="Arial Narrow" w:cs="Arial"/>
                <w:lang w:eastAsia="es-ES"/>
              </w:rPr>
              <w:t>Importe neto cifra de negocios</w:t>
            </w:r>
          </w:p>
        </w:tc>
        <w:tc>
          <w:tcPr>
            <w:tcW w:w="1200" w:type="dxa"/>
            <w:tcBorders>
              <w:top w:val="single" w:sz="2" w:space="0" w:color="auto"/>
              <w:bottom w:val="single" w:sz="2" w:space="0" w:color="auto"/>
            </w:tcBorders>
            <w:vAlign w:val="center"/>
          </w:tcPr>
          <w:p w:rsidR="00F71F2B" w:rsidRPr="002742C2" w:rsidRDefault="00F71F2B" w:rsidP="0041180E">
            <w:pPr>
              <w:spacing w:after="0"/>
              <w:ind w:firstLine="0"/>
              <w:jc w:val="right"/>
              <w:rPr>
                <w:rFonts w:ascii="Arial Narrow" w:hAnsi="Arial Narrow" w:cs="Arial"/>
                <w:lang w:val="es-ES" w:eastAsia="es-ES"/>
              </w:rPr>
            </w:pPr>
            <w:r w:rsidRPr="002742C2">
              <w:rPr>
                <w:rFonts w:ascii="Arial Narrow" w:hAnsi="Arial Narrow" w:cs="Arial"/>
                <w:lang w:val="es-ES" w:eastAsia="es-ES"/>
              </w:rPr>
              <w:t xml:space="preserve">137.379 </w:t>
            </w:r>
          </w:p>
        </w:tc>
        <w:tc>
          <w:tcPr>
            <w:tcW w:w="1200" w:type="dxa"/>
            <w:tcBorders>
              <w:top w:val="single" w:sz="2" w:space="0" w:color="auto"/>
              <w:bottom w:val="single" w:sz="2" w:space="0" w:color="auto"/>
            </w:tcBorders>
            <w:shd w:val="clear" w:color="auto" w:fill="auto"/>
            <w:noWrap/>
            <w:vAlign w:val="center"/>
            <w:hideMark/>
          </w:tcPr>
          <w:p w:rsidR="00F71F2B" w:rsidRPr="002742C2" w:rsidRDefault="00F71F2B" w:rsidP="0041180E">
            <w:pPr>
              <w:spacing w:after="0"/>
              <w:ind w:firstLine="0"/>
              <w:jc w:val="right"/>
              <w:rPr>
                <w:rFonts w:ascii="Arial Narrow" w:hAnsi="Arial Narrow" w:cs="Arial"/>
                <w:lang w:val="es-ES" w:eastAsia="es-ES"/>
              </w:rPr>
            </w:pPr>
            <w:r w:rsidRPr="002742C2">
              <w:rPr>
                <w:rFonts w:ascii="Arial Narrow" w:hAnsi="Arial Narrow" w:cs="Arial"/>
                <w:lang w:val="es-ES" w:eastAsia="es-ES"/>
              </w:rPr>
              <w:t xml:space="preserve">133.673 </w:t>
            </w:r>
          </w:p>
        </w:tc>
      </w:tr>
      <w:tr w:rsidR="00F71F2B" w:rsidRPr="00025F0D" w:rsidTr="00846EDC">
        <w:trPr>
          <w:trHeight w:val="284"/>
          <w:jc w:val="center"/>
        </w:trPr>
        <w:tc>
          <w:tcPr>
            <w:tcW w:w="6584" w:type="dxa"/>
            <w:tcBorders>
              <w:top w:val="single" w:sz="2" w:space="0" w:color="auto"/>
              <w:bottom w:val="single" w:sz="2" w:space="0" w:color="auto"/>
            </w:tcBorders>
            <w:shd w:val="clear" w:color="auto" w:fill="auto"/>
            <w:noWrap/>
            <w:vAlign w:val="center"/>
            <w:hideMark/>
          </w:tcPr>
          <w:p w:rsidR="00F71F2B" w:rsidRPr="00DD1E04" w:rsidRDefault="00F71F2B" w:rsidP="0041180E">
            <w:pPr>
              <w:spacing w:after="0"/>
              <w:ind w:firstLine="0"/>
              <w:jc w:val="left"/>
              <w:rPr>
                <w:rFonts w:ascii="Arial Narrow" w:hAnsi="Arial Narrow" w:cs="Arial"/>
                <w:lang w:eastAsia="es-ES"/>
              </w:rPr>
            </w:pPr>
            <w:r w:rsidRPr="00DD1E04">
              <w:rPr>
                <w:rFonts w:ascii="Arial Narrow" w:hAnsi="Arial Narrow" w:cs="Arial"/>
                <w:lang w:eastAsia="es-ES"/>
              </w:rPr>
              <w:t xml:space="preserve">Subvenciones de explotación recibidas </w:t>
            </w:r>
            <w:r w:rsidR="009700A5">
              <w:rPr>
                <w:rFonts w:ascii="Arial Narrow" w:hAnsi="Arial Narrow" w:cs="Arial"/>
                <w:lang w:eastAsia="es-ES"/>
              </w:rPr>
              <w:t>del Gobierno de Navarra</w:t>
            </w:r>
            <w:r w:rsidRPr="00DD1E04">
              <w:rPr>
                <w:rFonts w:ascii="Arial Narrow" w:hAnsi="Arial Narrow" w:cs="Arial"/>
                <w:lang w:eastAsia="es-ES"/>
              </w:rPr>
              <w:t xml:space="preserve"> </w:t>
            </w:r>
          </w:p>
        </w:tc>
        <w:tc>
          <w:tcPr>
            <w:tcW w:w="1200" w:type="dxa"/>
            <w:tcBorders>
              <w:top w:val="single" w:sz="2" w:space="0" w:color="auto"/>
              <w:bottom w:val="single" w:sz="2" w:space="0" w:color="auto"/>
            </w:tcBorders>
            <w:vAlign w:val="center"/>
          </w:tcPr>
          <w:p w:rsidR="00F71F2B" w:rsidRPr="002742C2" w:rsidRDefault="00DD1E04" w:rsidP="0041180E">
            <w:pPr>
              <w:spacing w:after="0"/>
              <w:ind w:firstLine="0"/>
              <w:jc w:val="right"/>
              <w:rPr>
                <w:rFonts w:ascii="Arial Narrow" w:hAnsi="Arial Narrow" w:cs="Arial"/>
                <w:lang w:val="es-ES" w:eastAsia="es-ES"/>
              </w:rPr>
            </w:pPr>
            <w:r w:rsidRPr="002742C2">
              <w:rPr>
                <w:rFonts w:ascii="Arial Narrow" w:hAnsi="Arial Narrow" w:cs="Arial"/>
                <w:lang w:val="es-ES" w:eastAsia="es-ES"/>
              </w:rPr>
              <w:t>6.681</w:t>
            </w:r>
          </w:p>
        </w:tc>
        <w:tc>
          <w:tcPr>
            <w:tcW w:w="1200" w:type="dxa"/>
            <w:tcBorders>
              <w:top w:val="single" w:sz="2" w:space="0" w:color="auto"/>
              <w:bottom w:val="single" w:sz="2" w:space="0" w:color="auto"/>
            </w:tcBorders>
            <w:shd w:val="clear" w:color="auto" w:fill="auto"/>
            <w:noWrap/>
            <w:vAlign w:val="center"/>
          </w:tcPr>
          <w:p w:rsidR="00F71F2B" w:rsidRPr="002742C2" w:rsidRDefault="00DD1E04" w:rsidP="0041180E">
            <w:pPr>
              <w:spacing w:after="0"/>
              <w:ind w:firstLine="0"/>
              <w:jc w:val="right"/>
              <w:rPr>
                <w:rFonts w:ascii="Arial Narrow" w:hAnsi="Arial Narrow" w:cs="Arial"/>
                <w:lang w:val="es-ES" w:eastAsia="es-ES"/>
              </w:rPr>
            </w:pPr>
            <w:r w:rsidRPr="002742C2">
              <w:rPr>
                <w:rFonts w:ascii="Arial Narrow" w:hAnsi="Arial Narrow" w:cs="Arial"/>
                <w:lang w:val="es-ES" w:eastAsia="es-ES"/>
              </w:rPr>
              <w:t>7.367</w:t>
            </w:r>
          </w:p>
        </w:tc>
      </w:tr>
      <w:tr w:rsidR="00F71F2B" w:rsidRPr="00025F0D" w:rsidTr="00846EDC">
        <w:trPr>
          <w:trHeight w:val="284"/>
          <w:jc w:val="center"/>
        </w:trPr>
        <w:tc>
          <w:tcPr>
            <w:tcW w:w="6584" w:type="dxa"/>
            <w:tcBorders>
              <w:top w:val="single" w:sz="2" w:space="0" w:color="auto"/>
              <w:bottom w:val="single" w:sz="2" w:space="0" w:color="auto"/>
            </w:tcBorders>
            <w:shd w:val="clear" w:color="auto" w:fill="auto"/>
            <w:noWrap/>
            <w:vAlign w:val="center"/>
            <w:hideMark/>
          </w:tcPr>
          <w:p w:rsidR="00F71F2B" w:rsidRPr="00025F0D" w:rsidRDefault="00F71F2B" w:rsidP="0041180E">
            <w:pPr>
              <w:spacing w:after="0"/>
              <w:ind w:firstLine="0"/>
              <w:jc w:val="left"/>
              <w:rPr>
                <w:rFonts w:ascii="Arial Narrow" w:hAnsi="Arial Narrow" w:cs="Arial"/>
                <w:lang w:eastAsia="es-ES"/>
              </w:rPr>
            </w:pPr>
            <w:r w:rsidRPr="00025F0D">
              <w:rPr>
                <w:rFonts w:ascii="Arial Narrow" w:hAnsi="Arial Narrow" w:cs="Arial"/>
                <w:lang w:eastAsia="es-ES"/>
              </w:rPr>
              <w:t>Gastos de personal</w:t>
            </w:r>
          </w:p>
        </w:tc>
        <w:tc>
          <w:tcPr>
            <w:tcW w:w="1200" w:type="dxa"/>
            <w:tcBorders>
              <w:top w:val="single" w:sz="2" w:space="0" w:color="auto"/>
              <w:bottom w:val="single" w:sz="2" w:space="0" w:color="auto"/>
            </w:tcBorders>
            <w:vAlign w:val="center"/>
          </w:tcPr>
          <w:p w:rsidR="00F71F2B" w:rsidRPr="00025F0D" w:rsidRDefault="00F71F2B" w:rsidP="0041180E">
            <w:pPr>
              <w:spacing w:after="0"/>
              <w:ind w:firstLine="0"/>
              <w:jc w:val="right"/>
              <w:rPr>
                <w:rFonts w:ascii="Arial Narrow" w:hAnsi="Arial Narrow" w:cs="Arial"/>
                <w:lang w:val="es-ES" w:eastAsia="es-ES"/>
              </w:rPr>
            </w:pPr>
            <w:r w:rsidRPr="00025F0D">
              <w:rPr>
                <w:rFonts w:ascii="Arial Narrow" w:hAnsi="Arial Narrow" w:cs="Arial"/>
                <w:lang w:val="es-ES" w:eastAsia="es-ES"/>
              </w:rPr>
              <w:t xml:space="preserve">44.941 </w:t>
            </w:r>
          </w:p>
        </w:tc>
        <w:tc>
          <w:tcPr>
            <w:tcW w:w="1200" w:type="dxa"/>
            <w:tcBorders>
              <w:top w:val="single" w:sz="2" w:space="0" w:color="auto"/>
              <w:bottom w:val="single" w:sz="2" w:space="0" w:color="auto"/>
            </w:tcBorders>
            <w:shd w:val="clear" w:color="auto" w:fill="auto"/>
            <w:noWrap/>
            <w:vAlign w:val="center"/>
            <w:hideMark/>
          </w:tcPr>
          <w:p w:rsidR="00F71F2B" w:rsidRPr="00025F0D" w:rsidRDefault="00F71F2B" w:rsidP="0041180E">
            <w:pPr>
              <w:spacing w:after="0"/>
              <w:ind w:firstLine="0"/>
              <w:jc w:val="right"/>
              <w:rPr>
                <w:rFonts w:ascii="Arial Narrow" w:hAnsi="Arial Narrow" w:cs="Arial"/>
                <w:lang w:val="es-ES" w:eastAsia="es-ES"/>
              </w:rPr>
            </w:pPr>
            <w:r w:rsidRPr="00025F0D">
              <w:rPr>
                <w:rFonts w:ascii="Arial Narrow" w:hAnsi="Arial Narrow" w:cs="Arial"/>
                <w:lang w:val="es-ES" w:eastAsia="es-ES"/>
              </w:rPr>
              <w:t xml:space="preserve">48.454 </w:t>
            </w:r>
          </w:p>
        </w:tc>
      </w:tr>
      <w:tr w:rsidR="00F71F2B" w:rsidRPr="00025F0D" w:rsidTr="00864016">
        <w:trPr>
          <w:trHeight w:val="284"/>
          <w:jc w:val="center"/>
        </w:trPr>
        <w:tc>
          <w:tcPr>
            <w:tcW w:w="6584" w:type="dxa"/>
            <w:tcBorders>
              <w:top w:val="single" w:sz="2" w:space="0" w:color="auto"/>
              <w:bottom w:val="single" w:sz="2" w:space="0" w:color="auto"/>
            </w:tcBorders>
            <w:shd w:val="clear" w:color="auto" w:fill="auto"/>
            <w:noWrap/>
            <w:vAlign w:val="center"/>
            <w:hideMark/>
          </w:tcPr>
          <w:p w:rsidR="00F71F2B" w:rsidRPr="00025F0D" w:rsidRDefault="00F71F2B" w:rsidP="0041180E">
            <w:pPr>
              <w:spacing w:after="0"/>
              <w:ind w:firstLine="0"/>
              <w:jc w:val="left"/>
              <w:rPr>
                <w:rFonts w:ascii="Arial Narrow" w:hAnsi="Arial Narrow" w:cs="Arial"/>
                <w:lang w:eastAsia="es-ES"/>
              </w:rPr>
            </w:pPr>
            <w:r w:rsidRPr="00025F0D">
              <w:rPr>
                <w:rFonts w:ascii="Arial Narrow" w:hAnsi="Arial Narrow" w:cs="Arial"/>
                <w:lang w:eastAsia="es-ES"/>
              </w:rPr>
              <w:t>Imposiciones c</w:t>
            </w:r>
            <w:r w:rsidR="00E74A5D">
              <w:rPr>
                <w:rFonts w:ascii="Arial Narrow" w:hAnsi="Arial Narrow" w:cs="Arial"/>
                <w:lang w:eastAsia="es-ES"/>
              </w:rPr>
              <w:t>orto plazo</w:t>
            </w:r>
            <w:r w:rsidRPr="00025F0D">
              <w:rPr>
                <w:rFonts w:ascii="Arial Narrow" w:hAnsi="Arial Narrow" w:cs="Arial"/>
                <w:lang w:eastAsia="es-ES"/>
              </w:rPr>
              <w:t xml:space="preserve"> y fondos de renta fija</w:t>
            </w:r>
          </w:p>
        </w:tc>
        <w:tc>
          <w:tcPr>
            <w:tcW w:w="1200" w:type="dxa"/>
            <w:tcBorders>
              <w:top w:val="single" w:sz="2" w:space="0" w:color="auto"/>
              <w:bottom w:val="single" w:sz="2" w:space="0" w:color="auto"/>
            </w:tcBorders>
            <w:vAlign w:val="center"/>
          </w:tcPr>
          <w:p w:rsidR="00F71F2B" w:rsidRPr="002742C2" w:rsidRDefault="00864016" w:rsidP="0041180E">
            <w:pPr>
              <w:spacing w:after="0"/>
              <w:ind w:firstLine="0"/>
              <w:jc w:val="right"/>
              <w:rPr>
                <w:rFonts w:ascii="Arial Narrow" w:hAnsi="Arial Narrow" w:cs="Arial"/>
                <w:lang w:val="es-ES" w:eastAsia="es-ES"/>
              </w:rPr>
            </w:pPr>
            <w:r w:rsidRPr="002742C2">
              <w:rPr>
                <w:rFonts w:ascii="Arial Narrow" w:hAnsi="Arial Narrow" w:cs="Arial"/>
                <w:lang w:val="es-ES" w:eastAsia="es-ES"/>
              </w:rPr>
              <w:t>92.839</w:t>
            </w:r>
          </w:p>
        </w:tc>
        <w:tc>
          <w:tcPr>
            <w:tcW w:w="1200" w:type="dxa"/>
            <w:tcBorders>
              <w:top w:val="single" w:sz="2" w:space="0" w:color="auto"/>
              <w:bottom w:val="single" w:sz="2" w:space="0" w:color="auto"/>
            </w:tcBorders>
            <w:shd w:val="clear" w:color="auto" w:fill="auto"/>
            <w:noWrap/>
            <w:vAlign w:val="center"/>
          </w:tcPr>
          <w:p w:rsidR="00F71F2B" w:rsidRPr="002742C2" w:rsidRDefault="00864016" w:rsidP="0041180E">
            <w:pPr>
              <w:spacing w:after="0"/>
              <w:ind w:firstLine="0"/>
              <w:jc w:val="right"/>
              <w:rPr>
                <w:rFonts w:ascii="Arial Narrow" w:hAnsi="Arial Narrow" w:cs="Arial"/>
                <w:lang w:val="es-ES" w:eastAsia="es-ES"/>
              </w:rPr>
            </w:pPr>
            <w:r w:rsidRPr="002742C2">
              <w:rPr>
                <w:rFonts w:ascii="Arial Narrow" w:hAnsi="Arial Narrow" w:cs="Arial"/>
                <w:lang w:val="es-ES" w:eastAsia="es-ES"/>
              </w:rPr>
              <w:t>100.832</w:t>
            </w:r>
          </w:p>
        </w:tc>
      </w:tr>
      <w:tr w:rsidR="00F71F2B" w:rsidRPr="00025F0D" w:rsidTr="00846EDC">
        <w:trPr>
          <w:trHeight w:val="284"/>
          <w:jc w:val="center"/>
        </w:trPr>
        <w:tc>
          <w:tcPr>
            <w:tcW w:w="6584" w:type="dxa"/>
            <w:tcBorders>
              <w:top w:val="single" w:sz="2" w:space="0" w:color="auto"/>
              <w:bottom w:val="single" w:sz="2" w:space="0" w:color="auto"/>
            </w:tcBorders>
            <w:shd w:val="clear" w:color="auto" w:fill="auto"/>
            <w:noWrap/>
            <w:vAlign w:val="center"/>
            <w:hideMark/>
          </w:tcPr>
          <w:p w:rsidR="00F71F2B" w:rsidRPr="00025F0D" w:rsidRDefault="00F71F2B" w:rsidP="0041180E">
            <w:pPr>
              <w:spacing w:after="0"/>
              <w:ind w:firstLine="0"/>
              <w:jc w:val="left"/>
              <w:rPr>
                <w:rFonts w:ascii="Arial Narrow" w:hAnsi="Arial Narrow" w:cs="Arial"/>
                <w:lang w:eastAsia="es-ES"/>
              </w:rPr>
            </w:pPr>
            <w:r w:rsidRPr="00025F0D">
              <w:rPr>
                <w:rFonts w:ascii="Arial Narrow" w:hAnsi="Arial Narrow" w:cs="Arial"/>
                <w:lang w:eastAsia="es-ES"/>
              </w:rPr>
              <w:t>Efectivo y otros activos líquidos</w:t>
            </w:r>
          </w:p>
        </w:tc>
        <w:tc>
          <w:tcPr>
            <w:tcW w:w="1200" w:type="dxa"/>
            <w:tcBorders>
              <w:top w:val="single" w:sz="2" w:space="0" w:color="auto"/>
              <w:bottom w:val="single" w:sz="2" w:space="0" w:color="auto"/>
            </w:tcBorders>
            <w:vAlign w:val="center"/>
          </w:tcPr>
          <w:p w:rsidR="00F71F2B" w:rsidRPr="002742C2" w:rsidRDefault="00F71F2B" w:rsidP="0041180E">
            <w:pPr>
              <w:spacing w:after="0"/>
              <w:ind w:firstLine="0"/>
              <w:jc w:val="right"/>
              <w:rPr>
                <w:rFonts w:ascii="Arial Narrow" w:hAnsi="Arial Narrow" w:cs="Arial"/>
                <w:lang w:val="es-ES" w:eastAsia="es-ES"/>
              </w:rPr>
            </w:pPr>
            <w:r w:rsidRPr="002742C2">
              <w:rPr>
                <w:rFonts w:ascii="Arial Narrow" w:hAnsi="Arial Narrow" w:cs="Arial"/>
                <w:lang w:val="es-ES" w:eastAsia="es-ES"/>
              </w:rPr>
              <w:t xml:space="preserve">31.672 </w:t>
            </w:r>
          </w:p>
        </w:tc>
        <w:tc>
          <w:tcPr>
            <w:tcW w:w="1200" w:type="dxa"/>
            <w:tcBorders>
              <w:top w:val="single" w:sz="2" w:space="0" w:color="auto"/>
              <w:bottom w:val="single" w:sz="2" w:space="0" w:color="auto"/>
            </w:tcBorders>
            <w:shd w:val="clear" w:color="auto" w:fill="auto"/>
            <w:noWrap/>
            <w:vAlign w:val="center"/>
            <w:hideMark/>
          </w:tcPr>
          <w:p w:rsidR="00F71F2B" w:rsidRPr="002742C2" w:rsidRDefault="00F71F2B" w:rsidP="0041180E">
            <w:pPr>
              <w:spacing w:after="0"/>
              <w:ind w:firstLine="0"/>
              <w:jc w:val="right"/>
              <w:rPr>
                <w:rFonts w:ascii="Arial Narrow" w:hAnsi="Arial Narrow" w:cs="Arial"/>
                <w:lang w:val="es-ES" w:eastAsia="es-ES"/>
              </w:rPr>
            </w:pPr>
            <w:r w:rsidRPr="002742C2">
              <w:rPr>
                <w:rFonts w:ascii="Arial Narrow" w:hAnsi="Arial Narrow" w:cs="Arial"/>
                <w:lang w:val="es-ES" w:eastAsia="es-ES"/>
              </w:rPr>
              <w:t xml:space="preserve">35.633 </w:t>
            </w:r>
          </w:p>
        </w:tc>
      </w:tr>
      <w:tr w:rsidR="00F71F2B" w:rsidRPr="00025F0D" w:rsidTr="00846EDC">
        <w:trPr>
          <w:trHeight w:val="284"/>
          <w:jc w:val="center"/>
        </w:trPr>
        <w:tc>
          <w:tcPr>
            <w:tcW w:w="6584" w:type="dxa"/>
            <w:tcBorders>
              <w:top w:val="single" w:sz="2" w:space="0" w:color="auto"/>
              <w:bottom w:val="single" w:sz="2" w:space="0" w:color="auto"/>
            </w:tcBorders>
            <w:shd w:val="clear" w:color="auto" w:fill="auto"/>
            <w:noWrap/>
            <w:vAlign w:val="center"/>
            <w:hideMark/>
          </w:tcPr>
          <w:p w:rsidR="00F71F2B" w:rsidRPr="00025F0D" w:rsidRDefault="00F71F2B" w:rsidP="0041180E">
            <w:pPr>
              <w:spacing w:after="0"/>
              <w:ind w:firstLine="0"/>
              <w:jc w:val="left"/>
              <w:rPr>
                <w:rFonts w:ascii="Arial Narrow" w:hAnsi="Arial Narrow" w:cs="Arial"/>
                <w:lang w:eastAsia="es-ES"/>
              </w:rPr>
            </w:pPr>
            <w:r w:rsidRPr="00025F0D">
              <w:rPr>
                <w:rFonts w:ascii="Arial Narrow" w:hAnsi="Arial Narrow" w:cs="Arial"/>
                <w:lang w:eastAsia="es-ES"/>
              </w:rPr>
              <w:t>Fondo de maniobra</w:t>
            </w:r>
          </w:p>
        </w:tc>
        <w:tc>
          <w:tcPr>
            <w:tcW w:w="1200" w:type="dxa"/>
            <w:tcBorders>
              <w:top w:val="single" w:sz="2" w:space="0" w:color="auto"/>
              <w:bottom w:val="single" w:sz="2" w:space="0" w:color="auto"/>
            </w:tcBorders>
            <w:vAlign w:val="center"/>
          </w:tcPr>
          <w:p w:rsidR="00F71F2B" w:rsidRPr="002742C2" w:rsidRDefault="00864016" w:rsidP="0041180E">
            <w:pPr>
              <w:spacing w:after="0"/>
              <w:ind w:firstLine="0"/>
              <w:jc w:val="right"/>
              <w:rPr>
                <w:rFonts w:ascii="Arial Narrow" w:hAnsi="Arial Narrow" w:cs="Arial"/>
                <w:lang w:val="es-ES" w:eastAsia="es-ES"/>
              </w:rPr>
            </w:pPr>
            <w:r w:rsidRPr="002742C2">
              <w:rPr>
                <w:rFonts w:ascii="Arial Narrow" w:hAnsi="Arial Narrow" w:cs="Arial"/>
                <w:lang w:val="es-ES" w:eastAsia="es-ES"/>
              </w:rPr>
              <w:t>316.734</w:t>
            </w:r>
          </w:p>
        </w:tc>
        <w:tc>
          <w:tcPr>
            <w:tcW w:w="1200" w:type="dxa"/>
            <w:tcBorders>
              <w:top w:val="single" w:sz="2" w:space="0" w:color="auto"/>
              <w:bottom w:val="single" w:sz="2" w:space="0" w:color="auto"/>
            </w:tcBorders>
            <w:shd w:val="clear" w:color="auto" w:fill="auto"/>
            <w:noWrap/>
            <w:vAlign w:val="center"/>
            <w:hideMark/>
          </w:tcPr>
          <w:p w:rsidR="00F71F2B" w:rsidRPr="002742C2" w:rsidRDefault="00864016" w:rsidP="0041180E">
            <w:pPr>
              <w:spacing w:after="0"/>
              <w:ind w:firstLine="0"/>
              <w:jc w:val="right"/>
              <w:rPr>
                <w:rFonts w:ascii="Arial Narrow" w:hAnsi="Arial Narrow" w:cs="Arial"/>
                <w:lang w:val="es-ES" w:eastAsia="es-ES"/>
              </w:rPr>
            </w:pPr>
            <w:r w:rsidRPr="002742C2">
              <w:rPr>
                <w:rFonts w:ascii="Arial Narrow" w:hAnsi="Arial Narrow" w:cs="Arial"/>
                <w:lang w:val="es-ES" w:eastAsia="es-ES"/>
              </w:rPr>
              <w:t>298.970</w:t>
            </w:r>
            <w:r w:rsidR="00F71F2B" w:rsidRPr="002742C2">
              <w:rPr>
                <w:rFonts w:ascii="Arial Narrow" w:hAnsi="Arial Narrow" w:cs="Arial"/>
                <w:lang w:val="es-ES" w:eastAsia="es-ES"/>
              </w:rPr>
              <w:t xml:space="preserve"> </w:t>
            </w:r>
          </w:p>
        </w:tc>
      </w:tr>
      <w:tr w:rsidR="00F71F2B" w:rsidRPr="00025F0D" w:rsidTr="00846EDC">
        <w:trPr>
          <w:trHeight w:val="284"/>
          <w:jc w:val="center"/>
        </w:trPr>
        <w:tc>
          <w:tcPr>
            <w:tcW w:w="6584" w:type="dxa"/>
            <w:tcBorders>
              <w:top w:val="single" w:sz="2" w:space="0" w:color="auto"/>
              <w:bottom w:val="single" w:sz="2" w:space="0" w:color="auto"/>
            </w:tcBorders>
            <w:shd w:val="clear" w:color="auto" w:fill="auto"/>
            <w:noWrap/>
            <w:vAlign w:val="center"/>
            <w:hideMark/>
          </w:tcPr>
          <w:p w:rsidR="00F71F2B" w:rsidRPr="00025F0D" w:rsidRDefault="00F71F2B" w:rsidP="0041180E">
            <w:pPr>
              <w:spacing w:after="0"/>
              <w:ind w:firstLine="0"/>
              <w:jc w:val="left"/>
              <w:rPr>
                <w:rFonts w:ascii="Arial Narrow" w:hAnsi="Arial Narrow" w:cs="Arial"/>
                <w:lang w:eastAsia="es-ES"/>
              </w:rPr>
            </w:pPr>
            <w:r w:rsidRPr="00025F0D">
              <w:rPr>
                <w:rFonts w:ascii="Arial Narrow" w:hAnsi="Arial Narrow" w:cs="Arial"/>
                <w:lang w:eastAsia="es-ES"/>
              </w:rPr>
              <w:t>Resultado del ejercicio</w:t>
            </w:r>
          </w:p>
        </w:tc>
        <w:tc>
          <w:tcPr>
            <w:tcW w:w="1200" w:type="dxa"/>
            <w:tcBorders>
              <w:top w:val="single" w:sz="2" w:space="0" w:color="auto"/>
              <w:bottom w:val="single" w:sz="2" w:space="0" w:color="auto"/>
            </w:tcBorders>
            <w:vAlign w:val="center"/>
          </w:tcPr>
          <w:p w:rsidR="00F71F2B" w:rsidRPr="002742C2" w:rsidRDefault="00F71F2B" w:rsidP="000437B7">
            <w:pPr>
              <w:spacing w:after="0"/>
              <w:ind w:firstLine="0"/>
              <w:jc w:val="right"/>
              <w:rPr>
                <w:rFonts w:ascii="Arial Narrow" w:hAnsi="Arial Narrow" w:cs="Arial"/>
                <w:lang w:val="es-ES" w:eastAsia="es-ES"/>
              </w:rPr>
            </w:pPr>
            <w:r w:rsidRPr="002742C2">
              <w:rPr>
                <w:rFonts w:ascii="Arial Narrow" w:hAnsi="Arial Narrow" w:cs="Arial"/>
                <w:lang w:val="es-ES" w:eastAsia="es-ES"/>
              </w:rPr>
              <w:t>3.3</w:t>
            </w:r>
            <w:r w:rsidR="000437B7" w:rsidRPr="002742C2">
              <w:rPr>
                <w:rFonts w:ascii="Arial Narrow" w:hAnsi="Arial Narrow" w:cs="Arial"/>
                <w:lang w:val="es-ES" w:eastAsia="es-ES"/>
              </w:rPr>
              <w:t>5</w:t>
            </w:r>
            <w:r w:rsidRPr="002742C2">
              <w:rPr>
                <w:rFonts w:ascii="Arial Narrow" w:hAnsi="Arial Narrow" w:cs="Arial"/>
                <w:lang w:val="es-ES" w:eastAsia="es-ES"/>
              </w:rPr>
              <w:t xml:space="preserve">9 </w:t>
            </w:r>
          </w:p>
        </w:tc>
        <w:tc>
          <w:tcPr>
            <w:tcW w:w="1200" w:type="dxa"/>
            <w:tcBorders>
              <w:top w:val="single" w:sz="2" w:space="0" w:color="auto"/>
              <w:bottom w:val="single" w:sz="2" w:space="0" w:color="auto"/>
            </w:tcBorders>
            <w:shd w:val="clear" w:color="auto" w:fill="auto"/>
            <w:noWrap/>
            <w:vAlign w:val="center"/>
            <w:hideMark/>
          </w:tcPr>
          <w:p w:rsidR="00F71F2B" w:rsidRPr="002742C2" w:rsidRDefault="00F71F2B" w:rsidP="0041180E">
            <w:pPr>
              <w:spacing w:after="0"/>
              <w:ind w:firstLine="0"/>
              <w:jc w:val="right"/>
              <w:rPr>
                <w:rFonts w:ascii="Arial Narrow" w:hAnsi="Arial Narrow" w:cs="Arial"/>
                <w:lang w:val="es-ES" w:eastAsia="es-ES"/>
              </w:rPr>
            </w:pPr>
            <w:r w:rsidRPr="002742C2">
              <w:rPr>
                <w:rFonts w:ascii="Arial Narrow" w:hAnsi="Arial Narrow" w:cs="Arial"/>
                <w:lang w:val="es-ES" w:eastAsia="es-ES"/>
              </w:rPr>
              <w:t xml:space="preserve">-59.894 </w:t>
            </w:r>
          </w:p>
        </w:tc>
      </w:tr>
      <w:tr w:rsidR="00F71F2B" w:rsidRPr="00025F0D" w:rsidTr="00864016">
        <w:trPr>
          <w:trHeight w:val="284"/>
          <w:jc w:val="center"/>
        </w:trPr>
        <w:tc>
          <w:tcPr>
            <w:tcW w:w="6584" w:type="dxa"/>
            <w:tcBorders>
              <w:top w:val="single" w:sz="2" w:space="0" w:color="auto"/>
              <w:bottom w:val="single" w:sz="2" w:space="0" w:color="auto"/>
            </w:tcBorders>
            <w:shd w:val="clear" w:color="auto" w:fill="auto"/>
            <w:noWrap/>
            <w:vAlign w:val="center"/>
            <w:hideMark/>
          </w:tcPr>
          <w:p w:rsidR="00F71F2B" w:rsidRPr="00025F0D" w:rsidRDefault="00F71F2B" w:rsidP="0041180E">
            <w:pPr>
              <w:spacing w:after="0"/>
              <w:ind w:firstLine="0"/>
              <w:jc w:val="left"/>
              <w:rPr>
                <w:rFonts w:ascii="Arial Narrow" w:hAnsi="Arial Narrow" w:cs="Arial"/>
                <w:lang w:eastAsia="es-ES"/>
              </w:rPr>
            </w:pPr>
            <w:r w:rsidRPr="00025F0D">
              <w:rPr>
                <w:rFonts w:ascii="Arial Narrow" w:hAnsi="Arial Narrow" w:cs="Arial"/>
                <w:lang w:eastAsia="es-ES"/>
              </w:rPr>
              <w:t>Retribuciones miembros del consejo de administración</w:t>
            </w:r>
          </w:p>
        </w:tc>
        <w:tc>
          <w:tcPr>
            <w:tcW w:w="1200" w:type="dxa"/>
            <w:tcBorders>
              <w:top w:val="single" w:sz="2" w:space="0" w:color="auto"/>
              <w:bottom w:val="single" w:sz="2" w:space="0" w:color="auto"/>
            </w:tcBorders>
            <w:vAlign w:val="center"/>
          </w:tcPr>
          <w:p w:rsidR="00F71F2B" w:rsidRPr="002742C2" w:rsidRDefault="00864016" w:rsidP="0041180E">
            <w:pPr>
              <w:spacing w:after="0"/>
              <w:ind w:firstLine="0"/>
              <w:jc w:val="right"/>
              <w:rPr>
                <w:rFonts w:ascii="Arial Narrow" w:hAnsi="Arial Narrow" w:cs="Arial"/>
                <w:lang w:val="es-ES" w:eastAsia="es-ES"/>
              </w:rPr>
            </w:pPr>
            <w:r w:rsidRPr="002742C2">
              <w:rPr>
                <w:rFonts w:ascii="Arial Narrow" w:hAnsi="Arial Narrow" w:cs="Arial"/>
                <w:lang w:val="es-ES" w:eastAsia="es-ES"/>
              </w:rPr>
              <w:t>63</w:t>
            </w:r>
          </w:p>
        </w:tc>
        <w:tc>
          <w:tcPr>
            <w:tcW w:w="1200" w:type="dxa"/>
            <w:tcBorders>
              <w:top w:val="single" w:sz="2" w:space="0" w:color="auto"/>
              <w:bottom w:val="single" w:sz="2" w:space="0" w:color="auto"/>
            </w:tcBorders>
            <w:shd w:val="clear" w:color="auto" w:fill="auto"/>
            <w:noWrap/>
            <w:vAlign w:val="center"/>
          </w:tcPr>
          <w:p w:rsidR="00F71F2B" w:rsidRPr="002742C2" w:rsidRDefault="00864016" w:rsidP="0041180E">
            <w:pPr>
              <w:spacing w:after="0"/>
              <w:ind w:firstLine="0"/>
              <w:jc w:val="right"/>
              <w:rPr>
                <w:rFonts w:ascii="Arial Narrow" w:hAnsi="Arial Narrow" w:cs="Arial"/>
                <w:lang w:val="es-ES" w:eastAsia="es-ES"/>
              </w:rPr>
            </w:pPr>
            <w:r w:rsidRPr="002742C2">
              <w:rPr>
                <w:rFonts w:ascii="Arial Narrow" w:hAnsi="Arial Narrow" w:cs="Arial"/>
                <w:lang w:val="es-ES" w:eastAsia="es-ES"/>
              </w:rPr>
              <w:t>37</w:t>
            </w:r>
          </w:p>
        </w:tc>
      </w:tr>
      <w:tr w:rsidR="00F71F2B" w:rsidRPr="00025F0D" w:rsidTr="00846EDC">
        <w:trPr>
          <w:trHeight w:val="284"/>
          <w:jc w:val="center"/>
        </w:trPr>
        <w:tc>
          <w:tcPr>
            <w:tcW w:w="6584" w:type="dxa"/>
            <w:tcBorders>
              <w:top w:val="single" w:sz="2" w:space="0" w:color="auto"/>
              <w:bottom w:val="single" w:sz="2" w:space="0" w:color="auto"/>
            </w:tcBorders>
            <w:shd w:val="clear" w:color="auto" w:fill="auto"/>
            <w:noWrap/>
            <w:vAlign w:val="center"/>
            <w:hideMark/>
          </w:tcPr>
          <w:p w:rsidR="00F71F2B" w:rsidRPr="00025F0D" w:rsidRDefault="00F71F2B" w:rsidP="0041180E">
            <w:pPr>
              <w:spacing w:after="0"/>
              <w:ind w:firstLine="0"/>
              <w:jc w:val="left"/>
              <w:rPr>
                <w:rFonts w:ascii="Arial Narrow" w:hAnsi="Arial Narrow" w:cs="Arial"/>
                <w:lang w:eastAsia="es-ES"/>
              </w:rPr>
            </w:pPr>
            <w:r w:rsidRPr="00025F0D">
              <w:rPr>
                <w:rFonts w:ascii="Arial Narrow" w:hAnsi="Arial Narrow" w:cs="Arial"/>
                <w:lang w:eastAsia="es-ES"/>
              </w:rPr>
              <w:t>Número de altos cargos (A)</w:t>
            </w:r>
          </w:p>
        </w:tc>
        <w:tc>
          <w:tcPr>
            <w:tcW w:w="1200" w:type="dxa"/>
            <w:tcBorders>
              <w:top w:val="single" w:sz="2" w:space="0" w:color="auto"/>
              <w:bottom w:val="single" w:sz="2" w:space="0" w:color="auto"/>
            </w:tcBorders>
            <w:vAlign w:val="center"/>
          </w:tcPr>
          <w:p w:rsidR="00F71F2B" w:rsidRPr="002742C2" w:rsidRDefault="00FB7536" w:rsidP="0041180E">
            <w:pPr>
              <w:spacing w:after="0"/>
              <w:ind w:firstLine="0"/>
              <w:jc w:val="right"/>
              <w:rPr>
                <w:rFonts w:ascii="Arial Narrow" w:hAnsi="Arial Narrow" w:cs="Arial"/>
                <w:lang w:val="es-ES" w:eastAsia="es-ES"/>
              </w:rPr>
            </w:pPr>
            <w:r w:rsidRPr="002742C2">
              <w:rPr>
                <w:rFonts w:ascii="Arial Narrow" w:hAnsi="Arial Narrow" w:cs="Arial"/>
                <w:lang w:val="es-ES" w:eastAsia="es-ES"/>
              </w:rPr>
              <w:t>13</w:t>
            </w:r>
          </w:p>
        </w:tc>
        <w:tc>
          <w:tcPr>
            <w:tcW w:w="1200" w:type="dxa"/>
            <w:tcBorders>
              <w:top w:val="single" w:sz="2" w:space="0" w:color="auto"/>
              <w:bottom w:val="single" w:sz="2" w:space="0" w:color="auto"/>
            </w:tcBorders>
            <w:shd w:val="clear" w:color="auto" w:fill="auto"/>
            <w:noWrap/>
            <w:vAlign w:val="center"/>
            <w:hideMark/>
          </w:tcPr>
          <w:p w:rsidR="00F71F2B" w:rsidRPr="002742C2" w:rsidRDefault="00FB7536" w:rsidP="0041180E">
            <w:pPr>
              <w:spacing w:after="0"/>
              <w:ind w:firstLine="0"/>
              <w:jc w:val="right"/>
              <w:rPr>
                <w:rFonts w:ascii="Arial Narrow" w:hAnsi="Arial Narrow" w:cs="Arial"/>
                <w:lang w:val="es-ES" w:eastAsia="es-ES"/>
              </w:rPr>
            </w:pPr>
            <w:r w:rsidRPr="002742C2">
              <w:rPr>
                <w:rFonts w:ascii="Arial Narrow" w:hAnsi="Arial Narrow" w:cs="Arial"/>
                <w:lang w:val="es-ES" w:eastAsia="es-ES"/>
              </w:rPr>
              <w:t>11</w:t>
            </w:r>
          </w:p>
        </w:tc>
      </w:tr>
      <w:tr w:rsidR="00F71F2B" w:rsidRPr="00025F0D" w:rsidTr="00846EDC">
        <w:trPr>
          <w:trHeight w:val="284"/>
          <w:jc w:val="center"/>
        </w:trPr>
        <w:tc>
          <w:tcPr>
            <w:tcW w:w="6584" w:type="dxa"/>
            <w:tcBorders>
              <w:top w:val="single" w:sz="2" w:space="0" w:color="auto"/>
              <w:bottom w:val="single" w:sz="2" w:space="0" w:color="auto"/>
            </w:tcBorders>
            <w:shd w:val="clear" w:color="auto" w:fill="auto"/>
            <w:noWrap/>
            <w:vAlign w:val="center"/>
            <w:hideMark/>
          </w:tcPr>
          <w:p w:rsidR="00F71F2B" w:rsidRPr="00025F0D" w:rsidRDefault="00F71F2B" w:rsidP="0041180E">
            <w:pPr>
              <w:spacing w:after="0"/>
              <w:ind w:firstLine="0"/>
              <w:jc w:val="left"/>
              <w:rPr>
                <w:rFonts w:ascii="Arial Narrow" w:hAnsi="Arial Narrow" w:cs="Arial"/>
                <w:lang w:eastAsia="es-ES"/>
              </w:rPr>
            </w:pPr>
            <w:r w:rsidRPr="00025F0D">
              <w:rPr>
                <w:rFonts w:ascii="Arial Narrow" w:hAnsi="Arial Narrow" w:cs="Arial"/>
                <w:lang w:eastAsia="es-ES"/>
              </w:rPr>
              <w:t>Número resto de empleados (B)</w:t>
            </w:r>
          </w:p>
        </w:tc>
        <w:tc>
          <w:tcPr>
            <w:tcW w:w="1200" w:type="dxa"/>
            <w:tcBorders>
              <w:top w:val="single" w:sz="2" w:space="0" w:color="auto"/>
              <w:bottom w:val="single" w:sz="2" w:space="0" w:color="auto"/>
            </w:tcBorders>
            <w:vAlign w:val="center"/>
          </w:tcPr>
          <w:p w:rsidR="00F71F2B" w:rsidRPr="002742C2" w:rsidRDefault="00F71F2B" w:rsidP="0041180E">
            <w:pPr>
              <w:spacing w:after="0"/>
              <w:ind w:firstLine="0"/>
              <w:jc w:val="right"/>
              <w:rPr>
                <w:rFonts w:ascii="Arial Narrow" w:hAnsi="Arial Narrow" w:cs="Arial"/>
                <w:lang w:val="es-ES" w:eastAsia="es-ES"/>
              </w:rPr>
            </w:pPr>
            <w:r w:rsidRPr="002742C2">
              <w:rPr>
                <w:rFonts w:ascii="Arial Narrow" w:hAnsi="Arial Narrow" w:cs="Arial"/>
                <w:lang w:val="es-ES" w:eastAsia="es-ES"/>
              </w:rPr>
              <w:t xml:space="preserve">1.023 </w:t>
            </w:r>
          </w:p>
        </w:tc>
        <w:tc>
          <w:tcPr>
            <w:tcW w:w="1200" w:type="dxa"/>
            <w:tcBorders>
              <w:top w:val="single" w:sz="2" w:space="0" w:color="auto"/>
              <w:bottom w:val="single" w:sz="2" w:space="0" w:color="auto"/>
            </w:tcBorders>
            <w:shd w:val="clear" w:color="auto" w:fill="auto"/>
            <w:noWrap/>
            <w:vAlign w:val="center"/>
            <w:hideMark/>
          </w:tcPr>
          <w:p w:rsidR="00F71F2B" w:rsidRPr="002742C2" w:rsidRDefault="00FB7536" w:rsidP="002742C2">
            <w:pPr>
              <w:spacing w:after="0"/>
              <w:ind w:firstLine="0"/>
              <w:jc w:val="right"/>
              <w:rPr>
                <w:rFonts w:ascii="Arial Narrow" w:hAnsi="Arial Narrow" w:cs="Arial"/>
                <w:lang w:val="es-ES" w:eastAsia="es-ES"/>
              </w:rPr>
            </w:pPr>
            <w:r w:rsidRPr="002742C2">
              <w:rPr>
                <w:rFonts w:ascii="Arial Narrow" w:hAnsi="Arial Narrow" w:cs="Arial"/>
                <w:lang w:val="es-ES" w:eastAsia="es-ES"/>
              </w:rPr>
              <w:t>1.05</w:t>
            </w:r>
            <w:r w:rsidR="002742C2">
              <w:rPr>
                <w:rFonts w:ascii="Arial Narrow" w:hAnsi="Arial Narrow" w:cs="Arial"/>
                <w:lang w:val="es-ES" w:eastAsia="es-ES"/>
              </w:rPr>
              <w:t>0</w:t>
            </w:r>
            <w:r w:rsidR="00F71F2B" w:rsidRPr="002742C2">
              <w:rPr>
                <w:rFonts w:ascii="Arial Narrow" w:hAnsi="Arial Narrow" w:cs="Arial"/>
                <w:lang w:val="es-ES" w:eastAsia="es-ES"/>
              </w:rPr>
              <w:t xml:space="preserve"> </w:t>
            </w:r>
          </w:p>
        </w:tc>
      </w:tr>
      <w:tr w:rsidR="00F71F2B" w:rsidRPr="00025F0D" w:rsidTr="00846EDC">
        <w:trPr>
          <w:trHeight w:val="284"/>
          <w:jc w:val="center"/>
        </w:trPr>
        <w:tc>
          <w:tcPr>
            <w:tcW w:w="6584" w:type="dxa"/>
            <w:tcBorders>
              <w:top w:val="single" w:sz="2" w:space="0" w:color="auto"/>
              <w:bottom w:val="single" w:sz="4" w:space="0" w:color="auto"/>
            </w:tcBorders>
            <w:shd w:val="clear" w:color="auto" w:fill="auto"/>
            <w:noWrap/>
            <w:vAlign w:val="center"/>
            <w:hideMark/>
          </w:tcPr>
          <w:p w:rsidR="00F71F2B" w:rsidRPr="00025F0D" w:rsidRDefault="00F71F2B" w:rsidP="0041180E">
            <w:pPr>
              <w:spacing w:after="0"/>
              <w:ind w:firstLine="0"/>
              <w:jc w:val="left"/>
              <w:rPr>
                <w:rFonts w:ascii="Arial Narrow" w:hAnsi="Arial Narrow" w:cs="Arial"/>
                <w:lang w:eastAsia="es-ES"/>
              </w:rPr>
            </w:pPr>
            <w:r w:rsidRPr="00025F0D">
              <w:rPr>
                <w:rFonts w:ascii="Arial Narrow" w:hAnsi="Arial Narrow" w:cs="Arial"/>
                <w:lang w:eastAsia="es-ES"/>
              </w:rPr>
              <w:t>Número total de empleados (A+B)</w:t>
            </w:r>
          </w:p>
        </w:tc>
        <w:tc>
          <w:tcPr>
            <w:tcW w:w="1200" w:type="dxa"/>
            <w:tcBorders>
              <w:top w:val="single" w:sz="2" w:space="0" w:color="auto"/>
              <w:bottom w:val="single" w:sz="4" w:space="0" w:color="auto"/>
            </w:tcBorders>
            <w:vAlign w:val="center"/>
          </w:tcPr>
          <w:p w:rsidR="00F71F2B" w:rsidRPr="002742C2" w:rsidRDefault="00F71F2B" w:rsidP="0041180E">
            <w:pPr>
              <w:spacing w:after="0"/>
              <w:ind w:firstLine="0"/>
              <w:jc w:val="right"/>
              <w:rPr>
                <w:rFonts w:ascii="Arial Narrow" w:hAnsi="Arial Narrow" w:cs="Arial"/>
                <w:lang w:val="es-ES" w:eastAsia="es-ES"/>
              </w:rPr>
            </w:pPr>
            <w:r w:rsidRPr="002742C2">
              <w:rPr>
                <w:rFonts w:ascii="Arial Narrow" w:hAnsi="Arial Narrow" w:cs="Arial"/>
                <w:lang w:val="es-ES" w:eastAsia="es-ES"/>
              </w:rPr>
              <w:t xml:space="preserve">1.037 </w:t>
            </w:r>
          </w:p>
        </w:tc>
        <w:tc>
          <w:tcPr>
            <w:tcW w:w="1200" w:type="dxa"/>
            <w:tcBorders>
              <w:top w:val="single" w:sz="2" w:space="0" w:color="auto"/>
              <w:bottom w:val="single" w:sz="4" w:space="0" w:color="auto"/>
            </w:tcBorders>
            <w:shd w:val="clear" w:color="auto" w:fill="auto"/>
            <w:noWrap/>
            <w:vAlign w:val="center"/>
            <w:hideMark/>
          </w:tcPr>
          <w:p w:rsidR="00F71F2B" w:rsidRPr="002742C2" w:rsidRDefault="00F71F2B" w:rsidP="002742C2">
            <w:pPr>
              <w:spacing w:after="0"/>
              <w:ind w:firstLine="0"/>
              <w:jc w:val="right"/>
              <w:rPr>
                <w:rFonts w:ascii="Arial Narrow" w:hAnsi="Arial Narrow" w:cs="Arial"/>
                <w:lang w:val="es-ES" w:eastAsia="es-ES"/>
              </w:rPr>
            </w:pPr>
            <w:r w:rsidRPr="002742C2">
              <w:rPr>
                <w:rFonts w:ascii="Arial Narrow" w:hAnsi="Arial Narrow" w:cs="Arial"/>
                <w:lang w:val="es-ES" w:eastAsia="es-ES"/>
              </w:rPr>
              <w:t>1.0</w:t>
            </w:r>
            <w:r w:rsidR="00FB7536" w:rsidRPr="002742C2">
              <w:rPr>
                <w:rFonts w:ascii="Arial Narrow" w:hAnsi="Arial Narrow" w:cs="Arial"/>
                <w:lang w:val="es-ES" w:eastAsia="es-ES"/>
              </w:rPr>
              <w:t>6</w:t>
            </w:r>
            <w:r w:rsidR="002742C2">
              <w:rPr>
                <w:rFonts w:ascii="Arial Narrow" w:hAnsi="Arial Narrow" w:cs="Arial"/>
                <w:lang w:val="es-ES" w:eastAsia="es-ES"/>
              </w:rPr>
              <w:t>1</w:t>
            </w:r>
            <w:r w:rsidRPr="002742C2">
              <w:rPr>
                <w:rFonts w:ascii="Arial Narrow" w:hAnsi="Arial Narrow" w:cs="Arial"/>
                <w:lang w:val="es-ES" w:eastAsia="es-ES"/>
              </w:rPr>
              <w:t xml:space="preserve"> </w:t>
            </w:r>
          </w:p>
        </w:tc>
      </w:tr>
    </w:tbl>
    <w:p w:rsidR="00B07A4C" w:rsidRDefault="00B07A4C" w:rsidP="00846EDC">
      <w:pPr>
        <w:pStyle w:val="texto"/>
        <w:spacing w:before="240"/>
        <w:rPr>
          <w:rFonts w:ascii="Times New (W1)" w:hAnsi="Times New (W1)"/>
          <w:bCs/>
        </w:rPr>
      </w:pPr>
    </w:p>
    <w:p w:rsidR="003D34A9" w:rsidRPr="00F1193C" w:rsidRDefault="00184DB2" w:rsidP="00846EDC">
      <w:pPr>
        <w:pStyle w:val="texto"/>
        <w:spacing w:before="240"/>
        <w:rPr>
          <w:rFonts w:ascii="Times New (W1)" w:hAnsi="Times New (W1)"/>
          <w:bCs/>
        </w:rPr>
      </w:pPr>
      <w:r>
        <w:rPr>
          <w:rFonts w:ascii="Times New (W1)" w:hAnsi="Times New (W1)"/>
          <w:bCs/>
        </w:rPr>
        <w:t xml:space="preserve">Del análisis del cuadro anterior y de la revisión efectuada, destacamos los </w:t>
      </w:r>
      <w:r w:rsidRPr="00F1193C">
        <w:rPr>
          <w:rFonts w:ascii="Times New (W1)" w:hAnsi="Times New (W1)"/>
          <w:bCs/>
        </w:rPr>
        <w:t>siguientes aspectos:</w:t>
      </w:r>
    </w:p>
    <w:p w:rsidR="009700A5" w:rsidRDefault="000E1030" w:rsidP="00B07A4C">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spacing w:after="0"/>
        <w:ind w:left="0" w:firstLine="289"/>
        <w:rPr>
          <w:rFonts w:ascii="Times New (W1)" w:hAnsi="Times New (W1)"/>
          <w:bCs/>
        </w:rPr>
      </w:pPr>
      <w:r w:rsidRPr="002742C2">
        <w:rPr>
          <w:rFonts w:ascii="Times New (W1)" w:hAnsi="Times New (W1)"/>
          <w:bCs/>
        </w:rPr>
        <w:t>Endeudamiento</w:t>
      </w:r>
      <w:r w:rsidR="00884D9D" w:rsidRPr="00F1193C">
        <w:rPr>
          <w:rFonts w:ascii="Times New (W1)" w:hAnsi="Times New (W1)"/>
          <w:bCs/>
        </w:rPr>
        <w:t xml:space="preserve">. El total del endeudamiento a largo y corto plazo de las sociedades públicas se ha reducido en un </w:t>
      </w:r>
      <w:r w:rsidR="00F1193C" w:rsidRPr="00F1193C">
        <w:rPr>
          <w:rFonts w:ascii="Times New (W1)" w:hAnsi="Times New (W1)"/>
          <w:bCs/>
        </w:rPr>
        <w:t>11</w:t>
      </w:r>
      <w:r w:rsidR="00884D9D" w:rsidRPr="00F1193C">
        <w:rPr>
          <w:rFonts w:ascii="Times New (W1)" w:hAnsi="Times New (W1)"/>
          <w:bCs/>
        </w:rPr>
        <w:t xml:space="preserve"> por ciento, esto es, </w:t>
      </w:r>
      <w:r w:rsidR="00F1193C" w:rsidRPr="00F1193C">
        <w:rPr>
          <w:rFonts w:ascii="Times New (W1)" w:hAnsi="Times New (W1)"/>
          <w:bCs/>
        </w:rPr>
        <w:t>33,</w:t>
      </w:r>
      <w:r w:rsidR="005418C4">
        <w:rPr>
          <w:rFonts w:ascii="Times New (W1)" w:hAnsi="Times New (W1)"/>
          <w:bCs/>
        </w:rPr>
        <w:t>59</w:t>
      </w:r>
      <w:r w:rsidR="00F1193C" w:rsidRPr="00F1193C">
        <w:rPr>
          <w:rFonts w:ascii="Times New (W1)" w:hAnsi="Times New (W1)"/>
          <w:bCs/>
        </w:rPr>
        <w:t xml:space="preserve"> </w:t>
      </w:r>
      <w:r w:rsidR="00884D9D" w:rsidRPr="00F1193C">
        <w:rPr>
          <w:rFonts w:ascii="Times New (W1)" w:hAnsi="Times New (W1)"/>
          <w:bCs/>
        </w:rPr>
        <w:t xml:space="preserve">millones menos, alcanzando en 2015 la cifra de </w:t>
      </w:r>
      <w:r w:rsidR="00F1193C" w:rsidRPr="00F1193C">
        <w:rPr>
          <w:rFonts w:ascii="Times New (W1)" w:hAnsi="Times New (W1)"/>
          <w:bCs/>
        </w:rPr>
        <w:t>259,</w:t>
      </w:r>
      <w:r w:rsidR="005418C4">
        <w:rPr>
          <w:rFonts w:ascii="Times New (W1)" w:hAnsi="Times New (W1)"/>
          <w:bCs/>
        </w:rPr>
        <w:t>31</w:t>
      </w:r>
      <w:r w:rsidR="00884D9D" w:rsidRPr="00F1193C">
        <w:rPr>
          <w:rFonts w:ascii="Times New (W1)" w:hAnsi="Times New (W1)"/>
          <w:bCs/>
        </w:rPr>
        <w:t xml:space="preserve"> millones. </w:t>
      </w:r>
      <w:r w:rsidR="009700A5">
        <w:rPr>
          <w:rFonts w:ascii="Times New (W1)" w:hAnsi="Times New (W1)"/>
          <w:bCs/>
        </w:rPr>
        <w:t xml:space="preserve">El detalle de la misma se refleja en el siguiente cuadro: </w:t>
      </w:r>
    </w:p>
    <w:p w:rsidR="00846EDC" w:rsidRPr="009C5322" w:rsidRDefault="006362BE" w:rsidP="00846EDC">
      <w:pPr>
        <w:pStyle w:val="texto"/>
        <w:tabs>
          <w:tab w:val="clear" w:pos="2835"/>
          <w:tab w:val="clear" w:pos="3969"/>
          <w:tab w:val="clear" w:pos="5103"/>
          <w:tab w:val="clear" w:pos="6237"/>
          <w:tab w:val="clear" w:pos="7371"/>
          <w:tab w:val="left" w:pos="480"/>
          <w:tab w:val="left" w:pos="8789"/>
        </w:tabs>
        <w:spacing w:after="40"/>
        <w:ind w:left="568" w:firstLine="0"/>
        <w:jc w:val="right"/>
        <w:rPr>
          <w:rFonts w:ascii="Times New (W1)" w:hAnsi="Times New (W1)"/>
          <w:bCs/>
        </w:rPr>
      </w:pPr>
      <w:r w:rsidRPr="00AF102F">
        <w:rPr>
          <w:rFonts w:ascii="Arial Narrow" w:hAnsi="Arial Narrow"/>
          <w:bCs/>
          <w:sz w:val="18"/>
          <w:szCs w:val="18"/>
        </w:rPr>
        <w:t>Miles</w:t>
      </w:r>
      <w:r w:rsidR="00846EDC" w:rsidRPr="00AF102F">
        <w:rPr>
          <w:rFonts w:ascii="Arial Narrow" w:hAnsi="Arial Narrow"/>
          <w:bCs/>
          <w:sz w:val="18"/>
          <w:szCs w:val="18"/>
        </w:rPr>
        <w:t xml:space="preserve"> de euros</w:t>
      </w:r>
    </w:p>
    <w:tbl>
      <w:tblPr>
        <w:tblStyle w:val="Tablaconcuadrcula"/>
        <w:tblW w:w="87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9"/>
        <w:gridCol w:w="2137"/>
        <w:gridCol w:w="1787"/>
        <w:gridCol w:w="1198"/>
        <w:gridCol w:w="1081"/>
      </w:tblGrid>
      <w:tr w:rsidR="009700A5" w:rsidTr="0041180E">
        <w:trPr>
          <w:trHeight w:val="284"/>
          <w:jc w:val="center"/>
        </w:trPr>
        <w:tc>
          <w:tcPr>
            <w:tcW w:w="2559" w:type="dxa"/>
            <w:tcBorders>
              <w:top w:val="single" w:sz="4" w:space="0" w:color="auto"/>
              <w:bottom w:val="single" w:sz="4" w:space="0" w:color="auto"/>
            </w:tcBorders>
            <w:shd w:val="clear" w:color="auto" w:fill="A8CBEE" w:themeFill="accent2" w:themeFillTint="66"/>
            <w:vAlign w:val="center"/>
            <w:hideMark/>
          </w:tcPr>
          <w:p w:rsidR="009700A5" w:rsidRPr="009700A5" w:rsidRDefault="009700A5" w:rsidP="00980CDD">
            <w:pPr>
              <w:pStyle w:val="cuadroCabe"/>
              <w:jc w:val="left"/>
              <w:rPr>
                <w:rFonts w:cs="Arial"/>
              </w:rPr>
            </w:pPr>
            <w:r>
              <w:rPr>
                <w:rFonts w:cs="Arial"/>
              </w:rPr>
              <w:t xml:space="preserve">Endeudamiento </w:t>
            </w:r>
            <w:r w:rsidRPr="009700A5">
              <w:rPr>
                <w:rFonts w:cs="Arial"/>
              </w:rPr>
              <w:t>2015</w:t>
            </w:r>
          </w:p>
        </w:tc>
        <w:tc>
          <w:tcPr>
            <w:tcW w:w="2137" w:type="dxa"/>
            <w:tcBorders>
              <w:top w:val="single" w:sz="4" w:space="0" w:color="auto"/>
              <w:bottom w:val="single" w:sz="4" w:space="0" w:color="auto"/>
            </w:tcBorders>
            <w:shd w:val="clear" w:color="auto" w:fill="A8CBEE" w:themeFill="accent2" w:themeFillTint="66"/>
            <w:vAlign w:val="center"/>
            <w:hideMark/>
          </w:tcPr>
          <w:p w:rsidR="009700A5" w:rsidRPr="009700A5" w:rsidRDefault="009700A5" w:rsidP="007C6BCB">
            <w:pPr>
              <w:pStyle w:val="cuadroCabe"/>
              <w:jc w:val="right"/>
              <w:rPr>
                <w:rFonts w:cs="Arial"/>
              </w:rPr>
            </w:pPr>
            <w:r w:rsidRPr="009700A5">
              <w:rPr>
                <w:rFonts w:cs="Arial"/>
              </w:rPr>
              <w:t>Entidades</w:t>
            </w:r>
            <w:r w:rsidR="008B61F1">
              <w:rPr>
                <w:rFonts w:cs="Arial"/>
              </w:rPr>
              <w:t xml:space="preserve"> </w:t>
            </w:r>
            <w:r w:rsidRPr="009700A5">
              <w:rPr>
                <w:rFonts w:cs="Arial"/>
              </w:rPr>
              <w:t>Financieras</w:t>
            </w:r>
          </w:p>
        </w:tc>
        <w:tc>
          <w:tcPr>
            <w:tcW w:w="1787" w:type="dxa"/>
            <w:tcBorders>
              <w:top w:val="single" w:sz="4" w:space="0" w:color="auto"/>
              <w:bottom w:val="single" w:sz="4" w:space="0" w:color="auto"/>
            </w:tcBorders>
            <w:shd w:val="clear" w:color="auto" w:fill="A8CBEE" w:themeFill="accent2" w:themeFillTint="66"/>
            <w:vAlign w:val="center"/>
            <w:hideMark/>
          </w:tcPr>
          <w:p w:rsidR="009700A5" w:rsidRPr="009700A5" w:rsidRDefault="009700A5" w:rsidP="007C6BCB">
            <w:pPr>
              <w:pStyle w:val="cuadroCabe"/>
              <w:jc w:val="right"/>
              <w:rPr>
                <w:rFonts w:cs="Arial"/>
              </w:rPr>
            </w:pPr>
            <w:r w:rsidRPr="009700A5">
              <w:rPr>
                <w:rFonts w:cs="Arial"/>
              </w:rPr>
              <w:t>Empresas Grupo</w:t>
            </w:r>
          </w:p>
        </w:tc>
        <w:tc>
          <w:tcPr>
            <w:tcW w:w="1198" w:type="dxa"/>
            <w:tcBorders>
              <w:top w:val="single" w:sz="4" w:space="0" w:color="auto"/>
              <w:bottom w:val="single" w:sz="4" w:space="0" w:color="auto"/>
            </w:tcBorders>
            <w:shd w:val="clear" w:color="auto" w:fill="A8CBEE" w:themeFill="accent2" w:themeFillTint="66"/>
            <w:vAlign w:val="center"/>
            <w:hideMark/>
          </w:tcPr>
          <w:p w:rsidR="009700A5" w:rsidRPr="009700A5" w:rsidRDefault="00094FCF" w:rsidP="007C6BCB">
            <w:pPr>
              <w:pStyle w:val="cuadroCabe"/>
              <w:jc w:val="right"/>
              <w:rPr>
                <w:rFonts w:cs="Arial"/>
              </w:rPr>
            </w:pPr>
            <w:r>
              <w:rPr>
                <w:rFonts w:cs="Arial"/>
              </w:rPr>
              <w:t>Otro</w:t>
            </w:r>
            <w:r w:rsidR="009700A5" w:rsidRPr="009700A5">
              <w:rPr>
                <w:rFonts w:cs="Arial"/>
              </w:rPr>
              <w:t>s</w:t>
            </w:r>
          </w:p>
        </w:tc>
        <w:tc>
          <w:tcPr>
            <w:tcW w:w="1081" w:type="dxa"/>
            <w:tcBorders>
              <w:top w:val="single" w:sz="4" w:space="0" w:color="auto"/>
              <w:bottom w:val="single" w:sz="4" w:space="0" w:color="auto"/>
            </w:tcBorders>
            <w:shd w:val="clear" w:color="auto" w:fill="A8CBEE" w:themeFill="accent2" w:themeFillTint="66"/>
            <w:vAlign w:val="center"/>
            <w:hideMark/>
          </w:tcPr>
          <w:p w:rsidR="009700A5" w:rsidRPr="009700A5" w:rsidRDefault="009700A5" w:rsidP="007C6BCB">
            <w:pPr>
              <w:pStyle w:val="cuadroCabe"/>
              <w:jc w:val="right"/>
              <w:rPr>
                <w:rFonts w:cs="Arial"/>
              </w:rPr>
            </w:pPr>
            <w:r w:rsidRPr="009700A5">
              <w:rPr>
                <w:rFonts w:cs="Arial"/>
              </w:rPr>
              <w:t>T</w:t>
            </w:r>
            <w:r>
              <w:rPr>
                <w:rFonts w:cs="Arial"/>
              </w:rPr>
              <w:t>otal</w:t>
            </w:r>
          </w:p>
        </w:tc>
      </w:tr>
      <w:tr w:rsidR="009700A5" w:rsidTr="0041180E">
        <w:trPr>
          <w:trHeight w:val="284"/>
          <w:jc w:val="center"/>
        </w:trPr>
        <w:tc>
          <w:tcPr>
            <w:tcW w:w="2559" w:type="dxa"/>
            <w:tcBorders>
              <w:top w:val="single" w:sz="4" w:space="0" w:color="auto"/>
              <w:bottom w:val="single" w:sz="2" w:space="0" w:color="auto"/>
            </w:tcBorders>
            <w:vAlign w:val="center"/>
            <w:hideMark/>
          </w:tcPr>
          <w:p w:rsidR="009700A5" w:rsidRPr="009700A5" w:rsidRDefault="009700A5" w:rsidP="00980CDD">
            <w:pPr>
              <w:spacing w:after="0"/>
              <w:ind w:firstLine="0"/>
              <w:jc w:val="left"/>
              <w:rPr>
                <w:rFonts w:ascii="Arial Narrow" w:hAnsi="Arial Narrow" w:cs="Arial"/>
                <w:lang w:eastAsia="es-ES"/>
              </w:rPr>
            </w:pPr>
            <w:r w:rsidRPr="009700A5">
              <w:rPr>
                <w:rFonts w:ascii="Arial Narrow" w:hAnsi="Arial Narrow" w:cs="Arial"/>
                <w:lang w:eastAsia="es-ES"/>
              </w:rPr>
              <w:t>Deudas Largo Plazo</w:t>
            </w:r>
          </w:p>
        </w:tc>
        <w:tc>
          <w:tcPr>
            <w:tcW w:w="2137" w:type="dxa"/>
            <w:tcBorders>
              <w:top w:val="single" w:sz="4" w:space="0" w:color="auto"/>
              <w:bottom w:val="single" w:sz="2" w:space="0" w:color="auto"/>
            </w:tcBorders>
            <w:vAlign w:val="center"/>
            <w:hideMark/>
          </w:tcPr>
          <w:p w:rsidR="009700A5" w:rsidRPr="009700A5" w:rsidRDefault="009700A5" w:rsidP="007C6BCB">
            <w:pPr>
              <w:spacing w:after="0"/>
              <w:ind w:firstLine="0"/>
              <w:jc w:val="right"/>
              <w:rPr>
                <w:rFonts w:ascii="Arial Narrow" w:hAnsi="Arial Narrow" w:cs="Arial"/>
                <w:lang w:val="es-ES" w:eastAsia="es-ES"/>
              </w:rPr>
            </w:pPr>
            <w:r w:rsidRPr="009700A5">
              <w:rPr>
                <w:rFonts w:ascii="Arial Narrow" w:hAnsi="Arial Narrow" w:cs="Arial"/>
                <w:lang w:val="es-ES" w:eastAsia="es-ES"/>
              </w:rPr>
              <w:t>156.721</w:t>
            </w:r>
          </w:p>
        </w:tc>
        <w:tc>
          <w:tcPr>
            <w:tcW w:w="1787" w:type="dxa"/>
            <w:tcBorders>
              <w:top w:val="single" w:sz="4" w:space="0" w:color="auto"/>
              <w:bottom w:val="single" w:sz="2" w:space="0" w:color="auto"/>
            </w:tcBorders>
            <w:vAlign w:val="center"/>
            <w:hideMark/>
          </w:tcPr>
          <w:p w:rsidR="009700A5" w:rsidRPr="009700A5" w:rsidRDefault="009700A5" w:rsidP="007C6BCB">
            <w:pPr>
              <w:spacing w:after="0"/>
              <w:ind w:firstLine="0"/>
              <w:jc w:val="right"/>
              <w:rPr>
                <w:rFonts w:ascii="Arial Narrow" w:hAnsi="Arial Narrow" w:cs="Arial"/>
                <w:lang w:val="es-ES" w:eastAsia="es-ES"/>
              </w:rPr>
            </w:pPr>
            <w:r w:rsidRPr="009700A5">
              <w:rPr>
                <w:rFonts w:ascii="Arial Narrow" w:hAnsi="Arial Narrow" w:cs="Arial"/>
                <w:lang w:val="es-ES" w:eastAsia="es-ES"/>
              </w:rPr>
              <w:t>24.772</w:t>
            </w:r>
          </w:p>
        </w:tc>
        <w:tc>
          <w:tcPr>
            <w:tcW w:w="1198" w:type="dxa"/>
            <w:tcBorders>
              <w:top w:val="single" w:sz="4" w:space="0" w:color="auto"/>
              <w:bottom w:val="single" w:sz="2" w:space="0" w:color="auto"/>
            </w:tcBorders>
            <w:vAlign w:val="center"/>
            <w:hideMark/>
          </w:tcPr>
          <w:p w:rsidR="009700A5" w:rsidRPr="009700A5" w:rsidRDefault="009700A5" w:rsidP="007C6BCB">
            <w:pPr>
              <w:spacing w:after="0"/>
              <w:ind w:firstLine="0"/>
              <w:jc w:val="right"/>
              <w:rPr>
                <w:rFonts w:ascii="Arial Narrow" w:hAnsi="Arial Narrow" w:cs="Arial"/>
                <w:lang w:val="es-ES" w:eastAsia="es-ES"/>
              </w:rPr>
            </w:pPr>
            <w:r w:rsidRPr="009700A5">
              <w:rPr>
                <w:rFonts w:ascii="Arial Narrow" w:hAnsi="Arial Narrow" w:cs="Arial"/>
                <w:lang w:val="es-ES" w:eastAsia="es-ES"/>
              </w:rPr>
              <w:t>43.642</w:t>
            </w:r>
          </w:p>
        </w:tc>
        <w:tc>
          <w:tcPr>
            <w:tcW w:w="1081" w:type="dxa"/>
            <w:tcBorders>
              <w:top w:val="single" w:sz="4" w:space="0" w:color="auto"/>
              <w:bottom w:val="single" w:sz="2" w:space="0" w:color="auto"/>
            </w:tcBorders>
            <w:vAlign w:val="center"/>
            <w:hideMark/>
          </w:tcPr>
          <w:p w:rsidR="009700A5" w:rsidRPr="009700A5" w:rsidRDefault="009700A5" w:rsidP="007C6BCB">
            <w:pPr>
              <w:spacing w:after="0"/>
              <w:ind w:firstLine="0"/>
              <w:jc w:val="right"/>
              <w:rPr>
                <w:rFonts w:ascii="Arial Narrow" w:hAnsi="Arial Narrow" w:cs="Arial"/>
                <w:lang w:val="es-ES" w:eastAsia="es-ES"/>
              </w:rPr>
            </w:pPr>
            <w:r w:rsidRPr="009700A5">
              <w:rPr>
                <w:rFonts w:ascii="Arial Narrow" w:hAnsi="Arial Narrow" w:cs="Arial"/>
                <w:lang w:val="es-ES" w:eastAsia="es-ES"/>
              </w:rPr>
              <w:t>225.135</w:t>
            </w:r>
          </w:p>
        </w:tc>
      </w:tr>
      <w:tr w:rsidR="009700A5" w:rsidTr="0041180E">
        <w:trPr>
          <w:trHeight w:val="284"/>
          <w:jc w:val="center"/>
        </w:trPr>
        <w:tc>
          <w:tcPr>
            <w:tcW w:w="2559" w:type="dxa"/>
            <w:tcBorders>
              <w:top w:val="single" w:sz="2" w:space="0" w:color="auto"/>
              <w:bottom w:val="single" w:sz="4" w:space="0" w:color="auto"/>
            </w:tcBorders>
            <w:vAlign w:val="center"/>
            <w:hideMark/>
          </w:tcPr>
          <w:p w:rsidR="009700A5" w:rsidRPr="009700A5" w:rsidRDefault="009700A5" w:rsidP="00980CDD">
            <w:pPr>
              <w:spacing w:after="0"/>
              <w:ind w:firstLine="0"/>
              <w:jc w:val="left"/>
              <w:rPr>
                <w:rFonts w:ascii="Arial Narrow" w:hAnsi="Arial Narrow" w:cs="Arial"/>
                <w:lang w:eastAsia="es-ES"/>
              </w:rPr>
            </w:pPr>
            <w:r w:rsidRPr="009700A5">
              <w:rPr>
                <w:rFonts w:ascii="Arial Narrow" w:hAnsi="Arial Narrow" w:cs="Arial"/>
                <w:lang w:eastAsia="es-ES"/>
              </w:rPr>
              <w:t>Deudas Corto Plazo</w:t>
            </w:r>
          </w:p>
        </w:tc>
        <w:tc>
          <w:tcPr>
            <w:tcW w:w="2137" w:type="dxa"/>
            <w:tcBorders>
              <w:top w:val="single" w:sz="2" w:space="0" w:color="auto"/>
              <w:bottom w:val="single" w:sz="4" w:space="0" w:color="auto"/>
            </w:tcBorders>
            <w:vAlign w:val="center"/>
            <w:hideMark/>
          </w:tcPr>
          <w:p w:rsidR="009700A5" w:rsidRPr="009700A5" w:rsidRDefault="009700A5" w:rsidP="007C6BCB">
            <w:pPr>
              <w:spacing w:after="0"/>
              <w:ind w:firstLine="0"/>
              <w:jc w:val="right"/>
              <w:rPr>
                <w:rFonts w:ascii="Arial Narrow" w:hAnsi="Arial Narrow" w:cs="Arial"/>
                <w:lang w:val="es-ES" w:eastAsia="es-ES"/>
              </w:rPr>
            </w:pPr>
            <w:r w:rsidRPr="009700A5">
              <w:rPr>
                <w:rFonts w:ascii="Arial Narrow" w:hAnsi="Arial Narrow" w:cs="Arial"/>
                <w:lang w:val="es-ES" w:eastAsia="es-ES"/>
              </w:rPr>
              <w:t>19.927</w:t>
            </w:r>
          </w:p>
        </w:tc>
        <w:tc>
          <w:tcPr>
            <w:tcW w:w="1787" w:type="dxa"/>
            <w:tcBorders>
              <w:top w:val="single" w:sz="2" w:space="0" w:color="auto"/>
              <w:bottom w:val="single" w:sz="4" w:space="0" w:color="auto"/>
            </w:tcBorders>
            <w:vAlign w:val="center"/>
            <w:hideMark/>
          </w:tcPr>
          <w:p w:rsidR="009700A5" w:rsidRPr="009700A5" w:rsidRDefault="009700A5" w:rsidP="007C6BCB">
            <w:pPr>
              <w:spacing w:after="0"/>
              <w:ind w:firstLine="0"/>
              <w:jc w:val="right"/>
              <w:rPr>
                <w:rFonts w:ascii="Arial Narrow" w:hAnsi="Arial Narrow" w:cs="Arial"/>
                <w:lang w:val="es-ES" w:eastAsia="es-ES"/>
              </w:rPr>
            </w:pPr>
            <w:r w:rsidRPr="009700A5">
              <w:rPr>
                <w:rFonts w:ascii="Arial Narrow" w:hAnsi="Arial Narrow" w:cs="Arial"/>
                <w:lang w:val="es-ES" w:eastAsia="es-ES"/>
              </w:rPr>
              <w:t>3.985</w:t>
            </w:r>
          </w:p>
        </w:tc>
        <w:tc>
          <w:tcPr>
            <w:tcW w:w="1198" w:type="dxa"/>
            <w:tcBorders>
              <w:top w:val="single" w:sz="2" w:space="0" w:color="auto"/>
              <w:bottom w:val="single" w:sz="4" w:space="0" w:color="auto"/>
            </w:tcBorders>
            <w:vAlign w:val="center"/>
            <w:hideMark/>
          </w:tcPr>
          <w:p w:rsidR="009700A5" w:rsidRPr="009700A5" w:rsidRDefault="009700A5" w:rsidP="007C6BCB">
            <w:pPr>
              <w:spacing w:after="0"/>
              <w:ind w:left="-21" w:firstLine="0"/>
              <w:jc w:val="right"/>
              <w:rPr>
                <w:rFonts w:ascii="Arial Narrow" w:hAnsi="Arial Narrow" w:cs="Arial"/>
                <w:lang w:val="es-ES" w:eastAsia="es-ES"/>
              </w:rPr>
            </w:pPr>
            <w:r w:rsidRPr="009700A5">
              <w:rPr>
                <w:rFonts w:ascii="Arial Narrow" w:hAnsi="Arial Narrow" w:cs="Arial"/>
                <w:lang w:val="es-ES" w:eastAsia="es-ES"/>
              </w:rPr>
              <w:t>10.260</w:t>
            </w:r>
          </w:p>
        </w:tc>
        <w:tc>
          <w:tcPr>
            <w:tcW w:w="1081" w:type="dxa"/>
            <w:tcBorders>
              <w:top w:val="single" w:sz="2" w:space="0" w:color="auto"/>
              <w:bottom w:val="single" w:sz="4" w:space="0" w:color="auto"/>
            </w:tcBorders>
            <w:vAlign w:val="center"/>
            <w:hideMark/>
          </w:tcPr>
          <w:p w:rsidR="009700A5" w:rsidRPr="009700A5" w:rsidRDefault="009700A5" w:rsidP="007C6BCB">
            <w:pPr>
              <w:spacing w:after="0"/>
              <w:ind w:firstLine="0"/>
              <w:jc w:val="right"/>
              <w:rPr>
                <w:rFonts w:ascii="Arial Narrow" w:hAnsi="Arial Narrow" w:cs="Arial"/>
                <w:lang w:val="es-ES" w:eastAsia="es-ES"/>
              </w:rPr>
            </w:pPr>
            <w:r w:rsidRPr="009700A5">
              <w:rPr>
                <w:rFonts w:ascii="Arial Narrow" w:hAnsi="Arial Narrow" w:cs="Arial"/>
                <w:lang w:val="es-ES" w:eastAsia="es-ES"/>
              </w:rPr>
              <w:t>34.172</w:t>
            </w:r>
          </w:p>
        </w:tc>
      </w:tr>
      <w:tr w:rsidR="009700A5" w:rsidTr="007C6BCB">
        <w:trPr>
          <w:trHeight w:val="284"/>
          <w:jc w:val="center"/>
        </w:trPr>
        <w:tc>
          <w:tcPr>
            <w:tcW w:w="2559" w:type="dxa"/>
            <w:tcBorders>
              <w:top w:val="single" w:sz="4" w:space="0" w:color="auto"/>
              <w:bottom w:val="single" w:sz="4" w:space="0" w:color="auto"/>
            </w:tcBorders>
            <w:shd w:val="clear" w:color="auto" w:fill="A8CBEE" w:themeFill="accent2" w:themeFillTint="66"/>
            <w:vAlign w:val="center"/>
            <w:hideMark/>
          </w:tcPr>
          <w:p w:rsidR="009700A5" w:rsidRPr="009700A5" w:rsidRDefault="009700A5" w:rsidP="00980CDD">
            <w:pPr>
              <w:pStyle w:val="cuadroCabe"/>
              <w:jc w:val="left"/>
              <w:rPr>
                <w:rFonts w:cs="Arial"/>
              </w:rPr>
            </w:pPr>
            <w:r w:rsidRPr="009700A5">
              <w:rPr>
                <w:rFonts w:cs="Arial"/>
              </w:rPr>
              <w:t>T</w:t>
            </w:r>
            <w:r>
              <w:rPr>
                <w:rFonts w:cs="Arial"/>
              </w:rPr>
              <w:t>otal</w:t>
            </w:r>
          </w:p>
        </w:tc>
        <w:tc>
          <w:tcPr>
            <w:tcW w:w="2137" w:type="dxa"/>
            <w:tcBorders>
              <w:top w:val="single" w:sz="4" w:space="0" w:color="auto"/>
              <w:bottom w:val="single" w:sz="4" w:space="0" w:color="auto"/>
            </w:tcBorders>
            <w:shd w:val="clear" w:color="auto" w:fill="A8CBEE" w:themeFill="accent2" w:themeFillTint="66"/>
            <w:vAlign w:val="center"/>
            <w:hideMark/>
          </w:tcPr>
          <w:p w:rsidR="009700A5" w:rsidRPr="009700A5" w:rsidRDefault="009700A5" w:rsidP="007C6BCB">
            <w:pPr>
              <w:pStyle w:val="cuadroCabe"/>
              <w:jc w:val="right"/>
              <w:rPr>
                <w:rFonts w:cs="Arial"/>
              </w:rPr>
            </w:pPr>
            <w:r w:rsidRPr="009700A5">
              <w:rPr>
                <w:rFonts w:cs="Arial"/>
              </w:rPr>
              <w:t>176.648</w:t>
            </w:r>
          </w:p>
        </w:tc>
        <w:tc>
          <w:tcPr>
            <w:tcW w:w="1787" w:type="dxa"/>
            <w:tcBorders>
              <w:top w:val="single" w:sz="4" w:space="0" w:color="auto"/>
              <w:bottom w:val="single" w:sz="4" w:space="0" w:color="auto"/>
            </w:tcBorders>
            <w:shd w:val="clear" w:color="auto" w:fill="A8CBEE" w:themeFill="accent2" w:themeFillTint="66"/>
            <w:vAlign w:val="center"/>
            <w:hideMark/>
          </w:tcPr>
          <w:p w:rsidR="009700A5" w:rsidRPr="009700A5" w:rsidRDefault="009700A5" w:rsidP="007C6BCB">
            <w:pPr>
              <w:pStyle w:val="cuadroCabe"/>
              <w:jc w:val="right"/>
              <w:rPr>
                <w:rFonts w:cs="Arial"/>
              </w:rPr>
            </w:pPr>
            <w:r w:rsidRPr="009700A5">
              <w:rPr>
                <w:rFonts w:cs="Arial"/>
              </w:rPr>
              <w:t>28.757</w:t>
            </w:r>
          </w:p>
        </w:tc>
        <w:tc>
          <w:tcPr>
            <w:tcW w:w="1198" w:type="dxa"/>
            <w:tcBorders>
              <w:top w:val="single" w:sz="4" w:space="0" w:color="auto"/>
              <w:bottom w:val="single" w:sz="4" w:space="0" w:color="auto"/>
            </w:tcBorders>
            <w:shd w:val="clear" w:color="auto" w:fill="A8CBEE" w:themeFill="accent2" w:themeFillTint="66"/>
            <w:vAlign w:val="center"/>
            <w:hideMark/>
          </w:tcPr>
          <w:p w:rsidR="009700A5" w:rsidRPr="009700A5" w:rsidRDefault="009700A5" w:rsidP="007C6BCB">
            <w:pPr>
              <w:pStyle w:val="cuadroCabe"/>
              <w:jc w:val="right"/>
              <w:rPr>
                <w:rFonts w:cs="Arial"/>
              </w:rPr>
            </w:pPr>
            <w:r w:rsidRPr="009700A5">
              <w:rPr>
                <w:rFonts w:cs="Arial"/>
              </w:rPr>
              <w:t>53.902</w:t>
            </w:r>
          </w:p>
        </w:tc>
        <w:tc>
          <w:tcPr>
            <w:tcW w:w="1081" w:type="dxa"/>
            <w:tcBorders>
              <w:top w:val="single" w:sz="4" w:space="0" w:color="auto"/>
              <w:bottom w:val="single" w:sz="4" w:space="0" w:color="auto"/>
            </w:tcBorders>
            <w:shd w:val="clear" w:color="auto" w:fill="A8CBEE" w:themeFill="accent2" w:themeFillTint="66"/>
            <w:vAlign w:val="center"/>
            <w:hideMark/>
          </w:tcPr>
          <w:p w:rsidR="009700A5" w:rsidRPr="009700A5" w:rsidRDefault="009700A5" w:rsidP="007C6BCB">
            <w:pPr>
              <w:pStyle w:val="cuadroCabe"/>
              <w:jc w:val="right"/>
              <w:rPr>
                <w:rFonts w:cs="Arial"/>
              </w:rPr>
            </w:pPr>
            <w:r w:rsidRPr="009700A5">
              <w:rPr>
                <w:rFonts w:cs="Arial"/>
              </w:rPr>
              <w:t>259.307</w:t>
            </w:r>
          </w:p>
        </w:tc>
      </w:tr>
    </w:tbl>
    <w:p w:rsidR="00864016" w:rsidRDefault="00864016" w:rsidP="00B07A4C">
      <w:pPr>
        <w:pStyle w:val="texto"/>
        <w:spacing w:after="0"/>
        <w:rPr>
          <w:lang w:val="es-ES"/>
        </w:rPr>
      </w:pPr>
    </w:p>
    <w:p w:rsidR="008D534A" w:rsidRPr="00864016" w:rsidRDefault="001B21FC" w:rsidP="00864016">
      <w:pPr>
        <w:pStyle w:val="texto"/>
        <w:spacing w:after="120"/>
        <w:rPr>
          <w:lang w:val="es-ES"/>
        </w:rPr>
      </w:pPr>
      <w:r w:rsidRPr="00864016">
        <w:rPr>
          <w:lang w:val="es-ES"/>
        </w:rPr>
        <w:t>De</w:t>
      </w:r>
      <w:r w:rsidR="009700A5" w:rsidRPr="00864016">
        <w:rPr>
          <w:lang w:val="es-ES"/>
        </w:rPr>
        <w:t>staca</w:t>
      </w:r>
      <w:r w:rsidR="002C1E9F" w:rsidRPr="00864016">
        <w:rPr>
          <w:lang w:val="es-ES"/>
        </w:rPr>
        <w:t xml:space="preserve">mos </w:t>
      </w:r>
      <w:r w:rsidR="009700A5" w:rsidRPr="00864016">
        <w:rPr>
          <w:lang w:val="es-ES"/>
        </w:rPr>
        <w:t xml:space="preserve">que, del importe total, </w:t>
      </w:r>
      <w:r w:rsidRPr="00864016">
        <w:rPr>
          <w:lang w:val="es-ES"/>
        </w:rPr>
        <w:t>176,65 millones corresponden a endeudamiento con entidades financieras</w:t>
      </w:r>
      <w:r w:rsidR="000C78EA" w:rsidRPr="00864016">
        <w:rPr>
          <w:lang w:val="es-ES"/>
        </w:rPr>
        <w:t xml:space="preserve">, inferior en </w:t>
      </w:r>
      <w:r w:rsidR="00EB3A3C">
        <w:rPr>
          <w:lang w:val="es-ES"/>
        </w:rPr>
        <w:t>31,56</w:t>
      </w:r>
      <w:r w:rsidR="000C78EA" w:rsidRPr="00864016">
        <w:rPr>
          <w:lang w:val="es-ES"/>
        </w:rPr>
        <w:t xml:space="preserve"> millones al </w:t>
      </w:r>
      <w:r w:rsidR="002C1E9F" w:rsidRPr="00864016">
        <w:rPr>
          <w:lang w:val="es-ES"/>
        </w:rPr>
        <w:t>volumen</w:t>
      </w:r>
      <w:r w:rsidR="009700A5" w:rsidRPr="00864016">
        <w:rPr>
          <w:lang w:val="es-ES"/>
        </w:rPr>
        <w:t xml:space="preserve"> de</w:t>
      </w:r>
      <w:r w:rsidR="000C78EA" w:rsidRPr="00864016">
        <w:rPr>
          <w:lang w:val="es-ES"/>
        </w:rPr>
        <w:t xml:space="preserve"> 2014</w:t>
      </w:r>
      <w:r w:rsidR="002C1E9F" w:rsidRPr="00864016">
        <w:rPr>
          <w:lang w:val="es-ES"/>
        </w:rPr>
        <w:t>.</w:t>
      </w:r>
      <w:r w:rsidRPr="00864016">
        <w:rPr>
          <w:lang w:val="es-ES"/>
        </w:rPr>
        <w:t xml:space="preserve"> </w:t>
      </w:r>
    </w:p>
    <w:p w:rsidR="00864016" w:rsidRPr="002742C2" w:rsidRDefault="00864016" w:rsidP="00864016">
      <w:pPr>
        <w:pStyle w:val="texto"/>
        <w:spacing w:after="120"/>
        <w:rPr>
          <w:lang w:val="es-ES"/>
        </w:rPr>
      </w:pPr>
      <w:r w:rsidRPr="002742C2">
        <w:rPr>
          <w:lang w:val="es-ES"/>
        </w:rPr>
        <w:t>En “otros” señalamos, como más relevante, el Plan Director Fondo de Reposición y Reparaciones Extraordinarias de la sociedad NILSA, con un saldo en 2015 de 23,58 millones (en 2014, 21,03 millones).</w:t>
      </w:r>
    </w:p>
    <w:p w:rsidR="005B398D" w:rsidRPr="00025F0D" w:rsidRDefault="005B398D" w:rsidP="008D534A">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ind w:left="0" w:firstLine="290"/>
        <w:rPr>
          <w:rFonts w:ascii="Times New (W1)" w:hAnsi="Times New (W1)"/>
          <w:bCs/>
        </w:rPr>
      </w:pPr>
      <w:r w:rsidRPr="00025F0D">
        <w:rPr>
          <w:rFonts w:ascii="Times New (W1)" w:hAnsi="Times New (W1)"/>
          <w:bCs/>
        </w:rPr>
        <w:t>El i</w:t>
      </w:r>
      <w:r w:rsidR="000E1030" w:rsidRPr="00025F0D">
        <w:rPr>
          <w:rFonts w:ascii="Times New (W1)" w:hAnsi="Times New (W1)"/>
          <w:bCs/>
        </w:rPr>
        <w:t>mporte</w:t>
      </w:r>
      <w:r w:rsidRPr="00025F0D">
        <w:rPr>
          <w:rFonts w:ascii="Times New (W1)" w:hAnsi="Times New (W1)"/>
          <w:bCs/>
        </w:rPr>
        <w:t xml:space="preserve"> de la</w:t>
      </w:r>
      <w:r w:rsidR="000E1030" w:rsidRPr="00025F0D">
        <w:rPr>
          <w:rFonts w:ascii="Times New (W1)" w:hAnsi="Times New (W1)"/>
          <w:bCs/>
        </w:rPr>
        <w:t xml:space="preserve"> cifra de negocios</w:t>
      </w:r>
      <w:r w:rsidRPr="00025F0D">
        <w:rPr>
          <w:rFonts w:ascii="Times New (W1)" w:hAnsi="Times New (W1)"/>
          <w:bCs/>
        </w:rPr>
        <w:t xml:space="preserve"> se ha reducido en un tres por ciento, es decir, 3,71 millones menos. Las variaciones más significativas se observan en N</w:t>
      </w:r>
      <w:r w:rsidR="006362BE">
        <w:rPr>
          <w:rFonts w:ascii="Times New (W1)" w:hAnsi="Times New (W1)"/>
          <w:bCs/>
        </w:rPr>
        <w:t>asuvinsa</w:t>
      </w:r>
      <w:r w:rsidR="00BD222E" w:rsidRPr="00025F0D">
        <w:rPr>
          <w:rFonts w:ascii="Times New (W1)" w:hAnsi="Times New (W1)"/>
          <w:bCs/>
        </w:rPr>
        <w:t xml:space="preserve"> </w:t>
      </w:r>
      <w:r w:rsidRPr="00025F0D">
        <w:rPr>
          <w:rFonts w:ascii="Times New (W1)" w:hAnsi="Times New (W1)"/>
          <w:bCs/>
        </w:rPr>
        <w:t>–incrementa su cifra en más de seis millones</w:t>
      </w:r>
      <w:r w:rsidR="0041180E">
        <w:rPr>
          <w:rFonts w:ascii="Times New (W1)" w:hAnsi="Times New (W1)"/>
          <w:bCs/>
        </w:rPr>
        <w:t>–</w:t>
      </w:r>
      <w:r w:rsidRPr="00025F0D">
        <w:rPr>
          <w:rFonts w:ascii="Times New (W1)" w:hAnsi="Times New (W1)"/>
          <w:bCs/>
        </w:rPr>
        <w:t xml:space="preserve"> y en CPEN –reduce esta magnitud en más de nueve millones</w:t>
      </w:r>
      <w:r w:rsidR="0041180E">
        <w:rPr>
          <w:rFonts w:ascii="Times New (W1)" w:hAnsi="Times New (W1)"/>
          <w:bCs/>
        </w:rPr>
        <w:t>–</w:t>
      </w:r>
      <w:r w:rsidRPr="00025F0D">
        <w:rPr>
          <w:rFonts w:ascii="Times New (W1)" w:hAnsi="Times New (W1)"/>
          <w:bCs/>
        </w:rPr>
        <w:t>.</w:t>
      </w:r>
    </w:p>
    <w:p w:rsidR="000E1030" w:rsidRPr="00DD1E04" w:rsidRDefault="000E1030" w:rsidP="00636678">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ind w:left="0" w:firstLine="290"/>
        <w:rPr>
          <w:rFonts w:ascii="Times New (W1)" w:hAnsi="Times New (W1)"/>
          <w:bCs/>
        </w:rPr>
      </w:pPr>
      <w:r w:rsidRPr="00B31E6C">
        <w:rPr>
          <w:rFonts w:ascii="Times New (W1)" w:hAnsi="Times New (W1)"/>
          <w:bCs/>
        </w:rPr>
        <w:t xml:space="preserve">Subvenciones </w:t>
      </w:r>
      <w:r w:rsidR="00B431DC" w:rsidRPr="00B31E6C">
        <w:rPr>
          <w:rFonts w:ascii="Times New (W1)" w:hAnsi="Times New (W1)"/>
          <w:bCs/>
        </w:rPr>
        <w:t xml:space="preserve">de explotación </w:t>
      </w:r>
      <w:r w:rsidRPr="00DD1E04">
        <w:rPr>
          <w:rFonts w:ascii="Times New (W1)" w:hAnsi="Times New (W1)"/>
          <w:bCs/>
        </w:rPr>
        <w:t>recibidas</w:t>
      </w:r>
      <w:r w:rsidR="004470E8" w:rsidRPr="00DD1E04">
        <w:rPr>
          <w:rFonts w:ascii="Times New (W1)" w:hAnsi="Times New (W1)"/>
          <w:bCs/>
        </w:rPr>
        <w:t xml:space="preserve"> del Gobierno de Navarra. En 2015,</w:t>
      </w:r>
      <w:r w:rsidR="00B431DC" w:rsidRPr="00DD1E04">
        <w:rPr>
          <w:rFonts w:ascii="Times New (W1)" w:hAnsi="Times New (W1)"/>
          <w:bCs/>
        </w:rPr>
        <w:t xml:space="preserve"> y de acuerdo con las cuentas anuales de las sociedades, éstas</w:t>
      </w:r>
      <w:r w:rsidR="004470E8" w:rsidRPr="00DD1E04">
        <w:rPr>
          <w:rFonts w:ascii="Times New (W1)" w:hAnsi="Times New (W1)"/>
          <w:bCs/>
        </w:rPr>
        <w:t xml:space="preserve"> han percibido</w:t>
      </w:r>
      <w:r w:rsidR="00B431DC" w:rsidRPr="00DD1E04">
        <w:rPr>
          <w:rFonts w:ascii="Times New (W1)" w:hAnsi="Times New (W1)"/>
          <w:bCs/>
        </w:rPr>
        <w:t xml:space="preserve"> del Gobierno de Navarra</w:t>
      </w:r>
      <w:r w:rsidR="004470E8" w:rsidRPr="00DD1E04">
        <w:rPr>
          <w:rFonts w:ascii="Times New (W1)" w:hAnsi="Times New (W1)"/>
          <w:bCs/>
        </w:rPr>
        <w:t xml:space="preserve"> un total de</w:t>
      </w:r>
      <w:r w:rsidR="00B431DC" w:rsidRPr="00DD1E04">
        <w:rPr>
          <w:rFonts w:ascii="Times New (W1)" w:hAnsi="Times New (W1)"/>
          <w:bCs/>
        </w:rPr>
        <w:t xml:space="preserve"> </w:t>
      </w:r>
      <w:r w:rsidR="00DD1E04" w:rsidRPr="00DD1E04">
        <w:rPr>
          <w:rFonts w:ascii="Times New (W1)" w:hAnsi="Times New (W1)"/>
          <w:bCs/>
        </w:rPr>
        <w:t>7,37</w:t>
      </w:r>
      <w:r w:rsidR="008D750E" w:rsidRPr="00DD1E04">
        <w:rPr>
          <w:rFonts w:ascii="Times New (W1)" w:hAnsi="Times New (W1)"/>
          <w:bCs/>
        </w:rPr>
        <w:t xml:space="preserve"> </w:t>
      </w:r>
      <w:r w:rsidR="004470E8" w:rsidRPr="00DD1E04">
        <w:rPr>
          <w:rFonts w:ascii="Times New (W1)" w:hAnsi="Times New (W1)"/>
          <w:bCs/>
        </w:rPr>
        <w:t xml:space="preserve">millones en subvenciones </w:t>
      </w:r>
      <w:r w:rsidR="00B431DC" w:rsidRPr="00DD1E04">
        <w:rPr>
          <w:rFonts w:ascii="Times New (W1)" w:hAnsi="Times New (W1)"/>
          <w:bCs/>
        </w:rPr>
        <w:t>de explotación</w:t>
      </w:r>
      <w:r w:rsidR="004470E8" w:rsidRPr="00DD1E04">
        <w:rPr>
          <w:rFonts w:ascii="Times New (W1)" w:hAnsi="Times New (W1)"/>
          <w:bCs/>
        </w:rPr>
        <w:t xml:space="preserve">, un </w:t>
      </w:r>
      <w:r w:rsidR="00DD1E04" w:rsidRPr="00DD1E04">
        <w:rPr>
          <w:rFonts w:ascii="Times New (W1)" w:hAnsi="Times New (W1)"/>
          <w:bCs/>
        </w:rPr>
        <w:t>diez</w:t>
      </w:r>
      <w:r w:rsidR="008D750E" w:rsidRPr="00DD1E04">
        <w:rPr>
          <w:rFonts w:ascii="Times New (W1)" w:hAnsi="Times New (W1)"/>
          <w:bCs/>
        </w:rPr>
        <w:t xml:space="preserve"> </w:t>
      </w:r>
      <w:r w:rsidR="004470E8" w:rsidRPr="00DD1E04">
        <w:rPr>
          <w:rFonts w:ascii="Times New (W1)" w:hAnsi="Times New (W1)"/>
          <w:bCs/>
        </w:rPr>
        <w:t xml:space="preserve">por ciento superior a lo </w:t>
      </w:r>
      <w:r w:rsidR="00DD1E04" w:rsidRPr="00DD1E04">
        <w:rPr>
          <w:rFonts w:ascii="Times New (W1)" w:hAnsi="Times New (W1)"/>
          <w:bCs/>
        </w:rPr>
        <w:t>r</w:t>
      </w:r>
      <w:r w:rsidR="00F1193C">
        <w:rPr>
          <w:rFonts w:ascii="Times New (W1)" w:hAnsi="Times New (W1)"/>
          <w:bCs/>
        </w:rPr>
        <w:t>e</w:t>
      </w:r>
      <w:r w:rsidR="00DD1E04" w:rsidRPr="00DD1E04">
        <w:rPr>
          <w:rFonts w:ascii="Times New (W1)" w:hAnsi="Times New (W1)"/>
          <w:bCs/>
        </w:rPr>
        <w:t>cibido</w:t>
      </w:r>
      <w:r w:rsidR="004470E8" w:rsidRPr="00DD1E04">
        <w:rPr>
          <w:rFonts w:ascii="Times New (W1)" w:hAnsi="Times New (W1)"/>
          <w:bCs/>
        </w:rPr>
        <w:t xml:space="preserve"> en 2014. Estas subvenciones se concentran</w:t>
      </w:r>
      <w:r w:rsidR="00721661" w:rsidRPr="00DD1E04">
        <w:rPr>
          <w:rFonts w:ascii="Times New (W1)" w:hAnsi="Times New (W1)"/>
          <w:bCs/>
        </w:rPr>
        <w:t xml:space="preserve"> básicamente</w:t>
      </w:r>
      <w:r w:rsidR="005B398D" w:rsidRPr="00DD1E04">
        <w:rPr>
          <w:rFonts w:ascii="Times New (W1)" w:hAnsi="Times New (W1)"/>
          <w:bCs/>
        </w:rPr>
        <w:t xml:space="preserve"> en </w:t>
      </w:r>
      <w:r w:rsidR="0041180E">
        <w:rPr>
          <w:rFonts w:ascii="Times New (W1)" w:hAnsi="Times New (W1)"/>
          <w:bCs/>
        </w:rPr>
        <w:t>INTIA –</w:t>
      </w:r>
      <w:r w:rsidR="00DD1E04" w:rsidRPr="00DD1E04">
        <w:rPr>
          <w:rFonts w:ascii="Times New (W1)" w:hAnsi="Times New (W1)"/>
          <w:bCs/>
        </w:rPr>
        <w:t>5,16 millones</w:t>
      </w:r>
      <w:r w:rsidR="0041180E">
        <w:rPr>
          <w:rFonts w:ascii="Times New (W1)" w:hAnsi="Times New (W1)"/>
          <w:bCs/>
        </w:rPr>
        <w:t>–</w:t>
      </w:r>
      <w:r w:rsidR="00DD1E04" w:rsidRPr="00DD1E04">
        <w:rPr>
          <w:rFonts w:ascii="Times New (W1)" w:hAnsi="Times New (W1)"/>
          <w:bCs/>
        </w:rPr>
        <w:t xml:space="preserve">, </w:t>
      </w:r>
      <w:r w:rsidR="004470E8" w:rsidRPr="00DD1E04">
        <w:rPr>
          <w:rFonts w:ascii="Times New (W1)" w:hAnsi="Times New (W1)"/>
          <w:bCs/>
        </w:rPr>
        <w:t xml:space="preserve">CEIN </w:t>
      </w:r>
      <w:r w:rsidR="0041180E">
        <w:rPr>
          <w:rFonts w:ascii="Times New (W1)" w:hAnsi="Times New (W1)"/>
          <w:bCs/>
        </w:rPr>
        <w:t>–</w:t>
      </w:r>
      <w:r w:rsidR="00DD1E04" w:rsidRPr="00DD1E04">
        <w:rPr>
          <w:rFonts w:ascii="Times New (W1)" w:hAnsi="Times New (W1)"/>
          <w:bCs/>
        </w:rPr>
        <w:t>1,11 millones</w:t>
      </w:r>
      <w:r w:rsidR="0041180E">
        <w:rPr>
          <w:rFonts w:ascii="Times New (W1)" w:hAnsi="Times New (W1)"/>
          <w:bCs/>
        </w:rPr>
        <w:t>–</w:t>
      </w:r>
      <w:r w:rsidR="004470E8" w:rsidRPr="00DD1E04">
        <w:rPr>
          <w:rFonts w:ascii="Times New (W1)" w:hAnsi="Times New (W1)"/>
          <w:bCs/>
        </w:rPr>
        <w:t xml:space="preserve"> y en </w:t>
      </w:r>
      <w:r w:rsidR="00DD1E04" w:rsidRPr="00DD1E04">
        <w:rPr>
          <w:rFonts w:ascii="Times New (W1)" w:hAnsi="Times New (W1)"/>
          <w:bCs/>
        </w:rPr>
        <w:t>N</w:t>
      </w:r>
      <w:r w:rsidR="006362BE">
        <w:rPr>
          <w:rFonts w:ascii="Times New (W1)" w:hAnsi="Times New (W1)"/>
          <w:bCs/>
        </w:rPr>
        <w:t>asuvinsa</w:t>
      </w:r>
      <w:r w:rsidR="00DD1E04" w:rsidRPr="00DD1E04">
        <w:rPr>
          <w:rFonts w:ascii="Times New (W1)" w:hAnsi="Times New (W1)"/>
          <w:bCs/>
        </w:rPr>
        <w:t xml:space="preserve"> </w:t>
      </w:r>
      <w:r w:rsidR="0041180E">
        <w:rPr>
          <w:rFonts w:ascii="Times New (W1)" w:hAnsi="Times New (W1)"/>
          <w:bCs/>
        </w:rPr>
        <w:t>–</w:t>
      </w:r>
      <w:r w:rsidR="00DD1E04" w:rsidRPr="00DD1E04">
        <w:rPr>
          <w:rFonts w:ascii="Times New (W1)" w:hAnsi="Times New (W1)"/>
          <w:bCs/>
        </w:rPr>
        <w:t>1,05 millones</w:t>
      </w:r>
      <w:r w:rsidR="0041180E">
        <w:rPr>
          <w:rFonts w:ascii="Times New (W1)" w:hAnsi="Times New (W1)"/>
          <w:bCs/>
        </w:rPr>
        <w:t>–</w:t>
      </w:r>
      <w:r w:rsidR="00DD1E04" w:rsidRPr="00DD1E04">
        <w:rPr>
          <w:rFonts w:ascii="Times New (W1)" w:hAnsi="Times New (W1)"/>
          <w:bCs/>
        </w:rPr>
        <w:t>.</w:t>
      </w:r>
    </w:p>
    <w:p w:rsidR="00917BDA" w:rsidRPr="00025F0D" w:rsidRDefault="00917BDA" w:rsidP="00636678">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ind w:left="0" w:firstLine="290"/>
        <w:rPr>
          <w:rFonts w:ascii="Times New (W1)" w:hAnsi="Times New (W1)"/>
          <w:bCs/>
        </w:rPr>
      </w:pPr>
      <w:r w:rsidRPr="00025F0D">
        <w:rPr>
          <w:rFonts w:ascii="Times New (W1)" w:hAnsi="Times New (W1)"/>
          <w:bCs/>
        </w:rPr>
        <w:t xml:space="preserve">Se sigue observando una buena situación de </w:t>
      </w:r>
      <w:r w:rsidR="00BF3782" w:rsidRPr="00025F0D">
        <w:rPr>
          <w:rFonts w:ascii="Times New (W1)" w:hAnsi="Times New (W1)"/>
          <w:bCs/>
        </w:rPr>
        <w:t>la</w:t>
      </w:r>
      <w:r w:rsidRPr="00025F0D">
        <w:rPr>
          <w:rFonts w:ascii="Times New (W1)" w:hAnsi="Times New (W1)"/>
          <w:bCs/>
        </w:rPr>
        <w:t xml:space="preserve"> solvencia a corto</w:t>
      </w:r>
      <w:r w:rsidR="00BF3782" w:rsidRPr="00025F0D">
        <w:rPr>
          <w:rFonts w:ascii="Times New (W1)" w:hAnsi="Times New (W1)"/>
          <w:bCs/>
        </w:rPr>
        <w:t xml:space="preserve"> del conjunto de sociedades públicas</w:t>
      </w:r>
      <w:r w:rsidRPr="00025F0D">
        <w:rPr>
          <w:rFonts w:ascii="Times New (W1)" w:hAnsi="Times New (W1)"/>
          <w:bCs/>
        </w:rPr>
        <w:t>, tal como se deduce del análisis de la evolución de su fondo de maniobra como de sus inversiones financieras a corto plazo y de tesorería.</w:t>
      </w:r>
    </w:p>
    <w:p w:rsidR="00FB5CB5" w:rsidRDefault="00143390" w:rsidP="00636678">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ind w:left="0" w:firstLine="290"/>
        <w:rPr>
          <w:rFonts w:ascii="Times New (W1)" w:hAnsi="Times New (W1)"/>
          <w:bCs/>
        </w:rPr>
      </w:pPr>
      <w:r>
        <w:rPr>
          <w:rFonts w:ascii="Times New (W1)" w:hAnsi="Times New (W1)"/>
          <w:bCs/>
        </w:rPr>
        <w:t xml:space="preserve">Los gastos de personal en 2015 se han incrementado </w:t>
      </w:r>
      <w:r w:rsidR="009700A5">
        <w:rPr>
          <w:rFonts w:ascii="Times New (W1)" w:hAnsi="Times New (W1)"/>
          <w:bCs/>
        </w:rPr>
        <w:t>en un ocho</w:t>
      </w:r>
      <w:r w:rsidRPr="00025F0D">
        <w:rPr>
          <w:rFonts w:ascii="Times New (W1)" w:hAnsi="Times New (W1)"/>
          <w:bCs/>
        </w:rPr>
        <w:t xml:space="preserve"> por ciento</w:t>
      </w:r>
      <w:r>
        <w:rPr>
          <w:rFonts w:ascii="Times New (W1)" w:hAnsi="Times New (W1)"/>
          <w:bCs/>
        </w:rPr>
        <w:t>. Dentro de los mismos</w:t>
      </w:r>
      <w:r w:rsidR="00FB5CB5">
        <w:rPr>
          <w:rFonts w:ascii="Times New (W1)" w:hAnsi="Times New (W1)"/>
          <w:bCs/>
        </w:rPr>
        <w:t xml:space="preserve"> se incluye el abono</w:t>
      </w:r>
      <w:r>
        <w:rPr>
          <w:rFonts w:ascii="Times New (W1)" w:hAnsi="Times New (W1)"/>
          <w:bCs/>
        </w:rPr>
        <w:t xml:space="preserve"> </w:t>
      </w:r>
      <w:r w:rsidR="00FB5CB5">
        <w:rPr>
          <w:rFonts w:ascii="Times New (W1)" w:hAnsi="Times New (W1)"/>
          <w:bCs/>
        </w:rPr>
        <w:t>de</w:t>
      </w:r>
      <w:r w:rsidR="00493AC8">
        <w:rPr>
          <w:rFonts w:ascii="Times New (W1)" w:hAnsi="Times New (W1)"/>
          <w:bCs/>
        </w:rPr>
        <w:t>l 24,04 por ciento</w:t>
      </w:r>
      <w:r w:rsidR="00FB5CB5">
        <w:rPr>
          <w:rFonts w:ascii="Times New (W1)" w:hAnsi="Times New (W1)"/>
          <w:bCs/>
        </w:rPr>
        <w:t xml:space="preserve"> de la paga extra </w:t>
      </w:r>
      <w:r w:rsidR="00493AC8">
        <w:rPr>
          <w:rFonts w:ascii="Times New (W1)" w:hAnsi="Times New (W1)"/>
          <w:bCs/>
        </w:rPr>
        <w:t xml:space="preserve">suprimida </w:t>
      </w:r>
      <w:r w:rsidR="00FB5CB5">
        <w:rPr>
          <w:rFonts w:ascii="Times New (W1)" w:hAnsi="Times New (W1)"/>
          <w:bCs/>
        </w:rPr>
        <w:t>de diciembre de 2012 por importe de 0,59 millones</w:t>
      </w:r>
      <w:r w:rsidR="000F69EE">
        <w:rPr>
          <w:rFonts w:ascii="Times New (W1)" w:hAnsi="Times New (W1)"/>
          <w:bCs/>
        </w:rPr>
        <w:t xml:space="preserve"> así como</w:t>
      </w:r>
      <w:r w:rsidR="00493AC8">
        <w:rPr>
          <w:rFonts w:ascii="Times New (W1)" w:hAnsi="Times New (W1)"/>
          <w:bCs/>
        </w:rPr>
        <w:t>,</w:t>
      </w:r>
      <w:r w:rsidR="000F69EE">
        <w:rPr>
          <w:rFonts w:ascii="Times New (W1)" w:hAnsi="Times New (W1)"/>
          <w:bCs/>
        </w:rPr>
        <w:t xml:space="preserve"> en remuneraciones pendientes de pago</w:t>
      </w:r>
      <w:r w:rsidR="00493AC8">
        <w:rPr>
          <w:rFonts w:ascii="Times New (W1)" w:hAnsi="Times New (W1)"/>
          <w:bCs/>
        </w:rPr>
        <w:t>, se contempla el 26,23 por ciento de</w:t>
      </w:r>
      <w:r w:rsidR="000F69EE">
        <w:rPr>
          <w:rFonts w:ascii="Times New (W1)" w:hAnsi="Times New (W1)"/>
          <w:bCs/>
        </w:rPr>
        <w:t xml:space="preserve"> </w:t>
      </w:r>
      <w:r w:rsidR="00493AC8">
        <w:rPr>
          <w:rFonts w:ascii="Times New (W1)" w:hAnsi="Times New (W1)"/>
          <w:bCs/>
        </w:rPr>
        <w:t xml:space="preserve">la misma </w:t>
      </w:r>
      <w:r w:rsidR="000F69EE">
        <w:rPr>
          <w:rFonts w:ascii="Times New (W1)" w:hAnsi="Times New (W1)"/>
          <w:bCs/>
        </w:rPr>
        <w:t>que ha sido abonada en enero de 2016 por 0,</w:t>
      </w:r>
      <w:r w:rsidR="00493AC8">
        <w:rPr>
          <w:rFonts w:ascii="Times New (W1)" w:hAnsi="Times New (W1)"/>
          <w:bCs/>
        </w:rPr>
        <w:t>61</w:t>
      </w:r>
      <w:r w:rsidR="000F69EE">
        <w:rPr>
          <w:rFonts w:ascii="Times New (W1)" w:hAnsi="Times New (W1)"/>
          <w:bCs/>
        </w:rPr>
        <w:t xml:space="preserve"> millones</w:t>
      </w:r>
      <w:r>
        <w:rPr>
          <w:rFonts w:ascii="Times New (W1)" w:hAnsi="Times New (W1)"/>
          <w:bCs/>
        </w:rPr>
        <w:t xml:space="preserve">; </w:t>
      </w:r>
      <w:r w:rsidR="00493AC8">
        <w:rPr>
          <w:rFonts w:ascii="Times New (W1)" w:hAnsi="Times New (W1)"/>
          <w:bCs/>
        </w:rPr>
        <w:t>igualmente</w:t>
      </w:r>
      <w:r w:rsidR="00FB5CB5">
        <w:rPr>
          <w:rFonts w:ascii="Times New (W1)" w:hAnsi="Times New (W1)"/>
          <w:bCs/>
        </w:rPr>
        <w:t xml:space="preserve"> contiene, en la </w:t>
      </w:r>
      <w:r w:rsidR="000E1030">
        <w:rPr>
          <w:rFonts w:ascii="Times New (W1)" w:hAnsi="Times New (W1)"/>
          <w:bCs/>
        </w:rPr>
        <w:t xml:space="preserve">sociedad </w:t>
      </w:r>
      <w:r w:rsidR="00FB5CB5">
        <w:rPr>
          <w:rFonts w:ascii="Times New (W1)" w:hAnsi="Times New (W1)"/>
          <w:bCs/>
        </w:rPr>
        <w:t>CPEN, un gasto derivado de una indemnización por cese de alta direc</w:t>
      </w:r>
      <w:r w:rsidR="00224E50">
        <w:rPr>
          <w:rFonts w:ascii="Times New (W1)" w:hAnsi="Times New (W1)"/>
          <w:bCs/>
        </w:rPr>
        <w:t xml:space="preserve">ción por </w:t>
      </w:r>
      <w:r w:rsidR="00FB5CB5">
        <w:rPr>
          <w:rFonts w:ascii="Times New (W1)" w:hAnsi="Times New (W1)"/>
          <w:bCs/>
        </w:rPr>
        <w:t xml:space="preserve">cuantía de 98.776 euros. </w:t>
      </w:r>
    </w:p>
    <w:p w:rsidR="00126702" w:rsidRDefault="00917BDA" w:rsidP="00917BDA">
      <w:pPr>
        <w:pStyle w:val="texto"/>
        <w:spacing w:after="120"/>
        <w:rPr>
          <w:lang w:val="es-ES"/>
        </w:rPr>
      </w:pPr>
      <w:r w:rsidRPr="00025F0D">
        <w:rPr>
          <w:lang w:val="es-ES"/>
        </w:rPr>
        <w:t xml:space="preserve">El </w:t>
      </w:r>
      <w:r w:rsidRPr="00BA7FB3">
        <w:rPr>
          <w:lang w:val="es-ES"/>
        </w:rPr>
        <w:t xml:space="preserve">número global medio </w:t>
      </w:r>
      <w:r w:rsidRPr="00025F0D">
        <w:rPr>
          <w:lang w:val="es-ES"/>
        </w:rPr>
        <w:t>de empleados</w:t>
      </w:r>
      <w:r w:rsidR="00D14B5C">
        <w:rPr>
          <w:lang w:val="es-ES"/>
        </w:rPr>
        <w:t xml:space="preserve"> </w:t>
      </w:r>
      <w:r w:rsidRPr="00025F0D">
        <w:rPr>
          <w:lang w:val="es-ES"/>
        </w:rPr>
        <w:t xml:space="preserve">de las sociedades públicas se ha incrementado en un </w:t>
      </w:r>
      <w:r w:rsidR="00BA7FB3">
        <w:rPr>
          <w:lang w:val="es-ES"/>
        </w:rPr>
        <w:t>dos</w:t>
      </w:r>
      <w:r w:rsidRPr="00025F0D">
        <w:rPr>
          <w:lang w:val="es-ES"/>
        </w:rPr>
        <w:t xml:space="preserve"> por ciento, esto es, en </w:t>
      </w:r>
      <w:r w:rsidR="002742C2" w:rsidRPr="002742C2">
        <w:rPr>
          <w:lang w:val="es-ES"/>
        </w:rPr>
        <w:t>2</w:t>
      </w:r>
      <w:r w:rsidR="00BA7FB3">
        <w:rPr>
          <w:lang w:val="es-ES"/>
        </w:rPr>
        <w:t>4</w:t>
      </w:r>
      <w:r w:rsidRPr="00025F0D">
        <w:rPr>
          <w:lang w:val="es-ES"/>
        </w:rPr>
        <w:t xml:space="preserve"> puestos más, alcanza</w:t>
      </w:r>
      <w:r w:rsidR="006362BE">
        <w:rPr>
          <w:lang w:val="es-ES"/>
        </w:rPr>
        <w:t>n</w:t>
      </w:r>
      <w:r w:rsidRPr="00025F0D">
        <w:rPr>
          <w:lang w:val="es-ES"/>
        </w:rPr>
        <w:t>do la cifra de 1.0</w:t>
      </w:r>
      <w:r w:rsidR="00BA7FB3">
        <w:rPr>
          <w:lang w:val="es-ES"/>
        </w:rPr>
        <w:t>61</w:t>
      </w:r>
      <w:r w:rsidRPr="00025F0D">
        <w:rPr>
          <w:lang w:val="es-ES"/>
        </w:rPr>
        <w:t xml:space="preserve"> empleados, incluidos los de alta dirección. Por sociedades, las que experimentan </w:t>
      </w:r>
      <w:r w:rsidR="00CC0D1E">
        <w:rPr>
          <w:lang w:val="es-ES"/>
        </w:rPr>
        <w:t>u</w:t>
      </w:r>
      <w:r w:rsidRPr="00025F0D">
        <w:rPr>
          <w:lang w:val="es-ES"/>
        </w:rPr>
        <w:t xml:space="preserve">n mayor incremento son GAN </w:t>
      </w:r>
      <w:r w:rsidR="0041180E">
        <w:rPr>
          <w:lang w:val="es-ES"/>
        </w:rPr>
        <w:t>–</w:t>
      </w:r>
      <w:r w:rsidRPr="00025F0D">
        <w:rPr>
          <w:lang w:val="es-ES"/>
        </w:rPr>
        <w:t>22 trabajadores más</w:t>
      </w:r>
      <w:r w:rsidR="0041180E">
        <w:rPr>
          <w:lang w:val="es-ES"/>
        </w:rPr>
        <w:t>–</w:t>
      </w:r>
      <w:r w:rsidRPr="00025F0D">
        <w:rPr>
          <w:lang w:val="es-ES"/>
        </w:rPr>
        <w:t xml:space="preserve"> y T</w:t>
      </w:r>
      <w:r w:rsidR="006362BE">
        <w:rPr>
          <w:lang w:val="es-ES"/>
        </w:rPr>
        <w:t>racasa</w:t>
      </w:r>
      <w:r w:rsidRPr="00025F0D">
        <w:rPr>
          <w:lang w:val="es-ES"/>
        </w:rPr>
        <w:t xml:space="preserve"> –con 12 trabajadores más</w:t>
      </w:r>
      <w:r w:rsidR="0041180E">
        <w:rPr>
          <w:lang w:val="es-ES"/>
        </w:rPr>
        <w:t>–</w:t>
      </w:r>
      <w:r w:rsidRPr="00025F0D">
        <w:rPr>
          <w:lang w:val="es-ES"/>
        </w:rPr>
        <w:t>;</w:t>
      </w:r>
      <w:r w:rsidR="00126702">
        <w:rPr>
          <w:lang w:val="es-ES"/>
        </w:rPr>
        <w:t xml:space="preserve"> el incremento en GAN deriva básicamente en la reincorporación del personal afectado por el expediente</w:t>
      </w:r>
      <w:r w:rsidR="003775B8">
        <w:rPr>
          <w:lang w:val="es-ES"/>
        </w:rPr>
        <w:t xml:space="preserve"> de desp</w:t>
      </w:r>
      <w:r w:rsidR="00126702">
        <w:rPr>
          <w:lang w:val="es-ES"/>
        </w:rPr>
        <w:t>ido colectivo</w:t>
      </w:r>
      <w:r w:rsidR="003775B8">
        <w:rPr>
          <w:lang w:val="es-ES"/>
        </w:rPr>
        <w:t>.</w:t>
      </w:r>
      <w:r w:rsidRPr="00025F0D">
        <w:rPr>
          <w:lang w:val="es-ES"/>
        </w:rPr>
        <w:t xml:space="preserve"> </w:t>
      </w:r>
    </w:p>
    <w:p w:rsidR="00457F1D" w:rsidRPr="00025F0D" w:rsidRDefault="00126702" w:rsidP="00917BDA">
      <w:pPr>
        <w:pStyle w:val="texto"/>
        <w:spacing w:after="120"/>
        <w:rPr>
          <w:lang w:val="es-ES"/>
        </w:rPr>
      </w:pPr>
      <w:r>
        <w:rPr>
          <w:lang w:val="es-ES"/>
        </w:rPr>
        <w:t>T</w:t>
      </w:r>
      <w:r w:rsidR="00025F0D" w:rsidRPr="00025F0D">
        <w:rPr>
          <w:lang w:val="es-ES"/>
        </w:rPr>
        <w:t>res</w:t>
      </w:r>
      <w:r w:rsidR="00917BDA" w:rsidRPr="00025F0D">
        <w:rPr>
          <w:lang w:val="es-ES"/>
        </w:rPr>
        <w:t xml:space="preserve"> sociedades no cuentan con personal, P</w:t>
      </w:r>
      <w:r w:rsidR="006362BE">
        <w:rPr>
          <w:lang w:val="es-ES"/>
        </w:rPr>
        <w:t>osusa</w:t>
      </w:r>
      <w:r w:rsidR="00025F0D" w:rsidRPr="00025F0D">
        <w:rPr>
          <w:lang w:val="es-ES"/>
        </w:rPr>
        <w:t>, Natural Climate Systems</w:t>
      </w:r>
      <w:r w:rsidR="00917BDA" w:rsidRPr="00025F0D">
        <w:rPr>
          <w:lang w:val="es-ES"/>
        </w:rPr>
        <w:t xml:space="preserve"> y S</w:t>
      </w:r>
      <w:r w:rsidR="00BD222E" w:rsidRPr="00025F0D">
        <w:rPr>
          <w:lang w:val="es-ES"/>
        </w:rPr>
        <w:t>TART UP</w:t>
      </w:r>
      <w:r w:rsidR="00917BDA" w:rsidRPr="00025F0D">
        <w:rPr>
          <w:lang w:val="es-ES"/>
        </w:rPr>
        <w:t xml:space="preserve">. </w:t>
      </w:r>
    </w:p>
    <w:p w:rsidR="00AF102F" w:rsidRDefault="00457F1D" w:rsidP="00D14B5C">
      <w:pPr>
        <w:pStyle w:val="texto"/>
        <w:spacing w:after="120"/>
        <w:rPr>
          <w:rFonts w:ascii="Times New (W1)" w:hAnsi="Times New (W1)"/>
          <w:bCs/>
        </w:rPr>
      </w:pPr>
      <w:r>
        <w:rPr>
          <w:rFonts w:ascii="Times New (W1)" w:hAnsi="Times New (W1)"/>
          <w:bCs/>
        </w:rPr>
        <w:t>En octubre de 2015, el Gobierno de Navarra acordó los nuevos criterios para retribuir a los directores gerentes de las sociedades públicas integradas en la CPEN. Así, por un lado, se elimina la retribución variable ligada a objetivos que percibían los mismos –que podría suponer un incremento salarial de entre un 15 y un 50 por ciento</w:t>
      </w:r>
      <w:r w:rsidR="0041180E">
        <w:rPr>
          <w:rFonts w:ascii="Times New (W1)" w:hAnsi="Times New (W1)"/>
          <w:bCs/>
        </w:rPr>
        <w:t>–</w:t>
      </w:r>
      <w:r>
        <w:rPr>
          <w:rFonts w:ascii="Times New (W1)" w:hAnsi="Times New (W1)"/>
          <w:bCs/>
        </w:rPr>
        <w:t xml:space="preserve"> y, por otro, se incrementa la retribución salarial entre 2.750 y 8.250 euros brutos anuales a los gestores de determinadas sociedades en función de su complejidad de gestión; según esta nueva regulación, la horquilla de las retribuciones de los directores gerentes se sitúa entre 55.000 y 85.250 euros brutos anuales. </w:t>
      </w:r>
    </w:p>
    <w:p w:rsidR="00917BDA" w:rsidRPr="00B07A4C" w:rsidRDefault="00457F1D" w:rsidP="00457F1D">
      <w:pPr>
        <w:pStyle w:val="texto"/>
        <w:spacing w:after="120"/>
        <w:rPr>
          <w:rFonts w:ascii="Times New (W1)" w:hAnsi="Times New (W1)"/>
          <w:bCs/>
          <w:spacing w:val="2"/>
        </w:rPr>
      </w:pPr>
      <w:r w:rsidRPr="00D14B5C">
        <w:rPr>
          <w:rFonts w:ascii="Times New (W1)" w:hAnsi="Times New (W1)"/>
          <w:bCs/>
        </w:rPr>
        <w:t xml:space="preserve">Por otra parte, con la entrada del nuevo Gobierno de Navarra, fue cesado el gerente de la sociedad CPEN, </w:t>
      </w:r>
      <w:r w:rsidRPr="00B07A4C">
        <w:rPr>
          <w:rFonts w:ascii="Times New (W1)" w:hAnsi="Times New (W1)"/>
          <w:bCs/>
          <w:spacing w:val="2"/>
        </w:rPr>
        <w:t xml:space="preserve">no habiéndose designado </w:t>
      </w:r>
      <w:r w:rsidR="00E74A5D" w:rsidRPr="00B07A4C">
        <w:rPr>
          <w:rFonts w:ascii="Times New (W1)" w:hAnsi="Times New (W1)"/>
          <w:bCs/>
          <w:spacing w:val="2"/>
        </w:rPr>
        <w:t>nuevo gerente</w:t>
      </w:r>
      <w:r w:rsidRPr="00B07A4C">
        <w:rPr>
          <w:rFonts w:ascii="Times New (W1)" w:hAnsi="Times New (W1)"/>
          <w:bCs/>
          <w:spacing w:val="2"/>
        </w:rPr>
        <w:t>. Se ha nombrado un coordinador, en la persona de su Director Financiero y de Control.</w:t>
      </w:r>
      <w:r w:rsidR="00917BDA" w:rsidRPr="00B07A4C">
        <w:rPr>
          <w:rFonts w:ascii="Times New (W1)" w:hAnsi="Times New (W1)"/>
          <w:bCs/>
          <w:spacing w:val="2"/>
        </w:rPr>
        <w:t xml:space="preserve"> </w:t>
      </w:r>
    </w:p>
    <w:p w:rsidR="00AF102F" w:rsidRDefault="009C5322" w:rsidP="00B07A4C">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spacing w:after="0"/>
        <w:ind w:left="0" w:firstLine="289"/>
        <w:rPr>
          <w:rFonts w:ascii="Times New (W1)" w:hAnsi="Times New (W1)"/>
          <w:bCs/>
        </w:rPr>
      </w:pPr>
      <w:r>
        <w:rPr>
          <w:rFonts w:ascii="Times New (W1)" w:hAnsi="Times New (W1)"/>
          <w:bCs/>
        </w:rPr>
        <w:t xml:space="preserve">Los resultados en 2015 del conjunto de las empresas públicas ha sido negativo en </w:t>
      </w:r>
      <w:r w:rsidR="00663E87">
        <w:rPr>
          <w:rFonts w:ascii="Times New (W1)" w:hAnsi="Times New (W1)"/>
          <w:bCs/>
        </w:rPr>
        <w:t>59,89</w:t>
      </w:r>
      <w:r>
        <w:rPr>
          <w:rFonts w:ascii="Times New (W1)" w:hAnsi="Times New (W1)"/>
          <w:bCs/>
        </w:rPr>
        <w:t xml:space="preserve"> millones, frente a un resultado positivo en 2014 de </w:t>
      </w:r>
      <w:r w:rsidR="00663E87">
        <w:rPr>
          <w:rFonts w:ascii="Times New (W1)" w:hAnsi="Times New (W1)"/>
          <w:bCs/>
        </w:rPr>
        <w:t>3,36</w:t>
      </w:r>
      <w:r>
        <w:rPr>
          <w:rFonts w:ascii="Times New (W1)" w:hAnsi="Times New (W1)"/>
          <w:bCs/>
        </w:rPr>
        <w:t xml:space="preserve"> millones, tal como se de</w:t>
      </w:r>
      <w:r w:rsidR="00636678">
        <w:rPr>
          <w:rFonts w:ascii="Times New (W1)" w:hAnsi="Times New (W1)"/>
          <w:bCs/>
        </w:rPr>
        <w:t>sglosa por sociedad</w:t>
      </w:r>
      <w:r>
        <w:rPr>
          <w:rFonts w:ascii="Times New (W1)" w:hAnsi="Times New (W1)"/>
          <w:bCs/>
        </w:rPr>
        <w:t xml:space="preserve"> en el cuadro siguiente</w:t>
      </w:r>
      <w:r w:rsidR="00AF102F">
        <w:rPr>
          <w:rFonts w:ascii="Times New (W1)" w:hAnsi="Times New (W1)"/>
          <w:bCs/>
        </w:rPr>
        <w:t>.</w:t>
      </w:r>
    </w:p>
    <w:p w:rsidR="0019628D" w:rsidRPr="009C5322" w:rsidRDefault="006362BE" w:rsidP="00AF102F">
      <w:pPr>
        <w:pStyle w:val="texto"/>
        <w:tabs>
          <w:tab w:val="clear" w:pos="2835"/>
          <w:tab w:val="clear" w:pos="3969"/>
          <w:tab w:val="clear" w:pos="5103"/>
          <w:tab w:val="clear" w:pos="6237"/>
          <w:tab w:val="clear" w:pos="7371"/>
          <w:tab w:val="left" w:pos="480"/>
          <w:tab w:val="num" w:pos="928"/>
          <w:tab w:val="left" w:pos="8789"/>
        </w:tabs>
        <w:spacing w:after="40"/>
        <w:ind w:left="289" w:firstLine="0"/>
        <w:jc w:val="right"/>
        <w:rPr>
          <w:rFonts w:ascii="Times New (W1)" w:hAnsi="Times New (W1)"/>
          <w:bCs/>
        </w:rPr>
      </w:pPr>
      <w:r w:rsidRPr="00AF102F">
        <w:rPr>
          <w:rFonts w:ascii="Arial Narrow" w:hAnsi="Arial Narrow"/>
          <w:bCs/>
          <w:sz w:val="18"/>
          <w:szCs w:val="18"/>
        </w:rPr>
        <w:t>Miles</w:t>
      </w:r>
      <w:r w:rsidR="000521D0" w:rsidRPr="00AF102F">
        <w:rPr>
          <w:rFonts w:ascii="Arial Narrow" w:hAnsi="Arial Narrow"/>
          <w:bCs/>
          <w:sz w:val="18"/>
          <w:szCs w:val="18"/>
        </w:rPr>
        <w:t xml:space="preserve"> de euros</w:t>
      </w:r>
    </w:p>
    <w:tbl>
      <w:tblPr>
        <w:tblW w:w="8710" w:type="dxa"/>
        <w:jc w:val="center"/>
        <w:tblCellMar>
          <w:left w:w="70" w:type="dxa"/>
          <w:right w:w="70" w:type="dxa"/>
        </w:tblCellMar>
        <w:tblLook w:val="04A0" w:firstRow="1" w:lastRow="0" w:firstColumn="1" w:lastColumn="0" w:noHBand="0" w:noVBand="1"/>
      </w:tblPr>
      <w:tblGrid>
        <w:gridCol w:w="4746"/>
        <w:gridCol w:w="1984"/>
        <w:gridCol w:w="1980"/>
      </w:tblGrid>
      <w:tr w:rsidR="008C67CD" w:rsidRPr="0019628D" w:rsidTr="007323E7">
        <w:trPr>
          <w:trHeight w:val="255"/>
          <w:jc w:val="center"/>
        </w:trPr>
        <w:tc>
          <w:tcPr>
            <w:tcW w:w="4746" w:type="dxa"/>
            <w:tcBorders>
              <w:top w:val="single" w:sz="4" w:space="0" w:color="auto"/>
              <w:bottom w:val="single" w:sz="4" w:space="0" w:color="auto"/>
            </w:tcBorders>
            <w:shd w:val="clear" w:color="auto" w:fill="A8CBEE" w:themeFill="accent2" w:themeFillTint="66"/>
            <w:noWrap/>
            <w:vAlign w:val="center"/>
            <w:hideMark/>
          </w:tcPr>
          <w:p w:rsidR="008C67CD" w:rsidRPr="0019628D" w:rsidRDefault="008C67CD" w:rsidP="0041180E">
            <w:pPr>
              <w:pStyle w:val="cuadroCabe"/>
              <w:jc w:val="left"/>
              <w:rPr>
                <w:rFonts w:cs="Arial"/>
              </w:rPr>
            </w:pPr>
            <w:r w:rsidRPr="008C67CD">
              <w:rPr>
                <w:rFonts w:cs="Arial"/>
              </w:rPr>
              <w:t>Empresa</w:t>
            </w:r>
          </w:p>
        </w:tc>
        <w:tc>
          <w:tcPr>
            <w:tcW w:w="1984" w:type="dxa"/>
            <w:tcBorders>
              <w:top w:val="single" w:sz="4" w:space="0" w:color="auto"/>
              <w:bottom w:val="single" w:sz="4" w:space="0" w:color="auto"/>
            </w:tcBorders>
            <w:shd w:val="clear" w:color="auto" w:fill="A8CBEE" w:themeFill="accent2" w:themeFillTint="66"/>
            <w:vAlign w:val="center"/>
          </w:tcPr>
          <w:p w:rsidR="008C67CD" w:rsidRPr="0019628D" w:rsidRDefault="008C67CD" w:rsidP="0041180E">
            <w:pPr>
              <w:pStyle w:val="cuadroCabe"/>
              <w:jc w:val="right"/>
              <w:rPr>
                <w:rFonts w:cs="Arial"/>
              </w:rPr>
            </w:pPr>
            <w:r w:rsidRPr="008C67CD">
              <w:rPr>
                <w:rFonts w:cs="Arial"/>
              </w:rPr>
              <w:t>Resultado</w:t>
            </w:r>
            <w:r w:rsidRPr="0019628D">
              <w:rPr>
                <w:rFonts w:cs="Arial"/>
              </w:rPr>
              <w:t xml:space="preserve"> 2014</w:t>
            </w:r>
          </w:p>
        </w:tc>
        <w:tc>
          <w:tcPr>
            <w:tcW w:w="1980" w:type="dxa"/>
            <w:tcBorders>
              <w:top w:val="single" w:sz="4" w:space="0" w:color="auto"/>
              <w:bottom w:val="single" w:sz="4" w:space="0" w:color="auto"/>
            </w:tcBorders>
            <w:shd w:val="clear" w:color="auto" w:fill="A8CBEE" w:themeFill="accent2" w:themeFillTint="66"/>
            <w:vAlign w:val="center"/>
            <w:hideMark/>
          </w:tcPr>
          <w:p w:rsidR="008C67CD" w:rsidRPr="0019628D" w:rsidRDefault="008C67CD" w:rsidP="0041180E">
            <w:pPr>
              <w:pStyle w:val="cuadroCabe"/>
              <w:jc w:val="right"/>
              <w:rPr>
                <w:rFonts w:cs="Arial"/>
              </w:rPr>
            </w:pPr>
            <w:r w:rsidRPr="008C67CD">
              <w:rPr>
                <w:rFonts w:cs="Arial"/>
              </w:rPr>
              <w:t>Resultado 2015</w:t>
            </w:r>
          </w:p>
        </w:tc>
      </w:tr>
      <w:tr w:rsidR="008C67CD" w:rsidRPr="0019628D" w:rsidTr="007323E7">
        <w:trPr>
          <w:trHeight w:val="255"/>
          <w:jc w:val="center"/>
        </w:trPr>
        <w:tc>
          <w:tcPr>
            <w:tcW w:w="4746" w:type="dxa"/>
            <w:tcBorders>
              <w:top w:val="single" w:sz="4" w:space="0" w:color="auto"/>
              <w:bottom w:val="single" w:sz="2" w:space="0" w:color="auto"/>
            </w:tcBorders>
            <w:shd w:val="clear" w:color="000000" w:fill="FFFFFF"/>
            <w:noWrap/>
            <w:vAlign w:val="center"/>
            <w:hideMark/>
          </w:tcPr>
          <w:p w:rsidR="008C67CD" w:rsidRPr="0019628D" w:rsidRDefault="008C67CD" w:rsidP="0041180E">
            <w:pPr>
              <w:spacing w:after="0"/>
              <w:ind w:firstLine="0"/>
              <w:jc w:val="left"/>
              <w:rPr>
                <w:rFonts w:ascii="Arial Narrow" w:hAnsi="Arial Narrow" w:cs="Arial"/>
                <w:lang w:eastAsia="es-ES"/>
              </w:rPr>
            </w:pPr>
            <w:r w:rsidRPr="0019628D">
              <w:rPr>
                <w:rFonts w:ascii="Arial Narrow" w:hAnsi="Arial Narrow" w:cs="Arial"/>
                <w:lang w:eastAsia="es-ES"/>
              </w:rPr>
              <w:t>CPEN</w:t>
            </w:r>
            <w:r>
              <w:rPr>
                <w:rFonts w:ascii="Arial Narrow" w:hAnsi="Arial Narrow" w:cs="Arial"/>
                <w:lang w:eastAsia="es-ES"/>
              </w:rPr>
              <w:t>-individual</w:t>
            </w:r>
          </w:p>
        </w:tc>
        <w:tc>
          <w:tcPr>
            <w:tcW w:w="1984" w:type="dxa"/>
            <w:tcBorders>
              <w:top w:val="single" w:sz="4" w:space="0" w:color="auto"/>
              <w:bottom w:val="single" w:sz="2" w:space="0" w:color="auto"/>
            </w:tcBorders>
            <w:shd w:val="clear" w:color="000000" w:fill="FFFFFF"/>
            <w:vAlign w:val="center"/>
          </w:tcPr>
          <w:p w:rsidR="008C67CD" w:rsidRPr="0019628D" w:rsidRDefault="008C67CD" w:rsidP="0041180E">
            <w:pPr>
              <w:spacing w:after="0"/>
              <w:ind w:firstLine="0"/>
              <w:jc w:val="right"/>
              <w:rPr>
                <w:rFonts w:ascii="Arial Narrow" w:hAnsi="Arial Narrow" w:cs="Arial"/>
                <w:lang w:val="es-ES" w:eastAsia="es-ES"/>
              </w:rPr>
            </w:pPr>
            <w:r w:rsidRPr="0019628D">
              <w:rPr>
                <w:rFonts w:ascii="Arial Narrow" w:hAnsi="Arial Narrow" w:cs="Arial"/>
                <w:lang w:val="es-ES" w:eastAsia="es-ES"/>
              </w:rPr>
              <w:t xml:space="preserve">-78 </w:t>
            </w:r>
          </w:p>
        </w:tc>
        <w:tc>
          <w:tcPr>
            <w:tcW w:w="1980" w:type="dxa"/>
            <w:tcBorders>
              <w:top w:val="single" w:sz="4" w:space="0" w:color="auto"/>
              <w:bottom w:val="single" w:sz="2" w:space="0" w:color="auto"/>
            </w:tcBorders>
            <w:shd w:val="clear" w:color="000000" w:fill="FFFFFF"/>
            <w:noWrap/>
            <w:vAlign w:val="center"/>
            <w:hideMark/>
          </w:tcPr>
          <w:p w:rsidR="008C67CD" w:rsidRPr="0019628D" w:rsidRDefault="008C67CD" w:rsidP="0041180E">
            <w:pPr>
              <w:spacing w:after="0"/>
              <w:ind w:firstLine="0"/>
              <w:jc w:val="right"/>
              <w:rPr>
                <w:rFonts w:ascii="Arial Narrow" w:hAnsi="Arial Narrow" w:cs="Arial"/>
                <w:lang w:val="es-ES" w:eastAsia="es-ES"/>
              </w:rPr>
            </w:pPr>
            <w:r w:rsidRPr="0019628D">
              <w:rPr>
                <w:rFonts w:ascii="Arial Narrow" w:hAnsi="Arial Narrow" w:cs="Arial"/>
                <w:lang w:val="es-ES" w:eastAsia="es-ES"/>
              </w:rPr>
              <w:t xml:space="preserve">-11.366 </w:t>
            </w:r>
          </w:p>
        </w:tc>
      </w:tr>
      <w:tr w:rsidR="008C67CD" w:rsidRPr="0019628D" w:rsidTr="007323E7">
        <w:trPr>
          <w:trHeight w:val="255"/>
          <w:jc w:val="center"/>
        </w:trPr>
        <w:tc>
          <w:tcPr>
            <w:tcW w:w="4746"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left"/>
              <w:rPr>
                <w:rFonts w:ascii="Arial Narrow" w:hAnsi="Arial Narrow" w:cs="Arial"/>
                <w:lang w:eastAsia="es-ES"/>
              </w:rPr>
            </w:pPr>
            <w:r w:rsidRPr="0019628D">
              <w:rPr>
                <w:rFonts w:ascii="Arial Narrow" w:hAnsi="Arial Narrow" w:cs="Arial"/>
                <w:lang w:eastAsia="es-ES"/>
              </w:rPr>
              <w:t>NASUVINSA</w:t>
            </w:r>
          </w:p>
        </w:tc>
        <w:tc>
          <w:tcPr>
            <w:tcW w:w="1984" w:type="dxa"/>
            <w:tcBorders>
              <w:top w:val="single" w:sz="2" w:space="0" w:color="auto"/>
              <w:bottom w:val="single" w:sz="2" w:space="0" w:color="auto"/>
            </w:tcBorders>
            <w:shd w:val="clear" w:color="000000" w:fill="FFFFFF"/>
            <w:vAlign w:val="center"/>
          </w:tcPr>
          <w:p w:rsidR="008C67CD" w:rsidRPr="0019628D" w:rsidRDefault="008C67CD" w:rsidP="0041180E">
            <w:pPr>
              <w:spacing w:after="0"/>
              <w:ind w:firstLine="0"/>
              <w:jc w:val="right"/>
              <w:rPr>
                <w:rFonts w:ascii="Arial Narrow" w:hAnsi="Arial Narrow" w:cs="Arial"/>
                <w:lang w:val="es-ES" w:eastAsia="es-ES"/>
              </w:rPr>
            </w:pPr>
            <w:r w:rsidRPr="0019628D">
              <w:rPr>
                <w:rFonts w:ascii="Arial Narrow" w:hAnsi="Arial Narrow" w:cs="Arial"/>
                <w:lang w:val="es-ES" w:eastAsia="es-ES"/>
              </w:rPr>
              <w:t xml:space="preserve">-4.477 </w:t>
            </w:r>
          </w:p>
        </w:tc>
        <w:tc>
          <w:tcPr>
            <w:tcW w:w="1980"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right"/>
              <w:rPr>
                <w:rFonts w:ascii="Arial Narrow" w:hAnsi="Arial Narrow" w:cs="Arial"/>
                <w:lang w:val="es-ES" w:eastAsia="es-ES"/>
              </w:rPr>
            </w:pPr>
            <w:r w:rsidRPr="0019628D">
              <w:rPr>
                <w:rFonts w:ascii="Arial Narrow" w:hAnsi="Arial Narrow" w:cs="Arial"/>
                <w:lang w:val="es-ES" w:eastAsia="es-ES"/>
              </w:rPr>
              <w:t>-26.75</w:t>
            </w:r>
            <w:r w:rsidR="000521D0">
              <w:rPr>
                <w:rFonts w:ascii="Arial Narrow" w:hAnsi="Arial Narrow" w:cs="Arial"/>
                <w:lang w:val="es-ES" w:eastAsia="es-ES"/>
              </w:rPr>
              <w:t>9</w:t>
            </w:r>
            <w:r w:rsidRPr="0019628D">
              <w:rPr>
                <w:rFonts w:ascii="Arial Narrow" w:hAnsi="Arial Narrow" w:cs="Arial"/>
                <w:lang w:val="es-ES" w:eastAsia="es-ES"/>
              </w:rPr>
              <w:t xml:space="preserve"> </w:t>
            </w:r>
          </w:p>
        </w:tc>
      </w:tr>
      <w:tr w:rsidR="008C67CD" w:rsidRPr="0019628D" w:rsidTr="007323E7">
        <w:trPr>
          <w:trHeight w:val="255"/>
          <w:jc w:val="center"/>
        </w:trPr>
        <w:tc>
          <w:tcPr>
            <w:tcW w:w="4746"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left"/>
              <w:rPr>
                <w:rFonts w:ascii="Arial Narrow" w:hAnsi="Arial Narrow" w:cs="Arial"/>
                <w:lang w:eastAsia="es-ES"/>
              </w:rPr>
            </w:pPr>
            <w:r w:rsidRPr="0019628D">
              <w:rPr>
                <w:rFonts w:ascii="Arial Narrow" w:hAnsi="Arial Narrow" w:cs="Arial"/>
                <w:lang w:eastAsia="es-ES"/>
              </w:rPr>
              <w:t>CAT</w:t>
            </w:r>
          </w:p>
        </w:tc>
        <w:tc>
          <w:tcPr>
            <w:tcW w:w="1984" w:type="dxa"/>
            <w:tcBorders>
              <w:top w:val="single" w:sz="2" w:space="0" w:color="auto"/>
              <w:bottom w:val="single" w:sz="2" w:space="0" w:color="auto"/>
            </w:tcBorders>
            <w:shd w:val="clear" w:color="000000" w:fill="FFFFFF"/>
            <w:vAlign w:val="center"/>
          </w:tcPr>
          <w:p w:rsidR="008C67CD" w:rsidRPr="0019628D" w:rsidRDefault="008C67CD" w:rsidP="0041180E">
            <w:pPr>
              <w:spacing w:after="0"/>
              <w:ind w:firstLine="0"/>
              <w:jc w:val="right"/>
              <w:rPr>
                <w:rFonts w:ascii="Arial Narrow" w:hAnsi="Arial Narrow" w:cs="Arial"/>
                <w:lang w:val="es-ES" w:eastAsia="es-ES"/>
              </w:rPr>
            </w:pPr>
            <w:r w:rsidRPr="0019628D">
              <w:rPr>
                <w:rFonts w:ascii="Arial Narrow" w:hAnsi="Arial Narrow" w:cs="Arial"/>
                <w:lang w:val="es-ES" w:eastAsia="es-ES"/>
              </w:rPr>
              <w:t>-2.55</w:t>
            </w:r>
            <w:r w:rsidR="000521D0">
              <w:rPr>
                <w:rFonts w:ascii="Arial Narrow" w:hAnsi="Arial Narrow" w:cs="Arial"/>
                <w:lang w:val="es-ES" w:eastAsia="es-ES"/>
              </w:rPr>
              <w:t>7</w:t>
            </w:r>
            <w:r w:rsidRPr="0019628D">
              <w:rPr>
                <w:rFonts w:ascii="Arial Narrow" w:hAnsi="Arial Narrow" w:cs="Arial"/>
                <w:lang w:val="es-ES" w:eastAsia="es-ES"/>
              </w:rPr>
              <w:t xml:space="preserve"> </w:t>
            </w:r>
          </w:p>
        </w:tc>
        <w:tc>
          <w:tcPr>
            <w:tcW w:w="1980"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right"/>
              <w:rPr>
                <w:rFonts w:ascii="Arial Narrow" w:hAnsi="Arial Narrow" w:cs="Arial"/>
                <w:lang w:val="es-ES" w:eastAsia="es-ES"/>
              </w:rPr>
            </w:pPr>
            <w:r w:rsidRPr="0019628D">
              <w:rPr>
                <w:rFonts w:ascii="Arial Narrow" w:hAnsi="Arial Narrow" w:cs="Arial"/>
                <w:lang w:val="es-ES" w:eastAsia="es-ES"/>
              </w:rPr>
              <w:t xml:space="preserve">-2.420 </w:t>
            </w:r>
          </w:p>
        </w:tc>
      </w:tr>
      <w:tr w:rsidR="008C67CD" w:rsidRPr="0019628D" w:rsidTr="007323E7">
        <w:trPr>
          <w:trHeight w:val="255"/>
          <w:jc w:val="center"/>
        </w:trPr>
        <w:tc>
          <w:tcPr>
            <w:tcW w:w="4746"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left"/>
              <w:rPr>
                <w:rFonts w:ascii="Arial Narrow" w:hAnsi="Arial Narrow" w:cs="Arial"/>
                <w:lang w:eastAsia="es-ES"/>
              </w:rPr>
            </w:pPr>
            <w:r w:rsidRPr="0019628D">
              <w:rPr>
                <w:rFonts w:ascii="Arial Narrow" w:hAnsi="Arial Narrow" w:cs="Arial"/>
                <w:lang w:eastAsia="es-ES"/>
              </w:rPr>
              <w:t>INTIA</w:t>
            </w:r>
          </w:p>
        </w:tc>
        <w:tc>
          <w:tcPr>
            <w:tcW w:w="1984" w:type="dxa"/>
            <w:tcBorders>
              <w:top w:val="single" w:sz="2" w:space="0" w:color="auto"/>
              <w:bottom w:val="single" w:sz="2" w:space="0" w:color="auto"/>
            </w:tcBorders>
            <w:shd w:val="clear" w:color="000000" w:fill="FFFFFF"/>
            <w:vAlign w:val="center"/>
          </w:tcPr>
          <w:p w:rsidR="008C67CD" w:rsidRPr="0019628D" w:rsidRDefault="008C67CD" w:rsidP="0041180E">
            <w:pPr>
              <w:spacing w:after="0"/>
              <w:ind w:firstLine="0"/>
              <w:jc w:val="right"/>
              <w:rPr>
                <w:rFonts w:ascii="Arial Narrow" w:hAnsi="Arial Narrow" w:cs="Arial"/>
                <w:lang w:val="es-ES" w:eastAsia="es-ES"/>
              </w:rPr>
            </w:pPr>
            <w:r w:rsidRPr="0019628D">
              <w:rPr>
                <w:rFonts w:ascii="Arial Narrow" w:hAnsi="Arial Narrow" w:cs="Arial"/>
                <w:lang w:val="es-ES" w:eastAsia="es-ES"/>
              </w:rPr>
              <w:t xml:space="preserve">7 </w:t>
            </w:r>
          </w:p>
        </w:tc>
        <w:tc>
          <w:tcPr>
            <w:tcW w:w="1980"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right"/>
              <w:rPr>
                <w:rFonts w:ascii="Arial Narrow" w:hAnsi="Arial Narrow" w:cs="Arial"/>
                <w:lang w:val="es-ES" w:eastAsia="es-ES"/>
              </w:rPr>
            </w:pPr>
            <w:r w:rsidRPr="0019628D">
              <w:rPr>
                <w:rFonts w:ascii="Arial Narrow" w:hAnsi="Arial Narrow" w:cs="Arial"/>
                <w:lang w:val="es-ES" w:eastAsia="es-ES"/>
              </w:rPr>
              <w:t xml:space="preserve">-2.641 </w:t>
            </w:r>
          </w:p>
        </w:tc>
      </w:tr>
      <w:tr w:rsidR="008C67CD" w:rsidRPr="0019628D" w:rsidTr="007323E7">
        <w:trPr>
          <w:trHeight w:val="255"/>
          <w:jc w:val="center"/>
        </w:trPr>
        <w:tc>
          <w:tcPr>
            <w:tcW w:w="4746"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left"/>
              <w:rPr>
                <w:rFonts w:ascii="Arial Narrow" w:hAnsi="Arial Narrow" w:cs="Arial"/>
                <w:lang w:eastAsia="es-ES"/>
              </w:rPr>
            </w:pPr>
            <w:r w:rsidRPr="0019628D">
              <w:rPr>
                <w:rFonts w:ascii="Arial Narrow" w:hAnsi="Arial Narrow" w:cs="Arial"/>
                <w:lang w:eastAsia="es-ES"/>
              </w:rPr>
              <w:t>GAN</w:t>
            </w:r>
          </w:p>
        </w:tc>
        <w:tc>
          <w:tcPr>
            <w:tcW w:w="1984" w:type="dxa"/>
            <w:tcBorders>
              <w:top w:val="single" w:sz="2" w:space="0" w:color="auto"/>
              <w:bottom w:val="single" w:sz="2" w:space="0" w:color="auto"/>
            </w:tcBorders>
            <w:shd w:val="clear" w:color="000000" w:fill="FFFFFF"/>
            <w:vAlign w:val="center"/>
          </w:tcPr>
          <w:p w:rsidR="008C67CD" w:rsidRPr="0019628D" w:rsidRDefault="008C67CD" w:rsidP="0041180E">
            <w:pPr>
              <w:spacing w:after="0"/>
              <w:ind w:firstLine="0"/>
              <w:jc w:val="right"/>
              <w:rPr>
                <w:rFonts w:ascii="Arial Narrow" w:hAnsi="Arial Narrow" w:cs="Arial"/>
                <w:lang w:val="es-ES" w:eastAsia="es-ES"/>
              </w:rPr>
            </w:pPr>
            <w:r w:rsidRPr="0019628D">
              <w:rPr>
                <w:rFonts w:ascii="Arial Narrow" w:hAnsi="Arial Narrow" w:cs="Arial"/>
                <w:lang w:val="es-ES" w:eastAsia="es-ES"/>
              </w:rPr>
              <w:t xml:space="preserve">50 </w:t>
            </w:r>
          </w:p>
        </w:tc>
        <w:tc>
          <w:tcPr>
            <w:tcW w:w="1980"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right"/>
              <w:rPr>
                <w:rFonts w:ascii="Arial Narrow" w:hAnsi="Arial Narrow" w:cs="Arial"/>
                <w:lang w:val="es-ES" w:eastAsia="es-ES"/>
              </w:rPr>
            </w:pPr>
            <w:r w:rsidRPr="0019628D">
              <w:rPr>
                <w:rFonts w:ascii="Arial Narrow" w:hAnsi="Arial Narrow" w:cs="Arial"/>
                <w:lang w:val="es-ES" w:eastAsia="es-ES"/>
              </w:rPr>
              <w:t xml:space="preserve">-2.774 </w:t>
            </w:r>
          </w:p>
        </w:tc>
      </w:tr>
      <w:tr w:rsidR="008C67CD" w:rsidRPr="0019628D" w:rsidTr="007323E7">
        <w:trPr>
          <w:trHeight w:val="255"/>
          <w:jc w:val="center"/>
        </w:trPr>
        <w:tc>
          <w:tcPr>
            <w:tcW w:w="4746"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left"/>
              <w:rPr>
                <w:rFonts w:ascii="Arial Narrow" w:hAnsi="Arial Narrow" w:cs="Arial"/>
                <w:lang w:eastAsia="es-ES"/>
              </w:rPr>
            </w:pPr>
            <w:r w:rsidRPr="0019628D">
              <w:rPr>
                <w:rFonts w:ascii="Arial Narrow" w:hAnsi="Arial Narrow" w:cs="Arial"/>
                <w:lang w:eastAsia="es-ES"/>
              </w:rPr>
              <w:t>NILSA</w:t>
            </w:r>
          </w:p>
        </w:tc>
        <w:tc>
          <w:tcPr>
            <w:tcW w:w="1984" w:type="dxa"/>
            <w:tcBorders>
              <w:top w:val="single" w:sz="2" w:space="0" w:color="auto"/>
              <w:bottom w:val="single" w:sz="2" w:space="0" w:color="auto"/>
            </w:tcBorders>
            <w:shd w:val="clear" w:color="000000" w:fill="FFFFFF"/>
            <w:vAlign w:val="center"/>
          </w:tcPr>
          <w:p w:rsidR="008C67CD" w:rsidRPr="0019628D" w:rsidRDefault="009C6F7A" w:rsidP="0041180E">
            <w:pPr>
              <w:spacing w:after="0"/>
              <w:ind w:firstLine="0"/>
              <w:jc w:val="right"/>
              <w:rPr>
                <w:rFonts w:ascii="Arial Narrow" w:hAnsi="Arial Narrow" w:cs="Arial"/>
                <w:lang w:val="es-ES" w:eastAsia="es-ES"/>
              </w:rPr>
            </w:pPr>
            <w:r>
              <w:rPr>
                <w:rFonts w:ascii="Arial Narrow" w:hAnsi="Arial Narrow" w:cs="Arial"/>
                <w:lang w:val="es-ES" w:eastAsia="es-ES"/>
              </w:rPr>
              <w:t>0</w:t>
            </w:r>
          </w:p>
        </w:tc>
        <w:tc>
          <w:tcPr>
            <w:tcW w:w="1980" w:type="dxa"/>
            <w:tcBorders>
              <w:top w:val="single" w:sz="2" w:space="0" w:color="auto"/>
              <w:bottom w:val="single" w:sz="2" w:space="0" w:color="auto"/>
            </w:tcBorders>
            <w:shd w:val="clear" w:color="000000" w:fill="FFFFFF"/>
            <w:noWrap/>
            <w:vAlign w:val="center"/>
          </w:tcPr>
          <w:p w:rsidR="008C67CD" w:rsidRPr="0019628D" w:rsidRDefault="009C6F7A" w:rsidP="0041180E">
            <w:pPr>
              <w:spacing w:after="0"/>
              <w:ind w:firstLine="0"/>
              <w:jc w:val="right"/>
              <w:rPr>
                <w:rFonts w:ascii="Arial Narrow" w:hAnsi="Arial Narrow" w:cs="Arial"/>
                <w:lang w:val="es-ES" w:eastAsia="es-ES"/>
              </w:rPr>
            </w:pPr>
            <w:r>
              <w:rPr>
                <w:rFonts w:ascii="Arial Narrow" w:hAnsi="Arial Narrow" w:cs="Arial"/>
                <w:lang w:val="es-ES" w:eastAsia="es-ES"/>
              </w:rPr>
              <w:t>0</w:t>
            </w:r>
          </w:p>
        </w:tc>
      </w:tr>
      <w:tr w:rsidR="008C67CD" w:rsidRPr="0019628D" w:rsidTr="007323E7">
        <w:trPr>
          <w:trHeight w:val="255"/>
          <w:jc w:val="center"/>
        </w:trPr>
        <w:tc>
          <w:tcPr>
            <w:tcW w:w="4746"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left"/>
              <w:rPr>
                <w:rFonts w:ascii="Arial Narrow" w:hAnsi="Arial Narrow" w:cs="Arial"/>
                <w:lang w:eastAsia="es-ES"/>
              </w:rPr>
            </w:pPr>
            <w:r w:rsidRPr="0019628D">
              <w:rPr>
                <w:rFonts w:ascii="Arial Narrow" w:hAnsi="Arial Narrow" w:cs="Arial"/>
                <w:lang w:eastAsia="es-ES"/>
              </w:rPr>
              <w:t>NICDO</w:t>
            </w:r>
          </w:p>
        </w:tc>
        <w:tc>
          <w:tcPr>
            <w:tcW w:w="1984" w:type="dxa"/>
            <w:tcBorders>
              <w:top w:val="single" w:sz="2" w:space="0" w:color="auto"/>
              <w:bottom w:val="single" w:sz="2" w:space="0" w:color="auto"/>
            </w:tcBorders>
            <w:shd w:val="clear" w:color="000000" w:fill="FFFFFF"/>
            <w:vAlign w:val="center"/>
          </w:tcPr>
          <w:p w:rsidR="008C67CD" w:rsidRPr="0019628D" w:rsidRDefault="008C67CD" w:rsidP="0041180E">
            <w:pPr>
              <w:spacing w:after="0"/>
              <w:ind w:firstLine="0"/>
              <w:jc w:val="right"/>
              <w:rPr>
                <w:rFonts w:ascii="Arial Narrow" w:hAnsi="Arial Narrow" w:cs="Arial"/>
                <w:lang w:val="es-ES" w:eastAsia="es-ES"/>
              </w:rPr>
            </w:pPr>
            <w:r w:rsidRPr="0019628D">
              <w:rPr>
                <w:rFonts w:ascii="Arial Narrow" w:hAnsi="Arial Narrow" w:cs="Arial"/>
                <w:lang w:val="es-ES" w:eastAsia="es-ES"/>
              </w:rPr>
              <w:t>-6.33</w:t>
            </w:r>
            <w:r w:rsidR="000521D0">
              <w:rPr>
                <w:rFonts w:ascii="Arial Narrow" w:hAnsi="Arial Narrow" w:cs="Arial"/>
                <w:lang w:val="es-ES" w:eastAsia="es-ES"/>
              </w:rPr>
              <w:t>1</w:t>
            </w:r>
            <w:r w:rsidRPr="0019628D">
              <w:rPr>
                <w:rFonts w:ascii="Arial Narrow" w:hAnsi="Arial Narrow" w:cs="Arial"/>
                <w:lang w:val="es-ES" w:eastAsia="es-ES"/>
              </w:rPr>
              <w:t xml:space="preserve"> </w:t>
            </w:r>
          </w:p>
        </w:tc>
        <w:tc>
          <w:tcPr>
            <w:tcW w:w="1980" w:type="dxa"/>
            <w:tcBorders>
              <w:top w:val="single" w:sz="2" w:space="0" w:color="auto"/>
              <w:bottom w:val="single" w:sz="2" w:space="0" w:color="auto"/>
            </w:tcBorders>
            <w:shd w:val="clear" w:color="000000" w:fill="FFFFFF"/>
            <w:noWrap/>
            <w:vAlign w:val="center"/>
            <w:hideMark/>
          </w:tcPr>
          <w:p w:rsidR="008C67CD" w:rsidRPr="0019628D" w:rsidRDefault="008C67CD" w:rsidP="009C6F7A">
            <w:pPr>
              <w:spacing w:after="0"/>
              <w:ind w:firstLine="0"/>
              <w:jc w:val="right"/>
              <w:rPr>
                <w:rFonts w:ascii="Arial Narrow" w:hAnsi="Arial Narrow" w:cs="Arial"/>
                <w:lang w:val="es-ES" w:eastAsia="es-ES"/>
              </w:rPr>
            </w:pPr>
            <w:r w:rsidRPr="0019628D">
              <w:rPr>
                <w:rFonts w:ascii="Arial Narrow" w:hAnsi="Arial Narrow" w:cs="Arial"/>
                <w:lang w:val="es-ES" w:eastAsia="es-ES"/>
              </w:rPr>
              <w:t>-4.36</w:t>
            </w:r>
            <w:r w:rsidR="009C6F7A">
              <w:rPr>
                <w:rFonts w:ascii="Arial Narrow" w:hAnsi="Arial Narrow" w:cs="Arial"/>
                <w:lang w:val="es-ES" w:eastAsia="es-ES"/>
              </w:rPr>
              <w:t>3</w:t>
            </w:r>
            <w:r w:rsidRPr="0019628D">
              <w:rPr>
                <w:rFonts w:ascii="Arial Narrow" w:hAnsi="Arial Narrow" w:cs="Arial"/>
                <w:lang w:val="es-ES" w:eastAsia="es-ES"/>
              </w:rPr>
              <w:t xml:space="preserve"> </w:t>
            </w:r>
          </w:p>
        </w:tc>
      </w:tr>
      <w:tr w:rsidR="008C67CD" w:rsidRPr="0019628D" w:rsidTr="007323E7">
        <w:trPr>
          <w:trHeight w:val="255"/>
          <w:jc w:val="center"/>
        </w:trPr>
        <w:tc>
          <w:tcPr>
            <w:tcW w:w="4746"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left"/>
              <w:rPr>
                <w:rFonts w:ascii="Arial Narrow" w:hAnsi="Arial Narrow" w:cs="Arial"/>
                <w:lang w:eastAsia="es-ES"/>
              </w:rPr>
            </w:pPr>
            <w:r w:rsidRPr="0019628D">
              <w:rPr>
                <w:rFonts w:ascii="Arial Narrow" w:hAnsi="Arial Narrow" w:cs="Arial"/>
                <w:lang w:eastAsia="es-ES"/>
              </w:rPr>
              <w:t>CNAI</w:t>
            </w:r>
          </w:p>
        </w:tc>
        <w:tc>
          <w:tcPr>
            <w:tcW w:w="1984" w:type="dxa"/>
            <w:tcBorders>
              <w:top w:val="single" w:sz="2" w:space="0" w:color="auto"/>
              <w:bottom w:val="single" w:sz="2" w:space="0" w:color="auto"/>
            </w:tcBorders>
            <w:shd w:val="clear" w:color="000000" w:fill="FFFFFF"/>
            <w:vAlign w:val="center"/>
          </w:tcPr>
          <w:p w:rsidR="008C67CD" w:rsidRPr="0019628D" w:rsidRDefault="008C67CD" w:rsidP="0041180E">
            <w:pPr>
              <w:spacing w:after="0"/>
              <w:ind w:firstLine="0"/>
              <w:jc w:val="right"/>
              <w:rPr>
                <w:rFonts w:ascii="Arial Narrow" w:hAnsi="Arial Narrow" w:cs="Arial"/>
                <w:lang w:val="es-ES" w:eastAsia="es-ES"/>
              </w:rPr>
            </w:pPr>
            <w:r w:rsidRPr="0019628D">
              <w:rPr>
                <w:rFonts w:ascii="Arial Narrow" w:hAnsi="Arial Narrow" w:cs="Arial"/>
                <w:lang w:val="es-ES" w:eastAsia="es-ES"/>
              </w:rPr>
              <w:t xml:space="preserve">-62 </w:t>
            </w:r>
          </w:p>
        </w:tc>
        <w:tc>
          <w:tcPr>
            <w:tcW w:w="1980"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right"/>
              <w:rPr>
                <w:rFonts w:ascii="Arial Narrow" w:hAnsi="Arial Narrow" w:cs="Arial"/>
                <w:lang w:val="es-ES" w:eastAsia="es-ES"/>
              </w:rPr>
            </w:pPr>
            <w:r w:rsidRPr="0019628D">
              <w:rPr>
                <w:rFonts w:ascii="Arial Narrow" w:hAnsi="Arial Narrow" w:cs="Arial"/>
                <w:lang w:val="es-ES" w:eastAsia="es-ES"/>
              </w:rPr>
              <w:t xml:space="preserve">-20 </w:t>
            </w:r>
          </w:p>
        </w:tc>
      </w:tr>
      <w:tr w:rsidR="008C67CD" w:rsidRPr="0019628D" w:rsidTr="007323E7">
        <w:trPr>
          <w:trHeight w:val="255"/>
          <w:jc w:val="center"/>
        </w:trPr>
        <w:tc>
          <w:tcPr>
            <w:tcW w:w="4746"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left"/>
              <w:rPr>
                <w:rFonts w:ascii="Arial Narrow" w:hAnsi="Arial Narrow" w:cs="Arial"/>
                <w:lang w:eastAsia="es-ES"/>
              </w:rPr>
            </w:pPr>
            <w:r w:rsidRPr="0019628D">
              <w:rPr>
                <w:rFonts w:ascii="Arial Narrow" w:hAnsi="Arial Narrow" w:cs="Arial"/>
                <w:lang w:eastAsia="es-ES"/>
              </w:rPr>
              <w:t>NASERTIC</w:t>
            </w:r>
          </w:p>
        </w:tc>
        <w:tc>
          <w:tcPr>
            <w:tcW w:w="1984" w:type="dxa"/>
            <w:tcBorders>
              <w:top w:val="single" w:sz="2" w:space="0" w:color="auto"/>
              <w:bottom w:val="single" w:sz="2" w:space="0" w:color="auto"/>
            </w:tcBorders>
            <w:shd w:val="clear" w:color="000000" w:fill="FFFFFF"/>
            <w:vAlign w:val="center"/>
          </w:tcPr>
          <w:p w:rsidR="008C67CD" w:rsidRPr="0019628D" w:rsidRDefault="008C67CD" w:rsidP="0041180E">
            <w:pPr>
              <w:spacing w:after="0"/>
              <w:ind w:firstLine="0"/>
              <w:jc w:val="right"/>
              <w:rPr>
                <w:rFonts w:ascii="Arial Narrow" w:hAnsi="Arial Narrow" w:cs="Arial"/>
                <w:lang w:val="es-ES" w:eastAsia="es-ES"/>
              </w:rPr>
            </w:pPr>
            <w:r w:rsidRPr="0019628D">
              <w:rPr>
                <w:rFonts w:ascii="Arial Narrow" w:hAnsi="Arial Narrow" w:cs="Arial"/>
                <w:lang w:val="es-ES" w:eastAsia="es-ES"/>
              </w:rPr>
              <w:t>51</w:t>
            </w:r>
            <w:r w:rsidR="000521D0">
              <w:rPr>
                <w:rFonts w:ascii="Arial Narrow" w:hAnsi="Arial Narrow" w:cs="Arial"/>
                <w:lang w:val="es-ES" w:eastAsia="es-ES"/>
              </w:rPr>
              <w:t>5</w:t>
            </w:r>
            <w:r w:rsidRPr="0019628D">
              <w:rPr>
                <w:rFonts w:ascii="Arial Narrow" w:hAnsi="Arial Narrow" w:cs="Arial"/>
                <w:lang w:val="es-ES" w:eastAsia="es-ES"/>
              </w:rPr>
              <w:t xml:space="preserve"> </w:t>
            </w:r>
          </w:p>
        </w:tc>
        <w:tc>
          <w:tcPr>
            <w:tcW w:w="1980" w:type="dxa"/>
            <w:tcBorders>
              <w:top w:val="single" w:sz="2" w:space="0" w:color="auto"/>
              <w:bottom w:val="single" w:sz="2" w:space="0" w:color="auto"/>
            </w:tcBorders>
            <w:shd w:val="clear" w:color="000000" w:fill="FFFFFF"/>
            <w:noWrap/>
            <w:vAlign w:val="center"/>
            <w:hideMark/>
          </w:tcPr>
          <w:p w:rsidR="008C67CD" w:rsidRPr="0019628D" w:rsidRDefault="008C67CD" w:rsidP="009C6F7A">
            <w:pPr>
              <w:spacing w:after="0"/>
              <w:ind w:firstLine="0"/>
              <w:jc w:val="right"/>
              <w:rPr>
                <w:rFonts w:ascii="Arial Narrow" w:hAnsi="Arial Narrow" w:cs="Arial"/>
                <w:lang w:val="es-ES" w:eastAsia="es-ES"/>
              </w:rPr>
            </w:pPr>
            <w:r w:rsidRPr="0019628D">
              <w:rPr>
                <w:rFonts w:ascii="Arial Narrow" w:hAnsi="Arial Narrow" w:cs="Arial"/>
                <w:lang w:val="es-ES" w:eastAsia="es-ES"/>
              </w:rPr>
              <w:t>-2.1</w:t>
            </w:r>
            <w:r w:rsidR="009C6F7A">
              <w:rPr>
                <w:rFonts w:ascii="Arial Narrow" w:hAnsi="Arial Narrow" w:cs="Arial"/>
                <w:lang w:val="es-ES" w:eastAsia="es-ES"/>
              </w:rPr>
              <w:t>70</w:t>
            </w:r>
            <w:r w:rsidRPr="0019628D">
              <w:rPr>
                <w:rFonts w:ascii="Arial Narrow" w:hAnsi="Arial Narrow" w:cs="Arial"/>
                <w:lang w:val="es-ES" w:eastAsia="es-ES"/>
              </w:rPr>
              <w:t xml:space="preserve"> </w:t>
            </w:r>
          </w:p>
        </w:tc>
      </w:tr>
      <w:tr w:rsidR="008C67CD" w:rsidRPr="0019628D" w:rsidTr="007323E7">
        <w:trPr>
          <w:trHeight w:val="255"/>
          <w:jc w:val="center"/>
        </w:trPr>
        <w:tc>
          <w:tcPr>
            <w:tcW w:w="4746"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left"/>
              <w:rPr>
                <w:rFonts w:ascii="Arial Narrow" w:hAnsi="Arial Narrow" w:cs="Arial"/>
                <w:lang w:eastAsia="es-ES"/>
              </w:rPr>
            </w:pPr>
            <w:r w:rsidRPr="0019628D">
              <w:rPr>
                <w:rFonts w:ascii="Arial Narrow" w:hAnsi="Arial Narrow" w:cs="Arial"/>
                <w:lang w:eastAsia="es-ES"/>
              </w:rPr>
              <w:t>CEIN</w:t>
            </w:r>
          </w:p>
        </w:tc>
        <w:tc>
          <w:tcPr>
            <w:tcW w:w="1984" w:type="dxa"/>
            <w:tcBorders>
              <w:top w:val="single" w:sz="2" w:space="0" w:color="auto"/>
              <w:bottom w:val="single" w:sz="2" w:space="0" w:color="auto"/>
            </w:tcBorders>
            <w:shd w:val="clear" w:color="000000" w:fill="FFFFFF"/>
            <w:vAlign w:val="center"/>
          </w:tcPr>
          <w:p w:rsidR="008C67CD" w:rsidRPr="0019628D" w:rsidRDefault="008C67CD" w:rsidP="0041180E">
            <w:pPr>
              <w:spacing w:after="0"/>
              <w:ind w:firstLine="0"/>
              <w:jc w:val="right"/>
              <w:rPr>
                <w:rFonts w:ascii="Arial Narrow" w:hAnsi="Arial Narrow" w:cs="Arial"/>
                <w:lang w:val="es-ES" w:eastAsia="es-ES"/>
              </w:rPr>
            </w:pPr>
            <w:r w:rsidRPr="0019628D">
              <w:rPr>
                <w:rFonts w:ascii="Arial Narrow" w:hAnsi="Arial Narrow" w:cs="Arial"/>
                <w:lang w:val="es-ES" w:eastAsia="es-ES"/>
              </w:rPr>
              <w:t>-12</w:t>
            </w:r>
            <w:r w:rsidR="000521D0">
              <w:rPr>
                <w:rFonts w:ascii="Arial Narrow" w:hAnsi="Arial Narrow" w:cs="Arial"/>
                <w:lang w:val="es-ES" w:eastAsia="es-ES"/>
              </w:rPr>
              <w:t>4</w:t>
            </w:r>
            <w:r w:rsidRPr="0019628D">
              <w:rPr>
                <w:rFonts w:ascii="Arial Narrow" w:hAnsi="Arial Narrow" w:cs="Arial"/>
                <w:lang w:val="es-ES" w:eastAsia="es-ES"/>
              </w:rPr>
              <w:t xml:space="preserve"> </w:t>
            </w:r>
          </w:p>
        </w:tc>
        <w:tc>
          <w:tcPr>
            <w:tcW w:w="1980"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right"/>
              <w:rPr>
                <w:rFonts w:ascii="Arial Narrow" w:hAnsi="Arial Narrow" w:cs="Arial"/>
                <w:lang w:val="es-ES" w:eastAsia="es-ES"/>
              </w:rPr>
            </w:pPr>
            <w:r w:rsidRPr="0019628D">
              <w:rPr>
                <w:rFonts w:ascii="Arial Narrow" w:hAnsi="Arial Narrow" w:cs="Arial"/>
                <w:lang w:val="es-ES" w:eastAsia="es-ES"/>
              </w:rPr>
              <w:t xml:space="preserve">-1.655 </w:t>
            </w:r>
          </w:p>
        </w:tc>
      </w:tr>
      <w:tr w:rsidR="008C67CD" w:rsidRPr="0019628D" w:rsidTr="007323E7">
        <w:trPr>
          <w:trHeight w:val="255"/>
          <w:jc w:val="center"/>
        </w:trPr>
        <w:tc>
          <w:tcPr>
            <w:tcW w:w="4746"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left"/>
              <w:rPr>
                <w:rFonts w:ascii="Arial Narrow" w:hAnsi="Arial Narrow" w:cs="Arial"/>
                <w:lang w:eastAsia="es-ES"/>
              </w:rPr>
            </w:pPr>
            <w:r w:rsidRPr="0019628D">
              <w:rPr>
                <w:rFonts w:ascii="Arial Narrow" w:hAnsi="Arial Narrow" w:cs="Arial"/>
                <w:lang w:eastAsia="es-ES"/>
              </w:rPr>
              <w:t>TRACASA</w:t>
            </w:r>
          </w:p>
        </w:tc>
        <w:tc>
          <w:tcPr>
            <w:tcW w:w="1984" w:type="dxa"/>
            <w:tcBorders>
              <w:top w:val="single" w:sz="2" w:space="0" w:color="auto"/>
              <w:bottom w:val="single" w:sz="2" w:space="0" w:color="auto"/>
            </w:tcBorders>
            <w:shd w:val="clear" w:color="000000" w:fill="FFFFFF"/>
            <w:vAlign w:val="center"/>
          </w:tcPr>
          <w:p w:rsidR="008C67CD" w:rsidRPr="0019628D" w:rsidRDefault="008C67CD" w:rsidP="0041180E">
            <w:pPr>
              <w:spacing w:after="0"/>
              <w:ind w:firstLine="0"/>
              <w:jc w:val="right"/>
              <w:rPr>
                <w:rFonts w:ascii="Arial Narrow" w:hAnsi="Arial Narrow" w:cs="Arial"/>
                <w:lang w:val="es-ES" w:eastAsia="es-ES"/>
              </w:rPr>
            </w:pPr>
            <w:r w:rsidRPr="0019628D">
              <w:rPr>
                <w:rFonts w:ascii="Arial Narrow" w:hAnsi="Arial Narrow" w:cs="Arial"/>
                <w:lang w:val="es-ES" w:eastAsia="es-ES"/>
              </w:rPr>
              <w:t>82</w:t>
            </w:r>
            <w:r w:rsidR="000521D0">
              <w:rPr>
                <w:rFonts w:ascii="Arial Narrow" w:hAnsi="Arial Narrow" w:cs="Arial"/>
                <w:lang w:val="es-ES" w:eastAsia="es-ES"/>
              </w:rPr>
              <w:t>9</w:t>
            </w:r>
            <w:r w:rsidRPr="0019628D">
              <w:rPr>
                <w:rFonts w:ascii="Arial Narrow" w:hAnsi="Arial Narrow" w:cs="Arial"/>
                <w:lang w:val="es-ES" w:eastAsia="es-ES"/>
              </w:rPr>
              <w:t xml:space="preserve"> </w:t>
            </w:r>
          </w:p>
        </w:tc>
        <w:tc>
          <w:tcPr>
            <w:tcW w:w="1980"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right"/>
              <w:rPr>
                <w:rFonts w:ascii="Arial Narrow" w:hAnsi="Arial Narrow" w:cs="Arial"/>
                <w:lang w:val="es-ES" w:eastAsia="es-ES"/>
              </w:rPr>
            </w:pPr>
            <w:r w:rsidRPr="0019628D">
              <w:rPr>
                <w:rFonts w:ascii="Arial Narrow" w:hAnsi="Arial Narrow" w:cs="Arial"/>
                <w:lang w:val="es-ES" w:eastAsia="es-ES"/>
              </w:rPr>
              <w:t>1.00</w:t>
            </w:r>
            <w:r w:rsidR="000521D0">
              <w:rPr>
                <w:rFonts w:ascii="Arial Narrow" w:hAnsi="Arial Narrow" w:cs="Arial"/>
                <w:lang w:val="es-ES" w:eastAsia="es-ES"/>
              </w:rPr>
              <w:t>8</w:t>
            </w:r>
            <w:r w:rsidRPr="0019628D">
              <w:rPr>
                <w:rFonts w:ascii="Arial Narrow" w:hAnsi="Arial Narrow" w:cs="Arial"/>
                <w:lang w:val="es-ES" w:eastAsia="es-ES"/>
              </w:rPr>
              <w:t xml:space="preserve"> </w:t>
            </w:r>
          </w:p>
        </w:tc>
      </w:tr>
      <w:tr w:rsidR="008C67CD" w:rsidRPr="0019628D" w:rsidTr="007323E7">
        <w:trPr>
          <w:trHeight w:val="255"/>
          <w:jc w:val="center"/>
        </w:trPr>
        <w:tc>
          <w:tcPr>
            <w:tcW w:w="4746"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left"/>
              <w:rPr>
                <w:rFonts w:ascii="Arial Narrow" w:hAnsi="Arial Narrow" w:cs="Arial"/>
                <w:lang w:eastAsia="es-ES"/>
              </w:rPr>
            </w:pPr>
            <w:r w:rsidRPr="0019628D">
              <w:rPr>
                <w:rFonts w:ascii="Arial Narrow" w:hAnsi="Arial Narrow" w:cs="Arial"/>
                <w:lang w:eastAsia="es-ES"/>
              </w:rPr>
              <w:t>SODENA</w:t>
            </w:r>
          </w:p>
        </w:tc>
        <w:tc>
          <w:tcPr>
            <w:tcW w:w="1984" w:type="dxa"/>
            <w:tcBorders>
              <w:top w:val="single" w:sz="2" w:space="0" w:color="auto"/>
              <w:bottom w:val="single" w:sz="2" w:space="0" w:color="auto"/>
            </w:tcBorders>
            <w:shd w:val="clear" w:color="000000" w:fill="FFFFFF"/>
            <w:vAlign w:val="center"/>
          </w:tcPr>
          <w:p w:rsidR="008C67CD" w:rsidRPr="0019628D" w:rsidRDefault="008C67CD" w:rsidP="0041180E">
            <w:pPr>
              <w:spacing w:after="0"/>
              <w:ind w:firstLine="0"/>
              <w:jc w:val="right"/>
              <w:rPr>
                <w:rFonts w:ascii="Arial Narrow" w:hAnsi="Arial Narrow" w:cs="Arial"/>
                <w:lang w:val="es-ES" w:eastAsia="es-ES"/>
              </w:rPr>
            </w:pPr>
            <w:r w:rsidRPr="0019628D">
              <w:rPr>
                <w:rFonts w:ascii="Arial Narrow" w:hAnsi="Arial Narrow" w:cs="Arial"/>
                <w:lang w:val="es-ES" w:eastAsia="es-ES"/>
              </w:rPr>
              <w:t>14.85</w:t>
            </w:r>
            <w:r w:rsidR="000521D0">
              <w:rPr>
                <w:rFonts w:ascii="Arial Narrow" w:hAnsi="Arial Narrow" w:cs="Arial"/>
                <w:lang w:val="es-ES" w:eastAsia="es-ES"/>
              </w:rPr>
              <w:t>3</w:t>
            </w:r>
            <w:r w:rsidRPr="0019628D">
              <w:rPr>
                <w:rFonts w:ascii="Arial Narrow" w:hAnsi="Arial Narrow" w:cs="Arial"/>
                <w:lang w:val="es-ES" w:eastAsia="es-ES"/>
              </w:rPr>
              <w:t xml:space="preserve"> </w:t>
            </w:r>
          </w:p>
        </w:tc>
        <w:tc>
          <w:tcPr>
            <w:tcW w:w="1980"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right"/>
              <w:rPr>
                <w:rFonts w:ascii="Arial Narrow" w:hAnsi="Arial Narrow" w:cs="Arial"/>
                <w:lang w:val="es-ES" w:eastAsia="es-ES"/>
              </w:rPr>
            </w:pPr>
            <w:r w:rsidRPr="0019628D">
              <w:rPr>
                <w:rFonts w:ascii="Arial Narrow" w:hAnsi="Arial Narrow" w:cs="Arial"/>
                <w:lang w:val="es-ES" w:eastAsia="es-ES"/>
              </w:rPr>
              <w:t>-8.56</w:t>
            </w:r>
            <w:r w:rsidR="000521D0">
              <w:rPr>
                <w:rFonts w:ascii="Arial Narrow" w:hAnsi="Arial Narrow" w:cs="Arial"/>
                <w:lang w:val="es-ES" w:eastAsia="es-ES"/>
              </w:rPr>
              <w:t>9</w:t>
            </w:r>
            <w:r w:rsidRPr="0019628D">
              <w:rPr>
                <w:rFonts w:ascii="Arial Narrow" w:hAnsi="Arial Narrow" w:cs="Arial"/>
                <w:lang w:val="es-ES" w:eastAsia="es-ES"/>
              </w:rPr>
              <w:t xml:space="preserve"> </w:t>
            </w:r>
          </w:p>
        </w:tc>
      </w:tr>
      <w:tr w:rsidR="008C67CD" w:rsidRPr="0019628D" w:rsidTr="007323E7">
        <w:trPr>
          <w:trHeight w:val="255"/>
          <w:jc w:val="center"/>
        </w:trPr>
        <w:tc>
          <w:tcPr>
            <w:tcW w:w="4746"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left"/>
              <w:rPr>
                <w:rFonts w:ascii="Arial Narrow" w:hAnsi="Arial Narrow" w:cs="Arial"/>
                <w:lang w:eastAsia="es-ES"/>
              </w:rPr>
            </w:pPr>
            <w:r w:rsidRPr="0019628D">
              <w:rPr>
                <w:rFonts w:ascii="Arial Narrow" w:hAnsi="Arial Narrow" w:cs="Arial"/>
                <w:lang w:eastAsia="es-ES"/>
              </w:rPr>
              <w:t>N</w:t>
            </w:r>
            <w:r>
              <w:rPr>
                <w:rFonts w:ascii="Arial Narrow" w:hAnsi="Arial Narrow" w:cs="Arial"/>
                <w:lang w:eastAsia="es-ES"/>
              </w:rPr>
              <w:t>ATURAL CLIMATE SYSTEMS</w:t>
            </w:r>
          </w:p>
        </w:tc>
        <w:tc>
          <w:tcPr>
            <w:tcW w:w="1984" w:type="dxa"/>
            <w:tcBorders>
              <w:top w:val="single" w:sz="2" w:space="0" w:color="auto"/>
              <w:bottom w:val="single" w:sz="2" w:space="0" w:color="auto"/>
            </w:tcBorders>
            <w:shd w:val="clear" w:color="000000" w:fill="FFFFFF"/>
            <w:vAlign w:val="center"/>
          </w:tcPr>
          <w:p w:rsidR="008C67CD" w:rsidRPr="0019628D" w:rsidRDefault="008C67CD" w:rsidP="0041180E">
            <w:pPr>
              <w:spacing w:after="0"/>
              <w:ind w:firstLine="0"/>
              <w:jc w:val="right"/>
              <w:rPr>
                <w:rFonts w:ascii="Arial Narrow" w:hAnsi="Arial Narrow" w:cs="Arial"/>
                <w:lang w:val="es-ES" w:eastAsia="es-ES"/>
              </w:rPr>
            </w:pPr>
            <w:r w:rsidRPr="0019628D">
              <w:rPr>
                <w:rFonts w:ascii="Arial Narrow" w:hAnsi="Arial Narrow" w:cs="Arial"/>
                <w:lang w:val="es-ES" w:eastAsia="es-ES"/>
              </w:rPr>
              <w:t xml:space="preserve">-255 </w:t>
            </w:r>
          </w:p>
        </w:tc>
        <w:tc>
          <w:tcPr>
            <w:tcW w:w="1980"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right"/>
              <w:rPr>
                <w:rFonts w:ascii="Arial Narrow" w:hAnsi="Arial Narrow" w:cs="Arial"/>
                <w:lang w:val="es-ES" w:eastAsia="es-ES"/>
              </w:rPr>
            </w:pPr>
            <w:r w:rsidRPr="0019628D">
              <w:rPr>
                <w:rFonts w:ascii="Arial Narrow" w:hAnsi="Arial Narrow" w:cs="Arial"/>
                <w:lang w:val="es-ES" w:eastAsia="es-ES"/>
              </w:rPr>
              <w:t xml:space="preserve">-164 </w:t>
            </w:r>
          </w:p>
        </w:tc>
      </w:tr>
      <w:tr w:rsidR="008C67CD" w:rsidRPr="0019628D" w:rsidTr="007323E7">
        <w:trPr>
          <w:trHeight w:val="255"/>
          <w:jc w:val="center"/>
        </w:trPr>
        <w:tc>
          <w:tcPr>
            <w:tcW w:w="4746"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left"/>
              <w:rPr>
                <w:rFonts w:ascii="Arial Narrow" w:hAnsi="Arial Narrow" w:cs="Arial"/>
                <w:lang w:eastAsia="es-ES"/>
              </w:rPr>
            </w:pPr>
            <w:r w:rsidRPr="0019628D">
              <w:rPr>
                <w:rFonts w:ascii="Arial Narrow" w:hAnsi="Arial Narrow" w:cs="Arial"/>
                <w:lang w:eastAsia="es-ES"/>
              </w:rPr>
              <w:t>POSUSA</w:t>
            </w:r>
          </w:p>
        </w:tc>
        <w:tc>
          <w:tcPr>
            <w:tcW w:w="1984" w:type="dxa"/>
            <w:tcBorders>
              <w:top w:val="single" w:sz="2" w:space="0" w:color="auto"/>
              <w:bottom w:val="single" w:sz="2" w:space="0" w:color="auto"/>
            </w:tcBorders>
            <w:shd w:val="clear" w:color="000000" w:fill="FFFFFF"/>
            <w:vAlign w:val="center"/>
          </w:tcPr>
          <w:p w:rsidR="008C67CD" w:rsidRPr="0019628D" w:rsidRDefault="008C67CD" w:rsidP="0041180E">
            <w:pPr>
              <w:spacing w:after="0"/>
              <w:ind w:firstLine="0"/>
              <w:jc w:val="right"/>
              <w:rPr>
                <w:rFonts w:ascii="Arial Narrow" w:hAnsi="Arial Narrow" w:cs="Arial"/>
                <w:lang w:val="es-ES" w:eastAsia="es-ES"/>
              </w:rPr>
            </w:pPr>
            <w:r w:rsidRPr="0019628D">
              <w:rPr>
                <w:rFonts w:ascii="Arial Narrow" w:hAnsi="Arial Narrow" w:cs="Arial"/>
                <w:lang w:val="es-ES" w:eastAsia="es-ES"/>
              </w:rPr>
              <w:t xml:space="preserve">74 </w:t>
            </w:r>
          </w:p>
        </w:tc>
        <w:tc>
          <w:tcPr>
            <w:tcW w:w="1980"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right"/>
              <w:rPr>
                <w:rFonts w:ascii="Arial Narrow" w:hAnsi="Arial Narrow" w:cs="Arial"/>
                <w:lang w:val="es-ES" w:eastAsia="es-ES"/>
              </w:rPr>
            </w:pPr>
            <w:r w:rsidRPr="0019628D">
              <w:rPr>
                <w:rFonts w:ascii="Arial Narrow" w:hAnsi="Arial Narrow" w:cs="Arial"/>
                <w:lang w:val="es-ES" w:eastAsia="es-ES"/>
              </w:rPr>
              <w:t>62</w:t>
            </w:r>
            <w:r w:rsidR="000521D0">
              <w:rPr>
                <w:rFonts w:ascii="Arial Narrow" w:hAnsi="Arial Narrow" w:cs="Arial"/>
                <w:lang w:val="es-ES" w:eastAsia="es-ES"/>
              </w:rPr>
              <w:t>6</w:t>
            </w:r>
            <w:r w:rsidRPr="0019628D">
              <w:rPr>
                <w:rFonts w:ascii="Arial Narrow" w:hAnsi="Arial Narrow" w:cs="Arial"/>
                <w:lang w:val="es-ES" w:eastAsia="es-ES"/>
              </w:rPr>
              <w:t xml:space="preserve"> </w:t>
            </w:r>
          </w:p>
        </w:tc>
      </w:tr>
      <w:tr w:rsidR="008C67CD" w:rsidRPr="0019628D" w:rsidTr="007323E7">
        <w:trPr>
          <w:trHeight w:val="255"/>
          <w:jc w:val="center"/>
        </w:trPr>
        <w:tc>
          <w:tcPr>
            <w:tcW w:w="4746"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left"/>
              <w:rPr>
                <w:rFonts w:ascii="Arial Narrow" w:hAnsi="Arial Narrow" w:cs="Arial"/>
                <w:lang w:eastAsia="es-ES"/>
              </w:rPr>
            </w:pPr>
            <w:r w:rsidRPr="0019628D">
              <w:rPr>
                <w:rFonts w:ascii="Arial Narrow" w:hAnsi="Arial Narrow" w:cs="Arial"/>
                <w:lang w:eastAsia="es-ES"/>
              </w:rPr>
              <w:t xml:space="preserve">SALINAS </w:t>
            </w:r>
            <w:r>
              <w:rPr>
                <w:rFonts w:ascii="Arial Narrow" w:hAnsi="Arial Narrow" w:cs="Arial"/>
                <w:lang w:eastAsia="es-ES"/>
              </w:rPr>
              <w:t>DE NAVARRA</w:t>
            </w:r>
          </w:p>
        </w:tc>
        <w:tc>
          <w:tcPr>
            <w:tcW w:w="1984" w:type="dxa"/>
            <w:tcBorders>
              <w:top w:val="single" w:sz="2" w:space="0" w:color="auto"/>
              <w:bottom w:val="single" w:sz="2" w:space="0" w:color="auto"/>
            </w:tcBorders>
            <w:shd w:val="clear" w:color="000000" w:fill="FFFFFF"/>
            <w:vAlign w:val="center"/>
          </w:tcPr>
          <w:p w:rsidR="008C67CD" w:rsidRPr="0019628D" w:rsidRDefault="008C67CD" w:rsidP="0041180E">
            <w:pPr>
              <w:spacing w:after="0"/>
              <w:ind w:firstLine="0"/>
              <w:jc w:val="right"/>
              <w:rPr>
                <w:rFonts w:ascii="Arial Narrow" w:hAnsi="Arial Narrow" w:cs="Arial"/>
                <w:lang w:val="es-ES" w:eastAsia="es-ES"/>
              </w:rPr>
            </w:pPr>
            <w:r w:rsidRPr="0019628D">
              <w:rPr>
                <w:rFonts w:ascii="Arial Narrow" w:hAnsi="Arial Narrow" w:cs="Arial"/>
                <w:lang w:val="es-ES" w:eastAsia="es-ES"/>
              </w:rPr>
              <w:t>1.32</w:t>
            </w:r>
            <w:r w:rsidR="000521D0">
              <w:rPr>
                <w:rFonts w:ascii="Arial Narrow" w:hAnsi="Arial Narrow" w:cs="Arial"/>
                <w:lang w:val="es-ES" w:eastAsia="es-ES"/>
              </w:rPr>
              <w:t>9</w:t>
            </w:r>
            <w:r w:rsidRPr="0019628D">
              <w:rPr>
                <w:rFonts w:ascii="Arial Narrow" w:hAnsi="Arial Narrow" w:cs="Arial"/>
                <w:lang w:val="es-ES" w:eastAsia="es-ES"/>
              </w:rPr>
              <w:t xml:space="preserve"> </w:t>
            </w:r>
          </w:p>
        </w:tc>
        <w:tc>
          <w:tcPr>
            <w:tcW w:w="1980"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right"/>
              <w:rPr>
                <w:rFonts w:ascii="Arial Narrow" w:hAnsi="Arial Narrow" w:cs="Arial"/>
                <w:lang w:val="es-ES" w:eastAsia="es-ES"/>
              </w:rPr>
            </w:pPr>
            <w:r w:rsidRPr="0019628D">
              <w:rPr>
                <w:rFonts w:ascii="Arial Narrow" w:hAnsi="Arial Narrow" w:cs="Arial"/>
                <w:lang w:val="es-ES" w:eastAsia="es-ES"/>
              </w:rPr>
              <w:t xml:space="preserve">1.591 </w:t>
            </w:r>
          </w:p>
        </w:tc>
      </w:tr>
      <w:tr w:rsidR="008C67CD" w:rsidRPr="0019628D" w:rsidTr="007323E7">
        <w:trPr>
          <w:trHeight w:val="255"/>
          <w:jc w:val="center"/>
        </w:trPr>
        <w:tc>
          <w:tcPr>
            <w:tcW w:w="4746" w:type="dxa"/>
            <w:tcBorders>
              <w:top w:val="single" w:sz="2" w:space="0" w:color="auto"/>
              <w:bottom w:val="single" w:sz="4" w:space="0" w:color="auto"/>
            </w:tcBorders>
            <w:shd w:val="clear" w:color="000000" w:fill="FFFFFF"/>
            <w:noWrap/>
            <w:vAlign w:val="center"/>
            <w:hideMark/>
          </w:tcPr>
          <w:p w:rsidR="008C67CD" w:rsidRPr="0019628D" w:rsidRDefault="008C67CD" w:rsidP="0041180E">
            <w:pPr>
              <w:spacing w:after="0"/>
              <w:ind w:firstLine="0"/>
              <w:jc w:val="left"/>
              <w:rPr>
                <w:rFonts w:ascii="Arial Narrow" w:hAnsi="Arial Narrow" w:cs="Arial"/>
                <w:lang w:eastAsia="es-ES"/>
              </w:rPr>
            </w:pPr>
            <w:r w:rsidRPr="0019628D">
              <w:rPr>
                <w:rFonts w:ascii="Arial Narrow" w:hAnsi="Arial Narrow" w:cs="Arial"/>
                <w:lang w:eastAsia="es-ES"/>
              </w:rPr>
              <w:t>START UP</w:t>
            </w:r>
          </w:p>
        </w:tc>
        <w:tc>
          <w:tcPr>
            <w:tcW w:w="1984" w:type="dxa"/>
            <w:tcBorders>
              <w:top w:val="single" w:sz="2" w:space="0" w:color="auto"/>
              <w:bottom w:val="single" w:sz="4" w:space="0" w:color="auto"/>
            </w:tcBorders>
            <w:shd w:val="clear" w:color="000000" w:fill="FFFFFF"/>
            <w:vAlign w:val="center"/>
          </w:tcPr>
          <w:p w:rsidR="008C67CD" w:rsidRPr="0019628D" w:rsidRDefault="008C67CD" w:rsidP="0041180E">
            <w:pPr>
              <w:spacing w:after="0"/>
              <w:ind w:firstLine="0"/>
              <w:jc w:val="right"/>
              <w:rPr>
                <w:rFonts w:ascii="Arial Narrow" w:hAnsi="Arial Narrow" w:cs="Arial"/>
                <w:lang w:val="es-ES" w:eastAsia="es-ES"/>
              </w:rPr>
            </w:pPr>
            <w:r w:rsidRPr="0019628D">
              <w:rPr>
                <w:rFonts w:ascii="Arial Narrow" w:hAnsi="Arial Narrow" w:cs="Arial"/>
                <w:lang w:val="es-ES" w:eastAsia="es-ES"/>
              </w:rPr>
              <w:t xml:space="preserve">-414 </w:t>
            </w:r>
          </w:p>
        </w:tc>
        <w:tc>
          <w:tcPr>
            <w:tcW w:w="1980" w:type="dxa"/>
            <w:tcBorders>
              <w:top w:val="single" w:sz="2" w:space="0" w:color="auto"/>
              <w:bottom w:val="single" w:sz="4" w:space="0" w:color="auto"/>
            </w:tcBorders>
            <w:shd w:val="clear" w:color="000000" w:fill="FFFFFF"/>
            <w:noWrap/>
            <w:vAlign w:val="center"/>
            <w:hideMark/>
          </w:tcPr>
          <w:p w:rsidR="008C67CD" w:rsidRPr="0019628D" w:rsidRDefault="008C67CD" w:rsidP="0041180E">
            <w:pPr>
              <w:spacing w:after="0"/>
              <w:ind w:firstLine="0"/>
              <w:jc w:val="right"/>
              <w:rPr>
                <w:rFonts w:ascii="Arial Narrow" w:hAnsi="Arial Narrow" w:cs="Arial"/>
                <w:lang w:val="es-ES" w:eastAsia="es-ES"/>
              </w:rPr>
            </w:pPr>
            <w:r w:rsidRPr="0019628D">
              <w:rPr>
                <w:rFonts w:ascii="Arial Narrow" w:hAnsi="Arial Narrow" w:cs="Arial"/>
                <w:lang w:val="es-ES" w:eastAsia="es-ES"/>
              </w:rPr>
              <w:t>-21</w:t>
            </w:r>
            <w:r w:rsidR="000521D0">
              <w:rPr>
                <w:rFonts w:ascii="Arial Narrow" w:hAnsi="Arial Narrow" w:cs="Arial"/>
                <w:lang w:val="es-ES" w:eastAsia="es-ES"/>
              </w:rPr>
              <w:t>8</w:t>
            </w:r>
            <w:r w:rsidRPr="0019628D">
              <w:rPr>
                <w:rFonts w:ascii="Arial Narrow" w:hAnsi="Arial Narrow" w:cs="Arial"/>
                <w:lang w:val="es-ES" w:eastAsia="es-ES"/>
              </w:rPr>
              <w:t xml:space="preserve"> </w:t>
            </w:r>
          </w:p>
        </w:tc>
      </w:tr>
      <w:tr w:rsidR="008C67CD" w:rsidRPr="0019628D" w:rsidTr="007323E7">
        <w:trPr>
          <w:trHeight w:val="255"/>
          <w:jc w:val="center"/>
        </w:trPr>
        <w:tc>
          <w:tcPr>
            <w:tcW w:w="4746" w:type="dxa"/>
            <w:tcBorders>
              <w:top w:val="single" w:sz="4" w:space="0" w:color="auto"/>
              <w:bottom w:val="single" w:sz="4" w:space="0" w:color="auto"/>
            </w:tcBorders>
            <w:shd w:val="clear" w:color="auto" w:fill="A8CBEE" w:themeFill="accent2" w:themeFillTint="66"/>
            <w:noWrap/>
            <w:vAlign w:val="center"/>
            <w:hideMark/>
          </w:tcPr>
          <w:p w:rsidR="008C67CD" w:rsidRPr="0019628D" w:rsidRDefault="008C67CD" w:rsidP="0041180E">
            <w:pPr>
              <w:pStyle w:val="cuadroCabe"/>
              <w:jc w:val="left"/>
              <w:rPr>
                <w:rFonts w:cs="Arial"/>
              </w:rPr>
            </w:pPr>
            <w:r w:rsidRPr="0019628D">
              <w:rPr>
                <w:rFonts w:cs="Arial"/>
              </w:rPr>
              <w:t>T</w:t>
            </w:r>
            <w:r w:rsidRPr="008C67CD">
              <w:rPr>
                <w:rFonts w:cs="Arial"/>
              </w:rPr>
              <w:t>otal</w:t>
            </w:r>
            <w:r w:rsidR="009C5322">
              <w:rPr>
                <w:rFonts w:cs="Arial"/>
              </w:rPr>
              <w:t xml:space="preserve"> Resultado Agregado</w:t>
            </w:r>
          </w:p>
        </w:tc>
        <w:tc>
          <w:tcPr>
            <w:tcW w:w="1984" w:type="dxa"/>
            <w:tcBorders>
              <w:top w:val="single" w:sz="4" w:space="0" w:color="auto"/>
              <w:bottom w:val="single" w:sz="4" w:space="0" w:color="auto"/>
            </w:tcBorders>
            <w:shd w:val="clear" w:color="auto" w:fill="A8CBEE" w:themeFill="accent2" w:themeFillTint="66"/>
            <w:vAlign w:val="center"/>
          </w:tcPr>
          <w:p w:rsidR="008C67CD" w:rsidRPr="0019628D" w:rsidRDefault="00663E87" w:rsidP="0041180E">
            <w:pPr>
              <w:pStyle w:val="cuadroCabe"/>
              <w:jc w:val="right"/>
              <w:rPr>
                <w:rFonts w:cs="Arial"/>
              </w:rPr>
            </w:pPr>
            <w:r>
              <w:rPr>
                <w:rFonts w:cs="Arial"/>
              </w:rPr>
              <w:t>3.359</w:t>
            </w:r>
            <w:r w:rsidR="008C67CD" w:rsidRPr="0019628D">
              <w:rPr>
                <w:rFonts w:cs="Arial"/>
              </w:rPr>
              <w:t xml:space="preserve"> </w:t>
            </w:r>
          </w:p>
        </w:tc>
        <w:tc>
          <w:tcPr>
            <w:tcW w:w="1980" w:type="dxa"/>
            <w:tcBorders>
              <w:top w:val="single" w:sz="4" w:space="0" w:color="auto"/>
              <w:bottom w:val="single" w:sz="4" w:space="0" w:color="auto"/>
            </w:tcBorders>
            <w:shd w:val="clear" w:color="auto" w:fill="A8CBEE" w:themeFill="accent2" w:themeFillTint="66"/>
            <w:noWrap/>
            <w:vAlign w:val="center"/>
            <w:hideMark/>
          </w:tcPr>
          <w:p w:rsidR="008C67CD" w:rsidRPr="0019628D" w:rsidRDefault="00663E87" w:rsidP="009C6F7A">
            <w:pPr>
              <w:pStyle w:val="cuadroCabe"/>
              <w:jc w:val="right"/>
              <w:rPr>
                <w:rFonts w:cs="Arial"/>
              </w:rPr>
            </w:pPr>
            <w:r>
              <w:rPr>
                <w:rFonts w:cs="Arial"/>
              </w:rPr>
              <w:t>-59.89</w:t>
            </w:r>
            <w:r w:rsidR="009C6F7A">
              <w:rPr>
                <w:rFonts w:cs="Arial"/>
              </w:rPr>
              <w:t>4</w:t>
            </w:r>
          </w:p>
        </w:tc>
      </w:tr>
    </w:tbl>
    <w:p w:rsidR="00636678" w:rsidRPr="00C80CF7" w:rsidRDefault="00C80CF7" w:rsidP="0041180E">
      <w:pPr>
        <w:pStyle w:val="texto"/>
        <w:spacing w:before="240"/>
        <w:rPr>
          <w:lang w:val="es-ES"/>
        </w:rPr>
      </w:pPr>
      <w:r w:rsidRPr="00C80CF7">
        <w:rPr>
          <w:lang w:val="es-ES"/>
        </w:rPr>
        <w:t>Como se observa, solo tres empresas han obtenido beneficios en el ejercicio</w:t>
      </w:r>
      <w:r>
        <w:rPr>
          <w:lang w:val="es-ES"/>
        </w:rPr>
        <w:t>:</w:t>
      </w:r>
      <w:r w:rsidRPr="00C80CF7">
        <w:rPr>
          <w:lang w:val="es-ES"/>
        </w:rPr>
        <w:t xml:space="preserve"> Salinas </w:t>
      </w:r>
      <w:r>
        <w:rPr>
          <w:lang w:val="es-ES"/>
        </w:rPr>
        <w:t>de Navarra, T</w:t>
      </w:r>
      <w:r w:rsidR="006362BE">
        <w:rPr>
          <w:lang w:val="es-ES"/>
        </w:rPr>
        <w:t>racasa</w:t>
      </w:r>
      <w:r>
        <w:rPr>
          <w:lang w:val="es-ES"/>
        </w:rPr>
        <w:t xml:space="preserve"> y P</w:t>
      </w:r>
      <w:r w:rsidR="006362BE">
        <w:rPr>
          <w:lang w:val="es-ES"/>
        </w:rPr>
        <w:t>osusa</w:t>
      </w:r>
      <w:r w:rsidRPr="00C80CF7">
        <w:rPr>
          <w:lang w:val="es-ES"/>
        </w:rPr>
        <w:t>.</w:t>
      </w:r>
      <w:r>
        <w:rPr>
          <w:lang w:val="es-ES"/>
        </w:rPr>
        <w:t xml:space="preserve"> </w:t>
      </w:r>
      <w:r w:rsidR="00213E98">
        <w:rPr>
          <w:lang w:val="es-ES"/>
        </w:rPr>
        <w:t>Sobre las</w:t>
      </w:r>
      <w:r>
        <w:rPr>
          <w:lang w:val="es-ES"/>
        </w:rPr>
        <w:t xml:space="preserve"> que ofrecen mayores pérdidas, señalamos:</w:t>
      </w:r>
    </w:p>
    <w:p w:rsidR="00636678" w:rsidRDefault="006A6928" w:rsidP="00C80CF7">
      <w:pPr>
        <w:pStyle w:val="texto"/>
        <w:spacing w:after="120"/>
        <w:rPr>
          <w:lang w:val="es-ES"/>
        </w:rPr>
      </w:pPr>
      <w:r>
        <w:rPr>
          <w:lang w:val="es-ES"/>
        </w:rPr>
        <w:t>a)</w:t>
      </w:r>
      <w:r w:rsidR="00C80CF7">
        <w:rPr>
          <w:lang w:val="es-ES"/>
        </w:rPr>
        <w:t xml:space="preserve"> </w:t>
      </w:r>
      <w:r w:rsidR="00C80CF7" w:rsidRPr="00C80CF7">
        <w:rPr>
          <w:lang w:val="es-ES"/>
        </w:rPr>
        <w:t>N</w:t>
      </w:r>
      <w:r w:rsidR="006362BE">
        <w:rPr>
          <w:lang w:val="es-ES"/>
        </w:rPr>
        <w:t>asuvinsa</w:t>
      </w:r>
      <w:r w:rsidR="00C80CF7">
        <w:rPr>
          <w:lang w:val="es-ES"/>
        </w:rPr>
        <w:t xml:space="preserve">. </w:t>
      </w:r>
      <w:r w:rsidR="00AC5EA5">
        <w:rPr>
          <w:lang w:val="es-ES"/>
        </w:rPr>
        <w:t>El aumento de</w:t>
      </w:r>
      <w:r w:rsidR="00C80CF7">
        <w:rPr>
          <w:lang w:val="es-ES"/>
        </w:rPr>
        <w:t xml:space="preserve"> pérdidas</w:t>
      </w:r>
      <w:r w:rsidR="00AC5EA5">
        <w:rPr>
          <w:lang w:val="es-ES"/>
        </w:rPr>
        <w:t xml:space="preserve"> sobre 2014</w:t>
      </w:r>
      <w:r w:rsidR="00C80CF7">
        <w:rPr>
          <w:lang w:val="es-ES"/>
        </w:rPr>
        <w:t xml:space="preserve"> se justifica fundamentalmente por </w:t>
      </w:r>
      <w:r w:rsidR="00AC5EA5">
        <w:rPr>
          <w:lang w:val="es-ES"/>
        </w:rPr>
        <w:t>el incremento en los</w:t>
      </w:r>
      <w:r w:rsidR="00C80CF7">
        <w:rPr>
          <w:lang w:val="es-ES"/>
        </w:rPr>
        <w:t xml:space="preserve"> deterioros y pérdidas </w:t>
      </w:r>
      <w:r w:rsidR="009C6F7A">
        <w:rPr>
          <w:lang w:val="es-ES"/>
        </w:rPr>
        <w:t>en materias primas, productos terminados e inversiones inmobiliarias</w:t>
      </w:r>
      <w:r w:rsidR="005B398D">
        <w:rPr>
          <w:lang w:val="es-ES"/>
        </w:rPr>
        <w:t>, en torno a los 2</w:t>
      </w:r>
      <w:r w:rsidR="009C6F7A">
        <w:rPr>
          <w:lang w:val="es-ES"/>
        </w:rPr>
        <w:t>6</w:t>
      </w:r>
      <w:r w:rsidR="005B398D">
        <w:rPr>
          <w:lang w:val="es-ES"/>
        </w:rPr>
        <w:t xml:space="preserve"> millones.</w:t>
      </w:r>
    </w:p>
    <w:p w:rsidR="00C80CF7" w:rsidRDefault="006A6928" w:rsidP="006362BE">
      <w:pPr>
        <w:pStyle w:val="texto"/>
        <w:spacing w:after="0"/>
        <w:rPr>
          <w:lang w:val="es-ES"/>
        </w:rPr>
      </w:pPr>
      <w:r>
        <w:rPr>
          <w:lang w:val="es-ES"/>
        </w:rPr>
        <w:t>b)</w:t>
      </w:r>
      <w:r w:rsidR="00F77EBD">
        <w:rPr>
          <w:lang w:val="es-ES"/>
        </w:rPr>
        <w:t xml:space="preserve"> CEPEN</w:t>
      </w:r>
      <w:r w:rsidR="00C80CF7">
        <w:rPr>
          <w:lang w:val="es-ES"/>
        </w:rPr>
        <w:t xml:space="preserve">. </w:t>
      </w:r>
      <w:r w:rsidR="00AC5EA5">
        <w:rPr>
          <w:lang w:val="es-ES"/>
        </w:rPr>
        <w:t>El aumento de las pérdidas respecto a 2014</w:t>
      </w:r>
      <w:r w:rsidR="00C80CF7">
        <w:rPr>
          <w:lang w:val="es-ES"/>
        </w:rPr>
        <w:t xml:space="preserve"> se ex</w:t>
      </w:r>
      <w:r>
        <w:rPr>
          <w:lang w:val="es-ES"/>
        </w:rPr>
        <w:t>plica</w:t>
      </w:r>
      <w:r w:rsidR="00C80CF7">
        <w:rPr>
          <w:lang w:val="es-ES"/>
        </w:rPr>
        <w:t xml:space="preserve"> fundamentalmente en la reducción de </w:t>
      </w:r>
      <w:r w:rsidR="00AC5EA5">
        <w:rPr>
          <w:lang w:val="es-ES"/>
        </w:rPr>
        <w:t>9,4 millones en los</w:t>
      </w:r>
      <w:r w:rsidR="00C80CF7">
        <w:rPr>
          <w:lang w:val="es-ES"/>
        </w:rPr>
        <w:t xml:space="preserve"> ingresos de participaciones en capit</w:t>
      </w:r>
      <w:r w:rsidR="00AC5EA5">
        <w:rPr>
          <w:lang w:val="es-ES"/>
        </w:rPr>
        <w:t>al</w:t>
      </w:r>
      <w:r w:rsidR="00C80CF7">
        <w:rPr>
          <w:lang w:val="es-ES"/>
        </w:rPr>
        <w:t xml:space="preserve"> (dividendos)</w:t>
      </w:r>
      <w:r w:rsidR="00224E50">
        <w:rPr>
          <w:lang w:val="es-ES"/>
        </w:rPr>
        <w:t>; así</w:t>
      </w:r>
      <w:r w:rsidR="00AC5EA5">
        <w:rPr>
          <w:lang w:val="es-ES"/>
        </w:rPr>
        <w:t>, en el cuadro siguiente se observa la evolución de estos ingresos</w:t>
      </w:r>
      <w:r>
        <w:rPr>
          <w:lang w:val="es-ES"/>
        </w:rPr>
        <w:t xml:space="preserve"> en los dos ejercicios</w:t>
      </w:r>
      <w:r w:rsidR="00AC5EA5">
        <w:rPr>
          <w:lang w:val="es-ES"/>
        </w:rPr>
        <w:t>:</w:t>
      </w:r>
    </w:p>
    <w:p w:rsidR="00846EDC" w:rsidRPr="009C5322" w:rsidRDefault="006362BE" w:rsidP="00846EDC">
      <w:pPr>
        <w:pStyle w:val="texto"/>
        <w:tabs>
          <w:tab w:val="clear" w:pos="2835"/>
          <w:tab w:val="clear" w:pos="3969"/>
          <w:tab w:val="clear" w:pos="5103"/>
          <w:tab w:val="clear" w:pos="6237"/>
          <w:tab w:val="clear" w:pos="7371"/>
          <w:tab w:val="left" w:pos="480"/>
          <w:tab w:val="num" w:pos="928"/>
          <w:tab w:val="left" w:pos="8789"/>
        </w:tabs>
        <w:spacing w:after="40"/>
        <w:ind w:left="289" w:firstLine="0"/>
        <w:jc w:val="right"/>
        <w:rPr>
          <w:rFonts w:ascii="Times New (W1)" w:hAnsi="Times New (W1)"/>
          <w:bCs/>
        </w:rPr>
      </w:pPr>
      <w:r w:rsidRPr="00AF102F">
        <w:rPr>
          <w:rFonts w:ascii="Arial Narrow" w:hAnsi="Arial Narrow"/>
          <w:bCs/>
          <w:sz w:val="18"/>
          <w:szCs w:val="18"/>
        </w:rPr>
        <w:t>Miles</w:t>
      </w:r>
      <w:r w:rsidR="00846EDC" w:rsidRPr="00AF102F">
        <w:rPr>
          <w:rFonts w:ascii="Arial Narrow" w:hAnsi="Arial Narrow"/>
          <w:bCs/>
          <w:sz w:val="18"/>
          <w:szCs w:val="18"/>
        </w:rPr>
        <w:t xml:space="preserve"> de euros</w:t>
      </w:r>
    </w:p>
    <w:tbl>
      <w:tblPr>
        <w:tblW w:w="8887" w:type="dxa"/>
        <w:jc w:val="center"/>
        <w:tblCellMar>
          <w:left w:w="70" w:type="dxa"/>
          <w:right w:w="70" w:type="dxa"/>
        </w:tblCellMar>
        <w:tblLook w:val="04A0" w:firstRow="1" w:lastRow="0" w:firstColumn="1" w:lastColumn="0" w:noHBand="0" w:noVBand="1"/>
      </w:tblPr>
      <w:tblGrid>
        <w:gridCol w:w="4727"/>
        <w:gridCol w:w="3079"/>
        <w:gridCol w:w="1081"/>
      </w:tblGrid>
      <w:tr w:rsidR="00AC5EA5" w:rsidRPr="0019628D" w:rsidTr="00B07A4C">
        <w:trPr>
          <w:trHeight w:val="284"/>
          <w:jc w:val="center"/>
        </w:trPr>
        <w:tc>
          <w:tcPr>
            <w:tcW w:w="4727" w:type="dxa"/>
            <w:tcBorders>
              <w:top w:val="single" w:sz="4" w:space="0" w:color="auto"/>
              <w:bottom w:val="single" w:sz="4" w:space="0" w:color="auto"/>
            </w:tcBorders>
            <w:shd w:val="clear" w:color="auto" w:fill="A8CBEE" w:themeFill="accent2" w:themeFillTint="66"/>
            <w:noWrap/>
            <w:vAlign w:val="center"/>
            <w:hideMark/>
          </w:tcPr>
          <w:p w:rsidR="00AC5EA5" w:rsidRPr="0019628D" w:rsidRDefault="006D7111" w:rsidP="007323E7">
            <w:pPr>
              <w:pStyle w:val="cuadroCabe"/>
              <w:jc w:val="left"/>
              <w:rPr>
                <w:rFonts w:cs="Arial"/>
              </w:rPr>
            </w:pPr>
            <w:r>
              <w:rPr>
                <w:rFonts w:cs="Arial"/>
              </w:rPr>
              <w:t xml:space="preserve">CPEN- </w:t>
            </w:r>
            <w:r w:rsidR="00AC5EA5">
              <w:rPr>
                <w:rFonts w:cs="Arial"/>
              </w:rPr>
              <w:t>Ingresos de participaciones en capital</w:t>
            </w:r>
          </w:p>
        </w:tc>
        <w:tc>
          <w:tcPr>
            <w:tcW w:w="3079" w:type="dxa"/>
            <w:tcBorders>
              <w:top w:val="single" w:sz="4" w:space="0" w:color="auto"/>
              <w:bottom w:val="single" w:sz="4" w:space="0" w:color="auto"/>
            </w:tcBorders>
            <w:shd w:val="clear" w:color="auto" w:fill="A8CBEE" w:themeFill="accent2" w:themeFillTint="66"/>
            <w:vAlign w:val="center"/>
          </w:tcPr>
          <w:p w:rsidR="00AC5EA5" w:rsidRPr="0019628D" w:rsidRDefault="00AC5EA5" w:rsidP="00B07A4C">
            <w:pPr>
              <w:pStyle w:val="cuadroCabe"/>
              <w:tabs>
                <w:tab w:val="clear" w:pos="3969"/>
              </w:tabs>
              <w:jc w:val="right"/>
              <w:rPr>
                <w:rFonts w:cs="Arial"/>
              </w:rPr>
            </w:pPr>
            <w:r w:rsidRPr="0019628D">
              <w:rPr>
                <w:rFonts w:cs="Arial"/>
              </w:rPr>
              <w:t>2014</w:t>
            </w:r>
          </w:p>
        </w:tc>
        <w:tc>
          <w:tcPr>
            <w:tcW w:w="1081" w:type="dxa"/>
            <w:tcBorders>
              <w:top w:val="single" w:sz="4" w:space="0" w:color="auto"/>
              <w:bottom w:val="single" w:sz="4" w:space="0" w:color="auto"/>
            </w:tcBorders>
            <w:shd w:val="clear" w:color="auto" w:fill="A8CBEE" w:themeFill="accent2" w:themeFillTint="66"/>
            <w:vAlign w:val="center"/>
            <w:hideMark/>
          </w:tcPr>
          <w:p w:rsidR="00AC5EA5" w:rsidRPr="0019628D" w:rsidRDefault="00AC5EA5" w:rsidP="007323E7">
            <w:pPr>
              <w:pStyle w:val="cuadroCabe"/>
              <w:jc w:val="right"/>
              <w:rPr>
                <w:rFonts w:cs="Arial"/>
              </w:rPr>
            </w:pPr>
            <w:r w:rsidRPr="008C67CD">
              <w:rPr>
                <w:rFonts w:cs="Arial"/>
              </w:rPr>
              <w:t>2015</w:t>
            </w:r>
          </w:p>
        </w:tc>
      </w:tr>
      <w:tr w:rsidR="00AC5EA5" w:rsidRPr="0019628D" w:rsidTr="00B07A4C">
        <w:trPr>
          <w:trHeight w:val="284"/>
          <w:jc w:val="center"/>
        </w:trPr>
        <w:tc>
          <w:tcPr>
            <w:tcW w:w="4727" w:type="dxa"/>
            <w:tcBorders>
              <w:top w:val="single" w:sz="4" w:space="0" w:color="auto"/>
              <w:bottom w:val="single" w:sz="2" w:space="0" w:color="auto"/>
            </w:tcBorders>
            <w:shd w:val="clear" w:color="000000" w:fill="FFFFFF"/>
            <w:noWrap/>
            <w:vAlign w:val="center"/>
            <w:hideMark/>
          </w:tcPr>
          <w:p w:rsidR="00AC5EA5" w:rsidRPr="0019628D" w:rsidRDefault="00AC5EA5" w:rsidP="007323E7">
            <w:pPr>
              <w:spacing w:after="0"/>
              <w:ind w:firstLine="0"/>
              <w:jc w:val="left"/>
              <w:rPr>
                <w:rFonts w:ascii="Arial Narrow" w:hAnsi="Arial Narrow" w:cs="Arial"/>
                <w:lang w:eastAsia="es-ES"/>
              </w:rPr>
            </w:pPr>
            <w:r w:rsidRPr="0019628D">
              <w:rPr>
                <w:rFonts w:ascii="Arial Narrow" w:hAnsi="Arial Narrow" w:cs="Arial"/>
                <w:lang w:eastAsia="es-ES"/>
              </w:rPr>
              <w:t>NASUVINSA</w:t>
            </w:r>
          </w:p>
        </w:tc>
        <w:tc>
          <w:tcPr>
            <w:tcW w:w="3079" w:type="dxa"/>
            <w:tcBorders>
              <w:top w:val="single" w:sz="4" w:space="0" w:color="auto"/>
              <w:bottom w:val="single" w:sz="2" w:space="0" w:color="auto"/>
            </w:tcBorders>
            <w:shd w:val="clear" w:color="000000" w:fill="FFFFFF"/>
            <w:vAlign w:val="center"/>
          </w:tcPr>
          <w:p w:rsidR="00AC5EA5" w:rsidRPr="0019628D" w:rsidRDefault="00AC5EA5" w:rsidP="00B07A4C">
            <w:pPr>
              <w:spacing w:after="0"/>
              <w:ind w:firstLine="0"/>
              <w:jc w:val="right"/>
              <w:rPr>
                <w:rFonts w:ascii="Arial Narrow" w:hAnsi="Arial Narrow" w:cs="Arial"/>
                <w:lang w:val="es-ES" w:eastAsia="es-ES"/>
              </w:rPr>
            </w:pPr>
            <w:r>
              <w:rPr>
                <w:rFonts w:ascii="Arial Narrow" w:hAnsi="Arial Narrow" w:cs="Arial"/>
                <w:lang w:val="es-ES" w:eastAsia="es-ES"/>
              </w:rPr>
              <w:t>12.500</w:t>
            </w:r>
          </w:p>
        </w:tc>
        <w:tc>
          <w:tcPr>
            <w:tcW w:w="1081" w:type="dxa"/>
            <w:tcBorders>
              <w:top w:val="single" w:sz="4" w:space="0" w:color="auto"/>
              <w:bottom w:val="single" w:sz="2" w:space="0" w:color="auto"/>
            </w:tcBorders>
            <w:shd w:val="clear" w:color="000000" w:fill="FFFFFF"/>
            <w:noWrap/>
            <w:vAlign w:val="center"/>
          </w:tcPr>
          <w:p w:rsidR="00AC5EA5" w:rsidRPr="0019628D" w:rsidRDefault="00AC5EA5" w:rsidP="007323E7">
            <w:pPr>
              <w:spacing w:after="0"/>
              <w:ind w:firstLine="0"/>
              <w:jc w:val="right"/>
              <w:rPr>
                <w:rFonts w:ascii="Arial Narrow" w:hAnsi="Arial Narrow" w:cs="Arial"/>
                <w:lang w:val="es-ES" w:eastAsia="es-ES"/>
              </w:rPr>
            </w:pPr>
            <w:r>
              <w:rPr>
                <w:rFonts w:ascii="Arial Narrow" w:hAnsi="Arial Narrow" w:cs="Arial"/>
                <w:lang w:val="es-ES" w:eastAsia="es-ES"/>
              </w:rPr>
              <w:t>-</w:t>
            </w:r>
          </w:p>
        </w:tc>
      </w:tr>
      <w:tr w:rsidR="00AC5EA5" w:rsidRPr="0019628D" w:rsidTr="00B07A4C">
        <w:trPr>
          <w:trHeight w:val="284"/>
          <w:jc w:val="center"/>
        </w:trPr>
        <w:tc>
          <w:tcPr>
            <w:tcW w:w="4727" w:type="dxa"/>
            <w:tcBorders>
              <w:top w:val="single" w:sz="2" w:space="0" w:color="auto"/>
              <w:bottom w:val="single" w:sz="2" w:space="0" w:color="auto"/>
            </w:tcBorders>
            <w:shd w:val="clear" w:color="000000" w:fill="FFFFFF"/>
            <w:noWrap/>
            <w:vAlign w:val="center"/>
          </w:tcPr>
          <w:p w:rsidR="00AC5EA5" w:rsidRPr="0019628D" w:rsidRDefault="00AC5EA5" w:rsidP="007323E7">
            <w:pPr>
              <w:spacing w:after="0"/>
              <w:ind w:firstLine="0"/>
              <w:jc w:val="left"/>
              <w:rPr>
                <w:rFonts w:ascii="Arial Narrow" w:hAnsi="Arial Narrow" w:cs="Arial"/>
                <w:lang w:eastAsia="es-ES"/>
              </w:rPr>
            </w:pPr>
            <w:r>
              <w:rPr>
                <w:rFonts w:ascii="Arial Narrow" w:hAnsi="Arial Narrow" w:cs="Arial"/>
                <w:lang w:eastAsia="es-ES"/>
              </w:rPr>
              <w:t>NASERTIC</w:t>
            </w:r>
          </w:p>
        </w:tc>
        <w:tc>
          <w:tcPr>
            <w:tcW w:w="3079" w:type="dxa"/>
            <w:tcBorders>
              <w:top w:val="single" w:sz="2" w:space="0" w:color="auto"/>
              <w:bottom w:val="single" w:sz="2" w:space="0" w:color="auto"/>
            </w:tcBorders>
            <w:shd w:val="clear" w:color="000000" w:fill="FFFFFF"/>
            <w:vAlign w:val="center"/>
          </w:tcPr>
          <w:p w:rsidR="00AC5EA5" w:rsidRPr="0019628D" w:rsidRDefault="00AC5EA5" w:rsidP="00B07A4C">
            <w:pPr>
              <w:spacing w:after="0"/>
              <w:ind w:firstLine="0"/>
              <w:jc w:val="right"/>
              <w:rPr>
                <w:rFonts w:ascii="Arial Narrow" w:hAnsi="Arial Narrow" w:cs="Arial"/>
                <w:lang w:val="es-ES" w:eastAsia="es-ES"/>
              </w:rPr>
            </w:pPr>
            <w:r>
              <w:rPr>
                <w:rFonts w:ascii="Arial Narrow" w:hAnsi="Arial Narrow" w:cs="Arial"/>
                <w:lang w:val="es-ES" w:eastAsia="es-ES"/>
              </w:rPr>
              <w:t>-</w:t>
            </w:r>
          </w:p>
        </w:tc>
        <w:tc>
          <w:tcPr>
            <w:tcW w:w="1081" w:type="dxa"/>
            <w:tcBorders>
              <w:top w:val="single" w:sz="2" w:space="0" w:color="auto"/>
              <w:bottom w:val="single" w:sz="2" w:space="0" w:color="auto"/>
            </w:tcBorders>
            <w:shd w:val="clear" w:color="000000" w:fill="FFFFFF"/>
            <w:noWrap/>
            <w:vAlign w:val="center"/>
          </w:tcPr>
          <w:p w:rsidR="00AC5EA5" w:rsidRPr="0019628D" w:rsidRDefault="00AC5EA5" w:rsidP="007323E7">
            <w:pPr>
              <w:spacing w:after="0"/>
              <w:ind w:firstLine="0"/>
              <w:jc w:val="right"/>
              <w:rPr>
                <w:rFonts w:ascii="Arial Narrow" w:hAnsi="Arial Narrow" w:cs="Arial"/>
                <w:lang w:val="es-ES" w:eastAsia="es-ES"/>
              </w:rPr>
            </w:pPr>
            <w:r>
              <w:rPr>
                <w:rFonts w:ascii="Arial Narrow" w:hAnsi="Arial Narrow" w:cs="Arial"/>
                <w:lang w:val="es-ES" w:eastAsia="es-ES"/>
              </w:rPr>
              <w:t>1.000</w:t>
            </w:r>
          </w:p>
        </w:tc>
      </w:tr>
      <w:tr w:rsidR="00390379" w:rsidRPr="0019628D" w:rsidTr="00B07A4C">
        <w:trPr>
          <w:trHeight w:val="284"/>
          <w:jc w:val="center"/>
        </w:trPr>
        <w:tc>
          <w:tcPr>
            <w:tcW w:w="4727" w:type="dxa"/>
            <w:tcBorders>
              <w:top w:val="single" w:sz="2" w:space="0" w:color="auto"/>
              <w:bottom w:val="single" w:sz="2" w:space="0" w:color="auto"/>
            </w:tcBorders>
            <w:shd w:val="clear" w:color="000000" w:fill="FFFFFF"/>
            <w:noWrap/>
            <w:vAlign w:val="center"/>
          </w:tcPr>
          <w:p w:rsidR="00390379" w:rsidRPr="0019628D" w:rsidRDefault="00390379" w:rsidP="007323E7">
            <w:pPr>
              <w:spacing w:after="0"/>
              <w:ind w:firstLine="0"/>
              <w:jc w:val="left"/>
              <w:rPr>
                <w:rFonts w:ascii="Arial Narrow" w:hAnsi="Arial Narrow" w:cs="Arial"/>
                <w:lang w:eastAsia="es-ES"/>
              </w:rPr>
            </w:pPr>
            <w:r>
              <w:rPr>
                <w:rFonts w:ascii="Arial Narrow" w:hAnsi="Arial Narrow" w:cs="Arial"/>
                <w:lang w:eastAsia="es-ES"/>
              </w:rPr>
              <w:t>AUDENASA</w:t>
            </w:r>
          </w:p>
        </w:tc>
        <w:tc>
          <w:tcPr>
            <w:tcW w:w="3079" w:type="dxa"/>
            <w:tcBorders>
              <w:top w:val="single" w:sz="2" w:space="0" w:color="auto"/>
              <w:bottom w:val="single" w:sz="2" w:space="0" w:color="auto"/>
            </w:tcBorders>
            <w:shd w:val="clear" w:color="000000" w:fill="FFFFFF"/>
            <w:vAlign w:val="center"/>
          </w:tcPr>
          <w:p w:rsidR="00390379" w:rsidRPr="0019628D" w:rsidRDefault="00390379" w:rsidP="00B07A4C">
            <w:pPr>
              <w:spacing w:after="0"/>
              <w:ind w:firstLine="0"/>
              <w:jc w:val="right"/>
              <w:rPr>
                <w:rFonts w:ascii="Arial Narrow" w:hAnsi="Arial Narrow" w:cs="Arial"/>
                <w:lang w:val="es-ES" w:eastAsia="es-ES"/>
              </w:rPr>
            </w:pPr>
            <w:r>
              <w:rPr>
                <w:rFonts w:ascii="Arial Narrow" w:hAnsi="Arial Narrow" w:cs="Arial"/>
                <w:lang w:val="es-ES" w:eastAsia="es-ES"/>
              </w:rPr>
              <w:t>5.972</w:t>
            </w:r>
          </w:p>
        </w:tc>
        <w:tc>
          <w:tcPr>
            <w:tcW w:w="1081" w:type="dxa"/>
            <w:tcBorders>
              <w:top w:val="single" w:sz="2" w:space="0" w:color="auto"/>
              <w:bottom w:val="single" w:sz="2" w:space="0" w:color="auto"/>
            </w:tcBorders>
            <w:shd w:val="clear" w:color="000000" w:fill="FFFFFF"/>
            <w:noWrap/>
            <w:vAlign w:val="center"/>
          </w:tcPr>
          <w:p w:rsidR="00390379" w:rsidRPr="0019628D" w:rsidRDefault="00390379" w:rsidP="007323E7">
            <w:pPr>
              <w:spacing w:after="0"/>
              <w:ind w:firstLine="0"/>
              <w:jc w:val="right"/>
              <w:rPr>
                <w:rFonts w:ascii="Arial Narrow" w:hAnsi="Arial Narrow" w:cs="Arial"/>
                <w:lang w:val="es-ES" w:eastAsia="es-ES"/>
              </w:rPr>
            </w:pPr>
            <w:r>
              <w:rPr>
                <w:rFonts w:ascii="Arial Narrow" w:hAnsi="Arial Narrow" w:cs="Arial"/>
                <w:lang w:val="es-ES" w:eastAsia="es-ES"/>
              </w:rPr>
              <w:t>8.060</w:t>
            </w:r>
          </w:p>
        </w:tc>
      </w:tr>
      <w:tr w:rsidR="00AC5EA5" w:rsidRPr="0019628D" w:rsidTr="00B07A4C">
        <w:trPr>
          <w:trHeight w:val="284"/>
          <w:jc w:val="center"/>
        </w:trPr>
        <w:tc>
          <w:tcPr>
            <w:tcW w:w="4727" w:type="dxa"/>
            <w:tcBorders>
              <w:top w:val="single" w:sz="2" w:space="0" w:color="auto"/>
              <w:bottom w:val="single" w:sz="4" w:space="0" w:color="auto"/>
            </w:tcBorders>
            <w:shd w:val="clear" w:color="000000" w:fill="FFFFFF"/>
            <w:noWrap/>
            <w:vAlign w:val="center"/>
          </w:tcPr>
          <w:p w:rsidR="00AC5EA5" w:rsidRPr="0019628D" w:rsidRDefault="00AC5EA5" w:rsidP="007323E7">
            <w:pPr>
              <w:spacing w:after="0"/>
              <w:ind w:firstLine="0"/>
              <w:jc w:val="left"/>
              <w:rPr>
                <w:rFonts w:ascii="Arial Narrow" w:hAnsi="Arial Narrow" w:cs="Arial"/>
                <w:lang w:eastAsia="es-ES"/>
              </w:rPr>
            </w:pPr>
            <w:r>
              <w:rPr>
                <w:rFonts w:ascii="Arial Narrow" w:hAnsi="Arial Narrow" w:cs="Arial"/>
                <w:lang w:eastAsia="es-ES"/>
              </w:rPr>
              <w:t>MERCAIRUÑA</w:t>
            </w:r>
          </w:p>
        </w:tc>
        <w:tc>
          <w:tcPr>
            <w:tcW w:w="3079" w:type="dxa"/>
            <w:tcBorders>
              <w:top w:val="single" w:sz="2" w:space="0" w:color="auto"/>
              <w:bottom w:val="single" w:sz="4" w:space="0" w:color="auto"/>
            </w:tcBorders>
            <w:shd w:val="clear" w:color="000000" w:fill="FFFFFF"/>
            <w:vAlign w:val="center"/>
          </w:tcPr>
          <w:p w:rsidR="00AC5EA5" w:rsidRPr="0019628D" w:rsidRDefault="00AC5EA5" w:rsidP="00B07A4C">
            <w:pPr>
              <w:spacing w:after="0"/>
              <w:ind w:firstLine="0"/>
              <w:jc w:val="right"/>
              <w:rPr>
                <w:rFonts w:ascii="Arial Narrow" w:hAnsi="Arial Narrow" w:cs="Arial"/>
                <w:lang w:val="es-ES" w:eastAsia="es-ES"/>
              </w:rPr>
            </w:pPr>
            <w:r>
              <w:rPr>
                <w:rFonts w:ascii="Arial Narrow" w:hAnsi="Arial Narrow" w:cs="Arial"/>
                <w:lang w:val="es-ES" w:eastAsia="es-ES"/>
              </w:rPr>
              <w:t>11</w:t>
            </w:r>
          </w:p>
        </w:tc>
        <w:tc>
          <w:tcPr>
            <w:tcW w:w="1081" w:type="dxa"/>
            <w:tcBorders>
              <w:top w:val="single" w:sz="2" w:space="0" w:color="auto"/>
              <w:bottom w:val="single" w:sz="4" w:space="0" w:color="auto"/>
            </w:tcBorders>
            <w:shd w:val="clear" w:color="000000" w:fill="FFFFFF"/>
            <w:noWrap/>
            <w:vAlign w:val="center"/>
          </w:tcPr>
          <w:p w:rsidR="00AC5EA5" w:rsidRPr="0019628D" w:rsidRDefault="00AC5EA5" w:rsidP="007323E7">
            <w:pPr>
              <w:spacing w:after="0"/>
              <w:ind w:firstLine="0"/>
              <w:jc w:val="right"/>
              <w:rPr>
                <w:rFonts w:ascii="Arial Narrow" w:hAnsi="Arial Narrow" w:cs="Arial"/>
                <w:lang w:val="es-ES" w:eastAsia="es-ES"/>
              </w:rPr>
            </w:pPr>
            <w:r>
              <w:rPr>
                <w:rFonts w:ascii="Arial Narrow" w:hAnsi="Arial Narrow" w:cs="Arial"/>
                <w:lang w:val="es-ES" w:eastAsia="es-ES"/>
              </w:rPr>
              <w:t>11</w:t>
            </w:r>
          </w:p>
        </w:tc>
      </w:tr>
      <w:tr w:rsidR="00AC5EA5" w:rsidRPr="0019628D" w:rsidTr="00B07A4C">
        <w:trPr>
          <w:trHeight w:val="284"/>
          <w:jc w:val="center"/>
        </w:trPr>
        <w:tc>
          <w:tcPr>
            <w:tcW w:w="4727" w:type="dxa"/>
            <w:tcBorders>
              <w:top w:val="single" w:sz="4" w:space="0" w:color="auto"/>
              <w:bottom w:val="single" w:sz="4" w:space="0" w:color="auto"/>
            </w:tcBorders>
            <w:shd w:val="clear" w:color="auto" w:fill="A8CBEE" w:themeFill="accent2" w:themeFillTint="66"/>
            <w:noWrap/>
            <w:vAlign w:val="center"/>
          </w:tcPr>
          <w:p w:rsidR="00AC5EA5" w:rsidRPr="00AC5EA5" w:rsidRDefault="00AC5EA5" w:rsidP="007323E7">
            <w:pPr>
              <w:pStyle w:val="cuadroCabe"/>
              <w:jc w:val="left"/>
              <w:rPr>
                <w:rFonts w:cs="Arial"/>
              </w:rPr>
            </w:pPr>
            <w:r w:rsidRPr="00AC5EA5">
              <w:rPr>
                <w:rFonts w:cs="Arial"/>
              </w:rPr>
              <w:t>Total</w:t>
            </w:r>
            <w:r>
              <w:rPr>
                <w:rFonts w:cs="Arial"/>
              </w:rPr>
              <w:t xml:space="preserve"> Dividendos</w:t>
            </w:r>
          </w:p>
        </w:tc>
        <w:tc>
          <w:tcPr>
            <w:tcW w:w="3079" w:type="dxa"/>
            <w:tcBorders>
              <w:top w:val="single" w:sz="4" w:space="0" w:color="auto"/>
              <w:bottom w:val="single" w:sz="4" w:space="0" w:color="auto"/>
            </w:tcBorders>
            <w:shd w:val="clear" w:color="auto" w:fill="A8CBEE" w:themeFill="accent2" w:themeFillTint="66"/>
            <w:vAlign w:val="center"/>
          </w:tcPr>
          <w:p w:rsidR="00AC5EA5" w:rsidRPr="00AC5EA5" w:rsidRDefault="00AC5EA5" w:rsidP="00B07A4C">
            <w:pPr>
              <w:pStyle w:val="cuadroCabe"/>
              <w:tabs>
                <w:tab w:val="clear" w:pos="3969"/>
              </w:tabs>
              <w:jc w:val="right"/>
              <w:rPr>
                <w:rFonts w:cs="Arial"/>
              </w:rPr>
            </w:pPr>
            <w:r w:rsidRPr="00AC5EA5">
              <w:rPr>
                <w:rFonts w:cs="Arial"/>
              </w:rPr>
              <w:t>18.483</w:t>
            </w:r>
          </w:p>
        </w:tc>
        <w:tc>
          <w:tcPr>
            <w:tcW w:w="1081" w:type="dxa"/>
            <w:tcBorders>
              <w:top w:val="single" w:sz="4" w:space="0" w:color="auto"/>
              <w:bottom w:val="single" w:sz="4" w:space="0" w:color="auto"/>
            </w:tcBorders>
            <w:shd w:val="clear" w:color="auto" w:fill="A8CBEE" w:themeFill="accent2" w:themeFillTint="66"/>
            <w:noWrap/>
            <w:vAlign w:val="center"/>
          </w:tcPr>
          <w:p w:rsidR="00AC5EA5" w:rsidRPr="00AC5EA5" w:rsidRDefault="00AC5EA5" w:rsidP="007323E7">
            <w:pPr>
              <w:pStyle w:val="cuadroCabe"/>
              <w:jc w:val="right"/>
              <w:rPr>
                <w:rFonts w:cs="Arial"/>
              </w:rPr>
            </w:pPr>
            <w:r w:rsidRPr="00AC5EA5">
              <w:rPr>
                <w:rFonts w:cs="Arial"/>
              </w:rPr>
              <w:t>9.071</w:t>
            </w:r>
          </w:p>
        </w:tc>
      </w:tr>
    </w:tbl>
    <w:p w:rsidR="007C6BCB" w:rsidRDefault="007C6BCB" w:rsidP="00B07A4C">
      <w:pPr>
        <w:pStyle w:val="texto"/>
        <w:spacing w:after="0"/>
        <w:rPr>
          <w:lang w:val="es-ES"/>
        </w:rPr>
      </w:pPr>
    </w:p>
    <w:p w:rsidR="00BB5CAC" w:rsidRDefault="006A6928" w:rsidP="00457F1D">
      <w:pPr>
        <w:pStyle w:val="texto"/>
        <w:spacing w:after="120"/>
        <w:rPr>
          <w:lang w:val="es-ES"/>
        </w:rPr>
      </w:pPr>
      <w:r>
        <w:rPr>
          <w:lang w:val="es-ES"/>
        </w:rPr>
        <w:t>c)</w:t>
      </w:r>
      <w:r w:rsidR="005F1131">
        <w:rPr>
          <w:lang w:val="es-ES"/>
        </w:rPr>
        <w:t xml:space="preserve"> S</w:t>
      </w:r>
      <w:r w:rsidR="006362BE">
        <w:rPr>
          <w:lang w:val="es-ES"/>
        </w:rPr>
        <w:t>odena</w:t>
      </w:r>
      <w:r w:rsidR="005F1131">
        <w:rPr>
          <w:lang w:val="es-ES"/>
        </w:rPr>
        <w:t xml:space="preserve">. </w:t>
      </w:r>
      <w:r w:rsidR="00A529AF">
        <w:rPr>
          <w:lang w:val="es-ES"/>
        </w:rPr>
        <w:t xml:space="preserve">El resultado positivo de 2014 </w:t>
      </w:r>
      <w:r w:rsidR="007808C3">
        <w:rPr>
          <w:lang w:val="es-ES"/>
        </w:rPr>
        <w:t>se</w:t>
      </w:r>
      <w:r w:rsidR="00A529AF">
        <w:rPr>
          <w:lang w:val="es-ES"/>
        </w:rPr>
        <w:t xml:space="preserve"> justifica</w:t>
      </w:r>
      <w:r w:rsidR="007808C3">
        <w:rPr>
          <w:lang w:val="es-ES"/>
        </w:rPr>
        <w:t>ba fundamentalmente</w:t>
      </w:r>
      <w:r w:rsidR="00A529AF">
        <w:rPr>
          <w:lang w:val="es-ES"/>
        </w:rPr>
        <w:t xml:space="preserve"> en los 33,35 millones de beneficios derivados de la venta de las acciones de Iberdrola</w:t>
      </w:r>
      <w:r w:rsidR="007808C3">
        <w:rPr>
          <w:lang w:val="es-ES"/>
        </w:rPr>
        <w:t>; en 2015, los resultados de enajenaciones de instrumentos financieros ha</w:t>
      </w:r>
      <w:r w:rsidR="0088771C">
        <w:rPr>
          <w:lang w:val="es-ES"/>
        </w:rPr>
        <w:t>n</w:t>
      </w:r>
      <w:r w:rsidR="007808C3">
        <w:rPr>
          <w:lang w:val="es-ES"/>
        </w:rPr>
        <w:t xml:space="preserve"> sido de 4,59 millones.</w:t>
      </w:r>
    </w:p>
    <w:p w:rsidR="00EB6A25" w:rsidRDefault="00EB6A25" w:rsidP="00457F1D">
      <w:pPr>
        <w:pStyle w:val="texto"/>
        <w:spacing w:after="120"/>
        <w:rPr>
          <w:lang w:val="es-ES"/>
        </w:rPr>
      </w:pPr>
      <w:r>
        <w:rPr>
          <w:lang w:val="es-ES"/>
        </w:rPr>
        <w:t>d) N</w:t>
      </w:r>
      <w:r w:rsidR="006362BE">
        <w:rPr>
          <w:lang w:val="es-ES"/>
        </w:rPr>
        <w:t>asertic</w:t>
      </w:r>
      <w:r>
        <w:rPr>
          <w:lang w:val="es-ES"/>
        </w:rPr>
        <w:t xml:space="preserve">, por </w:t>
      </w:r>
      <w:r w:rsidR="00D8787D">
        <w:rPr>
          <w:lang w:val="es-ES"/>
        </w:rPr>
        <w:t xml:space="preserve">el </w:t>
      </w:r>
      <w:r>
        <w:rPr>
          <w:lang w:val="es-ES"/>
        </w:rPr>
        <w:t xml:space="preserve">incremento </w:t>
      </w:r>
      <w:r w:rsidR="007E1CA7">
        <w:rPr>
          <w:lang w:val="es-ES"/>
        </w:rPr>
        <w:t>de más de tres millones en</w:t>
      </w:r>
      <w:r w:rsidR="00485A19">
        <w:rPr>
          <w:lang w:val="es-ES"/>
        </w:rPr>
        <w:t xml:space="preserve"> pérdidas</w:t>
      </w:r>
      <w:r w:rsidR="00D8787D">
        <w:rPr>
          <w:lang w:val="es-ES"/>
        </w:rPr>
        <w:t>, deterioro</w:t>
      </w:r>
      <w:r w:rsidR="00485A19">
        <w:rPr>
          <w:lang w:val="es-ES"/>
        </w:rPr>
        <w:t xml:space="preserve"> y variación de provisiones</w:t>
      </w:r>
      <w:r>
        <w:rPr>
          <w:lang w:val="es-ES"/>
        </w:rPr>
        <w:t xml:space="preserve"> de operaciones comerciales derivadas </w:t>
      </w:r>
      <w:r w:rsidR="007E2B05">
        <w:rPr>
          <w:lang w:val="es-ES"/>
        </w:rPr>
        <w:t xml:space="preserve">fundamentalmente </w:t>
      </w:r>
      <w:r>
        <w:rPr>
          <w:lang w:val="es-ES"/>
        </w:rPr>
        <w:t>del despliegue, mantenimiento y difusión de la TDT en zonas remo</w:t>
      </w:r>
      <w:r w:rsidR="001A3430">
        <w:rPr>
          <w:lang w:val="es-ES"/>
        </w:rPr>
        <w:t>tas y menos urbanizadas</w:t>
      </w:r>
      <w:r w:rsidR="007E1CA7">
        <w:rPr>
          <w:lang w:val="es-ES"/>
        </w:rPr>
        <w:t>.</w:t>
      </w:r>
    </w:p>
    <w:p w:rsidR="00EB24CF" w:rsidRDefault="00EB24CF" w:rsidP="003D34A9">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ind w:left="0" w:firstLine="290"/>
        <w:rPr>
          <w:rFonts w:ascii="Times New (W1)" w:hAnsi="Times New (W1)"/>
          <w:bCs/>
        </w:rPr>
      </w:pPr>
      <w:r>
        <w:rPr>
          <w:rFonts w:ascii="Times New (W1)" w:hAnsi="Times New (W1)"/>
          <w:bCs/>
        </w:rPr>
        <w:t>En 2015, el capital social de la sociedad dominante CPEN ha experimentado dos ampliaciones de capital suscritas y desembolsadas en su totalidad por la por la Administración de la Comunidad Foral:</w:t>
      </w:r>
    </w:p>
    <w:p w:rsidR="00EB24CF" w:rsidRPr="001C34A7" w:rsidRDefault="00EB24CF" w:rsidP="001C34A7">
      <w:pPr>
        <w:pStyle w:val="texto"/>
        <w:spacing w:after="120"/>
        <w:rPr>
          <w:lang w:val="es-ES"/>
        </w:rPr>
      </w:pPr>
      <w:r w:rsidRPr="001C34A7">
        <w:rPr>
          <w:lang w:val="es-ES"/>
        </w:rPr>
        <w:t>a</w:t>
      </w:r>
      <w:r w:rsidR="001F325D">
        <w:rPr>
          <w:lang w:val="es-ES"/>
        </w:rPr>
        <w:t>)</w:t>
      </w:r>
      <w:r w:rsidRPr="001C34A7">
        <w:rPr>
          <w:lang w:val="es-ES"/>
        </w:rPr>
        <w:t xml:space="preserve"> </w:t>
      </w:r>
      <w:r w:rsidR="001C34A7" w:rsidRPr="001C34A7">
        <w:rPr>
          <w:lang w:val="es-ES"/>
        </w:rPr>
        <w:t>En junio de 2015, una ampliación de 4,27 millones cuya finalidad es la financiación de las obras del Canal de Navarra.</w:t>
      </w:r>
    </w:p>
    <w:p w:rsidR="001C34A7" w:rsidRPr="007323E7" w:rsidRDefault="001F325D" w:rsidP="001C34A7">
      <w:pPr>
        <w:pStyle w:val="texto"/>
        <w:spacing w:after="120"/>
        <w:rPr>
          <w:spacing w:val="4"/>
          <w:lang w:val="es-ES"/>
        </w:rPr>
      </w:pPr>
      <w:r>
        <w:rPr>
          <w:lang w:val="es-ES"/>
        </w:rPr>
        <w:t>b)</w:t>
      </w:r>
      <w:r w:rsidR="001C34A7" w:rsidRPr="001C34A7">
        <w:rPr>
          <w:lang w:val="es-ES"/>
        </w:rPr>
        <w:t xml:space="preserve"> </w:t>
      </w:r>
      <w:r w:rsidR="001C34A7" w:rsidRPr="007323E7">
        <w:rPr>
          <w:spacing w:val="4"/>
          <w:lang w:val="es-ES"/>
        </w:rPr>
        <w:t>En diciembre de 2015, una ampliación de 11,40 millones destinada a la refinanciación de la sociedad pública Ciudad Agroalimentaria de Tudela (CAT).</w:t>
      </w:r>
    </w:p>
    <w:p w:rsidR="001C34A7" w:rsidRPr="006C497A" w:rsidRDefault="001C34A7" w:rsidP="001C34A7">
      <w:pPr>
        <w:pStyle w:val="texto"/>
        <w:spacing w:after="120"/>
        <w:rPr>
          <w:lang w:val="es-ES"/>
        </w:rPr>
      </w:pPr>
      <w:r w:rsidRPr="006C497A">
        <w:rPr>
          <w:lang w:val="es-ES"/>
        </w:rPr>
        <w:t xml:space="preserve">Así mismo, a 31 de diciembre de 2015 se </w:t>
      </w:r>
      <w:r w:rsidR="004A7D1B" w:rsidRPr="006C497A">
        <w:rPr>
          <w:lang w:val="es-ES"/>
        </w:rPr>
        <w:t>encontraba</w:t>
      </w:r>
      <w:r w:rsidRPr="006C497A">
        <w:rPr>
          <w:lang w:val="es-ES"/>
        </w:rPr>
        <w:t xml:space="preserve"> en tramitación otra ampliación de capital de la CPEN por importe de</w:t>
      </w:r>
      <w:r w:rsidR="007E1CA7">
        <w:rPr>
          <w:lang w:val="es-ES"/>
        </w:rPr>
        <w:t xml:space="preserve"> cuatro</w:t>
      </w:r>
      <w:r w:rsidRPr="006C497A">
        <w:rPr>
          <w:lang w:val="es-ES"/>
        </w:rPr>
        <w:t xml:space="preserve"> millones</w:t>
      </w:r>
      <w:r w:rsidR="006C497A">
        <w:rPr>
          <w:lang w:val="es-ES"/>
        </w:rPr>
        <w:t xml:space="preserve"> cuyo objeto es </w:t>
      </w:r>
      <w:r w:rsidR="006C497A" w:rsidRPr="006C497A">
        <w:rPr>
          <w:lang w:val="es-ES"/>
        </w:rPr>
        <w:t>reforzar patrimonialmente a la sociedad N</w:t>
      </w:r>
      <w:r w:rsidR="006362BE">
        <w:rPr>
          <w:lang w:val="es-ES"/>
        </w:rPr>
        <w:t>asertic</w:t>
      </w:r>
      <w:r w:rsidR="006C497A" w:rsidRPr="006C497A">
        <w:rPr>
          <w:lang w:val="es-ES"/>
        </w:rPr>
        <w:t xml:space="preserve">. </w:t>
      </w:r>
      <w:r w:rsidRPr="006C497A">
        <w:rPr>
          <w:lang w:val="es-ES"/>
        </w:rPr>
        <w:t>A la fecha de aprobación de las cuentas generales del citado ejercicio –junio de 2016</w:t>
      </w:r>
      <w:r w:rsidR="00B07A4C">
        <w:rPr>
          <w:lang w:val="es-ES"/>
        </w:rPr>
        <w:t>–</w:t>
      </w:r>
      <w:r w:rsidRPr="006C497A">
        <w:rPr>
          <w:lang w:val="es-ES"/>
        </w:rPr>
        <w:t xml:space="preserve"> dicha ampliación se ha formalizado en su totalidad. </w:t>
      </w:r>
    </w:p>
    <w:p w:rsidR="006362BE" w:rsidRDefault="00FE11B5" w:rsidP="00B07A4C">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spacing w:after="0"/>
        <w:ind w:left="0" w:firstLine="289"/>
        <w:rPr>
          <w:rFonts w:ascii="Times New (W1)" w:hAnsi="Times New (W1)"/>
          <w:bCs/>
        </w:rPr>
      </w:pPr>
      <w:r>
        <w:rPr>
          <w:rFonts w:ascii="Times New (W1)" w:hAnsi="Times New (W1)"/>
          <w:bCs/>
        </w:rPr>
        <w:t xml:space="preserve">Durante el ejercicio de 2015, la sociedad CPEN ha realizado aportaciones </w:t>
      </w:r>
      <w:r w:rsidR="00DA107F">
        <w:rPr>
          <w:rFonts w:ascii="Times New (W1)" w:hAnsi="Times New (W1)"/>
          <w:bCs/>
        </w:rPr>
        <w:t xml:space="preserve">a las sociedades públicas </w:t>
      </w:r>
      <w:r>
        <w:rPr>
          <w:rFonts w:ascii="Times New (W1)" w:hAnsi="Times New (W1)"/>
          <w:bCs/>
        </w:rPr>
        <w:t>para compensar pérdidas y cubrir necesidades de tesorería por importe de 17,1 millones, según el siguiente detalle</w:t>
      </w:r>
      <w:r w:rsidR="006362BE">
        <w:rPr>
          <w:rFonts w:ascii="Times New (W1)" w:hAnsi="Times New (W1)"/>
          <w:bCs/>
        </w:rPr>
        <w:t>:</w:t>
      </w:r>
      <w:r w:rsidR="00AF102F">
        <w:rPr>
          <w:rFonts w:ascii="Times New (W1)" w:hAnsi="Times New (W1)"/>
          <w:bCs/>
        </w:rPr>
        <w:t xml:space="preserve"> </w:t>
      </w:r>
    </w:p>
    <w:p w:rsidR="006362BE" w:rsidRPr="00B07A4C" w:rsidRDefault="006362BE" w:rsidP="00B07A4C">
      <w:pPr>
        <w:pStyle w:val="texto"/>
        <w:tabs>
          <w:tab w:val="clear" w:pos="2835"/>
          <w:tab w:val="clear" w:pos="3969"/>
          <w:tab w:val="clear" w:pos="5103"/>
          <w:tab w:val="clear" w:pos="6237"/>
          <w:tab w:val="clear" w:pos="7371"/>
          <w:tab w:val="left" w:pos="480"/>
          <w:tab w:val="num" w:pos="928"/>
        </w:tabs>
        <w:spacing w:after="40"/>
        <w:ind w:left="289" w:right="142" w:firstLine="0"/>
        <w:jc w:val="right"/>
        <w:rPr>
          <w:rFonts w:ascii="Arial Narrow" w:hAnsi="Arial Narrow"/>
          <w:bCs/>
          <w:sz w:val="18"/>
          <w:szCs w:val="18"/>
        </w:rPr>
      </w:pPr>
      <w:r w:rsidRPr="00B07A4C">
        <w:rPr>
          <w:rFonts w:ascii="Arial Narrow" w:hAnsi="Arial Narrow"/>
          <w:bCs/>
          <w:sz w:val="18"/>
          <w:szCs w:val="18"/>
        </w:rPr>
        <w:t>Miles de euros</w:t>
      </w:r>
    </w:p>
    <w:tbl>
      <w:tblPr>
        <w:tblW w:w="8651" w:type="dxa"/>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5852"/>
        <w:gridCol w:w="2799"/>
      </w:tblGrid>
      <w:tr w:rsidR="00FE11B5" w:rsidRPr="0019628D" w:rsidTr="007323E7">
        <w:trPr>
          <w:trHeight w:val="284"/>
          <w:jc w:val="center"/>
        </w:trPr>
        <w:tc>
          <w:tcPr>
            <w:tcW w:w="5852" w:type="dxa"/>
            <w:tcBorders>
              <w:top w:val="single" w:sz="4" w:space="0" w:color="auto"/>
              <w:bottom w:val="single" w:sz="4" w:space="0" w:color="auto"/>
            </w:tcBorders>
            <w:shd w:val="clear" w:color="auto" w:fill="A8CBEE" w:themeFill="accent2" w:themeFillTint="66"/>
            <w:noWrap/>
            <w:vAlign w:val="center"/>
            <w:hideMark/>
          </w:tcPr>
          <w:p w:rsidR="00FE11B5" w:rsidRPr="0019628D" w:rsidRDefault="00FE11B5" w:rsidP="00E52A45">
            <w:pPr>
              <w:pStyle w:val="cuadroCabe"/>
              <w:jc w:val="left"/>
              <w:rPr>
                <w:rFonts w:cs="Arial"/>
              </w:rPr>
            </w:pPr>
            <w:r>
              <w:rPr>
                <w:rFonts w:cs="Arial"/>
              </w:rPr>
              <w:t xml:space="preserve">CPEN- Aportaciones como socio </w:t>
            </w:r>
            <w:r w:rsidR="0098515D">
              <w:rPr>
                <w:rFonts w:cs="Arial"/>
              </w:rPr>
              <w:t>a</w:t>
            </w:r>
          </w:p>
        </w:tc>
        <w:tc>
          <w:tcPr>
            <w:tcW w:w="2799" w:type="dxa"/>
            <w:tcBorders>
              <w:top w:val="single" w:sz="4" w:space="0" w:color="auto"/>
              <w:bottom w:val="single" w:sz="4" w:space="0" w:color="auto"/>
            </w:tcBorders>
            <w:shd w:val="clear" w:color="auto" w:fill="A8CBEE" w:themeFill="accent2" w:themeFillTint="66"/>
            <w:vAlign w:val="center"/>
          </w:tcPr>
          <w:p w:rsidR="00FE11B5" w:rsidRPr="0019628D" w:rsidRDefault="00FE11B5" w:rsidP="00AF102F">
            <w:pPr>
              <w:pStyle w:val="cuadroCabe"/>
              <w:jc w:val="right"/>
              <w:rPr>
                <w:rFonts w:cs="Arial"/>
              </w:rPr>
            </w:pPr>
            <w:r>
              <w:rPr>
                <w:rFonts w:cs="Arial"/>
              </w:rPr>
              <w:t>Ejercicio</w:t>
            </w:r>
            <w:r w:rsidRPr="0019628D">
              <w:rPr>
                <w:rFonts w:cs="Arial"/>
              </w:rPr>
              <w:t xml:space="preserve"> 201</w:t>
            </w:r>
            <w:r>
              <w:rPr>
                <w:rFonts w:cs="Arial"/>
              </w:rPr>
              <w:t>5</w:t>
            </w:r>
          </w:p>
        </w:tc>
      </w:tr>
      <w:tr w:rsidR="00FE11B5" w:rsidRPr="0019628D" w:rsidTr="007323E7">
        <w:trPr>
          <w:trHeight w:val="284"/>
          <w:jc w:val="center"/>
        </w:trPr>
        <w:tc>
          <w:tcPr>
            <w:tcW w:w="5852" w:type="dxa"/>
            <w:tcBorders>
              <w:top w:val="single" w:sz="4" w:space="0" w:color="auto"/>
            </w:tcBorders>
            <w:shd w:val="clear" w:color="000000" w:fill="FFFFFF"/>
            <w:noWrap/>
            <w:vAlign w:val="center"/>
          </w:tcPr>
          <w:p w:rsidR="00FE11B5" w:rsidRPr="0019628D" w:rsidRDefault="00FE11B5" w:rsidP="00E52A45">
            <w:pPr>
              <w:spacing w:after="0"/>
              <w:ind w:firstLine="0"/>
              <w:jc w:val="left"/>
              <w:rPr>
                <w:rFonts w:ascii="Arial Narrow" w:hAnsi="Arial Narrow" w:cs="Arial"/>
                <w:lang w:eastAsia="es-ES"/>
              </w:rPr>
            </w:pPr>
            <w:r>
              <w:rPr>
                <w:rFonts w:ascii="Arial Narrow" w:hAnsi="Arial Narrow" w:cs="Arial"/>
                <w:lang w:eastAsia="es-ES"/>
              </w:rPr>
              <w:t>GAN</w:t>
            </w:r>
          </w:p>
        </w:tc>
        <w:tc>
          <w:tcPr>
            <w:tcW w:w="2799" w:type="dxa"/>
            <w:tcBorders>
              <w:top w:val="single" w:sz="4" w:space="0" w:color="auto"/>
            </w:tcBorders>
            <w:shd w:val="clear" w:color="000000" w:fill="FFFFFF"/>
            <w:vAlign w:val="center"/>
          </w:tcPr>
          <w:p w:rsidR="00FE11B5" w:rsidRPr="0019628D" w:rsidRDefault="00FE11B5" w:rsidP="00E52A45">
            <w:pPr>
              <w:spacing w:after="0"/>
              <w:ind w:firstLine="0"/>
              <w:jc w:val="right"/>
              <w:rPr>
                <w:rFonts w:ascii="Arial Narrow" w:hAnsi="Arial Narrow" w:cs="Arial"/>
                <w:lang w:val="es-ES" w:eastAsia="es-ES"/>
              </w:rPr>
            </w:pPr>
            <w:r>
              <w:rPr>
                <w:rFonts w:ascii="Arial Narrow" w:hAnsi="Arial Narrow" w:cs="Arial"/>
                <w:lang w:val="es-ES" w:eastAsia="es-ES"/>
              </w:rPr>
              <w:t>550</w:t>
            </w:r>
          </w:p>
        </w:tc>
      </w:tr>
      <w:tr w:rsidR="00FE11B5" w:rsidRPr="0019628D" w:rsidTr="007323E7">
        <w:trPr>
          <w:trHeight w:val="284"/>
          <w:jc w:val="center"/>
        </w:trPr>
        <w:tc>
          <w:tcPr>
            <w:tcW w:w="5852" w:type="dxa"/>
            <w:shd w:val="clear" w:color="000000" w:fill="FFFFFF"/>
            <w:noWrap/>
            <w:vAlign w:val="center"/>
          </w:tcPr>
          <w:p w:rsidR="00FE11B5" w:rsidRPr="0019628D" w:rsidRDefault="00FE11B5" w:rsidP="00E52A45">
            <w:pPr>
              <w:spacing w:after="0"/>
              <w:ind w:firstLine="0"/>
              <w:jc w:val="left"/>
              <w:rPr>
                <w:rFonts w:ascii="Arial Narrow" w:hAnsi="Arial Narrow" w:cs="Arial"/>
                <w:lang w:eastAsia="es-ES"/>
              </w:rPr>
            </w:pPr>
            <w:r>
              <w:rPr>
                <w:rFonts w:ascii="Arial Narrow" w:hAnsi="Arial Narrow" w:cs="Arial"/>
                <w:lang w:eastAsia="es-ES"/>
              </w:rPr>
              <w:t>CEIN</w:t>
            </w:r>
          </w:p>
        </w:tc>
        <w:tc>
          <w:tcPr>
            <w:tcW w:w="2799" w:type="dxa"/>
            <w:shd w:val="clear" w:color="000000" w:fill="FFFFFF"/>
            <w:vAlign w:val="center"/>
          </w:tcPr>
          <w:p w:rsidR="00FE11B5" w:rsidRPr="0019628D" w:rsidRDefault="00FE11B5" w:rsidP="00E52A45">
            <w:pPr>
              <w:spacing w:after="0"/>
              <w:ind w:firstLine="0"/>
              <w:jc w:val="right"/>
              <w:rPr>
                <w:rFonts w:ascii="Arial Narrow" w:hAnsi="Arial Narrow" w:cs="Arial"/>
                <w:lang w:val="es-ES" w:eastAsia="es-ES"/>
              </w:rPr>
            </w:pPr>
            <w:r>
              <w:rPr>
                <w:rFonts w:ascii="Arial Narrow" w:hAnsi="Arial Narrow" w:cs="Arial"/>
                <w:lang w:val="es-ES" w:eastAsia="es-ES"/>
              </w:rPr>
              <w:t>1.500</w:t>
            </w:r>
          </w:p>
        </w:tc>
      </w:tr>
      <w:tr w:rsidR="00FE11B5" w:rsidRPr="0019628D" w:rsidTr="007323E7">
        <w:trPr>
          <w:trHeight w:val="284"/>
          <w:jc w:val="center"/>
        </w:trPr>
        <w:tc>
          <w:tcPr>
            <w:tcW w:w="5852" w:type="dxa"/>
            <w:shd w:val="clear" w:color="000000" w:fill="FFFFFF"/>
            <w:noWrap/>
            <w:vAlign w:val="center"/>
          </w:tcPr>
          <w:p w:rsidR="00FE11B5" w:rsidRPr="0019628D" w:rsidRDefault="00FE11B5" w:rsidP="00E52A45">
            <w:pPr>
              <w:spacing w:after="0"/>
              <w:ind w:firstLine="0"/>
              <w:jc w:val="left"/>
              <w:rPr>
                <w:rFonts w:ascii="Arial Narrow" w:hAnsi="Arial Narrow" w:cs="Arial"/>
                <w:lang w:eastAsia="es-ES"/>
              </w:rPr>
            </w:pPr>
            <w:r>
              <w:rPr>
                <w:rFonts w:ascii="Arial Narrow" w:hAnsi="Arial Narrow" w:cs="Arial"/>
                <w:lang w:eastAsia="es-ES"/>
              </w:rPr>
              <w:t>CAT</w:t>
            </w:r>
          </w:p>
        </w:tc>
        <w:tc>
          <w:tcPr>
            <w:tcW w:w="2799" w:type="dxa"/>
            <w:shd w:val="clear" w:color="000000" w:fill="FFFFFF"/>
            <w:vAlign w:val="center"/>
          </w:tcPr>
          <w:p w:rsidR="00FE11B5" w:rsidRPr="0019628D" w:rsidRDefault="00FE11B5" w:rsidP="00E52A45">
            <w:pPr>
              <w:spacing w:after="0"/>
              <w:ind w:firstLine="0"/>
              <w:jc w:val="right"/>
              <w:rPr>
                <w:rFonts w:ascii="Arial Narrow" w:hAnsi="Arial Narrow" w:cs="Arial"/>
                <w:lang w:val="es-ES" w:eastAsia="es-ES"/>
              </w:rPr>
            </w:pPr>
            <w:r>
              <w:rPr>
                <w:rFonts w:ascii="Arial Narrow" w:hAnsi="Arial Narrow" w:cs="Arial"/>
                <w:lang w:val="es-ES" w:eastAsia="es-ES"/>
              </w:rPr>
              <w:t>11.400</w:t>
            </w:r>
          </w:p>
        </w:tc>
      </w:tr>
      <w:tr w:rsidR="00FE11B5" w:rsidRPr="0019628D" w:rsidTr="007323E7">
        <w:trPr>
          <w:trHeight w:val="284"/>
          <w:jc w:val="center"/>
        </w:trPr>
        <w:tc>
          <w:tcPr>
            <w:tcW w:w="5852" w:type="dxa"/>
            <w:shd w:val="clear" w:color="000000" w:fill="FFFFFF"/>
            <w:noWrap/>
            <w:vAlign w:val="center"/>
          </w:tcPr>
          <w:p w:rsidR="00FE11B5" w:rsidRPr="0019628D" w:rsidRDefault="00FE11B5" w:rsidP="00E52A45">
            <w:pPr>
              <w:spacing w:after="0"/>
              <w:ind w:firstLine="0"/>
              <w:jc w:val="left"/>
              <w:rPr>
                <w:rFonts w:ascii="Arial Narrow" w:hAnsi="Arial Narrow" w:cs="Arial"/>
                <w:lang w:eastAsia="es-ES"/>
              </w:rPr>
            </w:pPr>
            <w:r>
              <w:rPr>
                <w:rFonts w:ascii="Arial Narrow" w:hAnsi="Arial Narrow" w:cs="Arial"/>
                <w:lang w:eastAsia="es-ES"/>
              </w:rPr>
              <w:t>NICDO</w:t>
            </w:r>
          </w:p>
        </w:tc>
        <w:tc>
          <w:tcPr>
            <w:tcW w:w="2799" w:type="dxa"/>
            <w:shd w:val="clear" w:color="000000" w:fill="FFFFFF"/>
            <w:vAlign w:val="center"/>
          </w:tcPr>
          <w:p w:rsidR="00FE11B5" w:rsidRPr="0019628D" w:rsidRDefault="00FE11B5" w:rsidP="00E52A45">
            <w:pPr>
              <w:spacing w:after="0"/>
              <w:ind w:firstLine="0"/>
              <w:jc w:val="right"/>
              <w:rPr>
                <w:rFonts w:ascii="Arial Narrow" w:hAnsi="Arial Narrow" w:cs="Arial"/>
                <w:lang w:val="es-ES" w:eastAsia="es-ES"/>
              </w:rPr>
            </w:pPr>
            <w:r>
              <w:rPr>
                <w:rFonts w:ascii="Arial Narrow" w:hAnsi="Arial Narrow" w:cs="Arial"/>
                <w:lang w:val="es-ES" w:eastAsia="es-ES"/>
              </w:rPr>
              <w:t>3.600</w:t>
            </w:r>
          </w:p>
        </w:tc>
      </w:tr>
      <w:tr w:rsidR="00FE11B5" w:rsidRPr="0019628D" w:rsidTr="007323E7">
        <w:trPr>
          <w:trHeight w:val="284"/>
          <w:jc w:val="center"/>
        </w:trPr>
        <w:tc>
          <w:tcPr>
            <w:tcW w:w="5852" w:type="dxa"/>
            <w:tcBorders>
              <w:bottom w:val="single" w:sz="2" w:space="0" w:color="auto"/>
            </w:tcBorders>
            <w:shd w:val="clear" w:color="000000" w:fill="FFFFFF"/>
            <w:noWrap/>
            <w:vAlign w:val="center"/>
          </w:tcPr>
          <w:p w:rsidR="00FE11B5" w:rsidRDefault="00FE11B5" w:rsidP="00E52A45">
            <w:pPr>
              <w:spacing w:after="0"/>
              <w:ind w:firstLine="0"/>
              <w:jc w:val="left"/>
              <w:rPr>
                <w:rFonts w:ascii="Arial Narrow" w:hAnsi="Arial Narrow" w:cs="Arial"/>
                <w:lang w:eastAsia="es-ES"/>
              </w:rPr>
            </w:pPr>
            <w:r>
              <w:rPr>
                <w:rFonts w:ascii="Arial Narrow" w:hAnsi="Arial Narrow" w:cs="Arial"/>
                <w:lang w:eastAsia="es-ES"/>
              </w:rPr>
              <w:t>CNAI</w:t>
            </w:r>
          </w:p>
        </w:tc>
        <w:tc>
          <w:tcPr>
            <w:tcW w:w="2799" w:type="dxa"/>
            <w:tcBorders>
              <w:bottom w:val="single" w:sz="2" w:space="0" w:color="auto"/>
            </w:tcBorders>
            <w:shd w:val="clear" w:color="000000" w:fill="FFFFFF"/>
            <w:vAlign w:val="center"/>
          </w:tcPr>
          <w:p w:rsidR="00FE11B5" w:rsidRPr="0019628D" w:rsidRDefault="00FE11B5" w:rsidP="00E52A45">
            <w:pPr>
              <w:spacing w:after="0"/>
              <w:ind w:firstLine="0"/>
              <w:jc w:val="right"/>
              <w:rPr>
                <w:rFonts w:ascii="Arial Narrow" w:hAnsi="Arial Narrow" w:cs="Arial"/>
                <w:lang w:val="es-ES" w:eastAsia="es-ES"/>
              </w:rPr>
            </w:pPr>
            <w:r>
              <w:rPr>
                <w:rFonts w:ascii="Arial Narrow" w:hAnsi="Arial Narrow" w:cs="Arial"/>
                <w:lang w:val="es-ES" w:eastAsia="es-ES"/>
              </w:rPr>
              <w:t>30</w:t>
            </w:r>
          </w:p>
        </w:tc>
      </w:tr>
      <w:tr w:rsidR="00FE11B5" w:rsidRPr="00AC5EA5" w:rsidTr="007323E7">
        <w:trPr>
          <w:trHeight w:val="284"/>
          <w:jc w:val="center"/>
        </w:trPr>
        <w:tc>
          <w:tcPr>
            <w:tcW w:w="5852" w:type="dxa"/>
            <w:tcBorders>
              <w:bottom w:val="single" w:sz="4" w:space="0" w:color="auto"/>
            </w:tcBorders>
            <w:shd w:val="clear" w:color="auto" w:fill="A8CBEE" w:themeFill="accent2" w:themeFillTint="66"/>
            <w:noWrap/>
            <w:vAlign w:val="center"/>
          </w:tcPr>
          <w:p w:rsidR="00FE11B5" w:rsidRPr="00AC5EA5" w:rsidRDefault="00FE11B5" w:rsidP="00E52A45">
            <w:pPr>
              <w:pStyle w:val="cuadroCabe"/>
              <w:jc w:val="left"/>
              <w:rPr>
                <w:rFonts w:cs="Arial"/>
              </w:rPr>
            </w:pPr>
            <w:r>
              <w:rPr>
                <w:rFonts w:cs="Arial"/>
              </w:rPr>
              <w:t>Total aportaciones</w:t>
            </w:r>
          </w:p>
        </w:tc>
        <w:tc>
          <w:tcPr>
            <w:tcW w:w="2799" w:type="dxa"/>
            <w:tcBorders>
              <w:bottom w:val="single" w:sz="4" w:space="0" w:color="auto"/>
            </w:tcBorders>
            <w:shd w:val="clear" w:color="auto" w:fill="A8CBEE" w:themeFill="accent2" w:themeFillTint="66"/>
            <w:vAlign w:val="center"/>
          </w:tcPr>
          <w:p w:rsidR="00FE11B5" w:rsidRPr="00AC5EA5" w:rsidRDefault="00FE11B5" w:rsidP="00E52A45">
            <w:pPr>
              <w:pStyle w:val="cuadroCabe"/>
              <w:jc w:val="right"/>
              <w:rPr>
                <w:rFonts w:cs="Arial"/>
              </w:rPr>
            </w:pPr>
            <w:r>
              <w:rPr>
                <w:rFonts w:cs="Arial"/>
              </w:rPr>
              <w:t>17.080</w:t>
            </w:r>
          </w:p>
        </w:tc>
      </w:tr>
    </w:tbl>
    <w:p w:rsidR="00532DF2" w:rsidRDefault="00532DF2" w:rsidP="007323E7">
      <w:pPr>
        <w:pStyle w:val="texto"/>
        <w:spacing w:before="240"/>
        <w:rPr>
          <w:lang w:val="es-ES"/>
        </w:rPr>
      </w:pPr>
      <w:r w:rsidRPr="00532DF2">
        <w:rPr>
          <w:lang w:val="es-ES"/>
        </w:rPr>
        <w:t>En 2014, estas aportaciones fueron de 15,10 millones, destin</w:t>
      </w:r>
      <w:r>
        <w:rPr>
          <w:lang w:val="es-ES"/>
        </w:rPr>
        <w:t>a</w:t>
      </w:r>
      <w:r w:rsidRPr="00532DF2">
        <w:rPr>
          <w:lang w:val="es-ES"/>
        </w:rPr>
        <w:t>das fundamentalmente a</w:t>
      </w:r>
      <w:r w:rsidR="00552411">
        <w:rPr>
          <w:lang w:val="es-ES"/>
        </w:rPr>
        <w:t xml:space="preserve"> la sociedad</w:t>
      </w:r>
      <w:r w:rsidRPr="00532DF2">
        <w:rPr>
          <w:lang w:val="es-ES"/>
        </w:rPr>
        <w:t xml:space="preserve"> CAT </w:t>
      </w:r>
      <w:r w:rsidR="006362BE">
        <w:rPr>
          <w:lang w:val="es-ES"/>
        </w:rPr>
        <w:t>–</w:t>
      </w:r>
      <w:r w:rsidRPr="00532DF2">
        <w:rPr>
          <w:lang w:val="es-ES"/>
        </w:rPr>
        <w:t>11 millones</w:t>
      </w:r>
      <w:r w:rsidR="006362BE">
        <w:rPr>
          <w:lang w:val="es-ES"/>
        </w:rPr>
        <w:t>–</w:t>
      </w:r>
      <w:r w:rsidRPr="00532DF2">
        <w:rPr>
          <w:lang w:val="es-ES"/>
        </w:rPr>
        <w:t xml:space="preserve"> y a NICDO </w:t>
      </w:r>
      <w:r w:rsidR="006362BE">
        <w:rPr>
          <w:lang w:val="es-ES"/>
        </w:rPr>
        <w:t>–</w:t>
      </w:r>
      <w:r w:rsidRPr="00532DF2">
        <w:rPr>
          <w:lang w:val="es-ES"/>
        </w:rPr>
        <w:t>4,07 millones</w:t>
      </w:r>
      <w:r w:rsidR="006362BE">
        <w:rPr>
          <w:lang w:val="es-ES"/>
        </w:rPr>
        <w:t>–</w:t>
      </w:r>
      <w:r w:rsidRPr="00532DF2">
        <w:rPr>
          <w:lang w:val="es-ES"/>
        </w:rPr>
        <w:t>.</w:t>
      </w:r>
    </w:p>
    <w:p w:rsidR="005C605B" w:rsidRPr="00532DF2" w:rsidRDefault="005C605B" w:rsidP="007323E7">
      <w:pPr>
        <w:pStyle w:val="texto"/>
        <w:rPr>
          <w:lang w:val="es-ES"/>
        </w:rPr>
      </w:pPr>
      <w:r>
        <w:rPr>
          <w:lang w:val="es-ES"/>
        </w:rPr>
        <w:t xml:space="preserve">Las aportaciones a </w:t>
      </w:r>
      <w:r w:rsidR="00552411">
        <w:rPr>
          <w:lang w:val="es-ES"/>
        </w:rPr>
        <w:t xml:space="preserve">la empresa </w:t>
      </w:r>
      <w:r>
        <w:rPr>
          <w:lang w:val="es-ES"/>
        </w:rPr>
        <w:t xml:space="preserve">CAT se destinaron a amortización y refinanciación de </w:t>
      </w:r>
      <w:r w:rsidR="0033004F">
        <w:rPr>
          <w:lang w:val="es-ES"/>
        </w:rPr>
        <w:t xml:space="preserve">su </w:t>
      </w:r>
      <w:r>
        <w:rPr>
          <w:lang w:val="es-ES"/>
        </w:rPr>
        <w:t>deuda.</w:t>
      </w:r>
    </w:p>
    <w:p w:rsidR="00437809" w:rsidRPr="006A6928" w:rsidRDefault="00437809" w:rsidP="006A6928">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ind w:left="0" w:firstLine="290"/>
        <w:rPr>
          <w:rFonts w:ascii="Times New (W1)" w:hAnsi="Times New (W1)"/>
          <w:bCs/>
        </w:rPr>
      </w:pPr>
      <w:r w:rsidRPr="006A6928">
        <w:rPr>
          <w:rFonts w:ascii="Times New (W1)" w:hAnsi="Times New (W1)"/>
          <w:bCs/>
        </w:rPr>
        <w:t>Durante el ejercicio de 2015, la empresa N</w:t>
      </w:r>
      <w:r w:rsidR="006362BE">
        <w:rPr>
          <w:rFonts w:ascii="Times New (W1)" w:hAnsi="Times New (W1)"/>
          <w:bCs/>
        </w:rPr>
        <w:t>asuvinsa</w:t>
      </w:r>
      <w:r w:rsidRPr="006A6928">
        <w:rPr>
          <w:rFonts w:ascii="Times New (W1)" w:hAnsi="Times New (W1)"/>
          <w:bCs/>
        </w:rPr>
        <w:t xml:space="preserve"> adquiere el 100 por cien del capital de la sociedad </w:t>
      </w:r>
      <w:r w:rsidRPr="006A6928">
        <w:rPr>
          <w:lang w:val="es-ES"/>
        </w:rPr>
        <w:t>Natural Climate Systems. Hasta esa fecha, la composición accionarial de la sociedad era la siguiente: N</w:t>
      </w:r>
      <w:r w:rsidR="006362BE">
        <w:rPr>
          <w:lang w:val="es-ES"/>
        </w:rPr>
        <w:t>asuvinsa</w:t>
      </w:r>
      <w:r w:rsidRPr="006A6928">
        <w:rPr>
          <w:lang w:val="es-ES"/>
        </w:rPr>
        <w:t xml:space="preserve"> –el 34,50 por ciento</w:t>
      </w:r>
      <w:r w:rsidR="007323E7">
        <w:rPr>
          <w:lang w:val="es-ES"/>
        </w:rPr>
        <w:t>–</w:t>
      </w:r>
      <w:r w:rsidR="00FA521C">
        <w:rPr>
          <w:lang w:val="es-ES"/>
        </w:rPr>
        <w:t>, Sodena</w:t>
      </w:r>
      <w:r w:rsidR="007323E7">
        <w:rPr>
          <w:lang w:val="es-ES"/>
        </w:rPr>
        <w:t xml:space="preserve"> –</w:t>
      </w:r>
      <w:r w:rsidRPr="006A6928">
        <w:rPr>
          <w:lang w:val="es-ES"/>
        </w:rPr>
        <w:t>31,50 por ciento</w:t>
      </w:r>
      <w:r w:rsidR="007323E7">
        <w:rPr>
          <w:lang w:val="es-ES"/>
        </w:rPr>
        <w:t>–</w:t>
      </w:r>
      <w:r w:rsidRPr="006A6928">
        <w:rPr>
          <w:lang w:val="es-ES"/>
        </w:rPr>
        <w:t xml:space="preserve"> y otros accionistas –el 34 por ciento restante</w:t>
      </w:r>
      <w:r w:rsidR="007323E7">
        <w:rPr>
          <w:lang w:val="es-ES"/>
        </w:rPr>
        <w:t>–</w:t>
      </w:r>
      <w:r w:rsidRPr="006A6928">
        <w:rPr>
          <w:lang w:val="es-ES"/>
        </w:rPr>
        <w:t xml:space="preserve">. </w:t>
      </w:r>
    </w:p>
    <w:p w:rsidR="002516BD" w:rsidRPr="00F20E38" w:rsidRDefault="00F20E38" w:rsidP="00F20E38">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ind w:left="0" w:firstLine="290"/>
        <w:rPr>
          <w:lang w:val="es-ES"/>
        </w:rPr>
      </w:pPr>
      <w:r>
        <w:t>La sociedad S</w:t>
      </w:r>
      <w:r w:rsidR="00FA521C">
        <w:t>odena</w:t>
      </w:r>
      <w:r>
        <w:t xml:space="preserve">, en 2015, </w:t>
      </w:r>
      <w:r w:rsidR="002516BD">
        <w:rPr>
          <w:lang w:val="es-ES"/>
        </w:rPr>
        <w:t>tiene avales concedidos a terceros por importe de 118,</w:t>
      </w:r>
      <w:r w:rsidR="00982F57">
        <w:rPr>
          <w:lang w:val="es-ES"/>
        </w:rPr>
        <w:t>52</w:t>
      </w:r>
      <w:r w:rsidR="002516BD">
        <w:rPr>
          <w:lang w:val="es-ES"/>
        </w:rPr>
        <w:t xml:space="preserve"> millones, </w:t>
      </w:r>
      <w:r>
        <w:rPr>
          <w:lang w:val="es-ES"/>
        </w:rPr>
        <w:t>un 20 por ciento inferior a la cuantía de 2014.</w:t>
      </w:r>
      <w:r w:rsidR="009A1F9B">
        <w:rPr>
          <w:lang w:val="es-ES"/>
        </w:rPr>
        <w:t xml:space="preserve"> Dentro de esos avales, 1,75 millones son para empresas del grupo y asociadas.</w:t>
      </w:r>
    </w:p>
    <w:p w:rsidR="005654ED" w:rsidRPr="005A1493" w:rsidRDefault="005654ED" w:rsidP="007323E7">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ind w:left="0" w:firstLine="289"/>
        <w:rPr>
          <w:rFonts w:ascii="Times New (W1)" w:hAnsi="Times New (W1)"/>
          <w:bCs/>
        </w:rPr>
      </w:pPr>
      <w:r w:rsidRPr="005654ED">
        <w:rPr>
          <w:rFonts w:ascii="Times New (W1)" w:hAnsi="Times New (W1)"/>
          <w:bCs/>
        </w:rPr>
        <w:t xml:space="preserve">La </w:t>
      </w:r>
      <w:r>
        <w:rPr>
          <w:rFonts w:ascii="Times New (W1)" w:hAnsi="Times New (W1)"/>
          <w:bCs/>
        </w:rPr>
        <w:t>s</w:t>
      </w:r>
      <w:r w:rsidRPr="005654ED">
        <w:rPr>
          <w:rFonts w:ascii="Times New (W1)" w:hAnsi="Times New (W1)"/>
          <w:bCs/>
        </w:rPr>
        <w:t>ociedad</w:t>
      </w:r>
      <w:r>
        <w:rPr>
          <w:rFonts w:ascii="Times New (W1)" w:hAnsi="Times New (W1)"/>
          <w:bCs/>
        </w:rPr>
        <w:t xml:space="preserve"> NICDO</w:t>
      </w:r>
      <w:r w:rsidRPr="005654ED">
        <w:rPr>
          <w:rFonts w:ascii="Times New (W1)" w:hAnsi="Times New (W1)"/>
          <w:bCs/>
        </w:rPr>
        <w:t xml:space="preserve"> inició en 2014 un proceso de reclamación </w:t>
      </w:r>
      <w:r w:rsidR="005A1493">
        <w:rPr>
          <w:rFonts w:ascii="Times New (W1)" w:hAnsi="Times New (W1)"/>
          <w:bCs/>
        </w:rPr>
        <w:t xml:space="preserve">contra los responsables de </w:t>
      </w:r>
      <w:r w:rsidR="00552411">
        <w:rPr>
          <w:rFonts w:ascii="Times New (W1)" w:hAnsi="Times New (W1)"/>
          <w:bCs/>
        </w:rPr>
        <w:t>la</w:t>
      </w:r>
      <w:r w:rsidR="005A1493">
        <w:rPr>
          <w:rFonts w:ascii="Times New (W1)" w:hAnsi="Times New (W1)"/>
          <w:bCs/>
        </w:rPr>
        <w:t xml:space="preserve"> construcción </w:t>
      </w:r>
      <w:r w:rsidR="00552411">
        <w:rPr>
          <w:rFonts w:ascii="Times New (W1)" w:hAnsi="Times New (W1)"/>
          <w:bCs/>
        </w:rPr>
        <w:t>d</w:t>
      </w:r>
      <w:r w:rsidR="00552411" w:rsidRPr="005654ED">
        <w:rPr>
          <w:rFonts w:ascii="Times New (W1)" w:hAnsi="Times New (W1)"/>
          <w:bCs/>
        </w:rPr>
        <w:t xml:space="preserve">el Circuito de Navarra </w:t>
      </w:r>
      <w:r w:rsidRPr="005654ED">
        <w:rPr>
          <w:rFonts w:ascii="Times New (W1)" w:hAnsi="Times New (W1)"/>
          <w:bCs/>
        </w:rPr>
        <w:t>por los trabajos de reparación realizados</w:t>
      </w:r>
      <w:r w:rsidR="00552411">
        <w:rPr>
          <w:rFonts w:ascii="Times New (W1)" w:hAnsi="Times New (W1)"/>
          <w:bCs/>
        </w:rPr>
        <w:t xml:space="preserve"> en el mismo durante ese</w:t>
      </w:r>
      <w:r w:rsidRPr="005654ED">
        <w:rPr>
          <w:rFonts w:ascii="Times New (W1)" w:hAnsi="Times New (W1)"/>
          <w:bCs/>
        </w:rPr>
        <w:t xml:space="preserve"> ejercicio</w:t>
      </w:r>
      <w:r w:rsidR="00552411">
        <w:rPr>
          <w:rFonts w:ascii="Times New (W1)" w:hAnsi="Times New (W1)"/>
          <w:bCs/>
        </w:rPr>
        <w:t xml:space="preserve"> y</w:t>
      </w:r>
      <w:r w:rsidRPr="005654ED">
        <w:rPr>
          <w:rFonts w:ascii="Times New (W1)" w:hAnsi="Times New (W1)"/>
          <w:bCs/>
        </w:rPr>
        <w:t xml:space="preserve"> que ascendieron a </w:t>
      </w:r>
      <w:r>
        <w:rPr>
          <w:rFonts w:ascii="Times New (W1)" w:hAnsi="Times New (W1)"/>
          <w:bCs/>
        </w:rPr>
        <w:t>cuatro</w:t>
      </w:r>
      <w:r w:rsidRPr="005654ED">
        <w:rPr>
          <w:rFonts w:ascii="Times New (W1)" w:hAnsi="Times New (W1)"/>
          <w:bCs/>
        </w:rPr>
        <w:t xml:space="preserve"> millones de euros</w:t>
      </w:r>
      <w:r w:rsidR="005A1493">
        <w:rPr>
          <w:rFonts w:ascii="Times New (W1)" w:hAnsi="Times New (W1)"/>
          <w:bCs/>
        </w:rPr>
        <w:t>.</w:t>
      </w:r>
      <w:r w:rsidRPr="005654ED">
        <w:rPr>
          <w:rFonts w:ascii="Times New (W1)" w:hAnsi="Times New (W1)"/>
          <w:bCs/>
        </w:rPr>
        <w:t xml:space="preserve"> En 2015 la </w:t>
      </w:r>
      <w:r w:rsidR="006362BE">
        <w:rPr>
          <w:rFonts w:ascii="Times New (W1)" w:hAnsi="Times New (W1)"/>
          <w:bCs/>
        </w:rPr>
        <w:t>s</w:t>
      </w:r>
      <w:r w:rsidRPr="005654ED">
        <w:rPr>
          <w:rFonts w:ascii="Times New (W1)" w:hAnsi="Times New (W1)"/>
          <w:bCs/>
        </w:rPr>
        <w:t xml:space="preserve">ociedad ha iniciado un procedimiento judicial </w:t>
      </w:r>
      <w:r w:rsidR="005A1493">
        <w:rPr>
          <w:rFonts w:ascii="Times New (W1)" w:hAnsi="Times New (W1)"/>
          <w:bCs/>
        </w:rPr>
        <w:t>mediante la</w:t>
      </w:r>
      <w:r w:rsidRPr="005654ED">
        <w:rPr>
          <w:rFonts w:ascii="Times New (W1)" w:hAnsi="Times New (W1)"/>
          <w:bCs/>
        </w:rPr>
        <w:t xml:space="preserve"> presentación de una demanda por la</w:t>
      </w:r>
      <w:r w:rsidR="005A1493">
        <w:rPr>
          <w:rFonts w:ascii="Times New (W1)" w:hAnsi="Times New (W1)"/>
          <w:bCs/>
        </w:rPr>
        <w:t xml:space="preserve"> citada</w:t>
      </w:r>
      <w:r w:rsidRPr="005654ED">
        <w:rPr>
          <w:rFonts w:ascii="Times New (W1)" w:hAnsi="Times New (W1)"/>
          <w:bCs/>
        </w:rPr>
        <w:t xml:space="preserve"> reclamación</w:t>
      </w:r>
      <w:r w:rsidR="005A1493">
        <w:rPr>
          <w:rFonts w:ascii="Times New (W1)" w:hAnsi="Times New (W1)"/>
          <w:bCs/>
        </w:rPr>
        <w:t>.</w:t>
      </w:r>
      <w:r w:rsidR="0038489A">
        <w:rPr>
          <w:rFonts w:ascii="Times New (W1)" w:hAnsi="Times New (W1)"/>
          <w:bCs/>
        </w:rPr>
        <w:t xml:space="preserve"> </w:t>
      </w:r>
    </w:p>
    <w:p w:rsidR="00126702" w:rsidRPr="007323E7" w:rsidRDefault="00126702" w:rsidP="007323E7">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ind w:left="0" w:firstLine="289"/>
        <w:rPr>
          <w:rFonts w:ascii="Times New (W1)" w:hAnsi="Times New (W1)"/>
          <w:bCs/>
          <w:spacing w:val="4"/>
        </w:rPr>
      </w:pPr>
      <w:r w:rsidRPr="00126702">
        <w:rPr>
          <w:rFonts w:ascii="Times New (W1)" w:hAnsi="Times New (W1)"/>
          <w:bCs/>
        </w:rPr>
        <w:t>A finales de 2015 la fundación Moderna acordó su extinción designando al G</w:t>
      </w:r>
      <w:r>
        <w:rPr>
          <w:rFonts w:ascii="Times New (W1)" w:hAnsi="Times New (W1)"/>
          <w:bCs/>
        </w:rPr>
        <w:t>obierno de Navarra</w:t>
      </w:r>
      <w:r w:rsidRPr="00126702">
        <w:rPr>
          <w:rFonts w:ascii="Times New (W1)" w:hAnsi="Times New (W1)"/>
          <w:bCs/>
        </w:rPr>
        <w:t xml:space="preserve"> como beneficiario de su patrimonio final. A su ve</w:t>
      </w:r>
      <w:r>
        <w:rPr>
          <w:rFonts w:ascii="Times New (W1)" w:hAnsi="Times New (W1)"/>
          <w:bCs/>
        </w:rPr>
        <w:t>z, el Gobierno</w:t>
      </w:r>
      <w:r w:rsidRPr="00126702">
        <w:rPr>
          <w:rFonts w:ascii="Times New (W1)" w:hAnsi="Times New (W1)"/>
          <w:bCs/>
        </w:rPr>
        <w:t xml:space="preserve"> instó a S</w:t>
      </w:r>
      <w:r w:rsidR="00FA521C">
        <w:rPr>
          <w:rFonts w:ascii="Times New (W1)" w:hAnsi="Times New (W1)"/>
          <w:bCs/>
        </w:rPr>
        <w:t>odena</w:t>
      </w:r>
      <w:r w:rsidRPr="00126702">
        <w:rPr>
          <w:rFonts w:ascii="Times New (W1)" w:hAnsi="Times New (W1)"/>
          <w:bCs/>
        </w:rPr>
        <w:t xml:space="preserve"> </w:t>
      </w:r>
      <w:r>
        <w:rPr>
          <w:rFonts w:ascii="Times New (W1)" w:hAnsi="Times New (W1)"/>
          <w:bCs/>
        </w:rPr>
        <w:t>la continuidad de</w:t>
      </w:r>
      <w:r w:rsidRPr="00126702">
        <w:rPr>
          <w:rFonts w:ascii="Times New (W1)" w:hAnsi="Times New (W1)"/>
          <w:bCs/>
        </w:rPr>
        <w:t xml:space="preserve"> lo</w:t>
      </w:r>
      <w:r>
        <w:rPr>
          <w:rFonts w:ascii="Times New (W1)" w:hAnsi="Times New (W1)"/>
          <w:bCs/>
        </w:rPr>
        <w:t>s</w:t>
      </w:r>
      <w:r w:rsidRPr="00126702">
        <w:rPr>
          <w:rFonts w:ascii="Times New (W1)" w:hAnsi="Times New (W1)"/>
          <w:bCs/>
        </w:rPr>
        <w:t xml:space="preserve"> proyectos que venían siendo impulsados por la Fundación Moderna. El consejo de a</w:t>
      </w:r>
      <w:r>
        <w:rPr>
          <w:rFonts w:ascii="Times New (W1)" w:hAnsi="Times New (W1)"/>
          <w:bCs/>
        </w:rPr>
        <w:t>d</w:t>
      </w:r>
      <w:r w:rsidRPr="00126702">
        <w:rPr>
          <w:rFonts w:ascii="Times New (W1)" w:hAnsi="Times New (W1)"/>
          <w:bCs/>
        </w:rPr>
        <w:t xml:space="preserve">ministración de la </w:t>
      </w:r>
      <w:r>
        <w:rPr>
          <w:rFonts w:ascii="Times New (W1)" w:hAnsi="Times New (W1)"/>
          <w:bCs/>
        </w:rPr>
        <w:t>sociedad</w:t>
      </w:r>
      <w:r w:rsidRPr="00126702">
        <w:rPr>
          <w:rFonts w:ascii="Times New (W1)" w:hAnsi="Times New (W1)"/>
          <w:bCs/>
        </w:rPr>
        <w:t xml:space="preserve"> aprobó la cesión global de activos y pasivos de la Fundación Moderna a </w:t>
      </w:r>
      <w:r>
        <w:rPr>
          <w:rFonts w:ascii="Times New (W1)" w:hAnsi="Times New (W1)"/>
          <w:bCs/>
        </w:rPr>
        <w:t>la misma</w:t>
      </w:r>
      <w:r w:rsidRPr="00126702">
        <w:rPr>
          <w:rFonts w:ascii="Times New (W1)" w:hAnsi="Times New (W1)"/>
          <w:bCs/>
        </w:rPr>
        <w:t xml:space="preserve">, quedando </w:t>
      </w:r>
      <w:r>
        <w:rPr>
          <w:rFonts w:ascii="Times New (W1)" w:hAnsi="Times New (W1)"/>
          <w:bCs/>
        </w:rPr>
        <w:t>é</w:t>
      </w:r>
      <w:r w:rsidRPr="00126702">
        <w:rPr>
          <w:rFonts w:ascii="Times New (W1)" w:hAnsi="Times New (W1)"/>
          <w:bCs/>
        </w:rPr>
        <w:t>sta subrogada en todos sus derechos y obligaciones, incluidos los laborales, con e</w:t>
      </w:r>
      <w:r>
        <w:rPr>
          <w:rFonts w:ascii="Times New (W1)" w:hAnsi="Times New (W1)"/>
          <w:bCs/>
        </w:rPr>
        <w:t>f</w:t>
      </w:r>
      <w:r w:rsidRPr="00126702">
        <w:rPr>
          <w:rFonts w:ascii="Times New (W1)" w:hAnsi="Times New (W1)"/>
          <w:bCs/>
        </w:rPr>
        <w:t>ectos desde el 1 de diciembre de 2015.</w:t>
      </w:r>
      <w:r w:rsidRPr="007323E7">
        <w:rPr>
          <w:rFonts w:ascii="Times New (W1)" w:hAnsi="Times New (W1)"/>
          <w:bCs/>
          <w:spacing w:val="4"/>
        </w:rPr>
        <w:t xml:space="preserve"> Este proceso ha dado lugar a un incremento de siete trabajadores en la plantilla de la sociedad.</w:t>
      </w:r>
    </w:p>
    <w:p w:rsidR="0025639B" w:rsidRPr="0025639B" w:rsidRDefault="003A6260" w:rsidP="007323E7">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ind w:left="0" w:firstLine="289"/>
        <w:rPr>
          <w:rFonts w:ascii="Times New (W1)" w:hAnsi="Times New (W1)"/>
          <w:bCs/>
        </w:rPr>
      </w:pPr>
      <w:r w:rsidRPr="0025639B">
        <w:rPr>
          <w:rFonts w:ascii="Times New (W1)" w:hAnsi="Times New (W1)"/>
          <w:bCs/>
        </w:rPr>
        <w:t xml:space="preserve">El Gobierno de Navarra ha asumido riesgos mediante la figura de carta de </w:t>
      </w:r>
      <w:r w:rsidR="00142181">
        <w:rPr>
          <w:rFonts w:ascii="Times New (W1)" w:hAnsi="Times New (W1)"/>
          <w:bCs/>
        </w:rPr>
        <w:t>compromiso</w:t>
      </w:r>
      <w:r w:rsidRPr="0025639B">
        <w:rPr>
          <w:rFonts w:ascii="Times New (W1)" w:hAnsi="Times New (W1)"/>
          <w:bCs/>
        </w:rPr>
        <w:t xml:space="preserve"> a sus empresas públicas</w:t>
      </w:r>
      <w:r w:rsidR="0025639B" w:rsidRPr="0025639B">
        <w:rPr>
          <w:rFonts w:ascii="Times New (W1)" w:hAnsi="Times New (W1)"/>
          <w:bCs/>
        </w:rPr>
        <w:t xml:space="preserve"> que, a</w:t>
      </w:r>
      <w:r w:rsidRPr="0025639B">
        <w:rPr>
          <w:rFonts w:ascii="Times New (W1)" w:hAnsi="Times New (W1)"/>
          <w:bCs/>
        </w:rPr>
        <w:t xml:space="preserve"> 31 de diciembre de 2015, </w:t>
      </w:r>
      <w:r w:rsidR="0025639B" w:rsidRPr="0025639B">
        <w:rPr>
          <w:rFonts w:ascii="Times New (W1)" w:hAnsi="Times New (W1)"/>
          <w:bCs/>
        </w:rPr>
        <w:t>garantizan un saldo</w:t>
      </w:r>
      <w:r w:rsidRPr="0025639B">
        <w:rPr>
          <w:rFonts w:ascii="Times New (W1)" w:hAnsi="Times New (W1)"/>
          <w:bCs/>
        </w:rPr>
        <w:t xml:space="preserve"> de 133,1 millones, que corresponden a las empresas públicas C</w:t>
      </w:r>
      <w:r w:rsidR="00BD222E">
        <w:rPr>
          <w:rFonts w:ascii="Times New (W1)" w:hAnsi="Times New (W1)"/>
          <w:bCs/>
        </w:rPr>
        <w:t>AT</w:t>
      </w:r>
      <w:r w:rsidRPr="0025639B">
        <w:rPr>
          <w:rFonts w:ascii="Times New (W1)" w:hAnsi="Times New (W1)"/>
          <w:bCs/>
        </w:rPr>
        <w:t xml:space="preserve"> </w:t>
      </w:r>
      <w:r w:rsidR="007323E7">
        <w:rPr>
          <w:rFonts w:ascii="Times New (W1)" w:hAnsi="Times New (W1)"/>
          <w:bCs/>
        </w:rPr>
        <w:t>–</w:t>
      </w:r>
      <w:r w:rsidRPr="0025639B">
        <w:rPr>
          <w:rFonts w:ascii="Times New (W1)" w:hAnsi="Times New (W1)"/>
          <w:bCs/>
        </w:rPr>
        <w:t>30,6 millones</w:t>
      </w:r>
      <w:r w:rsidR="007323E7">
        <w:rPr>
          <w:rFonts w:ascii="Times New (W1)" w:hAnsi="Times New (W1)"/>
          <w:bCs/>
        </w:rPr>
        <w:t>–</w:t>
      </w:r>
      <w:r w:rsidRPr="0025639B">
        <w:rPr>
          <w:rFonts w:ascii="Times New (W1)" w:hAnsi="Times New (W1)"/>
          <w:bCs/>
        </w:rPr>
        <w:t xml:space="preserve"> y a S</w:t>
      </w:r>
      <w:r w:rsidR="00FA521C">
        <w:rPr>
          <w:rFonts w:ascii="Times New (W1)" w:hAnsi="Times New (W1)"/>
          <w:bCs/>
        </w:rPr>
        <w:t>odena</w:t>
      </w:r>
      <w:r w:rsidRPr="0025639B">
        <w:rPr>
          <w:rFonts w:ascii="Times New (W1)" w:hAnsi="Times New (W1)"/>
          <w:bCs/>
        </w:rPr>
        <w:t xml:space="preserve"> </w:t>
      </w:r>
      <w:r w:rsidR="007323E7">
        <w:rPr>
          <w:rFonts w:ascii="Times New (W1)" w:hAnsi="Times New (W1)"/>
          <w:bCs/>
        </w:rPr>
        <w:t>–</w:t>
      </w:r>
      <w:r w:rsidRPr="0025639B">
        <w:rPr>
          <w:rFonts w:ascii="Times New (W1)" w:hAnsi="Times New (W1)"/>
          <w:bCs/>
        </w:rPr>
        <w:t>102,5 millones</w:t>
      </w:r>
      <w:r w:rsidR="007323E7">
        <w:rPr>
          <w:rFonts w:ascii="Times New (W1)" w:hAnsi="Times New (W1)"/>
          <w:bCs/>
        </w:rPr>
        <w:t>–</w:t>
      </w:r>
      <w:r w:rsidR="0025639B">
        <w:rPr>
          <w:rFonts w:ascii="Times New (W1)" w:hAnsi="Times New (W1)"/>
          <w:bCs/>
        </w:rPr>
        <w:t xml:space="preserve">; estas cartas garantizan préstamos concedidos por entidades financieras a esas empresas cuyo vencimiento está previsto </w:t>
      </w:r>
      <w:r w:rsidR="009A1F9B">
        <w:rPr>
          <w:rFonts w:ascii="Times New (W1)" w:hAnsi="Times New (W1)"/>
          <w:bCs/>
        </w:rPr>
        <w:t>en 2017 y 2024, respectivamente</w:t>
      </w:r>
      <w:r w:rsidR="0025639B">
        <w:rPr>
          <w:rFonts w:ascii="Times New (W1)" w:hAnsi="Times New (W1)"/>
          <w:bCs/>
        </w:rPr>
        <w:t xml:space="preserve">. </w:t>
      </w:r>
      <w:r w:rsidR="0025639B" w:rsidRPr="0025639B">
        <w:rPr>
          <w:rFonts w:ascii="Times New (W1)" w:hAnsi="Times New (W1)"/>
          <w:bCs/>
        </w:rPr>
        <w:t>En 2015, no se han efectuado nue</w:t>
      </w:r>
      <w:r w:rsidR="0025639B">
        <w:rPr>
          <w:rFonts w:ascii="Times New (W1)" w:hAnsi="Times New (W1)"/>
          <w:bCs/>
        </w:rPr>
        <w:t xml:space="preserve">vas </w:t>
      </w:r>
      <w:r w:rsidR="0025639B" w:rsidRPr="0025639B">
        <w:rPr>
          <w:rFonts w:ascii="Times New (W1)" w:hAnsi="Times New (W1)"/>
          <w:bCs/>
        </w:rPr>
        <w:t>operaciones de esta naturaleza</w:t>
      </w:r>
      <w:r w:rsidR="0025639B">
        <w:rPr>
          <w:rFonts w:ascii="Times New (W1)" w:hAnsi="Times New (W1)"/>
          <w:bCs/>
        </w:rPr>
        <w:t>.</w:t>
      </w:r>
      <w:r w:rsidR="0025639B" w:rsidRPr="0025639B">
        <w:rPr>
          <w:rFonts w:ascii="Times New (W1)" w:hAnsi="Times New (W1)"/>
          <w:bCs/>
        </w:rPr>
        <w:t xml:space="preserve"> </w:t>
      </w:r>
    </w:p>
    <w:p w:rsidR="00DC6189" w:rsidRPr="00085FE3" w:rsidRDefault="003D34A9" w:rsidP="00B07A4C">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spacing w:after="240"/>
        <w:ind w:left="0" w:firstLine="289"/>
        <w:rPr>
          <w:rFonts w:ascii="Times New (W1)" w:hAnsi="Times New (W1)"/>
          <w:bCs/>
        </w:rPr>
      </w:pPr>
      <w:r>
        <w:rPr>
          <w:rFonts w:ascii="Times New (W1)" w:hAnsi="Times New (W1)"/>
          <w:bCs/>
        </w:rPr>
        <w:t>Como hecho posterior relevante señalamos que, en cumplimiento de la Directiva 2014/24/CE, referente a empresas instrumentales, se ha constituido en marzo de 2016 una nueva sociedad</w:t>
      </w:r>
      <w:r w:rsidR="00437809">
        <w:rPr>
          <w:rFonts w:ascii="Times New (W1)" w:hAnsi="Times New (W1)"/>
          <w:bCs/>
        </w:rPr>
        <w:t xml:space="preserve"> pública</w:t>
      </w:r>
      <w:r>
        <w:rPr>
          <w:rFonts w:ascii="Times New (W1)" w:hAnsi="Times New (W1)"/>
          <w:bCs/>
        </w:rPr>
        <w:t xml:space="preserve"> “T</w:t>
      </w:r>
      <w:r w:rsidR="00BD222E">
        <w:rPr>
          <w:rFonts w:ascii="Times New (W1)" w:hAnsi="Times New (W1)"/>
          <w:bCs/>
        </w:rPr>
        <w:t>RACASA</w:t>
      </w:r>
      <w:r>
        <w:rPr>
          <w:rFonts w:ascii="Times New (W1)" w:hAnsi="Times New (W1)"/>
          <w:bCs/>
        </w:rPr>
        <w:t xml:space="preserve"> Instrumental, SL” para llevar a cabo los encargos del Gobierno de Navarra.</w:t>
      </w:r>
    </w:p>
    <w:p w:rsidR="0019628D" w:rsidRPr="00AF102F" w:rsidRDefault="00184DB2" w:rsidP="00184DB2">
      <w:pPr>
        <w:pStyle w:val="texto"/>
        <w:spacing w:after="240"/>
        <w:rPr>
          <w:rFonts w:ascii="Times New (W1)" w:hAnsi="Times New (W1)"/>
          <w:b/>
          <w:bCs/>
        </w:rPr>
      </w:pPr>
      <w:r w:rsidRPr="00AF102F">
        <w:rPr>
          <w:rFonts w:ascii="Times New (W1)" w:hAnsi="Times New (W1)"/>
          <w:b/>
          <w:bCs/>
        </w:rPr>
        <w:t>Informes de auditoría de cuentas</w:t>
      </w:r>
    </w:p>
    <w:p w:rsidR="00184DB2" w:rsidRDefault="00184DB2" w:rsidP="00184DB2">
      <w:pPr>
        <w:pStyle w:val="texto"/>
        <w:spacing w:after="240"/>
        <w:rPr>
          <w:rFonts w:ascii="Times New (W1)" w:hAnsi="Times New (W1)"/>
          <w:bCs/>
        </w:rPr>
      </w:pPr>
      <w:r w:rsidRPr="00184DB2">
        <w:rPr>
          <w:rFonts w:ascii="Times New (W1)" w:hAnsi="Times New (W1)"/>
          <w:bCs/>
        </w:rPr>
        <w:t>Todas las soc</w:t>
      </w:r>
      <w:r>
        <w:rPr>
          <w:rFonts w:ascii="Times New (W1)" w:hAnsi="Times New (W1)"/>
          <w:bCs/>
        </w:rPr>
        <w:t>iedades</w:t>
      </w:r>
      <w:r w:rsidRPr="00184DB2">
        <w:rPr>
          <w:rFonts w:ascii="Times New (W1)" w:hAnsi="Times New (W1)"/>
          <w:bCs/>
        </w:rPr>
        <w:t xml:space="preserve"> públicas presentan informe de auditoría</w:t>
      </w:r>
      <w:r>
        <w:rPr>
          <w:rFonts w:ascii="Times New (W1)" w:hAnsi="Times New (W1)"/>
          <w:bCs/>
        </w:rPr>
        <w:t xml:space="preserve"> de cuentas</w:t>
      </w:r>
      <w:r w:rsidRPr="00184DB2">
        <w:rPr>
          <w:rFonts w:ascii="Times New (W1)" w:hAnsi="Times New (W1)"/>
          <w:bCs/>
        </w:rPr>
        <w:t xml:space="preserve"> reali</w:t>
      </w:r>
      <w:r>
        <w:rPr>
          <w:rFonts w:ascii="Times New (W1)" w:hAnsi="Times New (W1)"/>
          <w:bCs/>
        </w:rPr>
        <w:t>za</w:t>
      </w:r>
      <w:r w:rsidRPr="00184DB2">
        <w:rPr>
          <w:rFonts w:ascii="Times New (W1)" w:hAnsi="Times New (W1)"/>
          <w:bCs/>
        </w:rPr>
        <w:t xml:space="preserve">do por firmas privadas. </w:t>
      </w:r>
      <w:r>
        <w:rPr>
          <w:rFonts w:ascii="Times New (W1)" w:hAnsi="Times New (W1)"/>
          <w:bCs/>
        </w:rPr>
        <w:t>De su análisis, señalamos:</w:t>
      </w:r>
    </w:p>
    <w:p w:rsidR="00184DB2" w:rsidRDefault="00184DB2" w:rsidP="00822FE8">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ind w:left="0" w:firstLine="290"/>
        <w:rPr>
          <w:rFonts w:ascii="Times New (W1)" w:hAnsi="Times New (W1)"/>
          <w:bCs/>
        </w:rPr>
      </w:pPr>
      <w:r>
        <w:rPr>
          <w:rFonts w:ascii="Times New (W1)" w:hAnsi="Times New (W1)"/>
          <w:bCs/>
        </w:rPr>
        <w:t>Un total de 14 sociedades presentan opinión no modificada o favorable.</w:t>
      </w:r>
    </w:p>
    <w:p w:rsidR="00184DB2" w:rsidRPr="00822FE8" w:rsidRDefault="00184DB2" w:rsidP="00822FE8">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ind w:left="0" w:firstLine="290"/>
        <w:rPr>
          <w:rFonts w:cs="Arial"/>
        </w:rPr>
      </w:pPr>
      <w:r w:rsidRPr="00822FE8">
        <w:rPr>
          <w:rFonts w:cs="Arial"/>
        </w:rPr>
        <w:t>Dos empresas presentan opinión modificada con salvedades; en concreto:</w:t>
      </w:r>
    </w:p>
    <w:p w:rsidR="00BC4B0A" w:rsidRPr="00BC4B0A" w:rsidRDefault="00BC4B0A" w:rsidP="00BC4B0A">
      <w:pPr>
        <w:pStyle w:val="texto"/>
        <w:tabs>
          <w:tab w:val="num" w:pos="600"/>
          <w:tab w:val="num" w:pos="720"/>
        </w:tabs>
        <w:spacing w:after="240"/>
        <w:rPr>
          <w:rFonts w:ascii="Times New (W1)" w:hAnsi="Times New (W1)"/>
          <w:bCs/>
        </w:rPr>
      </w:pPr>
      <w:r>
        <w:rPr>
          <w:rFonts w:ascii="Times New (W1)" w:hAnsi="Times New (W1)"/>
          <w:bCs/>
        </w:rPr>
        <w:t>a)</w:t>
      </w:r>
      <w:r w:rsidR="00822FE8">
        <w:rPr>
          <w:rFonts w:ascii="Times New (W1)" w:hAnsi="Times New (W1)"/>
          <w:bCs/>
        </w:rPr>
        <w:t xml:space="preserve"> </w:t>
      </w:r>
      <w:r w:rsidR="00822FE8" w:rsidRPr="00822FE8">
        <w:rPr>
          <w:rFonts w:ascii="Times New (W1)" w:hAnsi="Times New (W1)"/>
          <w:bCs/>
        </w:rPr>
        <w:t>Potasas de Subiza SAU</w:t>
      </w:r>
      <w:r>
        <w:rPr>
          <w:rFonts w:ascii="Times New (W1)" w:hAnsi="Times New (W1)"/>
          <w:bCs/>
        </w:rPr>
        <w:t>,</w:t>
      </w:r>
      <w:r w:rsidR="00822FE8" w:rsidRPr="00822FE8">
        <w:rPr>
          <w:rFonts w:ascii="Times New (W1)" w:hAnsi="Times New (W1)"/>
          <w:bCs/>
        </w:rPr>
        <w:t xml:space="preserve"> la </w:t>
      </w:r>
      <w:r>
        <w:rPr>
          <w:rFonts w:ascii="Times New (W1)" w:hAnsi="Times New (W1)"/>
          <w:bCs/>
        </w:rPr>
        <w:t>salvedad hace referencia a “</w:t>
      </w:r>
      <w:r w:rsidRPr="00BC4B0A">
        <w:rPr>
          <w:rFonts w:ascii="Times New (W1)" w:hAnsi="Times New (W1)"/>
          <w:bCs/>
          <w:i/>
          <w:sz w:val="22"/>
          <w:szCs w:val="22"/>
        </w:rPr>
        <w:t>En el ejercicio 2015 la Sociedad ha obtenido, de un técnico especializado, un estudio relativo a un plan de recuperación medioambiental. De acuerdo con dicho plan, el coste de las actuaciones que debe realizar la Sociedad asciende a 3.065 miles de euros. La Sociedad debería haber registrado el pasivo correspondiente por este concepto en ejercicios anteriores y en el presente los efectos de la actualización del estudio, junto con los correspondientes a la parte que acometerá su filial Salinas de Navarra, S.A. Las Provisiones a largo plazo se encuentran infravaloradas en 3.065 miles de €. Los Resultados de ejercicios anteriores deberían verse reducidos en 3.050 miles de euros y el Resultado del ejercicio 2015 se encuentra sobrevalorado en 15 miles de euros</w:t>
      </w:r>
      <w:r>
        <w:rPr>
          <w:rFonts w:ascii="Times New (W1)" w:hAnsi="Times New (W1)"/>
          <w:bCs/>
        </w:rPr>
        <w:t>”.</w:t>
      </w:r>
    </w:p>
    <w:p w:rsidR="00822FE8" w:rsidRPr="00184DB2" w:rsidRDefault="00BC4B0A" w:rsidP="00822FE8">
      <w:pPr>
        <w:pStyle w:val="texto"/>
        <w:tabs>
          <w:tab w:val="num" w:pos="600"/>
          <w:tab w:val="num" w:pos="720"/>
        </w:tabs>
        <w:spacing w:after="240"/>
        <w:rPr>
          <w:rFonts w:ascii="Times New (W1)" w:hAnsi="Times New (W1)"/>
          <w:bCs/>
        </w:rPr>
      </w:pPr>
      <w:r>
        <w:rPr>
          <w:rFonts w:ascii="Times New (W1)" w:hAnsi="Times New (W1)"/>
          <w:bCs/>
        </w:rPr>
        <w:t>b)</w:t>
      </w:r>
      <w:r w:rsidR="00822FE8">
        <w:rPr>
          <w:rFonts w:ascii="Times New (W1)" w:hAnsi="Times New (W1)"/>
          <w:bCs/>
        </w:rPr>
        <w:t xml:space="preserve"> S</w:t>
      </w:r>
      <w:r w:rsidR="00142181">
        <w:rPr>
          <w:rFonts w:ascii="Times New (W1)" w:hAnsi="Times New (W1)"/>
          <w:bCs/>
        </w:rPr>
        <w:t>TART</w:t>
      </w:r>
      <w:r w:rsidR="00822FE8">
        <w:rPr>
          <w:rFonts w:ascii="Times New (W1)" w:hAnsi="Times New (W1)"/>
          <w:bCs/>
        </w:rPr>
        <w:t xml:space="preserve"> UP</w:t>
      </w:r>
      <w:r w:rsidR="00125FD4">
        <w:rPr>
          <w:rFonts w:ascii="Times New (W1)" w:hAnsi="Times New (W1)"/>
          <w:bCs/>
        </w:rPr>
        <w:t xml:space="preserve"> Capital Navarra, SL</w:t>
      </w:r>
      <w:r>
        <w:rPr>
          <w:rFonts w:ascii="Times New (W1)" w:hAnsi="Times New (W1)"/>
          <w:bCs/>
        </w:rPr>
        <w:t>, cuya salvedad se refiere a:</w:t>
      </w:r>
      <w:r w:rsidRPr="00BC4B0A">
        <w:rPr>
          <w:rFonts w:ascii="Times New (W1)" w:hAnsi="Times New (W1)"/>
          <w:bCs/>
        </w:rPr>
        <w:t xml:space="preserve"> </w:t>
      </w:r>
      <w:r>
        <w:rPr>
          <w:rFonts w:ascii="Times New (W1)" w:hAnsi="Times New (W1)"/>
          <w:bCs/>
        </w:rPr>
        <w:t>“</w:t>
      </w:r>
      <w:r w:rsidRPr="00BC4B0A">
        <w:rPr>
          <w:rFonts w:ascii="Times New (W1)" w:hAnsi="Times New (W1)"/>
          <w:bCs/>
          <w:i/>
          <w:sz w:val="22"/>
          <w:szCs w:val="22"/>
        </w:rPr>
        <w:t xml:space="preserve">En el epígrafe Inversiones en instrumentos de patrimonio de empresas asociadas del </w:t>
      </w:r>
      <w:r w:rsidR="000A39A9">
        <w:rPr>
          <w:rFonts w:ascii="Times New (W1)" w:hAnsi="Times New (W1)"/>
          <w:bCs/>
          <w:i/>
          <w:sz w:val="22"/>
          <w:szCs w:val="22"/>
        </w:rPr>
        <w:t>a</w:t>
      </w:r>
      <w:r w:rsidRPr="00BC4B0A">
        <w:rPr>
          <w:rFonts w:ascii="Times New (W1)" w:hAnsi="Times New (W1)"/>
          <w:bCs/>
          <w:i/>
          <w:sz w:val="22"/>
          <w:szCs w:val="22"/>
        </w:rPr>
        <w:t xml:space="preserve">ctivo no corriente del balance, se incluye la mantenida en determinada sociedad participada por un coste de 263 miles de euros que al 31.12.2015 se encontraba íntegramente deteriorado. Con fecha 17 de marzo de 2016, los administradores han ratificado un acuerdo en virtud del cual se va a proceder a la venta de esta participación por un precio de 117 miles de euros, importe por el que debería haber sido registrada al cierre del ejercicio 2015 para ajustarla a su valor recuperable. En consecuencia, a 31.12.2015 el activo </w:t>
      </w:r>
      <w:r w:rsidR="000A39A9">
        <w:rPr>
          <w:rFonts w:ascii="Times New (W1)" w:hAnsi="Times New (W1)"/>
          <w:bCs/>
          <w:i/>
          <w:sz w:val="22"/>
          <w:szCs w:val="22"/>
        </w:rPr>
        <w:t xml:space="preserve">no </w:t>
      </w:r>
      <w:r w:rsidRPr="00BC4B0A">
        <w:rPr>
          <w:rFonts w:ascii="Times New (W1)" w:hAnsi="Times New (W1)"/>
          <w:bCs/>
          <w:i/>
          <w:sz w:val="22"/>
          <w:szCs w:val="22"/>
        </w:rPr>
        <w:t>corriente y el resultado del ejercicio están infravalorados en este importe</w:t>
      </w:r>
      <w:r w:rsidRPr="00BC4B0A">
        <w:rPr>
          <w:rFonts w:ascii="Times New (W1)" w:hAnsi="Times New (W1)"/>
          <w:bCs/>
        </w:rPr>
        <w:t>"</w:t>
      </w:r>
    </w:p>
    <w:p w:rsidR="00822FE8" w:rsidRDefault="00822FE8" w:rsidP="007323E7">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ind w:left="0" w:firstLine="290"/>
        <w:rPr>
          <w:lang w:val="es-ES"/>
        </w:rPr>
      </w:pPr>
      <w:r>
        <w:rPr>
          <w:lang w:val="es-ES"/>
        </w:rPr>
        <w:t>El informe de auditoría de tres empresas se acompaña de un párrafo de énfasis</w:t>
      </w:r>
      <w:r w:rsidR="007B5C1E">
        <w:rPr>
          <w:lang w:val="es-ES"/>
        </w:rPr>
        <w:t xml:space="preserve"> –que también se incluían en 2014</w:t>
      </w:r>
      <w:r w:rsidR="007323E7">
        <w:rPr>
          <w:lang w:val="es-ES"/>
        </w:rPr>
        <w:t>–</w:t>
      </w:r>
      <w:r>
        <w:rPr>
          <w:lang w:val="es-ES"/>
        </w:rPr>
        <w:t xml:space="preserve"> que hace referencia a:</w:t>
      </w:r>
    </w:p>
    <w:p w:rsidR="00314CCA" w:rsidRPr="00314CCA" w:rsidRDefault="000D7B14" w:rsidP="007323E7">
      <w:pPr>
        <w:pStyle w:val="texto"/>
        <w:rPr>
          <w:lang w:val="es-ES"/>
        </w:rPr>
      </w:pPr>
      <w:r>
        <w:rPr>
          <w:lang w:val="es-ES"/>
        </w:rPr>
        <w:t>a)</w:t>
      </w:r>
      <w:r w:rsidR="00125FD4" w:rsidRPr="00314CCA">
        <w:rPr>
          <w:lang w:val="es-ES"/>
        </w:rPr>
        <w:t xml:space="preserve"> Centro Navarro de Autoaprendizaje de Idiomas (CNAI): </w:t>
      </w:r>
      <w:r w:rsidR="00314CCA" w:rsidRPr="00314CCA">
        <w:rPr>
          <w:lang w:val="es-ES"/>
        </w:rPr>
        <w:t>E</w:t>
      </w:r>
      <w:r w:rsidR="00125FD4" w:rsidRPr="00314CCA">
        <w:rPr>
          <w:lang w:val="es-ES"/>
        </w:rPr>
        <w:t xml:space="preserve">l patrimonio neto de la Sociedad se encuentra reducido a una cantidad inferior a la mitad del capital social, lo cual supone causa de disolución de acuerdo al art. 363 de la Ley de Sociedades de Capital a no ser que el capital social de la misma se aumente o reduzca en la medida suficiente. </w:t>
      </w:r>
    </w:p>
    <w:p w:rsidR="00125FD4" w:rsidRPr="00314CCA" w:rsidRDefault="00125FD4" w:rsidP="007323E7">
      <w:pPr>
        <w:pStyle w:val="texto"/>
        <w:rPr>
          <w:lang w:val="es-ES"/>
        </w:rPr>
      </w:pPr>
      <w:r w:rsidRPr="00314CCA">
        <w:rPr>
          <w:lang w:val="es-ES"/>
        </w:rPr>
        <w:t>En 201</w:t>
      </w:r>
      <w:r w:rsidR="00575B42" w:rsidRPr="00314CCA">
        <w:rPr>
          <w:lang w:val="es-ES"/>
        </w:rPr>
        <w:t>5</w:t>
      </w:r>
      <w:r w:rsidRPr="00314CCA">
        <w:rPr>
          <w:lang w:val="es-ES"/>
        </w:rPr>
        <w:t xml:space="preserve">, el socio único CPEN aportó a la sociedad </w:t>
      </w:r>
      <w:r w:rsidR="00575B42" w:rsidRPr="00314CCA">
        <w:rPr>
          <w:lang w:val="es-ES"/>
        </w:rPr>
        <w:t>3</w:t>
      </w:r>
      <w:r w:rsidRPr="00314CCA">
        <w:rPr>
          <w:lang w:val="es-ES"/>
        </w:rPr>
        <w:t>0.000 euros</w:t>
      </w:r>
      <w:r w:rsidR="00575B42" w:rsidRPr="00314CCA">
        <w:rPr>
          <w:lang w:val="es-ES"/>
        </w:rPr>
        <w:t xml:space="preserve"> para compensar pérdidas</w:t>
      </w:r>
      <w:r w:rsidR="009A1F9B">
        <w:rPr>
          <w:lang w:val="es-ES"/>
        </w:rPr>
        <w:t>, idéntico importe que en 2014.</w:t>
      </w:r>
    </w:p>
    <w:p w:rsidR="00125FD4" w:rsidRDefault="00314CCA" w:rsidP="007323E7">
      <w:pPr>
        <w:pStyle w:val="texto"/>
        <w:rPr>
          <w:lang w:val="es-ES"/>
        </w:rPr>
      </w:pPr>
      <w:r>
        <w:rPr>
          <w:lang w:val="es-ES"/>
        </w:rPr>
        <w:t>b)</w:t>
      </w:r>
      <w:r w:rsidRPr="00314CCA">
        <w:rPr>
          <w:lang w:val="es-ES"/>
        </w:rPr>
        <w:t xml:space="preserve"> </w:t>
      </w:r>
      <w:r w:rsidR="00125FD4" w:rsidRPr="00314CCA">
        <w:rPr>
          <w:lang w:val="es-ES"/>
        </w:rPr>
        <w:t xml:space="preserve">Natural Climate Systems-MIYABI: </w:t>
      </w:r>
      <w:r w:rsidRPr="00314CCA">
        <w:rPr>
          <w:lang w:val="es-ES"/>
        </w:rPr>
        <w:t xml:space="preserve">La sociedad se encuentra, al cierre del ejercicio, incursa </w:t>
      </w:r>
      <w:r w:rsidR="00125FD4" w:rsidRPr="00314CCA">
        <w:rPr>
          <w:lang w:val="es-ES"/>
        </w:rPr>
        <w:t xml:space="preserve">en uno de los supuestos de disolución contemplados en la legislación mercantil. </w:t>
      </w:r>
    </w:p>
    <w:p w:rsidR="00314CCA" w:rsidRDefault="00314CCA" w:rsidP="007323E7">
      <w:pPr>
        <w:pStyle w:val="texto"/>
        <w:rPr>
          <w:lang w:val="es-ES"/>
        </w:rPr>
      </w:pPr>
      <w:r>
        <w:rPr>
          <w:lang w:val="es-ES"/>
        </w:rPr>
        <w:t>En el primer trimestre de 2015, las empresas S</w:t>
      </w:r>
      <w:r w:rsidR="000D7B14">
        <w:rPr>
          <w:lang w:val="es-ES"/>
        </w:rPr>
        <w:t>odena</w:t>
      </w:r>
      <w:r>
        <w:rPr>
          <w:lang w:val="es-ES"/>
        </w:rPr>
        <w:t xml:space="preserve"> y N</w:t>
      </w:r>
      <w:r w:rsidR="000D7B14">
        <w:rPr>
          <w:lang w:val="es-ES"/>
        </w:rPr>
        <w:t>asuvinsa</w:t>
      </w:r>
      <w:r>
        <w:rPr>
          <w:lang w:val="es-ES"/>
        </w:rPr>
        <w:t>, como accionistas mayoritarios</w:t>
      </w:r>
      <w:r w:rsidR="000D7B14">
        <w:rPr>
          <w:lang w:val="es-ES"/>
        </w:rPr>
        <w:t xml:space="preserve"> en esa fecha</w:t>
      </w:r>
      <w:r>
        <w:rPr>
          <w:lang w:val="es-ES"/>
        </w:rPr>
        <w:t xml:space="preserve">, aportaron 200.000 euros para </w:t>
      </w:r>
      <w:r w:rsidR="000D7B14">
        <w:rPr>
          <w:lang w:val="es-ES"/>
        </w:rPr>
        <w:t xml:space="preserve">compensar las pérdidas acumuladas de ejercicios anteriores y </w:t>
      </w:r>
      <w:r>
        <w:rPr>
          <w:lang w:val="es-ES"/>
        </w:rPr>
        <w:t>rest</w:t>
      </w:r>
      <w:r w:rsidR="000D7B14">
        <w:rPr>
          <w:lang w:val="es-ES"/>
        </w:rPr>
        <w:t xml:space="preserve">ablecer el </w:t>
      </w:r>
      <w:r>
        <w:rPr>
          <w:lang w:val="es-ES"/>
        </w:rPr>
        <w:t xml:space="preserve">equilibrio patrimonial </w:t>
      </w:r>
      <w:r w:rsidR="000D7B14">
        <w:rPr>
          <w:lang w:val="es-ES"/>
        </w:rPr>
        <w:t>de la empresa.</w:t>
      </w:r>
    </w:p>
    <w:p w:rsidR="000D7B14" w:rsidRDefault="000D7B14" w:rsidP="007323E7">
      <w:pPr>
        <w:pStyle w:val="texto"/>
        <w:rPr>
          <w:lang w:val="es-ES"/>
        </w:rPr>
      </w:pPr>
      <w:r>
        <w:rPr>
          <w:lang w:val="es-ES"/>
        </w:rPr>
        <w:t xml:space="preserve">El 31 de mayo de 2015, </w:t>
      </w:r>
      <w:r w:rsidRPr="00314CCA">
        <w:rPr>
          <w:lang w:val="es-ES"/>
        </w:rPr>
        <w:t>Nasuvinsa</w:t>
      </w:r>
      <w:r>
        <w:rPr>
          <w:lang w:val="es-ES"/>
        </w:rPr>
        <w:t xml:space="preserve"> y</w:t>
      </w:r>
      <w:r w:rsidRPr="00314CCA">
        <w:rPr>
          <w:lang w:val="es-ES"/>
        </w:rPr>
        <w:t xml:space="preserve"> Sodena</w:t>
      </w:r>
      <w:r>
        <w:rPr>
          <w:lang w:val="es-ES"/>
        </w:rPr>
        <w:t xml:space="preserve"> acuerdan transformar los préstamos participativos, junto con los intereses devengados hasta la fecha, en aportaciones de socios por importe de 501.507 euros.</w:t>
      </w:r>
      <w:r w:rsidR="00B95AB9">
        <w:rPr>
          <w:lang w:val="es-ES"/>
        </w:rPr>
        <w:t xml:space="preserve"> </w:t>
      </w:r>
      <w:r>
        <w:rPr>
          <w:lang w:val="es-ES"/>
        </w:rPr>
        <w:t>Finalmente, en junio de 2015, Sodena realiza otra aportación de 31.366 euros.</w:t>
      </w:r>
    </w:p>
    <w:p w:rsidR="000D7B14" w:rsidRDefault="000D7B14" w:rsidP="007323E7">
      <w:pPr>
        <w:pStyle w:val="texto"/>
        <w:rPr>
          <w:lang w:val="es-ES"/>
        </w:rPr>
      </w:pPr>
      <w:r>
        <w:rPr>
          <w:lang w:val="es-ES"/>
        </w:rPr>
        <w:t>A 31 de diciembre de 2015, las aportaciones</w:t>
      </w:r>
      <w:r w:rsidR="00E57CBE">
        <w:rPr>
          <w:lang w:val="es-ES"/>
        </w:rPr>
        <w:t xml:space="preserve"> acumuladas</w:t>
      </w:r>
      <w:r>
        <w:rPr>
          <w:lang w:val="es-ES"/>
        </w:rPr>
        <w:t xml:space="preserve"> de los socios ascienden a 1,47 millones.</w:t>
      </w:r>
    </w:p>
    <w:p w:rsidR="000E5BB3" w:rsidRDefault="00C22F2F" w:rsidP="007323E7">
      <w:pPr>
        <w:pStyle w:val="texto"/>
        <w:rPr>
          <w:lang w:val="es-ES"/>
        </w:rPr>
      </w:pPr>
      <w:r>
        <w:rPr>
          <w:rFonts w:ascii="Times New (W1)" w:hAnsi="Times New (W1)"/>
          <w:bCs/>
        </w:rPr>
        <w:t>c)</w:t>
      </w:r>
      <w:r w:rsidR="000E5BB3">
        <w:rPr>
          <w:rFonts w:ascii="Times New (W1)" w:hAnsi="Times New (W1)"/>
          <w:bCs/>
        </w:rPr>
        <w:t xml:space="preserve"> </w:t>
      </w:r>
      <w:r>
        <w:rPr>
          <w:rFonts w:ascii="Times New (W1)" w:hAnsi="Times New (W1)"/>
          <w:bCs/>
        </w:rPr>
        <w:t>S</w:t>
      </w:r>
      <w:r w:rsidR="000C6B54">
        <w:rPr>
          <w:rFonts w:ascii="Times New (W1)" w:hAnsi="Times New (W1)"/>
          <w:bCs/>
        </w:rPr>
        <w:t>TART</w:t>
      </w:r>
      <w:r>
        <w:rPr>
          <w:rFonts w:ascii="Times New (W1)" w:hAnsi="Times New (W1)"/>
          <w:bCs/>
        </w:rPr>
        <w:t xml:space="preserve"> UP Capital Navarra, SL: El</w:t>
      </w:r>
      <w:r w:rsidR="00125FD4" w:rsidRPr="00314CCA">
        <w:rPr>
          <w:lang w:val="es-ES"/>
        </w:rPr>
        <w:t xml:space="preserve"> patrimonio neto de la sociedad, reducido a una cantidad inferior a la mitad del capital social, situación que constituye causa de disolución de la Sociedad a no ser que el capital social de la misma aumente o reduzca en la medida suficiente. </w:t>
      </w:r>
      <w:r w:rsidR="000E5BB3">
        <w:rPr>
          <w:lang w:val="es-ES"/>
        </w:rPr>
        <w:t>En junio de 2015, la sociedad llevó a cabo una reducción de capital para restablecer el equilibrio patrimonial por importe de 761.530 euros</w:t>
      </w:r>
      <w:r w:rsidR="005654ED">
        <w:rPr>
          <w:lang w:val="es-ES"/>
        </w:rPr>
        <w:t>, resultando un capital social de tres millones.</w:t>
      </w:r>
    </w:p>
    <w:p w:rsidR="00C22F2F" w:rsidRPr="00314CCA" w:rsidRDefault="000E5BB3" w:rsidP="00314CCA">
      <w:pPr>
        <w:pStyle w:val="texto"/>
        <w:spacing w:after="120"/>
        <w:rPr>
          <w:lang w:val="es-ES"/>
        </w:rPr>
      </w:pPr>
      <w:r>
        <w:rPr>
          <w:lang w:val="es-ES"/>
        </w:rPr>
        <w:t>En los informes de las tres empresas anteriores, sus administradores indican</w:t>
      </w:r>
      <w:r w:rsidR="00CA50DE">
        <w:rPr>
          <w:lang w:val="es-ES"/>
        </w:rPr>
        <w:t xml:space="preserve"> en la memoria anual</w:t>
      </w:r>
      <w:r>
        <w:rPr>
          <w:lang w:val="es-ES"/>
        </w:rPr>
        <w:t xml:space="preserve"> que cuentan con el apoyo financiero de los accionistas por lo que consideran que el principio de empresa en funcionamiento es adecu</w:t>
      </w:r>
      <w:r w:rsidR="003A4B0C">
        <w:rPr>
          <w:lang w:val="es-ES"/>
        </w:rPr>
        <w:t>a</w:t>
      </w:r>
      <w:r>
        <w:rPr>
          <w:lang w:val="es-ES"/>
        </w:rPr>
        <w:t>do para la presentaci</w:t>
      </w:r>
      <w:r w:rsidR="003A4B0C">
        <w:rPr>
          <w:lang w:val="es-ES"/>
        </w:rPr>
        <w:t>ón de las cuentas anuales.</w:t>
      </w:r>
    </w:p>
    <w:p w:rsidR="00184DB2" w:rsidRPr="007323E7" w:rsidRDefault="00DB2CF8" w:rsidP="00314CCA">
      <w:pPr>
        <w:pStyle w:val="texto"/>
        <w:spacing w:after="120"/>
        <w:rPr>
          <w:spacing w:val="2"/>
          <w:lang w:val="es-ES"/>
        </w:rPr>
      </w:pPr>
      <w:r>
        <w:rPr>
          <w:lang w:val="es-ES"/>
        </w:rPr>
        <w:t>Además de los informes de auditoría</w:t>
      </w:r>
      <w:r w:rsidR="00BD3001">
        <w:rPr>
          <w:lang w:val="es-ES"/>
        </w:rPr>
        <w:t xml:space="preserve"> de cuentas</w:t>
      </w:r>
      <w:r>
        <w:rPr>
          <w:lang w:val="es-ES"/>
        </w:rPr>
        <w:t>, la empresa NILSA</w:t>
      </w:r>
      <w:r w:rsidR="007E1A33">
        <w:rPr>
          <w:lang w:val="es-ES"/>
        </w:rPr>
        <w:t xml:space="preserve"> encargó a una fir</w:t>
      </w:r>
      <w:r w:rsidR="00BD3001">
        <w:rPr>
          <w:lang w:val="es-ES"/>
        </w:rPr>
        <w:t xml:space="preserve">ma </w:t>
      </w:r>
      <w:r w:rsidR="007E1A33">
        <w:rPr>
          <w:lang w:val="es-ES"/>
        </w:rPr>
        <w:t xml:space="preserve">un informe de Procedimientos Acordados sobre la gestión del Plan Director de Saneamiento de los ríos de Navarra en el ejercicio de 2015. En concreto, </w:t>
      </w:r>
      <w:r w:rsidR="00BD3001">
        <w:rPr>
          <w:lang w:val="es-ES"/>
        </w:rPr>
        <w:t xml:space="preserve">el trabajo se centró básicamente en revisar la imputación de la ejecución de las obras en distintos regímenes, en las actuaciones con cargo al fondo de reparaciones extraordinarias, la imputación en las explotaciones de plantas, el plan de control de vertidas industriales, la imputación al Plan de </w:t>
      </w:r>
      <w:r w:rsidR="001B712E">
        <w:rPr>
          <w:lang w:val="es-ES"/>
        </w:rPr>
        <w:t>los costes e ingresos de estruc</w:t>
      </w:r>
      <w:r w:rsidR="00BD3001">
        <w:rPr>
          <w:lang w:val="es-ES"/>
        </w:rPr>
        <w:t xml:space="preserve">tura de la </w:t>
      </w:r>
      <w:r w:rsidR="001B712E">
        <w:rPr>
          <w:lang w:val="es-ES"/>
        </w:rPr>
        <w:t>sociedad,</w:t>
      </w:r>
      <w:r w:rsidR="001B712E" w:rsidRPr="007323E7">
        <w:rPr>
          <w:spacing w:val="2"/>
          <w:lang w:val="es-ES"/>
        </w:rPr>
        <w:t xml:space="preserve"> la imputación al Plan de la recaudación del canon de saneamiento, etc. Como resultado de la aplicación de los procedimientos acordados, los auditores concluyen que “</w:t>
      </w:r>
      <w:r w:rsidR="001B712E" w:rsidRPr="007323E7">
        <w:rPr>
          <w:i/>
          <w:spacing w:val="2"/>
          <w:lang w:val="es-ES"/>
        </w:rPr>
        <w:t>no hemos encontrado excepciones</w:t>
      </w:r>
      <w:r w:rsidR="001B712E" w:rsidRPr="007323E7">
        <w:rPr>
          <w:spacing w:val="2"/>
          <w:lang w:val="es-ES"/>
        </w:rPr>
        <w:t>”.</w:t>
      </w:r>
    </w:p>
    <w:p w:rsidR="005F0C3C" w:rsidRPr="00550C8E" w:rsidRDefault="005F0C3C" w:rsidP="005F0C3C">
      <w:pPr>
        <w:pStyle w:val="texto"/>
        <w:rPr>
          <w:lang w:val="es-ES"/>
        </w:rPr>
      </w:pPr>
      <w:r w:rsidRPr="00550C8E">
        <w:rPr>
          <w:lang w:val="es-ES"/>
        </w:rPr>
        <w:t xml:space="preserve">Recomendamos: </w:t>
      </w:r>
    </w:p>
    <w:p w:rsidR="005F0C3C" w:rsidRPr="00846868" w:rsidRDefault="005F0C3C" w:rsidP="005F0C3C">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ind w:left="0" w:firstLine="290"/>
        <w:rPr>
          <w:rFonts w:cs="Arial"/>
          <w:i/>
        </w:rPr>
      </w:pPr>
      <w:r w:rsidRPr="00846868">
        <w:rPr>
          <w:rFonts w:cs="Arial"/>
          <w:i/>
        </w:rPr>
        <w:t>Sobre las empresas públicas en las que se observan relevantes incertidumbres sobre la capacidad para continuar con sus operaciones, analizar su viabilidad tanto desde la vertiente económica como social</w:t>
      </w:r>
      <w:r w:rsidR="00CC0D1E">
        <w:rPr>
          <w:rFonts w:cs="Arial"/>
          <w:i/>
        </w:rPr>
        <w:t>.</w:t>
      </w:r>
    </w:p>
    <w:p w:rsidR="007E1A33" w:rsidRPr="00050F35" w:rsidRDefault="005F0C3C" w:rsidP="00050F35">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ind w:left="0" w:firstLine="290"/>
        <w:rPr>
          <w:rFonts w:cs="Arial"/>
          <w:i/>
        </w:rPr>
      </w:pPr>
      <w:r>
        <w:rPr>
          <w:rFonts w:cs="Arial"/>
          <w:i/>
        </w:rPr>
        <w:t xml:space="preserve">Dentro de Plan anual de actuación de la </w:t>
      </w:r>
      <w:r w:rsidRPr="00846868">
        <w:rPr>
          <w:rFonts w:cs="Arial"/>
          <w:i/>
        </w:rPr>
        <w:t>Intervención General</w:t>
      </w:r>
      <w:r w:rsidR="00DA107F">
        <w:rPr>
          <w:rFonts w:cs="Arial"/>
          <w:i/>
        </w:rPr>
        <w:t>,</w:t>
      </w:r>
      <w:r>
        <w:rPr>
          <w:rFonts w:cs="Arial"/>
          <w:i/>
        </w:rPr>
        <w:t xml:space="preserve"> incluir </w:t>
      </w:r>
      <w:r w:rsidR="00977FE8">
        <w:rPr>
          <w:rFonts w:cs="Arial"/>
          <w:i/>
        </w:rPr>
        <w:t xml:space="preserve">periódicamente </w:t>
      </w:r>
      <w:r>
        <w:rPr>
          <w:rFonts w:cs="Arial"/>
          <w:i/>
        </w:rPr>
        <w:t>la realización de</w:t>
      </w:r>
      <w:r w:rsidRPr="00846868">
        <w:rPr>
          <w:rFonts w:cs="Arial"/>
          <w:i/>
        </w:rPr>
        <w:t xml:space="preserve"> </w:t>
      </w:r>
      <w:r>
        <w:rPr>
          <w:rFonts w:cs="Arial"/>
          <w:i/>
        </w:rPr>
        <w:t xml:space="preserve">auditorías de cumplimiento de legalidad </w:t>
      </w:r>
      <w:r w:rsidR="004D16A5">
        <w:rPr>
          <w:rFonts w:cs="Arial"/>
          <w:i/>
        </w:rPr>
        <w:t>sobre las</w:t>
      </w:r>
      <w:r w:rsidRPr="00846868">
        <w:rPr>
          <w:rFonts w:cs="Arial"/>
          <w:i/>
        </w:rPr>
        <w:t xml:space="preserve"> sociedades</w:t>
      </w:r>
      <w:r>
        <w:rPr>
          <w:rFonts w:cs="Arial"/>
          <w:i/>
        </w:rPr>
        <w:t xml:space="preserve"> p</w:t>
      </w:r>
      <w:r w:rsidRPr="00846868">
        <w:rPr>
          <w:rFonts w:cs="Arial"/>
          <w:i/>
        </w:rPr>
        <w:t>úblicas.</w:t>
      </w:r>
    </w:p>
    <w:p w:rsidR="00DD1A72" w:rsidRPr="00DD1A72" w:rsidRDefault="00DD1A72" w:rsidP="00071FC3">
      <w:pPr>
        <w:pStyle w:val="atitulo3"/>
      </w:pPr>
      <w:r w:rsidRPr="00DD1A72">
        <w:t>Grupo empresarial CPEN</w:t>
      </w:r>
    </w:p>
    <w:p w:rsidR="00FF1B5F" w:rsidRPr="00DD1A72" w:rsidRDefault="00DD1A72" w:rsidP="007323E7">
      <w:pPr>
        <w:pStyle w:val="texto"/>
        <w:spacing w:after="240"/>
        <w:rPr>
          <w:rFonts w:ascii="Times New (W1)" w:hAnsi="Times New (W1)"/>
          <w:bCs/>
          <w:lang w:val="es-ES"/>
        </w:rPr>
      </w:pPr>
      <w:r>
        <w:rPr>
          <w:rFonts w:ascii="Times New (W1)" w:hAnsi="Times New (W1)"/>
          <w:bCs/>
        </w:rPr>
        <w:t>La</w:t>
      </w:r>
      <w:r w:rsidRPr="00123569">
        <w:rPr>
          <w:rFonts w:ascii="Times New (W1)" w:hAnsi="Times New (W1)"/>
          <w:bCs/>
          <w:lang w:val="es-ES"/>
        </w:rPr>
        <w:t xml:space="preserve"> composición del </w:t>
      </w:r>
      <w:r>
        <w:rPr>
          <w:rFonts w:ascii="Times New (W1)" w:hAnsi="Times New (W1)"/>
          <w:bCs/>
          <w:lang w:val="es-ES"/>
        </w:rPr>
        <w:t>g</w:t>
      </w:r>
      <w:r w:rsidRPr="00123569">
        <w:rPr>
          <w:rFonts w:ascii="Times New (W1)" w:hAnsi="Times New (W1)"/>
          <w:bCs/>
          <w:lang w:val="es-ES"/>
        </w:rPr>
        <w:t xml:space="preserve">rupo </w:t>
      </w:r>
      <w:r>
        <w:rPr>
          <w:rFonts w:ascii="Times New (W1)" w:hAnsi="Times New (W1)"/>
          <w:bCs/>
          <w:lang w:val="es-ES"/>
        </w:rPr>
        <w:t>e</w:t>
      </w:r>
      <w:r w:rsidRPr="00123569">
        <w:rPr>
          <w:rFonts w:ascii="Times New (W1)" w:hAnsi="Times New (W1)"/>
          <w:bCs/>
          <w:lang w:val="es-ES"/>
        </w:rPr>
        <w:t>mpresarial de la CPEN a efectos de consolidación</w:t>
      </w:r>
      <w:r>
        <w:rPr>
          <w:rFonts w:ascii="Times New (W1)" w:hAnsi="Times New (W1)"/>
          <w:bCs/>
          <w:lang w:val="es-ES"/>
        </w:rPr>
        <w:t xml:space="preserve"> contable</w:t>
      </w:r>
      <w:r w:rsidRPr="00123569">
        <w:rPr>
          <w:rFonts w:ascii="Times New (W1)" w:hAnsi="Times New (W1)"/>
          <w:bCs/>
          <w:lang w:val="es-ES"/>
        </w:rPr>
        <w:t xml:space="preserve"> es la siguiente</w:t>
      </w:r>
      <w:r>
        <w:rPr>
          <w:rFonts w:ascii="Times New (W1)" w:hAnsi="Times New (W1)"/>
          <w:bCs/>
          <w:lang w:val="es-ES"/>
        </w:rPr>
        <w:t>:</w:t>
      </w:r>
    </w:p>
    <w:tbl>
      <w:tblPr>
        <w:tblW w:w="8698" w:type="dxa"/>
        <w:jc w:val="center"/>
        <w:tblInd w:w="193" w:type="dxa"/>
        <w:tblBorders>
          <w:top w:val="single" w:sz="4" w:space="0" w:color="auto"/>
          <w:bottom w:val="single" w:sz="4" w:space="0" w:color="auto"/>
        </w:tblBorders>
        <w:tblLook w:val="01E0" w:firstRow="1" w:lastRow="1" w:firstColumn="1" w:lastColumn="1" w:noHBand="0" w:noVBand="0"/>
      </w:tblPr>
      <w:tblGrid>
        <w:gridCol w:w="4978"/>
        <w:gridCol w:w="1920"/>
        <w:gridCol w:w="1800"/>
      </w:tblGrid>
      <w:tr w:rsidR="00DD1A72" w:rsidTr="007C6BCB">
        <w:trPr>
          <w:trHeight w:hRule="exact" w:val="284"/>
          <w:jc w:val="center"/>
        </w:trPr>
        <w:tc>
          <w:tcPr>
            <w:tcW w:w="4978" w:type="dxa"/>
            <w:tcBorders>
              <w:top w:val="single" w:sz="4" w:space="0" w:color="auto"/>
              <w:left w:val="nil"/>
              <w:bottom w:val="single" w:sz="4" w:space="0" w:color="auto"/>
              <w:right w:val="nil"/>
            </w:tcBorders>
            <w:shd w:val="clear" w:color="auto" w:fill="A8CBEE" w:themeFill="accent2" w:themeFillTint="66"/>
            <w:vAlign w:val="center"/>
            <w:hideMark/>
          </w:tcPr>
          <w:p w:rsidR="00DD1A72" w:rsidRDefault="00DD1A72">
            <w:pPr>
              <w:pStyle w:val="cuadroCabe"/>
              <w:jc w:val="left"/>
              <w:rPr>
                <w:rFonts w:cs="Arial"/>
              </w:rPr>
            </w:pPr>
            <w:r>
              <w:rPr>
                <w:rFonts w:cs="Arial"/>
              </w:rPr>
              <w:t>Composición Grupo CPEN</w:t>
            </w:r>
          </w:p>
        </w:tc>
        <w:tc>
          <w:tcPr>
            <w:tcW w:w="1920" w:type="dxa"/>
            <w:tcBorders>
              <w:top w:val="single" w:sz="4" w:space="0" w:color="auto"/>
              <w:left w:val="nil"/>
              <w:bottom w:val="single" w:sz="4" w:space="0" w:color="auto"/>
              <w:right w:val="nil"/>
            </w:tcBorders>
            <w:shd w:val="clear" w:color="auto" w:fill="A8CBEE" w:themeFill="accent2" w:themeFillTint="66"/>
            <w:vAlign w:val="center"/>
            <w:hideMark/>
          </w:tcPr>
          <w:p w:rsidR="00DD1A72" w:rsidRDefault="00DD1A72">
            <w:pPr>
              <w:pStyle w:val="cuadroCabe"/>
              <w:jc w:val="right"/>
              <w:rPr>
                <w:rFonts w:cs="Arial"/>
              </w:rPr>
            </w:pPr>
            <w:r>
              <w:rPr>
                <w:rFonts w:cs="Arial"/>
              </w:rPr>
              <w:t>2014</w:t>
            </w:r>
          </w:p>
        </w:tc>
        <w:tc>
          <w:tcPr>
            <w:tcW w:w="1800" w:type="dxa"/>
            <w:tcBorders>
              <w:top w:val="single" w:sz="4" w:space="0" w:color="auto"/>
              <w:left w:val="nil"/>
              <w:bottom w:val="single" w:sz="4" w:space="0" w:color="auto"/>
              <w:right w:val="nil"/>
            </w:tcBorders>
            <w:shd w:val="clear" w:color="auto" w:fill="A8CBEE" w:themeFill="accent2" w:themeFillTint="66"/>
            <w:vAlign w:val="center"/>
            <w:hideMark/>
          </w:tcPr>
          <w:p w:rsidR="00DD1A72" w:rsidRDefault="00DD1A72">
            <w:pPr>
              <w:pStyle w:val="cuadroCabe"/>
              <w:jc w:val="right"/>
              <w:rPr>
                <w:rFonts w:cs="Arial"/>
              </w:rPr>
            </w:pPr>
            <w:r>
              <w:rPr>
                <w:rFonts w:cs="Arial"/>
              </w:rPr>
              <w:t>2015</w:t>
            </w:r>
          </w:p>
        </w:tc>
      </w:tr>
      <w:tr w:rsidR="00DD1A72" w:rsidTr="007323E7">
        <w:trPr>
          <w:trHeight w:hRule="exact" w:val="284"/>
          <w:jc w:val="center"/>
        </w:trPr>
        <w:tc>
          <w:tcPr>
            <w:tcW w:w="4978" w:type="dxa"/>
            <w:tcBorders>
              <w:top w:val="single" w:sz="4" w:space="0" w:color="auto"/>
              <w:left w:val="nil"/>
              <w:bottom w:val="single" w:sz="2" w:space="0" w:color="auto"/>
              <w:right w:val="nil"/>
            </w:tcBorders>
            <w:vAlign w:val="center"/>
            <w:hideMark/>
          </w:tcPr>
          <w:p w:rsidR="00DD1A72" w:rsidRDefault="00DD1A72" w:rsidP="00DD1A72">
            <w:pPr>
              <w:ind w:firstLine="0"/>
              <w:rPr>
                <w:rFonts w:ascii="Arial Narrow" w:hAnsi="Arial Narrow" w:cs="Arial"/>
              </w:rPr>
            </w:pPr>
            <w:r>
              <w:rPr>
                <w:rFonts w:ascii="Arial Narrow" w:hAnsi="Arial Narrow" w:cs="Arial"/>
              </w:rPr>
              <w:t>Dependientes-Sociedades públicas</w:t>
            </w:r>
          </w:p>
        </w:tc>
        <w:tc>
          <w:tcPr>
            <w:tcW w:w="1920" w:type="dxa"/>
            <w:tcBorders>
              <w:top w:val="single" w:sz="4"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cs="Arial"/>
              </w:rPr>
              <w:t>16</w:t>
            </w:r>
          </w:p>
        </w:tc>
        <w:tc>
          <w:tcPr>
            <w:tcW w:w="1800" w:type="dxa"/>
            <w:tcBorders>
              <w:top w:val="single" w:sz="4"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cs="Arial"/>
              </w:rPr>
              <w:t>16</w:t>
            </w:r>
          </w:p>
        </w:tc>
      </w:tr>
      <w:tr w:rsidR="00DD1A72" w:rsidTr="007323E7">
        <w:trPr>
          <w:trHeight w:hRule="exact" w:val="284"/>
          <w:jc w:val="center"/>
        </w:trPr>
        <w:tc>
          <w:tcPr>
            <w:tcW w:w="4978" w:type="dxa"/>
            <w:tcBorders>
              <w:top w:val="single" w:sz="2" w:space="0" w:color="auto"/>
              <w:left w:val="nil"/>
              <w:bottom w:val="single" w:sz="2" w:space="0" w:color="auto"/>
              <w:right w:val="nil"/>
            </w:tcBorders>
            <w:vAlign w:val="center"/>
            <w:hideMark/>
          </w:tcPr>
          <w:p w:rsidR="00DD1A72" w:rsidRDefault="00DD1A72" w:rsidP="00DD1A72">
            <w:pPr>
              <w:ind w:firstLine="0"/>
              <w:rPr>
                <w:rFonts w:ascii="Arial Narrow" w:hAnsi="Arial Narrow" w:cs="Arial"/>
              </w:rPr>
            </w:pPr>
            <w:r>
              <w:rPr>
                <w:rFonts w:ascii="Arial Narrow" w:hAnsi="Arial Narrow" w:cs="Arial"/>
              </w:rPr>
              <w:t>Asociadas</w:t>
            </w:r>
          </w:p>
        </w:tc>
        <w:tc>
          <w:tcPr>
            <w:tcW w:w="1920"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cs="Arial"/>
              </w:rPr>
              <w:t>28</w:t>
            </w:r>
          </w:p>
        </w:tc>
        <w:tc>
          <w:tcPr>
            <w:tcW w:w="1800"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cs="Arial"/>
              </w:rPr>
              <w:t>17</w:t>
            </w:r>
          </w:p>
        </w:tc>
      </w:tr>
      <w:tr w:rsidR="00DD1A72" w:rsidTr="007323E7">
        <w:trPr>
          <w:trHeight w:hRule="exact" w:val="284"/>
          <w:jc w:val="center"/>
        </w:trPr>
        <w:tc>
          <w:tcPr>
            <w:tcW w:w="4978" w:type="dxa"/>
            <w:tcBorders>
              <w:top w:val="single" w:sz="2" w:space="0" w:color="auto"/>
              <w:left w:val="nil"/>
              <w:bottom w:val="single" w:sz="4" w:space="0" w:color="auto"/>
              <w:right w:val="nil"/>
            </w:tcBorders>
            <w:vAlign w:val="center"/>
            <w:hideMark/>
          </w:tcPr>
          <w:p w:rsidR="00DD1A72" w:rsidRDefault="00DD1A72" w:rsidP="00DD1A72">
            <w:pPr>
              <w:ind w:firstLine="0"/>
              <w:rPr>
                <w:rFonts w:ascii="Arial Narrow" w:hAnsi="Arial Narrow" w:cs="Arial"/>
              </w:rPr>
            </w:pPr>
            <w:r>
              <w:rPr>
                <w:rFonts w:ascii="Arial Narrow" w:hAnsi="Arial Narrow" w:cs="Arial"/>
              </w:rPr>
              <w:t>Otras participadas</w:t>
            </w:r>
          </w:p>
        </w:tc>
        <w:tc>
          <w:tcPr>
            <w:tcW w:w="1920" w:type="dxa"/>
            <w:tcBorders>
              <w:top w:val="single" w:sz="2" w:space="0" w:color="auto"/>
              <w:left w:val="nil"/>
              <w:bottom w:val="single" w:sz="4" w:space="0" w:color="auto"/>
              <w:right w:val="nil"/>
            </w:tcBorders>
            <w:vAlign w:val="center"/>
            <w:hideMark/>
          </w:tcPr>
          <w:p w:rsidR="00DD1A72" w:rsidRDefault="00DD1A72">
            <w:pPr>
              <w:jc w:val="right"/>
              <w:rPr>
                <w:rFonts w:ascii="Arial Narrow" w:hAnsi="Arial Narrow" w:cs="Arial"/>
              </w:rPr>
            </w:pPr>
            <w:r>
              <w:rPr>
                <w:rFonts w:ascii="Arial Narrow" w:hAnsi="Arial Narrow" w:cs="Arial"/>
              </w:rPr>
              <w:t>37</w:t>
            </w:r>
          </w:p>
        </w:tc>
        <w:tc>
          <w:tcPr>
            <w:tcW w:w="1800" w:type="dxa"/>
            <w:tcBorders>
              <w:top w:val="single" w:sz="2" w:space="0" w:color="auto"/>
              <w:left w:val="nil"/>
              <w:bottom w:val="single" w:sz="4" w:space="0" w:color="auto"/>
              <w:right w:val="nil"/>
            </w:tcBorders>
            <w:vAlign w:val="center"/>
            <w:hideMark/>
          </w:tcPr>
          <w:p w:rsidR="00DD1A72" w:rsidRDefault="00DD1A72">
            <w:pPr>
              <w:jc w:val="right"/>
              <w:rPr>
                <w:rFonts w:ascii="Arial Narrow" w:hAnsi="Arial Narrow" w:cs="Arial"/>
              </w:rPr>
            </w:pPr>
            <w:r>
              <w:rPr>
                <w:rFonts w:ascii="Arial Narrow" w:hAnsi="Arial Narrow" w:cs="Arial"/>
              </w:rPr>
              <w:t>44</w:t>
            </w:r>
          </w:p>
        </w:tc>
      </w:tr>
    </w:tbl>
    <w:p w:rsidR="000A264F" w:rsidRPr="000A264F" w:rsidRDefault="00DD1A72" w:rsidP="007323E7">
      <w:pPr>
        <w:pStyle w:val="texto"/>
        <w:spacing w:before="240"/>
        <w:rPr>
          <w:lang w:val="es-ES"/>
        </w:rPr>
      </w:pPr>
      <w:r w:rsidRPr="000A264F">
        <w:rPr>
          <w:lang w:val="es-ES"/>
        </w:rPr>
        <w:t xml:space="preserve">Dentro de las empresas asociadas, se incluye, por ejemplo, Autopistas de Navarra, Canal de Navarra y </w:t>
      </w:r>
      <w:r w:rsidR="000A264F" w:rsidRPr="000A264F">
        <w:rPr>
          <w:lang w:val="es-ES"/>
        </w:rPr>
        <w:t xml:space="preserve">Parque de la Naturaleza de Navarra. </w:t>
      </w:r>
    </w:p>
    <w:p w:rsidR="000A264F" w:rsidRPr="007323E7" w:rsidRDefault="000A264F" w:rsidP="007323E7">
      <w:pPr>
        <w:pStyle w:val="texto"/>
        <w:rPr>
          <w:spacing w:val="2"/>
          <w:lang w:val="es-ES"/>
        </w:rPr>
      </w:pPr>
      <w:r w:rsidRPr="000A264F">
        <w:rPr>
          <w:lang w:val="es-ES"/>
        </w:rPr>
        <w:t>Sobre esta última empresa, y tal como se indicaba en anteriores informes de esta Cámara de Comptos, consideramos que reúne los requisitos que señala la Ley Foral de Patrimonio de Navarra para su consideración como “empresa pública” dado que</w:t>
      </w:r>
      <w:r>
        <w:rPr>
          <w:lang w:val="es-ES"/>
        </w:rPr>
        <w:t>,</w:t>
      </w:r>
      <w:r w:rsidRPr="000A264F">
        <w:rPr>
          <w:lang w:val="es-ES"/>
        </w:rPr>
        <w:t xml:space="preserve"> si bien la participación de la CPEN a través de Sodena actualmente </w:t>
      </w:r>
      <w:r>
        <w:rPr>
          <w:lang w:val="es-ES"/>
        </w:rPr>
        <w:t xml:space="preserve">es del </w:t>
      </w:r>
      <w:r w:rsidRPr="000A264F">
        <w:rPr>
          <w:lang w:val="es-ES"/>
        </w:rPr>
        <w:t>4</w:t>
      </w:r>
      <w:r>
        <w:rPr>
          <w:lang w:val="es-ES"/>
        </w:rPr>
        <w:t>5</w:t>
      </w:r>
      <w:r w:rsidRPr="000A264F">
        <w:rPr>
          <w:lang w:val="es-ES"/>
        </w:rPr>
        <w:t xml:space="preserve"> por ciento de su capital, existe un control del Grupo por los pactos firmados con el resto de socios</w:t>
      </w:r>
      <w:r w:rsidRPr="000A264F">
        <w:rPr>
          <w:rStyle w:val="Refdenotaalpie"/>
          <w:lang w:val="es-ES"/>
        </w:rPr>
        <w:footnoteReference w:id="15"/>
      </w:r>
      <w:r w:rsidRPr="000A264F">
        <w:rPr>
          <w:rStyle w:val="Refdenotaalpie"/>
          <w:lang w:val="es-ES"/>
        </w:rPr>
        <w:t xml:space="preserve"> </w:t>
      </w:r>
      <w:r w:rsidRPr="000A264F">
        <w:rPr>
          <w:lang w:val="es-ES"/>
        </w:rPr>
        <w:t xml:space="preserve">y además la empresa Sodena es el administrador único de la misma. </w:t>
      </w:r>
      <w:r w:rsidRPr="007323E7">
        <w:rPr>
          <w:spacing w:val="2"/>
          <w:lang w:val="es-ES"/>
        </w:rPr>
        <w:t>Es decir, las anteriores circunstancias indican la existencia de una influencia dominante y que, en cualquier caso, existe dependencia y dirección única sobre esa empresa por el grupo empresarial de la CPEN.</w:t>
      </w:r>
    </w:p>
    <w:p w:rsidR="007C0502" w:rsidRPr="007C0502" w:rsidRDefault="000A264F" w:rsidP="007C0502">
      <w:pPr>
        <w:pStyle w:val="texto"/>
        <w:spacing w:after="120"/>
        <w:rPr>
          <w:lang w:val="es-ES"/>
        </w:rPr>
      </w:pPr>
      <w:r w:rsidRPr="000A264F">
        <w:rPr>
          <w:lang w:val="es-ES"/>
        </w:rPr>
        <w:t>Avala igualmente esta opinión el hecho de que, para la normativa contable, la CPEN consolida la citada sociedad por el método de integración global –al igual que el resto de sociedades públicas-, es decir, que incorpora a sus estados contables todos los activos, pasivos, ingresos, gastos, cobros, pagos y demás partidas de la citada sociedad dependiente con sus correspondientes ajustes y eliminaciones.</w:t>
      </w:r>
      <w:r w:rsidR="001F59E1">
        <w:rPr>
          <w:lang w:val="es-ES"/>
        </w:rPr>
        <w:t xml:space="preserve"> En 2015, esta sociedad presenta unas pérdidas de </w:t>
      </w:r>
      <w:r w:rsidR="004E1D88">
        <w:rPr>
          <w:lang w:val="es-ES"/>
        </w:rPr>
        <w:t xml:space="preserve">2,93 </w:t>
      </w:r>
      <w:r w:rsidR="001F59E1">
        <w:rPr>
          <w:lang w:val="es-ES"/>
        </w:rPr>
        <w:t>millones y un patrimonio</w:t>
      </w:r>
      <w:r w:rsidR="004E1D88">
        <w:rPr>
          <w:lang w:val="es-ES"/>
        </w:rPr>
        <w:t xml:space="preserve"> neto negativo de 37,8 millones; en 2014, esos datos fueron también negativos de 2,86 y 34,87 millones, respectivamente</w:t>
      </w:r>
      <w:r w:rsidR="00374A52">
        <w:rPr>
          <w:lang w:val="es-ES"/>
        </w:rPr>
        <w:t>.</w:t>
      </w:r>
      <w:r w:rsidR="00374A52" w:rsidRPr="00374A52">
        <w:rPr>
          <w:rFonts w:ascii="Times New (W1)" w:hAnsi="Times New (W1)"/>
          <w:bCs/>
        </w:rPr>
        <w:t xml:space="preserve"> </w:t>
      </w:r>
      <w:r w:rsidR="00374A52" w:rsidRPr="00841721">
        <w:rPr>
          <w:rFonts w:ascii="Times New (W1)" w:hAnsi="Times New (W1)"/>
          <w:bCs/>
        </w:rPr>
        <w:t>El valor negativo de su patrimonio neto deriva de las pérdidas continuadas desde la puesta en funcionamiento del parque de ocio Senda Viva.</w:t>
      </w:r>
    </w:p>
    <w:p w:rsidR="007C0502" w:rsidRDefault="007C0502" w:rsidP="007C0502">
      <w:pPr>
        <w:pStyle w:val="texto"/>
      </w:pPr>
      <w:r w:rsidRPr="00824660">
        <w:t>Las cuentas consolidadas de la CPEN</w:t>
      </w:r>
      <w:r>
        <w:t xml:space="preserve"> de 2015</w:t>
      </w:r>
      <w:r w:rsidRPr="00E86F59">
        <w:t xml:space="preserve"> </w:t>
      </w:r>
      <w:r>
        <w:t xml:space="preserve">han sido </w:t>
      </w:r>
      <w:r w:rsidR="000C6B54">
        <w:t xml:space="preserve">objeto de auditoría </w:t>
      </w:r>
      <w:r w:rsidRPr="00E86F59">
        <w:t>por una firma</w:t>
      </w:r>
      <w:r>
        <w:t xml:space="preserve"> externa</w:t>
      </w:r>
      <w:r w:rsidRPr="00E86F59">
        <w:t xml:space="preserve"> que ha emitido una opinión</w:t>
      </w:r>
      <w:r>
        <w:t xml:space="preserve"> no modificada o</w:t>
      </w:r>
      <w:r w:rsidRPr="00E86F59">
        <w:t xml:space="preserve"> favorable.</w:t>
      </w:r>
    </w:p>
    <w:p w:rsidR="00137666" w:rsidRDefault="00E96DF6" w:rsidP="00BB3469">
      <w:pPr>
        <w:pStyle w:val="texto"/>
        <w:spacing w:after="240"/>
        <w:rPr>
          <w:rFonts w:ascii="Times New (W1)" w:hAnsi="Times New (W1)"/>
        </w:rPr>
      </w:pPr>
      <w:r w:rsidRPr="00267F4C">
        <w:rPr>
          <w:rFonts w:ascii="Times New (W1)" w:hAnsi="Times New (W1)"/>
        </w:rPr>
        <w:t>Como principales datos</w:t>
      </w:r>
      <w:r>
        <w:rPr>
          <w:rFonts w:ascii="Times New (W1)" w:hAnsi="Times New (W1)"/>
        </w:rPr>
        <w:t xml:space="preserve"> económico-financieros</w:t>
      </w:r>
      <w:r w:rsidRPr="00267F4C">
        <w:rPr>
          <w:rFonts w:ascii="Times New (W1)" w:hAnsi="Times New (W1)"/>
        </w:rPr>
        <w:t xml:space="preserve"> del Grupo consolidado correspondientes a los ejercicios de 201</w:t>
      </w:r>
      <w:r>
        <w:rPr>
          <w:rFonts w:ascii="Times New (W1)" w:hAnsi="Times New (W1)"/>
        </w:rPr>
        <w:t>4</w:t>
      </w:r>
      <w:r w:rsidRPr="00267F4C">
        <w:rPr>
          <w:rFonts w:ascii="Times New (W1)" w:hAnsi="Times New (W1)"/>
        </w:rPr>
        <w:t xml:space="preserve"> y 201</w:t>
      </w:r>
      <w:r>
        <w:rPr>
          <w:rFonts w:ascii="Times New (W1)" w:hAnsi="Times New (W1)"/>
        </w:rPr>
        <w:t>5</w:t>
      </w:r>
      <w:r w:rsidRPr="00267F4C">
        <w:rPr>
          <w:rFonts w:ascii="Times New (W1)" w:hAnsi="Times New (W1)"/>
        </w:rPr>
        <w:t>,</w:t>
      </w:r>
      <w:r>
        <w:rPr>
          <w:rFonts w:ascii="Times New (W1)" w:hAnsi="Times New (W1)"/>
        </w:rPr>
        <w:t xml:space="preserve"> señalamos</w:t>
      </w:r>
      <w:r w:rsidR="00AF102F">
        <w:rPr>
          <w:rFonts w:ascii="Times New (W1)" w:hAnsi="Times New (W1)"/>
        </w:rPr>
        <w:t xml:space="preserve"> los siguientes, expresados en miles de euros, salvo los que indiquen número</w:t>
      </w:r>
      <w:r w:rsidRPr="00267F4C">
        <w:rPr>
          <w:rFonts w:ascii="Times New (W1)" w:hAnsi="Times New (W1)"/>
        </w:rPr>
        <w:t>:</w:t>
      </w:r>
    </w:p>
    <w:tbl>
      <w:tblPr>
        <w:tblW w:w="8893" w:type="dxa"/>
        <w:jc w:val="center"/>
        <w:tblBorders>
          <w:top w:val="single" w:sz="4" w:space="0" w:color="auto"/>
          <w:bottom w:val="single" w:sz="4" w:space="0" w:color="auto"/>
        </w:tblBorders>
        <w:tblLook w:val="01E0" w:firstRow="1" w:lastRow="1" w:firstColumn="1" w:lastColumn="1" w:noHBand="0" w:noVBand="0"/>
      </w:tblPr>
      <w:tblGrid>
        <w:gridCol w:w="5297"/>
        <w:gridCol w:w="1798"/>
        <w:gridCol w:w="1798"/>
      </w:tblGrid>
      <w:tr w:rsidR="00DD1A72" w:rsidTr="007323E7">
        <w:trPr>
          <w:trHeight w:hRule="exact" w:val="284"/>
          <w:jc w:val="center"/>
        </w:trPr>
        <w:tc>
          <w:tcPr>
            <w:tcW w:w="5297" w:type="dxa"/>
            <w:tcBorders>
              <w:top w:val="single" w:sz="4" w:space="0" w:color="auto"/>
              <w:left w:val="nil"/>
              <w:bottom w:val="single" w:sz="4" w:space="0" w:color="auto"/>
              <w:right w:val="nil"/>
            </w:tcBorders>
            <w:shd w:val="clear" w:color="auto" w:fill="A8CBEE" w:themeFill="accent2" w:themeFillTint="66"/>
            <w:vAlign w:val="center"/>
            <w:hideMark/>
          </w:tcPr>
          <w:p w:rsidR="00DD1A72" w:rsidRDefault="00DD1A72" w:rsidP="00E96DF6">
            <w:pPr>
              <w:pStyle w:val="cuadroCabe"/>
              <w:jc w:val="left"/>
              <w:rPr>
                <w:rFonts w:cs="Arial"/>
              </w:rPr>
            </w:pPr>
            <w:r>
              <w:rPr>
                <w:rFonts w:cs="Arial"/>
              </w:rPr>
              <w:t>Indicadores Grupo CPEN consolidado</w:t>
            </w:r>
          </w:p>
        </w:tc>
        <w:tc>
          <w:tcPr>
            <w:tcW w:w="1798" w:type="dxa"/>
            <w:tcBorders>
              <w:top w:val="single" w:sz="4" w:space="0" w:color="auto"/>
              <w:left w:val="nil"/>
              <w:bottom w:val="single" w:sz="4" w:space="0" w:color="auto"/>
              <w:right w:val="nil"/>
            </w:tcBorders>
            <w:shd w:val="clear" w:color="auto" w:fill="A8CBEE" w:themeFill="accent2" w:themeFillTint="66"/>
            <w:vAlign w:val="center"/>
            <w:hideMark/>
          </w:tcPr>
          <w:p w:rsidR="00DD1A72" w:rsidRDefault="00DD1A72" w:rsidP="00E96DF6">
            <w:pPr>
              <w:pStyle w:val="cuadroCabe"/>
              <w:jc w:val="right"/>
              <w:rPr>
                <w:rFonts w:cs="Arial"/>
              </w:rPr>
            </w:pPr>
            <w:r>
              <w:rPr>
                <w:rFonts w:cs="Arial"/>
              </w:rPr>
              <w:t>2014</w:t>
            </w:r>
          </w:p>
        </w:tc>
        <w:tc>
          <w:tcPr>
            <w:tcW w:w="1798" w:type="dxa"/>
            <w:tcBorders>
              <w:top w:val="single" w:sz="4" w:space="0" w:color="auto"/>
              <w:left w:val="nil"/>
              <w:bottom w:val="single" w:sz="4" w:space="0" w:color="auto"/>
              <w:right w:val="nil"/>
            </w:tcBorders>
            <w:shd w:val="clear" w:color="auto" w:fill="A8CBEE" w:themeFill="accent2" w:themeFillTint="66"/>
            <w:vAlign w:val="center"/>
            <w:hideMark/>
          </w:tcPr>
          <w:p w:rsidR="00DD1A72" w:rsidRDefault="00DD1A72" w:rsidP="00E96DF6">
            <w:pPr>
              <w:pStyle w:val="cuadroCabe"/>
              <w:jc w:val="right"/>
              <w:rPr>
                <w:rFonts w:cs="Arial"/>
              </w:rPr>
            </w:pPr>
            <w:r>
              <w:rPr>
                <w:rFonts w:cs="Arial"/>
              </w:rPr>
              <w:t>2015</w:t>
            </w:r>
          </w:p>
        </w:tc>
      </w:tr>
      <w:tr w:rsidR="00DD1A72" w:rsidTr="007323E7">
        <w:trPr>
          <w:trHeight w:hRule="exact" w:val="284"/>
          <w:jc w:val="center"/>
        </w:trPr>
        <w:tc>
          <w:tcPr>
            <w:tcW w:w="5297" w:type="dxa"/>
            <w:tcBorders>
              <w:top w:val="single" w:sz="4" w:space="0" w:color="auto"/>
              <w:left w:val="nil"/>
              <w:bottom w:val="single" w:sz="2" w:space="0" w:color="auto"/>
              <w:right w:val="nil"/>
            </w:tcBorders>
            <w:vAlign w:val="center"/>
            <w:hideMark/>
          </w:tcPr>
          <w:p w:rsidR="00DD1A72" w:rsidRDefault="00DD1A72" w:rsidP="00DD1A72">
            <w:pPr>
              <w:ind w:firstLine="0"/>
              <w:rPr>
                <w:rFonts w:ascii="Arial Narrow" w:hAnsi="Arial Narrow" w:cs="Arial"/>
              </w:rPr>
            </w:pPr>
            <w:r>
              <w:rPr>
                <w:rFonts w:ascii="Arial Narrow" w:hAnsi="Arial Narrow" w:cs="Arial"/>
              </w:rPr>
              <w:t xml:space="preserve">Patrimonio neto </w:t>
            </w:r>
          </w:p>
        </w:tc>
        <w:tc>
          <w:tcPr>
            <w:tcW w:w="1798" w:type="dxa"/>
            <w:tcBorders>
              <w:top w:val="single" w:sz="4" w:space="0" w:color="auto"/>
              <w:left w:val="nil"/>
              <w:bottom w:val="single" w:sz="2" w:space="0" w:color="auto"/>
              <w:right w:val="nil"/>
            </w:tcBorders>
            <w:vAlign w:val="center"/>
          </w:tcPr>
          <w:p w:rsidR="00DD1A72" w:rsidRDefault="00161E7D">
            <w:pPr>
              <w:jc w:val="right"/>
              <w:rPr>
                <w:rFonts w:ascii="Arial Narrow" w:hAnsi="Arial Narrow" w:cs="Arial"/>
              </w:rPr>
            </w:pPr>
            <w:r>
              <w:rPr>
                <w:rFonts w:ascii="Arial Narrow" w:hAnsi="Arial Narrow" w:cs="Arial"/>
              </w:rPr>
              <w:t>641.227</w:t>
            </w:r>
          </w:p>
        </w:tc>
        <w:tc>
          <w:tcPr>
            <w:tcW w:w="1798" w:type="dxa"/>
            <w:tcBorders>
              <w:top w:val="single" w:sz="4" w:space="0" w:color="auto"/>
              <w:left w:val="nil"/>
              <w:bottom w:val="single" w:sz="2" w:space="0" w:color="auto"/>
              <w:right w:val="nil"/>
            </w:tcBorders>
            <w:vAlign w:val="center"/>
          </w:tcPr>
          <w:p w:rsidR="00DD1A72" w:rsidRDefault="00161E7D">
            <w:pPr>
              <w:jc w:val="right"/>
              <w:rPr>
                <w:rFonts w:ascii="Arial Narrow" w:hAnsi="Arial Narrow" w:cs="Arial"/>
              </w:rPr>
            </w:pPr>
            <w:r>
              <w:rPr>
                <w:rFonts w:ascii="Arial Narrow" w:hAnsi="Arial Narrow" w:cs="Arial"/>
              </w:rPr>
              <w:t>615.806</w:t>
            </w:r>
          </w:p>
        </w:tc>
      </w:tr>
      <w:tr w:rsidR="00DD1A72" w:rsidTr="007323E7">
        <w:trPr>
          <w:trHeight w:hRule="exact" w:val="284"/>
          <w:jc w:val="center"/>
        </w:trPr>
        <w:tc>
          <w:tcPr>
            <w:tcW w:w="5297" w:type="dxa"/>
            <w:tcBorders>
              <w:top w:val="single" w:sz="2" w:space="0" w:color="auto"/>
              <w:left w:val="nil"/>
              <w:bottom w:val="single" w:sz="2" w:space="0" w:color="auto"/>
              <w:right w:val="nil"/>
            </w:tcBorders>
            <w:vAlign w:val="center"/>
            <w:hideMark/>
          </w:tcPr>
          <w:p w:rsidR="00DD1A72" w:rsidRDefault="00DD1A72" w:rsidP="00DD1A72">
            <w:pPr>
              <w:ind w:firstLine="0"/>
              <w:rPr>
                <w:rFonts w:ascii="Arial Narrow" w:hAnsi="Arial Narrow" w:cs="Arial"/>
              </w:rPr>
            </w:pPr>
            <w:r>
              <w:rPr>
                <w:rFonts w:ascii="Arial Narrow" w:hAnsi="Arial Narrow" w:cs="Arial"/>
              </w:rPr>
              <w:t>Deudas a Largo Plazo</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cs="Arial"/>
              </w:rPr>
              <w:t>205.376</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cs="Arial"/>
              </w:rPr>
              <w:t>177.574</w:t>
            </w:r>
          </w:p>
        </w:tc>
      </w:tr>
      <w:tr w:rsidR="00DA107F" w:rsidTr="007323E7">
        <w:trPr>
          <w:trHeight w:hRule="exact" w:val="284"/>
          <w:jc w:val="center"/>
        </w:trPr>
        <w:tc>
          <w:tcPr>
            <w:tcW w:w="5297" w:type="dxa"/>
            <w:tcBorders>
              <w:top w:val="single" w:sz="2" w:space="0" w:color="auto"/>
              <w:left w:val="nil"/>
              <w:bottom w:val="single" w:sz="2" w:space="0" w:color="auto"/>
              <w:right w:val="nil"/>
            </w:tcBorders>
            <w:vAlign w:val="center"/>
          </w:tcPr>
          <w:p w:rsidR="00DA107F" w:rsidRDefault="00161E7D" w:rsidP="00DA107F">
            <w:pPr>
              <w:ind w:firstLine="0"/>
              <w:rPr>
                <w:rFonts w:ascii="Arial Narrow" w:hAnsi="Arial Narrow" w:cs="Arial"/>
              </w:rPr>
            </w:pPr>
            <w:r>
              <w:rPr>
                <w:rFonts w:ascii="Arial Narrow" w:hAnsi="Arial Narrow" w:cs="Arial"/>
              </w:rPr>
              <w:t xml:space="preserve">Deudas </w:t>
            </w:r>
            <w:r w:rsidR="00DA107F">
              <w:rPr>
                <w:rFonts w:ascii="Arial Narrow" w:hAnsi="Arial Narrow" w:cs="Arial"/>
              </w:rPr>
              <w:t>a Corto plazo</w:t>
            </w:r>
          </w:p>
        </w:tc>
        <w:tc>
          <w:tcPr>
            <w:tcW w:w="1798" w:type="dxa"/>
            <w:tcBorders>
              <w:top w:val="single" w:sz="2" w:space="0" w:color="auto"/>
              <w:left w:val="nil"/>
              <w:bottom w:val="single" w:sz="2" w:space="0" w:color="auto"/>
              <w:right w:val="nil"/>
            </w:tcBorders>
            <w:vAlign w:val="center"/>
          </w:tcPr>
          <w:p w:rsidR="00DA107F" w:rsidRDefault="00DA107F">
            <w:pPr>
              <w:jc w:val="right"/>
              <w:rPr>
                <w:rFonts w:ascii="Arial Narrow" w:hAnsi="Arial Narrow" w:cs="Arial"/>
              </w:rPr>
            </w:pPr>
            <w:r>
              <w:rPr>
                <w:rFonts w:ascii="Arial Narrow" w:hAnsi="Arial Narrow" w:cs="Arial"/>
              </w:rPr>
              <w:t>37.256</w:t>
            </w:r>
          </w:p>
        </w:tc>
        <w:tc>
          <w:tcPr>
            <w:tcW w:w="1798" w:type="dxa"/>
            <w:tcBorders>
              <w:top w:val="single" w:sz="2" w:space="0" w:color="auto"/>
              <w:left w:val="nil"/>
              <w:bottom w:val="single" w:sz="2" w:space="0" w:color="auto"/>
              <w:right w:val="nil"/>
            </w:tcBorders>
            <w:vAlign w:val="center"/>
          </w:tcPr>
          <w:p w:rsidR="00DA107F" w:rsidRDefault="00DA107F">
            <w:pPr>
              <w:jc w:val="right"/>
              <w:rPr>
                <w:rFonts w:ascii="Arial Narrow" w:hAnsi="Arial Narrow" w:cs="Arial"/>
              </w:rPr>
            </w:pPr>
            <w:r>
              <w:rPr>
                <w:rFonts w:ascii="Arial Narrow" w:hAnsi="Arial Narrow" w:cs="Arial"/>
              </w:rPr>
              <w:t>31.810</w:t>
            </w:r>
          </w:p>
        </w:tc>
      </w:tr>
      <w:tr w:rsidR="00DD1A72" w:rsidTr="007323E7">
        <w:trPr>
          <w:trHeight w:hRule="exact" w:val="284"/>
          <w:jc w:val="center"/>
        </w:trPr>
        <w:tc>
          <w:tcPr>
            <w:tcW w:w="5297" w:type="dxa"/>
            <w:tcBorders>
              <w:top w:val="single" w:sz="2" w:space="0" w:color="auto"/>
              <w:left w:val="nil"/>
              <w:bottom w:val="single" w:sz="2" w:space="0" w:color="auto"/>
              <w:right w:val="nil"/>
            </w:tcBorders>
            <w:vAlign w:val="center"/>
            <w:hideMark/>
          </w:tcPr>
          <w:p w:rsidR="00DD1A72" w:rsidRDefault="00DD1A72" w:rsidP="00DD1A72">
            <w:pPr>
              <w:ind w:firstLine="0"/>
              <w:rPr>
                <w:rFonts w:ascii="Arial Narrow" w:hAnsi="Arial Narrow" w:cs="Arial"/>
              </w:rPr>
            </w:pPr>
            <w:r>
              <w:rPr>
                <w:rFonts w:ascii="Arial Narrow" w:hAnsi="Arial Narrow" w:cs="Arial"/>
              </w:rPr>
              <w:t>Fondo de maniobra</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cs="Arial"/>
              </w:rPr>
              <w:t>304.920</w:t>
            </w:r>
          </w:p>
        </w:tc>
        <w:tc>
          <w:tcPr>
            <w:tcW w:w="1798" w:type="dxa"/>
            <w:tcBorders>
              <w:top w:val="single" w:sz="2" w:space="0" w:color="auto"/>
              <w:left w:val="nil"/>
              <w:bottom w:val="single" w:sz="2" w:space="0" w:color="auto"/>
              <w:right w:val="nil"/>
            </w:tcBorders>
            <w:vAlign w:val="center"/>
            <w:hideMark/>
          </w:tcPr>
          <w:p w:rsidR="00DD1A72" w:rsidRDefault="00DD1A72" w:rsidP="00161E7D">
            <w:pPr>
              <w:jc w:val="right"/>
              <w:rPr>
                <w:rFonts w:ascii="Arial Narrow" w:hAnsi="Arial Narrow" w:cs="Arial"/>
              </w:rPr>
            </w:pPr>
            <w:r>
              <w:rPr>
                <w:rFonts w:ascii="Arial Narrow" w:hAnsi="Arial Narrow" w:cs="Arial"/>
              </w:rPr>
              <w:t>2</w:t>
            </w:r>
            <w:r w:rsidR="00161E7D">
              <w:rPr>
                <w:rFonts w:ascii="Arial Narrow" w:hAnsi="Arial Narrow" w:cs="Arial"/>
              </w:rPr>
              <w:t>9</w:t>
            </w:r>
            <w:r>
              <w:rPr>
                <w:rFonts w:ascii="Arial Narrow" w:hAnsi="Arial Narrow" w:cs="Arial"/>
              </w:rPr>
              <w:t>5.679</w:t>
            </w:r>
          </w:p>
        </w:tc>
      </w:tr>
      <w:tr w:rsidR="00DD1A72" w:rsidTr="007323E7">
        <w:trPr>
          <w:trHeight w:hRule="exact" w:val="284"/>
          <w:jc w:val="center"/>
        </w:trPr>
        <w:tc>
          <w:tcPr>
            <w:tcW w:w="5297" w:type="dxa"/>
            <w:tcBorders>
              <w:top w:val="single" w:sz="2" w:space="0" w:color="auto"/>
              <w:left w:val="nil"/>
              <w:bottom w:val="single" w:sz="2" w:space="0" w:color="auto"/>
              <w:right w:val="nil"/>
            </w:tcBorders>
            <w:vAlign w:val="center"/>
            <w:hideMark/>
          </w:tcPr>
          <w:p w:rsidR="00DD1A72" w:rsidRDefault="00DD1A72" w:rsidP="00DD1A72">
            <w:pPr>
              <w:ind w:firstLine="0"/>
              <w:rPr>
                <w:rFonts w:ascii="Arial Narrow" w:hAnsi="Arial Narrow" w:cs="Arial"/>
              </w:rPr>
            </w:pPr>
            <w:r>
              <w:rPr>
                <w:rFonts w:ascii="Arial Narrow" w:hAnsi="Arial Narrow" w:cs="Arial"/>
              </w:rPr>
              <w:t>Efectivo y otros activos líquidos</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cs="Arial"/>
              </w:rPr>
              <w:t>31.825</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cs="Arial"/>
              </w:rPr>
              <w:t>42.654</w:t>
            </w:r>
          </w:p>
        </w:tc>
      </w:tr>
      <w:tr w:rsidR="00DD1A72" w:rsidTr="007323E7">
        <w:trPr>
          <w:trHeight w:hRule="exact" w:val="284"/>
          <w:jc w:val="center"/>
        </w:trPr>
        <w:tc>
          <w:tcPr>
            <w:tcW w:w="5297" w:type="dxa"/>
            <w:tcBorders>
              <w:top w:val="single" w:sz="2" w:space="0" w:color="auto"/>
              <w:left w:val="nil"/>
              <w:bottom w:val="single" w:sz="2" w:space="0" w:color="auto"/>
              <w:right w:val="nil"/>
            </w:tcBorders>
            <w:vAlign w:val="center"/>
            <w:hideMark/>
          </w:tcPr>
          <w:p w:rsidR="00DD1A72" w:rsidRDefault="00DD1A72" w:rsidP="00DD1A72">
            <w:pPr>
              <w:ind w:firstLine="0"/>
              <w:rPr>
                <w:rFonts w:ascii="Arial Narrow" w:hAnsi="Arial Narrow" w:cs="Arial"/>
              </w:rPr>
            </w:pPr>
            <w:r>
              <w:rPr>
                <w:rFonts w:ascii="Arial Narrow" w:hAnsi="Arial Narrow" w:cs="Arial"/>
              </w:rPr>
              <w:t>Importe neto de la cifra de negocios</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cs="Arial"/>
              </w:rPr>
              <w:t>132.643</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cs="Arial"/>
              </w:rPr>
              <w:t>138.215</w:t>
            </w:r>
          </w:p>
        </w:tc>
      </w:tr>
      <w:tr w:rsidR="00DD1A72" w:rsidTr="007323E7">
        <w:trPr>
          <w:trHeight w:hRule="exact" w:val="284"/>
          <w:jc w:val="center"/>
        </w:trPr>
        <w:tc>
          <w:tcPr>
            <w:tcW w:w="5297" w:type="dxa"/>
            <w:tcBorders>
              <w:top w:val="single" w:sz="2" w:space="0" w:color="auto"/>
              <w:left w:val="nil"/>
              <w:bottom w:val="single" w:sz="2" w:space="0" w:color="auto"/>
              <w:right w:val="nil"/>
            </w:tcBorders>
            <w:vAlign w:val="center"/>
            <w:hideMark/>
          </w:tcPr>
          <w:p w:rsidR="00DD1A72" w:rsidRDefault="00DD1A72" w:rsidP="00DD1A72">
            <w:pPr>
              <w:ind w:firstLine="0"/>
              <w:rPr>
                <w:rFonts w:ascii="Arial Narrow" w:hAnsi="Arial Narrow" w:cs="Arial"/>
              </w:rPr>
            </w:pPr>
            <w:r>
              <w:rPr>
                <w:rFonts w:ascii="Arial Narrow" w:hAnsi="Arial Narrow" w:cs="Arial"/>
              </w:rPr>
              <w:t xml:space="preserve">Porcentaje cifra de negocios realizado con el Gobierno de Navarra </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cs="Arial"/>
              </w:rPr>
              <w:t>24</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cs="Arial"/>
              </w:rPr>
              <w:t>25</w:t>
            </w:r>
          </w:p>
        </w:tc>
      </w:tr>
      <w:tr w:rsidR="00DD1A72" w:rsidTr="007323E7">
        <w:trPr>
          <w:trHeight w:hRule="exact" w:val="284"/>
          <w:jc w:val="center"/>
        </w:trPr>
        <w:tc>
          <w:tcPr>
            <w:tcW w:w="5297" w:type="dxa"/>
            <w:tcBorders>
              <w:top w:val="single" w:sz="2" w:space="0" w:color="auto"/>
              <w:left w:val="nil"/>
              <w:bottom w:val="single" w:sz="2" w:space="0" w:color="auto"/>
              <w:right w:val="nil"/>
            </w:tcBorders>
            <w:vAlign w:val="center"/>
            <w:hideMark/>
          </w:tcPr>
          <w:p w:rsidR="00DD1A72" w:rsidRDefault="00B81A63" w:rsidP="00DD1A72">
            <w:pPr>
              <w:ind w:firstLine="0"/>
              <w:rPr>
                <w:rFonts w:ascii="Arial Narrow" w:hAnsi="Arial Narrow" w:cs="Arial"/>
              </w:rPr>
            </w:pPr>
            <w:r>
              <w:rPr>
                <w:rFonts w:ascii="Arial Narrow" w:hAnsi="Arial Narrow" w:cs="Arial"/>
              </w:rPr>
              <w:t xml:space="preserve">Saldo </w:t>
            </w:r>
            <w:r w:rsidR="00DD1A72">
              <w:rPr>
                <w:rFonts w:ascii="Arial Narrow" w:hAnsi="Arial Narrow" w:cs="Arial"/>
              </w:rPr>
              <w:t>Subvenciones</w:t>
            </w:r>
            <w:r>
              <w:rPr>
                <w:rFonts w:ascii="Arial Narrow" w:hAnsi="Arial Narrow" w:cs="Arial"/>
              </w:rPr>
              <w:t xml:space="preserve"> de</w:t>
            </w:r>
            <w:r w:rsidR="00DD1A72">
              <w:rPr>
                <w:rFonts w:ascii="Arial Narrow" w:hAnsi="Arial Narrow" w:cs="Arial"/>
              </w:rPr>
              <w:t xml:space="preserve"> capital recibidas del Gobierno de Navarra (1)</w:t>
            </w:r>
          </w:p>
        </w:tc>
        <w:tc>
          <w:tcPr>
            <w:tcW w:w="1798" w:type="dxa"/>
            <w:tcBorders>
              <w:top w:val="single" w:sz="2" w:space="0" w:color="auto"/>
              <w:left w:val="nil"/>
              <w:bottom w:val="single" w:sz="2" w:space="0" w:color="auto"/>
              <w:right w:val="nil"/>
            </w:tcBorders>
            <w:vAlign w:val="center"/>
          </w:tcPr>
          <w:p w:rsidR="00DD1A72" w:rsidRDefault="00B81A63">
            <w:pPr>
              <w:jc w:val="right"/>
              <w:rPr>
                <w:rFonts w:ascii="Arial Narrow" w:hAnsi="Arial Narrow" w:cs="Arial"/>
              </w:rPr>
            </w:pPr>
            <w:r>
              <w:rPr>
                <w:rFonts w:ascii="Arial Narrow" w:hAnsi="Arial Narrow" w:cs="Arial"/>
              </w:rPr>
              <w:t>18.877</w:t>
            </w:r>
          </w:p>
        </w:tc>
        <w:tc>
          <w:tcPr>
            <w:tcW w:w="1798" w:type="dxa"/>
            <w:tcBorders>
              <w:top w:val="single" w:sz="2" w:space="0" w:color="auto"/>
              <w:left w:val="nil"/>
              <w:bottom w:val="single" w:sz="2" w:space="0" w:color="auto"/>
              <w:right w:val="nil"/>
            </w:tcBorders>
            <w:vAlign w:val="center"/>
          </w:tcPr>
          <w:p w:rsidR="00DD1A72" w:rsidRDefault="00B81A63">
            <w:pPr>
              <w:jc w:val="right"/>
              <w:rPr>
                <w:rFonts w:ascii="Arial Narrow" w:hAnsi="Arial Narrow" w:cs="Arial"/>
              </w:rPr>
            </w:pPr>
            <w:r>
              <w:rPr>
                <w:rFonts w:ascii="Arial Narrow" w:hAnsi="Arial Narrow" w:cs="Arial"/>
              </w:rPr>
              <w:t>17.868</w:t>
            </w:r>
          </w:p>
        </w:tc>
      </w:tr>
      <w:tr w:rsidR="00DD1A72" w:rsidTr="007323E7">
        <w:trPr>
          <w:trHeight w:hRule="exact" w:val="284"/>
          <w:jc w:val="center"/>
        </w:trPr>
        <w:tc>
          <w:tcPr>
            <w:tcW w:w="5297" w:type="dxa"/>
            <w:tcBorders>
              <w:top w:val="single" w:sz="2" w:space="0" w:color="auto"/>
              <w:left w:val="nil"/>
              <w:bottom w:val="single" w:sz="2" w:space="0" w:color="auto"/>
              <w:right w:val="nil"/>
            </w:tcBorders>
            <w:vAlign w:val="center"/>
            <w:hideMark/>
          </w:tcPr>
          <w:p w:rsidR="00DD1A72" w:rsidRDefault="00DD1A72" w:rsidP="00671C62">
            <w:pPr>
              <w:ind w:firstLine="0"/>
              <w:rPr>
                <w:rFonts w:ascii="Arial Narrow" w:hAnsi="Arial Narrow" w:cs="Arial"/>
              </w:rPr>
            </w:pPr>
            <w:r>
              <w:rPr>
                <w:rFonts w:ascii="Arial Narrow" w:hAnsi="Arial Narrow" w:cs="Arial"/>
              </w:rPr>
              <w:t>Subvenciones</w:t>
            </w:r>
            <w:r w:rsidR="00B81A63">
              <w:rPr>
                <w:rFonts w:ascii="Arial Narrow" w:hAnsi="Arial Narrow" w:cs="Arial"/>
              </w:rPr>
              <w:t xml:space="preserve"> de</w:t>
            </w:r>
            <w:r>
              <w:rPr>
                <w:rFonts w:ascii="Arial Narrow" w:hAnsi="Arial Narrow" w:cs="Arial"/>
              </w:rPr>
              <w:t xml:space="preserve"> explotación recibidas del G</w:t>
            </w:r>
            <w:r w:rsidR="00671C62">
              <w:rPr>
                <w:rFonts w:ascii="Arial Narrow" w:hAnsi="Arial Narrow" w:cs="Arial"/>
              </w:rPr>
              <w:t>obierno de</w:t>
            </w:r>
            <w:r>
              <w:rPr>
                <w:rFonts w:ascii="Arial Narrow" w:hAnsi="Arial Narrow" w:cs="Arial"/>
              </w:rPr>
              <w:t xml:space="preserve"> Navarra</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cs="Arial"/>
              </w:rPr>
              <w:t>7.503</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cs="Arial"/>
              </w:rPr>
              <w:t>8.294</w:t>
            </w:r>
          </w:p>
        </w:tc>
      </w:tr>
      <w:tr w:rsidR="00DD1A72" w:rsidTr="007323E7">
        <w:trPr>
          <w:trHeight w:hRule="exact" w:val="284"/>
          <w:jc w:val="center"/>
        </w:trPr>
        <w:tc>
          <w:tcPr>
            <w:tcW w:w="5297" w:type="dxa"/>
            <w:tcBorders>
              <w:top w:val="single" w:sz="2" w:space="0" w:color="auto"/>
              <w:left w:val="nil"/>
              <w:bottom w:val="single" w:sz="2" w:space="0" w:color="auto"/>
              <w:right w:val="nil"/>
            </w:tcBorders>
            <w:vAlign w:val="center"/>
            <w:hideMark/>
          </w:tcPr>
          <w:p w:rsidR="00DD1A72" w:rsidRDefault="00DD1A72" w:rsidP="00DD1A72">
            <w:pPr>
              <w:ind w:firstLine="0"/>
              <w:rPr>
                <w:rFonts w:ascii="Arial Narrow" w:hAnsi="Arial Narrow" w:cs="Arial"/>
              </w:rPr>
            </w:pPr>
            <w:r>
              <w:rPr>
                <w:rFonts w:ascii="Arial Narrow" w:hAnsi="Arial Narrow" w:cs="Arial"/>
              </w:rPr>
              <w:t>Gastos de personal</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cs="Arial"/>
              </w:rPr>
              <w:t>48.855</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cs="Arial"/>
              </w:rPr>
              <w:t>52.328</w:t>
            </w:r>
          </w:p>
        </w:tc>
      </w:tr>
      <w:tr w:rsidR="00DD1A72" w:rsidTr="007323E7">
        <w:trPr>
          <w:trHeight w:hRule="exact" w:val="284"/>
          <w:jc w:val="center"/>
        </w:trPr>
        <w:tc>
          <w:tcPr>
            <w:tcW w:w="5297" w:type="dxa"/>
            <w:tcBorders>
              <w:top w:val="single" w:sz="2" w:space="0" w:color="auto"/>
              <w:left w:val="nil"/>
              <w:bottom w:val="single" w:sz="2" w:space="0" w:color="auto"/>
              <w:right w:val="nil"/>
            </w:tcBorders>
            <w:vAlign w:val="center"/>
            <w:hideMark/>
          </w:tcPr>
          <w:p w:rsidR="00DD1A72" w:rsidRDefault="00DD1A72" w:rsidP="00DD1A72">
            <w:pPr>
              <w:ind w:firstLine="0"/>
              <w:rPr>
                <w:rFonts w:ascii="Arial Narrow" w:hAnsi="Arial Narrow" w:cs="Arial"/>
              </w:rPr>
            </w:pPr>
            <w:r>
              <w:rPr>
                <w:rFonts w:ascii="Arial Narrow" w:hAnsi="Arial Narrow" w:cs="Arial"/>
              </w:rPr>
              <w:t xml:space="preserve">Resultado de explotación </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cs="Arial"/>
              </w:rPr>
              <w:t>-5.389</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cs="Arial"/>
              </w:rPr>
              <w:t>-41.451</w:t>
            </w:r>
          </w:p>
        </w:tc>
      </w:tr>
      <w:tr w:rsidR="00DD1A72" w:rsidTr="007323E7">
        <w:trPr>
          <w:trHeight w:hRule="exact" w:val="284"/>
          <w:jc w:val="center"/>
        </w:trPr>
        <w:tc>
          <w:tcPr>
            <w:tcW w:w="5297" w:type="dxa"/>
            <w:tcBorders>
              <w:top w:val="single" w:sz="2" w:space="0" w:color="auto"/>
              <w:left w:val="nil"/>
              <w:bottom w:val="single" w:sz="2" w:space="0" w:color="auto"/>
              <w:right w:val="nil"/>
            </w:tcBorders>
            <w:vAlign w:val="center"/>
            <w:hideMark/>
          </w:tcPr>
          <w:p w:rsidR="00DD1A72" w:rsidRDefault="00DD1A72" w:rsidP="00DD1A72">
            <w:pPr>
              <w:ind w:firstLine="0"/>
              <w:rPr>
                <w:rFonts w:ascii="Arial Narrow" w:hAnsi="Arial Narrow" w:cs="Arial"/>
              </w:rPr>
            </w:pPr>
            <w:r>
              <w:rPr>
                <w:rFonts w:ascii="Arial Narrow" w:hAnsi="Arial Narrow" w:cs="Arial"/>
              </w:rPr>
              <w:t>Resultado consolidado del ejercicio</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cs="Arial"/>
              </w:rPr>
              <w:t>4.823</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cs="Arial"/>
              </w:rPr>
              <w:t>-43.869</w:t>
            </w:r>
          </w:p>
        </w:tc>
      </w:tr>
      <w:tr w:rsidR="00DD1A72" w:rsidTr="007323E7">
        <w:trPr>
          <w:trHeight w:hRule="exact" w:val="284"/>
          <w:jc w:val="center"/>
        </w:trPr>
        <w:tc>
          <w:tcPr>
            <w:tcW w:w="5297" w:type="dxa"/>
            <w:tcBorders>
              <w:top w:val="single" w:sz="2" w:space="0" w:color="auto"/>
              <w:left w:val="nil"/>
              <w:bottom w:val="single" w:sz="2" w:space="0" w:color="auto"/>
              <w:right w:val="nil"/>
            </w:tcBorders>
            <w:vAlign w:val="center"/>
            <w:hideMark/>
          </w:tcPr>
          <w:p w:rsidR="00DD1A72" w:rsidRDefault="00DD1A72" w:rsidP="00DD1A72">
            <w:pPr>
              <w:ind w:firstLine="0"/>
              <w:rPr>
                <w:rFonts w:ascii="Arial Narrow" w:hAnsi="Arial Narrow" w:cs="Arial"/>
              </w:rPr>
            </w:pPr>
            <w:r>
              <w:rPr>
                <w:rFonts w:ascii="Arial Narrow" w:hAnsi="Arial Narrow" w:cs="Arial"/>
              </w:rPr>
              <w:t>Resultado atribuido a la sociedad dominante</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cs="Arial"/>
              </w:rPr>
              <w:t>4.606</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cs="Arial"/>
              </w:rPr>
              <w:t>-44.175</w:t>
            </w:r>
          </w:p>
        </w:tc>
      </w:tr>
      <w:tr w:rsidR="00DD1A72" w:rsidTr="007323E7">
        <w:trPr>
          <w:trHeight w:hRule="exact" w:val="284"/>
          <w:jc w:val="center"/>
        </w:trPr>
        <w:tc>
          <w:tcPr>
            <w:tcW w:w="5297" w:type="dxa"/>
            <w:tcBorders>
              <w:top w:val="single" w:sz="2" w:space="0" w:color="auto"/>
              <w:left w:val="nil"/>
              <w:bottom w:val="single" w:sz="2" w:space="0" w:color="auto"/>
              <w:right w:val="nil"/>
            </w:tcBorders>
            <w:vAlign w:val="center"/>
            <w:hideMark/>
          </w:tcPr>
          <w:p w:rsidR="00DD1A72" w:rsidRDefault="00DD1A72" w:rsidP="00DD1A72">
            <w:pPr>
              <w:ind w:firstLine="0"/>
              <w:rPr>
                <w:rFonts w:ascii="Arial Narrow" w:hAnsi="Arial Narrow" w:cs="Arial"/>
              </w:rPr>
            </w:pPr>
            <w:r>
              <w:rPr>
                <w:rFonts w:ascii="Arial Narrow" w:hAnsi="Arial Narrow" w:cs="Arial"/>
              </w:rPr>
              <w:t>Avales y garantías concedidos a terceros (2)</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cs="Arial"/>
              </w:rPr>
              <w:t>148.340</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cs="Arial"/>
              </w:rPr>
              <w:t>118.314</w:t>
            </w:r>
          </w:p>
        </w:tc>
      </w:tr>
      <w:tr w:rsidR="00DD1A72" w:rsidTr="007323E7">
        <w:trPr>
          <w:trHeight w:hRule="exact" w:val="284"/>
          <w:jc w:val="center"/>
        </w:trPr>
        <w:tc>
          <w:tcPr>
            <w:tcW w:w="5297" w:type="dxa"/>
            <w:tcBorders>
              <w:top w:val="single" w:sz="2" w:space="0" w:color="auto"/>
              <w:left w:val="nil"/>
              <w:bottom w:val="single" w:sz="2" w:space="0" w:color="auto"/>
              <w:right w:val="nil"/>
            </w:tcBorders>
            <w:vAlign w:val="center"/>
            <w:hideMark/>
          </w:tcPr>
          <w:p w:rsidR="00DD1A72" w:rsidRDefault="00DD1A72" w:rsidP="00DD1A72">
            <w:pPr>
              <w:ind w:firstLine="0"/>
              <w:rPr>
                <w:rFonts w:ascii="Arial Narrow" w:hAnsi="Arial Narrow" w:cs="Arial"/>
              </w:rPr>
            </w:pPr>
            <w:r>
              <w:rPr>
                <w:rFonts w:ascii="Arial Narrow" w:hAnsi="Arial Narrow" w:cs="Arial"/>
              </w:rPr>
              <w:t xml:space="preserve">Retribuciones Consejo de Administración CPEN </w:t>
            </w:r>
          </w:p>
        </w:tc>
        <w:tc>
          <w:tcPr>
            <w:tcW w:w="1798" w:type="dxa"/>
            <w:tcBorders>
              <w:top w:val="single" w:sz="2" w:space="0" w:color="auto"/>
              <w:left w:val="nil"/>
              <w:bottom w:val="single" w:sz="2" w:space="0" w:color="auto"/>
              <w:right w:val="nil"/>
            </w:tcBorders>
            <w:vAlign w:val="center"/>
            <w:hideMark/>
          </w:tcPr>
          <w:p w:rsidR="00DD1A72" w:rsidRDefault="00BC0860" w:rsidP="00B81A63">
            <w:pPr>
              <w:jc w:val="right"/>
              <w:rPr>
                <w:rFonts w:ascii="Arial Narrow" w:hAnsi="Arial Narrow" w:cs="Arial"/>
              </w:rPr>
            </w:pPr>
            <w:r>
              <w:rPr>
                <w:rFonts w:ascii="Arial Narrow" w:hAnsi="Arial Narrow" w:cs="Arial"/>
              </w:rPr>
              <w:t>5</w:t>
            </w:r>
            <w:r w:rsidR="00B81A63">
              <w:rPr>
                <w:rFonts w:ascii="Arial Narrow" w:hAnsi="Arial Narrow" w:cs="Arial"/>
              </w:rPr>
              <w:t>,</w:t>
            </w:r>
            <w:r>
              <w:rPr>
                <w:rFonts w:ascii="Arial Narrow" w:hAnsi="Arial Narrow" w:cs="Arial"/>
              </w:rPr>
              <w:t>2</w:t>
            </w:r>
          </w:p>
        </w:tc>
        <w:tc>
          <w:tcPr>
            <w:tcW w:w="1798" w:type="dxa"/>
            <w:tcBorders>
              <w:top w:val="single" w:sz="2" w:space="0" w:color="auto"/>
              <w:left w:val="nil"/>
              <w:bottom w:val="single" w:sz="2" w:space="0" w:color="auto"/>
              <w:right w:val="nil"/>
            </w:tcBorders>
            <w:vAlign w:val="center"/>
            <w:hideMark/>
          </w:tcPr>
          <w:p w:rsidR="00DD1A72" w:rsidRDefault="00BC0860" w:rsidP="00BC0860">
            <w:pPr>
              <w:jc w:val="right"/>
              <w:rPr>
                <w:rFonts w:ascii="Arial Narrow" w:hAnsi="Arial Narrow" w:cs="Arial"/>
              </w:rPr>
            </w:pPr>
            <w:r>
              <w:rPr>
                <w:rFonts w:ascii="Arial Narrow" w:hAnsi="Arial Narrow" w:cs="Arial"/>
              </w:rPr>
              <w:t>4,9</w:t>
            </w:r>
          </w:p>
        </w:tc>
      </w:tr>
      <w:tr w:rsidR="00DD1A72" w:rsidTr="007323E7">
        <w:trPr>
          <w:trHeight w:hRule="exact" w:val="284"/>
          <w:jc w:val="center"/>
        </w:trPr>
        <w:tc>
          <w:tcPr>
            <w:tcW w:w="5297" w:type="dxa"/>
            <w:tcBorders>
              <w:top w:val="single" w:sz="2" w:space="0" w:color="auto"/>
              <w:left w:val="nil"/>
              <w:bottom w:val="single" w:sz="2" w:space="0" w:color="auto"/>
              <w:right w:val="nil"/>
            </w:tcBorders>
            <w:vAlign w:val="center"/>
            <w:hideMark/>
          </w:tcPr>
          <w:p w:rsidR="00DD1A72" w:rsidRDefault="00DD1A72" w:rsidP="00DD1A72">
            <w:pPr>
              <w:ind w:firstLine="0"/>
              <w:rPr>
                <w:rFonts w:ascii="Arial Narrow" w:hAnsi="Arial Narrow" w:cs="Arial"/>
              </w:rPr>
            </w:pPr>
            <w:r>
              <w:rPr>
                <w:rFonts w:ascii="Arial Narrow" w:hAnsi="Arial Narrow" w:cs="Arial"/>
              </w:rPr>
              <w:t>Número medio de altos directivos (2)</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cs="Arial"/>
              </w:rPr>
              <w:t>15</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cs="Arial"/>
              </w:rPr>
              <w:t>15</w:t>
            </w:r>
          </w:p>
        </w:tc>
      </w:tr>
      <w:tr w:rsidR="00DD1A72" w:rsidTr="007323E7">
        <w:trPr>
          <w:trHeight w:hRule="exact" w:val="284"/>
          <w:jc w:val="center"/>
        </w:trPr>
        <w:tc>
          <w:tcPr>
            <w:tcW w:w="5297" w:type="dxa"/>
            <w:tcBorders>
              <w:top w:val="single" w:sz="2" w:space="0" w:color="auto"/>
              <w:left w:val="nil"/>
              <w:bottom w:val="single" w:sz="4" w:space="0" w:color="auto"/>
              <w:right w:val="nil"/>
            </w:tcBorders>
            <w:vAlign w:val="center"/>
            <w:hideMark/>
          </w:tcPr>
          <w:p w:rsidR="00DD1A72" w:rsidRDefault="00DD1A72" w:rsidP="00DD1A72">
            <w:pPr>
              <w:ind w:firstLine="0"/>
              <w:rPr>
                <w:rFonts w:ascii="Arial Narrow" w:hAnsi="Arial Narrow" w:cs="Arial"/>
              </w:rPr>
            </w:pPr>
            <w:r>
              <w:rPr>
                <w:rFonts w:ascii="Arial Narrow" w:hAnsi="Arial Narrow" w:cs="Arial"/>
              </w:rPr>
              <w:t xml:space="preserve">Número medio de resto de empleados (2) </w:t>
            </w:r>
          </w:p>
        </w:tc>
        <w:tc>
          <w:tcPr>
            <w:tcW w:w="1798" w:type="dxa"/>
            <w:tcBorders>
              <w:top w:val="single" w:sz="2" w:space="0" w:color="auto"/>
              <w:left w:val="nil"/>
              <w:bottom w:val="single" w:sz="4" w:space="0" w:color="auto"/>
              <w:right w:val="nil"/>
            </w:tcBorders>
            <w:vAlign w:val="center"/>
            <w:hideMark/>
          </w:tcPr>
          <w:p w:rsidR="00DD1A72" w:rsidRDefault="00161E7D">
            <w:pPr>
              <w:jc w:val="right"/>
              <w:rPr>
                <w:rFonts w:ascii="Arial Narrow" w:hAnsi="Arial Narrow" w:cs="Arial"/>
              </w:rPr>
            </w:pPr>
            <w:r>
              <w:rPr>
                <w:rFonts w:ascii="Arial Narrow" w:hAnsi="Arial Narrow" w:cs="Arial"/>
              </w:rPr>
              <w:t>1.051</w:t>
            </w:r>
          </w:p>
        </w:tc>
        <w:tc>
          <w:tcPr>
            <w:tcW w:w="1798" w:type="dxa"/>
            <w:tcBorders>
              <w:top w:val="single" w:sz="2" w:space="0" w:color="auto"/>
              <w:left w:val="nil"/>
              <w:bottom w:val="single" w:sz="4" w:space="0" w:color="auto"/>
              <w:right w:val="nil"/>
            </w:tcBorders>
            <w:vAlign w:val="center"/>
            <w:hideMark/>
          </w:tcPr>
          <w:p w:rsidR="00DD1A72" w:rsidRDefault="00161E7D" w:rsidP="00161E7D">
            <w:pPr>
              <w:jc w:val="right"/>
              <w:rPr>
                <w:rFonts w:ascii="Arial Narrow" w:hAnsi="Arial Narrow" w:cs="Arial"/>
              </w:rPr>
            </w:pPr>
            <w:r>
              <w:rPr>
                <w:rFonts w:ascii="Arial Narrow" w:hAnsi="Arial Narrow" w:cs="Arial"/>
              </w:rPr>
              <w:t>1.089</w:t>
            </w:r>
          </w:p>
        </w:tc>
      </w:tr>
    </w:tbl>
    <w:p w:rsidR="00DD1A72" w:rsidRDefault="00DD1A72" w:rsidP="00DD1A72">
      <w:pPr>
        <w:pStyle w:val="texto"/>
        <w:spacing w:before="40" w:after="40"/>
        <w:ind w:firstLine="0"/>
        <w:rPr>
          <w:rFonts w:ascii="Arial Narrow" w:hAnsi="Arial Narrow"/>
          <w:bCs/>
          <w:spacing w:val="-3"/>
          <w:sz w:val="16"/>
          <w:szCs w:val="16"/>
          <w:lang w:val="es-ES"/>
        </w:rPr>
      </w:pPr>
      <w:r>
        <w:rPr>
          <w:rFonts w:ascii="Arial Narrow" w:hAnsi="Arial Narrow"/>
          <w:bCs/>
          <w:spacing w:val="-3"/>
          <w:sz w:val="16"/>
          <w:szCs w:val="16"/>
          <w:lang w:val="es-ES"/>
        </w:rPr>
        <w:t>(1) Importe después del efecto impositivo</w:t>
      </w:r>
    </w:p>
    <w:p w:rsidR="00E96DF6" w:rsidRDefault="00DD1A72" w:rsidP="00DD1A72">
      <w:pPr>
        <w:pStyle w:val="texto"/>
        <w:spacing w:before="40" w:after="40"/>
        <w:ind w:firstLine="0"/>
        <w:rPr>
          <w:rFonts w:ascii="Arial Narrow" w:hAnsi="Arial Narrow"/>
          <w:bCs/>
          <w:spacing w:val="-3"/>
          <w:sz w:val="16"/>
          <w:szCs w:val="16"/>
          <w:lang w:val="es-ES"/>
        </w:rPr>
      </w:pPr>
      <w:r>
        <w:rPr>
          <w:rFonts w:ascii="Arial Narrow" w:hAnsi="Arial Narrow"/>
          <w:bCs/>
          <w:spacing w:val="-3"/>
          <w:sz w:val="16"/>
          <w:szCs w:val="16"/>
          <w:lang w:val="es-ES"/>
        </w:rPr>
        <w:t xml:space="preserve">(2) Solo referido a empresas dependientes incluidas </w:t>
      </w:r>
      <w:r w:rsidR="00C87439">
        <w:rPr>
          <w:rFonts w:ascii="Arial Narrow" w:hAnsi="Arial Narrow"/>
          <w:bCs/>
          <w:spacing w:val="-3"/>
          <w:sz w:val="16"/>
          <w:szCs w:val="16"/>
          <w:lang w:val="es-ES"/>
        </w:rPr>
        <w:t>en la consolidación por</w:t>
      </w:r>
      <w:r>
        <w:rPr>
          <w:rFonts w:ascii="Arial Narrow" w:hAnsi="Arial Narrow"/>
          <w:bCs/>
          <w:spacing w:val="-3"/>
          <w:sz w:val="16"/>
          <w:szCs w:val="16"/>
          <w:lang w:val="es-ES"/>
        </w:rPr>
        <w:t xml:space="preserve"> integra</w:t>
      </w:r>
      <w:r w:rsidR="00C87439">
        <w:rPr>
          <w:rFonts w:ascii="Arial Narrow" w:hAnsi="Arial Narrow"/>
          <w:bCs/>
          <w:spacing w:val="-3"/>
          <w:sz w:val="16"/>
          <w:szCs w:val="16"/>
          <w:lang w:val="es-ES"/>
        </w:rPr>
        <w:t xml:space="preserve">ción global </w:t>
      </w:r>
      <w:r w:rsidR="001B7DB1">
        <w:rPr>
          <w:rFonts w:ascii="Arial Narrow" w:hAnsi="Arial Narrow"/>
          <w:bCs/>
          <w:spacing w:val="-3"/>
          <w:sz w:val="16"/>
          <w:szCs w:val="16"/>
          <w:lang w:val="es-ES"/>
        </w:rPr>
        <w:t>(sociedades públicas más Parque de la Naturaleza)</w:t>
      </w:r>
    </w:p>
    <w:p w:rsidR="00957545" w:rsidRDefault="00957545" w:rsidP="00B07A4C">
      <w:pPr>
        <w:pStyle w:val="texto"/>
        <w:spacing w:after="0"/>
      </w:pPr>
    </w:p>
    <w:p w:rsidR="003124EC" w:rsidRPr="000C6B54" w:rsidRDefault="00F12B49" w:rsidP="000C6B54">
      <w:pPr>
        <w:pStyle w:val="texto"/>
        <w:spacing w:after="120"/>
        <w:rPr>
          <w:lang w:val="es-ES"/>
        </w:rPr>
      </w:pPr>
      <w:r w:rsidRPr="000C6B54">
        <w:rPr>
          <w:lang w:val="es-ES"/>
        </w:rPr>
        <w:t>Dentro de la deuda</w:t>
      </w:r>
      <w:r w:rsidR="0044559B" w:rsidRPr="000C6B54">
        <w:rPr>
          <w:lang w:val="es-ES"/>
        </w:rPr>
        <w:t xml:space="preserve"> </w:t>
      </w:r>
      <w:r w:rsidR="006A71E0">
        <w:rPr>
          <w:lang w:val="es-ES"/>
        </w:rPr>
        <w:t>d</w:t>
      </w:r>
      <w:r w:rsidR="0044559B" w:rsidRPr="000C6B54">
        <w:rPr>
          <w:lang w:val="es-ES"/>
        </w:rPr>
        <w:t>el grupo</w:t>
      </w:r>
      <w:r w:rsidRPr="000C6B54">
        <w:rPr>
          <w:lang w:val="es-ES"/>
        </w:rPr>
        <w:t>, la concertada con entidades de crédito</w:t>
      </w:r>
      <w:r w:rsidR="003124EC" w:rsidRPr="000C6B54">
        <w:rPr>
          <w:lang w:val="es-ES"/>
        </w:rPr>
        <w:t xml:space="preserve"> –a largo y corto plazo</w:t>
      </w:r>
      <w:r w:rsidR="007323E7">
        <w:rPr>
          <w:lang w:val="es-ES"/>
        </w:rPr>
        <w:t>–</w:t>
      </w:r>
      <w:r w:rsidR="003124EC" w:rsidRPr="000C6B54">
        <w:rPr>
          <w:lang w:val="es-ES"/>
        </w:rPr>
        <w:t xml:space="preserve"> se ha reducido en un 1</w:t>
      </w:r>
      <w:r w:rsidR="00AD4ED8" w:rsidRPr="000C6B54">
        <w:rPr>
          <w:lang w:val="es-ES"/>
        </w:rPr>
        <w:t>5</w:t>
      </w:r>
      <w:r w:rsidR="003124EC" w:rsidRPr="000C6B54">
        <w:rPr>
          <w:lang w:val="es-ES"/>
        </w:rPr>
        <w:t xml:space="preserve"> por ciento, ascendiendo en 2015 a </w:t>
      </w:r>
      <w:r w:rsidR="00DA107F" w:rsidRPr="000C6B54">
        <w:rPr>
          <w:lang w:val="es-ES"/>
        </w:rPr>
        <w:t xml:space="preserve">un total de </w:t>
      </w:r>
      <w:r w:rsidR="00AD4ED8" w:rsidRPr="000C6B54">
        <w:rPr>
          <w:lang w:val="es-ES"/>
        </w:rPr>
        <w:t>17</w:t>
      </w:r>
      <w:r w:rsidR="009A1F9B">
        <w:rPr>
          <w:lang w:val="es-ES"/>
        </w:rPr>
        <w:t>7</w:t>
      </w:r>
      <w:r w:rsidR="00AD4ED8" w:rsidRPr="000C6B54">
        <w:rPr>
          <w:lang w:val="es-ES"/>
        </w:rPr>
        <w:t>,92</w:t>
      </w:r>
      <w:r w:rsidR="00DA107F" w:rsidRPr="000C6B54">
        <w:rPr>
          <w:lang w:val="es-ES"/>
        </w:rPr>
        <w:t xml:space="preserve"> millones.</w:t>
      </w:r>
    </w:p>
    <w:p w:rsidR="00FC3864" w:rsidRPr="007C6BCB" w:rsidRDefault="00FC3864" w:rsidP="000C6B54">
      <w:pPr>
        <w:pStyle w:val="texto"/>
        <w:spacing w:after="120"/>
        <w:rPr>
          <w:spacing w:val="0"/>
          <w:lang w:val="es-ES"/>
        </w:rPr>
      </w:pPr>
      <w:r w:rsidRPr="007C6BCB">
        <w:rPr>
          <w:spacing w:val="0"/>
          <w:lang w:val="es-ES"/>
        </w:rPr>
        <w:t>Destacamos</w:t>
      </w:r>
      <w:r w:rsidR="009F0BC9" w:rsidRPr="007C6BCB">
        <w:rPr>
          <w:spacing w:val="0"/>
          <w:lang w:val="es-ES"/>
        </w:rPr>
        <w:t xml:space="preserve"> </w:t>
      </w:r>
      <w:r w:rsidRPr="007C6BCB">
        <w:rPr>
          <w:spacing w:val="0"/>
          <w:lang w:val="es-ES"/>
        </w:rPr>
        <w:t>que el resultado del ejercicio</w:t>
      </w:r>
      <w:r w:rsidR="00080D16" w:rsidRPr="007C6BCB">
        <w:rPr>
          <w:spacing w:val="0"/>
          <w:lang w:val="es-ES"/>
        </w:rPr>
        <w:t xml:space="preserve"> del grupo</w:t>
      </w:r>
      <w:r w:rsidRPr="007C6BCB">
        <w:rPr>
          <w:spacing w:val="0"/>
          <w:lang w:val="es-ES"/>
        </w:rPr>
        <w:t xml:space="preserve"> ha estado afectado de manera relevante por los deterioros de bienes</w:t>
      </w:r>
      <w:r w:rsidR="007230BE" w:rsidRPr="007C6BCB">
        <w:rPr>
          <w:spacing w:val="0"/>
          <w:lang w:val="es-ES"/>
        </w:rPr>
        <w:t>,</w:t>
      </w:r>
      <w:r w:rsidR="00985313" w:rsidRPr="007C6BCB">
        <w:rPr>
          <w:spacing w:val="0"/>
          <w:lang w:val="es-ES"/>
        </w:rPr>
        <w:t xml:space="preserve"> principalmente de la empresa N</w:t>
      </w:r>
      <w:r w:rsidR="00AD4ED8" w:rsidRPr="007C6BCB">
        <w:rPr>
          <w:spacing w:val="0"/>
          <w:lang w:val="es-ES"/>
        </w:rPr>
        <w:t>ASUVINSA</w:t>
      </w:r>
      <w:r w:rsidRPr="007C6BCB">
        <w:rPr>
          <w:spacing w:val="0"/>
          <w:lang w:val="es-ES"/>
        </w:rPr>
        <w:t>.</w:t>
      </w:r>
      <w:r w:rsidR="003124EC" w:rsidRPr="007C6BCB">
        <w:rPr>
          <w:spacing w:val="0"/>
          <w:lang w:val="es-ES"/>
        </w:rPr>
        <w:t xml:space="preserve"> Así mismo, el </w:t>
      </w:r>
      <w:r w:rsidR="009F0BC9" w:rsidRPr="007C6BCB">
        <w:rPr>
          <w:spacing w:val="0"/>
          <w:lang w:val="es-ES"/>
        </w:rPr>
        <w:t xml:space="preserve">resultado </w:t>
      </w:r>
      <w:r w:rsidR="003124EC" w:rsidRPr="007C6BCB">
        <w:rPr>
          <w:spacing w:val="0"/>
          <w:lang w:val="es-ES"/>
        </w:rPr>
        <w:t>de 2014 incluía</w:t>
      </w:r>
      <w:r w:rsidR="009F0BC9" w:rsidRPr="007C6BCB">
        <w:rPr>
          <w:spacing w:val="0"/>
          <w:lang w:val="es-ES"/>
        </w:rPr>
        <w:t xml:space="preserve"> </w:t>
      </w:r>
      <w:r w:rsidR="004F7EA7" w:rsidRPr="007C6BCB">
        <w:rPr>
          <w:spacing w:val="0"/>
          <w:lang w:val="es-ES"/>
        </w:rPr>
        <w:t>los</w:t>
      </w:r>
      <w:r w:rsidR="009F0BC9" w:rsidRPr="007C6BCB">
        <w:rPr>
          <w:spacing w:val="0"/>
          <w:lang w:val="es-ES"/>
        </w:rPr>
        <w:t xml:space="preserve"> beneficios obtenidos por la</w:t>
      </w:r>
      <w:r w:rsidR="003124EC" w:rsidRPr="007C6BCB">
        <w:rPr>
          <w:spacing w:val="0"/>
          <w:lang w:val="es-ES"/>
        </w:rPr>
        <w:t xml:space="preserve"> venta de las acciones de Iberdro</w:t>
      </w:r>
      <w:r w:rsidR="009F0BC9" w:rsidRPr="007C6BCB">
        <w:rPr>
          <w:spacing w:val="0"/>
          <w:lang w:val="es-ES"/>
        </w:rPr>
        <w:t>la</w:t>
      </w:r>
      <w:r w:rsidR="004F7EA7" w:rsidRPr="007C6BCB">
        <w:rPr>
          <w:spacing w:val="0"/>
          <w:lang w:val="es-ES"/>
        </w:rPr>
        <w:t xml:space="preserve">, </w:t>
      </w:r>
      <w:r w:rsidR="0098515D" w:rsidRPr="007C6BCB">
        <w:rPr>
          <w:spacing w:val="0"/>
          <w:lang w:val="es-ES"/>
        </w:rPr>
        <w:t>en torno a los</w:t>
      </w:r>
      <w:r w:rsidR="004F7EA7" w:rsidRPr="007C6BCB">
        <w:rPr>
          <w:spacing w:val="0"/>
          <w:lang w:val="es-ES"/>
        </w:rPr>
        <w:t xml:space="preserve"> 33 millones</w:t>
      </w:r>
      <w:r w:rsidR="006A71E0" w:rsidRPr="007C6BCB">
        <w:rPr>
          <w:rStyle w:val="Refdenotaalpie"/>
          <w:spacing w:val="0"/>
          <w:lang w:val="es-ES"/>
        </w:rPr>
        <w:footnoteReference w:id="16"/>
      </w:r>
      <w:r w:rsidR="004F7EA7" w:rsidRPr="007C6BCB">
        <w:rPr>
          <w:spacing w:val="0"/>
          <w:lang w:val="es-ES"/>
        </w:rPr>
        <w:t>.</w:t>
      </w:r>
    </w:p>
    <w:p w:rsidR="007D0D15" w:rsidRPr="000C6B54" w:rsidRDefault="00AE1966" w:rsidP="000C6B54">
      <w:pPr>
        <w:pStyle w:val="texto"/>
        <w:spacing w:after="120"/>
        <w:rPr>
          <w:lang w:val="es-ES"/>
        </w:rPr>
      </w:pPr>
      <w:r w:rsidRPr="000C6B54">
        <w:rPr>
          <w:lang w:val="es-ES"/>
        </w:rPr>
        <w:t xml:space="preserve">También queremos destacar que la CPEN, dentro de las funciones de dirección y coordinación que tiene asignadas sobre las empresas dependientes y especialmente sobre las sociedades públicas, ha gestionado, entre otros aspectos, acuerdos marco para la contratación de distintos servicios, tales como limpieza, suministro eléctrico </w:t>
      </w:r>
      <w:r w:rsidR="00160123" w:rsidRPr="000C6B54">
        <w:rPr>
          <w:lang w:val="es-ES"/>
        </w:rPr>
        <w:t xml:space="preserve">y de gas, </w:t>
      </w:r>
      <w:r w:rsidRPr="000C6B54">
        <w:rPr>
          <w:lang w:val="es-ES"/>
        </w:rPr>
        <w:t xml:space="preserve">servicios de auditoría, pólizas de seguro, etc. </w:t>
      </w:r>
    </w:p>
    <w:p w:rsidR="001328E4" w:rsidRPr="000C6B54" w:rsidRDefault="001328E4" w:rsidP="00E52175">
      <w:pPr>
        <w:pStyle w:val="texto"/>
        <w:spacing w:after="0"/>
        <w:rPr>
          <w:i/>
          <w:lang w:val="es-ES"/>
        </w:rPr>
      </w:pPr>
      <w:r w:rsidRPr="000C6B54">
        <w:rPr>
          <w:i/>
          <w:lang w:val="es-ES"/>
        </w:rPr>
        <w:t xml:space="preserve">Recomendamos analizar si la sociedad Parque de la Naturaleza, SA reúne las condiciones para su consideración como empresa pública, a efectos de la Ley Foral de Patrimonio y de la Ley Foral de Hacienda Pública. </w:t>
      </w:r>
    </w:p>
    <w:p w:rsidR="00FF1B5F" w:rsidRPr="00E6455F" w:rsidRDefault="00FF1B5F" w:rsidP="00FF1B5F">
      <w:pPr>
        <w:pStyle w:val="atitulo2"/>
        <w:spacing w:before="240"/>
        <w:rPr>
          <w:color w:val="auto"/>
        </w:rPr>
      </w:pPr>
      <w:bookmarkStart w:id="56" w:name="_Toc463350259"/>
      <w:r w:rsidRPr="00E6455F">
        <w:rPr>
          <w:color w:val="auto"/>
        </w:rPr>
        <w:t>IV.1</w:t>
      </w:r>
      <w:r w:rsidR="00042056" w:rsidRPr="00E6455F">
        <w:rPr>
          <w:color w:val="auto"/>
        </w:rPr>
        <w:t>3</w:t>
      </w:r>
      <w:r w:rsidRPr="00E6455F">
        <w:rPr>
          <w:color w:val="auto"/>
        </w:rPr>
        <w:t>. Fundaciones públicas</w:t>
      </w:r>
      <w:bookmarkEnd w:id="56"/>
    </w:p>
    <w:p w:rsidR="00E670AC" w:rsidRDefault="00E670AC" w:rsidP="00CF5707">
      <w:pPr>
        <w:pStyle w:val="texto"/>
      </w:pPr>
      <w:r>
        <w:t xml:space="preserve">Las cuentas anuales de 2015 de las </w:t>
      </w:r>
      <w:r w:rsidR="00E6455F">
        <w:t xml:space="preserve">cuatro </w:t>
      </w:r>
      <w:r>
        <w:t>fundaciones públicas</w:t>
      </w:r>
      <w:r w:rsidR="00970884">
        <w:t xml:space="preserve"> vigentes a 31 de diciembre</w:t>
      </w:r>
      <w:r>
        <w:t xml:space="preserve"> han sido objeto de auditoría de cuentas, emitiendo los auditores</w:t>
      </w:r>
      <w:r w:rsidR="00A912C2">
        <w:t>,</w:t>
      </w:r>
      <w:r>
        <w:t xml:space="preserve"> en todos los casos, una opinión no modificada o favorable.</w:t>
      </w:r>
    </w:p>
    <w:p w:rsidR="00362493" w:rsidRDefault="00CF5707" w:rsidP="00E52175">
      <w:pPr>
        <w:pStyle w:val="texto"/>
        <w:spacing w:after="240"/>
      </w:pPr>
      <w:r>
        <w:t>Los principales datos agregados de este subsector público a 31 de diciembre de 2015</w:t>
      </w:r>
      <w:r w:rsidR="00AF102F">
        <w:t xml:space="preserve"> expresados en miles de euros salvo los que se indican en número</w:t>
      </w:r>
      <w:r>
        <w:t xml:space="preserve"> y su comparación con el año anterior</w:t>
      </w:r>
      <w:r w:rsidR="005A3B89">
        <w:rPr>
          <w:rStyle w:val="Refdenotaalpie"/>
        </w:rPr>
        <w:footnoteReference w:id="17"/>
      </w:r>
      <w:r>
        <w:t xml:space="preserve">, </w:t>
      </w:r>
      <w:r w:rsidR="0072112F">
        <w:t>se reflejan en el siguiente cuadro:</w:t>
      </w:r>
    </w:p>
    <w:tbl>
      <w:tblPr>
        <w:tblW w:w="8770" w:type="dxa"/>
        <w:jc w:val="center"/>
        <w:tblCellMar>
          <w:left w:w="70" w:type="dxa"/>
          <w:right w:w="70" w:type="dxa"/>
        </w:tblCellMar>
        <w:tblLook w:val="04A0" w:firstRow="1" w:lastRow="0" w:firstColumn="1" w:lastColumn="0" w:noHBand="0" w:noVBand="1"/>
      </w:tblPr>
      <w:tblGrid>
        <w:gridCol w:w="5338"/>
        <w:gridCol w:w="1716"/>
        <w:gridCol w:w="1716"/>
      </w:tblGrid>
      <w:tr w:rsidR="00362493" w:rsidTr="00E52175">
        <w:trPr>
          <w:trHeight w:hRule="exact" w:val="284"/>
          <w:jc w:val="center"/>
        </w:trPr>
        <w:tc>
          <w:tcPr>
            <w:tcW w:w="5338" w:type="dxa"/>
            <w:tcBorders>
              <w:top w:val="single" w:sz="4" w:space="0" w:color="000000"/>
              <w:left w:val="nil"/>
              <w:bottom w:val="single" w:sz="4" w:space="0" w:color="000000"/>
              <w:right w:val="nil"/>
            </w:tcBorders>
            <w:shd w:val="clear" w:color="auto" w:fill="A8CBEE" w:themeFill="accent2" w:themeFillTint="66"/>
            <w:vAlign w:val="center"/>
            <w:hideMark/>
          </w:tcPr>
          <w:p w:rsidR="00362493" w:rsidRDefault="00362493">
            <w:pPr>
              <w:pStyle w:val="cuadroCabe"/>
              <w:jc w:val="left"/>
              <w:rPr>
                <w:rFonts w:cs="Arial"/>
              </w:rPr>
            </w:pPr>
            <w:r>
              <w:rPr>
                <w:rFonts w:cs="Arial"/>
              </w:rPr>
              <w:t>Indicador</w:t>
            </w:r>
          </w:p>
        </w:tc>
        <w:tc>
          <w:tcPr>
            <w:tcW w:w="1716" w:type="dxa"/>
            <w:tcBorders>
              <w:top w:val="single" w:sz="4" w:space="0" w:color="000000"/>
              <w:left w:val="nil"/>
              <w:bottom w:val="single" w:sz="4" w:space="0" w:color="000000"/>
              <w:right w:val="nil"/>
            </w:tcBorders>
            <w:shd w:val="clear" w:color="auto" w:fill="A8CBEE" w:themeFill="accent2" w:themeFillTint="66"/>
            <w:vAlign w:val="center"/>
            <w:hideMark/>
          </w:tcPr>
          <w:p w:rsidR="00362493" w:rsidRDefault="00362493">
            <w:pPr>
              <w:pStyle w:val="cuadroCabe"/>
              <w:jc w:val="right"/>
              <w:rPr>
                <w:rFonts w:cs="Arial"/>
              </w:rPr>
            </w:pPr>
            <w:r>
              <w:rPr>
                <w:rFonts w:cs="Arial"/>
              </w:rPr>
              <w:t xml:space="preserve">2014 </w:t>
            </w:r>
          </w:p>
        </w:tc>
        <w:tc>
          <w:tcPr>
            <w:tcW w:w="1716" w:type="dxa"/>
            <w:tcBorders>
              <w:top w:val="single" w:sz="4" w:space="0" w:color="000000"/>
              <w:left w:val="nil"/>
              <w:bottom w:val="single" w:sz="4" w:space="0" w:color="000000"/>
              <w:right w:val="nil"/>
            </w:tcBorders>
            <w:shd w:val="clear" w:color="auto" w:fill="A8CBEE" w:themeFill="accent2" w:themeFillTint="66"/>
            <w:vAlign w:val="center"/>
            <w:hideMark/>
          </w:tcPr>
          <w:p w:rsidR="00362493" w:rsidRDefault="00362493">
            <w:pPr>
              <w:pStyle w:val="cuadroCabe"/>
              <w:jc w:val="right"/>
              <w:rPr>
                <w:rFonts w:cs="Arial"/>
              </w:rPr>
            </w:pPr>
            <w:r>
              <w:rPr>
                <w:rFonts w:cs="Arial"/>
              </w:rPr>
              <w:t>2015</w:t>
            </w:r>
          </w:p>
        </w:tc>
      </w:tr>
      <w:tr w:rsidR="00362493" w:rsidTr="00E52175">
        <w:trPr>
          <w:trHeight w:hRule="exact" w:val="284"/>
          <w:jc w:val="center"/>
        </w:trPr>
        <w:tc>
          <w:tcPr>
            <w:tcW w:w="5338" w:type="dxa"/>
            <w:tcBorders>
              <w:top w:val="single" w:sz="2" w:space="0" w:color="000000"/>
              <w:left w:val="nil"/>
              <w:bottom w:val="single" w:sz="2" w:space="0" w:color="000000"/>
              <w:right w:val="nil"/>
            </w:tcBorders>
            <w:vAlign w:val="center"/>
            <w:hideMark/>
          </w:tcPr>
          <w:p w:rsidR="00362493" w:rsidRDefault="00362493">
            <w:pPr>
              <w:spacing w:after="0"/>
              <w:ind w:firstLine="0"/>
              <w:jc w:val="left"/>
              <w:rPr>
                <w:rFonts w:ascii="Arial Narrow" w:hAnsi="Arial Narrow" w:cs="Arial"/>
                <w:lang w:val="es-ES" w:eastAsia="es-ES"/>
              </w:rPr>
            </w:pPr>
            <w:r>
              <w:rPr>
                <w:rFonts w:ascii="Arial Narrow" w:hAnsi="Arial Narrow" w:cs="Arial"/>
                <w:lang w:val="es-ES" w:eastAsia="es-ES"/>
              </w:rPr>
              <w:t>Patrimonio Neto</w:t>
            </w:r>
          </w:p>
        </w:tc>
        <w:tc>
          <w:tcPr>
            <w:tcW w:w="1716" w:type="dxa"/>
            <w:tcBorders>
              <w:top w:val="single" w:sz="2" w:space="0" w:color="000000"/>
              <w:left w:val="nil"/>
              <w:bottom w:val="single" w:sz="2" w:space="0" w:color="000000"/>
              <w:right w:val="nil"/>
            </w:tcBorders>
            <w:vAlign w:val="center"/>
            <w:hideMark/>
          </w:tcPr>
          <w:p w:rsidR="00362493" w:rsidRDefault="00362493">
            <w:pPr>
              <w:spacing w:after="0"/>
              <w:ind w:firstLine="0"/>
              <w:jc w:val="right"/>
              <w:rPr>
                <w:rFonts w:ascii="Arial Narrow" w:hAnsi="Arial Narrow" w:cs="Arial"/>
                <w:lang w:val="es-ES" w:eastAsia="es-ES"/>
              </w:rPr>
            </w:pPr>
            <w:r>
              <w:rPr>
                <w:rFonts w:ascii="Arial Narrow" w:hAnsi="Arial Narrow" w:cs="Arial"/>
                <w:lang w:val="es-ES" w:eastAsia="es-ES"/>
              </w:rPr>
              <w:t>2.746</w:t>
            </w:r>
          </w:p>
        </w:tc>
        <w:tc>
          <w:tcPr>
            <w:tcW w:w="1716" w:type="dxa"/>
            <w:tcBorders>
              <w:top w:val="single" w:sz="2" w:space="0" w:color="000000"/>
              <w:left w:val="nil"/>
              <w:bottom w:val="single" w:sz="2" w:space="0" w:color="000000"/>
              <w:right w:val="nil"/>
            </w:tcBorders>
            <w:vAlign w:val="center"/>
            <w:hideMark/>
          </w:tcPr>
          <w:p w:rsidR="00362493" w:rsidRDefault="00362493">
            <w:pPr>
              <w:spacing w:after="0"/>
              <w:ind w:firstLine="0"/>
              <w:jc w:val="right"/>
              <w:rPr>
                <w:rFonts w:ascii="Arial Narrow" w:hAnsi="Arial Narrow" w:cs="Arial"/>
                <w:lang w:val="es-ES" w:eastAsia="es-ES"/>
              </w:rPr>
            </w:pPr>
            <w:r>
              <w:rPr>
                <w:rFonts w:ascii="Arial Narrow" w:hAnsi="Arial Narrow" w:cs="Arial"/>
                <w:lang w:val="es-ES" w:eastAsia="es-ES"/>
              </w:rPr>
              <w:t>1.820</w:t>
            </w:r>
          </w:p>
        </w:tc>
      </w:tr>
      <w:tr w:rsidR="00362493" w:rsidTr="00E52175">
        <w:trPr>
          <w:trHeight w:hRule="exact" w:val="284"/>
          <w:jc w:val="center"/>
        </w:trPr>
        <w:tc>
          <w:tcPr>
            <w:tcW w:w="5338" w:type="dxa"/>
            <w:tcBorders>
              <w:top w:val="single" w:sz="2" w:space="0" w:color="000000"/>
              <w:left w:val="nil"/>
              <w:bottom w:val="single" w:sz="2" w:space="0" w:color="000000"/>
              <w:right w:val="nil"/>
            </w:tcBorders>
            <w:vAlign w:val="center"/>
            <w:hideMark/>
          </w:tcPr>
          <w:p w:rsidR="00362493" w:rsidRDefault="00362493">
            <w:pPr>
              <w:spacing w:after="0"/>
              <w:ind w:firstLine="0"/>
              <w:jc w:val="left"/>
              <w:rPr>
                <w:rFonts w:ascii="Arial Narrow" w:hAnsi="Arial Narrow" w:cs="Arial"/>
                <w:lang w:val="es-ES" w:eastAsia="es-ES"/>
              </w:rPr>
            </w:pPr>
            <w:r>
              <w:rPr>
                <w:rFonts w:ascii="Arial Narrow" w:hAnsi="Arial Narrow" w:cs="Arial"/>
                <w:lang w:val="es-ES" w:eastAsia="es-ES"/>
              </w:rPr>
              <w:t>Deuda a largo plazo</w:t>
            </w:r>
          </w:p>
        </w:tc>
        <w:tc>
          <w:tcPr>
            <w:tcW w:w="1716" w:type="dxa"/>
            <w:tcBorders>
              <w:top w:val="single" w:sz="2" w:space="0" w:color="000000"/>
              <w:left w:val="nil"/>
              <w:bottom w:val="single" w:sz="2" w:space="0" w:color="000000"/>
              <w:right w:val="nil"/>
            </w:tcBorders>
            <w:vAlign w:val="center"/>
            <w:hideMark/>
          </w:tcPr>
          <w:p w:rsidR="00362493" w:rsidRDefault="00362493">
            <w:pPr>
              <w:spacing w:after="0"/>
              <w:ind w:firstLine="0"/>
              <w:jc w:val="right"/>
              <w:rPr>
                <w:rFonts w:ascii="Arial Narrow" w:hAnsi="Arial Narrow" w:cs="Arial"/>
                <w:lang w:val="es-ES" w:eastAsia="es-ES"/>
              </w:rPr>
            </w:pPr>
            <w:r>
              <w:rPr>
                <w:rFonts w:ascii="Arial Narrow" w:hAnsi="Arial Narrow" w:cs="Arial"/>
                <w:lang w:val="es-ES" w:eastAsia="es-ES"/>
              </w:rPr>
              <w:t>0</w:t>
            </w:r>
          </w:p>
        </w:tc>
        <w:tc>
          <w:tcPr>
            <w:tcW w:w="1716" w:type="dxa"/>
            <w:tcBorders>
              <w:top w:val="single" w:sz="2" w:space="0" w:color="000000"/>
              <w:left w:val="nil"/>
              <w:bottom w:val="single" w:sz="2" w:space="0" w:color="000000"/>
              <w:right w:val="nil"/>
            </w:tcBorders>
            <w:vAlign w:val="center"/>
            <w:hideMark/>
          </w:tcPr>
          <w:p w:rsidR="00362493" w:rsidRDefault="00362493">
            <w:pPr>
              <w:spacing w:after="0"/>
              <w:ind w:firstLine="0"/>
              <w:jc w:val="right"/>
              <w:rPr>
                <w:rFonts w:ascii="Arial Narrow" w:hAnsi="Arial Narrow" w:cs="Arial"/>
                <w:lang w:val="es-ES" w:eastAsia="es-ES"/>
              </w:rPr>
            </w:pPr>
            <w:r>
              <w:rPr>
                <w:rFonts w:ascii="Arial Narrow" w:hAnsi="Arial Narrow" w:cs="Arial"/>
                <w:lang w:val="es-ES" w:eastAsia="es-ES"/>
              </w:rPr>
              <w:t>0</w:t>
            </w:r>
          </w:p>
        </w:tc>
      </w:tr>
      <w:tr w:rsidR="00362493" w:rsidTr="00E52175">
        <w:trPr>
          <w:trHeight w:hRule="exact" w:val="284"/>
          <w:jc w:val="center"/>
        </w:trPr>
        <w:tc>
          <w:tcPr>
            <w:tcW w:w="5338" w:type="dxa"/>
            <w:tcBorders>
              <w:top w:val="single" w:sz="2" w:space="0" w:color="000000"/>
              <w:left w:val="nil"/>
              <w:bottom w:val="single" w:sz="2" w:space="0" w:color="000000"/>
              <w:right w:val="nil"/>
            </w:tcBorders>
            <w:vAlign w:val="center"/>
            <w:hideMark/>
          </w:tcPr>
          <w:p w:rsidR="00362493" w:rsidRDefault="00362493">
            <w:pPr>
              <w:spacing w:after="0"/>
              <w:ind w:firstLine="0"/>
              <w:jc w:val="left"/>
              <w:rPr>
                <w:rFonts w:ascii="Arial Narrow" w:hAnsi="Arial Narrow" w:cs="Arial"/>
                <w:lang w:val="es-ES" w:eastAsia="es-ES"/>
              </w:rPr>
            </w:pPr>
            <w:r>
              <w:rPr>
                <w:rFonts w:ascii="Arial Narrow" w:hAnsi="Arial Narrow" w:cs="Arial"/>
                <w:lang w:val="es-ES" w:eastAsia="es-ES"/>
              </w:rPr>
              <w:t>Ingresos derivados de la actividad propia</w:t>
            </w:r>
          </w:p>
        </w:tc>
        <w:tc>
          <w:tcPr>
            <w:tcW w:w="1716" w:type="dxa"/>
            <w:tcBorders>
              <w:top w:val="single" w:sz="2" w:space="0" w:color="000000"/>
              <w:left w:val="nil"/>
              <w:bottom w:val="single" w:sz="2" w:space="0" w:color="000000"/>
              <w:right w:val="nil"/>
            </w:tcBorders>
            <w:vAlign w:val="center"/>
            <w:hideMark/>
          </w:tcPr>
          <w:p w:rsidR="00362493" w:rsidRDefault="00362493">
            <w:pPr>
              <w:spacing w:after="0"/>
              <w:ind w:firstLine="0"/>
              <w:jc w:val="right"/>
              <w:rPr>
                <w:rFonts w:ascii="Arial Narrow" w:hAnsi="Arial Narrow" w:cs="Arial"/>
                <w:lang w:val="es-ES" w:eastAsia="es-ES"/>
              </w:rPr>
            </w:pPr>
            <w:r>
              <w:rPr>
                <w:rFonts w:ascii="Arial Narrow" w:hAnsi="Arial Narrow" w:cs="Arial"/>
                <w:lang w:val="es-ES" w:eastAsia="es-ES"/>
              </w:rPr>
              <w:t>7.356</w:t>
            </w:r>
          </w:p>
        </w:tc>
        <w:tc>
          <w:tcPr>
            <w:tcW w:w="1716" w:type="dxa"/>
            <w:tcBorders>
              <w:top w:val="single" w:sz="2" w:space="0" w:color="000000"/>
              <w:left w:val="nil"/>
              <w:bottom w:val="single" w:sz="2" w:space="0" w:color="000000"/>
              <w:right w:val="nil"/>
            </w:tcBorders>
            <w:vAlign w:val="center"/>
            <w:hideMark/>
          </w:tcPr>
          <w:p w:rsidR="00362493" w:rsidRDefault="005A3B89" w:rsidP="005A3B89">
            <w:pPr>
              <w:spacing w:after="0"/>
              <w:ind w:firstLine="0"/>
              <w:jc w:val="right"/>
              <w:rPr>
                <w:rFonts w:ascii="Arial Narrow" w:hAnsi="Arial Narrow" w:cs="Arial"/>
                <w:lang w:val="es-ES" w:eastAsia="es-ES"/>
              </w:rPr>
            </w:pPr>
            <w:r>
              <w:rPr>
                <w:rFonts w:ascii="Arial Narrow" w:hAnsi="Arial Narrow" w:cs="Arial"/>
                <w:lang w:val="es-ES" w:eastAsia="es-ES"/>
              </w:rPr>
              <w:t>6.</w:t>
            </w:r>
            <w:r w:rsidR="00362493">
              <w:rPr>
                <w:rFonts w:ascii="Arial Narrow" w:hAnsi="Arial Narrow" w:cs="Arial"/>
                <w:lang w:val="es-ES" w:eastAsia="es-ES"/>
              </w:rPr>
              <w:t>905</w:t>
            </w:r>
          </w:p>
        </w:tc>
      </w:tr>
      <w:tr w:rsidR="00362493" w:rsidTr="00E52175">
        <w:trPr>
          <w:trHeight w:hRule="exact" w:val="284"/>
          <w:jc w:val="center"/>
        </w:trPr>
        <w:tc>
          <w:tcPr>
            <w:tcW w:w="5338" w:type="dxa"/>
            <w:tcBorders>
              <w:top w:val="single" w:sz="2" w:space="0" w:color="000000"/>
              <w:left w:val="nil"/>
              <w:bottom w:val="single" w:sz="2" w:space="0" w:color="000000"/>
              <w:right w:val="nil"/>
            </w:tcBorders>
            <w:vAlign w:val="center"/>
            <w:hideMark/>
          </w:tcPr>
          <w:p w:rsidR="00362493" w:rsidRDefault="00362493" w:rsidP="00B814D7">
            <w:pPr>
              <w:spacing w:after="0"/>
              <w:ind w:firstLine="0"/>
              <w:jc w:val="left"/>
              <w:rPr>
                <w:rFonts w:ascii="Arial Narrow" w:hAnsi="Arial Narrow" w:cs="Arial"/>
                <w:lang w:val="es-ES" w:eastAsia="es-ES"/>
              </w:rPr>
            </w:pPr>
            <w:r>
              <w:rPr>
                <w:rFonts w:ascii="Arial Narrow" w:hAnsi="Arial Narrow" w:cs="Arial"/>
                <w:lang w:val="es-ES" w:eastAsia="es-ES"/>
              </w:rPr>
              <w:t xml:space="preserve">Subvenciones </w:t>
            </w:r>
            <w:r w:rsidR="00B65B26">
              <w:rPr>
                <w:rFonts w:ascii="Arial Narrow" w:hAnsi="Arial Narrow" w:cs="Arial"/>
                <w:lang w:val="es-ES" w:eastAsia="es-ES"/>
              </w:rPr>
              <w:t xml:space="preserve">explotación </w:t>
            </w:r>
            <w:r>
              <w:rPr>
                <w:rFonts w:ascii="Arial Narrow" w:hAnsi="Arial Narrow" w:cs="Arial"/>
                <w:lang w:val="es-ES" w:eastAsia="es-ES"/>
              </w:rPr>
              <w:t>recibidas del G</w:t>
            </w:r>
            <w:r w:rsidR="00B814D7">
              <w:rPr>
                <w:rFonts w:ascii="Arial Narrow" w:hAnsi="Arial Narrow" w:cs="Arial"/>
                <w:lang w:val="es-ES" w:eastAsia="es-ES"/>
              </w:rPr>
              <w:t>obierno de Navarra</w:t>
            </w:r>
          </w:p>
        </w:tc>
        <w:tc>
          <w:tcPr>
            <w:tcW w:w="1716" w:type="dxa"/>
            <w:tcBorders>
              <w:top w:val="single" w:sz="2" w:space="0" w:color="000000"/>
              <w:left w:val="nil"/>
              <w:bottom w:val="single" w:sz="2" w:space="0" w:color="000000"/>
              <w:right w:val="nil"/>
            </w:tcBorders>
            <w:vAlign w:val="center"/>
            <w:hideMark/>
          </w:tcPr>
          <w:p w:rsidR="00362493" w:rsidRDefault="00362493">
            <w:pPr>
              <w:spacing w:after="0"/>
              <w:ind w:firstLine="0"/>
              <w:jc w:val="right"/>
              <w:rPr>
                <w:rFonts w:ascii="Arial Narrow" w:hAnsi="Arial Narrow" w:cs="Arial"/>
                <w:lang w:val="es-ES" w:eastAsia="es-ES"/>
              </w:rPr>
            </w:pPr>
            <w:r>
              <w:rPr>
                <w:rFonts w:ascii="Arial Narrow" w:hAnsi="Arial Narrow" w:cs="Arial"/>
                <w:lang w:val="es-ES" w:eastAsia="es-ES"/>
              </w:rPr>
              <w:t>2.538</w:t>
            </w:r>
          </w:p>
        </w:tc>
        <w:tc>
          <w:tcPr>
            <w:tcW w:w="1716" w:type="dxa"/>
            <w:tcBorders>
              <w:top w:val="single" w:sz="2" w:space="0" w:color="000000"/>
              <w:left w:val="nil"/>
              <w:bottom w:val="single" w:sz="2" w:space="0" w:color="000000"/>
              <w:right w:val="nil"/>
            </w:tcBorders>
            <w:vAlign w:val="center"/>
          </w:tcPr>
          <w:p w:rsidR="00362493" w:rsidRDefault="00362493">
            <w:pPr>
              <w:spacing w:after="0"/>
              <w:ind w:firstLine="0"/>
              <w:jc w:val="right"/>
              <w:rPr>
                <w:rFonts w:ascii="Arial Narrow" w:hAnsi="Arial Narrow" w:cs="Arial"/>
                <w:lang w:val="es-ES" w:eastAsia="es-ES"/>
              </w:rPr>
            </w:pPr>
            <w:r>
              <w:rPr>
                <w:rFonts w:ascii="Arial Narrow" w:hAnsi="Arial Narrow" w:cs="Arial"/>
                <w:lang w:val="es-ES" w:eastAsia="es-ES"/>
              </w:rPr>
              <w:t>2.609</w:t>
            </w:r>
          </w:p>
          <w:p w:rsidR="00362493" w:rsidRDefault="00362493">
            <w:pPr>
              <w:spacing w:after="0"/>
              <w:ind w:firstLine="0"/>
              <w:jc w:val="right"/>
              <w:rPr>
                <w:rFonts w:ascii="Arial Narrow" w:hAnsi="Arial Narrow" w:cs="Arial"/>
                <w:lang w:val="es-ES" w:eastAsia="es-ES"/>
              </w:rPr>
            </w:pPr>
          </w:p>
        </w:tc>
      </w:tr>
      <w:tr w:rsidR="00362493" w:rsidTr="00E52175">
        <w:trPr>
          <w:trHeight w:hRule="exact" w:val="284"/>
          <w:jc w:val="center"/>
        </w:trPr>
        <w:tc>
          <w:tcPr>
            <w:tcW w:w="5338" w:type="dxa"/>
            <w:tcBorders>
              <w:top w:val="single" w:sz="2" w:space="0" w:color="000000"/>
              <w:left w:val="nil"/>
              <w:bottom w:val="single" w:sz="2" w:space="0" w:color="000000"/>
              <w:right w:val="nil"/>
            </w:tcBorders>
            <w:vAlign w:val="center"/>
            <w:hideMark/>
          </w:tcPr>
          <w:p w:rsidR="00362493" w:rsidRDefault="00362493">
            <w:pPr>
              <w:spacing w:after="0"/>
              <w:ind w:firstLine="0"/>
              <w:jc w:val="left"/>
              <w:rPr>
                <w:rFonts w:ascii="Arial Narrow" w:hAnsi="Arial Narrow" w:cs="Arial"/>
                <w:lang w:val="es-ES" w:eastAsia="es-ES"/>
              </w:rPr>
            </w:pPr>
            <w:r>
              <w:rPr>
                <w:rFonts w:ascii="Arial Narrow" w:hAnsi="Arial Narrow" w:cs="Arial"/>
                <w:lang w:val="es-ES" w:eastAsia="es-ES"/>
              </w:rPr>
              <w:t>Gastos de personal</w:t>
            </w:r>
          </w:p>
        </w:tc>
        <w:tc>
          <w:tcPr>
            <w:tcW w:w="1716" w:type="dxa"/>
            <w:tcBorders>
              <w:top w:val="single" w:sz="2" w:space="0" w:color="000000"/>
              <w:left w:val="nil"/>
              <w:bottom w:val="single" w:sz="2" w:space="0" w:color="000000"/>
              <w:right w:val="nil"/>
            </w:tcBorders>
            <w:vAlign w:val="center"/>
            <w:hideMark/>
          </w:tcPr>
          <w:p w:rsidR="00362493" w:rsidRDefault="00362493">
            <w:pPr>
              <w:spacing w:after="0"/>
              <w:ind w:firstLine="0"/>
              <w:jc w:val="right"/>
              <w:rPr>
                <w:rFonts w:ascii="Arial Narrow" w:hAnsi="Arial Narrow" w:cs="Arial"/>
                <w:lang w:val="es-ES" w:eastAsia="es-ES"/>
              </w:rPr>
            </w:pPr>
            <w:r>
              <w:rPr>
                <w:rFonts w:ascii="Arial Narrow" w:hAnsi="Arial Narrow" w:cs="Arial"/>
                <w:lang w:val="es-ES" w:eastAsia="es-ES"/>
              </w:rPr>
              <w:t>2.783</w:t>
            </w:r>
          </w:p>
        </w:tc>
        <w:tc>
          <w:tcPr>
            <w:tcW w:w="1716" w:type="dxa"/>
            <w:tcBorders>
              <w:top w:val="single" w:sz="2" w:space="0" w:color="000000"/>
              <w:left w:val="nil"/>
              <w:bottom w:val="single" w:sz="2" w:space="0" w:color="000000"/>
              <w:right w:val="nil"/>
            </w:tcBorders>
            <w:vAlign w:val="center"/>
            <w:hideMark/>
          </w:tcPr>
          <w:p w:rsidR="00362493" w:rsidRDefault="00362493">
            <w:pPr>
              <w:spacing w:after="0"/>
              <w:ind w:firstLine="0"/>
              <w:jc w:val="right"/>
              <w:rPr>
                <w:rFonts w:ascii="Arial Narrow" w:hAnsi="Arial Narrow" w:cs="Arial"/>
                <w:lang w:val="es-ES" w:eastAsia="es-ES"/>
              </w:rPr>
            </w:pPr>
            <w:r>
              <w:rPr>
                <w:rFonts w:ascii="Arial Narrow" w:hAnsi="Arial Narrow" w:cs="Arial"/>
                <w:lang w:val="es-ES" w:eastAsia="es-ES"/>
              </w:rPr>
              <w:t>2.823</w:t>
            </w:r>
          </w:p>
        </w:tc>
      </w:tr>
      <w:tr w:rsidR="00362493" w:rsidTr="00E52175">
        <w:trPr>
          <w:trHeight w:hRule="exact" w:val="284"/>
          <w:jc w:val="center"/>
        </w:trPr>
        <w:tc>
          <w:tcPr>
            <w:tcW w:w="5338" w:type="dxa"/>
            <w:tcBorders>
              <w:top w:val="single" w:sz="2" w:space="0" w:color="000000"/>
              <w:left w:val="nil"/>
              <w:bottom w:val="single" w:sz="2" w:space="0" w:color="000000"/>
              <w:right w:val="nil"/>
            </w:tcBorders>
            <w:vAlign w:val="center"/>
            <w:hideMark/>
          </w:tcPr>
          <w:p w:rsidR="00362493" w:rsidRDefault="00362493">
            <w:pPr>
              <w:spacing w:after="0"/>
              <w:ind w:firstLine="0"/>
              <w:jc w:val="left"/>
              <w:rPr>
                <w:rFonts w:ascii="Arial Narrow" w:hAnsi="Arial Narrow" w:cs="Arial"/>
                <w:lang w:val="es-ES" w:eastAsia="es-ES"/>
              </w:rPr>
            </w:pPr>
            <w:r>
              <w:rPr>
                <w:rFonts w:ascii="Arial Narrow" w:hAnsi="Arial Narrow" w:cs="Arial"/>
                <w:lang w:val="es-ES" w:eastAsia="es-ES"/>
              </w:rPr>
              <w:t>Efectivo y otros activos líquidos</w:t>
            </w:r>
          </w:p>
        </w:tc>
        <w:tc>
          <w:tcPr>
            <w:tcW w:w="1716" w:type="dxa"/>
            <w:tcBorders>
              <w:top w:val="single" w:sz="2" w:space="0" w:color="000000"/>
              <w:left w:val="nil"/>
              <w:bottom w:val="single" w:sz="2" w:space="0" w:color="000000"/>
              <w:right w:val="nil"/>
            </w:tcBorders>
            <w:vAlign w:val="center"/>
            <w:hideMark/>
          </w:tcPr>
          <w:p w:rsidR="00362493" w:rsidRDefault="00362493">
            <w:pPr>
              <w:spacing w:after="0"/>
              <w:ind w:firstLine="0"/>
              <w:jc w:val="right"/>
              <w:rPr>
                <w:rFonts w:ascii="Arial Narrow" w:hAnsi="Arial Narrow" w:cs="Arial"/>
                <w:lang w:val="es-ES" w:eastAsia="es-ES"/>
              </w:rPr>
            </w:pPr>
            <w:r>
              <w:rPr>
                <w:rFonts w:ascii="Arial Narrow" w:hAnsi="Arial Narrow" w:cs="Arial"/>
                <w:lang w:val="es-ES" w:eastAsia="es-ES"/>
              </w:rPr>
              <w:t>2.039</w:t>
            </w:r>
          </w:p>
        </w:tc>
        <w:tc>
          <w:tcPr>
            <w:tcW w:w="1716" w:type="dxa"/>
            <w:tcBorders>
              <w:top w:val="single" w:sz="2" w:space="0" w:color="000000"/>
              <w:left w:val="nil"/>
              <w:bottom w:val="single" w:sz="2" w:space="0" w:color="000000"/>
              <w:right w:val="nil"/>
            </w:tcBorders>
            <w:vAlign w:val="center"/>
            <w:hideMark/>
          </w:tcPr>
          <w:p w:rsidR="00362493" w:rsidRDefault="00362493">
            <w:pPr>
              <w:spacing w:after="0"/>
              <w:ind w:firstLine="0"/>
              <w:jc w:val="right"/>
              <w:rPr>
                <w:rFonts w:ascii="Arial Narrow" w:hAnsi="Arial Narrow" w:cs="Arial"/>
                <w:lang w:val="es-ES" w:eastAsia="es-ES"/>
              </w:rPr>
            </w:pPr>
            <w:r>
              <w:rPr>
                <w:rFonts w:ascii="Arial Narrow" w:hAnsi="Arial Narrow" w:cs="Arial"/>
                <w:lang w:val="es-ES" w:eastAsia="es-ES"/>
              </w:rPr>
              <w:t>2.804</w:t>
            </w:r>
          </w:p>
        </w:tc>
      </w:tr>
      <w:tr w:rsidR="00362493" w:rsidTr="00E52175">
        <w:trPr>
          <w:trHeight w:hRule="exact" w:val="284"/>
          <w:jc w:val="center"/>
        </w:trPr>
        <w:tc>
          <w:tcPr>
            <w:tcW w:w="5338" w:type="dxa"/>
            <w:tcBorders>
              <w:top w:val="single" w:sz="2" w:space="0" w:color="000000"/>
              <w:left w:val="nil"/>
              <w:bottom w:val="single" w:sz="2" w:space="0" w:color="000000"/>
              <w:right w:val="nil"/>
            </w:tcBorders>
            <w:vAlign w:val="center"/>
            <w:hideMark/>
          </w:tcPr>
          <w:p w:rsidR="00362493" w:rsidRDefault="00362493">
            <w:pPr>
              <w:spacing w:after="0"/>
              <w:ind w:firstLine="0"/>
              <w:jc w:val="left"/>
              <w:rPr>
                <w:rFonts w:ascii="Arial Narrow" w:hAnsi="Arial Narrow" w:cs="Arial"/>
                <w:lang w:val="es-ES" w:eastAsia="es-ES"/>
              </w:rPr>
            </w:pPr>
            <w:r>
              <w:rPr>
                <w:rFonts w:ascii="Arial Narrow" w:hAnsi="Arial Narrow" w:cs="Arial"/>
                <w:lang w:val="es-ES" w:eastAsia="es-ES"/>
              </w:rPr>
              <w:t>Fondo de maniobra</w:t>
            </w:r>
          </w:p>
        </w:tc>
        <w:tc>
          <w:tcPr>
            <w:tcW w:w="1716" w:type="dxa"/>
            <w:tcBorders>
              <w:top w:val="single" w:sz="2" w:space="0" w:color="000000"/>
              <w:left w:val="nil"/>
              <w:bottom w:val="single" w:sz="2" w:space="0" w:color="000000"/>
              <w:right w:val="nil"/>
            </w:tcBorders>
            <w:vAlign w:val="center"/>
            <w:hideMark/>
          </w:tcPr>
          <w:p w:rsidR="00362493" w:rsidRDefault="00362493">
            <w:pPr>
              <w:spacing w:after="0"/>
              <w:ind w:firstLine="0"/>
              <w:jc w:val="right"/>
              <w:rPr>
                <w:rFonts w:ascii="Arial Narrow" w:hAnsi="Arial Narrow" w:cs="Arial"/>
                <w:lang w:val="es-ES" w:eastAsia="es-ES"/>
              </w:rPr>
            </w:pPr>
            <w:r>
              <w:rPr>
                <w:rFonts w:ascii="Arial Narrow" w:hAnsi="Arial Narrow" w:cs="Arial"/>
                <w:lang w:val="es-ES" w:eastAsia="es-ES"/>
              </w:rPr>
              <w:t>2.173</w:t>
            </w:r>
          </w:p>
        </w:tc>
        <w:tc>
          <w:tcPr>
            <w:tcW w:w="1716" w:type="dxa"/>
            <w:tcBorders>
              <w:top w:val="single" w:sz="2" w:space="0" w:color="000000"/>
              <w:left w:val="nil"/>
              <w:bottom w:val="single" w:sz="2" w:space="0" w:color="000000"/>
              <w:right w:val="nil"/>
            </w:tcBorders>
            <w:vAlign w:val="center"/>
            <w:hideMark/>
          </w:tcPr>
          <w:p w:rsidR="00362493" w:rsidRDefault="00362493">
            <w:pPr>
              <w:spacing w:after="0"/>
              <w:ind w:firstLine="0"/>
              <w:jc w:val="right"/>
              <w:rPr>
                <w:rFonts w:ascii="Arial Narrow" w:hAnsi="Arial Narrow" w:cs="Arial"/>
                <w:lang w:val="es-ES" w:eastAsia="es-ES"/>
              </w:rPr>
            </w:pPr>
            <w:r>
              <w:rPr>
                <w:rFonts w:ascii="Arial Narrow" w:hAnsi="Arial Narrow" w:cs="Arial"/>
                <w:lang w:val="es-ES" w:eastAsia="es-ES"/>
              </w:rPr>
              <w:t>933</w:t>
            </w:r>
          </w:p>
        </w:tc>
      </w:tr>
      <w:tr w:rsidR="00362493" w:rsidTr="00E52175">
        <w:trPr>
          <w:trHeight w:hRule="exact" w:val="284"/>
          <w:jc w:val="center"/>
        </w:trPr>
        <w:tc>
          <w:tcPr>
            <w:tcW w:w="5338" w:type="dxa"/>
            <w:tcBorders>
              <w:top w:val="single" w:sz="2" w:space="0" w:color="000000"/>
              <w:left w:val="nil"/>
              <w:bottom w:val="single" w:sz="2" w:space="0" w:color="000000"/>
              <w:right w:val="nil"/>
            </w:tcBorders>
            <w:vAlign w:val="center"/>
            <w:hideMark/>
          </w:tcPr>
          <w:p w:rsidR="00362493" w:rsidRDefault="00362493">
            <w:pPr>
              <w:spacing w:after="0"/>
              <w:ind w:firstLine="0"/>
              <w:jc w:val="left"/>
              <w:rPr>
                <w:rFonts w:ascii="Arial Narrow" w:hAnsi="Arial Narrow" w:cs="Arial"/>
                <w:lang w:val="es-ES" w:eastAsia="es-ES"/>
              </w:rPr>
            </w:pPr>
            <w:r>
              <w:rPr>
                <w:rFonts w:ascii="Arial Narrow" w:hAnsi="Arial Narrow" w:cs="Arial"/>
                <w:lang w:val="es-ES" w:eastAsia="es-ES"/>
              </w:rPr>
              <w:t>Excedente del ejercicio</w:t>
            </w:r>
          </w:p>
        </w:tc>
        <w:tc>
          <w:tcPr>
            <w:tcW w:w="1716" w:type="dxa"/>
            <w:tcBorders>
              <w:top w:val="single" w:sz="2" w:space="0" w:color="000000"/>
              <w:left w:val="nil"/>
              <w:bottom w:val="single" w:sz="2" w:space="0" w:color="000000"/>
              <w:right w:val="nil"/>
            </w:tcBorders>
            <w:vAlign w:val="center"/>
            <w:hideMark/>
          </w:tcPr>
          <w:p w:rsidR="00362493" w:rsidRDefault="005A3B89" w:rsidP="005A3B89">
            <w:pPr>
              <w:spacing w:after="0"/>
              <w:ind w:firstLine="0"/>
              <w:jc w:val="right"/>
              <w:rPr>
                <w:rFonts w:ascii="Arial Narrow" w:hAnsi="Arial Narrow" w:cs="Arial"/>
                <w:lang w:val="es-ES" w:eastAsia="es-ES"/>
              </w:rPr>
            </w:pPr>
            <w:r>
              <w:rPr>
                <w:rFonts w:ascii="Arial Narrow" w:hAnsi="Arial Narrow" w:cs="Arial"/>
                <w:lang w:val="es-ES" w:eastAsia="es-ES"/>
              </w:rPr>
              <w:t>-617</w:t>
            </w:r>
          </w:p>
        </w:tc>
        <w:tc>
          <w:tcPr>
            <w:tcW w:w="1716" w:type="dxa"/>
            <w:tcBorders>
              <w:top w:val="single" w:sz="2" w:space="0" w:color="000000"/>
              <w:left w:val="nil"/>
              <w:bottom w:val="single" w:sz="2" w:space="0" w:color="000000"/>
              <w:right w:val="nil"/>
            </w:tcBorders>
            <w:vAlign w:val="center"/>
            <w:hideMark/>
          </w:tcPr>
          <w:p w:rsidR="00362493" w:rsidRDefault="005A3B89">
            <w:pPr>
              <w:spacing w:after="0"/>
              <w:ind w:firstLine="0"/>
              <w:jc w:val="right"/>
              <w:rPr>
                <w:rFonts w:ascii="Arial Narrow" w:hAnsi="Arial Narrow" w:cs="Arial"/>
                <w:lang w:val="es-ES" w:eastAsia="es-ES"/>
              </w:rPr>
            </w:pPr>
            <w:r>
              <w:rPr>
                <w:rFonts w:ascii="Arial Narrow" w:hAnsi="Arial Narrow" w:cs="Arial"/>
                <w:lang w:val="es-ES" w:eastAsia="es-ES"/>
              </w:rPr>
              <w:t>-1.025</w:t>
            </w:r>
          </w:p>
        </w:tc>
      </w:tr>
      <w:tr w:rsidR="00362493" w:rsidTr="00E52175">
        <w:trPr>
          <w:trHeight w:hRule="exact" w:val="284"/>
          <w:jc w:val="center"/>
        </w:trPr>
        <w:tc>
          <w:tcPr>
            <w:tcW w:w="5338" w:type="dxa"/>
            <w:tcBorders>
              <w:top w:val="single" w:sz="2" w:space="0" w:color="000000"/>
              <w:left w:val="nil"/>
              <w:bottom w:val="single" w:sz="2" w:space="0" w:color="000000"/>
              <w:right w:val="nil"/>
            </w:tcBorders>
            <w:vAlign w:val="center"/>
            <w:hideMark/>
          </w:tcPr>
          <w:p w:rsidR="00362493" w:rsidRDefault="00362493">
            <w:pPr>
              <w:spacing w:after="0"/>
              <w:ind w:firstLine="0"/>
              <w:jc w:val="left"/>
              <w:rPr>
                <w:rFonts w:ascii="Arial Narrow" w:hAnsi="Arial Narrow" w:cs="Arial"/>
                <w:lang w:val="es-ES" w:eastAsia="es-ES"/>
              </w:rPr>
            </w:pPr>
            <w:r>
              <w:rPr>
                <w:rFonts w:ascii="Arial Narrow" w:hAnsi="Arial Narrow" w:cs="Arial"/>
                <w:lang w:val="es-ES" w:eastAsia="es-ES"/>
              </w:rPr>
              <w:t>Retribuciones miembros patronatos</w:t>
            </w:r>
          </w:p>
        </w:tc>
        <w:tc>
          <w:tcPr>
            <w:tcW w:w="1716" w:type="dxa"/>
            <w:tcBorders>
              <w:top w:val="single" w:sz="2" w:space="0" w:color="000000"/>
              <w:left w:val="nil"/>
              <w:bottom w:val="single" w:sz="2" w:space="0" w:color="000000"/>
              <w:right w:val="nil"/>
            </w:tcBorders>
            <w:vAlign w:val="center"/>
            <w:hideMark/>
          </w:tcPr>
          <w:p w:rsidR="00362493" w:rsidRDefault="00362493">
            <w:pPr>
              <w:spacing w:after="0"/>
              <w:ind w:firstLine="0"/>
              <w:jc w:val="right"/>
              <w:rPr>
                <w:rFonts w:ascii="Arial Narrow" w:hAnsi="Arial Narrow" w:cs="Arial"/>
                <w:lang w:val="es-ES" w:eastAsia="es-ES"/>
              </w:rPr>
            </w:pPr>
            <w:r>
              <w:rPr>
                <w:rFonts w:ascii="Arial Narrow" w:hAnsi="Arial Narrow" w:cs="Arial"/>
                <w:lang w:val="es-ES" w:eastAsia="es-ES"/>
              </w:rPr>
              <w:t>0</w:t>
            </w:r>
          </w:p>
        </w:tc>
        <w:tc>
          <w:tcPr>
            <w:tcW w:w="1716" w:type="dxa"/>
            <w:tcBorders>
              <w:top w:val="single" w:sz="2" w:space="0" w:color="000000"/>
              <w:left w:val="nil"/>
              <w:bottom w:val="single" w:sz="2" w:space="0" w:color="000000"/>
              <w:right w:val="nil"/>
            </w:tcBorders>
            <w:vAlign w:val="center"/>
            <w:hideMark/>
          </w:tcPr>
          <w:p w:rsidR="00362493" w:rsidRDefault="00362493">
            <w:pPr>
              <w:spacing w:after="0"/>
              <w:ind w:firstLine="0"/>
              <w:jc w:val="right"/>
              <w:rPr>
                <w:rFonts w:ascii="Arial Narrow" w:hAnsi="Arial Narrow" w:cs="Arial"/>
                <w:lang w:val="es-ES" w:eastAsia="es-ES"/>
              </w:rPr>
            </w:pPr>
            <w:r>
              <w:rPr>
                <w:rFonts w:ascii="Arial Narrow" w:hAnsi="Arial Narrow" w:cs="Arial"/>
                <w:lang w:val="es-ES" w:eastAsia="es-ES"/>
              </w:rPr>
              <w:t>0</w:t>
            </w:r>
          </w:p>
        </w:tc>
      </w:tr>
      <w:tr w:rsidR="00362493" w:rsidTr="00E52175">
        <w:trPr>
          <w:trHeight w:hRule="exact" w:val="284"/>
          <w:jc w:val="center"/>
        </w:trPr>
        <w:tc>
          <w:tcPr>
            <w:tcW w:w="5338" w:type="dxa"/>
            <w:tcBorders>
              <w:top w:val="single" w:sz="2" w:space="0" w:color="000000"/>
              <w:left w:val="nil"/>
              <w:bottom w:val="single" w:sz="2" w:space="0" w:color="000000"/>
              <w:right w:val="nil"/>
            </w:tcBorders>
            <w:vAlign w:val="center"/>
            <w:hideMark/>
          </w:tcPr>
          <w:p w:rsidR="00362493" w:rsidRDefault="00362493">
            <w:pPr>
              <w:spacing w:after="0"/>
              <w:ind w:firstLine="0"/>
              <w:jc w:val="left"/>
              <w:rPr>
                <w:rFonts w:ascii="Arial Narrow" w:hAnsi="Arial Narrow" w:cs="Arial"/>
                <w:lang w:val="es-ES" w:eastAsia="es-ES"/>
              </w:rPr>
            </w:pPr>
            <w:r>
              <w:rPr>
                <w:rFonts w:ascii="Arial Narrow" w:hAnsi="Arial Narrow" w:cs="Arial"/>
                <w:lang w:val="es-ES" w:eastAsia="es-ES"/>
              </w:rPr>
              <w:t>Número de altos cargos (A)</w:t>
            </w:r>
          </w:p>
        </w:tc>
        <w:tc>
          <w:tcPr>
            <w:tcW w:w="1716" w:type="dxa"/>
            <w:tcBorders>
              <w:top w:val="single" w:sz="2" w:space="0" w:color="000000"/>
              <w:left w:val="nil"/>
              <w:bottom w:val="single" w:sz="2" w:space="0" w:color="000000"/>
              <w:right w:val="nil"/>
            </w:tcBorders>
            <w:vAlign w:val="center"/>
            <w:hideMark/>
          </w:tcPr>
          <w:p w:rsidR="00362493" w:rsidRDefault="00362493">
            <w:pPr>
              <w:spacing w:after="0"/>
              <w:ind w:firstLine="0"/>
              <w:jc w:val="right"/>
              <w:rPr>
                <w:rFonts w:ascii="Arial Narrow" w:hAnsi="Arial Narrow" w:cs="Arial"/>
                <w:lang w:val="es-ES" w:eastAsia="es-ES"/>
              </w:rPr>
            </w:pPr>
            <w:r>
              <w:rPr>
                <w:rFonts w:ascii="Arial Narrow" w:hAnsi="Arial Narrow" w:cs="Arial"/>
                <w:lang w:val="es-ES" w:eastAsia="es-ES"/>
              </w:rPr>
              <w:t>3</w:t>
            </w:r>
          </w:p>
        </w:tc>
        <w:tc>
          <w:tcPr>
            <w:tcW w:w="1716" w:type="dxa"/>
            <w:tcBorders>
              <w:top w:val="single" w:sz="2" w:space="0" w:color="000000"/>
              <w:left w:val="nil"/>
              <w:bottom w:val="single" w:sz="2" w:space="0" w:color="000000"/>
              <w:right w:val="nil"/>
            </w:tcBorders>
            <w:vAlign w:val="center"/>
            <w:hideMark/>
          </w:tcPr>
          <w:p w:rsidR="00362493" w:rsidRDefault="00362493">
            <w:pPr>
              <w:spacing w:after="0"/>
              <w:ind w:firstLine="0"/>
              <w:jc w:val="right"/>
              <w:rPr>
                <w:rFonts w:ascii="Arial Narrow" w:hAnsi="Arial Narrow" w:cs="Arial"/>
                <w:lang w:val="es-ES" w:eastAsia="es-ES"/>
              </w:rPr>
            </w:pPr>
            <w:r>
              <w:rPr>
                <w:rFonts w:ascii="Arial Narrow" w:hAnsi="Arial Narrow" w:cs="Arial"/>
                <w:lang w:val="es-ES" w:eastAsia="es-ES"/>
              </w:rPr>
              <w:t>2</w:t>
            </w:r>
          </w:p>
        </w:tc>
      </w:tr>
      <w:tr w:rsidR="00362493" w:rsidTr="00E52175">
        <w:trPr>
          <w:trHeight w:hRule="exact" w:val="284"/>
          <w:jc w:val="center"/>
        </w:trPr>
        <w:tc>
          <w:tcPr>
            <w:tcW w:w="5338" w:type="dxa"/>
            <w:tcBorders>
              <w:top w:val="single" w:sz="2" w:space="0" w:color="000000"/>
              <w:left w:val="nil"/>
              <w:bottom w:val="single" w:sz="2" w:space="0" w:color="000000"/>
              <w:right w:val="nil"/>
            </w:tcBorders>
            <w:vAlign w:val="center"/>
            <w:hideMark/>
          </w:tcPr>
          <w:p w:rsidR="00362493" w:rsidRDefault="00362493">
            <w:pPr>
              <w:spacing w:after="0"/>
              <w:ind w:firstLine="0"/>
              <w:jc w:val="left"/>
              <w:rPr>
                <w:rFonts w:ascii="Arial Narrow" w:hAnsi="Arial Narrow" w:cs="Arial"/>
                <w:lang w:val="es-ES" w:eastAsia="es-ES"/>
              </w:rPr>
            </w:pPr>
            <w:r>
              <w:rPr>
                <w:rFonts w:ascii="Arial Narrow" w:hAnsi="Arial Narrow" w:cs="Arial"/>
                <w:lang w:val="es-ES" w:eastAsia="es-ES"/>
              </w:rPr>
              <w:t>Número medio resto de empleados (B)</w:t>
            </w:r>
          </w:p>
        </w:tc>
        <w:tc>
          <w:tcPr>
            <w:tcW w:w="1716" w:type="dxa"/>
            <w:tcBorders>
              <w:top w:val="single" w:sz="2" w:space="0" w:color="000000"/>
              <w:left w:val="nil"/>
              <w:bottom w:val="single" w:sz="2" w:space="0" w:color="000000"/>
              <w:right w:val="nil"/>
            </w:tcBorders>
            <w:vAlign w:val="center"/>
            <w:hideMark/>
          </w:tcPr>
          <w:p w:rsidR="00362493" w:rsidRDefault="00362493">
            <w:pPr>
              <w:spacing w:after="0"/>
              <w:ind w:firstLine="0"/>
              <w:jc w:val="right"/>
              <w:rPr>
                <w:rFonts w:ascii="Arial Narrow" w:hAnsi="Arial Narrow" w:cs="Arial"/>
                <w:lang w:val="es-ES" w:eastAsia="es-ES"/>
              </w:rPr>
            </w:pPr>
            <w:r>
              <w:rPr>
                <w:rFonts w:ascii="Arial Narrow" w:hAnsi="Arial Narrow" w:cs="Arial"/>
                <w:lang w:val="es-ES" w:eastAsia="es-ES"/>
              </w:rPr>
              <w:t>73</w:t>
            </w:r>
          </w:p>
        </w:tc>
        <w:tc>
          <w:tcPr>
            <w:tcW w:w="1716" w:type="dxa"/>
            <w:tcBorders>
              <w:top w:val="single" w:sz="2" w:space="0" w:color="000000"/>
              <w:left w:val="nil"/>
              <w:bottom w:val="single" w:sz="2" w:space="0" w:color="000000"/>
              <w:right w:val="nil"/>
            </w:tcBorders>
            <w:vAlign w:val="center"/>
            <w:hideMark/>
          </w:tcPr>
          <w:p w:rsidR="00362493" w:rsidRDefault="00362493">
            <w:pPr>
              <w:spacing w:after="0"/>
              <w:ind w:firstLine="0"/>
              <w:jc w:val="right"/>
              <w:rPr>
                <w:rFonts w:ascii="Arial Narrow" w:hAnsi="Arial Narrow" w:cs="Arial"/>
                <w:lang w:val="es-ES" w:eastAsia="es-ES"/>
              </w:rPr>
            </w:pPr>
            <w:r>
              <w:rPr>
                <w:rFonts w:ascii="Arial Narrow" w:hAnsi="Arial Narrow" w:cs="Arial"/>
                <w:lang w:val="es-ES" w:eastAsia="es-ES"/>
              </w:rPr>
              <w:t>76</w:t>
            </w:r>
          </w:p>
        </w:tc>
      </w:tr>
      <w:tr w:rsidR="00362493" w:rsidTr="00E52175">
        <w:trPr>
          <w:trHeight w:hRule="exact" w:val="284"/>
          <w:jc w:val="center"/>
        </w:trPr>
        <w:tc>
          <w:tcPr>
            <w:tcW w:w="5338" w:type="dxa"/>
            <w:tcBorders>
              <w:top w:val="single" w:sz="2" w:space="0" w:color="000000"/>
              <w:left w:val="nil"/>
              <w:bottom w:val="single" w:sz="4" w:space="0" w:color="000000"/>
              <w:right w:val="nil"/>
            </w:tcBorders>
            <w:vAlign w:val="center"/>
            <w:hideMark/>
          </w:tcPr>
          <w:p w:rsidR="00362493" w:rsidRDefault="00362493">
            <w:pPr>
              <w:spacing w:after="0"/>
              <w:ind w:firstLine="0"/>
              <w:jc w:val="left"/>
              <w:rPr>
                <w:rFonts w:ascii="Arial Narrow" w:hAnsi="Arial Narrow" w:cs="Arial"/>
                <w:lang w:val="es-ES" w:eastAsia="es-ES"/>
              </w:rPr>
            </w:pPr>
            <w:r>
              <w:rPr>
                <w:rFonts w:ascii="Arial Narrow" w:hAnsi="Arial Narrow" w:cs="Arial"/>
                <w:lang w:val="es-ES" w:eastAsia="es-ES"/>
              </w:rPr>
              <w:t>Número total de empleados (A+B)</w:t>
            </w:r>
          </w:p>
        </w:tc>
        <w:tc>
          <w:tcPr>
            <w:tcW w:w="1716" w:type="dxa"/>
            <w:tcBorders>
              <w:top w:val="single" w:sz="2" w:space="0" w:color="000000"/>
              <w:left w:val="nil"/>
              <w:bottom w:val="single" w:sz="4" w:space="0" w:color="000000"/>
              <w:right w:val="nil"/>
            </w:tcBorders>
            <w:vAlign w:val="center"/>
            <w:hideMark/>
          </w:tcPr>
          <w:p w:rsidR="00362493" w:rsidRDefault="00362493">
            <w:pPr>
              <w:spacing w:after="0"/>
              <w:ind w:firstLine="0"/>
              <w:jc w:val="right"/>
              <w:rPr>
                <w:rFonts w:ascii="Arial Narrow" w:hAnsi="Arial Narrow" w:cs="Arial"/>
                <w:lang w:val="es-ES" w:eastAsia="es-ES"/>
              </w:rPr>
            </w:pPr>
            <w:r>
              <w:rPr>
                <w:rFonts w:ascii="Arial Narrow" w:hAnsi="Arial Narrow" w:cs="Arial"/>
                <w:lang w:val="es-ES" w:eastAsia="es-ES"/>
              </w:rPr>
              <w:t>76</w:t>
            </w:r>
          </w:p>
        </w:tc>
        <w:tc>
          <w:tcPr>
            <w:tcW w:w="1716" w:type="dxa"/>
            <w:tcBorders>
              <w:top w:val="single" w:sz="2" w:space="0" w:color="000000"/>
              <w:left w:val="nil"/>
              <w:bottom w:val="single" w:sz="4" w:space="0" w:color="000000"/>
              <w:right w:val="nil"/>
            </w:tcBorders>
            <w:vAlign w:val="center"/>
          </w:tcPr>
          <w:p w:rsidR="00362493" w:rsidRDefault="00362493">
            <w:pPr>
              <w:spacing w:after="0"/>
              <w:ind w:firstLine="0"/>
              <w:jc w:val="right"/>
              <w:rPr>
                <w:rFonts w:ascii="Arial Narrow" w:hAnsi="Arial Narrow" w:cs="Arial"/>
                <w:lang w:val="es-ES" w:eastAsia="es-ES"/>
              </w:rPr>
            </w:pPr>
            <w:r>
              <w:rPr>
                <w:rFonts w:ascii="Arial Narrow" w:hAnsi="Arial Narrow" w:cs="Arial"/>
                <w:lang w:val="es-ES" w:eastAsia="es-ES"/>
              </w:rPr>
              <w:t>78</w:t>
            </w:r>
          </w:p>
          <w:p w:rsidR="00362493" w:rsidRDefault="00362493">
            <w:pPr>
              <w:spacing w:after="0"/>
              <w:ind w:firstLine="0"/>
              <w:jc w:val="right"/>
              <w:rPr>
                <w:rFonts w:ascii="Arial Narrow" w:hAnsi="Arial Narrow" w:cs="Arial"/>
                <w:lang w:val="es-ES" w:eastAsia="es-ES"/>
              </w:rPr>
            </w:pPr>
          </w:p>
        </w:tc>
      </w:tr>
    </w:tbl>
    <w:p w:rsidR="00B814D7" w:rsidRPr="002F0456" w:rsidRDefault="00B814D7" w:rsidP="002F0456">
      <w:pPr>
        <w:pStyle w:val="texto"/>
      </w:pPr>
      <w:r w:rsidRPr="002F0456">
        <w:t>De este cuadro, destacamos:</w:t>
      </w:r>
    </w:p>
    <w:p w:rsidR="00B814D7" w:rsidRPr="00B814D7" w:rsidRDefault="00B814D7" w:rsidP="00B814D7">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sidRPr="00B814D7">
        <w:rPr>
          <w:lang w:val="es-ES"/>
        </w:rPr>
        <w:t xml:space="preserve">Los ingresos derivados de la actividad propia se han </w:t>
      </w:r>
      <w:r>
        <w:rPr>
          <w:lang w:val="es-ES"/>
        </w:rPr>
        <w:t>reducido en un seis por ciento</w:t>
      </w:r>
      <w:r w:rsidRPr="00B814D7">
        <w:rPr>
          <w:lang w:val="es-ES"/>
        </w:rPr>
        <w:t>; por este concepto, destacamos los obtenidos en 201</w:t>
      </w:r>
      <w:r>
        <w:rPr>
          <w:lang w:val="es-ES"/>
        </w:rPr>
        <w:t>5</w:t>
      </w:r>
      <w:r w:rsidRPr="00B814D7">
        <w:rPr>
          <w:lang w:val="es-ES"/>
        </w:rPr>
        <w:t xml:space="preserve"> por las fundaciones Miguel Servet </w:t>
      </w:r>
      <w:r w:rsidR="00E52175">
        <w:rPr>
          <w:lang w:val="es-ES"/>
        </w:rPr>
        <w:t>–</w:t>
      </w:r>
      <w:r>
        <w:rPr>
          <w:lang w:val="es-ES"/>
        </w:rPr>
        <w:t>3,6</w:t>
      </w:r>
      <w:r w:rsidRPr="00B814D7">
        <w:rPr>
          <w:lang w:val="es-ES"/>
        </w:rPr>
        <w:t xml:space="preserve"> millones</w:t>
      </w:r>
      <w:r w:rsidR="00E52175">
        <w:rPr>
          <w:lang w:val="es-ES"/>
        </w:rPr>
        <w:t xml:space="preserve">– </w:t>
      </w:r>
      <w:r w:rsidRPr="00B814D7">
        <w:rPr>
          <w:lang w:val="es-ES"/>
        </w:rPr>
        <w:t>y Baluarte –2,</w:t>
      </w:r>
      <w:r>
        <w:rPr>
          <w:lang w:val="es-ES"/>
        </w:rPr>
        <w:t>8</w:t>
      </w:r>
      <w:r w:rsidRPr="00B814D7">
        <w:rPr>
          <w:lang w:val="es-ES"/>
        </w:rPr>
        <w:t xml:space="preserve"> millones</w:t>
      </w:r>
      <w:r w:rsidR="00E52175">
        <w:rPr>
          <w:lang w:val="es-ES"/>
        </w:rPr>
        <w:t>–</w:t>
      </w:r>
      <w:r w:rsidRPr="00B814D7">
        <w:rPr>
          <w:lang w:val="es-ES"/>
        </w:rPr>
        <w:t>.</w:t>
      </w:r>
    </w:p>
    <w:p w:rsidR="00B814D7" w:rsidRPr="00B814D7" w:rsidRDefault="00B814D7" w:rsidP="00B814D7">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sidRPr="00B814D7">
        <w:rPr>
          <w:lang w:val="es-ES"/>
        </w:rPr>
        <w:t xml:space="preserve">Los ingresos por subvenciones </w:t>
      </w:r>
      <w:r w:rsidR="00FF0667">
        <w:rPr>
          <w:lang w:val="es-ES"/>
        </w:rPr>
        <w:t xml:space="preserve">de explotación </w:t>
      </w:r>
      <w:r w:rsidRPr="00B814D7">
        <w:rPr>
          <w:lang w:val="es-ES"/>
        </w:rPr>
        <w:t xml:space="preserve">del Gobierno de Navarra </w:t>
      </w:r>
      <w:r>
        <w:rPr>
          <w:lang w:val="es-ES"/>
        </w:rPr>
        <w:t>han aumentado en un tres por ciento</w:t>
      </w:r>
      <w:r w:rsidRPr="00B814D7">
        <w:rPr>
          <w:lang w:val="es-ES"/>
        </w:rPr>
        <w:t>; las fundaciones con mayor aportación son Baluarte –</w:t>
      </w:r>
      <w:r>
        <w:rPr>
          <w:lang w:val="es-ES"/>
        </w:rPr>
        <w:t>1,3</w:t>
      </w:r>
      <w:r w:rsidRPr="00B814D7">
        <w:rPr>
          <w:lang w:val="es-ES"/>
        </w:rPr>
        <w:t xml:space="preserve"> millones– y Miguel Servet –0,9</w:t>
      </w:r>
      <w:r>
        <w:rPr>
          <w:lang w:val="es-ES"/>
        </w:rPr>
        <w:t xml:space="preserve"> </w:t>
      </w:r>
      <w:r w:rsidRPr="00B814D7">
        <w:rPr>
          <w:lang w:val="es-ES"/>
        </w:rPr>
        <w:t>millones–.</w:t>
      </w:r>
    </w:p>
    <w:p w:rsidR="00E6455F" w:rsidRDefault="00E6455F" w:rsidP="00B814D7">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Pr>
          <w:lang w:val="es-ES"/>
        </w:rPr>
        <w:t>El fondo de maniobra se ha visto reducido en un 57 por ciento, siendo los más relevantes los de la fundación Miguel Servet y del Patrimonio Histórico con una disminución del 67 y del 51 por ciento, respectivamente.</w:t>
      </w:r>
    </w:p>
    <w:p w:rsidR="00B814D7" w:rsidRPr="00B814D7" w:rsidRDefault="000D09F6" w:rsidP="00B814D7">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Pr>
          <w:lang w:val="es-ES"/>
        </w:rPr>
        <w:t>El excedente negativo del ejercicio se ha incrementado en un 66 por ciento</w:t>
      </w:r>
      <w:r w:rsidR="00B814D7" w:rsidRPr="00B814D7">
        <w:rPr>
          <w:lang w:val="es-ES"/>
        </w:rPr>
        <w:t>. En 201</w:t>
      </w:r>
      <w:r>
        <w:rPr>
          <w:lang w:val="es-ES"/>
        </w:rPr>
        <w:t>5</w:t>
      </w:r>
      <w:r w:rsidR="00B814D7" w:rsidRPr="00B814D7">
        <w:rPr>
          <w:lang w:val="es-ES"/>
        </w:rPr>
        <w:t>, todas las fundaciones presentan excedente negativo</w:t>
      </w:r>
      <w:r>
        <w:rPr>
          <w:lang w:val="es-ES"/>
        </w:rPr>
        <w:t>, destacando la fundación Miguel Servet con 0,49 millones</w:t>
      </w:r>
      <w:r w:rsidR="00B814D7" w:rsidRPr="00B814D7">
        <w:rPr>
          <w:lang w:val="es-ES"/>
        </w:rPr>
        <w:t>.</w:t>
      </w:r>
    </w:p>
    <w:p w:rsidR="00B814D7" w:rsidRPr="00B814D7" w:rsidRDefault="00B814D7" w:rsidP="00B814D7">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sidRPr="00B814D7">
        <w:rPr>
          <w:lang w:val="es-ES"/>
        </w:rPr>
        <w:t>El número</w:t>
      </w:r>
      <w:r w:rsidR="000D09F6">
        <w:rPr>
          <w:lang w:val="es-ES"/>
        </w:rPr>
        <w:t xml:space="preserve"> medio </w:t>
      </w:r>
      <w:r w:rsidRPr="00B814D7">
        <w:rPr>
          <w:lang w:val="es-ES"/>
        </w:rPr>
        <w:t xml:space="preserve">de su personal se ha incrementado en </w:t>
      </w:r>
      <w:r w:rsidR="000D09F6">
        <w:rPr>
          <w:lang w:val="es-ES"/>
        </w:rPr>
        <w:t xml:space="preserve">dos empleados. </w:t>
      </w:r>
      <w:r w:rsidRPr="00B814D7">
        <w:rPr>
          <w:lang w:val="es-ES"/>
        </w:rPr>
        <w:t>Las fundaciones que presentan un mayor número de empleados medios son la citada Miguel Servet –</w:t>
      </w:r>
      <w:r w:rsidR="000D09F6">
        <w:rPr>
          <w:lang w:val="es-ES"/>
        </w:rPr>
        <w:t>66</w:t>
      </w:r>
      <w:r w:rsidRPr="00B814D7">
        <w:rPr>
          <w:lang w:val="es-ES"/>
        </w:rPr>
        <w:t xml:space="preserve">– y Tutela de </w:t>
      </w:r>
      <w:r w:rsidR="000D09F6">
        <w:rPr>
          <w:lang w:val="es-ES"/>
        </w:rPr>
        <w:t>P</w:t>
      </w:r>
      <w:r w:rsidRPr="00B814D7">
        <w:rPr>
          <w:lang w:val="es-ES"/>
        </w:rPr>
        <w:t>ersonas Adultas –11–.</w:t>
      </w:r>
    </w:p>
    <w:p w:rsidR="00B814D7" w:rsidRDefault="00B814D7" w:rsidP="00B814D7">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lang w:val="es-ES"/>
        </w:rPr>
      </w:pPr>
      <w:r w:rsidRPr="00B814D7">
        <w:rPr>
          <w:lang w:val="es-ES"/>
        </w:rPr>
        <w:t>No presentan, en ninguno de los dos ejercicios, deuda a largo plazo.</w:t>
      </w:r>
    </w:p>
    <w:p w:rsidR="00CC0D1E" w:rsidRPr="00CC0D1E" w:rsidRDefault="00CC0D1E" w:rsidP="00CC0D1E">
      <w:pPr>
        <w:pStyle w:val="texto"/>
      </w:pPr>
      <w:r w:rsidRPr="00550C8E">
        <w:t xml:space="preserve">Recomendamos: </w:t>
      </w:r>
    </w:p>
    <w:p w:rsidR="00CC0D1E" w:rsidRDefault="00CC0D1E" w:rsidP="00CC0D1E">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ind w:left="0" w:firstLine="290"/>
        <w:rPr>
          <w:rFonts w:cs="Arial"/>
          <w:i/>
        </w:rPr>
      </w:pPr>
      <w:r w:rsidRPr="00CC0D1E">
        <w:rPr>
          <w:rFonts w:cs="Arial"/>
          <w:i/>
        </w:rPr>
        <w:t>Dentro de Plan anual de actuación de la Intervención General, incluir periódicamente la realización de auditorías de cumplimiento de legalidad sobre las fundaciones públicas.</w:t>
      </w:r>
    </w:p>
    <w:p w:rsidR="00466F95" w:rsidRPr="00AF102F" w:rsidRDefault="00CC0D1E" w:rsidP="00CC0D1E">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ind w:left="0" w:firstLine="290"/>
        <w:rPr>
          <w:rFonts w:cs="Arial"/>
          <w:i/>
        </w:rPr>
      </w:pPr>
      <w:r>
        <w:rPr>
          <w:i/>
        </w:rPr>
        <w:t>A</w:t>
      </w:r>
      <w:r w:rsidR="007D0D15" w:rsidRPr="00CC0D1E">
        <w:rPr>
          <w:i/>
        </w:rPr>
        <w:t xml:space="preserve">nalizar si la Fundación Miguel Induráin reúne las condiciones para su consideración como fundación pública. </w:t>
      </w:r>
    </w:p>
    <w:p w:rsidR="00AF102F" w:rsidRPr="00AF102F" w:rsidRDefault="00AF102F" w:rsidP="00AF102F">
      <w:pPr>
        <w:pStyle w:val="texto"/>
      </w:pPr>
      <w:r w:rsidRPr="00AF102F">
        <w:t>Informe que se emite a propuesta del auditor</w:t>
      </w:r>
      <w:r>
        <w:t xml:space="preserve"> Ignacio Cabeza Del Salvador</w:t>
      </w:r>
      <w:r w:rsidRPr="00AF102F">
        <w:t>, responsable de la realización de este trabajo, una vez cumplimentados los trámites previstos por la normativa vigente.</w:t>
      </w:r>
    </w:p>
    <w:p w:rsidR="00AF102F" w:rsidRDefault="00466F95" w:rsidP="00F86963">
      <w:pPr>
        <w:pStyle w:val="texto"/>
        <w:spacing w:after="260"/>
        <w:ind w:firstLine="0"/>
        <w:jc w:val="center"/>
        <w:rPr>
          <w:lang w:val="es-ES"/>
        </w:rPr>
      </w:pPr>
      <w:r>
        <w:rPr>
          <w:lang w:val="es-ES"/>
        </w:rPr>
        <w:t>Pamplona,</w:t>
      </w:r>
      <w:r w:rsidR="00243814">
        <w:rPr>
          <w:lang w:val="es-ES"/>
        </w:rPr>
        <w:t xml:space="preserve"> </w:t>
      </w:r>
      <w:r w:rsidR="00D301F9">
        <w:rPr>
          <w:lang w:val="es-ES"/>
        </w:rPr>
        <w:t>11</w:t>
      </w:r>
      <w:r>
        <w:rPr>
          <w:lang w:val="es-ES"/>
        </w:rPr>
        <w:t xml:space="preserve"> de </w:t>
      </w:r>
      <w:r w:rsidR="00D301F9">
        <w:rPr>
          <w:lang w:val="es-ES"/>
        </w:rPr>
        <w:t>noviembre</w:t>
      </w:r>
      <w:r w:rsidRPr="00F06037">
        <w:rPr>
          <w:lang w:val="es-ES"/>
        </w:rPr>
        <w:t xml:space="preserve"> </w:t>
      </w:r>
      <w:r>
        <w:rPr>
          <w:lang w:val="es-ES"/>
        </w:rPr>
        <w:t>de 2016</w:t>
      </w:r>
    </w:p>
    <w:p w:rsidR="00466F95" w:rsidRDefault="00D301F9" w:rsidP="00B07A4C">
      <w:pPr>
        <w:pStyle w:val="texto"/>
        <w:spacing w:after="0"/>
        <w:ind w:firstLine="0"/>
        <w:jc w:val="center"/>
        <w:rPr>
          <w:lang w:val="es-ES"/>
        </w:rPr>
      </w:pPr>
      <w:r>
        <w:rPr>
          <w:lang w:val="es-ES"/>
        </w:rPr>
        <w:t>La presidenta,</w:t>
      </w:r>
    </w:p>
    <w:p w:rsidR="00887A8A" w:rsidRDefault="00887A8A" w:rsidP="00B07A4C">
      <w:pPr>
        <w:pStyle w:val="texto"/>
        <w:spacing w:after="0"/>
        <w:ind w:firstLine="0"/>
        <w:jc w:val="center"/>
        <w:rPr>
          <w:lang w:val="es-ES"/>
        </w:rPr>
      </w:pPr>
    </w:p>
    <w:p w:rsidR="00887A8A" w:rsidRDefault="00887A8A" w:rsidP="00B07A4C">
      <w:pPr>
        <w:pStyle w:val="texto"/>
        <w:spacing w:after="0"/>
        <w:ind w:firstLine="0"/>
        <w:jc w:val="center"/>
        <w:rPr>
          <w:lang w:val="es-ES"/>
        </w:rPr>
      </w:pPr>
    </w:p>
    <w:p w:rsidR="00887A8A" w:rsidRDefault="00887A8A" w:rsidP="00B07A4C">
      <w:pPr>
        <w:pStyle w:val="texto"/>
        <w:spacing w:after="0"/>
        <w:ind w:firstLine="0"/>
        <w:jc w:val="center"/>
        <w:rPr>
          <w:lang w:val="es-ES"/>
        </w:rPr>
      </w:pPr>
    </w:p>
    <w:p w:rsidR="00887A8A" w:rsidRDefault="00887A8A" w:rsidP="00B07A4C">
      <w:pPr>
        <w:pStyle w:val="texto"/>
        <w:spacing w:after="0"/>
        <w:ind w:firstLine="0"/>
        <w:jc w:val="center"/>
        <w:rPr>
          <w:lang w:val="es-ES"/>
        </w:rPr>
      </w:pPr>
    </w:p>
    <w:p w:rsidR="00887A8A" w:rsidRPr="0067400E" w:rsidRDefault="00D301F9" w:rsidP="00B07A4C">
      <w:pPr>
        <w:pStyle w:val="texto"/>
        <w:spacing w:after="0"/>
        <w:ind w:firstLine="0"/>
        <w:jc w:val="center"/>
        <w:rPr>
          <w:lang w:val="es-ES"/>
        </w:rPr>
      </w:pPr>
      <w:r>
        <w:rPr>
          <w:lang w:val="es-ES"/>
        </w:rPr>
        <w:t>Asunción Olaechea Estanga</w:t>
      </w:r>
    </w:p>
    <w:p w:rsidR="00A95DE6" w:rsidRPr="001D1E81" w:rsidRDefault="00E52175" w:rsidP="001D1E81">
      <w:pPr>
        <w:spacing w:after="0"/>
        <w:ind w:firstLine="0"/>
        <w:jc w:val="left"/>
        <w:rPr>
          <w:rFonts w:ascii="Arial" w:hAnsi="Arial"/>
          <w:b/>
          <w:color w:val="000000"/>
          <w:kern w:val="28"/>
          <w:sz w:val="25"/>
          <w:szCs w:val="26"/>
        </w:rPr>
      </w:pPr>
      <w:bookmarkStart w:id="57" w:name="_Toc462729600"/>
      <w:r>
        <w:br w:type="page"/>
      </w:r>
      <w:bookmarkEnd w:id="57"/>
    </w:p>
    <w:p w:rsidR="008E24D2" w:rsidRPr="00DE433C" w:rsidRDefault="00021E2A" w:rsidP="00CB4D02">
      <w:pPr>
        <w:pStyle w:val="atitulo1"/>
      </w:pPr>
      <w:bookmarkStart w:id="58" w:name="_Toc463350260"/>
      <w:r>
        <w:t xml:space="preserve">Resumen de la </w:t>
      </w:r>
      <w:r w:rsidR="000C64F5">
        <w:t>Memoria</w:t>
      </w:r>
      <w:r w:rsidR="00CA523A">
        <w:t xml:space="preserve"> de la Cuenta General de</w:t>
      </w:r>
      <w:r w:rsidR="000C64F5">
        <w:t xml:space="preserve"> 201</w:t>
      </w:r>
      <w:r>
        <w:t>5</w:t>
      </w:r>
      <w:bookmarkEnd w:id="58"/>
    </w:p>
    <w:sectPr w:rsidR="008E24D2" w:rsidRPr="00DE433C" w:rsidSect="009D4B6A">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C86" w:rsidRDefault="007E1C86">
      <w:r>
        <w:separator/>
      </w:r>
    </w:p>
    <w:p w:rsidR="007E1C86" w:rsidRDefault="007E1C86"/>
    <w:p w:rsidR="007E1C86" w:rsidRDefault="007E1C86"/>
    <w:p w:rsidR="007E1C86" w:rsidRDefault="007E1C86"/>
  </w:endnote>
  <w:endnote w:type="continuationSeparator" w:id="0">
    <w:p w:rsidR="007E1C86" w:rsidRDefault="007E1C86">
      <w:r>
        <w:continuationSeparator/>
      </w:r>
    </w:p>
    <w:p w:rsidR="007E1C86" w:rsidRDefault="007E1C86"/>
    <w:p w:rsidR="007E1C86" w:rsidRDefault="007E1C86"/>
    <w:p w:rsidR="007E1C86" w:rsidRDefault="007E1C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Sans">
    <w:panose1 w:val="00000000000000000000"/>
    <w:charset w:val="00"/>
    <w:family w:val="swiss"/>
    <w:notTrueType/>
    <w:pitch w:val="variable"/>
    <w:sig w:usb0="00000003" w:usb1="00000000" w:usb2="00000000" w:usb3="00000000" w:csb0="00000001" w:csb1="00000000"/>
  </w:font>
  <w:font w:name="Trajan">
    <w:altName w:val="Courier New"/>
    <w:panose1 w:val="00000000000000000000"/>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00000000" w:usb1="C0007841" w:usb2="00000009" w:usb3="00000000" w:csb0="000001FF" w:csb1="00000000"/>
  </w:font>
  <w:font w:name="GillSans Light">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86" w:rsidRDefault="007E1C86"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E1C86" w:rsidRDefault="007E1C86"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86" w:rsidRPr="00F03814" w:rsidRDefault="007E1C86"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29354455" wp14:editId="7B8B289F">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7E1C86" w:rsidRPr="00F74E38" w:rsidRDefault="007E1C86"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86" w:rsidRDefault="007E1C86"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86" w:rsidRDefault="007E1C86" w:rsidP="0072408E">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Style w:val="Nmerodepgina"/>
        <w:szCs w:val="24"/>
      </w:rPr>
    </w:pPr>
    <w:r>
      <w:rPr>
        <w:rFonts w:ascii="GillSans" w:hAnsi="GillSans"/>
        <w:noProof/>
        <w:lang w:val="es-ES" w:eastAsia="es-ES"/>
      </w:rPr>
      <w:drawing>
        <wp:anchor distT="0" distB="0" distL="114300" distR="114300" simplePos="0" relativeHeight="251659264" behindDoc="0" locked="0" layoutInCell="1" allowOverlap="1" wp14:anchorId="7EBEE1CD" wp14:editId="7BE972F9">
          <wp:simplePos x="0" y="0"/>
          <wp:positionH relativeFrom="column">
            <wp:posOffset>1905</wp:posOffset>
          </wp:positionH>
          <wp:positionV relativeFrom="paragraph">
            <wp:posOffset>-236220</wp:posOffset>
          </wp:positionV>
          <wp:extent cx="219075" cy="371475"/>
          <wp:effectExtent l="0" t="0" r="9525" b="9525"/>
          <wp:wrapSquare wrapText="bothSides"/>
          <wp:docPr id="8" name="Imagen 8"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3D1FFE">
      <w:rPr>
        <w:rStyle w:val="Nmerodepgina"/>
        <w:noProof/>
        <w:szCs w:val="24"/>
      </w:rPr>
      <w:t>46</w:t>
    </w:r>
    <w:r w:rsidRPr="001D4F09">
      <w:rPr>
        <w:rStyle w:val="Nmerodepgina"/>
        <w:szCs w:val="24"/>
      </w:rPr>
      <w:fldChar w:fldCharType="end"/>
    </w:r>
    <w:r w:rsidRPr="001D4F09">
      <w:rPr>
        <w:rStyle w:val="Nmerodepgina"/>
        <w:szCs w:val="24"/>
      </w:rPr>
      <w:t xml:space="preserve"> </w:t>
    </w:r>
    <w:r>
      <w:rPr>
        <w:rStyle w:val="Nmerodepgina"/>
        <w:szCs w:val="24"/>
      </w:rPr>
      <w:t>-</w:t>
    </w:r>
  </w:p>
  <w:p w:rsidR="007E1C86" w:rsidRDefault="007E1C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C86" w:rsidRDefault="007E1C86" w:rsidP="001F2A05">
      <w:pPr>
        <w:ind w:firstLine="0"/>
      </w:pPr>
      <w:r>
        <w:separator/>
      </w:r>
    </w:p>
  </w:footnote>
  <w:footnote w:type="continuationSeparator" w:id="0">
    <w:p w:rsidR="007E1C86" w:rsidRDefault="007E1C86" w:rsidP="00A5319B">
      <w:pPr>
        <w:ind w:firstLine="0"/>
      </w:pPr>
      <w:r>
        <w:continuationSeparator/>
      </w:r>
    </w:p>
  </w:footnote>
  <w:footnote w:id="1">
    <w:p w:rsidR="007E1C86" w:rsidRDefault="007E1C86" w:rsidP="00EA1988">
      <w:pPr>
        <w:pStyle w:val="Textonotapie"/>
        <w:spacing w:after="60"/>
        <w:ind w:firstLine="0"/>
      </w:pPr>
      <w:r>
        <w:rPr>
          <w:rStyle w:val="Refdenotaalpie"/>
        </w:rPr>
        <w:footnoteRef/>
      </w:r>
      <w:r>
        <w:t xml:space="preserve"> El PIB de Navarra en 2015, según el INE y con carácter provisional, es de 18.246 millones de euros. </w:t>
      </w:r>
    </w:p>
  </w:footnote>
  <w:footnote w:id="2">
    <w:p w:rsidR="007E1C86" w:rsidRDefault="007E1C86" w:rsidP="00511CA0">
      <w:pPr>
        <w:pStyle w:val="Textonotapie"/>
        <w:ind w:firstLine="0"/>
      </w:pPr>
      <w:r>
        <w:rPr>
          <w:rStyle w:val="Refdenotaalpie"/>
        </w:rPr>
        <w:footnoteRef/>
      </w:r>
      <w:r>
        <w:t xml:space="preserve"> Ministerio de Hacienda y Administraciones Públicas, informe sobre  “Grado de cumplimiento del objetivo de estabilidad presupuestaria, deuda pública y regla de gasto del ejercicio de 2015 (14 de octubre de 2016)”</w:t>
      </w:r>
    </w:p>
  </w:footnote>
  <w:footnote w:id="3">
    <w:p w:rsidR="007E1C86" w:rsidRDefault="007E1C86" w:rsidP="003611D3">
      <w:pPr>
        <w:pStyle w:val="Textonotapie"/>
        <w:spacing w:after="120"/>
        <w:ind w:firstLine="0"/>
      </w:pPr>
      <w:r>
        <w:rPr>
          <w:rStyle w:val="Refdenotaalpie"/>
        </w:rPr>
        <w:footnoteRef/>
      </w:r>
      <w:r>
        <w:t xml:space="preserve"> Sociedad propietaria del parque de ocio Senda Viva </w:t>
      </w:r>
    </w:p>
  </w:footnote>
  <w:footnote w:id="4">
    <w:p w:rsidR="007E1C86" w:rsidRDefault="007E1C86" w:rsidP="00932A3E">
      <w:pPr>
        <w:pStyle w:val="Textonotapie"/>
        <w:ind w:firstLine="0"/>
      </w:pPr>
      <w:r>
        <w:rPr>
          <w:rStyle w:val="Refdenotaalpie"/>
        </w:rPr>
        <w:footnoteRef/>
      </w:r>
      <w:r>
        <w:t xml:space="preserve"> Que señala básicamente que se constituirá un fondo de prórroga por la cuantía de aquellos servicios o pr</w:t>
      </w:r>
      <w:r>
        <w:t>o</w:t>
      </w:r>
      <w:r>
        <w:t xml:space="preserve">gramas concluidos al término del ejercicio cuyos presupuestos se prorroguen y obligaciones extinguidas en el mismo. </w:t>
      </w:r>
    </w:p>
  </w:footnote>
  <w:footnote w:id="5">
    <w:p w:rsidR="007E1C86" w:rsidRDefault="007E1C86" w:rsidP="0011458F">
      <w:pPr>
        <w:pStyle w:val="Textonotapie"/>
        <w:spacing w:after="0"/>
        <w:ind w:firstLine="0"/>
      </w:pPr>
      <w:r>
        <w:rPr>
          <w:rStyle w:val="Refdenotaalpie"/>
        </w:rPr>
        <w:footnoteRef/>
      </w:r>
      <w:r>
        <w:t xml:space="preserve"> Se entiende por recaudación líquida los cobros en efectivo del ejercicio corriente y de cerrados más las fo</w:t>
      </w:r>
      <w:r>
        <w:t>r</w:t>
      </w:r>
      <w:r>
        <w:t>malizaciones y compensaciones menos las devoluciones.</w:t>
      </w:r>
    </w:p>
  </w:footnote>
  <w:footnote w:id="6">
    <w:p w:rsidR="007E1C86" w:rsidRPr="00C46DA0" w:rsidRDefault="007E1C86" w:rsidP="0011458F">
      <w:pPr>
        <w:pStyle w:val="Textonotapie"/>
        <w:spacing w:after="0"/>
        <w:ind w:firstLine="0"/>
      </w:pPr>
      <w:r w:rsidRPr="00C46DA0">
        <w:rPr>
          <w:rStyle w:val="Refdenotaalpie"/>
          <w:rFonts w:ascii="ITCCentury Book" w:hAnsi="ITCCentury Book"/>
        </w:rPr>
        <w:footnoteRef/>
      </w:r>
      <w:r w:rsidRPr="00C46DA0">
        <w:rPr>
          <w:rStyle w:val="Refdenotaalpie"/>
          <w:rFonts w:ascii="ITCCentury Book" w:hAnsi="ITCCentury Book"/>
        </w:rPr>
        <w:t xml:space="preserve"> </w:t>
      </w:r>
      <w:r w:rsidRPr="00C46DA0">
        <w:t xml:space="preserve">Ahorro </w:t>
      </w:r>
      <w:r>
        <w:t>B</w:t>
      </w:r>
      <w:r w:rsidRPr="00C46DA0">
        <w:t>ruto: ingresos corrientes</w:t>
      </w:r>
      <w:r>
        <w:t xml:space="preserve"> (cap. 1 al 5) </w:t>
      </w:r>
      <w:r w:rsidRPr="00C46DA0">
        <w:t>menos gastos de funcionamiento (cap</w:t>
      </w:r>
      <w:r>
        <w:t>.</w:t>
      </w:r>
      <w:r w:rsidRPr="00C46DA0">
        <w:t xml:space="preserve"> 1,</w:t>
      </w:r>
      <w:r>
        <w:t xml:space="preserve"> </w:t>
      </w:r>
      <w:r w:rsidRPr="00C46DA0">
        <w:t>2 y 4)</w:t>
      </w:r>
      <w:r>
        <w:t>.</w:t>
      </w:r>
    </w:p>
  </w:footnote>
  <w:footnote w:id="7">
    <w:p w:rsidR="007E1C86" w:rsidRDefault="007E1C86" w:rsidP="003C3AD4">
      <w:pPr>
        <w:pStyle w:val="Textonotapie"/>
        <w:spacing w:before="60" w:after="60"/>
        <w:ind w:firstLine="0"/>
      </w:pPr>
      <w:r>
        <w:rPr>
          <w:rStyle w:val="Refdenotaalpie"/>
        </w:rPr>
        <w:footnoteRef/>
      </w:r>
      <w:r>
        <w:t xml:space="preserve"> Ahorro Neto: Ahorro bruto menos carga financiera (cap. 3 y 9 de gastos).</w:t>
      </w:r>
    </w:p>
  </w:footnote>
  <w:footnote w:id="8">
    <w:p w:rsidR="007E1C86" w:rsidRDefault="007E1C86" w:rsidP="00B66928">
      <w:pPr>
        <w:pStyle w:val="Textonotapie"/>
        <w:spacing w:after="0"/>
        <w:ind w:firstLine="0"/>
      </w:pPr>
      <w:r>
        <w:rPr>
          <w:rStyle w:val="Refdenotaalpie"/>
        </w:rPr>
        <w:footnoteRef/>
      </w:r>
      <w:r>
        <w:t xml:space="preserve"> Valorada según el criterio de coste amortizado. </w:t>
      </w:r>
    </w:p>
  </w:footnote>
  <w:footnote w:id="9">
    <w:p w:rsidR="007E1C86" w:rsidRDefault="007E1C86" w:rsidP="00B66928">
      <w:pPr>
        <w:pStyle w:val="Textonotapie"/>
        <w:spacing w:after="0"/>
        <w:ind w:firstLine="0"/>
      </w:pPr>
      <w:r>
        <w:rPr>
          <w:rStyle w:val="Refdenotaalpie"/>
        </w:rPr>
        <w:footnoteRef/>
      </w:r>
      <w:r>
        <w:t xml:space="preserve"> En septiembre de 2016 se ha publicado una nueva Resolución que deroga la citada de julio de 2015, actual</w:t>
      </w:r>
      <w:r>
        <w:t>i</w:t>
      </w:r>
      <w:r>
        <w:t>zándose los tipos de interés de las operaciones a concertar.</w:t>
      </w:r>
    </w:p>
  </w:footnote>
  <w:footnote w:id="10">
    <w:p w:rsidR="007E1C86" w:rsidRDefault="007E1C86" w:rsidP="002F2730">
      <w:pPr>
        <w:pStyle w:val="Textonotapie"/>
        <w:ind w:firstLine="0"/>
      </w:pPr>
      <w:r>
        <w:rPr>
          <w:rStyle w:val="Refdenotaalpie"/>
        </w:rPr>
        <w:footnoteRef/>
      </w:r>
      <w:r>
        <w:t xml:space="preserve"> Próximamente, la Cámara de Comptos va a emitir un informe sobre la situación de las obras del TAV en Navarra.</w:t>
      </w:r>
    </w:p>
  </w:footnote>
  <w:footnote w:id="11">
    <w:p w:rsidR="007E1C86" w:rsidRDefault="007E1C86" w:rsidP="0011458F">
      <w:pPr>
        <w:pStyle w:val="Textonotapie"/>
        <w:spacing w:after="0"/>
        <w:ind w:firstLine="0"/>
      </w:pPr>
      <w:r>
        <w:rPr>
          <w:rStyle w:val="Refdenotaalpie"/>
        </w:rPr>
        <w:footnoteRef/>
      </w:r>
      <w:r>
        <w:t xml:space="preserve"> Al respecto, está previsto que todos los flujos de gastos e ingresos del Convenio se recojan en un programa presupuestario específico, tanto en el propio presupuesto general del Gobierno de Navarra como en su liqu</w:t>
      </w:r>
      <w:r>
        <w:t>i</w:t>
      </w:r>
      <w:r>
        <w:t xml:space="preserve">dación. </w:t>
      </w:r>
    </w:p>
  </w:footnote>
  <w:footnote w:id="12">
    <w:p w:rsidR="007E1C86" w:rsidRDefault="007E1C86" w:rsidP="00CD1EE7">
      <w:pPr>
        <w:pStyle w:val="Textonotapie"/>
        <w:spacing w:after="60"/>
        <w:ind w:firstLine="0"/>
      </w:pPr>
      <w:r>
        <w:rPr>
          <w:rStyle w:val="Refdenotaalpie"/>
        </w:rPr>
        <w:footnoteRef/>
      </w:r>
      <w:r>
        <w:t xml:space="preserve"> Para el segundo semestre de 2015, el tipo de interés aplicado fue del 0,366 por ciento.</w:t>
      </w:r>
    </w:p>
  </w:footnote>
  <w:footnote w:id="13">
    <w:p w:rsidR="007E1C86" w:rsidRDefault="007E1C86" w:rsidP="009578DE">
      <w:pPr>
        <w:pStyle w:val="Textonotapie"/>
        <w:ind w:firstLine="0"/>
      </w:pPr>
      <w:r>
        <w:rPr>
          <w:rStyle w:val="Refdenotaalpie"/>
        </w:rPr>
        <w:footnoteRef/>
      </w:r>
      <w:r>
        <w:t xml:space="preserve"> Retribución variable que se fija en función del número potencial de beneficiarios de un centro de salud ponderado con una serie de indicadores.</w:t>
      </w:r>
    </w:p>
  </w:footnote>
  <w:footnote w:id="14">
    <w:p w:rsidR="007E1C86" w:rsidRDefault="007E1C86" w:rsidP="00A421D5">
      <w:pPr>
        <w:pStyle w:val="Textonotapie"/>
        <w:ind w:firstLine="0"/>
      </w:pPr>
      <w:r>
        <w:rPr>
          <w:rStyle w:val="Refdenotaalpie"/>
        </w:rPr>
        <w:footnoteRef/>
      </w:r>
      <w:r>
        <w:t xml:space="preserve"> Recientemente, la Cámara de Comptos ha emitido un informe sobre prescripciones de deuda tributaria en el periodo de 2008 a 2015.</w:t>
      </w:r>
    </w:p>
  </w:footnote>
  <w:footnote w:id="15">
    <w:p w:rsidR="007E1C86" w:rsidRDefault="007E1C86" w:rsidP="007323E7">
      <w:pPr>
        <w:pStyle w:val="Textonotapie"/>
        <w:spacing w:after="0"/>
        <w:ind w:firstLine="0"/>
      </w:pPr>
      <w:r>
        <w:rPr>
          <w:rStyle w:val="Refdenotaalpie"/>
        </w:rPr>
        <w:footnoteRef/>
      </w:r>
      <w:r>
        <w:t xml:space="preserve"> Socios que han limitado su responsabilidad exclusivamente a las cantidades aportadas como capital.</w:t>
      </w:r>
    </w:p>
  </w:footnote>
  <w:footnote w:id="16">
    <w:p w:rsidR="007E1C86" w:rsidRDefault="007E1C86" w:rsidP="007C6BCB">
      <w:pPr>
        <w:pStyle w:val="Textonotapie"/>
        <w:spacing w:after="40"/>
        <w:ind w:firstLine="0"/>
      </w:pPr>
      <w:r>
        <w:rPr>
          <w:rStyle w:val="Refdenotaalpie"/>
        </w:rPr>
        <w:footnoteRef/>
      </w:r>
      <w:r>
        <w:t xml:space="preserve"> Sobre esta operación, puede verse el informe elaborado por esta Cámara de Comptos sobre “Resultados de la operación de compra-venta de acciones de Iberdrola”.</w:t>
      </w:r>
    </w:p>
  </w:footnote>
  <w:footnote w:id="17">
    <w:p w:rsidR="007E1C86" w:rsidRDefault="007E1C86" w:rsidP="007C6BCB">
      <w:pPr>
        <w:pStyle w:val="Textonotapie"/>
        <w:spacing w:after="40"/>
        <w:ind w:firstLine="0"/>
      </w:pPr>
      <w:r>
        <w:rPr>
          <w:rStyle w:val="Refdenotaalpie"/>
        </w:rPr>
        <w:footnoteRef/>
      </w:r>
      <w:r>
        <w:t xml:space="preserve"> Al objeto de hacer comparables los datos, para el ejercicio de 2014, se ha tomado exclusivamente la información correspondiente a las cuatro fundaciones existentes a 31 de diciembre de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86" w:rsidRPr="0059650E" w:rsidRDefault="007E1C86" w:rsidP="00422598">
    <w:pPr>
      <w:pStyle w:val="Encabezado"/>
      <w:pBdr>
        <w:bottom w:val="single" w:sz="4" w:space="1" w:color="auto"/>
      </w:pBdr>
      <w:spacing w:after="40"/>
      <w:ind w:firstLine="0"/>
      <w:jc w:val="left"/>
      <w:rPr>
        <w:lang w:val="es-ES"/>
      </w:rPr>
    </w:pPr>
    <w:r>
      <w:rPr>
        <w:b/>
        <w:noProof/>
        <w:lang w:val="es-ES" w:eastAsia="es-ES"/>
      </w:rPr>
      <w:drawing>
        <wp:inline distT="0" distB="0" distL="0" distR="0" wp14:anchorId="0B653E28" wp14:editId="460E2A4C">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ab/>
      <w:t>Informe de fiscalización sobre las cuentas generales de navarra,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86" w:rsidRDefault="007E1C86" w:rsidP="006A2D41">
    <w:pPr>
      <w:pStyle w:val="Encabezado"/>
      <w:ind w:firstLine="0"/>
      <w:jc w:val="left"/>
    </w:pPr>
    <w:r>
      <w:rPr>
        <w:noProof/>
        <w:lang w:val="es-ES" w:eastAsia="es-ES"/>
      </w:rPr>
      <w:drawing>
        <wp:inline distT="0" distB="0" distL="0" distR="0" wp14:anchorId="24A2615C" wp14:editId="047DDB2B">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D58"/>
    <w:multiLevelType w:val="hybridMultilevel"/>
    <w:tmpl w:val="3C6C7468"/>
    <w:lvl w:ilvl="0" w:tplc="CF12868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2">
    <w:nsid w:val="2C3B0A89"/>
    <w:multiLevelType w:val="hybridMultilevel"/>
    <w:tmpl w:val="67848812"/>
    <w:lvl w:ilvl="0" w:tplc="11B6CCA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nsid w:val="2E0704E9"/>
    <w:multiLevelType w:val="hybridMultilevel"/>
    <w:tmpl w:val="686A438C"/>
    <w:lvl w:ilvl="0" w:tplc="76344444">
      <w:start w:val="2"/>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2F9C25F5"/>
    <w:multiLevelType w:val="hybridMultilevel"/>
    <w:tmpl w:val="7D50081A"/>
    <w:lvl w:ilvl="0" w:tplc="D206F040">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
    <w:nsid w:val="3DE24E14"/>
    <w:multiLevelType w:val="hybridMultilevel"/>
    <w:tmpl w:val="9F2CEAC0"/>
    <w:lvl w:ilvl="0" w:tplc="D1F2DF2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01F2EC5"/>
    <w:multiLevelType w:val="hybridMultilevel"/>
    <w:tmpl w:val="2C30807C"/>
    <w:lvl w:ilvl="0" w:tplc="487663A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nsid w:val="43E97F3E"/>
    <w:multiLevelType w:val="singleLevel"/>
    <w:tmpl w:val="0C0A0001"/>
    <w:lvl w:ilvl="0">
      <w:start w:val="1"/>
      <w:numFmt w:val="bullet"/>
      <w:lvlText w:val=""/>
      <w:lvlJc w:val="left"/>
      <w:pPr>
        <w:tabs>
          <w:tab w:val="num" w:pos="600"/>
        </w:tabs>
        <w:ind w:left="600" w:hanging="360"/>
      </w:pPr>
      <w:rPr>
        <w:rFonts w:ascii="Symbol" w:hAnsi="Symbol" w:hint="default"/>
      </w:rPr>
    </w:lvl>
  </w:abstractNum>
  <w:abstractNum w:abstractNumId="8">
    <w:nsid w:val="5AE004D7"/>
    <w:multiLevelType w:val="hybridMultilevel"/>
    <w:tmpl w:val="CC9AB548"/>
    <w:lvl w:ilvl="0" w:tplc="08FCF350">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9">
    <w:nsid w:val="644B5128"/>
    <w:multiLevelType w:val="singleLevel"/>
    <w:tmpl w:val="F50A19D2"/>
    <w:lvl w:ilvl="0">
      <w:start w:val="46"/>
      <w:numFmt w:val="bullet"/>
      <w:lvlText w:val=""/>
      <w:lvlJc w:val="left"/>
      <w:pPr>
        <w:tabs>
          <w:tab w:val="num" w:pos="928"/>
        </w:tabs>
        <w:ind w:left="398" w:firstLine="170"/>
      </w:pPr>
      <w:rPr>
        <w:rFonts w:ascii="Wingdings" w:hAnsi="Wingdings" w:hint="default"/>
      </w:rPr>
    </w:lvl>
  </w:abstractNum>
  <w:abstractNum w:abstractNumId="10">
    <w:nsid w:val="79796B5C"/>
    <w:multiLevelType w:val="hybridMultilevel"/>
    <w:tmpl w:val="C0CC0A9E"/>
    <w:lvl w:ilvl="0" w:tplc="5F0CE24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F1E0317"/>
    <w:multiLevelType w:val="hybridMultilevel"/>
    <w:tmpl w:val="6DCA5294"/>
    <w:lvl w:ilvl="0" w:tplc="17D8314A">
      <w:start w:val="2"/>
      <w:numFmt w:val="bullet"/>
      <w:lvlText w:val="-"/>
      <w:lvlJc w:val="left"/>
      <w:pPr>
        <w:ind w:left="1948" w:hanging="360"/>
      </w:pPr>
      <w:rPr>
        <w:rFonts w:ascii="Times New Roman" w:eastAsia="Times New Roman" w:hAnsi="Times New Roman" w:cs="Times New Roman" w:hint="default"/>
      </w:rPr>
    </w:lvl>
    <w:lvl w:ilvl="1" w:tplc="0C0A0019" w:tentative="1">
      <w:start w:val="1"/>
      <w:numFmt w:val="lowerLetter"/>
      <w:lvlText w:val="%2."/>
      <w:lvlJc w:val="left"/>
      <w:pPr>
        <w:ind w:left="2668" w:hanging="360"/>
      </w:pPr>
    </w:lvl>
    <w:lvl w:ilvl="2" w:tplc="0C0A001B" w:tentative="1">
      <w:start w:val="1"/>
      <w:numFmt w:val="lowerRoman"/>
      <w:lvlText w:val="%3."/>
      <w:lvlJc w:val="right"/>
      <w:pPr>
        <w:ind w:left="3388" w:hanging="180"/>
      </w:pPr>
    </w:lvl>
    <w:lvl w:ilvl="3" w:tplc="0C0A000F" w:tentative="1">
      <w:start w:val="1"/>
      <w:numFmt w:val="decimal"/>
      <w:lvlText w:val="%4."/>
      <w:lvlJc w:val="left"/>
      <w:pPr>
        <w:ind w:left="4108" w:hanging="360"/>
      </w:pPr>
    </w:lvl>
    <w:lvl w:ilvl="4" w:tplc="0C0A0019" w:tentative="1">
      <w:start w:val="1"/>
      <w:numFmt w:val="lowerLetter"/>
      <w:lvlText w:val="%5."/>
      <w:lvlJc w:val="left"/>
      <w:pPr>
        <w:ind w:left="4828" w:hanging="360"/>
      </w:pPr>
    </w:lvl>
    <w:lvl w:ilvl="5" w:tplc="0C0A001B" w:tentative="1">
      <w:start w:val="1"/>
      <w:numFmt w:val="lowerRoman"/>
      <w:lvlText w:val="%6."/>
      <w:lvlJc w:val="right"/>
      <w:pPr>
        <w:ind w:left="5548" w:hanging="180"/>
      </w:pPr>
    </w:lvl>
    <w:lvl w:ilvl="6" w:tplc="0C0A000F" w:tentative="1">
      <w:start w:val="1"/>
      <w:numFmt w:val="decimal"/>
      <w:lvlText w:val="%7."/>
      <w:lvlJc w:val="left"/>
      <w:pPr>
        <w:ind w:left="6268" w:hanging="360"/>
      </w:pPr>
    </w:lvl>
    <w:lvl w:ilvl="7" w:tplc="0C0A0019" w:tentative="1">
      <w:start w:val="1"/>
      <w:numFmt w:val="lowerLetter"/>
      <w:lvlText w:val="%8."/>
      <w:lvlJc w:val="left"/>
      <w:pPr>
        <w:ind w:left="6988" w:hanging="360"/>
      </w:pPr>
    </w:lvl>
    <w:lvl w:ilvl="8" w:tplc="0C0A001B" w:tentative="1">
      <w:start w:val="1"/>
      <w:numFmt w:val="lowerRoman"/>
      <w:lvlText w:val="%9."/>
      <w:lvlJc w:val="right"/>
      <w:pPr>
        <w:ind w:left="7708" w:hanging="180"/>
      </w:pPr>
    </w:lvl>
  </w:abstractNum>
  <w:num w:numId="1">
    <w:abstractNumId w:val="9"/>
  </w:num>
  <w:num w:numId="2">
    <w:abstractNumId w:val="1"/>
  </w:num>
  <w:num w:numId="3">
    <w:abstractNumId w:val="10"/>
  </w:num>
  <w:num w:numId="4">
    <w:abstractNumId w:val="4"/>
  </w:num>
  <w:num w:numId="5">
    <w:abstractNumId w:val="2"/>
  </w:num>
  <w:num w:numId="6">
    <w:abstractNumId w:val="7"/>
  </w:num>
  <w:num w:numId="7">
    <w:abstractNumId w:val="5"/>
  </w:num>
  <w:num w:numId="8">
    <w:abstractNumId w:val="11"/>
  </w:num>
  <w:num w:numId="9">
    <w:abstractNumId w:val="6"/>
  </w:num>
  <w:num w:numId="10">
    <w:abstractNumId w:val="8"/>
  </w:num>
  <w:num w:numId="11">
    <w:abstractNumId w:val="0"/>
  </w:num>
  <w:num w:numId="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0CC"/>
    <w:rsid w:val="00000155"/>
    <w:rsid w:val="000004D2"/>
    <w:rsid w:val="000006BD"/>
    <w:rsid w:val="00000781"/>
    <w:rsid w:val="00000AAA"/>
    <w:rsid w:val="00000DD3"/>
    <w:rsid w:val="000019D8"/>
    <w:rsid w:val="00002221"/>
    <w:rsid w:val="00002640"/>
    <w:rsid w:val="00003073"/>
    <w:rsid w:val="00004162"/>
    <w:rsid w:val="000041F9"/>
    <w:rsid w:val="00004203"/>
    <w:rsid w:val="00004531"/>
    <w:rsid w:val="0000499E"/>
    <w:rsid w:val="00004E87"/>
    <w:rsid w:val="00005082"/>
    <w:rsid w:val="000055A2"/>
    <w:rsid w:val="00005604"/>
    <w:rsid w:val="00005A48"/>
    <w:rsid w:val="00005AAD"/>
    <w:rsid w:val="00005AFB"/>
    <w:rsid w:val="00005E98"/>
    <w:rsid w:val="00006736"/>
    <w:rsid w:val="00006A97"/>
    <w:rsid w:val="00006F99"/>
    <w:rsid w:val="00007069"/>
    <w:rsid w:val="000103C1"/>
    <w:rsid w:val="00010F4B"/>
    <w:rsid w:val="00011172"/>
    <w:rsid w:val="0001123B"/>
    <w:rsid w:val="00011662"/>
    <w:rsid w:val="00011CCB"/>
    <w:rsid w:val="000120F8"/>
    <w:rsid w:val="0001223E"/>
    <w:rsid w:val="00012A7F"/>
    <w:rsid w:val="00012A8F"/>
    <w:rsid w:val="00012EC4"/>
    <w:rsid w:val="000132E9"/>
    <w:rsid w:val="00013553"/>
    <w:rsid w:val="00013752"/>
    <w:rsid w:val="000148C4"/>
    <w:rsid w:val="00014941"/>
    <w:rsid w:val="00015585"/>
    <w:rsid w:val="00015835"/>
    <w:rsid w:val="000163D5"/>
    <w:rsid w:val="000165A4"/>
    <w:rsid w:val="00016A0C"/>
    <w:rsid w:val="00016A0F"/>
    <w:rsid w:val="00016CE7"/>
    <w:rsid w:val="0001781F"/>
    <w:rsid w:val="00017A3A"/>
    <w:rsid w:val="00017A48"/>
    <w:rsid w:val="00017BF7"/>
    <w:rsid w:val="000205D4"/>
    <w:rsid w:val="00020941"/>
    <w:rsid w:val="00020CD1"/>
    <w:rsid w:val="000212A1"/>
    <w:rsid w:val="000212A5"/>
    <w:rsid w:val="00021912"/>
    <w:rsid w:val="00021BF6"/>
    <w:rsid w:val="00021E2A"/>
    <w:rsid w:val="00021E3B"/>
    <w:rsid w:val="00022611"/>
    <w:rsid w:val="00022B43"/>
    <w:rsid w:val="00023062"/>
    <w:rsid w:val="00023842"/>
    <w:rsid w:val="00023BD7"/>
    <w:rsid w:val="00023EED"/>
    <w:rsid w:val="00023F3E"/>
    <w:rsid w:val="00024922"/>
    <w:rsid w:val="00024D15"/>
    <w:rsid w:val="0002530F"/>
    <w:rsid w:val="000253A5"/>
    <w:rsid w:val="00025E9B"/>
    <w:rsid w:val="00025F0D"/>
    <w:rsid w:val="00025FDF"/>
    <w:rsid w:val="00026242"/>
    <w:rsid w:val="00026720"/>
    <w:rsid w:val="00026779"/>
    <w:rsid w:val="00027034"/>
    <w:rsid w:val="00027092"/>
    <w:rsid w:val="0002788A"/>
    <w:rsid w:val="000301DB"/>
    <w:rsid w:val="000305E6"/>
    <w:rsid w:val="00030B06"/>
    <w:rsid w:val="00030EB6"/>
    <w:rsid w:val="00031839"/>
    <w:rsid w:val="00031B45"/>
    <w:rsid w:val="00032B64"/>
    <w:rsid w:val="00032BD6"/>
    <w:rsid w:val="00032D0F"/>
    <w:rsid w:val="0003340A"/>
    <w:rsid w:val="00033A91"/>
    <w:rsid w:val="00033BB1"/>
    <w:rsid w:val="00034301"/>
    <w:rsid w:val="00034399"/>
    <w:rsid w:val="000344EC"/>
    <w:rsid w:val="000349F5"/>
    <w:rsid w:val="000351F6"/>
    <w:rsid w:val="00035492"/>
    <w:rsid w:val="00035A3C"/>
    <w:rsid w:val="00036215"/>
    <w:rsid w:val="00036341"/>
    <w:rsid w:val="0003648B"/>
    <w:rsid w:val="000368F1"/>
    <w:rsid w:val="00036B82"/>
    <w:rsid w:val="00036C0F"/>
    <w:rsid w:val="00036E42"/>
    <w:rsid w:val="00036F10"/>
    <w:rsid w:val="00037F6A"/>
    <w:rsid w:val="000401DA"/>
    <w:rsid w:val="0004089C"/>
    <w:rsid w:val="00040911"/>
    <w:rsid w:val="00040D26"/>
    <w:rsid w:val="00040DF4"/>
    <w:rsid w:val="00040FE1"/>
    <w:rsid w:val="00041D7D"/>
    <w:rsid w:val="00041F12"/>
    <w:rsid w:val="00042056"/>
    <w:rsid w:val="00042314"/>
    <w:rsid w:val="0004256B"/>
    <w:rsid w:val="00042714"/>
    <w:rsid w:val="0004305C"/>
    <w:rsid w:val="0004325C"/>
    <w:rsid w:val="0004373B"/>
    <w:rsid w:val="000437B7"/>
    <w:rsid w:val="00043A0C"/>
    <w:rsid w:val="00043C21"/>
    <w:rsid w:val="00043F9C"/>
    <w:rsid w:val="00044875"/>
    <w:rsid w:val="000448FA"/>
    <w:rsid w:val="00044F0F"/>
    <w:rsid w:val="00044F35"/>
    <w:rsid w:val="00046373"/>
    <w:rsid w:val="000464A4"/>
    <w:rsid w:val="000468C3"/>
    <w:rsid w:val="000468D3"/>
    <w:rsid w:val="00046ADB"/>
    <w:rsid w:val="00047167"/>
    <w:rsid w:val="00047297"/>
    <w:rsid w:val="000478F4"/>
    <w:rsid w:val="000504A6"/>
    <w:rsid w:val="00050708"/>
    <w:rsid w:val="00050D8C"/>
    <w:rsid w:val="00050F35"/>
    <w:rsid w:val="000518C7"/>
    <w:rsid w:val="000521D0"/>
    <w:rsid w:val="000528F8"/>
    <w:rsid w:val="000531FF"/>
    <w:rsid w:val="00053575"/>
    <w:rsid w:val="00053783"/>
    <w:rsid w:val="000537FA"/>
    <w:rsid w:val="00053A42"/>
    <w:rsid w:val="00053AA1"/>
    <w:rsid w:val="000545CB"/>
    <w:rsid w:val="00054E9A"/>
    <w:rsid w:val="0005517D"/>
    <w:rsid w:val="000553F7"/>
    <w:rsid w:val="00055968"/>
    <w:rsid w:val="0005601A"/>
    <w:rsid w:val="000561FF"/>
    <w:rsid w:val="00056408"/>
    <w:rsid w:val="00057461"/>
    <w:rsid w:val="00057914"/>
    <w:rsid w:val="000605A2"/>
    <w:rsid w:val="00060BEE"/>
    <w:rsid w:val="00060E69"/>
    <w:rsid w:val="0006133D"/>
    <w:rsid w:val="0006193A"/>
    <w:rsid w:val="000619FD"/>
    <w:rsid w:val="00061AA9"/>
    <w:rsid w:val="00062575"/>
    <w:rsid w:val="00063585"/>
    <w:rsid w:val="00063A9B"/>
    <w:rsid w:val="00064240"/>
    <w:rsid w:val="00064667"/>
    <w:rsid w:val="000649A0"/>
    <w:rsid w:val="00066838"/>
    <w:rsid w:val="000668B0"/>
    <w:rsid w:val="00066A20"/>
    <w:rsid w:val="00066FA6"/>
    <w:rsid w:val="000676C4"/>
    <w:rsid w:val="00067C61"/>
    <w:rsid w:val="00067F08"/>
    <w:rsid w:val="00070183"/>
    <w:rsid w:val="000702E1"/>
    <w:rsid w:val="000702E9"/>
    <w:rsid w:val="00071558"/>
    <w:rsid w:val="0007168C"/>
    <w:rsid w:val="00071CD0"/>
    <w:rsid w:val="00071F6B"/>
    <w:rsid w:val="00071FC3"/>
    <w:rsid w:val="00072413"/>
    <w:rsid w:val="000728EB"/>
    <w:rsid w:val="0007293A"/>
    <w:rsid w:val="00072B53"/>
    <w:rsid w:val="00073840"/>
    <w:rsid w:val="00073DA0"/>
    <w:rsid w:val="00073EAF"/>
    <w:rsid w:val="0007453D"/>
    <w:rsid w:val="00074C75"/>
    <w:rsid w:val="00074E22"/>
    <w:rsid w:val="00074ECC"/>
    <w:rsid w:val="000754B7"/>
    <w:rsid w:val="00075692"/>
    <w:rsid w:val="00075A0F"/>
    <w:rsid w:val="00075DC5"/>
    <w:rsid w:val="00075E69"/>
    <w:rsid w:val="0007622A"/>
    <w:rsid w:val="00076450"/>
    <w:rsid w:val="00076947"/>
    <w:rsid w:val="00076979"/>
    <w:rsid w:val="00076D92"/>
    <w:rsid w:val="00077297"/>
    <w:rsid w:val="000775FC"/>
    <w:rsid w:val="00077848"/>
    <w:rsid w:val="00077853"/>
    <w:rsid w:val="00080099"/>
    <w:rsid w:val="0008010B"/>
    <w:rsid w:val="00080725"/>
    <w:rsid w:val="00080934"/>
    <w:rsid w:val="00080D16"/>
    <w:rsid w:val="000811B8"/>
    <w:rsid w:val="00081261"/>
    <w:rsid w:val="00081FE3"/>
    <w:rsid w:val="00082080"/>
    <w:rsid w:val="00082453"/>
    <w:rsid w:val="0008248E"/>
    <w:rsid w:val="000828E5"/>
    <w:rsid w:val="00082A28"/>
    <w:rsid w:val="000831B6"/>
    <w:rsid w:val="00083928"/>
    <w:rsid w:val="00083ADC"/>
    <w:rsid w:val="00084177"/>
    <w:rsid w:val="0008442F"/>
    <w:rsid w:val="00084893"/>
    <w:rsid w:val="0008507E"/>
    <w:rsid w:val="00085687"/>
    <w:rsid w:val="00085937"/>
    <w:rsid w:val="00085A30"/>
    <w:rsid w:val="00085FE3"/>
    <w:rsid w:val="000862A3"/>
    <w:rsid w:val="00086A1F"/>
    <w:rsid w:val="00086F19"/>
    <w:rsid w:val="0008748F"/>
    <w:rsid w:val="00087624"/>
    <w:rsid w:val="00087B8D"/>
    <w:rsid w:val="00087E89"/>
    <w:rsid w:val="0009040B"/>
    <w:rsid w:val="00090905"/>
    <w:rsid w:val="00090988"/>
    <w:rsid w:val="00090E15"/>
    <w:rsid w:val="00092097"/>
    <w:rsid w:val="0009240A"/>
    <w:rsid w:val="00092434"/>
    <w:rsid w:val="00092DF2"/>
    <w:rsid w:val="000930A1"/>
    <w:rsid w:val="00093D67"/>
    <w:rsid w:val="00093E60"/>
    <w:rsid w:val="000940D7"/>
    <w:rsid w:val="0009411D"/>
    <w:rsid w:val="00094A47"/>
    <w:rsid w:val="00094E3B"/>
    <w:rsid w:val="00094FCF"/>
    <w:rsid w:val="00095932"/>
    <w:rsid w:val="00095941"/>
    <w:rsid w:val="00095BE9"/>
    <w:rsid w:val="000969AF"/>
    <w:rsid w:val="00096E69"/>
    <w:rsid w:val="00096EDB"/>
    <w:rsid w:val="000A01FA"/>
    <w:rsid w:val="000A08FC"/>
    <w:rsid w:val="000A09EF"/>
    <w:rsid w:val="000A0AC8"/>
    <w:rsid w:val="000A0AD6"/>
    <w:rsid w:val="000A0FCD"/>
    <w:rsid w:val="000A12A7"/>
    <w:rsid w:val="000A149D"/>
    <w:rsid w:val="000A1792"/>
    <w:rsid w:val="000A18B7"/>
    <w:rsid w:val="000A2061"/>
    <w:rsid w:val="000A225D"/>
    <w:rsid w:val="000A264F"/>
    <w:rsid w:val="000A26BE"/>
    <w:rsid w:val="000A27A2"/>
    <w:rsid w:val="000A29D0"/>
    <w:rsid w:val="000A2C1E"/>
    <w:rsid w:val="000A2DDE"/>
    <w:rsid w:val="000A34D8"/>
    <w:rsid w:val="000A35C1"/>
    <w:rsid w:val="000A39A9"/>
    <w:rsid w:val="000A3FAC"/>
    <w:rsid w:val="000A4219"/>
    <w:rsid w:val="000A42F6"/>
    <w:rsid w:val="000A4697"/>
    <w:rsid w:val="000A46F3"/>
    <w:rsid w:val="000A4A9C"/>
    <w:rsid w:val="000A4EDD"/>
    <w:rsid w:val="000A4FCC"/>
    <w:rsid w:val="000A51EE"/>
    <w:rsid w:val="000A5222"/>
    <w:rsid w:val="000A525A"/>
    <w:rsid w:val="000A5621"/>
    <w:rsid w:val="000A5AD2"/>
    <w:rsid w:val="000A5B88"/>
    <w:rsid w:val="000A65EC"/>
    <w:rsid w:val="000A6C4D"/>
    <w:rsid w:val="000A7623"/>
    <w:rsid w:val="000B0434"/>
    <w:rsid w:val="000B0B1E"/>
    <w:rsid w:val="000B0D4C"/>
    <w:rsid w:val="000B0E1E"/>
    <w:rsid w:val="000B0EB1"/>
    <w:rsid w:val="000B1536"/>
    <w:rsid w:val="000B1558"/>
    <w:rsid w:val="000B1576"/>
    <w:rsid w:val="000B16D4"/>
    <w:rsid w:val="000B18ED"/>
    <w:rsid w:val="000B23DF"/>
    <w:rsid w:val="000B2728"/>
    <w:rsid w:val="000B2764"/>
    <w:rsid w:val="000B3943"/>
    <w:rsid w:val="000B429B"/>
    <w:rsid w:val="000B4477"/>
    <w:rsid w:val="000B4696"/>
    <w:rsid w:val="000B4CF6"/>
    <w:rsid w:val="000B5023"/>
    <w:rsid w:val="000B5065"/>
    <w:rsid w:val="000B526F"/>
    <w:rsid w:val="000B55D6"/>
    <w:rsid w:val="000B59B9"/>
    <w:rsid w:val="000B6896"/>
    <w:rsid w:val="000B6F64"/>
    <w:rsid w:val="000B770E"/>
    <w:rsid w:val="000B7D3A"/>
    <w:rsid w:val="000B7D8D"/>
    <w:rsid w:val="000C03E8"/>
    <w:rsid w:val="000C03F5"/>
    <w:rsid w:val="000C0704"/>
    <w:rsid w:val="000C0828"/>
    <w:rsid w:val="000C0E93"/>
    <w:rsid w:val="000C17DD"/>
    <w:rsid w:val="000C19FC"/>
    <w:rsid w:val="000C2411"/>
    <w:rsid w:val="000C2B07"/>
    <w:rsid w:val="000C30E9"/>
    <w:rsid w:val="000C3451"/>
    <w:rsid w:val="000C3495"/>
    <w:rsid w:val="000C3678"/>
    <w:rsid w:val="000C398A"/>
    <w:rsid w:val="000C39CC"/>
    <w:rsid w:val="000C3C0D"/>
    <w:rsid w:val="000C429F"/>
    <w:rsid w:val="000C4AB2"/>
    <w:rsid w:val="000C55C3"/>
    <w:rsid w:val="000C585C"/>
    <w:rsid w:val="000C6073"/>
    <w:rsid w:val="000C631F"/>
    <w:rsid w:val="000C6499"/>
    <w:rsid w:val="000C64D6"/>
    <w:rsid w:val="000C64F5"/>
    <w:rsid w:val="000C6B54"/>
    <w:rsid w:val="000C6EE2"/>
    <w:rsid w:val="000C6F3D"/>
    <w:rsid w:val="000C7225"/>
    <w:rsid w:val="000C7566"/>
    <w:rsid w:val="000C775B"/>
    <w:rsid w:val="000C78EA"/>
    <w:rsid w:val="000C7B2B"/>
    <w:rsid w:val="000C7C55"/>
    <w:rsid w:val="000C7C8D"/>
    <w:rsid w:val="000D07B1"/>
    <w:rsid w:val="000D09F6"/>
    <w:rsid w:val="000D0A95"/>
    <w:rsid w:val="000D0D34"/>
    <w:rsid w:val="000D0E71"/>
    <w:rsid w:val="000D0F6C"/>
    <w:rsid w:val="000D13D3"/>
    <w:rsid w:val="000D188E"/>
    <w:rsid w:val="000D1F16"/>
    <w:rsid w:val="000D2040"/>
    <w:rsid w:val="000D22D5"/>
    <w:rsid w:val="000D2601"/>
    <w:rsid w:val="000D2954"/>
    <w:rsid w:val="000D29E9"/>
    <w:rsid w:val="000D2A9F"/>
    <w:rsid w:val="000D302A"/>
    <w:rsid w:val="000D3959"/>
    <w:rsid w:val="000D3BAB"/>
    <w:rsid w:val="000D3E76"/>
    <w:rsid w:val="000D4327"/>
    <w:rsid w:val="000D47A6"/>
    <w:rsid w:val="000D48B4"/>
    <w:rsid w:val="000D4B4D"/>
    <w:rsid w:val="000D4D73"/>
    <w:rsid w:val="000D4F72"/>
    <w:rsid w:val="000D5178"/>
    <w:rsid w:val="000D5335"/>
    <w:rsid w:val="000D67E8"/>
    <w:rsid w:val="000D707C"/>
    <w:rsid w:val="000D70E5"/>
    <w:rsid w:val="000D713E"/>
    <w:rsid w:val="000D7B14"/>
    <w:rsid w:val="000D7C4A"/>
    <w:rsid w:val="000D7CB3"/>
    <w:rsid w:val="000E0F69"/>
    <w:rsid w:val="000E1030"/>
    <w:rsid w:val="000E167E"/>
    <w:rsid w:val="000E1981"/>
    <w:rsid w:val="000E1A1D"/>
    <w:rsid w:val="000E2297"/>
    <w:rsid w:val="000E283B"/>
    <w:rsid w:val="000E287F"/>
    <w:rsid w:val="000E2E81"/>
    <w:rsid w:val="000E2E9B"/>
    <w:rsid w:val="000E2F4C"/>
    <w:rsid w:val="000E361E"/>
    <w:rsid w:val="000E3C4F"/>
    <w:rsid w:val="000E3EF5"/>
    <w:rsid w:val="000E472F"/>
    <w:rsid w:val="000E4927"/>
    <w:rsid w:val="000E495B"/>
    <w:rsid w:val="000E4E1D"/>
    <w:rsid w:val="000E4F75"/>
    <w:rsid w:val="000E5894"/>
    <w:rsid w:val="000E5BB3"/>
    <w:rsid w:val="000E600D"/>
    <w:rsid w:val="000E6060"/>
    <w:rsid w:val="000E6102"/>
    <w:rsid w:val="000E6404"/>
    <w:rsid w:val="000E64FF"/>
    <w:rsid w:val="000E6630"/>
    <w:rsid w:val="000E6AE1"/>
    <w:rsid w:val="000E76BF"/>
    <w:rsid w:val="000E79F9"/>
    <w:rsid w:val="000E7B86"/>
    <w:rsid w:val="000E7C62"/>
    <w:rsid w:val="000E7EE8"/>
    <w:rsid w:val="000F000D"/>
    <w:rsid w:val="000F04AF"/>
    <w:rsid w:val="000F0DD0"/>
    <w:rsid w:val="000F0E7E"/>
    <w:rsid w:val="000F1931"/>
    <w:rsid w:val="000F1E67"/>
    <w:rsid w:val="000F23E5"/>
    <w:rsid w:val="000F2A2A"/>
    <w:rsid w:val="000F2B17"/>
    <w:rsid w:val="000F2B66"/>
    <w:rsid w:val="000F3371"/>
    <w:rsid w:val="000F3452"/>
    <w:rsid w:val="000F3478"/>
    <w:rsid w:val="000F3D83"/>
    <w:rsid w:val="000F442E"/>
    <w:rsid w:val="000F465E"/>
    <w:rsid w:val="000F49BE"/>
    <w:rsid w:val="000F4BCF"/>
    <w:rsid w:val="000F5424"/>
    <w:rsid w:val="000F58DA"/>
    <w:rsid w:val="000F5C5C"/>
    <w:rsid w:val="000F5EFF"/>
    <w:rsid w:val="000F6086"/>
    <w:rsid w:val="000F6922"/>
    <w:rsid w:val="000F69EE"/>
    <w:rsid w:val="000F6BF1"/>
    <w:rsid w:val="000F7088"/>
    <w:rsid w:val="000F73EA"/>
    <w:rsid w:val="00100119"/>
    <w:rsid w:val="0010013F"/>
    <w:rsid w:val="00100476"/>
    <w:rsid w:val="00100A4A"/>
    <w:rsid w:val="00100E07"/>
    <w:rsid w:val="00100F12"/>
    <w:rsid w:val="00101B81"/>
    <w:rsid w:val="00101E1C"/>
    <w:rsid w:val="00102392"/>
    <w:rsid w:val="00102F39"/>
    <w:rsid w:val="00103489"/>
    <w:rsid w:val="00103589"/>
    <w:rsid w:val="0010370B"/>
    <w:rsid w:val="00103B8A"/>
    <w:rsid w:val="001045C9"/>
    <w:rsid w:val="00104FD5"/>
    <w:rsid w:val="001058CE"/>
    <w:rsid w:val="00105CF0"/>
    <w:rsid w:val="00105D2E"/>
    <w:rsid w:val="00105DA1"/>
    <w:rsid w:val="00106B98"/>
    <w:rsid w:val="00106FDC"/>
    <w:rsid w:val="00107585"/>
    <w:rsid w:val="001075C1"/>
    <w:rsid w:val="00107863"/>
    <w:rsid w:val="00107B90"/>
    <w:rsid w:val="00107CC1"/>
    <w:rsid w:val="00107CC7"/>
    <w:rsid w:val="00107F61"/>
    <w:rsid w:val="0011009E"/>
    <w:rsid w:val="00110483"/>
    <w:rsid w:val="00110545"/>
    <w:rsid w:val="00110AC5"/>
    <w:rsid w:val="001111E9"/>
    <w:rsid w:val="0011163B"/>
    <w:rsid w:val="00111A92"/>
    <w:rsid w:val="00111D80"/>
    <w:rsid w:val="00111FC7"/>
    <w:rsid w:val="001122DF"/>
    <w:rsid w:val="00112AAA"/>
    <w:rsid w:val="00112BEB"/>
    <w:rsid w:val="001131A9"/>
    <w:rsid w:val="00113466"/>
    <w:rsid w:val="00113A5C"/>
    <w:rsid w:val="00113FC9"/>
    <w:rsid w:val="00114412"/>
    <w:rsid w:val="0011458F"/>
    <w:rsid w:val="001145C3"/>
    <w:rsid w:val="00114751"/>
    <w:rsid w:val="00114978"/>
    <w:rsid w:val="00115624"/>
    <w:rsid w:val="001158AB"/>
    <w:rsid w:val="001159E2"/>
    <w:rsid w:val="00115E06"/>
    <w:rsid w:val="00116150"/>
    <w:rsid w:val="001161D2"/>
    <w:rsid w:val="00116FFC"/>
    <w:rsid w:val="00117573"/>
    <w:rsid w:val="001176AA"/>
    <w:rsid w:val="0011788E"/>
    <w:rsid w:val="00117E2F"/>
    <w:rsid w:val="00120085"/>
    <w:rsid w:val="001207A4"/>
    <w:rsid w:val="00120A8B"/>
    <w:rsid w:val="00120C02"/>
    <w:rsid w:val="00120C91"/>
    <w:rsid w:val="00120CBD"/>
    <w:rsid w:val="00120D31"/>
    <w:rsid w:val="00120F60"/>
    <w:rsid w:val="001212CD"/>
    <w:rsid w:val="001215DC"/>
    <w:rsid w:val="00121E13"/>
    <w:rsid w:val="00122828"/>
    <w:rsid w:val="0012354F"/>
    <w:rsid w:val="00123574"/>
    <w:rsid w:val="001237FE"/>
    <w:rsid w:val="00123FC5"/>
    <w:rsid w:val="00124261"/>
    <w:rsid w:val="001246C8"/>
    <w:rsid w:val="00124AFE"/>
    <w:rsid w:val="00124B38"/>
    <w:rsid w:val="00124E7F"/>
    <w:rsid w:val="00125013"/>
    <w:rsid w:val="00125497"/>
    <w:rsid w:val="001255CD"/>
    <w:rsid w:val="00125FD4"/>
    <w:rsid w:val="00126284"/>
    <w:rsid w:val="00126702"/>
    <w:rsid w:val="001267D2"/>
    <w:rsid w:val="00126818"/>
    <w:rsid w:val="00126917"/>
    <w:rsid w:val="00126E34"/>
    <w:rsid w:val="00127D8C"/>
    <w:rsid w:val="00127FFD"/>
    <w:rsid w:val="0013026C"/>
    <w:rsid w:val="00130480"/>
    <w:rsid w:val="001304F7"/>
    <w:rsid w:val="00130686"/>
    <w:rsid w:val="0013092A"/>
    <w:rsid w:val="00130F3E"/>
    <w:rsid w:val="0013107B"/>
    <w:rsid w:val="001310C0"/>
    <w:rsid w:val="00131899"/>
    <w:rsid w:val="00131DF1"/>
    <w:rsid w:val="001328E4"/>
    <w:rsid w:val="00132C38"/>
    <w:rsid w:val="00132DC3"/>
    <w:rsid w:val="00132DCA"/>
    <w:rsid w:val="001330B7"/>
    <w:rsid w:val="00133984"/>
    <w:rsid w:val="00133A1E"/>
    <w:rsid w:val="00133BB9"/>
    <w:rsid w:val="00135050"/>
    <w:rsid w:val="001359C4"/>
    <w:rsid w:val="00135B2C"/>
    <w:rsid w:val="00135DF2"/>
    <w:rsid w:val="0013633B"/>
    <w:rsid w:val="00136350"/>
    <w:rsid w:val="001365C4"/>
    <w:rsid w:val="00136768"/>
    <w:rsid w:val="00136C3B"/>
    <w:rsid w:val="001370C3"/>
    <w:rsid w:val="0013728E"/>
    <w:rsid w:val="00137497"/>
    <w:rsid w:val="00137666"/>
    <w:rsid w:val="00137870"/>
    <w:rsid w:val="001405F7"/>
    <w:rsid w:val="00140739"/>
    <w:rsid w:val="0014080D"/>
    <w:rsid w:val="00140864"/>
    <w:rsid w:val="00140EFC"/>
    <w:rsid w:val="00141052"/>
    <w:rsid w:val="0014147D"/>
    <w:rsid w:val="00141689"/>
    <w:rsid w:val="00141A82"/>
    <w:rsid w:val="00141C69"/>
    <w:rsid w:val="00141D29"/>
    <w:rsid w:val="00141D4A"/>
    <w:rsid w:val="00142181"/>
    <w:rsid w:val="001428A3"/>
    <w:rsid w:val="00143390"/>
    <w:rsid w:val="00143F8D"/>
    <w:rsid w:val="0014471F"/>
    <w:rsid w:val="00144A36"/>
    <w:rsid w:val="00144D15"/>
    <w:rsid w:val="00144DF9"/>
    <w:rsid w:val="0014506A"/>
    <w:rsid w:val="001458C3"/>
    <w:rsid w:val="00145A9D"/>
    <w:rsid w:val="001460F6"/>
    <w:rsid w:val="00146151"/>
    <w:rsid w:val="00146342"/>
    <w:rsid w:val="00146343"/>
    <w:rsid w:val="00146881"/>
    <w:rsid w:val="0014728F"/>
    <w:rsid w:val="00147EE0"/>
    <w:rsid w:val="00150983"/>
    <w:rsid w:val="00150B10"/>
    <w:rsid w:val="00150DAF"/>
    <w:rsid w:val="00150E5F"/>
    <w:rsid w:val="00151243"/>
    <w:rsid w:val="00151BD4"/>
    <w:rsid w:val="001521A2"/>
    <w:rsid w:val="00152358"/>
    <w:rsid w:val="00153382"/>
    <w:rsid w:val="00153539"/>
    <w:rsid w:val="00153678"/>
    <w:rsid w:val="0015367A"/>
    <w:rsid w:val="00153708"/>
    <w:rsid w:val="001537AF"/>
    <w:rsid w:val="00153FA4"/>
    <w:rsid w:val="0015461F"/>
    <w:rsid w:val="00154A81"/>
    <w:rsid w:val="0015558D"/>
    <w:rsid w:val="001556A3"/>
    <w:rsid w:val="00155BFF"/>
    <w:rsid w:val="00156E70"/>
    <w:rsid w:val="001571B5"/>
    <w:rsid w:val="00157A5B"/>
    <w:rsid w:val="00157C59"/>
    <w:rsid w:val="00157CF0"/>
    <w:rsid w:val="001600BF"/>
    <w:rsid w:val="00160123"/>
    <w:rsid w:val="001602E6"/>
    <w:rsid w:val="00160327"/>
    <w:rsid w:val="00160AEA"/>
    <w:rsid w:val="00160B7A"/>
    <w:rsid w:val="00160F66"/>
    <w:rsid w:val="00161184"/>
    <w:rsid w:val="001611BD"/>
    <w:rsid w:val="00161B4F"/>
    <w:rsid w:val="00161E7D"/>
    <w:rsid w:val="0016213F"/>
    <w:rsid w:val="001622C0"/>
    <w:rsid w:val="00162587"/>
    <w:rsid w:val="001633AF"/>
    <w:rsid w:val="00163D75"/>
    <w:rsid w:val="00164155"/>
    <w:rsid w:val="001642F7"/>
    <w:rsid w:val="001648C8"/>
    <w:rsid w:val="00164B0F"/>
    <w:rsid w:val="001654A0"/>
    <w:rsid w:val="001655D4"/>
    <w:rsid w:val="00165691"/>
    <w:rsid w:val="00165FD7"/>
    <w:rsid w:val="001668AB"/>
    <w:rsid w:val="00166A6C"/>
    <w:rsid w:val="00167371"/>
    <w:rsid w:val="00167A64"/>
    <w:rsid w:val="00167B41"/>
    <w:rsid w:val="001708D2"/>
    <w:rsid w:val="00171448"/>
    <w:rsid w:val="0017161E"/>
    <w:rsid w:val="00171A4E"/>
    <w:rsid w:val="00171B1C"/>
    <w:rsid w:val="001720EB"/>
    <w:rsid w:val="001729F2"/>
    <w:rsid w:val="00172E5B"/>
    <w:rsid w:val="001732F3"/>
    <w:rsid w:val="00173EDD"/>
    <w:rsid w:val="0017402B"/>
    <w:rsid w:val="001744B3"/>
    <w:rsid w:val="0017459B"/>
    <w:rsid w:val="00174606"/>
    <w:rsid w:val="00174909"/>
    <w:rsid w:val="00174933"/>
    <w:rsid w:val="00174E4E"/>
    <w:rsid w:val="00174F99"/>
    <w:rsid w:val="00175A69"/>
    <w:rsid w:val="00175DF0"/>
    <w:rsid w:val="00175E9A"/>
    <w:rsid w:val="001761C3"/>
    <w:rsid w:val="0017645F"/>
    <w:rsid w:val="00176B06"/>
    <w:rsid w:val="00177149"/>
    <w:rsid w:val="0017760B"/>
    <w:rsid w:val="00177EC9"/>
    <w:rsid w:val="00177FFA"/>
    <w:rsid w:val="0018077E"/>
    <w:rsid w:val="00180C53"/>
    <w:rsid w:val="00180D21"/>
    <w:rsid w:val="0018107F"/>
    <w:rsid w:val="0018128E"/>
    <w:rsid w:val="00181AB5"/>
    <w:rsid w:val="00181D37"/>
    <w:rsid w:val="00181DA3"/>
    <w:rsid w:val="001829FB"/>
    <w:rsid w:val="00182DB2"/>
    <w:rsid w:val="00183412"/>
    <w:rsid w:val="001835B7"/>
    <w:rsid w:val="001838DC"/>
    <w:rsid w:val="001841D5"/>
    <w:rsid w:val="0018426B"/>
    <w:rsid w:val="0018440D"/>
    <w:rsid w:val="001847DE"/>
    <w:rsid w:val="00184DB2"/>
    <w:rsid w:val="00184F43"/>
    <w:rsid w:val="00185192"/>
    <w:rsid w:val="00185445"/>
    <w:rsid w:val="00185A37"/>
    <w:rsid w:val="001863D2"/>
    <w:rsid w:val="00186777"/>
    <w:rsid w:val="001868A4"/>
    <w:rsid w:val="00187E05"/>
    <w:rsid w:val="00190007"/>
    <w:rsid w:val="001908B4"/>
    <w:rsid w:val="00190C2F"/>
    <w:rsid w:val="001915D6"/>
    <w:rsid w:val="00191B74"/>
    <w:rsid w:val="00191C78"/>
    <w:rsid w:val="00191DD7"/>
    <w:rsid w:val="001923A8"/>
    <w:rsid w:val="00192BFC"/>
    <w:rsid w:val="0019331F"/>
    <w:rsid w:val="001933A0"/>
    <w:rsid w:val="00193748"/>
    <w:rsid w:val="001937E5"/>
    <w:rsid w:val="00194309"/>
    <w:rsid w:val="00194D8A"/>
    <w:rsid w:val="00194E92"/>
    <w:rsid w:val="00195084"/>
    <w:rsid w:val="001952B5"/>
    <w:rsid w:val="00195455"/>
    <w:rsid w:val="0019628D"/>
    <w:rsid w:val="001964B5"/>
    <w:rsid w:val="0019660E"/>
    <w:rsid w:val="00196953"/>
    <w:rsid w:val="00196F5E"/>
    <w:rsid w:val="00197172"/>
    <w:rsid w:val="001973E0"/>
    <w:rsid w:val="00197A23"/>
    <w:rsid w:val="00197CF6"/>
    <w:rsid w:val="001A0239"/>
    <w:rsid w:val="001A0E4A"/>
    <w:rsid w:val="001A0E67"/>
    <w:rsid w:val="001A112F"/>
    <w:rsid w:val="001A1799"/>
    <w:rsid w:val="001A197F"/>
    <w:rsid w:val="001A1E32"/>
    <w:rsid w:val="001A3430"/>
    <w:rsid w:val="001A3578"/>
    <w:rsid w:val="001A37B3"/>
    <w:rsid w:val="001A3864"/>
    <w:rsid w:val="001A426D"/>
    <w:rsid w:val="001A428F"/>
    <w:rsid w:val="001A45C2"/>
    <w:rsid w:val="001A4B1E"/>
    <w:rsid w:val="001A517A"/>
    <w:rsid w:val="001A52F1"/>
    <w:rsid w:val="001A5FF0"/>
    <w:rsid w:val="001A6511"/>
    <w:rsid w:val="001A6D61"/>
    <w:rsid w:val="001A74B1"/>
    <w:rsid w:val="001A756A"/>
    <w:rsid w:val="001A76F2"/>
    <w:rsid w:val="001B0417"/>
    <w:rsid w:val="001B0451"/>
    <w:rsid w:val="001B0597"/>
    <w:rsid w:val="001B06A2"/>
    <w:rsid w:val="001B06DE"/>
    <w:rsid w:val="001B0A10"/>
    <w:rsid w:val="001B0DFE"/>
    <w:rsid w:val="001B13ED"/>
    <w:rsid w:val="001B1D89"/>
    <w:rsid w:val="001B2055"/>
    <w:rsid w:val="001B21FC"/>
    <w:rsid w:val="001B3046"/>
    <w:rsid w:val="001B30BC"/>
    <w:rsid w:val="001B3470"/>
    <w:rsid w:val="001B3685"/>
    <w:rsid w:val="001B39E2"/>
    <w:rsid w:val="001B39F8"/>
    <w:rsid w:val="001B3BE5"/>
    <w:rsid w:val="001B4089"/>
    <w:rsid w:val="001B47E5"/>
    <w:rsid w:val="001B4C48"/>
    <w:rsid w:val="001B5078"/>
    <w:rsid w:val="001B5891"/>
    <w:rsid w:val="001B5B58"/>
    <w:rsid w:val="001B5CBC"/>
    <w:rsid w:val="001B6455"/>
    <w:rsid w:val="001B64AB"/>
    <w:rsid w:val="001B673D"/>
    <w:rsid w:val="001B6A84"/>
    <w:rsid w:val="001B712E"/>
    <w:rsid w:val="001B7412"/>
    <w:rsid w:val="001B7DB1"/>
    <w:rsid w:val="001B7DFF"/>
    <w:rsid w:val="001C0E1D"/>
    <w:rsid w:val="001C102A"/>
    <w:rsid w:val="001C1062"/>
    <w:rsid w:val="001C147F"/>
    <w:rsid w:val="001C16A2"/>
    <w:rsid w:val="001C1B78"/>
    <w:rsid w:val="001C1D99"/>
    <w:rsid w:val="001C24DD"/>
    <w:rsid w:val="001C2B26"/>
    <w:rsid w:val="001C2C55"/>
    <w:rsid w:val="001C2DF7"/>
    <w:rsid w:val="001C3096"/>
    <w:rsid w:val="001C3129"/>
    <w:rsid w:val="001C34A7"/>
    <w:rsid w:val="001C3A2B"/>
    <w:rsid w:val="001C3A32"/>
    <w:rsid w:val="001C3AD6"/>
    <w:rsid w:val="001C3C5A"/>
    <w:rsid w:val="001C40FA"/>
    <w:rsid w:val="001C4B6F"/>
    <w:rsid w:val="001C4B7F"/>
    <w:rsid w:val="001C628B"/>
    <w:rsid w:val="001C6484"/>
    <w:rsid w:val="001C661A"/>
    <w:rsid w:val="001C681C"/>
    <w:rsid w:val="001C72D5"/>
    <w:rsid w:val="001C750E"/>
    <w:rsid w:val="001C79DC"/>
    <w:rsid w:val="001C7B9F"/>
    <w:rsid w:val="001C7EAA"/>
    <w:rsid w:val="001D02D9"/>
    <w:rsid w:val="001D02F9"/>
    <w:rsid w:val="001D068E"/>
    <w:rsid w:val="001D0B9B"/>
    <w:rsid w:val="001D0F67"/>
    <w:rsid w:val="001D1165"/>
    <w:rsid w:val="001D11FE"/>
    <w:rsid w:val="001D1E81"/>
    <w:rsid w:val="001D2BCA"/>
    <w:rsid w:val="001D2FFC"/>
    <w:rsid w:val="001D3D28"/>
    <w:rsid w:val="001D3E8D"/>
    <w:rsid w:val="001D4BF2"/>
    <w:rsid w:val="001D4F09"/>
    <w:rsid w:val="001D5B7A"/>
    <w:rsid w:val="001D5C1B"/>
    <w:rsid w:val="001D5EBE"/>
    <w:rsid w:val="001D68AA"/>
    <w:rsid w:val="001D6968"/>
    <w:rsid w:val="001E06D8"/>
    <w:rsid w:val="001E0E24"/>
    <w:rsid w:val="001E0F99"/>
    <w:rsid w:val="001E108E"/>
    <w:rsid w:val="001E115A"/>
    <w:rsid w:val="001E1411"/>
    <w:rsid w:val="001E17CB"/>
    <w:rsid w:val="001E18FB"/>
    <w:rsid w:val="001E1CE2"/>
    <w:rsid w:val="001E1D08"/>
    <w:rsid w:val="001E1D5C"/>
    <w:rsid w:val="001E2871"/>
    <w:rsid w:val="001E2A02"/>
    <w:rsid w:val="001E3D82"/>
    <w:rsid w:val="001E3F9B"/>
    <w:rsid w:val="001E4A4C"/>
    <w:rsid w:val="001E4B93"/>
    <w:rsid w:val="001E4F02"/>
    <w:rsid w:val="001E55DC"/>
    <w:rsid w:val="001E5D69"/>
    <w:rsid w:val="001E6108"/>
    <w:rsid w:val="001E6672"/>
    <w:rsid w:val="001E6F0C"/>
    <w:rsid w:val="001E7063"/>
    <w:rsid w:val="001E7189"/>
    <w:rsid w:val="001E77FC"/>
    <w:rsid w:val="001E7AE7"/>
    <w:rsid w:val="001E7B19"/>
    <w:rsid w:val="001E7C86"/>
    <w:rsid w:val="001F0092"/>
    <w:rsid w:val="001F022D"/>
    <w:rsid w:val="001F02EF"/>
    <w:rsid w:val="001F09F1"/>
    <w:rsid w:val="001F0C73"/>
    <w:rsid w:val="001F0D85"/>
    <w:rsid w:val="001F118D"/>
    <w:rsid w:val="001F1482"/>
    <w:rsid w:val="001F1B25"/>
    <w:rsid w:val="001F1E20"/>
    <w:rsid w:val="001F1E22"/>
    <w:rsid w:val="001F20D7"/>
    <w:rsid w:val="001F2304"/>
    <w:rsid w:val="001F2418"/>
    <w:rsid w:val="001F26C6"/>
    <w:rsid w:val="001F2A05"/>
    <w:rsid w:val="001F3165"/>
    <w:rsid w:val="001F323F"/>
    <w:rsid w:val="001F325D"/>
    <w:rsid w:val="001F3851"/>
    <w:rsid w:val="001F3B76"/>
    <w:rsid w:val="001F4548"/>
    <w:rsid w:val="001F4865"/>
    <w:rsid w:val="001F52CA"/>
    <w:rsid w:val="001F534D"/>
    <w:rsid w:val="001F55DC"/>
    <w:rsid w:val="001F59E1"/>
    <w:rsid w:val="001F62FC"/>
    <w:rsid w:val="001F6503"/>
    <w:rsid w:val="001F69EA"/>
    <w:rsid w:val="001F6AA3"/>
    <w:rsid w:val="001F7056"/>
    <w:rsid w:val="001F709B"/>
    <w:rsid w:val="001F75FD"/>
    <w:rsid w:val="001F7744"/>
    <w:rsid w:val="001F7D17"/>
    <w:rsid w:val="002001CE"/>
    <w:rsid w:val="00200324"/>
    <w:rsid w:val="0020097B"/>
    <w:rsid w:val="00201178"/>
    <w:rsid w:val="002014EB"/>
    <w:rsid w:val="00201729"/>
    <w:rsid w:val="0020183F"/>
    <w:rsid w:val="0020222C"/>
    <w:rsid w:val="00202A0B"/>
    <w:rsid w:val="00202B1A"/>
    <w:rsid w:val="002030F4"/>
    <w:rsid w:val="0020383A"/>
    <w:rsid w:val="002041EE"/>
    <w:rsid w:val="00204745"/>
    <w:rsid w:val="00204979"/>
    <w:rsid w:val="00204DEB"/>
    <w:rsid w:val="00205AC9"/>
    <w:rsid w:val="0020636F"/>
    <w:rsid w:val="00206D3B"/>
    <w:rsid w:val="0020716D"/>
    <w:rsid w:val="00207942"/>
    <w:rsid w:val="002079CB"/>
    <w:rsid w:val="00207D55"/>
    <w:rsid w:val="00207D58"/>
    <w:rsid w:val="0021111F"/>
    <w:rsid w:val="00211452"/>
    <w:rsid w:val="002118CC"/>
    <w:rsid w:val="00211905"/>
    <w:rsid w:val="00211C61"/>
    <w:rsid w:val="00211D69"/>
    <w:rsid w:val="00211EE5"/>
    <w:rsid w:val="002129DF"/>
    <w:rsid w:val="00212B59"/>
    <w:rsid w:val="00212CCD"/>
    <w:rsid w:val="00212E0E"/>
    <w:rsid w:val="00213508"/>
    <w:rsid w:val="002138B1"/>
    <w:rsid w:val="00213B95"/>
    <w:rsid w:val="00213C27"/>
    <w:rsid w:val="00213E98"/>
    <w:rsid w:val="00213FE7"/>
    <w:rsid w:val="0021409C"/>
    <w:rsid w:val="00214F6C"/>
    <w:rsid w:val="0021545A"/>
    <w:rsid w:val="002154BD"/>
    <w:rsid w:val="00215553"/>
    <w:rsid w:val="0021572B"/>
    <w:rsid w:val="0021587E"/>
    <w:rsid w:val="00216C70"/>
    <w:rsid w:val="0021726F"/>
    <w:rsid w:val="002176E2"/>
    <w:rsid w:val="002179DB"/>
    <w:rsid w:val="00217C03"/>
    <w:rsid w:val="00217D58"/>
    <w:rsid w:val="0022040C"/>
    <w:rsid w:val="00220DAF"/>
    <w:rsid w:val="00220F9D"/>
    <w:rsid w:val="00221630"/>
    <w:rsid w:val="002217E1"/>
    <w:rsid w:val="00221A4F"/>
    <w:rsid w:val="00221CCA"/>
    <w:rsid w:val="002228E8"/>
    <w:rsid w:val="00222AE6"/>
    <w:rsid w:val="00223A71"/>
    <w:rsid w:val="00224A7E"/>
    <w:rsid w:val="00224E50"/>
    <w:rsid w:val="00225058"/>
    <w:rsid w:val="00225B2C"/>
    <w:rsid w:val="002261A0"/>
    <w:rsid w:val="002263B7"/>
    <w:rsid w:val="00226540"/>
    <w:rsid w:val="00226C3E"/>
    <w:rsid w:val="002270BD"/>
    <w:rsid w:val="00227161"/>
    <w:rsid w:val="002273FB"/>
    <w:rsid w:val="00227A03"/>
    <w:rsid w:val="00227A1D"/>
    <w:rsid w:val="00227E48"/>
    <w:rsid w:val="00230577"/>
    <w:rsid w:val="002305E0"/>
    <w:rsid w:val="00230A7F"/>
    <w:rsid w:val="00230B18"/>
    <w:rsid w:val="00231437"/>
    <w:rsid w:val="002317FE"/>
    <w:rsid w:val="0023209D"/>
    <w:rsid w:val="002322B4"/>
    <w:rsid w:val="00232338"/>
    <w:rsid w:val="002323EF"/>
    <w:rsid w:val="002333F8"/>
    <w:rsid w:val="0023383B"/>
    <w:rsid w:val="002338F8"/>
    <w:rsid w:val="00233A58"/>
    <w:rsid w:val="00233BB6"/>
    <w:rsid w:val="00233D79"/>
    <w:rsid w:val="0023439D"/>
    <w:rsid w:val="00234D86"/>
    <w:rsid w:val="00235152"/>
    <w:rsid w:val="002355BC"/>
    <w:rsid w:val="0023568C"/>
    <w:rsid w:val="002357BE"/>
    <w:rsid w:val="00236415"/>
    <w:rsid w:val="00236ADF"/>
    <w:rsid w:val="00236CD6"/>
    <w:rsid w:val="0023744B"/>
    <w:rsid w:val="0023751E"/>
    <w:rsid w:val="00237657"/>
    <w:rsid w:val="0024059F"/>
    <w:rsid w:val="00240670"/>
    <w:rsid w:val="0024068F"/>
    <w:rsid w:val="002406E1"/>
    <w:rsid w:val="002418AD"/>
    <w:rsid w:val="00242177"/>
    <w:rsid w:val="00242257"/>
    <w:rsid w:val="00242651"/>
    <w:rsid w:val="002428AA"/>
    <w:rsid w:val="00242981"/>
    <w:rsid w:val="00242985"/>
    <w:rsid w:val="00242BA7"/>
    <w:rsid w:val="002433A2"/>
    <w:rsid w:val="002435FA"/>
    <w:rsid w:val="0024377D"/>
    <w:rsid w:val="002437B5"/>
    <w:rsid w:val="002437BD"/>
    <w:rsid w:val="00243814"/>
    <w:rsid w:val="00243BFA"/>
    <w:rsid w:val="00244532"/>
    <w:rsid w:val="002448C1"/>
    <w:rsid w:val="00244A0F"/>
    <w:rsid w:val="00244BB0"/>
    <w:rsid w:val="00244EF1"/>
    <w:rsid w:val="00245167"/>
    <w:rsid w:val="0024516C"/>
    <w:rsid w:val="002453C8"/>
    <w:rsid w:val="00245725"/>
    <w:rsid w:val="002457D9"/>
    <w:rsid w:val="002458C5"/>
    <w:rsid w:val="00246173"/>
    <w:rsid w:val="002461EC"/>
    <w:rsid w:val="0024658E"/>
    <w:rsid w:val="00246600"/>
    <w:rsid w:val="00246F21"/>
    <w:rsid w:val="002473F8"/>
    <w:rsid w:val="00247777"/>
    <w:rsid w:val="00247C07"/>
    <w:rsid w:val="0025028C"/>
    <w:rsid w:val="002502E8"/>
    <w:rsid w:val="002506A1"/>
    <w:rsid w:val="00250C74"/>
    <w:rsid w:val="00250E5B"/>
    <w:rsid w:val="00251342"/>
    <w:rsid w:val="002516BD"/>
    <w:rsid w:val="00251C95"/>
    <w:rsid w:val="00251EB4"/>
    <w:rsid w:val="002529B1"/>
    <w:rsid w:val="00252B24"/>
    <w:rsid w:val="00252B96"/>
    <w:rsid w:val="00252EB2"/>
    <w:rsid w:val="00252FC1"/>
    <w:rsid w:val="0025369E"/>
    <w:rsid w:val="0025381A"/>
    <w:rsid w:val="0025383C"/>
    <w:rsid w:val="00253E78"/>
    <w:rsid w:val="00254123"/>
    <w:rsid w:val="00254522"/>
    <w:rsid w:val="00254ACE"/>
    <w:rsid w:val="00254E1C"/>
    <w:rsid w:val="00255305"/>
    <w:rsid w:val="00255797"/>
    <w:rsid w:val="002561A0"/>
    <w:rsid w:val="0025620F"/>
    <w:rsid w:val="0025639B"/>
    <w:rsid w:val="002563C9"/>
    <w:rsid w:val="00256690"/>
    <w:rsid w:val="002567C1"/>
    <w:rsid w:val="00256A0F"/>
    <w:rsid w:val="00256D82"/>
    <w:rsid w:val="00257714"/>
    <w:rsid w:val="00257743"/>
    <w:rsid w:val="002577D1"/>
    <w:rsid w:val="00257FE1"/>
    <w:rsid w:val="00260A0C"/>
    <w:rsid w:val="00260A5D"/>
    <w:rsid w:val="00260B2B"/>
    <w:rsid w:val="00260E80"/>
    <w:rsid w:val="00261071"/>
    <w:rsid w:val="002610BB"/>
    <w:rsid w:val="0026160E"/>
    <w:rsid w:val="0026192B"/>
    <w:rsid w:val="00261D0D"/>
    <w:rsid w:val="00262A6F"/>
    <w:rsid w:val="00262C3C"/>
    <w:rsid w:val="00262F79"/>
    <w:rsid w:val="00263CC9"/>
    <w:rsid w:val="0026400E"/>
    <w:rsid w:val="0026465D"/>
    <w:rsid w:val="00264C88"/>
    <w:rsid w:val="00264DF2"/>
    <w:rsid w:val="0026532C"/>
    <w:rsid w:val="0026539B"/>
    <w:rsid w:val="0026575D"/>
    <w:rsid w:val="00265E74"/>
    <w:rsid w:val="00265FD0"/>
    <w:rsid w:val="00266201"/>
    <w:rsid w:val="00266312"/>
    <w:rsid w:val="002665CC"/>
    <w:rsid w:val="00266753"/>
    <w:rsid w:val="002667F5"/>
    <w:rsid w:val="0026682B"/>
    <w:rsid w:val="00266EA5"/>
    <w:rsid w:val="00267229"/>
    <w:rsid w:val="002705B0"/>
    <w:rsid w:val="00270A20"/>
    <w:rsid w:val="002712B3"/>
    <w:rsid w:val="002717A6"/>
    <w:rsid w:val="00271B05"/>
    <w:rsid w:val="00272015"/>
    <w:rsid w:val="00272540"/>
    <w:rsid w:val="00272621"/>
    <w:rsid w:val="00272DD8"/>
    <w:rsid w:val="002734C6"/>
    <w:rsid w:val="002736A0"/>
    <w:rsid w:val="00273B97"/>
    <w:rsid w:val="00273C10"/>
    <w:rsid w:val="002741D4"/>
    <w:rsid w:val="002742C2"/>
    <w:rsid w:val="002747C7"/>
    <w:rsid w:val="0027487F"/>
    <w:rsid w:val="00274B4C"/>
    <w:rsid w:val="00275596"/>
    <w:rsid w:val="0027559A"/>
    <w:rsid w:val="00275E4F"/>
    <w:rsid w:val="00276264"/>
    <w:rsid w:val="002771FD"/>
    <w:rsid w:val="0027722B"/>
    <w:rsid w:val="00277631"/>
    <w:rsid w:val="00277A3C"/>
    <w:rsid w:val="00280EF7"/>
    <w:rsid w:val="00281ABD"/>
    <w:rsid w:val="00281DCA"/>
    <w:rsid w:val="00282906"/>
    <w:rsid w:val="00282E52"/>
    <w:rsid w:val="0028329B"/>
    <w:rsid w:val="00283B5C"/>
    <w:rsid w:val="00283C28"/>
    <w:rsid w:val="00283DBE"/>
    <w:rsid w:val="0028444E"/>
    <w:rsid w:val="002846A5"/>
    <w:rsid w:val="002848E5"/>
    <w:rsid w:val="00284993"/>
    <w:rsid w:val="00284A2C"/>
    <w:rsid w:val="00284C02"/>
    <w:rsid w:val="00284DA7"/>
    <w:rsid w:val="00284F9A"/>
    <w:rsid w:val="00285041"/>
    <w:rsid w:val="00285220"/>
    <w:rsid w:val="0028543E"/>
    <w:rsid w:val="00285655"/>
    <w:rsid w:val="00285678"/>
    <w:rsid w:val="002857BD"/>
    <w:rsid w:val="0028594B"/>
    <w:rsid w:val="00285985"/>
    <w:rsid w:val="00285D4F"/>
    <w:rsid w:val="002861F3"/>
    <w:rsid w:val="002865F0"/>
    <w:rsid w:val="002871DD"/>
    <w:rsid w:val="0028725F"/>
    <w:rsid w:val="00287D7E"/>
    <w:rsid w:val="00287EF9"/>
    <w:rsid w:val="0029006F"/>
    <w:rsid w:val="002903FF"/>
    <w:rsid w:val="00290593"/>
    <w:rsid w:val="0029063C"/>
    <w:rsid w:val="002908F2"/>
    <w:rsid w:val="00290902"/>
    <w:rsid w:val="00290B83"/>
    <w:rsid w:val="00290F34"/>
    <w:rsid w:val="002914C9"/>
    <w:rsid w:val="00292455"/>
    <w:rsid w:val="0029248A"/>
    <w:rsid w:val="002924F3"/>
    <w:rsid w:val="00292C08"/>
    <w:rsid w:val="00292C5A"/>
    <w:rsid w:val="00292D96"/>
    <w:rsid w:val="00293378"/>
    <w:rsid w:val="00294079"/>
    <w:rsid w:val="0029475E"/>
    <w:rsid w:val="00294D00"/>
    <w:rsid w:val="0029555E"/>
    <w:rsid w:val="002960D0"/>
    <w:rsid w:val="0029660C"/>
    <w:rsid w:val="002967BA"/>
    <w:rsid w:val="0029699C"/>
    <w:rsid w:val="002969C8"/>
    <w:rsid w:val="00296E2B"/>
    <w:rsid w:val="002972C9"/>
    <w:rsid w:val="00297637"/>
    <w:rsid w:val="00297706"/>
    <w:rsid w:val="00297AB0"/>
    <w:rsid w:val="00297B04"/>
    <w:rsid w:val="002A002A"/>
    <w:rsid w:val="002A0255"/>
    <w:rsid w:val="002A0352"/>
    <w:rsid w:val="002A056C"/>
    <w:rsid w:val="002A05CF"/>
    <w:rsid w:val="002A17A8"/>
    <w:rsid w:val="002A1A5B"/>
    <w:rsid w:val="002A20CF"/>
    <w:rsid w:val="002A24A1"/>
    <w:rsid w:val="002A25E0"/>
    <w:rsid w:val="002A298F"/>
    <w:rsid w:val="002A2EFA"/>
    <w:rsid w:val="002A33FE"/>
    <w:rsid w:val="002A3864"/>
    <w:rsid w:val="002A3BB1"/>
    <w:rsid w:val="002A3C6A"/>
    <w:rsid w:val="002A3CF8"/>
    <w:rsid w:val="002A413B"/>
    <w:rsid w:val="002A462C"/>
    <w:rsid w:val="002A4676"/>
    <w:rsid w:val="002A4AE8"/>
    <w:rsid w:val="002A4B4A"/>
    <w:rsid w:val="002A537D"/>
    <w:rsid w:val="002A585A"/>
    <w:rsid w:val="002A5A43"/>
    <w:rsid w:val="002A66A5"/>
    <w:rsid w:val="002A6EBB"/>
    <w:rsid w:val="002A76F7"/>
    <w:rsid w:val="002A771D"/>
    <w:rsid w:val="002A7D99"/>
    <w:rsid w:val="002B0232"/>
    <w:rsid w:val="002B0A1D"/>
    <w:rsid w:val="002B12E4"/>
    <w:rsid w:val="002B13ED"/>
    <w:rsid w:val="002B1798"/>
    <w:rsid w:val="002B1B8E"/>
    <w:rsid w:val="002B1F9B"/>
    <w:rsid w:val="002B21E9"/>
    <w:rsid w:val="002B254E"/>
    <w:rsid w:val="002B2891"/>
    <w:rsid w:val="002B2A49"/>
    <w:rsid w:val="002B2B87"/>
    <w:rsid w:val="002B3260"/>
    <w:rsid w:val="002B34FC"/>
    <w:rsid w:val="002B3FEF"/>
    <w:rsid w:val="002B4E0F"/>
    <w:rsid w:val="002B501E"/>
    <w:rsid w:val="002B5190"/>
    <w:rsid w:val="002B5754"/>
    <w:rsid w:val="002B5840"/>
    <w:rsid w:val="002B5AF8"/>
    <w:rsid w:val="002B5D82"/>
    <w:rsid w:val="002B5F68"/>
    <w:rsid w:val="002B6745"/>
    <w:rsid w:val="002B67E6"/>
    <w:rsid w:val="002B6E3C"/>
    <w:rsid w:val="002B72D7"/>
    <w:rsid w:val="002B74A8"/>
    <w:rsid w:val="002B7F63"/>
    <w:rsid w:val="002C0414"/>
    <w:rsid w:val="002C0E9C"/>
    <w:rsid w:val="002C1485"/>
    <w:rsid w:val="002C16B7"/>
    <w:rsid w:val="002C1BE4"/>
    <w:rsid w:val="002C1DB2"/>
    <w:rsid w:val="002C1E9F"/>
    <w:rsid w:val="002C23BE"/>
    <w:rsid w:val="002C2A43"/>
    <w:rsid w:val="002C301E"/>
    <w:rsid w:val="002C44AB"/>
    <w:rsid w:val="002C4721"/>
    <w:rsid w:val="002C48AE"/>
    <w:rsid w:val="002C4A57"/>
    <w:rsid w:val="002C4ED9"/>
    <w:rsid w:val="002C55DC"/>
    <w:rsid w:val="002C581F"/>
    <w:rsid w:val="002C5A1A"/>
    <w:rsid w:val="002C60B7"/>
    <w:rsid w:val="002C6305"/>
    <w:rsid w:val="002C6370"/>
    <w:rsid w:val="002C6882"/>
    <w:rsid w:val="002C69DD"/>
    <w:rsid w:val="002C6BF0"/>
    <w:rsid w:val="002C6D2A"/>
    <w:rsid w:val="002C7026"/>
    <w:rsid w:val="002C71CD"/>
    <w:rsid w:val="002C7494"/>
    <w:rsid w:val="002C789A"/>
    <w:rsid w:val="002C7BC0"/>
    <w:rsid w:val="002C7CCC"/>
    <w:rsid w:val="002C7DD1"/>
    <w:rsid w:val="002C7E08"/>
    <w:rsid w:val="002D0099"/>
    <w:rsid w:val="002D05D6"/>
    <w:rsid w:val="002D0620"/>
    <w:rsid w:val="002D06E5"/>
    <w:rsid w:val="002D089F"/>
    <w:rsid w:val="002D09A6"/>
    <w:rsid w:val="002D0DFA"/>
    <w:rsid w:val="002D1B2A"/>
    <w:rsid w:val="002D1CC1"/>
    <w:rsid w:val="002D1ECE"/>
    <w:rsid w:val="002D210E"/>
    <w:rsid w:val="002D2313"/>
    <w:rsid w:val="002D240B"/>
    <w:rsid w:val="002D3031"/>
    <w:rsid w:val="002D387D"/>
    <w:rsid w:val="002D388B"/>
    <w:rsid w:val="002D3A3E"/>
    <w:rsid w:val="002D3B2F"/>
    <w:rsid w:val="002D3E0C"/>
    <w:rsid w:val="002D4169"/>
    <w:rsid w:val="002D4269"/>
    <w:rsid w:val="002D443A"/>
    <w:rsid w:val="002D465A"/>
    <w:rsid w:val="002D46D8"/>
    <w:rsid w:val="002D48DB"/>
    <w:rsid w:val="002D4BA7"/>
    <w:rsid w:val="002D5057"/>
    <w:rsid w:val="002D5635"/>
    <w:rsid w:val="002D5F7F"/>
    <w:rsid w:val="002D5FAF"/>
    <w:rsid w:val="002D65E8"/>
    <w:rsid w:val="002D6D12"/>
    <w:rsid w:val="002D7CF9"/>
    <w:rsid w:val="002D7D32"/>
    <w:rsid w:val="002E02E5"/>
    <w:rsid w:val="002E0478"/>
    <w:rsid w:val="002E0791"/>
    <w:rsid w:val="002E0A46"/>
    <w:rsid w:val="002E0EA0"/>
    <w:rsid w:val="002E155D"/>
    <w:rsid w:val="002E1AF0"/>
    <w:rsid w:val="002E1B92"/>
    <w:rsid w:val="002E22CF"/>
    <w:rsid w:val="002E27C3"/>
    <w:rsid w:val="002E2DAA"/>
    <w:rsid w:val="002E2E5F"/>
    <w:rsid w:val="002E3038"/>
    <w:rsid w:val="002E399F"/>
    <w:rsid w:val="002E3FA8"/>
    <w:rsid w:val="002E4C02"/>
    <w:rsid w:val="002E5022"/>
    <w:rsid w:val="002E5089"/>
    <w:rsid w:val="002E510A"/>
    <w:rsid w:val="002E5286"/>
    <w:rsid w:val="002E52E2"/>
    <w:rsid w:val="002E5E76"/>
    <w:rsid w:val="002E5F07"/>
    <w:rsid w:val="002E62E9"/>
    <w:rsid w:val="002E6534"/>
    <w:rsid w:val="002E6E76"/>
    <w:rsid w:val="002E713F"/>
    <w:rsid w:val="002E75BE"/>
    <w:rsid w:val="002E7B81"/>
    <w:rsid w:val="002F0012"/>
    <w:rsid w:val="002F0456"/>
    <w:rsid w:val="002F0875"/>
    <w:rsid w:val="002F08A5"/>
    <w:rsid w:val="002F09FB"/>
    <w:rsid w:val="002F0D85"/>
    <w:rsid w:val="002F0DD8"/>
    <w:rsid w:val="002F0FE3"/>
    <w:rsid w:val="002F10F1"/>
    <w:rsid w:val="002F122E"/>
    <w:rsid w:val="002F1240"/>
    <w:rsid w:val="002F1AF0"/>
    <w:rsid w:val="002F1E01"/>
    <w:rsid w:val="002F2530"/>
    <w:rsid w:val="002F272A"/>
    <w:rsid w:val="002F2730"/>
    <w:rsid w:val="002F2CB9"/>
    <w:rsid w:val="002F2DA7"/>
    <w:rsid w:val="002F30DF"/>
    <w:rsid w:val="002F3225"/>
    <w:rsid w:val="002F39F7"/>
    <w:rsid w:val="002F3DB6"/>
    <w:rsid w:val="002F479A"/>
    <w:rsid w:val="002F5038"/>
    <w:rsid w:val="002F53B4"/>
    <w:rsid w:val="002F5424"/>
    <w:rsid w:val="002F595C"/>
    <w:rsid w:val="002F61E9"/>
    <w:rsid w:val="002F65F6"/>
    <w:rsid w:val="002F6F8D"/>
    <w:rsid w:val="002F712F"/>
    <w:rsid w:val="002F74D8"/>
    <w:rsid w:val="002F76D6"/>
    <w:rsid w:val="002F7A38"/>
    <w:rsid w:val="00300419"/>
    <w:rsid w:val="003006DF"/>
    <w:rsid w:val="00300A33"/>
    <w:rsid w:val="003010A2"/>
    <w:rsid w:val="003010A5"/>
    <w:rsid w:val="003010E9"/>
    <w:rsid w:val="00301E9A"/>
    <w:rsid w:val="003026C5"/>
    <w:rsid w:val="00302A1C"/>
    <w:rsid w:val="00302CAA"/>
    <w:rsid w:val="00303506"/>
    <w:rsid w:val="00303A8C"/>
    <w:rsid w:val="00303B0F"/>
    <w:rsid w:val="00303E2A"/>
    <w:rsid w:val="00304017"/>
    <w:rsid w:val="00304181"/>
    <w:rsid w:val="003041FD"/>
    <w:rsid w:val="00304861"/>
    <w:rsid w:val="00305A86"/>
    <w:rsid w:val="00305B4B"/>
    <w:rsid w:val="00306EF0"/>
    <w:rsid w:val="00307057"/>
    <w:rsid w:val="003079B4"/>
    <w:rsid w:val="00307A0D"/>
    <w:rsid w:val="00307FEA"/>
    <w:rsid w:val="0031045A"/>
    <w:rsid w:val="00310712"/>
    <w:rsid w:val="00311751"/>
    <w:rsid w:val="00311B39"/>
    <w:rsid w:val="003124EC"/>
    <w:rsid w:val="00312819"/>
    <w:rsid w:val="00312E9C"/>
    <w:rsid w:val="00313875"/>
    <w:rsid w:val="0031394C"/>
    <w:rsid w:val="00313F4D"/>
    <w:rsid w:val="00314378"/>
    <w:rsid w:val="0031486F"/>
    <w:rsid w:val="00314A0E"/>
    <w:rsid w:val="00314A3E"/>
    <w:rsid w:val="00314AEB"/>
    <w:rsid w:val="00314CCA"/>
    <w:rsid w:val="0031546E"/>
    <w:rsid w:val="00315545"/>
    <w:rsid w:val="003161F2"/>
    <w:rsid w:val="00316389"/>
    <w:rsid w:val="00316EA7"/>
    <w:rsid w:val="0031743A"/>
    <w:rsid w:val="0031787A"/>
    <w:rsid w:val="003178D4"/>
    <w:rsid w:val="0031798E"/>
    <w:rsid w:val="00317C06"/>
    <w:rsid w:val="00317FE4"/>
    <w:rsid w:val="003203BF"/>
    <w:rsid w:val="003205FB"/>
    <w:rsid w:val="00320BEF"/>
    <w:rsid w:val="00321369"/>
    <w:rsid w:val="00321AB9"/>
    <w:rsid w:val="00321FBE"/>
    <w:rsid w:val="003222BE"/>
    <w:rsid w:val="00322D28"/>
    <w:rsid w:val="00322DE9"/>
    <w:rsid w:val="00322E81"/>
    <w:rsid w:val="003235F5"/>
    <w:rsid w:val="003236D7"/>
    <w:rsid w:val="00323899"/>
    <w:rsid w:val="0032415E"/>
    <w:rsid w:val="00324440"/>
    <w:rsid w:val="00324C16"/>
    <w:rsid w:val="003252ED"/>
    <w:rsid w:val="0032532A"/>
    <w:rsid w:val="00325502"/>
    <w:rsid w:val="00326099"/>
    <w:rsid w:val="0032664F"/>
    <w:rsid w:val="00326CAE"/>
    <w:rsid w:val="0032742E"/>
    <w:rsid w:val="00327B80"/>
    <w:rsid w:val="00327C96"/>
    <w:rsid w:val="00330028"/>
    <w:rsid w:val="0033004F"/>
    <w:rsid w:val="003303C0"/>
    <w:rsid w:val="00330787"/>
    <w:rsid w:val="0033080E"/>
    <w:rsid w:val="003309D6"/>
    <w:rsid w:val="00330E56"/>
    <w:rsid w:val="00331017"/>
    <w:rsid w:val="003315E6"/>
    <w:rsid w:val="00331819"/>
    <w:rsid w:val="00331AF7"/>
    <w:rsid w:val="00331E90"/>
    <w:rsid w:val="003324F4"/>
    <w:rsid w:val="003328C3"/>
    <w:rsid w:val="00332DC1"/>
    <w:rsid w:val="00333046"/>
    <w:rsid w:val="003334CC"/>
    <w:rsid w:val="0033377C"/>
    <w:rsid w:val="00333F72"/>
    <w:rsid w:val="0033419F"/>
    <w:rsid w:val="003341E2"/>
    <w:rsid w:val="00334416"/>
    <w:rsid w:val="00334951"/>
    <w:rsid w:val="00335087"/>
    <w:rsid w:val="00335342"/>
    <w:rsid w:val="003353C5"/>
    <w:rsid w:val="00335763"/>
    <w:rsid w:val="00335D3F"/>
    <w:rsid w:val="00335EF7"/>
    <w:rsid w:val="00336641"/>
    <w:rsid w:val="00336738"/>
    <w:rsid w:val="003370A3"/>
    <w:rsid w:val="00337488"/>
    <w:rsid w:val="00337493"/>
    <w:rsid w:val="003375AA"/>
    <w:rsid w:val="003376EB"/>
    <w:rsid w:val="0033770F"/>
    <w:rsid w:val="00337CF7"/>
    <w:rsid w:val="003403B8"/>
    <w:rsid w:val="003409EF"/>
    <w:rsid w:val="00340D11"/>
    <w:rsid w:val="00340EA7"/>
    <w:rsid w:val="003411DC"/>
    <w:rsid w:val="00341F45"/>
    <w:rsid w:val="0034226A"/>
    <w:rsid w:val="003422E5"/>
    <w:rsid w:val="0034263D"/>
    <w:rsid w:val="0034285F"/>
    <w:rsid w:val="00342B31"/>
    <w:rsid w:val="00343639"/>
    <w:rsid w:val="00343CE7"/>
    <w:rsid w:val="00343DC0"/>
    <w:rsid w:val="00344091"/>
    <w:rsid w:val="00344102"/>
    <w:rsid w:val="003441EF"/>
    <w:rsid w:val="00344209"/>
    <w:rsid w:val="00344444"/>
    <w:rsid w:val="003445A2"/>
    <w:rsid w:val="00344656"/>
    <w:rsid w:val="0034477F"/>
    <w:rsid w:val="0034495F"/>
    <w:rsid w:val="00345219"/>
    <w:rsid w:val="00345A9E"/>
    <w:rsid w:val="00345FCC"/>
    <w:rsid w:val="00346135"/>
    <w:rsid w:val="003464A4"/>
    <w:rsid w:val="00346745"/>
    <w:rsid w:val="00346A61"/>
    <w:rsid w:val="00346C37"/>
    <w:rsid w:val="00346F8E"/>
    <w:rsid w:val="0034780B"/>
    <w:rsid w:val="003478D0"/>
    <w:rsid w:val="0034795E"/>
    <w:rsid w:val="00347B38"/>
    <w:rsid w:val="0035007A"/>
    <w:rsid w:val="003503C0"/>
    <w:rsid w:val="00350708"/>
    <w:rsid w:val="00350BCA"/>
    <w:rsid w:val="00351634"/>
    <w:rsid w:val="00351684"/>
    <w:rsid w:val="003518BC"/>
    <w:rsid w:val="003519C0"/>
    <w:rsid w:val="00351CB5"/>
    <w:rsid w:val="00351E8F"/>
    <w:rsid w:val="003525B3"/>
    <w:rsid w:val="003526B2"/>
    <w:rsid w:val="00352E7A"/>
    <w:rsid w:val="00352EF4"/>
    <w:rsid w:val="00353655"/>
    <w:rsid w:val="003538CE"/>
    <w:rsid w:val="00353B85"/>
    <w:rsid w:val="00353C00"/>
    <w:rsid w:val="00353C01"/>
    <w:rsid w:val="003543FA"/>
    <w:rsid w:val="00354458"/>
    <w:rsid w:val="00354B28"/>
    <w:rsid w:val="00354E82"/>
    <w:rsid w:val="00355001"/>
    <w:rsid w:val="0035512A"/>
    <w:rsid w:val="0035519C"/>
    <w:rsid w:val="0035588B"/>
    <w:rsid w:val="00355F49"/>
    <w:rsid w:val="00356D0D"/>
    <w:rsid w:val="00357326"/>
    <w:rsid w:val="00357735"/>
    <w:rsid w:val="00357737"/>
    <w:rsid w:val="003579CE"/>
    <w:rsid w:val="00357AF8"/>
    <w:rsid w:val="00360750"/>
    <w:rsid w:val="00360CBA"/>
    <w:rsid w:val="00360F45"/>
    <w:rsid w:val="003611D3"/>
    <w:rsid w:val="003616FA"/>
    <w:rsid w:val="00361751"/>
    <w:rsid w:val="003618AF"/>
    <w:rsid w:val="00361937"/>
    <w:rsid w:val="00361B11"/>
    <w:rsid w:val="00361D0B"/>
    <w:rsid w:val="00361D89"/>
    <w:rsid w:val="00361F78"/>
    <w:rsid w:val="00361F9E"/>
    <w:rsid w:val="00362493"/>
    <w:rsid w:val="0036275A"/>
    <w:rsid w:val="003627C0"/>
    <w:rsid w:val="0036287C"/>
    <w:rsid w:val="003630EE"/>
    <w:rsid w:val="00363653"/>
    <w:rsid w:val="003636BE"/>
    <w:rsid w:val="00363874"/>
    <w:rsid w:val="00363929"/>
    <w:rsid w:val="003639A8"/>
    <w:rsid w:val="003639DE"/>
    <w:rsid w:val="00363ECA"/>
    <w:rsid w:val="003640F7"/>
    <w:rsid w:val="003647B0"/>
    <w:rsid w:val="0036509D"/>
    <w:rsid w:val="00365C57"/>
    <w:rsid w:val="003665A9"/>
    <w:rsid w:val="003665CC"/>
    <w:rsid w:val="0036661A"/>
    <w:rsid w:val="003672FF"/>
    <w:rsid w:val="00367848"/>
    <w:rsid w:val="0036790D"/>
    <w:rsid w:val="0037102A"/>
    <w:rsid w:val="00371081"/>
    <w:rsid w:val="00371383"/>
    <w:rsid w:val="003713EF"/>
    <w:rsid w:val="00371635"/>
    <w:rsid w:val="00371661"/>
    <w:rsid w:val="0037168B"/>
    <w:rsid w:val="00371DF5"/>
    <w:rsid w:val="00371ED5"/>
    <w:rsid w:val="003721DB"/>
    <w:rsid w:val="00372241"/>
    <w:rsid w:val="0037228C"/>
    <w:rsid w:val="00372B99"/>
    <w:rsid w:val="00372BE5"/>
    <w:rsid w:val="003737A7"/>
    <w:rsid w:val="003738FD"/>
    <w:rsid w:val="00373BB0"/>
    <w:rsid w:val="00373CB5"/>
    <w:rsid w:val="00374287"/>
    <w:rsid w:val="00374363"/>
    <w:rsid w:val="00374A52"/>
    <w:rsid w:val="00374DE0"/>
    <w:rsid w:val="00374E35"/>
    <w:rsid w:val="00375153"/>
    <w:rsid w:val="00375BD4"/>
    <w:rsid w:val="00375DC0"/>
    <w:rsid w:val="00376451"/>
    <w:rsid w:val="00376B49"/>
    <w:rsid w:val="00376CDC"/>
    <w:rsid w:val="00377128"/>
    <w:rsid w:val="003775B8"/>
    <w:rsid w:val="003775E8"/>
    <w:rsid w:val="00377C66"/>
    <w:rsid w:val="00377FCF"/>
    <w:rsid w:val="00380F70"/>
    <w:rsid w:val="003810A3"/>
    <w:rsid w:val="003810BE"/>
    <w:rsid w:val="0038122A"/>
    <w:rsid w:val="003812CC"/>
    <w:rsid w:val="003826B5"/>
    <w:rsid w:val="003837C8"/>
    <w:rsid w:val="0038489A"/>
    <w:rsid w:val="00384AE1"/>
    <w:rsid w:val="00384FC0"/>
    <w:rsid w:val="003859FD"/>
    <w:rsid w:val="00385A94"/>
    <w:rsid w:val="00385AB8"/>
    <w:rsid w:val="003861C7"/>
    <w:rsid w:val="0038641F"/>
    <w:rsid w:val="00386F6C"/>
    <w:rsid w:val="00387621"/>
    <w:rsid w:val="00387675"/>
    <w:rsid w:val="00387709"/>
    <w:rsid w:val="00387719"/>
    <w:rsid w:val="00387794"/>
    <w:rsid w:val="003878E7"/>
    <w:rsid w:val="00387904"/>
    <w:rsid w:val="00387C4D"/>
    <w:rsid w:val="00390147"/>
    <w:rsid w:val="00390379"/>
    <w:rsid w:val="003905B5"/>
    <w:rsid w:val="0039090A"/>
    <w:rsid w:val="00390B06"/>
    <w:rsid w:val="003912CC"/>
    <w:rsid w:val="00391DA7"/>
    <w:rsid w:val="00393628"/>
    <w:rsid w:val="003937DB"/>
    <w:rsid w:val="00393923"/>
    <w:rsid w:val="00393A2A"/>
    <w:rsid w:val="003940F4"/>
    <w:rsid w:val="0039414D"/>
    <w:rsid w:val="003946E4"/>
    <w:rsid w:val="003947DC"/>
    <w:rsid w:val="00394B06"/>
    <w:rsid w:val="00395C8C"/>
    <w:rsid w:val="0039610F"/>
    <w:rsid w:val="003962A1"/>
    <w:rsid w:val="00396989"/>
    <w:rsid w:val="00396B9F"/>
    <w:rsid w:val="00397162"/>
    <w:rsid w:val="003A060B"/>
    <w:rsid w:val="003A1A84"/>
    <w:rsid w:val="003A2934"/>
    <w:rsid w:val="003A2B8D"/>
    <w:rsid w:val="003A2F01"/>
    <w:rsid w:val="003A303A"/>
    <w:rsid w:val="003A335E"/>
    <w:rsid w:val="003A381F"/>
    <w:rsid w:val="003A3DD2"/>
    <w:rsid w:val="003A445E"/>
    <w:rsid w:val="003A44DE"/>
    <w:rsid w:val="003A478E"/>
    <w:rsid w:val="003A4B0C"/>
    <w:rsid w:val="003A4DD8"/>
    <w:rsid w:val="003A515E"/>
    <w:rsid w:val="003A57B3"/>
    <w:rsid w:val="003A5D6A"/>
    <w:rsid w:val="003A5FFE"/>
    <w:rsid w:val="003A6260"/>
    <w:rsid w:val="003A63F5"/>
    <w:rsid w:val="003A6B3C"/>
    <w:rsid w:val="003A732C"/>
    <w:rsid w:val="003A761F"/>
    <w:rsid w:val="003A7D03"/>
    <w:rsid w:val="003B0779"/>
    <w:rsid w:val="003B0791"/>
    <w:rsid w:val="003B10E2"/>
    <w:rsid w:val="003B1120"/>
    <w:rsid w:val="003B1514"/>
    <w:rsid w:val="003B1A82"/>
    <w:rsid w:val="003B1EF2"/>
    <w:rsid w:val="003B253D"/>
    <w:rsid w:val="003B2AF5"/>
    <w:rsid w:val="003B2BC6"/>
    <w:rsid w:val="003B2FC4"/>
    <w:rsid w:val="003B312F"/>
    <w:rsid w:val="003B334F"/>
    <w:rsid w:val="003B3573"/>
    <w:rsid w:val="003B35A5"/>
    <w:rsid w:val="003B3699"/>
    <w:rsid w:val="003B3E45"/>
    <w:rsid w:val="003B3F53"/>
    <w:rsid w:val="003B40C4"/>
    <w:rsid w:val="003B4183"/>
    <w:rsid w:val="003B4931"/>
    <w:rsid w:val="003B4C93"/>
    <w:rsid w:val="003B53E5"/>
    <w:rsid w:val="003B57BB"/>
    <w:rsid w:val="003B5813"/>
    <w:rsid w:val="003B5BED"/>
    <w:rsid w:val="003B6564"/>
    <w:rsid w:val="003B66CB"/>
    <w:rsid w:val="003B699E"/>
    <w:rsid w:val="003B6DCB"/>
    <w:rsid w:val="003B7081"/>
    <w:rsid w:val="003B79FB"/>
    <w:rsid w:val="003B7B30"/>
    <w:rsid w:val="003B7B65"/>
    <w:rsid w:val="003B7CE7"/>
    <w:rsid w:val="003C0050"/>
    <w:rsid w:val="003C03EA"/>
    <w:rsid w:val="003C0689"/>
    <w:rsid w:val="003C0CE6"/>
    <w:rsid w:val="003C1284"/>
    <w:rsid w:val="003C196B"/>
    <w:rsid w:val="003C1986"/>
    <w:rsid w:val="003C1BF9"/>
    <w:rsid w:val="003C1CB3"/>
    <w:rsid w:val="003C209B"/>
    <w:rsid w:val="003C2B44"/>
    <w:rsid w:val="003C315E"/>
    <w:rsid w:val="003C32F6"/>
    <w:rsid w:val="003C3609"/>
    <w:rsid w:val="003C360F"/>
    <w:rsid w:val="003C3AD4"/>
    <w:rsid w:val="003C3B73"/>
    <w:rsid w:val="003C3FAC"/>
    <w:rsid w:val="003C402B"/>
    <w:rsid w:val="003C42AA"/>
    <w:rsid w:val="003C447D"/>
    <w:rsid w:val="003C454C"/>
    <w:rsid w:val="003C4D81"/>
    <w:rsid w:val="003C4E9C"/>
    <w:rsid w:val="003C51AE"/>
    <w:rsid w:val="003C52B8"/>
    <w:rsid w:val="003C55B2"/>
    <w:rsid w:val="003C58A4"/>
    <w:rsid w:val="003C5916"/>
    <w:rsid w:val="003C5BB0"/>
    <w:rsid w:val="003C5E11"/>
    <w:rsid w:val="003C5F92"/>
    <w:rsid w:val="003C614A"/>
    <w:rsid w:val="003C69D9"/>
    <w:rsid w:val="003C6E1D"/>
    <w:rsid w:val="003C7495"/>
    <w:rsid w:val="003C7784"/>
    <w:rsid w:val="003C7B82"/>
    <w:rsid w:val="003C7D5C"/>
    <w:rsid w:val="003D058C"/>
    <w:rsid w:val="003D05C3"/>
    <w:rsid w:val="003D1006"/>
    <w:rsid w:val="003D136B"/>
    <w:rsid w:val="003D14EF"/>
    <w:rsid w:val="003D1771"/>
    <w:rsid w:val="003D1F78"/>
    <w:rsid w:val="003D1FFE"/>
    <w:rsid w:val="003D2634"/>
    <w:rsid w:val="003D2A3C"/>
    <w:rsid w:val="003D2B41"/>
    <w:rsid w:val="003D343A"/>
    <w:rsid w:val="003D34A9"/>
    <w:rsid w:val="003D36F8"/>
    <w:rsid w:val="003D403A"/>
    <w:rsid w:val="003D40BB"/>
    <w:rsid w:val="003D439D"/>
    <w:rsid w:val="003D45B2"/>
    <w:rsid w:val="003D4A18"/>
    <w:rsid w:val="003D51BA"/>
    <w:rsid w:val="003D5A2E"/>
    <w:rsid w:val="003D5DBD"/>
    <w:rsid w:val="003D6089"/>
    <w:rsid w:val="003D6384"/>
    <w:rsid w:val="003D6668"/>
    <w:rsid w:val="003D6C1C"/>
    <w:rsid w:val="003D6E22"/>
    <w:rsid w:val="003D72B0"/>
    <w:rsid w:val="003D76B1"/>
    <w:rsid w:val="003D7ECD"/>
    <w:rsid w:val="003E0672"/>
    <w:rsid w:val="003E08C6"/>
    <w:rsid w:val="003E0D8C"/>
    <w:rsid w:val="003E0F33"/>
    <w:rsid w:val="003E1212"/>
    <w:rsid w:val="003E1429"/>
    <w:rsid w:val="003E1594"/>
    <w:rsid w:val="003E17A6"/>
    <w:rsid w:val="003E17EE"/>
    <w:rsid w:val="003E1DDA"/>
    <w:rsid w:val="003E1ECB"/>
    <w:rsid w:val="003E20A6"/>
    <w:rsid w:val="003E2164"/>
    <w:rsid w:val="003E2A35"/>
    <w:rsid w:val="003E2C45"/>
    <w:rsid w:val="003E2D89"/>
    <w:rsid w:val="003E3BCC"/>
    <w:rsid w:val="003E3D2D"/>
    <w:rsid w:val="003E417E"/>
    <w:rsid w:val="003E4639"/>
    <w:rsid w:val="003E4AA5"/>
    <w:rsid w:val="003E4C43"/>
    <w:rsid w:val="003E4F46"/>
    <w:rsid w:val="003E53DC"/>
    <w:rsid w:val="003E54C5"/>
    <w:rsid w:val="003E5562"/>
    <w:rsid w:val="003E5DD6"/>
    <w:rsid w:val="003E624D"/>
    <w:rsid w:val="003E631C"/>
    <w:rsid w:val="003E6566"/>
    <w:rsid w:val="003E6B3A"/>
    <w:rsid w:val="003E7748"/>
    <w:rsid w:val="003E7B6D"/>
    <w:rsid w:val="003E7B6F"/>
    <w:rsid w:val="003E7BB8"/>
    <w:rsid w:val="003E7E48"/>
    <w:rsid w:val="003F04A6"/>
    <w:rsid w:val="003F07AC"/>
    <w:rsid w:val="003F13E8"/>
    <w:rsid w:val="003F172F"/>
    <w:rsid w:val="003F19E7"/>
    <w:rsid w:val="003F1CCD"/>
    <w:rsid w:val="003F1CEC"/>
    <w:rsid w:val="003F2693"/>
    <w:rsid w:val="003F2AF8"/>
    <w:rsid w:val="003F2C11"/>
    <w:rsid w:val="003F3963"/>
    <w:rsid w:val="003F4080"/>
    <w:rsid w:val="003F43BF"/>
    <w:rsid w:val="003F4432"/>
    <w:rsid w:val="003F4EC2"/>
    <w:rsid w:val="003F5312"/>
    <w:rsid w:val="003F6A72"/>
    <w:rsid w:val="003F6B64"/>
    <w:rsid w:val="003F6BE4"/>
    <w:rsid w:val="003F6BF5"/>
    <w:rsid w:val="003F6CB8"/>
    <w:rsid w:val="003F6D87"/>
    <w:rsid w:val="003F765F"/>
    <w:rsid w:val="003F76A1"/>
    <w:rsid w:val="003F7AB4"/>
    <w:rsid w:val="003F7B30"/>
    <w:rsid w:val="00400030"/>
    <w:rsid w:val="00400738"/>
    <w:rsid w:val="00400773"/>
    <w:rsid w:val="00400868"/>
    <w:rsid w:val="00400986"/>
    <w:rsid w:val="0040098A"/>
    <w:rsid w:val="00400C4F"/>
    <w:rsid w:val="00400E0B"/>
    <w:rsid w:val="00400F2E"/>
    <w:rsid w:val="004011C4"/>
    <w:rsid w:val="004016D5"/>
    <w:rsid w:val="004017F3"/>
    <w:rsid w:val="00401DAF"/>
    <w:rsid w:val="00402735"/>
    <w:rsid w:val="0040303A"/>
    <w:rsid w:val="00403365"/>
    <w:rsid w:val="0040399F"/>
    <w:rsid w:val="00403CF8"/>
    <w:rsid w:val="00403E3F"/>
    <w:rsid w:val="004040E3"/>
    <w:rsid w:val="00405DCB"/>
    <w:rsid w:val="00406777"/>
    <w:rsid w:val="00407459"/>
    <w:rsid w:val="00407746"/>
    <w:rsid w:val="004078B2"/>
    <w:rsid w:val="004079A9"/>
    <w:rsid w:val="00407BF0"/>
    <w:rsid w:val="00407EAE"/>
    <w:rsid w:val="00410523"/>
    <w:rsid w:val="004108B7"/>
    <w:rsid w:val="004109E2"/>
    <w:rsid w:val="00410F93"/>
    <w:rsid w:val="0041180E"/>
    <w:rsid w:val="004120D4"/>
    <w:rsid w:val="00412338"/>
    <w:rsid w:val="004123EA"/>
    <w:rsid w:val="004124E1"/>
    <w:rsid w:val="00412720"/>
    <w:rsid w:val="004133E4"/>
    <w:rsid w:val="00413509"/>
    <w:rsid w:val="0041441D"/>
    <w:rsid w:val="00414782"/>
    <w:rsid w:val="00414907"/>
    <w:rsid w:val="00414D01"/>
    <w:rsid w:val="00414E8C"/>
    <w:rsid w:val="00415EB5"/>
    <w:rsid w:val="0041655A"/>
    <w:rsid w:val="00416D98"/>
    <w:rsid w:val="00416D9B"/>
    <w:rsid w:val="00416FC7"/>
    <w:rsid w:val="004170FE"/>
    <w:rsid w:val="004174B8"/>
    <w:rsid w:val="00420576"/>
    <w:rsid w:val="0042072F"/>
    <w:rsid w:val="004209E6"/>
    <w:rsid w:val="00420A0A"/>
    <w:rsid w:val="00420E41"/>
    <w:rsid w:val="00420FC5"/>
    <w:rsid w:val="004212B3"/>
    <w:rsid w:val="004214D6"/>
    <w:rsid w:val="00421575"/>
    <w:rsid w:val="00421E67"/>
    <w:rsid w:val="00422598"/>
    <w:rsid w:val="004225FA"/>
    <w:rsid w:val="00422892"/>
    <w:rsid w:val="00422D69"/>
    <w:rsid w:val="0042324B"/>
    <w:rsid w:val="004234E8"/>
    <w:rsid w:val="0042359C"/>
    <w:rsid w:val="00423D92"/>
    <w:rsid w:val="00424631"/>
    <w:rsid w:val="00425025"/>
    <w:rsid w:val="00425100"/>
    <w:rsid w:val="004251AD"/>
    <w:rsid w:val="0042584A"/>
    <w:rsid w:val="004259B1"/>
    <w:rsid w:val="00425A1F"/>
    <w:rsid w:val="00425CF6"/>
    <w:rsid w:val="00425EB1"/>
    <w:rsid w:val="00426805"/>
    <w:rsid w:val="00426A5C"/>
    <w:rsid w:val="00427049"/>
    <w:rsid w:val="0042739B"/>
    <w:rsid w:val="004275DE"/>
    <w:rsid w:val="00427B5E"/>
    <w:rsid w:val="00427FED"/>
    <w:rsid w:val="00430150"/>
    <w:rsid w:val="004302F9"/>
    <w:rsid w:val="004304CC"/>
    <w:rsid w:val="00430669"/>
    <w:rsid w:val="0043091F"/>
    <w:rsid w:val="00430E84"/>
    <w:rsid w:val="00431190"/>
    <w:rsid w:val="004315AD"/>
    <w:rsid w:val="004317DF"/>
    <w:rsid w:val="004319FA"/>
    <w:rsid w:val="0043229B"/>
    <w:rsid w:val="00432531"/>
    <w:rsid w:val="004325F2"/>
    <w:rsid w:val="00432A9B"/>
    <w:rsid w:val="00432E52"/>
    <w:rsid w:val="00432EAF"/>
    <w:rsid w:val="00432F23"/>
    <w:rsid w:val="00433163"/>
    <w:rsid w:val="0043373F"/>
    <w:rsid w:val="004342B2"/>
    <w:rsid w:val="004348E3"/>
    <w:rsid w:val="00434A2E"/>
    <w:rsid w:val="004351F2"/>
    <w:rsid w:val="0043523B"/>
    <w:rsid w:val="00435287"/>
    <w:rsid w:val="004354B4"/>
    <w:rsid w:val="004365ED"/>
    <w:rsid w:val="00436E43"/>
    <w:rsid w:val="00436EDB"/>
    <w:rsid w:val="00436F5D"/>
    <w:rsid w:val="00437777"/>
    <w:rsid w:val="00437809"/>
    <w:rsid w:val="00437A81"/>
    <w:rsid w:val="00437EFF"/>
    <w:rsid w:val="004400D7"/>
    <w:rsid w:val="004405E8"/>
    <w:rsid w:val="00440761"/>
    <w:rsid w:val="00440A22"/>
    <w:rsid w:val="00440A5E"/>
    <w:rsid w:val="00440A8F"/>
    <w:rsid w:val="00440B08"/>
    <w:rsid w:val="00441093"/>
    <w:rsid w:val="00441518"/>
    <w:rsid w:val="004416AE"/>
    <w:rsid w:val="004426FC"/>
    <w:rsid w:val="00442857"/>
    <w:rsid w:val="004428FA"/>
    <w:rsid w:val="00443FC2"/>
    <w:rsid w:val="00444E1C"/>
    <w:rsid w:val="00445135"/>
    <w:rsid w:val="0044559B"/>
    <w:rsid w:val="004455FA"/>
    <w:rsid w:val="004468AA"/>
    <w:rsid w:val="004469B7"/>
    <w:rsid w:val="00446ACF"/>
    <w:rsid w:val="00446B46"/>
    <w:rsid w:val="004470E8"/>
    <w:rsid w:val="0044752F"/>
    <w:rsid w:val="00447AA4"/>
    <w:rsid w:val="00447EA0"/>
    <w:rsid w:val="00450F0C"/>
    <w:rsid w:val="0045114E"/>
    <w:rsid w:val="00451AA0"/>
    <w:rsid w:val="0045212B"/>
    <w:rsid w:val="0045218A"/>
    <w:rsid w:val="004523DA"/>
    <w:rsid w:val="00452859"/>
    <w:rsid w:val="00452B44"/>
    <w:rsid w:val="00452BA8"/>
    <w:rsid w:val="004530DA"/>
    <w:rsid w:val="00453282"/>
    <w:rsid w:val="004533E6"/>
    <w:rsid w:val="00453487"/>
    <w:rsid w:val="0045406E"/>
    <w:rsid w:val="004543DA"/>
    <w:rsid w:val="004546EB"/>
    <w:rsid w:val="00454874"/>
    <w:rsid w:val="00455158"/>
    <w:rsid w:val="0045531A"/>
    <w:rsid w:val="00455464"/>
    <w:rsid w:val="0045550E"/>
    <w:rsid w:val="00455847"/>
    <w:rsid w:val="00455A06"/>
    <w:rsid w:val="00455B1C"/>
    <w:rsid w:val="00455C56"/>
    <w:rsid w:val="00455DA4"/>
    <w:rsid w:val="00456456"/>
    <w:rsid w:val="004565A7"/>
    <w:rsid w:val="00456BB3"/>
    <w:rsid w:val="00456D57"/>
    <w:rsid w:val="00456E4F"/>
    <w:rsid w:val="00457A55"/>
    <w:rsid w:val="00457B64"/>
    <w:rsid w:val="00457B86"/>
    <w:rsid w:val="00457ED4"/>
    <w:rsid w:val="00457F1D"/>
    <w:rsid w:val="00460357"/>
    <w:rsid w:val="00460963"/>
    <w:rsid w:val="00460AE0"/>
    <w:rsid w:val="00460DCA"/>
    <w:rsid w:val="0046131F"/>
    <w:rsid w:val="0046190B"/>
    <w:rsid w:val="004619CC"/>
    <w:rsid w:val="00461A5F"/>
    <w:rsid w:val="00461E28"/>
    <w:rsid w:val="00462367"/>
    <w:rsid w:val="004637AA"/>
    <w:rsid w:val="004638ED"/>
    <w:rsid w:val="0046490C"/>
    <w:rsid w:val="00464B43"/>
    <w:rsid w:val="00464C80"/>
    <w:rsid w:val="0046566E"/>
    <w:rsid w:val="004656F8"/>
    <w:rsid w:val="00465B76"/>
    <w:rsid w:val="00466653"/>
    <w:rsid w:val="00466E5A"/>
    <w:rsid w:val="00466F95"/>
    <w:rsid w:val="0046712B"/>
    <w:rsid w:val="00467B02"/>
    <w:rsid w:val="00470287"/>
    <w:rsid w:val="00470288"/>
    <w:rsid w:val="004702FA"/>
    <w:rsid w:val="004704BF"/>
    <w:rsid w:val="00470733"/>
    <w:rsid w:val="00470A85"/>
    <w:rsid w:val="0047113C"/>
    <w:rsid w:val="00471491"/>
    <w:rsid w:val="0047193C"/>
    <w:rsid w:val="00471EB5"/>
    <w:rsid w:val="004724C7"/>
    <w:rsid w:val="00473714"/>
    <w:rsid w:val="00473880"/>
    <w:rsid w:val="004739B1"/>
    <w:rsid w:val="00473AF9"/>
    <w:rsid w:val="00473DDE"/>
    <w:rsid w:val="0047420E"/>
    <w:rsid w:val="004744DF"/>
    <w:rsid w:val="0047493B"/>
    <w:rsid w:val="00474F71"/>
    <w:rsid w:val="004750A1"/>
    <w:rsid w:val="00475478"/>
    <w:rsid w:val="004757B4"/>
    <w:rsid w:val="00475880"/>
    <w:rsid w:val="00476642"/>
    <w:rsid w:val="004772AA"/>
    <w:rsid w:val="004773D3"/>
    <w:rsid w:val="0047746B"/>
    <w:rsid w:val="00477C53"/>
    <w:rsid w:val="00480DCC"/>
    <w:rsid w:val="00480EC4"/>
    <w:rsid w:val="0048127A"/>
    <w:rsid w:val="004818E3"/>
    <w:rsid w:val="00481D22"/>
    <w:rsid w:val="00481E0C"/>
    <w:rsid w:val="0048278E"/>
    <w:rsid w:val="004827D3"/>
    <w:rsid w:val="00482CFA"/>
    <w:rsid w:val="00482E73"/>
    <w:rsid w:val="00482F67"/>
    <w:rsid w:val="00482FB0"/>
    <w:rsid w:val="00483575"/>
    <w:rsid w:val="00483BEA"/>
    <w:rsid w:val="004847DD"/>
    <w:rsid w:val="004850F5"/>
    <w:rsid w:val="004851CA"/>
    <w:rsid w:val="004852EA"/>
    <w:rsid w:val="00485380"/>
    <w:rsid w:val="0048595A"/>
    <w:rsid w:val="00485A19"/>
    <w:rsid w:val="00485A86"/>
    <w:rsid w:val="00485CD2"/>
    <w:rsid w:val="00485FD9"/>
    <w:rsid w:val="004862FB"/>
    <w:rsid w:val="0048692D"/>
    <w:rsid w:val="00486A22"/>
    <w:rsid w:val="0048719C"/>
    <w:rsid w:val="004874DB"/>
    <w:rsid w:val="004877F2"/>
    <w:rsid w:val="004878EA"/>
    <w:rsid w:val="00490322"/>
    <w:rsid w:val="0049033C"/>
    <w:rsid w:val="004907BE"/>
    <w:rsid w:val="004908D0"/>
    <w:rsid w:val="00490B06"/>
    <w:rsid w:val="004912D4"/>
    <w:rsid w:val="004919FF"/>
    <w:rsid w:val="00491EDB"/>
    <w:rsid w:val="0049231A"/>
    <w:rsid w:val="00492461"/>
    <w:rsid w:val="004928C1"/>
    <w:rsid w:val="004933C8"/>
    <w:rsid w:val="00493500"/>
    <w:rsid w:val="004935A7"/>
    <w:rsid w:val="00493762"/>
    <w:rsid w:val="00493AC8"/>
    <w:rsid w:val="00493D87"/>
    <w:rsid w:val="00493E30"/>
    <w:rsid w:val="00493E6A"/>
    <w:rsid w:val="0049418F"/>
    <w:rsid w:val="00494381"/>
    <w:rsid w:val="004950CC"/>
    <w:rsid w:val="004950D4"/>
    <w:rsid w:val="00495A33"/>
    <w:rsid w:val="00495E05"/>
    <w:rsid w:val="004962C4"/>
    <w:rsid w:val="00496F1B"/>
    <w:rsid w:val="004971A9"/>
    <w:rsid w:val="004972A2"/>
    <w:rsid w:val="00497839"/>
    <w:rsid w:val="0049799C"/>
    <w:rsid w:val="004A018C"/>
    <w:rsid w:val="004A0506"/>
    <w:rsid w:val="004A0599"/>
    <w:rsid w:val="004A0B4D"/>
    <w:rsid w:val="004A0C15"/>
    <w:rsid w:val="004A0E00"/>
    <w:rsid w:val="004A13EB"/>
    <w:rsid w:val="004A14F0"/>
    <w:rsid w:val="004A1B58"/>
    <w:rsid w:val="004A1F85"/>
    <w:rsid w:val="004A22BB"/>
    <w:rsid w:val="004A2342"/>
    <w:rsid w:val="004A251B"/>
    <w:rsid w:val="004A2B3E"/>
    <w:rsid w:val="004A2B88"/>
    <w:rsid w:val="004A2F62"/>
    <w:rsid w:val="004A33F3"/>
    <w:rsid w:val="004A39B8"/>
    <w:rsid w:val="004A3B4E"/>
    <w:rsid w:val="004A3BA2"/>
    <w:rsid w:val="004A3FC6"/>
    <w:rsid w:val="004A4AE5"/>
    <w:rsid w:val="004A4C44"/>
    <w:rsid w:val="004A549E"/>
    <w:rsid w:val="004A5D7F"/>
    <w:rsid w:val="004A669A"/>
    <w:rsid w:val="004A694F"/>
    <w:rsid w:val="004A69DD"/>
    <w:rsid w:val="004A6FE5"/>
    <w:rsid w:val="004A7042"/>
    <w:rsid w:val="004A7294"/>
    <w:rsid w:val="004A7328"/>
    <w:rsid w:val="004A7647"/>
    <w:rsid w:val="004A7D1B"/>
    <w:rsid w:val="004B05AD"/>
    <w:rsid w:val="004B0900"/>
    <w:rsid w:val="004B0D73"/>
    <w:rsid w:val="004B12E1"/>
    <w:rsid w:val="004B15C9"/>
    <w:rsid w:val="004B1BD3"/>
    <w:rsid w:val="004B1DB8"/>
    <w:rsid w:val="004B2323"/>
    <w:rsid w:val="004B24B7"/>
    <w:rsid w:val="004B29EE"/>
    <w:rsid w:val="004B2E82"/>
    <w:rsid w:val="004B2EB6"/>
    <w:rsid w:val="004B2F01"/>
    <w:rsid w:val="004B3039"/>
    <w:rsid w:val="004B316D"/>
    <w:rsid w:val="004B33C3"/>
    <w:rsid w:val="004B33E1"/>
    <w:rsid w:val="004B355C"/>
    <w:rsid w:val="004B37CB"/>
    <w:rsid w:val="004B4182"/>
    <w:rsid w:val="004B4538"/>
    <w:rsid w:val="004B482C"/>
    <w:rsid w:val="004B48F0"/>
    <w:rsid w:val="004B4AC6"/>
    <w:rsid w:val="004B4E77"/>
    <w:rsid w:val="004B5E75"/>
    <w:rsid w:val="004B6670"/>
    <w:rsid w:val="004B6C20"/>
    <w:rsid w:val="004B6FB6"/>
    <w:rsid w:val="004C012F"/>
    <w:rsid w:val="004C0296"/>
    <w:rsid w:val="004C0786"/>
    <w:rsid w:val="004C0AC9"/>
    <w:rsid w:val="004C0BF7"/>
    <w:rsid w:val="004C0DE9"/>
    <w:rsid w:val="004C1186"/>
    <w:rsid w:val="004C11CA"/>
    <w:rsid w:val="004C17F0"/>
    <w:rsid w:val="004C1B78"/>
    <w:rsid w:val="004C1FE2"/>
    <w:rsid w:val="004C2263"/>
    <w:rsid w:val="004C2306"/>
    <w:rsid w:val="004C2D74"/>
    <w:rsid w:val="004C3851"/>
    <w:rsid w:val="004C3ABC"/>
    <w:rsid w:val="004C3AFE"/>
    <w:rsid w:val="004C3AFF"/>
    <w:rsid w:val="004C4182"/>
    <w:rsid w:val="004C4D2E"/>
    <w:rsid w:val="004C5006"/>
    <w:rsid w:val="004C54B2"/>
    <w:rsid w:val="004C5573"/>
    <w:rsid w:val="004C571D"/>
    <w:rsid w:val="004C5BE7"/>
    <w:rsid w:val="004C6682"/>
    <w:rsid w:val="004C6745"/>
    <w:rsid w:val="004C68D5"/>
    <w:rsid w:val="004C72A5"/>
    <w:rsid w:val="004C7675"/>
    <w:rsid w:val="004C7DC3"/>
    <w:rsid w:val="004D004E"/>
    <w:rsid w:val="004D0B92"/>
    <w:rsid w:val="004D0FAC"/>
    <w:rsid w:val="004D12B6"/>
    <w:rsid w:val="004D16A5"/>
    <w:rsid w:val="004D1831"/>
    <w:rsid w:val="004D1A7F"/>
    <w:rsid w:val="004D1CBF"/>
    <w:rsid w:val="004D2355"/>
    <w:rsid w:val="004D23A8"/>
    <w:rsid w:val="004D24EB"/>
    <w:rsid w:val="004D2C51"/>
    <w:rsid w:val="004D32BB"/>
    <w:rsid w:val="004D34FC"/>
    <w:rsid w:val="004D35A2"/>
    <w:rsid w:val="004D39C3"/>
    <w:rsid w:val="004D473F"/>
    <w:rsid w:val="004D47CA"/>
    <w:rsid w:val="004D4921"/>
    <w:rsid w:val="004D4A02"/>
    <w:rsid w:val="004D4D07"/>
    <w:rsid w:val="004D52CC"/>
    <w:rsid w:val="004D5E20"/>
    <w:rsid w:val="004D5FD1"/>
    <w:rsid w:val="004D6035"/>
    <w:rsid w:val="004D6443"/>
    <w:rsid w:val="004D6689"/>
    <w:rsid w:val="004D674C"/>
    <w:rsid w:val="004D6933"/>
    <w:rsid w:val="004D6972"/>
    <w:rsid w:val="004D6BA0"/>
    <w:rsid w:val="004E0480"/>
    <w:rsid w:val="004E04E7"/>
    <w:rsid w:val="004E0C5C"/>
    <w:rsid w:val="004E0E58"/>
    <w:rsid w:val="004E124B"/>
    <w:rsid w:val="004E1BD0"/>
    <w:rsid w:val="004E1D88"/>
    <w:rsid w:val="004E1E02"/>
    <w:rsid w:val="004E22A7"/>
    <w:rsid w:val="004E25D3"/>
    <w:rsid w:val="004E28D0"/>
    <w:rsid w:val="004E2DEC"/>
    <w:rsid w:val="004E2FAA"/>
    <w:rsid w:val="004E38E3"/>
    <w:rsid w:val="004E3B0B"/>
    <w:rsid w:val="004E433B"/>
    <w:rsid w:val="004E4604"/>
    <w:rsid w:val="004E4A28"/>
    <w:rsid w:val="004E52C3"/>
    <w:rsid w:val="004E5565"/>
    <w:rsid w:val="004E59A6"/>
    <w:rsid w:val="004E6350"/>
    <w:rsid w:val="004E67D1"/>
    <w:rsid w:val="004E69E0"/>
    <w:rsid w:val="004E6F6E"/>
    <w:rsid w:val="004E75F6"/>
    <w:rsid w:val="004F0008"/>
    <w:rsid w:val="004F0032"/>
    <w:rsid w:val="004F0B9A"/>
    <w:rsid w:val="004F1627"/>
    <w:rsid w:val="004F21F5"/>
    <w:rsid w:val="004F232C"/>
    <w:rsid w:val="004F26FB"/>
    <w:rsid w:val="004F29BF"/>
    <w:rsid w:val="004F2DF5"/>
    <w:rsid w:val="004F2E22"/>
    <w:rsid w:val="004F2E36"/>
    <w:rsid w:val="004F43C7"/>
    <w:rsid w:val="004F5247"/>
    <w:rsid w:val="004F5B85"/>
    <w:rsid w:val="004F5E53"/>
    <w:rsid w:val="004F6158"/>
    <w:rsid w:val="004F6250"/>
    <w:rsid w:val="004F6544"/>
    <w:rsid w:val="004F665B"/>
    <w:rsid w:val="004F6F16"/>
    <w:rsid w:val="004F71AD"/>
    <w:rsid w:val="004F75EF"/>
    <w:rsid w:val="004F7756"/>
    <w:rsid w:val="004F7C93"/>
    <w:rsid w:val="004F7EA7"/>
    <w:rsid w:val="00500258"/>
    <w:rsid w:val="00500C25"/>
    <w:rsid w:val="00500D3E"/>
    <w:rsid w:val="005016AE"/>
    <w:rsid w:val="00501C69"/>
    <w:rsid w:val="00501F38"/>
    <w:rsid w:val="0050206D"/>
    <w:rsid w:val="00502091"/>
    <w:rsid w:val="00502796"/>
    <w:rsid w:val="00502C48"/>
    <w:rsid w:val="00503215"/>
    <w:rsid w:val="00503373"/>
    <w:rsid w:val="00503934"/>
    <w:rsid w:val="00503D82"/>
    <w:rsid w:val="00503F5E"/>
    <w:rsid w:val="00503FB4"/>
    <w:rsid w:val="005040C2"/>
    <w:rsid w:val="0050462F"/>
    <w:rsid w:val="00504987"/>
    <w:rsid w:val="00505415"/>
    <w:rsid w:val="00505460"/>
    <w:rsid w:val="00506105"/>
    <w:rsid w:val="005064DB"/>
    <w:rsid w:val="005067AF"/>
    <w:rsid w:val="00506931"/>
    <w:rsid w:val="00506CFF"/>
    <w:rsid w:val="00506FD1"/>
    <w:rsid w:val="00507232"/>
    <w:rsid w:val="00507563"/>
    <w:rsid w:val="00507C0F"/>
    <w:rsid w:val="005104A6"/>
    <w:rsid w:val="005107AE"/>
    <w:rsid w:val="005109A7"/>
    <w:rsid w:val="00510DCC"/>
    <w:rsid w:val="0051114F"/>
    <w:rsid w:val="0051124C"/>
    <w:rsid w:val="0051140E"/>
    <w:rsid w:val="0051171F"/>
    <w:rsid w:val="00511CA0"/>
    <w:rsid w:val="00511D5B"/>
    <w:rsid w:val="00511D94"/>
    <w:rsid w:val="005124D7"/>
    <w:rsid w:val="00512856"/>
    <w:rsid w:val="00512C56"/>
    <w:rsid w:val="00512D2E"/>
    <w:rsid w:val="00513162"/>
    <w:rsid w:val="00513B14"/>
    <w:rsid w:val="00513C54"/>
    <w:rsid w:val="0051430C"/>
    <w:rsid w:val="00514548"/>
    <w:rsid w:val="005147A2"/>
    <w:rsid w:val="005153F6"/>
    <w:rsid w:val="005157DB"/>
    <w:rsid w:val="00515A06"/>
    <w:rsid w:val="00516101"/>
    <w:rsid w:val="0051696F"/>
    <w:rsid w:val="00516B03"/>
    <w:rsid w:val="00516CAF"/>
    <w:rsid w:val="00516D10"/>
    <w:rsid w:val="005171A1"/>
    <w:rsid w:val="0051736D"/>
    <w:rsid w:val="0052035F"/>
    <w:rsid w:val="00520A3B"/>
    <w:rsid w:val="00520B3D"/>
    <w:rsid w:val="00520D4E"/>
    <w:rsid w:val="00520E80"/>
    <w:rsid w:val="00521243"/>
    <w:rsid w:val="005212FE"/>
    <w:rsid w:val="00521555"/>
    <w:rsid w:val="00521853"/>
    <w:rsid w:val="00521960"/>
    <w:rsid w:val="00521CE7"/>
    <w:rsid w:val="00521CF3"/>
    <w:rsid w:val="005222F0"/>
    <w:rsid w:val="00522C4A"/>
    <w:rsid w:val="00523064"/>
    <w:rsid w:val="00523691"/>
    <w:rsid w:val="00523F1D"/>
    <w:rsid w:val="005247B3"/>
    <w:rsid w:val="00524C82"/>
    <w:rsid w:val="00525809"/>
    <w:rsid w:val="005264B6"/>
    <w:rsid w:val="0052666E"/>
    <w:rsid w:val="005267F6"/>
    <w:rsid w:val="005269D3"/>
    <w:rsid w:val="00526B08"/>
    <w:rsid w:val="00526DF3"/>
    <w:rsid w:val="00526E8A"/>
    <w:rsid w:val="0052716B"/>
    <w:rsid w:val="00527391"/>
    <w:rsid w:val="00527BDA"/>
    <w:rsid w:val="00527EAA"/>
    <w:rsid w:val="00530734"/>
    <w:rsid w:val="005314C6"/>
    <w:rsid w:val="00531715"/>
    <w:rsid w:val="005319F3"/>
    <w:rsid w:val="005321EE"/>
    <w:rsid w:val="00532C9E"/>
    <w:rsid w:val="00532DF2"/>
    <w:rsid w:val="00534072"/>
    <w:rsid w:val="00534307"/>
    <w:rsid w:val="005343CA"/>
    <w:rsid w:val="0053502C"/>
    <w:rsid w:val="00535130"/>
    <w:rsid w:val="005354A6"/>
    <w:rsid w:val="00536006"/>
    <w:rsid w:val="0053606A"/>
    <w:rsid w:val="00536094"/>
    <w:rsid w:val="00536756"/>
    <w:rsid w:val="00537302"/>
    <w:rsid w:val="0053738C"/>
    <w:rsid w:val="00537922"/>
    <w:rsid w:val="005400A0"/>
    <w:rsid w:val="0054038F"/>
    <w:rsid w:val="005406FC"/>
    <w:rsid w:val="005416F8"/>
    <w:rsid w:val="005418C4"/>
    <w:rsid w:val="00541928"/>
    <w:rsid w:val="00541B11"/>
    <w:rsid w:val="00541BD3"/>
    <w:rsid w:val="00542901"/>
    <w:rsid w:val="00542B93"/>
    <w:rsid w:val="00542D3C"/>
    <w:rsid w:val="00543952"/>
    <w:rsid w:val="005441BD"/>
    <w:rsid w:val="00544559"/>
    <w:rsid w:val="005445A7"/>
    <w:rsid w:val="00545D1F"/>
    <w:rsid w:val="00545D3E"/>
    <w:rsid w:val="005466D8"/>
    <w:rsid w:val="00547220"/>
    <w:rsid w:val="0054780C"/>
    <w:rsid w:val="00547848"/>
    <w:rsid w:val="00550386"/>
    <w:rsid w:val="005505A6"/>
    <w:rsid w:val="005508CB"/>
    <w:rsid w:val="00550BC7"/>
    <w:rsid w:val="00551347"/>
    <w:rsid w:val="00551473"/>
    <w:rsid w:val="00551B33"/>
    <w:rsid w:val="00551F13"/>
    <w:rsid w:val="00551FFD"/>
    <w:rsid w:val="00552411"/>
    <w:rsid w:val="0055261D"/>
    <w:rsid w:val="00552C42"/>
    <w:rsid w:val="00553358"/>
    <w:rsid w:val="0055345C"/>
    <w:rsid w:val="00553AB5"/>
    <w:rsid w:val="00553F16"/>
    <w:rsid w:val="005543D1"/>
    <w:rsid w:val="00554573"/>
    <w:rsid w:val="0055473D"/>
    <w:rsid w:val="005549A3"/>
    <w:rsid w:val="00554DB2"/>
    <w:rsid w:val="00554DEF"/>
    <w:rsid w:val="00555509"/>
    <w:rsid w:val="00555940"/>
    <w:rsid w:val="00555B02"/>
    <w:rsid w:val="00556BF4"/>
    <w:rsid w:val="00557083"/>
    <w:rsid w:val="0055747D"/>
    <w:rsid w:val="0055757B"/>
    <w:rsid w:val="00557A22"/>
    <w:rsid w:val="00557A74"/>
    <w:rsid w:val="00560102"/>
    <w:rsid w:val="00560605"/>
    <w:rsid w:val="00560876"/>
    <w:rsid w:val="00560953"/>
    <w:rsid w:val="00560F74"/>
    <w:rsid w:val="00561066"/>
    <w:rsid w:val="00561476"/>
    <w:rsid w:val="00561912"/>
    <w:rsid w:val="00561C5B"/>
    <w:rsid w:val="005621C9"/>
    <w:rsid w:val="005622BB"/>
    <w:rsid w:val="005639E3"/>
    <w:rsid w:val="00563BD9"/>
    <w:rsid w:val="00563D61"/>
    <w:rsid w:val="0056438B"/>
    <w:rsid w:val="005644D4"/>
    <w:rsid w:val="00564F2D"/>
    <w:rsid w:val="005650B9"/>
    <w:rsid w:val="005653E1"/>
    <w:rsid w:val="005654ED"/>
    <w:rsid w:val="0056594C"/>
    <w:rsid w:val="00565F20"/>
    <w:rsid w:val="005661FF"/>
    <w:rsid w:val="00566357"/>
    <w:rsid w:val="005664A2"/>
    <w:rsid w:val="00566CDA"/>
    <w:rsid w:val="0056727E"/>
    <w:rsid w:val="00567468"/>
    <w:rsid w:val="00567490"/>
    <w:rsid w:val="00567BA6"/>
    <w:rsid w:val="00567DBA"/>
    <w:rsid w:val="00570033"/>
    <w:rsid w:val="00570147"/>
    <w:rsid w:val="00570247"/>
    <w:rsid w:val="00570477"/>
    <w:rsid w:val="005706FB"/>
    <w:rsid w:val="005709EF"/>
    <w:rsid w:val="0057103C"/>
    <w:rsid w:val="005713D3"/>
    <w:rsid w:val="005716D8"/>
    <w:rsid w:val="0057182B"/>
    <w:rsid w:val="00571E23"/>
    <w:rsid w:val="00572942"/>
    <w:rsid w:val="00572BC0"/>
    <w:rsid w:val="0057307E"/>
    <w:rsid w:val="005737D4"/>
    <w:rsid w:val="005737FF"/>
    <w:rsid w:val="00573955"/>
    <w:rsid w:val="00573A4C"/>
    <w:rsid w:val="00573DBE"/>
    <w:rsid w:val="00573FFA"/>
    <w:rsid w:val="0057405B"/>
    <w:rsid w:val="005749CE"/>
    <w:rsid w:val="00574A3D"/>
    <w:rsid w:val="00574A77"/>
    <w:rsid w:val="00574B79"/>
    <w:rsid w:val="00574C2D"/>
    <w:rsid w:val="00574D12"/>
    <w:rsid w:val="00575B42"/>
    <w:rsid w:val="00576223"/>
    <w:rsid w:val="00576345"/>
    <w:rsid w:val="005763F6"/>
    <w:rsid w:val="00576545"/>
    <w:rsid w:val="005765CA"/>
    <w:rsid w:val="005766B7"/>
    <w:rsid w:val="005768A2"/>
    <w:rsid w:val="00577A7F"/>
    <w:rsid w:val="00577F7E"/>
    <w:rsid w:val="005800B4"/>
    <w:rsid w:val="00580436"/>
    <w:rsid w:val="0058052A"/>
    <w:rsid w:val="0058070B"/>
    <w:rsid w:val="00580AE0"/>
    <w:rsid w:val="00581068"/>
    <w:rsid w:val="0058131B"/>
    <w:rsid w:val="005818D3"/>
    <w:rsid w:val="00581E91"/>
    <w:rsid w:val="00581F55"/>
    <w:rsid w:val="005820DA"/>
    <w:rsid w:val="0058296F"/>
    <w:rsid w:val="005829E5"/>
    <w:rsid w:val="00582A73"/>
    <w:rsid w:val="00582B04"/>
    <w:rsid w:val="00582B1E"/>
    <w:rsid w:val="00582BC4"/>
    <w:rsid w:val="00583104"/>
    <w:rsid w:val="00583D35"/>
    <w:rsid w:val="00584013"/>
    <w:rsid w:val="005841C2"/>
    <w:rsid w:val="0058463B"/>
    <w:rsid w:val="005846EA"/>
    <w:rsid w:val="00584A8A"/>
    <w:rsid w:val="00584E9D"/>
    <w:rsid w:val="00584E9F"/>
    <w:rsid w:val="00585263"/>
    <w:rsid w:val="005852E0"/>
    <w:rsid w:val="005856AB"/>
    <w:rsid w:val="00585BD7"/>
    <w:rsid w:val="005860E6"/>
    <w:rsid w:val="00586197"/>
    <w:rsid w:val="00586A16"/>
    <w:rsid w:val="00586CD1"/>
    <w:rsid w:val="0058715A"/>
    <w:rsid w:val="00587AC6"/>
    <w:rsid w:val="005905D7"/>
    <w:rsid w:val="005908A8"/>
    <w:rsid w:val="00590C2C"/>
    <w:rsid w:val="00590D7F"/>
    <w:rsid w:val="0059113E"/>
    <w:rsid w:val="005915BF"/>
    <w:rsid w:val="00591841"/>
    <w:rsid w:val="00592917"/>
    <w:rsid w:val="00593ABE"/>
    <w:rsid w:val="00593DCC"/>
    <w:rsid w:val="005942EE"/>
    <w:rsid w:val="00594D2B"/>
    <w:rsid w:val="00595E80"/>
    <w:rsid w:val="005963E0"/>
    <w:rsid w:val="0059650E"/>
    <w:rsid w:val="005966CB"/>
    <w:rsid w:val="00596953"/>
    <w:rsid w:val="00596ABB"/>
    <w:rsid w:val="00596AF4"/>
    <w:rsid w:val="005970E3"/>
    <w:rsid w:val="0059719E"/>
    <w:rsid w:val="005973F2"/>
    <w:rsid w:val="005978EC"/>
    <w:rsid w:val="00597A0B"/>
    <w:rsid w:val="00597F7B"/>
    <w:rsid w:val="005A01ED"/>
    <w:rsid w:val="005A1493"/>
    <w:rsid w:val="005A1B1F"/>
    <w:rsid w:val="005A1D37"/>
    <w:rsid w:val="005A1E20"/>
    <w:rsid w:val="005A1E86"/>
    <w:rsid w:val="005A247A"/>
    <w:rsid w:val="005A2AFA"/>
    <w:rsid w:val="005A3474"/>
    <w:rsid w:val="005A3575"/>
    <w:rsid w:val="005A3912"/>
    <w:rsid w:val="005A3B89"/>
    <w:rsid w:val="005A3F18"/>
    <w:rsid w:val="005A444D"/>
    <w:rsid w:val="005A4C85"/>
    <w:rsid w:val="005A4EA4"/>
    <w:rsid w:val="005A4F40"/>
    <w:rsid w:val="005A581C"/>
    <w:rsid w:val="005A5CFB"/>
    <w:rsid w:val="005A5D7D"/>
    <w:rsid w:val="005A5FBA"/>
    <w:rsid w:val="005A6030"/>
    <w:rsid w:val="005A66C3"/>
    <w:rsid w:val="005A6930"/>
    <w:rsid w:val="005A6970"/>
    <w:rsid w:val="005A7191"/>
    <w:rsid w:val="005A7AF5"/>
    <w:rsid w:val="005B008A"/>
    <w:rsid w:val="005B04B8"/>
    <w:rsid w:val="005B06E4"/>
    <w:rsid w:val="005B0711"/>
    <w:rsid w:val="005B1530"/>
    <w:rsid w:val="005B29CF"/>
    <w:rsid w:val="005B340D"/>
    <w:rsid w:val="005B398D"/>
    <w:rsid w:val="005B4014"/>
    <w:rsid w:val="005B4182"/>
    <w:rsid w:val="005B4218"/>
    <w:rsid w:val="005B46EA"/>
    <w:rsid w:val="005B4F60"/>
    <w:rsid w:val="005B53B1"/>
    <w:rsid w:val="005B57AD"/>
    <w:rsid w:val="005B58A0"/>
    <w:rsid w:val="005B5F2B"/>
    <w:rsid w:val="005B62EF"/>
    <w:rsid w:val="005B69EE"/>
    <w:rsid w:val="005B6A82"/>
    <w:rsid w:val="005B6D8A"/>
    <w:rsid w:val="005B7012"/>
    <w:rsid w:val="005B70AB"/>
    <w:rsid w:val="005B722E"/>
    <w:rsid w:val="005B7996"/>
    <w:rsid w:val="005C02FE"/>
    <w:rsid w:val="005C03BB"/>
    <w:rsid w:val="005C04D1"/>
    <w:rsid w:val="005C0D9E"/>
    <w:rsid w:val="005C10A1"/>
    <w:rsid w:val="005C1397"/>
    <w:rsid w:val="005C13DE"/>
    <w:rsid w:val="005C1432"/>
    <w:rsid w:val="005C1A34"/>
    <w:rsid w:val="005C2285"/>
    <w:rsid w:val="005C2A20"/>
    <w:rsid w:val="005C3046"/>
    <w:rsid w:val="005C31ED"/>
    <w:rsid w:val="005C37EB"/>
    <w:rsid w:val="005C3D45"/>
    <w:rsid w:val="005C40B1"/>
    <w:rsid w:val="005C42E7"/>
    <w:rsid w:val="005C4B48"/>
    <w:rsid w:val="005C50AC"/>
    <w:rsid w:val="005C5279"/>
    <w:rsid w:val="005C540E"/>
    <w:rsid w:val="005C54EE"/>
    <w:rsid w:val="005C5534"/>
    <w:rsid w:val="005C5878"/>
    <w:rsid w:val="005C5D66"/>
    <w:rsid w:val="005C605B"/>
    <w:rsid w:val="005C622C"/>
    <w:rsid w:val="005C6406"/>
    <w:rsid w:val="005C6601"/>
    <w:rsid w:val="005C6F22"/>
    <w:rsid w:val="005D00E4"/>
    <w:rsid w:val="005D019A"/>
    <w:rsid w:val="005D0E6A"/>
    <w:rsid w:val="005D16DB"/>
    <w:rsid w:val="005D2476"/>
    <w:rsid w:val="005D2737"/>
    <w:rsid w:val="005D2DFA"/>
    <w:rsid w:val="005D2F96"/>
    <w:rsid w:val="005D3573"/>
    <w:rsid w:val="005D3D24"/>
    <w:rsid w:val="005D42C4"/>
    <w:rsid w:val="005D4B8A"/>
    <w:rsid w:val="005D54C6"/>
    <w:rsid w:val="005D5893"/>
    <w:rsid w:val="005D5CA8"/>
    <w:rsid w:val="005D5DBB"/>
    <w:rsid w:val="005D5F03"/>
    <w:rsid w:val="005D6093"/>
    <w:rsid w:val="005D685E"/>
    <w:rsid w:val="005D69D1"/>
    <w:rsid w:val="005D6CDF"/>
    <w:rsid w:val="005D73DA"/>
    <w:rsid w:val="005D756A"/>
    <w:rsid w:val="005D75A2"/>
    <w:rsid w:val="005E0239"/>
    <w:rsid w:val="005E0312"/>
    <w:rsid w:val="005E0FD5"/>
    <w:rsid w:val="005E15C7"/>
    <w:rsid w:val="005E1ECC"/>
    <w:rsid w:val="005E210D"/>
    <w:rsid w:val="005E268B"/>
    <w:rsid w:val="005E29BE"/>
    <w:rsid w:val="005E2C55"/>
    <w:rsid w:val="005E2CCF"/>
    <w:rsid w:val="005E3415"/>
    <w:rsid w:val="005E359F"/>
    <w:rsid w:val="005E3ACC"/>
    <w:rsid w:val="005E3B85"/>
    <w:rsid w:val="005E3C01"/>
    <w:rsid w:val="005E3F65"/>
    <w:rsid w:val="005E4625"/>
    <w:rsid w:val="005E4833"/>
    <w:rsid w:val="005E4A35"/>
    <w:rsid w:val="005E4A46"/>
    <w:rsid w:val="005E50E5"/>
    <w:rsid w:val="005E5696"/>
    <w:rsid w:val="005E5745"/>
    <w:rsid w:val="005E5FA1"/>
    <w:rsid w:val="005E604F"/>
    <w:rsid w:val="005E6A53"/>
    <w:rsid w:val="005E6C46"/>
    <w:rsid w:val="005E700E"/>
    <w:rsid w:val="005E72C5"/>
    <w:rsid w:val="005E7621"/>
    <w:rsid w:val="005E77E2"/>
    <w:rsid w:val="005E7981"/>
    <w:rsid w:val="005F0B79"/>
    <w:rsid w:val="005F0BEA"/>
    <w:rsid w:val="005F0C3C"/>
    <w:rsid w:val="005F1029"/>
    <w:rsid w:val="005F1131"/>
    <w:rsid w:val="005F20DF"/>
    <w:rsid w:val="005F2288"/>
    <w:rsid w:val="005F2425"/>
    <w:rsid w:val="005F3824"/>
    <w:rsid w:val="005F38E3"/>
    <w:rsid w:val="005F396B"/>
    <w:rsid w:val="005F3AF4"/>
    <w:rsid w:val="005F3B14"/>
    <w:rsid w:val="005F4093"/>
    <w:rsid w:val="005F41D1"/>
    <w:rsid w:val="005F42B0"/>
    <w:rsid w:val="005F4340"/>
    <w:rsid w:val="005F44E9"/>
    <w:rsid w:val="005F465D"/>
    <w:rsid w:val="005F4BD8"/>
    <w:rsid w:val="005F4E13"/>
    <w:rsid w:val="005F57C9"/>
    <w:rsid w:val="005F57D4"/>
    <w:rsid w:val="005F588A"/>
    <w:rsid w:val="005F5EC7"/>
    <w:rsid w:val="005F619C"/>
    <w:rsid w:val="005F6437"/>
    <w:rsid w:val="005F689F"/>
    <w:rsid w:val="005F6E06"/>
    <w:rsid w:val="005F6F47"/>
    <w:rsid w:val="005F6F57"/>
    <w:rsid w:val="005F7207"/>
    <w:rsid w:val="005F77CD"/>
    <w:rsid w:val="005F7FCF"/>
    <w:rsid w:val="00600704"/>
    <w:rsid w:val="006009AC"/>
    <w:rsid w:val="00600BB3"/>
    <w:rsid w:val="00601E67"/>
    <w:rsid w:val="006021E4"/>
    <w:rsid w:val="00602852"/>
    <w:rsid w:val="00603E7D"/>
    <w:rsid w:val="0060441B"/>
    <w:rsid w:val="00604551"/>
    <w:rsid w:val="006048DA"/>
    <w:rsid w:val="00604AA1"/>
    <w:rsid w:val="00604BDA"/>
    <w:rsid w:val="00604E0E"/>
    <w:rsid w:val="006052A4"/>
    <w:rsid w:val="00605873"/>
    <w:rsid w:val="00605B18"/>
    <w:rsid w:val="00605BD3"/>
    <w:rsid w:val="00605EA2"/>
    <w:rsid w:val="006066DF"/>
    <w:rsid w:val="006075FD"/>
    <w:rsid w:val="0060765A"/>
    <w:rsid w:val="00607691"/>
    <w:rsid w:val="0060775E"/>
    <w:rsid w:val="00607A36"/>
    <w:rsid w:val="0061062C"/>
    <w:rsid w:val="00610FAB"/>
    <w:rsid w:val="00611120"/>
    <w:rsid w:val="006117ED"/>
    <w:rsid w:val="006119B4"/>
    <w:rsid w:val="006119E4"/>
    <w:rsid w:val="00611EA9"/>
    <w:rsid w:val="00611F45"/>
    <w:rsid w:val="00612305"/>
    <w:rsid w:val="00612A48"/>
    <w:rsid w:val="00613183"/>
    <w:rsid w:val="006133F0"/>
    <w:rsid w:val="00613D2A"/>
    <w:rsid w:val="006142B5"/>
    <w:rsid w:val="006145B6"/>
    <w:rsid w:val="00614808"/>
    <w:rsid w:val="00614847"/>
    <w:rsid w:val="006151BD"/>
    <w:rsid w:val="00615496"/>
    <w:rsid w:val="00615F5A"/>
    <w:rsid w:val="00616107"/>
    <w:rsid w:val="00616378"/>
    <w:rsid w:val="00616543"/>
    <w:rsid w:val="0061665A"/>
    <w:rsid w:val="00616674"/>
    <w:rsid w:val="00616888"/>
    <w:rsid w:val="00616B28"/>
    <w:rsid w:val="00617121"/>
    <w:rsid w:val="006174D6"/>
    <w:rsid w:val="006176BE"/>
    <w:rsid w:val="00617925"/>
    <w:rsid w:val="00617996"/>
    <w:rsid w:val="006206DD"/>
    <w:rsid w:val="0062072C"/>
    <w:rsid w:val="00620854"/>
    <w:rsid w:val="006208EB"/>
    <w:rsid w:val="006212CB"/>
    <w:rsid w:val="0062189D"/>
    <w:rsid w:val="00621999"/>
    <w:rsid w:val="00621AFC"/>
    <w:rsid w:val="00621F90"/>
    <w:rsid w:val="00622579"/>
    <w:rsid w:val="00622906"/>
    <w:rsid w:val="00622A58"/>
    <w:rsid w:val="00622CC9"/>
    <w:rsid w:val="006231B5"/>
    <w:rsid w:val="0062358E"/>
    <w:rsid w:val="006237CA"/>
    <w:rsid w:val="00623E93"/>
    <w:rsid w:val="00623ED2"/>
    <w:rsid w:val="0062434B"/>
    <w:rsid w:val="00624EF3"/>
    <w:rsid w:val="00624FCE"/>
    <w:rsid w:val="00625BED"/>
    <w:rsid w:val="00625C9E"/>
    <w:rsid w:val="00625FB8"/>
    <w:rsid w:val="00626387"/>
    <w:rsid w:val="00626A1C"/>
    <w:rsid w:val="00626EF0"/>
    <w:rsid w:val="00626F03"/>
    <w:rsid w:val="00627202"/>
    <w:rsid w:val="006272A9"/>
    <w:rsid w:val="006273DC"/>
    <w:rsid w:val="006274C7"/>
    <w:rsid w:val="006276DF"/>
    <w:rsid w:val="006279F9"/>
    <w:rsid w:val="006315FC"/>
    <w:rsid w:val="00631651"/>
    <w:rsid w:val="00631A34"/>
    <w:rsid w:val="00631A7D"/>
    <w:rsid w:val="00631AD1"/>
    <w:rsid w:val="00631AFF"/>
    <w:rsid w:val="00631DEF"/>
    <w:rsid w:val="00632833"/>
    <w:rsid w:val="00632B3A"/>
    <w:rsid w:val="00632B92"/>
    <w:rsid w:val="00632FA3"/>
    <w:rsid w:val="006330E5"/>
    <w:rsid w:val="0063336B"/>
    <w:rsid w:val="00633401"/>
    <w:rsid w:val="0063344E"/>
    <w:rsid w:val="00633D2F"/>
    <w:rsid w:val="0063539D"/>
    <w:rsid w:val="00635D48"/>
    <w:rsid w:val="00635E7C"/>
    <w:rsid w:val="00635ED5"/>
    <w:rsid w:val="00635F9D"/>
    <w:rsid w:val="00636068"/>
    <w:rsid w:val="006362BE"/>
    <w:rsid w:val="00636678"/>
    <w:rsid w:val="00636734"/>
    <w:rsid w:val="006369EE"/>
    <w:rsid w:val="00636DAD"/>
    <w:rsid w:val="00637513"/>
    <w:rsid w:val="006375E2"/>
    <w:rsid w:val="006376AE"/>
    <w:rsid w:val="006376E1"/>
    <w:rsid w:val="00637847"/>
    <w:rsid w:val="00637EA9"/>
    <w:rsid w:val="00637ED1"/>
    <w:rsid w:val="00640868"/>
    <w:rsid w:val="00640D8F"/>
    <w:rsid w:val="00641720"/>
    <w:rsid w:val="006420DA"/>
    <w:rsid w:val="006425A2"/>
    <w:rsid w:val="00642E55"/>
    <w:rsid w:val="00642F84"/>
    <w:rsid w:val="00642FF1"/>
    <w:rsid w:val="00643036"/>
    <w:rsid w:val="006431B3"/>
    <w:rsid w:val="00643411"/>
    <w:rsid w:val="006436BC"/>
    <w:rsid w:val="00643B3C"/>
    <w:rsid w:val="00643E90"/>
    <w:rsid w:val="00643EB3"/>
    <w:rsid w:val="00644D22"/>
    <w:rsid w:val="00644EC5"/>
    <w:rsid w:val="0064504E"/>
    <w:rsid w:val="006455AC"/>
    <w:rsid w:val="00645B37"/>
    <w:rsid w:val="006466A1"/>
    <w:rsid w:val="0064700E"/>
    <w:rsid w:val="006470BA"/>
    <w:rsid w:val="00647F59"/>
    <w:rsid w:val="00650677"/>
    <w:rsid w:val="00650F41"/>
    <w:rsid w:val="00651554"/>
    <w:rsid w:val="0065167D"/>
    <w:rsid w:val="00651800"/>
    <w:rsid w:val="0065254B"/>
    <w:rsid w:val="00652A2A"/>
    <w:rsid w:val="006535AB"/>
    <w:rsid w:val="006537D2"/>
    <w:rsid w:val="00653916"/>
    <w:rsid w:val="00653AB2"/>
    <w:rsid w:val="00654026"/>
    <w:rsid w:val="00654B00"/>
    <w:rsid w:val="00654B62"/>
    <w:rsid w:val="006554BE"/>
    <w:rsid w:val="00655785"/>
    <w:rsid w:val="00655C25"/>
    <w:rsid w:val="006560A7"/>
    <w:rsid w:val="006560B9"/>
    <w:rsid w:val="006564E4"/>
    <w:rsid w:val="00656DA6"/>
    <w:rsid w:val="0065704C"/>
    <w:rsid w:val="006574D4"/>
    <w:rsid w:val="00657513"/>
    <w:rsid w:val="00657660"/>
    <w:rsid w:val="006577E9"/>
    <w:rsid w:val="00657A5A"/>
    <w:rsid w:val="00657BDD"/>
    <w:rsid w:val="0066012B"/>
    <w:rsid w:val="006602FF"/>
    <w:rsid w:val="0066038E"/>
    <w:rsid w:val="00660858"/>
    <w:rsid w:val="006609E6"/>
    <w:rsid w:val="00660E51"/>
    <w:rsid w:val="00660F67"/>
    <w:rsid w:val="00661001"/>
    <w:rsid w:val="0066132D"/>
    <w:rsid w:val="006616A1"/>
    <w:rsid w:val="00661EBB"/>
    <w:rsid w:val="00663B14"/>
    <w:rsid w:val="00663B71"/>
    <w:rsid w:val="00663D56"/>
    <w:rsid w:val="00663E87"/>
    <w:rsid w:val="0066463C"/>
    <w:rsid w:val="00664EDC"/>
    <w:rsid w:val="00665244"/>
    <w:rsid w:val="0066543A"/>
    <w:rsid w:val="00665449"/>
    <w:rsid w:val="00665759"/>
    <w:rsid w:val="00665B8E"/>
    <w:rsid w:val="00665D56"/>
    <w:rsid w:val="00665F2E"/>
    <w:rsid w:val="00666D69"/>
    <w:rsid w:val="00666F76"/>
    <w:rsid w:val="006672FC"/>
    <w:rsid w:val="0066770A"/>
    <w:rsid w:val="006678EC"/>
    <w:rsid w:val="00667A48"/>
    <w:rsid w:val="00667AA8"/>
    <w:rsid w:val="00667BDF"/>
    <w:rsid w:val="00667D3D"/>
    <w:rsid w:val="00667F8F"/>
    <w:rsid w:val="006716F0"/>
    <w:rsid w:val="00671BAC"/>
    <w:rsid w:val="00671C62"/>
    <w:rsid w:val="0067223F"/>
    <w:rsid w:val="00672249"/>
    <w:rsid w:val="00672432"/>
    <w:rsid w:val="00672837"/>
    <w:rsid w:val="00672B25"/>
    <w:rsid w:val="00672D15"/>
    <w:rsid w:val="00672DDC"/>
    <w:rsid w:val="00673600"/>
    <w:rsid w:val="006736A9"/>
    <w:rsid w:val="006739D2"/>
    <w:rsid w:val="00673BC7"/>
    <w:rsid w:val="00673DDB"/>
    <w:rsid w:val="0067400E"/>
    <w:rsid w:val="006743EE"/>
    <w:rsid w:val="006746D9"/>
    <w:rsid w:val="00674975"/>
    <w:rsid w:val="00674E07"/>
    <w:rsid w:val="00674E46"/>
    <w:rsid w:val="00675C7A"/>
    <w:rsid w:val="00675D39"/>
    <w:rsid w:val="006764BF"/>
    <w:rsid w:val="006766C5"/>
    <w:rsid w:val="006766EC"/>
    <w:rsid w:val="00676743"/>
    <w:rsid w:val="00676948"/>
    <w:rsid w:val="00677F3C"/>
    <w:rsid w:val="00677FCC"/>
    <w:rsid w:val="006801FA"/>
    <w:rsid w:val="00680576"/>
    <w:rsid w:val="00680C2D"/>
    <w:rsid w:val="00680DE6"/>
    <w:rsid w:val="006813C0"/>
    <w:rsid w:val="00681727"/>
    <w:rsid w:val="00681D67"/>
    <w:rsid w:val="00682425"/>
    <w:rsid w:val="00682597"/>
    <w:rsid w:val="00682C98"/>
    <w:rsid w:val="00683A12"/>
    <w:rsid w:val="00683E17"/>
    <w:rsid w:val="006847FA"/>
    <w:rsid w:val="0068518B"/>
    <w:rsid w:val="0068560B"/>
    <w:rsid w:val="0068562B"/>
    <w:rsid w:val="006856C3"/>
    <w:rsid w:val="006856E7"/>
    <w:rsid w:val="00685C1D"/>
    <w:rsid w:val="00685F55"/>
    <w:rsid w:val="00686E1A"/>
    <w:rsid w:val="00687236"/>
    <w:rsid w:val="0068740F"/>
    <w:rsid w:val="0068766E"/>
    <w:rsid w:val="00687C31"/>
    <w:rsid w:val="00690667"/>
    <w:rsid w:val="00691574"/>
    <w:rsid w:val="00691E12"/>
    <w:rsid w:val="0069274F"/>
    <w:rsid w:val="00692A67"/>
    <w:rsid w:val="00692C5C"/>
    <w:rsid w:val="00692DFC"/>
    <w:rsid w:val="00693129"/>
    <w:rsid w:val="00693408"/>
    <w:rsid w:val="00693D88"/>
    <w:rsid w:val="00694003"/>
    <w:rsid w:val="006942A0"/>
    <w:rsid w:val="006943F0"/>
    <w:rsid w:val="0069464C"/>
    <w:rsid w:val="006947A1"/>
    <w:rsid w:val="00694BB0"/>
    <w:rsid w:val="00694C96"/>
    <w:rsid w:val="00694FCD"/>
    <w:rsid w:val="00695227"/>
    <w:rsid w:val="00695E60"/>
    <w:rsid w:val="00696307"/>
    <w:rsid w:val="006968C0"/>
    <w:rsid w:val="006979F4"/>
    <w:rsid w:val="00697F96"/>
    <w:rsid w:val="006A0DA0"/>
    <w:rsid w:val="006A0DC5"/>
    <w:rsid w:val="006A0DED"/>
    <w:rsid w:val="006A1277"/>
    <w:rsid w:val="006A2227"/>
    <w:rsid w:val="006A230A"/>
    <w:rsid w:val="006A2602"/>
    <w:rsid w:val="006A2986"/>
    <w:rsid w:val="006A2D41"/>
    <w:rsid w:val="006A2D52"/>
    <w:rsid w:val="006A314F"/>
    <w:rsid w:val="006A3173"/>
    <w:rsid w:val="006A3D16"/>
    <w:rsid w:val="006A4C75"/>
    <w:rsid w:val="006A4EE1"/>
    <w:rsid w:val="006A5A62"/>
    <w:rsid w:val="006A5B1A"/>
    <w:rsid w:val="006A5B2E"/>
    <w:rsid w:val="006A62C0"/>
    <w:rsid w:val="006A6424"/>
    <w:rsid w:val="006A6480"/>
    <w:rsid w:val="006A67D3"/>
    <w:rsid w:val="006A67E1"/>
    <w:rsid w:val="006A6928"/>
    <w:rsid w:val="006A6FB3"/>
    <w:rsid w:val="006A71E0"/>
    <w:rsid w:val="006A77A2"/>
    <w:rsid w:val="006B019B"/>
    <w:rsid w:val="006B0718"/>
    <w:rsid w:val="006B0FDB"/>
    <w:rsid w:val="006B10F5"/>
    <w:rsid w:val="006B1754"/>
    <w:rsid w:val="006B1A7D"/>
    <w:rsid w:val="006B1A80"/>
    <w:rsid w:val="006B1C05"/>
    <w:rsid w:val="006B2C09"/>
    <w:rsid w:val="006B3080"/>
    <w:rsid w:val="006B315D"/>
    <w:rsid w:val="006B31BF"/>
    <w:rsid w:val="006B3501"/>
    <w:rsid w:val="006B394C"/>
    <w:rsid w:val="006B51AD"/>
    <w:rsid w:val="006B5211"/>
    <w:rsid w:val="006B52F9"/>
    <w:rsid w:val="006B5BE9"/>
    <w:rsid w:val="006B5F67"/>
    <w:rsid w:val="006B61B5"/>
    <w:rsid w:val="006B6685"/>
    <w:rsid w:val="006B69E5"/>
    <w:rsid w:val="006B6EF9"/>
    <w:rsid w:val="006B75FC"/>
    <w:rsid w:val="006B779A"/>
    <w:rsid w:val="006C00D0"/>
    <w:rsid w:val="006C00F5"/>
    <w:rsid w:val="006C09ED"/>
    <w:rsid w:val="006C0C65"/>
    <w:rsid w:val="006C1091"/>
    <w:rsid w:val="006C1403"/>
    <w:rsid w:val="006C155B"/>
    <w:rsid w:val="006C1AC7"/>
    <w:rsid w:val="006C1D2B"/>
    <w:rsid w:val="006C2700"/>
    <w:rsid w:val="006C2717"/>
    <w:rsid w:val="006C2C26"/>
    <w:rsid w:val="006C2DBB"/>
    <w:rsid w:val="006C35E7"/>
    <w:rsid w:val="006C36FB"/>
    <w:rsid w:val="006C3795"/>
    <w:rsid w:val="006C42CB"/>
    <w:rsid w:val="006C467D"/>
    <w:rsid w:val="006C497A"/>
    <w:rsid w:val="006C4AA0"/>
    <w:rsid w:val="006C4FBF"/>
    <w:rsid w:val="006C51EF"/>
    <w:rsid w:val="006C55C8"/>
    <w:rsid w:val="006C57CB"/>
    <w:rsid w:val="006C63E3"/>
    <w:rsid w:val="006C679F"/>
    <w:rsid w:val="006C67B0"/>
    <w:rsid w:val="006C6892"/>
    <w:rsid w:val="006C7049"/>
    <w:rsid w:val="006C7D62"/>
    <w:rsid w:val="006C7DA9"/>
    <w:rsid w:val="006C7E9D"/>
    <w:rsid w:val="006D02DA"/>
    <w:rsid w:val="006D06C1"/>
    <w:rsid w:val="006D0A5D"/>
    <w:rsid w:val="006D0B23"/>
    <w:rsid w:val="006D1534"/>
    <w:rsid w:val="006D1AFF"/>
    <w:rsid w:val="006D2482"/>
    <w:rsid w:val="006D286D"/>
    <w:rsid w:val="006D289E"/>
    <w:rsid w:val="006D2D26"/>
    <w:rsid w:val="006D2ED6"/>
    <w:rsid w:val="006D3355"/>
    <w:rsid w:val="006D3EF4"/>
    <w:rsid w:val="006D4576"/>
    <w:rsid w:val="006D4840"/>
    <w:rsid w:val="006D48F3"/>
    <w:rsid w:val="006D49AC"/>
    <w:rsid w:val="006D4BF2"/>
    <w:rsid w:val="006D4CA2"/>
    <w:rsid w:val="006D547F"/>
    <w:rsid w:val="006D5685"/>
    <w:rsid w:val="006D5EA0"/>
    <w:rsid w:val="006D63F8"/>
    <w:rsid w:val="006D698C"/>
    <w:rsid w:val="006D6995"/>
    <w:rsid w:val="006D7111"/>
    <w:rsid w:val="006D7959"/>
    <w:rsid w:val="006E0D08"/>
    <w:rsid w:val="006E0EFD"/>
    <w:rsid w:val="006E136B"/>
    <w:rsid w:val="006E14A3"/>
    <w:rsid w:val="006E14C2"/>
    <w:rsid w:val="006E1987"/>
    <w:rsid w:val="006E1EB1"/>
    <w:rsid w:val="006E2379"/>
    <w:rsid w:val="006E23B2"/>
    <w:rsid w:val="006E2879"/>
    <w:rsid w:val="006E2D99"/>
    <w:rsid w:val="006E3BCF"/>
    <w:rsid w:val="006E401D"/>
    <w:rsid w:val="006E41BF"/>
    <w:rsid w:val="006E4980"/>
    <w:rsid w:val="006E4FBA"/>
    <w:rsid w:val="006E5207"/>
    <w:rsid w:val="006E593E"/>
    <w:rsid w:val="006E654A"/>
    <w:rsid w:val="006E687D"/>
    <w:rsid w:val="006E6B72"/>
    <w:rsid w:val="006E736A"/>
    <w:rsid w:val="006E7D16"/>
    <w:rsid w:val="006F0129"/>
    <w:rsid w:val="006F0696"/>
    <w:rsid w:val="006F088B"/>
    <w:rsid w:val="006F10AD"/>
    <w:rsid w:val="006F1331"/>
    <w:rsid w:val="006F15F4"/>
    <w:rsid w:val="006F19F3"/>
    <w:rsid w:val="006F19FB"/>
    <w:rsid w:val="006F2637"/>
    <w:rsid w:val="006F29E5"/>
    <w:rsid w:val="006F2B1B"/>
    <w:rsid w:val="006F3096"/>
    <w:rsid w:val="006F350B"/>
    <w:rsid w:val="006F3680"/>
    <w:rsid w:val="006F3796"/>
    <w:rsid w:val="006F520A"/>
    <w:rsid w:val="006F54B2"/>
    <w:rsid w:val="006F5C70"/>
    <w:rsid w:val="006F5FB8"/>
    <w:rsid w:val="006F62D7"/>
    <w:rsid w:val="006F6378"/>
    <w:rsid w:val="006F6909"/>
    <w:rsid w:val="006F6A20"/>
    <w:rsid w:val="006F6AF1"/>
    <w:rsid w:val="006F705A"/>
    <w:rsid w:val="006F727D"/>
    <w:rsid w:val="006F771C"/>
    <w:rsid w:val="006F79DC"/>
    <w:rsid w:val="0070027D"/>
    <w:rsid w:val="00700875"/>
    <w:rsid w:val="00700908"/>
    <w:rsid w:val="007017A0"/>
    <w:rsid w:val="00701AA3"/>
    <w:rsid w:val="00701ED2"/>
    <w:rsid w:val="007024EC"/>
    <w:rsid w:val="00702A8B"/>
    <w:rsid w:val="00703010"/>
    <w:rsid w:val="007035D0"/>
    <w:rsid w:val="00703D5B"/>
    <w:rsid w:val="00703DB8"/>
    <w:rsid w:val="007042AC"/>
    <w:rsid w:val="007046E0"/>
    <w:rsid w:val="007047B2"/>
    <w:rsid w:val="00704ADA"/>
    <w:rsid w:val="00704B18"/>
    <w:rsid w:val="00704DE7"/>
    <w:rsid w:val="00704FBE"/>
    <w:rsid w:val="007052F6"/>
    <w:rsid w:val="0070564E"/>
    <w:rsid w:val="007057FE"/>
    <w:rsid w:val="007058B0"/>
    <w:rsid w:val="00706394"/>
    <w:rsid w:val="00706868"/>
    <w:rsid w:val="00706E93"/>
    <w:rsid w:val="007072A6"/>
    <w:rsid w:val="00707319"/>
    <w:rsid w:val="00707418"/>
    <w:rsid w:val="007078B8"/>
    <w:rsid w:val="00707D2B"/>
    <w:rsid w:val="00710EAA"/>
    <w:rsid w:val="0071102E"/>
    <w:rsid w:val="007115BA"/>
    <w:rsid w:val="00711969"/>
    <w:rsid w:val="00711AF7"/>
    <w:rsid w:val="007122A4"/>
    <w:rsid w:val="00712B4B"/>
    <w:rsid w:val="00712C40"/>
    <w:rsid w:val="00713352"/>
    <w:rsid w:val="00713978"/>
    <w:rsid w:val="00713B2F"/>
    <w:rsid w:val="00713E76"/>
    <w:rsid w:val="007146DF"/>
    <w:rsid w:val="007149C5"/>
    <w:rsid w:val="0071501B"/>
    <w:rsid w:val="00715E32"/>
    <w:rsid w:val="007162D1"/>
    <w:rsid w:val="00716400"/>
    <w:rsid w:val="00716463"/>
    <w:rsid w:val="00716A3E"/>
    <w:rsid w:val="00716C1F"/>
    <w:rsid w:val="0071706E"/>
    <w:rsid w:val="00717478"/>
    <w:rsid w:val="007178A0"/>
    <w:rsid w:val="00717E45"/>
    <w:rsid w:val="00720326"/>
    <w:rsid w:val="0072112F"/>
    <w:rsid w:val="007211BD"/>
    <w:rsid w:val="00721203"/>
    <w:rsid w:val="00721511"/>
    <w:rsid w:val="00721661"/>
    <w:rsid w:val="00722A4F"/>
    <w:rsid w:val="007230BE"/>
    <w:rsid w:val="00723618"/>
    <w:rsid w:val="00723776"/>
    <w:rsid w:val="0072408E"/>
    <w:rsid w:val="007243BB"/>
    <w:rsid w:val="00724DCF"/>
    <w:rsid w:val="0072533B"/>
    <w:rsid w:val="007253A2"/>
    <w:rsid w:val="00725502"/>
    <w:rsid w:val="00725767"/>
    <w:rsid w:val="00726357"/>
    <w:rsid w:val="007267A6"/>
    <w:rsid w:val="00726E50"/>
    <w:rsid w:val="00726F24"/>
    <w:rsid w:val="00727292"/>
    <w:rsid w:val="007279EF"/>
    <w:rsid w:val="00727B16"/>
    <w:rsid w:val="00727C25"/>
    <w:rsid w:val="00730541"/>
    <w:rsid w:val="007307D7"/>
    <w:rsid w:val="0073082C"/>
    <w:rsid w:val="007308F5"/>
    <w:rsid w:val="007308FE"/>
    <w:rsid w:val="00730BD8"/>
    <w:rsid w:val="00730DF3"/>
    <w:rsid w:val="007313F5"/>
    <w:rsid w:val="00731832"/>
    <w:rsid w:val="00731B55"/>
    <w:rsid w:val="00732302"/>
    <w:rsid w:val="007323E7"/>
    <w:rsid w:val="00732E78"/>
    <w:rsid w:val="00732EA7"/>
    <w:rsid w:val="00733566"/>
    <w:rsid w:val="0073359B"/>
    <w:rsid w:val="0073407C"/>
    <w:rsid w:val="00734203"/>
    <w:rsid w:val="00734804"/>
    <w:rsid w:val="00735287"/>
    <w:rsid w:val="00735293"/>
    <w:rsid w:val="007356AD"/>
    <w:rsid w:val="00735888"/>
    <w:rsid w:val="00735AA2"/>
    <w:rsid w:val="00735E1C"/>
    <w:rsid w:val="0073665C"/>
    <w:rsid w:val="007369E8"/>
    <w:rsid w:val="00736B32"/>
    <w:rsid w:val="00736DBD"/>
    <w:rsid w:val="007401CE"/>
    <w:rsid w:val="00740950"/>
    <w:rsid w:val="007409C2"/>
    <w:rsid w:val="00740C3D"/>
    <w:rsid w:val="00740CCF"/>
    <w:rsid w:val="00740ECC"/>
    <w:rsid w:val="00741378"/>
    <w:rsid w:val="0074190A"/>
    <w:rsid w:val="00742560"/>
    <w:rsid w:val="0074261A"/>
    <w:rsid w:val="00742F6A"/>
    <w:rsid w:val="00743516"/>
    <w:rsid w:val="007435A0"/>
    <w:rsid w:val="007441C6"/>
    <w:rsid w:val="007446E8"/>
    <w:rsid w:val="00744ACE"/>
    <w:rsid w:val="007451AD"/>
    <w:rsid w:val="00745527"/>
    <w:rsid w:val="00746C83"/>
    <w:rsid w:val="00746F79"/>
    <w:rsid w:val="00747271"/>
    <w:rsid w:val="0074731C"/>
    <w:rsid w:val="00747A2F"/>
    <w:rsid w:val="00747CCD"/>
    <w:rsid w:val="00747E8E"/>
    <w:rsid w:val="00750514"/>
    <w:rsid w:val="00750975"/>
    <w:rsid w:val="00750A30"/>
    <w:rsid w:val="00750FCC"/>
    <w:rsid w:val="00750FD3"/>
    <w:rsid w:val="00751143"/>
    <w:rsid w:val="00751553"/>
    <w:rsid w:val="0075165E"/>
    <w:rsid w:val="00751C42"/>
    <w:rsid w:val="00751E22"/>
    <w:rsid w:val="00751E98"/>
    <w:rsid w:val="00751FA8"/>
    <w:rsid w:val="007535A4"/>
    <w:rsid w:val="00753C9D"/>
    <w:rsid w:val="007545A5"/>
    <w:rsid w:val="00754984"/>
    <w:rsid w:val="00754AAC"/>
    <w:rsid w:val="00754E10"/>
    <w:rsid w:val="00755FDC"/>
    <w:rsid w:val="00756092"/>
    <w:rsid w:val="0075622A"/>
    <w:rsid w:val="007566EF"/>
    <w:rsid w:val="0075686C"/>
    <w:rsid w:val="00756C17"/>
    <w:rsid w:val="0075724A"/>
    <w:rsid w:val="00757595"/>
    <w:rsid w:val="00757A64"/>
    <w:rsid w:val="00760503"/>
    <w:rsid w:val="0076086A"/>
    <w:rsid w:val="00760C21"/>
    <w:rsid w:val="00761761"/>
    <w:rsid w:val="0076183C"/>
    <w:rsid w:val="00761AAC"/>
    <w:rsid w:val="00761C9B"/>
    <w:rsid w:val="00762030"/>
    <w:rsid w:val="0076219E"/>
    <w:rsid w:val="00762200"/>
    <w:rsid w:val="007626A3"/>
    <w:rsid w:val="007626CB"/>
    <w:rsid w:val="00762702"/>
    <w:rsid w:val="007628A5"/>
    <w:rsid w:val="00762A29"/>
    <w:rsid w:val="00762D4C"/>
    <w:rsid w:val="00762FCD"/>
    <w:rsid w:val="0076327D"/>
    <w:rsid w:val="007636DE"/>
    <w:rsid w:val="00764122"/>
    <w:rsid w:val="007644B4"/>
    <w:rsid w:val="0076467F"/>
    <w:rsid w:val="007647C1"/>
    <w:rsid w:val="00764B5C"/>
    <w:rsid w:val="00764C00"/>
    <w:rsid w:val="00764C0B"/>
    <w:rsid w:val="00765122"/>
    <w:rsid w:val="00765214"/>
    <w:rsid w:val="00765586"/>
    <w:rsid w:val="007657D4"/>
    <w:rsid w:val="0076590F"/>
    <w:rsid w:val="007661FF"/>
    <w:rsid w:val="00766527"/>
    <w:rsid w:val="00766864"/>
    <w:rsid w:val="0076710A"/>
    <w:rsid w:val="0076743C"/>
    <w:rsid w:val="00767745"/>
    <w:rsid w:val="00767D1B"/>
    <w:rsid w:val="00767E08"/>
    <w:rsid w:val="007702F4"/>
    <w:rsid w:val="00770436"/>
    <w:rsid w:val="007707FC"/>
    <w:rsid w:val="00770BE3"/>
    <w:rsid w:val="00770D8C"/>
    <w:rsid w:val="00770E54"/>
    <w:rsid w:val="007711CC"/>
    <w:rsid w:val="0077136F"/>
    <w:rsid w:val="0077176E"/>
    <w:rsid w:val="0077177A"/>
    <w:rsid w:val="00771A08"/>
    <w:rsid w:val="00771C4E"/>
    <w:rsid w:val="00771C84"/>
    <w:rsid w:val="00771CCE"/>
    <w:rsid w:val="007728A8"/>
    <w:rsid w:val="007728ED"/>
    <w:rsid w:val="00772923"/>
    <w:rsid w:val="00772957"/>
    <w:rsid w:val="00772BA2"/>
    <w:rsid w:val="00772F23"/>
    <w:rsid w:val="007733D2"/>
    <w:rsid w:val="00773457"/>
    <w:rsid w:val="00773A37"/>
    <w:rsid w:val="0077455C"/>
    <w:rsid w:val="007746DD"/>
    <w:rsid w:val="00775013"/>
    <w:rsid w:val="00775365"/>
    <w:rsid w:val="007754A0"/>
    <w:rsid w:val="007757DB"/>
    <w:rsid w:val="00776129"/>
    <w:rsid w:val="0077661F"/>
    <w:rsid w:val="00776AF5"/>
    <w:rsid w:val="00777292"/>
    <w:rsid w:val="00777A27"/>
    <w:rsid w:val="00777CEB"/>
    <w:rsid w:val="007802EF"/>
    <w:rsid w:val="007808C3"/>
    <w:rsid w:val="00781716"/>
    <w:rsid w:val="00781A15"/>
    <w:rsid w:val="00781DCF"/>
    <w:rsid w:val="0078206C"/>
    <w:rsid w:val="00782816"/>
    <w:rsid w:val="007833DF"/>
    <w:rsid w:val="00783506"/>
    <w:rsid w:val="007837BD"/>
    <w:rsid w:val="00783930"/>
    <w:rsid w:val="0078441D"/>
    <w:rsid w:val="007845AA"/>
    <w:rsid w:val="007845DE"/>
    <w:rsid w:val="007848DE"/>
    <w:rsid w:val="0078490C"/>
    <w:rsid w:val="0078497C"/>
    <w:rsid w:val="00784D21"/>
    <w:rsid w:val="00784ECF"/>
    <w:rsid w:val="007851B2"/>
    <w:rsid w:val="007851BF"/>
    <w:rsid w:val="00785A76"/>
    <w:rsid w:val="00786204"/>
    <w:rsid w:val="007867B5"/>
    <w:rsid w:val="00786B4D"/>
    <w:rsid w:val="00786B5E"/>
    <w:rsid w:val="00786F05"/>
    <w:rsid w:val="00787334"/>
    <w:rsid w:val="007876E1"/>
    <w:rsid w:val="00787852"/>
    <w:rsid w:val="0079029F"/>
    <w:rsid w:val="007904D7"/>
    <w:rsid w:val="00790AA2"/>
    <w:rsid w:val="00790C12"/>
    <w:rsid w:val="0079105B"/>
    <w:rsid w:val="007915BC"/>
    <w:rsid w:val="007917EE"/>
    <w:rsid w:val="00791CA3"/>
    <w:rsid w:val="00791D12"/>
    <w:rsid w:val="00793324"/>
    <w:rsid w:val="00793455"/>
    <w:rsid w:val="007935D9"/>
    <w:rsid w:val="007940C9"/>
    <w:rsid w:val="0079475D"/>
    <w:rsid w:val="00794AA5"/>
    <w:rsid w:val="00794F43"/>
    <w:rsid w:val="00795947"/>
    <w:rsid w:val="00795A03"/>
    <w:rsid w:val="00795E63"/>
    <w:rsid w:val="007967AF"/>
    <w:rsid w:val="007967FA"/>
    <w:rsid w:val="00797054"/>
    <w:rsid w:val="0079712F"/>
    <w:rsid w:val="00797BCF"/>
    <w:rsid w:val="00797E7A"/>
    <w:rsid w:val="007A01C9"/>
    <w:rsid w:val="007A0206"/>
    <w:rsid w:val="007A091A"/>
    <w:rsid w:val="007A0AC4"/>
    <w:rsid w:val="007A0BF5"/>
    <w:rsid w:val="007A0EA6"/>
    <w:rsid w:val="007A10AB"/>
    <w:rsid w:val="007A14BC"/>
    <w:rsid w:val="007A19B0"/>
    <w:rsid w:val="007A2D9E"/>
    <w:rsid w:val="007A3174"/>
    <w:rsid w:val="007A41AC"/>
    <w:rsid w:val="007A4B0D"/>
    <w:rsid w:val="007A4B43"/>
    <w:rsid w:val="007A4D76"/>
    <w:rsid w:val="007A4DF9"/>
    <w:rsid w:val="007A5B84"/>
    <w:rsid w:val="007A6594"/>
    <w:rsid w:val="007A6BFF"/>
    <w:rsid w:val="007A7095"/>
    <w:rsid w:val="007A738D"/>
    <w:rsid w:val="007A7A8F"/>
    <w:rsid w:val="007A7AFB"/>
    <w:rsid w:val="007A7F59"/>
    <w:rsid w:val="007B0195"/>
    <w:rsid w:val="007B0381"/>
    <w:rsid w:val="007B0ACE"/>
    <w:rsid w:val="007B0F3D"/>
    <w:rsid w:val="007B1008"/>
    <w:rsid w:val="007B148D"/>
    <w:rsid w:val="007B1751"/>
    <w:rsid w:val="007B18C8"/>
    <w:rsid w:val="007B1A33"/>
    <w:rsid w:val="007B1D4F"/>
    <w:rsid w:val="007B1F25"/>
    <w:rsid w:val="007B22A6"/>
    <w:rsid w:val="007B2552"/>
    <w:rsid w:val="007B28DE"/>
    <w:rsid w:val="007B3712"/>
    <w:rsid w:val="007B4231"/>
    <w:rsid w:val="007B43D6"/>
    <w:rsid w:val="007B55E1"/>
    <w:rsid w:val="007B57F0"/>
    <w:rsid w:val="007B58AF"/>
    <w:rsid w:val="007B5C1E"/>
    <w:rsid w:val="007B634E"/>
    <w:rsid w:val="007B65C6"/>
    <w:rsid w:val="007B6A64"/>
    <w:rsid w:val="007B6ADE"/>
    <w:rsid w:val="007B6E2F"/>
    <w:rsid w:val="007B6EB3"/>
    <w:rsid w:val="007B71C2"/>
    <w:rsid w:val="007B739D"/>
    <w:rsid w:val="007B7480"/>
    <w:rsid w:val="007B776E"/>
    <w:rsid w:val="007B7A5F"/>
    <w:rsid w:val="007B7BC8"/>
    <w:rsid w:val="007C007D"/>
    <w:rsid w:val="007C0332"/>
    <w:rsid w:val="007C0502"/>
    <w:rsid w:val="007C07B1"/>
    <w:rsid w:val="007C162C"/>
    <w:rsid w:val="007C1EB2"/>
    <w:rsid w:val="007C2274"/>
    <w:rsid w:val="007C241C"/>
    <w:rsid w:val="007C273E"/>
    <w:rsid w:val="007C27F5"/>
    <w:rsid w:val="007C29C7"/>
    <w:rsid w:val="007C2BD2"/>
    <w:rsid w:val="007C2EEB"/>
    <w:rsid w:val="007C3016"/>
    <w:rsid w:val="007C314F"/>
    <w:rsid w:val="007C35A3"/>
    <w:rsid w:val="007C36BE"/>
    <w:rsid w:val="007C373D"/>
    <w:rsid w:val="007C41FD"/>
    <w:rsid w:val="007C48FA"/>
    <w:rsid w:val="007C4E4F"/>
    <w:rsid w:val="007C4EB3"/>
    <w:rsid w:val="007C5EFA"/>
    <w:rsid w:val="007C62E1"/>
    <w:rsid w:val="007C63B1"/>
    <w:rsid w:val="007C6BCB"/>
    <w:rsid w:val="007D0145"/>
    <w:rsid w:val="007D020E"/>
    <w:rsid w:val="007D03A2"/>
    <w:rsid w:val="007D059A"/>
    <w:rsid w:val="007D0D15"/>
    <w:rsid w:val="007D115A"/>
    <w:rsid w:val="007D242A"/>
    <w:rsid w:val="007D36A7"/>
    <w:rsid w:val="007D38C8"/>
    <w:rsid w:val="007D3BC3"/>
    <w:rsid w:val="007D3BDB"/>
    <w:rsid w:val="007D46B5"/>
    <w:rsid w:val="007D4770"/>
    <w:rsid w:val="007D48CF"/>
    <w:rsid w:val="007D4B49"/>
    <w:rsid w:val="007D4B51"/>
    <w:rsid w:val="007D4B5F"/>
    <w:rsid w:val="007D4F4B"/>
    <w:rsid w:val="007D526A"/>
    <w:rsid w:val="007D53ED"/>
    <w:rsid w:val="007D5B28"/>
    <w:rsid w:val="007D6001"/>
    <w:rsid w:val="007D6561"/>
    <w:rsid w:val="007D66D6"/>
    <w:rsid w:val="007D66DA"/>
    <w:rsid w:val="007D68BD"/>
    <w:rsid w:val="007D6A48"/>
    <w:rsid w:val="007D6E1B"/>
    <w:rsid w:val="007D7049"/>
    <w:rsid w:val="007D7CE8"/>
    <w:rsid w:val="007D7F94"/>
    <w:rsid w:val="007E05CE"/>
    <w:rsid w:val="007E063B"/>
    <w:rsid w:val="007E0D98"/>
    <w:rsid w:val="007E0E48"/>
    <w:rsid w:val="007E115C"/>
    <w:rsid w:val="007E12CB"/>
    <w:rsid w:val="007E1476"/>
    <w:rsid w:val="007E176F"/>
    <w:rsid w:val="007E1A33"/>
    <w:rsid w:val="007E1B76"/>
    <w:rsid w:val="007E1C1E"/>
    <w:rsid w:val="007E1C86"/>
    <w:rsid w:val="007E1CA7"/>
    <w:rsid w:val="007E219A"/>
    <w:rsid w:val="007E280D"/>
    <w:rsid w:val="007E2896"/>
    <w:rsid w:val="007E29C8"/>
    <w:rsid w:val="007E2B05"/>
    <w:rsid w:val="007E2B4A"/>
    <w:rsid w:val="007E31B6"/>
    <w:rsid w:val="007E37BF"/>
    <w:rsid w:val="007E3941"/>
    <w:rsid w:val="007E3E8A"/>
    <w:rsid w:val="007E44AA"/>
    <w:rsid w:val="007E46E4"/>
    <w:rsid w:val="007E49FD"/>
    <w:rsid w:val="007E4D3A"/>
    <w:rsid w:val="007E50FC"/>
    <w:rsid w:val="007E52B1"/>
    <w:rsid w:val="007E5437"/>
    <w:rsid w:val="007E551F"/>
    <w:rsid w:val="007E56ED"/>
    <w:rsid w:val="007E5897"/>
    <w:rsid w:val="007E611C"/>
    <w:rsid w:val="007E6400"/>
    <w:rsid w:val="007E6593"/>
    <w:rsid w:val="007E689F"/>
    <w:rsid w:val="007E6C27"/>
    <w:rsid w:val="007E6C89"/>
    <w:rsid w:val="007E6E09"/>
    <w:rsid w:val="007E7062"/>
    <w:rsid w:val="007E7405"/>
    <w:rsid w:val="007E753B"/>
    <w:rsid w:val="007F0634"/>
    <w:rsid w:val="007F08DB"/>
    <w:rsid w:val="007F08ED"/>
    <w:rsid w:val="007F0A9A"/>
    <w:rsid w:val="007F0F43"/>
    <w:rsid w:val="007F1101"/>
    <w:rsid w:val="007F15A0"/>
    <w:rsid w:val="007F1978"/>
    <w:rsid w:val="007F2175"/>
    <w:rsid w:val="007F2555"/>
    <w:rsid w:val="007F2568"/>
    <w:rsid w:val="007F2AA4"/>
    <w:rsid w:val="007F2CB1"/>
    <w:rsid w:val="007F2DB2"/>
    <w:rsid w:val="007F2F9B"/>
    <w:rsid w:val="007F3292"/>
    <w:rsid w:val="007F36B4"/>
    <w:rsid w:val="007F3D67"/>
    <w:rsid w:val="007F4600"/>
    <w:rsid w:val="007F4A8D"/>
    <w:rsid w:val="007F4C71"/>
    <w:rsid w:val="007F533D"/>
    <w:rsid w:val="007F559A"/>
    <w:rsid w:val="007F569D"/>
    <w:rsid w:val="007F59B4"/>
    <w:rsid w:val="007F5F6E"/>
    <w:rsid w:val="007F630B"/>
    <w:rsid w:val="007F65F8"/>
    <w:rsid w:val="007F6B91"/>
    <w:rsid w:val="007F6EDB"/>
    <w:rsid w:val="007F70AC"/>
    <w:rsid w:val="007F74CE"/>
    <w:rsid w:val="007F78C7"/>
    <w:rsid w:val="007F7B3D"/>
    <w:rsid w:val="007F7B5E"/>
    <w:rsid w:val="007F7C02"/>
    <w:rsid w:val="007F7DBF"/>
    <w:rsid w:val="00800109"/>
    <w:rsid w:val="0080028B"/>
    <w:rsid w:val="00800416"/>
    <w:rsid w:val="008006BA"/>
    <w:rsid w:val="00800953"/>
    <w:rsid w:val="00800B11"/>
    <w:rsid w:val="00800E04"/>
    <w:rsid w:val="0080131E"/>
    <w:rsid w:val="00801CE3"/>
    <w:rsid w:val="00802143"/>
    <w:rsid w:val="00802816"/>
    <w:rsid w:val="00802C20"/>
    <w:rsid w:val="00802DCC"/>
    <w:rsid w:val="008033BD"/>
    <w:rsid w:val="008036EC"/>
    <w:rsid w:val="00803A23"/>
    <w:rsid w:val="00803D20"/>
    <w:rsid w:val="00804844"/>
    <w:rsid w:val="00804E62"/>
    <w:rsid w:val="00805B83"/>
    <w:rsid w:val="0080604B"/>
    <w:rsid w:val="008067B0"/>
    <w:rsid w:val="00806AAC"/>
    <w:rsid w:val="00806DAC"/>
    <w:rsid w:val="00807816"/>
    <w:rsid w:val="00807C00"/>
    <w:rsid w:val="00807D89"/>
    <w:rsid w:val="00807F96"/>
    <w:rsid w:val="00810032"/>
    <w:rsid w:val="00810C5E"/>
    <w:rsid w:val="00810C84"/>
    <w:rsid w:val="008112A0"/>
    <w:rsid w:val="008113C7"/>
    <w:rsid w:val="00811791"/>
    <w:rsid w:val="00811A99"/>
    <w:rsid w:val="00811B6D"/>
    <w:rsid w:val="008124D7"/>
    <w:rsid w:val="008129B0"/>
    <w:rsid w:val="00813399"/>
    <w:rsid w:val="00814563"/>
    <w:rsid w:val="00814977"/>
    <w:rsid w:val="0081497C"/>
    <w:rsid w:val="00814E39"/>
    <w:rsid w:val="0081511F"/>
    <w:rsid w:val="0081533C"/>
    <w:rsid w:val="00815440"/>
    <w:rsid w:val="0081696D"/>
    <w:rsid w:val="0081699E"/>
    <w:rsid w:val="00816E01"/>
    <w:rsid w:val="008173D0"/>
    <w:rsid w:val="00817E6E"/>
    <w:rsid w:val="00820241"/>
    <w:rsid w:val="00820248"/>
    <w:rsid w:val="008204CD"/>
    <w:rsid w:val="0082064C"/>
    <w:rsid w:val="0082075C"/>
    <w:rsid w:val="008209F4"/>
    <w:rsid w:val="00820B26"/>
    <w:rsid w:val="00820E3F"/>
    <w:rsid w:val="0082100A"/>
    <w:rsid w:val="0082143B"/>
    <w:rsid w:val="008214F9"/>
    <w:rsid w:val="0082159A"/>
    <w:rsid w:val="00821957"/>
    <w:rsid w:val="00822107"/>
    <w:rsid w:val="0082269E"/>
    <w:rsid w:val="00822F28"/>
    <w:rsid w:val="00822FE8"/>
    <w:rsid w:val="00823235"/>
    <w:rsid w:val="00823AD4"/>
    <w:rsid w:val="00823ADB"/>
    <w:rsid w:val="008249F1"/>
    <w:rsid w:val="00824AF2"/>
    <w:rsid w:val="00824F82"/>
    <w:rsid w:val="00824F9C"/>
    <w:rsid w:val="0082506B"/>
    <w:rsid w:val="008254B8"/>
    <w:rsid w:val="00825902"/>
    <w:rsid w:val="00825B8D"/>
    <w:rsid w:val="00825DCE"/>
    <w:rsid w:val="00825E9E"/>
    <w:rsid w:val="00826158"/>
    <w:rsid w:val="00826686"/>
    <w:rsid w:val="00826F29"/>
    <w:rsid w:val="008276ED"/>
    <w:rsid w:val="00827C60"/>
    <w:rsid w:val="00827DB2"/>
    <w:rsid w:val="00827DED"/>
    <w:rsid w:val="00827F74"/>
    <w:rsid w:val="0083025E"/>
    <w:rsid w:val="00830B6D"/>
    <w:rsid w:val="0083198F"/>
    <w:rsid w:val="00831CE1"/>
    <w:rsid w:val="00832530"/>
    <w:rsid w:val="0083277B"/>
    <w:rsid w:val="00832E71"/>
    <w:rsid w:val="0083369F"/>
    <w:rsid w:val="0083376B"/>
    <w:rsid w:val="008337D9"/>
    <w:rsid w:val="00833813"/>
    <w:rsid w:val="00834405"/>
    <w:rsid w:val="00834C3C"/>
    <w:rsid w:val="00835563"/>
    <w:rsid w:val="008356BD"/>
    <w:rsid w:val="00835A9D"/>
    <w:rsid w:val="00835DA5"/>
    <w:rsid w:val="00836511"/>
    <w:rsid w:val="00836827"/>
    <w:rsid w:val="00836B02"/>
    <w:rsid w:val="00836B41"/>
    <w:rsid w:val="00836E62"/>
    <w:rsid w:val="00836EC6"/>
    <w:rsid w:val="008372C9"/>
    <w:rsid w:val="0083741E"/>
    <w:rsid w:val="00837985"/>
    <w:rsid w:val="00837D3B"/>
    <w:rsid w:val="00837D93"/>
    <w:rsid w:val="00840140"/>
    <w:rsid w:val="00840ACA"/>
    <w:rsid w:val="00840BAF"/>
    <w:rsid w:val="00840E3D"/>
    <w:rsid w:val="00840E3E"/>
    <w:rsid w:val="008411D3"/>
    <w:rsid w:val="0084142E"/>
    <w:rsid w:val="0084192C"/>
    <w:rsid w:val="00841D8C"/>
    <w:rsid w:val="00841EB7"/>
    <w:rsid w:val="00842220"/>
    <w:rsid w:val="008422BB"/>
    <w:rsid w:val="00842614"/>
    <w:rsid w:val="00842E82"/>
    <w:rsid w:val="00842F6C"/>
    <w:rsid w:val="0084374C"/>
    <w:rsid w:val="00843D86"/>
    <w:rsid w:val="00843E4C"/>
    <w:rsid w:val="00844111"/>
    <w:rsid w:val="008441A7"/>
    <w:rsid w:val="008448DC"/>
    <w:rsid w:val="008449A9"/>
    <w:rsid w:val="00844E51"/>
    <w:rsid w:val="00844F74"/>
    <w:rsid w:val="008456A2"/>
    <w:rsid w:val="00845725"/>
    <w:rsid w:val="00845E64"/>
    <w:rsid w:val="00846112"/>
    <w:rsid w:val="00846339"/>
    <w:rsid w:val="00846382"/>
    <w:rsid w:val="008463F0"/>
    <w:rsid w:val="00846EDC"/>
    <w:rsid w:val="00847C26"/>
    <w:rsid w:val="008506EC"/>
    <w:rsid w:val="00850908"/>
    <w:rsid w:val="00850F57"/>
    <w:rsid w:val="00850FE8"/>
    <w:rsid w:val="0085188F"/>
    <w:rsid w:val="0085190E"/>
    <w:rsid w:val="00851C1D"/>
    <w:rsid w:val="00851D4E"/>
    <w:rsid w:val="00852215"/>
    <w:rsid w:val="00852639"/>
    <w:rsid w:val="00852823"/>
    <w:rsid w:val="00852903"/>
    <w:rsid w:val="00852C17"/>
    <w:rsid w:val="00853262"/>
    <w:rsid w:val="00853394"/>
    <w:rsid w:val="008535C5"/>
    <w:rsid w:val="0085368E"/>
    <w:rsid w:val="008536C2"/>
    <w:rsid w:val="00853A6A"/>
    <w:rsid w:val="00853B51"/>
    <w:rsid w:val="008542D1"/>
    <w:rsid w:val="00854893"/>
    <w:rsid w:val="00854ACC"/>
    <w:rsid w:val="00854AFB"/>
    <w:rsid w:val="00854C49"/>
    <w:rsid w:val="00854FBB"/>
    <w:rsid w:val="00855378"/>
    <w:rsid w:val="00855D3F"/>
    <w:rsid w:val="00856248"/>
    <w:rsid w:val="00856D98"/>
    <w:rsid w:val="00857358"/>
    <w:rsid w:val="008600C7"/>
    <w:rsid w:val="00860541"/>
    <w:rsid w:val="00860C5C"/>
    <w:rsid w:val="0086114F"/>
    <w:rsid w:val="008611D8"/>
    <w:rsid w:val="0086146F"/>
    <w:rsid w:val="0086150E"/>
    <w:rsid w:val="008617D0"/>
    <w:rsid w:val="008619AD"/>
    <w:rsid w:val="00861A38"/>
    <w:rsid w:val="00861A60"/>
    <w:rsid w:val="00861D4E"/>
    <w:rsid w:val="00861EB3"/>
    <w:rsid w:val="00861F2A"/>
    <w:rsid w:val="00862357"/>
    <w:rsid w:val="008623CD"/>
    <w:rsid w:val="008626AC"/>
    <w:rsid w:val="00862C06"/>
    <w:rsid w:val="00862D02"/>
    <w:rsid w:val="00862F36"/>
    <w:rsid w:val="008637B9"/>
    <w:rsid w:val="0086392A"/>
    <w:rsid w:val="00863A47"/>
    <w:rsid w:val="00863D51"/>
    <w:rsid w:val="00863EB4"/>
    <w:rsid w:val="00864016"/>
    <w:rsid w:val="00864194"/>
    <w:rsid w:val="00864212"/>
    <w:rsid w:val="0086427B"/>
    <w:rsid w:val="00864802"/>
    <w:rsid w:val="00864B5D"/>
    <w:rsid w:val="00864B9C"/>
    <w:rsid w:val="00864EF7"/>
    <w:rsid w:val="008656F3"/>
    <w:rsid w:val="0086592D"/>
    <w:rsid w:val="00865F5A"/>
    <w:rsid w:val="00866278"/>
    <w:rsid w:val="00866924"/>
    <w:rsid w:val="00866B39"/>
    <w:rsid w:val="00866BDB"/>
    <w:rsid w:val="00866D72"/>
    <w:rsid w:val="008671E9"/>
    <w:rsid w:val="0086721E"/>
    <w:rsid w:val="00867368"/>
    <w:rsid w:val="0086762E"/>
    <w:rsid w:val="00867E60"/>
    <w:rsid w:val="008700BE"/>
    <w:rsid w:val="008702A6"/>
    <w:rsid w:val="00870399"/>
    <w:rsid w:val="008705BD"/>
    <w:rsid w:val="00870697"/>
    <w:rsid w:val="00870CC7"/>
    <w:rsid w:val="00870E9D"/>
    <w:rsid w:val="00870FA1"/>
    <w:rsid w:val="0087117E"/>
    <w:rsid w:val="008711EC"/>
    <w:rsid w:val="008715A2"/>
    <w:rsid w:val="008718FE"/>
    <w:rsid w:val="00872946"/>
    <w:rsid w:val="00873B7F"/>
    <w:rsid w:val="00873BA5"/>
    <w:rsid w:val="00873C00"/>
    <w:rsid w:val="00874349"/>
    <w:rsid w:val="00874601"/>
    <w:rsid w:val="00874A3E"/>
    <w:rsid w:val="00875108"/>
    <w:rsid w:val="00875333"/>
    <w:rsid w:val="00875AA0"/>
    <w:rsid w:val="00875DC8"/>
    <w:rsid w:val="00876421"/>
    <w:rsid w:val="00876DC6"/>
    <w:rsid w:val="008771CE"/>
    <w:rsid w:val="00877470"/>
    <w:rsid w:val="00877658"/>
    <w:rsid w:val="0087768B"/>
    <w:rsid w:val="00877F3E"/>
    <w:rsid w:val="0088040D"/>
    <w:rsid w:val="00880904"/>
    <w:rsid w:val="00880FB6"/>
    <w:rsid w:val="008811F1"/>
    <w:rsid w:val="00881876"/>
    <w:rsid w:val="00881DA8"/>
    <w:rsid w:val="00881E01"/>
    <w:rsid w:val="008828F8"/>
    <w:rsid w:val="0088296F"/>
    <w:rsid w:val="00882BEB"/>
    <w:rsid w:val="00882FC2"/>
    <w:rsid w:val="008834B4"/>
    <w:rsid w:val="008835EE"/>
    <w:rsid w:val="0088362F"/>
    <w:rsid w:val="008837C5"/>
    <w:rsid w:val="00883928"/>
    <w:rsid w:val="00883DDE"/>
    <w:rsid w:val="00883F46"/>
    <w:rsid w:val="00884D0B"/>
    <w:rsid w:val="00884D9D"/>
    <w:rsid w:val="00884E03"/>
    <w:rsid w:val="00884E2B"/>
    <w:rsid w:val="00885890"/>
    <w:rsid w:val="00885D0A"/>
    <w:rsid w:val="00886CB6"/>
    <w:rsid w:val="0088771C"/>
    <w:rsid w:val="00887A28"/>
    <w:rsid w:val="00887A8A"/>
    <w:rsid w:val="008900BC"/>
    <w:rsid w:val="008902EF"/>
    <w:rsid w:val="008903A0"/>
    <w:rsid w:val="008906C3"/>
    <w:rsid w:val="00890C5D"/>
    <w:rsid w:val="00891470"/>
    <w:rsid w:val="008914B9"/>
    <w:rsid w:val="00891D73"/>
    <w:rsid w:val="00892054"/>
    <w:rsid w:val="0089211A"/>
    <w:rsid w:val="00892395"/>
    <w:rsid w:val="00892A44"/>
    <w:rsid w:val="008931DD"/>
    <w:rsid w:val="0089352B"/>
    <w:rsid w:val="0089372A"/>
    <w:rsid w:val="00894313"/>
    <w:rsid w:val="008944C4"/>
    <w:rsid w:val="00894636"/>
    <w:rsid w:val="00894A04"/>
    <w:rsid w:val="00894DED"/>
    <w:rsid w:val="008955AC"/>
    <w:rsid w:val="00895BB3"/>
    <w:rsid w:val="00896FE4"/>
    <w:rsid w:val="00897398"/>
    <w:rsid w:val="008974B8"/>
    <w:rsid w:val="00897529"/>
    <w:rsid w:val="0089780F"/>
    <w:rsid w:val="00897AEC"/>
    <w:rsid w:val="00897F0A"/>
    <w:rsid w:val="00897FD0"/>
    <w:rsid w:val="008A0D7D"/>
    <w:rsid w:val="008A1031"/>
    <w:rsid w:val="008A12E8"/>
    <w:rsid w:val="008A1396"/>
    <w:rsid w:val="008A13ED"/>
    <w:rsid w:val="008A1409"/>
    <w:rsid w:val="008A1B1A"/>
    <w:rsid w:val="008A1CBA"/>
    <w:rsid w:val="008A21F9"/>
    <w:rsid w:val="008A2535"/>
    <w:rsid w:val="008A2561"/>
    <w:rsid w:val="008A25A1"/>
    <w:rsid w:val="008A26E4"/>
    <w:rsid w:val="008A2B88"/>
    <w:rsid w:val="008A2DE8"/>
    <w:rsid w:val="008A312D"/>
    <w:rsid w:val="008A3977"/>
    <w:rsid w:val="008A3A16"/>
    <w:rsid w:val="008A3D4B"/>
    <w:rsid w:val="008A3E09"/>
    <w:rsid w:val="008A3E57"/>
    <w:rsid w:val="008A3F04"/>
    <w:rsid w:val="008A4647"/>
    <w:rsid w:val="008A4738"/>
    <w:rsid w:val="008A61C1"/>
    <w:rsid w:val="008A6963"/>
    <w:rsid w:val="008A6AE7"/>
    <w:rsid w:val="008A712C"/>
    <w:rsid w:val="008A734A"/>
    <w:rsid w:val="008A745C"/>
    <w:rsid w:val="008A77A7"/>
    <w:rsid w:val="008B00FA"/>
    <w:rsid w:val="008B01CF"/>
    <w:rsid w:val="008B0681"/>
    <w:rsid w:val="008B0835"/>
    <w:rsid w:val="008B0D7D"/>
    <w:rsid w:val="008B0FFD"/>
    <w:rsid w:val="008B12F7"/>
    <w:rsid w:val="008B1A4D"/>
    <w:rsid w:val="008B2B4F"/>
    <w:rsid w:val="008B2C0F"/>
    <w:rsid w:val="008B344A"/>
    <w:rsid w:val="008B3EE8"/>
    <w:rsid w:val="008B3F34"/>
    <w:rsid w:val="008B4059"/>
    <w:rsid w:val="008B44B2"/>
    <w:rsid w:val="008B4CFD"/>
    <w:rsid w:val="008B50A2"/>
    <w:rsid w:val="008B61F1"/>
    <w:rsid w:val="008B6504"/>
    <w:rsid w:val="008B672C"/>
    <w:rsid w:val="008B67B3"/>
    <w:rsid w:val="008B6B9E"/>
    <w:rsid w:val="008B6D00"/>
    <w:rsid w:val="008B7004"/>
    <w:rsid w:val="008B70CA"/>
    <w:rsid w:val="008B79CA"/>
    <w:rsid w:val="008C01E0"/>
    <w:rsid w:val="008C0794"/>
    <w:rsid w:val="008C0B4F"/>
    <w:rsid w:val="008C10D0"/>
    <w:rsid w:val="008C1530"/>
    <w:rsid w:val="008C1648"/>
    <w:rsid w:val="008C1925"/>
    <w:rsid w:val="008C1973"/>
    <w:rsid w:val="008C1B76"/>
    <w:rsid w:val="008C1C78"/>
    <w:rsid w:val="008C1E80"/>
    <w:rsid w:val="008C1FC9"/>
    <w:rsid w:val="008C239E"/>
    <w:rsid w:val="008C2704"/>
    <w:rsid w:val="008C27C2"/>
    <w:rsid w:val="008C2DE8"/>
    <w:rsid w:val="008C2E26"/>
    <w:rsid w:val="008C2E8D"/>
    <w:rsid w:val="008C32D9"/>
    <w:rsid w:val="008C401B"/>
    <w:rsid w:val="008C434D"/>
    <w:rsid w:val="008C4ABF"/>
    <w:rsid w:val="008C52BE"/>
    <w:rsid w:val="008C56B9"/>
    <w:rsid w:val="008C5750"/>
    <w:rsid w:val="008C5C35"/>
    <w:rsid w:val="008C5D16"/>
    <w:rsid w:val="008C6067"/>
    <w:rsid w:val="008C6389"/>
    <w:rsid w:val="008C6592"/>
    <w:rsid w:val="008C65F4"/>
    <w:rsid w:val="008C6640"/>
    <w:rsid w:val="008C67CD"/>
    <w:rsid w:val="008C68EA"/>
    <w:rsid w:val="008C7106"/>
    <w:rsid w:val="008C756E"/>
    <w:rsid w:val="008C789D"/>
    <w:rsid w:val="008D0535"/>
    <w:rsid w:val="008D05E0"/>
    <w:rsid w:val="008D064A"/>
    <w:rsid w:val="008D07DC"/>
    <w:rsid w:val="008D14C9"/>
    <w:rsid w:val="008D1662"/>
    <w:rsid w:val="008D1DB7"/>
    <w:rsid w:val="008D1EB9"/>
    <w:rsid w:val="008D2600"/>
    <w:rsid w:val="008D2764"/>
    <w:rsid w:val="008D2841"/>
    <w:rsid w:val="008D2DBA"/>
    <w:rsid w:val="008D2DF3"/>
    <w:rsid w:val="008D33B9"/>
    <w:rsid w:val="008D3B9B"/>
    <w:rsid w:val="008D3CB7"/>
    <w:rsid w:val="008D4279"/>
    <w:rsid w:val="008D4898"/>
    <w:rsid w:val="008D49F7"/>
    <w:rsid w:val="008D4BFD"/>
    <w:rsid w:val="008D4FAE"/>
    <w:rsid w:val="008D514F"/>
    <w:rsid w:val="008D534A"/>
    <w:rsid w:val="008D53E6"/>
    <w:rsid w:val="008D6209"/>
    <w:rsid w:val="008D624B"/>
    <w:rsid w:val="008D66A6"/>
    <w:rsid w:val="008D6BE2"/>
    <w:rsid w:val="008D70BC"/>
    <w:rsid w:val="008D721C"/>
    <w:rsid w:val="008D750E"/>
    <w:rsid w:val="008D7514"/>
    <w:rsid w:val="008D77F5"/>
    <w:rsid w:val="008D7E55"/>
    <w:rsid w:val="008D7E74"/>
    <w:rsid w:val="008E0394"/>
    <w:rsid w:val="008E061C"/>
    <w:rsid w:val="008E0AC0"/>
    <w:rsid w:val="008E0D4B"/>
    <w:rsid w:val="008E0F71"/>
    <w:rsid w:val="008E1787"/>
    <w:rsid w:val="008E18DF"/>
    <w:rsid w:val="008E2004"/>
    <w:rsid w:val="008E221A"/>
    <w:rsid w:val="008E225A"/>
    <w:rsid w:val="008E24D2"/>
    <w:rsid w:val="008E2773"/>
    <w:rsid w:val="008E28D8"/>
    <w:rsid w:val="008E2B31"/>
    <w:rsid w:val="008E3634"/>
    <w:rsid w:val="008E36B7"/>
    <w:rsid w:val="008E3983"/>
    <w:rsid w:val="008E3CDE"/>
    <w:rsid w:val="008E3CED"/>
    <w:rsid w:val="008E3FFE"/>
    <w:rsid w:val="008E459E"/>
    <w:rsid w:val="008E4809"/>
    <w:rsid w:val="008E4D40"/>
    <w:rsid w:val="008E5218"/>
    <w:rsid w:val="008E5287"/>
    <w:rsid w:val="008E5817"/>
    <w:rsid w:val="008E5F8A"/>
    <w:rsid w:val="008E60BE"/>
    <w:rsid w:val="008E63C9"/>
    <w:rsid w:val="008E647E"/>
    <w:rsid w:val="008E667A"/>
    <w:rsid w:val="008E692A"/>
    <w:rsid w:val="008E6A21"/>
    <w:rsid w:val="008E6B74"/>
    <w:rsid w:val="008E6C3E"/>
    <w:rsid w:val="008E70F4"/>
    <w:rsid w:val="008E7D7B"/>
    <w:rsid w:val="008E7EAB"/>
    <w:rsid w:val="008F05B5"/>
    <w:rsid w:val="008F0FAF"/>
    <w:rsid w:val="008F147F"/>
    <w:rsid w:val="008F1567"/>
    <w:rsid w:val="008F1C68"/>
    <w:rsid w:val="008F1E1A"/>
    <w:rsid w:val="008F23C8"/>
    <w:rsid w:val="008F24FF"/>
    <w:rsid w:val="008F29EA"/>
    <w:rsid w:val="008F365E"/>
    <w:rsid w:val="008F3B5E"/>
    <w:rsid w:val="008F3F8F"/>
    <w:rsid w:val="008F4621"/>
    <w:rsid w:val="008F46CD"/>
    <w:rsid w:val="008F489A"/>
    <w:rsid w:val="008F5289"/>
    <w:rsid w:val="008F5354"/>
    <w:rsid w:val="008F5B37"/>
    <w:rsid w:val="008F6480"/>
    <w:rsid w:val="008F6B9D"/>
    <w:rsid w:val="008F7740"/>
    <w:rsid w:val="008F78E2"/>
    <w:rsid w:val="0090046D"/>
    <w:rsid w:val="009009C6"/>
    <w:rsid w:val="00900BAC"/>
    <w:rsid w:val="00900CA2"/>
    <w:rsid w:val="00900E13"/>
    <w:rsid w:val="00900E48"/>
    <w:rsid w:val="0090107A"/>
    <w:rsid w:val="0090143A"/>
    <w:rsid w:val="00901824"/>
    <w:rsid w:val="00901AB2"/>
    <w:rsid w:val="00903033"/>
    <w:rsid w:val="00903653"/>
    <w:rsid w:val="00903C87"/>
    <w:rsid w:val="00903CD7"/>
    <w:rsid w:val="0090420A"/>
    <w:rsid w:val="009047F5"/>
    <w:rsid w:val="00904CED"/>
    <w:rsid w:val="0090508C"/>
    <w:rsid w:val="00906121"/>
    <w:rsid w:val="00907147"/>
    <w:rsid w:val="00907217"/>
    <w:rsid w:val="009075BE"/>
    <w:rsid w:val="0090776D"/>
    <w:rsid w:val="00907BD3"/>
    <w:rsid w:val="00907E47"/>
    <w:rsid w:val="009100B5"/>
    <w:rsid w:val="00910A52"/>
    <w:rsid w:val="00910B37"/>
    <w:rsid w:val="00911479"/>
    <w:rsid w:val="009117FB"/>
    <w:rsid w:val="0091217A"/>
    <w:rsid w:val="009129C6"/>
    <w:rsid w:val="00912EB5"/>
    <w:rsid w:val="0091310A"/>
    <w:rsid w:val="00913B0B"/>
    <w:rsid w:val="009140AC"/>
    <w:rsid w:val="0091484D"/>
    <w:rsid w:val="00914D67"/>
    <w:rsid w:val="00914D9E"/>
    <w:rsid w:val="00914EF4"/>
    <w:rsid w:val="00914F44"/>
    <w:rsid w:val="00914F4C"/>
    <w:rsid w:val="00915473"/>
    <w:rsid w:val="00915718"/>
    <w:rsid w:val="00915E20"/>
    <w:rsid w:val="00915EEC"/>
    <w:rsid w:val="00915F9C"/>
    <w:rsid w:val="0091601D"/>
    <w:rsid w:val="009166EA"/>
    <w:rsid w:val="009166F5"/>
    <w:rsid w:val="00917073"/>
    <w:rsid w:val="009173DC"/>
    <w:rsid w:val="00917478"/>
    <w:rsid w:val="00917BDA"/>
    <w:rsid w:val="0092038D"/>
    <w:rsid w:val="009205C3"/>
    <w:rsid w:val="00920FD7"/>
    <w:rsid w:val="009217EC"/>
    <w:rsid w:val="00921C41"/>
    <w:rsid w:val="00921E96"/>
    <w:rsid w:val="00922EFF"/>
    <w:rsid w:val="00923682"/>
    <w:rsid w:val="00923C81"/>
    <w:rsid w:val="00923E44"/>
    <w:rsid w:val="00924130"/>
    <w:rsid w:val="009241B3"/>
    <w:rsid w:val="0092435C"/>
    <w:rsid w:val="00924412"/>
    <w:rsid w:val="009249C6"/>
    <w:rsid w:val="009251B5"/>
    <w:rsid w:val="00925413"/>
    <w:rsid w:val="0092575D"/>
    <w:rsid w:val="0092583A"/>
    <w:rsid w:val="00925E71"/>
    <w:rsid w:val="00925F9A"/>
    <w:rsid w:val="009264B9"/>
    <w:rsid w:val="00926B85"/>
    <w:rsid w:val="009274C1"/>
    <w:rsid w:val="00927C70"/>
    <w:rsid w:val="00930745"/>
    <w:rsid w:val="0093100A"/>
    <w:rsid w:val="009310B9"/>
    <w:rsid w:val="009311DC"/>
    <w:rsid w:val="00931840"/>
    <w:rsid w:val="00931991"/>
    <w:rsid w:val="00931CB1"/>
    <w:rsid w:val="00932131"/>
    <w:rsid w:val="009324DF"/>
    <w:rsid w:val="00932768"/>
    <w:rsid w:val="00932A3E"/>
    <w:rsid w:val="00932F9F"/>
    <w:rsid w:val="00933016"/>
    <w:rsid w:val="0093329F"/>
    <w:rsid w:val="009333E2"/>
    <w:rsid w:val="009337A2"/>
    <w:rsid w:val="009337C1"/>
    <w:rsid w:val="0093411D"/>
    <w:rsid w:val="00934343"/>
    <w:rsid w:val="00934505"/>
    <w:rsid w:val="0093461F"/>
    <w:rsid w:val="0093482A"/>
    <w:rsid w:val="009358AD"/>
    <w:rsid w:val="00936C3C"/>
    <w:rsid w:val="00936EE8"/>
    <w:rsid w:val="00936FEF"/>
    <w:rsid w:val="00937043"/>
    <w:rsid w:val="0093767A"/>
    <w:rsid w:val="00937E99"/>
    <w:rsid w:val="00940185"/>
    <w:rsid w:val="0094095F"/>
    <w:rsid w:val="00940A2B"/>
    <w:rsid w:val="00940C40"/>
    <w:rsid w:val="00941A1E"/>
    <w:rsid w:val="00942001"/>
    <w:rsid w:val="009437DB"/>
    <w:rsid w:val="0094391C"/>
    <w:rsid w:val="00943A54"/>
    <w:rsid w:val="00943B65"/>
    <w:rsid w:val="00943E42"/>
    <w:rsid w:val="00943F97"/>
    <w:rsid w:val="009440D2"/>
    <w:rsid w:val="009445D3"/>
    <w:rsid w:val="0094478F"/>
    <w:rsid w:val="00944E43"/>
    <w:rsid w:val="00945154"/>
    <w:rsid w:val="0094542A"/>
    <w:rsid w:val="00945729"/>
    <w:rsid w:val="009458E8"/>
    <w:rsid w:val="00945973"/>
    <w:rsid w:val="00945A8F"/>
    <w:rsid w:val="00945D1D"/>
    <w:rsid w:val="00946083"/>
    <w:rsid w:val="009472F5"/>
    <w:rsid w:val="00947C70"/>
    <w:rsid w:val="00947E9D"/>
    <w:rsid w:val="0095142E"/>
    <w:rsid w:val="00951926"/>
    <w:rsid w:val="00951A4C"/>
    <w:rsid w:val="00951CD7"/>
    <w:rsid w:val="00952206"/>
    <w:rsid w:val="009523B8"/>
    <w:rsid w:val="00952550"/>
    <w:rsid w:val="009525C8"/>
    <w:rsid w:val="00952BC2"/>
    <w:rsid w:val="009531D8"/>
    <w:rsid w:val="00953500"/>
    <w:rsid w:val="009535CC"/>
    <w:rsid w:val="00953C45"/>
    <w:rsid w:val="00953CBA"/>
    <w:rsid w:val="00954243"/>
    <w:rsid w:val="0095459A"/>
    <w:rsid w:val="009549E1"/>
    <w:rsid w:val="00954BCD"/>
    <w:rsid w:val="00955166"/>
    <w:rsid w:val="0095599E"/>
    <w:rsid w:val="00955A8A"/>
    <w:rsid w:val="009568BA"/>
    <w:rsid w:val="009568CE"/>
    <w:rsid w:val="00956F98"/>
    <w:rsid w:val="00956F9F"/>
    <w:rsid w:val="00957545"/>
    <w:rsid w:val="009578DE"/>
    <w:rsid w:val="00957B3A"/>
    <w:rsid w:val="00957E24"/>
    <w:rsid w:val="00960405"/>
    <w:rsid w:val="009607D6"/>
    <w:rsid w:val="0096117E"/>
    <w:rsid w:val="0096167A"/>
    <w:rsid w:val="00961685"/>
    <w:rsid w:val="00961E49"/>
    <w:rsid w:val="0096290F"/>
    <w:rsid w:val="0096293F"/>
    <w:rsid w:val="00962B92"/>
    <w:rsid w:val="00963132"/>
    <w:rsid w:val="00963367"/>
    <w:rsid w:val="00963D3C"/>
    <w:rsid w:val="00963DD2"/>
    <w:rsid w:val="00963DE4"/>
    <w:rsid w:val="00963E75"/>
    <w:rsid w:val="0096400D"/>
    <w:rsid w:val="00964021"/>
    <w:rsid w:val="00964078"/>
    <w:rsid w:val="00964487"/>
    <w:rsid w:val="009645BC"/>
    <w:rsid w:val="0096490F"/>
    <w:rsid w:val="009653AC"/>
    <w:rsid w:val="009656D5"/>
    <w:rsid w:val="00965AB4"/>
    <w:rsid w:val="00965F5F"/>
    <w:rsid w:val="009663C8"/>
    <w:rsid w:val="00966600"/>
    <w:rsid w:val="00966A81"/>
    <w:rsid w:val="009671B2"/>
    <w:rsid w:val="009671D9"/>
    <w:rsid w:val="00967276"/>
    <w:rsid w:val="00967476"/>
    <w:rsid w:val="00967A5F"/>
    <w:rsid w:val="00967B5B"/>
    <w:rsid w:val="00967CD7"/>
    <w:rsid w:val="00967D1D"/>
    <w:rsid w:val="009700A5"/>
    <w:rsid w:val="00970359"/>
    <w:rsid w:val="0097037D"/>
    <w:rsid w:val="00970543"/>
    <w:rsid w:val="009706AA"/>
    <w:rsid w:val="009707CE"/>
    <w:rsid w:val="00970884"/>
    <w:rsid w:val="009710BE"/>
    <w:rsid w:val="00971352"/>
    <w:rsid w:val="009713FB"/>
    <w:rsid w:val="00971486"/>
    <w:rsid w:val="0097148C"/>
    <w:rsid w:val="00971831"/>
    <w:rsid w:val="00971841"/>
    <w:rsid w:val="00971EBB"/>
    <w:rsid w:val="009726D1"/>
    <w:rsid w:val="0097292D"/>
    <w:rsid w:val="00972A8B"/>
    <w:rsid w:val="00972A99"/>
    <w:rsid w:val="00972CCF"/>
    <w:rsid w:val="0097312B"/>
    <w:rsid w:val="00974230"/>
    <w:rsid w:val="00974A43"/>
    <w:rsid w:val="00974DD3"/>
    <w:rsid w:val="00975AE8"/>
    <w:rsid w:val="00975C92"/>
    <w:rsid w:val="00975E5B"/>
    <w:rsid w:val="00975E8E"/>
    <w:rsid w:val="00975F51"/>
    <w:rsid w:val="0097615E"/>
    <w:rsid w:val="00976679"/>
    <w:rsid w:val="00976860"/>
    <w:rsid w:val="00976970"/>
    <w:rsid w:val="00976CD6"/>
    <w:rsid w:val="00976D48"/>
    <w:rsid w:val="00976F22"/>
    <w:rsid w:val="00976FF9"/>
    <w:rsid w:val="009779B1"/>
    <w:rsid w:val="009779F8"/>
    <w:rsid w:val="00977C8F"/>
    <w:rsid w:val="00977F94"/>
    <w:rsid w:val="00977FAE"/>
    <w:rsid w:val="00977FE8"/>
    <w:rsid w:val="0098025E"/>
    <w:rsid w:val="00980A1F"/>
    <w:rsid w:val="00980CDD"/>
    <w:rsid w:val="00981131"/>
    <w:rsid w:val="0098115E"/>
    <w:rsid w:val="009815DE"/>
    <w:rsid w:val="00982A83"/>
    <w:rsid w:val="00982BD1"/>
    <w:rsid w:val="00982F57"/>
    <w:rsid w:val="009832C8"/>
    <w:rsid w:val="00983326"/>
    <w:rsid w:val="0098336D"/>
    <w:rsid w:val="009836F9"/>
    <w:rsid w:val="0098418E"/>
    <w:rsid w:val="0098515D"/>
    <w:rsid w:val="00985313"/>
    <w:rsid w:val="009853B5"/>
    <w:rsid w:val="009863E9"/>
    <w:rsid w:val="0098757B"/>
    <w:rsid w:val="00987CBC"/>
    <w:rsid w:val="00987D41"/>
    <w:rsid w:val="00987E95"/>
    <w:rsid w:val="00987F75"/>
    <w:rsid w:val="0099050D"/>
    <w:rsid w:val="009905C4"/>
    <w:rsid w:val="009918FE"/>
    <w:rsid w:val="00991A04"/>
    <w:rsid w:val="00991EEC"/>
    <w:rsid w:val="00991F31"/>
    <w:rsid w:val="00991FDD"/>
    <w:rsid w:val="00992E20"/>
    <w:rsid w:val="009935DF"/>
    <w:rsid w:val="009936FC"/>
    <w:rsid w:val="00993925"/>
    <w:rsid w:val="00993977"/>
    <w:rsid w:val="00993A00"/>
    <w:rsid w:val="00993B8B"/>
    <w:rsid w:val="0099419F"/>
    <w:rsid w:val="009944BD"/>
    <w:rsid w:val="00995189"/>
    <w:rsid w:val="00995D8B"/>
    <w:rsid w:val="009969B5"/>
    <w:rsid w:val="00996D2E"/>
    <w:rsid w:val="00997244"/>
    <w:rsid w:val="00997BDB"/>
    <w:rsid w:val="009A05D1"/>
    <w:rsid w:val="009A0628"/>
    <w:rsid w:val="009A063D"/>
    <w:rsid w:val="009A0920"/>
    <w:rsid w:val="009A09A7"/>
    <w:rsid w:val="009A1386"/>
    <w:rsid w:val="009A1F9B"/>
    <w:rsid w:val="009A1FD3"/>
    <w:rsid w:val="009A28AC"/>
    <w:rsid w:val="009A2B14"/>
    <w:rsid w:val="009A319A"/>
    <w:rsid w:val="009A37D9"/>
    <w:rsid w:val="009A3A5B"/>
    <w:rsid w:val="009A3F2A"/>
    <w:rsid w:val="009A40A8"/>
    <w:rsid w:val="009A467D"/>
    <w:rsid w:val="009A48E0"/>
    <w:rsid w:val="009A56D0"/>
    <w:rsid w:val="009A6671"/>
    <w:rsid w:val="009A6D7D"/>
    <w:rsid w:val="009A6F60"/>
    <w:rsid w:val="009A72D4"/>
    <w:rsid w:val="009A73D8"/>
    <w:rsid w:val="009A7FCB"/>
    <w:rsid w:val="009B03AF"/>
    <w:rsid w:val="009B09E7"/>
    <w:rsid w:val="009B1337"/>
    <w:rsid w:val="009B1707"/>
    <w:rsid w:val="009B19C3"/>
    <w:rsid w:val="009B1BFA"/>
    <w:rsid w:val="009B1C62"/>
    <w:rsid w:val="009B1F41"/>
    <w:rsid w:val="009B2794"/>
    <w:rsid w:val="009B27D5"/>
    <w:rsid w:val="009B2A3D"/>
    <w:rsid w:val="009B2AAC"/>
    <w:rsid w:val="009B2B6D"/>
    <w:rsid w:val="009B3298"/>
    <w:rsid w:val="009B3521"/>
    <w:rsid w:val="009B35C8"/>
    <w:rsid w:val="009B370B"/>
    <w:rsid w:val="009B37CF"/>
    <w:rsid w:val="009B3D5F"/>
    <w:rsid w:val="009B445A"/>
    <w:rsid w:val="009B4B94"/>
    <w:rsid w:val="009B4BEC"/>
    <w:rsid w:val="009B541C"/>
    <w:rsid w:val="009B5505"/>
    <w:rsid w:val="009B554C"/>
    <w:rsid w:val="009B5A06"/>
    <w:rsid w:val="009B5A35"/>
    <w:rsid w:val="009B6291"/>
    <w:rsid w:val="009B659F"/>
    <w:rsid w:val="009B6B8B"/>
    <w:rsid w:val="009B6E27"/>
    <w:rsid w:val="009B6FD2"/>
    <w:rsid w:val="009B706A"/>
    <w:rsid w:val="009B7404"/>
    <w:rsid w:val="009B786F"/>
    <w:rsid w:val="009B7A52"/>
    <w:rsid w:val="009C076C"/>
    <w:rsid w:val="009C14A1"/>
    <w:rsid w:val="009C14F7"/>
    <w:rsid w:val="009C1B70"/>
    <w:rsid w:val="009C2480"/>
    <w:rsid w:val="009C3B19"/>
    <w:rsid w:val="009C3B8F"/>
    <w:rsid w:val="009C413A"/>
    <w:rsid w:val="009C4460"/>
    <w:rsid w:val="009C4671"/>
    <w:rsid w:val="009C4706"/>
    <w:rsid w:val="009C472B"/>
    <w:rsid w:val="009C5322"/>
    <w:rsid w:val="009C5345"/>
    <w:rsid w:val="009C554D"/>
    <w:rsid w:val="009C5613"/>
    <w:rsid w:val="009C5992"/>
    <w:rsid w:val="009C6210"/>
    <w:rsid w:val="009C642E"/>
    <w:rsid w:val="009C6F7A"/>
    <w:rsid w:val="009C78B8"/>
    <w:rsid w:val="009D03A0"/>
    <w:rsid w:val="009D0462"/>
    <w:rsid w:val="009D05C1"/>
    <w:rsid w:val="009D1886"/>
    <w:rsid w:val="009D1DA5"/>
    <w:rsid w:val="009D2C16"/>
    <w:rsid w:val="009D36F1"/>
    <w:rsid w:val="009D3BEF"/>
    <w:rsid w:val="009D3D6B"/>
    <w:rsid w:val="009D4166"/>
    <w:rsid w:val="009D4B6A"/>
    <w:rsid w:val="009D4F56"/>
    <w:rsid w:val="009D5239"/>
    <w:rsid w:val="009D52C6"/>
    <w:rsid w:val="009D543C"/>
    <w:rsid w:val="009D5528"/>
    <w:rsid w:val="009D56A2"/>
    <w:rsid w:val="009D575F"/>
    <w:rsid w:val="009D598D"/>
    <w:rsid w:val="009D59BB"/>
    <w:rsid w:val="009D5A66"/>
    <w:rsid w:val="009D5CC0"/>
    <w:rsid w:val="009D641E"/>
    <w:rsid w:val="009D6718"/>
    <w:rsid w:val="009D6740"/>
    <w:rsid w:val="009D6BBA"/>
    <w:rsid w:val="009D7167"/>
    <w:rsid w:val="009D7192"/>
    <w:rsid w:val="009D7223"/>
    <w:rsid w:val="009D7570"/>
    <w:rsid w:val="009D7EE8"/>
    <w:rsid w:val="009D7F6F"/>
    <w:rsid w:val="009E0E38"/>
    <w:rsid w:val="009E0F96"/>
    <w:rsid w:val="009E1243"/>
    <w:rsid w:val="009E1A35"/>
    <w:rsid w:val="009E1C5A"/>
    <w:rsid w:val="009E1DB4"/>
    <w:rsid w:val="009E2375"/>
    <w:rsid w:val="009E2B94"/>
    <w:rsid w:val="009E2D23"/>
    <w:rsid w:val="009E2E42"/>
    <w:rsid w:val="009E33D4"/>
    <w:rsid w:val="009E38A2"/>
    <w:rsid w:val="009E3EDF"/>
    <w:rsid w:val="009E4D49"/>
    <w:rsid w:val="009E5096"/>
    <w:rsid w:val="009E594C"/>
    <w:rsid w:val="009E688D"/>
    <w:rsid w:val="009E6B67"/>
    <w:rsid w:val="009E6ECF"/>
    <w:rsid w:val="009E6EEF"/>
    <w:rsid w:val="009E6F65"/>
    <w:rsid w:val="009E6FD1"/>
    <w:rsid w:val="009E7199"/>
    <w:rsid w:val="009E71EC"/>
    <w:rsid w:val="009E7969"/>
    <w:rsid w:val="009E7C3A"/>
    <w:rsid w:val="009F01BE"/>
    <w:rsid w:val="009F09AA"/>
    <w:rsid w:val="009F0AB1"/>
    <w:rsid w:val="009F0BC9"/>
    <w:rsid w:val="009F12A5"/>
    <w:rsid w:val="009F1340"/>
    <w:rsid w:val="009F1504"/>
    <w:rsid w:val="009F1BAE"/>
    <w:rsid w:val="009F1C49"/>
    <w:rsid w:val="009F2754"/>
    <w:rsid w:val="009F2AC6"/>
    <w:rsid w:val="009F2BDB"/>
    <w:rsid w:val="009F2C16"/>
    <w:rsid w:val="009F2C1B"/>
    <w:rsid w:val="009F2DF6"/>
    <w:rsid w:val="009F2F78"/>
    <w:rsid w:val="009F2FBD"/>
    <w:rsid w:val="009F3029"/>
    <w:rsid w:val="009F335C"/>
    <w:rsid w:val="009F5039"/>
    <w:rsid w:val="009F5A14"/>
    <w:rsid w:val="009F615D"/>
    <w:rsid w:val="009F6F4B"/>
    <w:rsid w:val="009F708C"/>
    <w:rsid w:val="009F7283"/>
    <w:rsid w:val="009F7987"/>
    <w:rsid w:val="009F7FA6"/>
    <w:rsid w:val="00A002B5"/>
    <w:rsid w:val="00A0081D"/>
    <w:rsid w:val="00A00FBE"/>
    <w:rsid w:val="00A01F4A"/>
    <w:rsid w:val="00A0260C"/>
    <w:rsid w:val="00A0286B"/>
    <w:rsid w:val="00A02AFE"/>
    <w:rsid w:val="00A02EFB"/>
    <w:rsid w:val="00A0311F"/>
    <w:rsid w:val="00A0352E"/>
    <w:rsid w:val="00A03813"/>
    <w:rsid w:val="00A041B5"/>
    <w:rsid w:val="00A042E4"/>
    <w:rsid w:val="00A04E5D"/>
    <w:rsid w:val="00A04F8C"/>
    <w:rsid w:val="00A05158"/>
    <w:rsid w:val="00A053EB"/>
    <w:rsid w:val="00A05E3D"/>
    <w:rsid w:val="00A067E8"/>
    <w:rsid w:val="00A0706E"/>
    <w:rsid w:val="00A07559"/>
    <w:rsid w:val="00A07D50"/>
    <w:rsid w:val="00A102AD"/>
    <w:rsid w:val="00A103F3"/>
    <w:rsid w:val="00A103F7"/>
    <w:rsid w:val="00A105BD"/>
    <w:rsid w:val="00A10873"/>
    <w:rsid w:val="00A10C76"/>
    <w:rsid w:val="00A11370"/>
    <w:rsid w:val="00A11627"/>
    <w:rsid w:val="00A11733"/>
    <w:rsid w:val="00A11A30"/>
    <w:rsid w:val="00A11D81"/>
    <w:rsid w:val="00A123ED"/>
    <w:rsid w:val="00A12DFB"/>
    <w:rsid w:val="00A12F05"/>
    <w:rsid w:val="00A131CE"/>
    <w:rsid w:val="00A13AD2"/>
    <w:rsid w:val="00A13BF5"/>
    <w:rsid w:val="00A1428B"/>
    <w:rsid w:val="00A1474E"/>
    <w:rsid w:val="00A14837"/>
    <w:rsid w:val="00A14857"/>
    <w:rsid w:val="00A148C1"/>
    <w:rsid w:val="00A153E2"/>
    <w:rsid w:val="00A15722"/>
    <w:rsid w:val="00A15ADD"/>
    <w:rsid w:val="00A1671F"/>
    <w:rsid w:val="00A16BA6"/>
    <w:rsid w:val="00A16F61"/>
    <w:rsid w:val="00A175DA"/>
    <w:rsid w:val="00A17E9D"/>
    <w:rsid w:val="00A2044A"/>
    <w:rsid w:val="00A20815"/>
    <w:rsid w:val="00A20BA8"/>
    <w:rsid w:val="00A20D5E"/>
    <w:rsid w:val="00A2159A"/>
    <w:rsid w:val="00A216F5"/>
    <w:rsid w:val="00A21C98"/>
    <w:rsid w:val="00A21EF7"/>
    <w:rsid w:val="00A2212D"/>
    <w:rsid w:val="00A225E3"/>
    <w:rsid w:val="00A229F8"/>
    <w:rsid w:val="00A23A26"/>
    <w:rsid w:val="00A23A7A"/>
    <w:rsid w:val="00A247F4"/>
    <w:rsid w:val="00A24A8F"/>
    <w:rsid w:val="00A24F40"/>
    <w:rsid w:val="00A2568A"/>
    <w:rsid w:val="00A25708"/>
    <w:rsid w:val="00A25AB3"/>
    <w:rsid w:val="00A25BF0"/>
    <w:rsid w:val="00A25C83"/>
    <w:rsid w:val="00A25F2D"/>
    <w:rsid w:val="00A262AA"/>
    <w:rsid w:val="00A26BFA"/>
    <w:rsid w:val="00A26CA4"/>
    <w:rsid w:val="00A26EEA"/>
    <w:rsid w:val="00A277E6"/>
    <w:rsid w:val="00A278E7"/>
    <w:rsid w:val="00A2796B"/>
    <w:rsid w:val="00A300D6"/>
    <w:rsid w:val="00A3026E"/>
    <w:rsid w:val="00A30B1F"/>
    <w:rsid w:val="00A310AD"/>
    <w:rsid w:val="00A314CE"/>
    <w:rsid w:val="00A31554"/>
    <w:rsid w:val="00A315C5"/>
    <w:rsid w:val="00A3183D"/>
    <w:rsid w:val="00A31857"/>
    <w:rsid w:val="00A31918"/>
    <w:rsid w:val="00A31B60"/>
    <w:rsid w:val="00A31F0B"/>
    <w:rsid w:val="00A32042"/>
    <w:rsid w:val="00A32052"/>
    <w:rsid w:val="00A320F4"/>
    <w:rsid w:val="00A321B4"/>
    <w:rsid w:val="00A3291B"/>
    <w:rsid w:val="00A3296A"/>
    <w:rsid w:val="00A331A6"/>
    <w:rsid w:val="00A331B3"/>
    <w:rsid w:val="00A33691"/>
    <w:rsid w:val="00A336AE"/>
    <w:rsid w:val="00A33D3A"/>
    <w:rsid w:val="00A33E01"/>
    <w:rsid w:val="00A34136"/>
    <w:rsid w:val="00A344BD"/>
    <w:rsid w:val="00A368E8"/>
    <w:rsid w:val="00A36C34"/>
    <w:rsid w:val="00A371C0"/>
    <w:rsid w:val="00A3756D"/>
    <w:rsid w:val="00A376A3"/>
    <w:rsid w:val="00A37945"/>
    <w:rsid w:val="00A403A5"/>
    <w:rsid w:val="00A40884"/>
    <w:rsid w:val="00A40AD0"/>
    <w:rsid w:val="00A40AFA"/>
    <w:rsid w:val="00A40E3B"/>
    <w:rsid w:val="00A421D5"/>
    <w:rsid w:val="00A424B3"/>
    <w:rsid w:val="00A42BEA"/>
    <w:rsid w:val="00A42C12"/>
    <w:rsid w:val="00A43093"/>
    <w:rsid w:val="00A43786"/>
    <w:rsid w:val="00A43F29"/>
    <w:rsid w:val="00A43F34"/>
    <w:rsid w:val="00A44BE3"/>
    <w:rsid w:val="00A45287"/>
    <w:rsid w:val="00A452DC"/>
    <w:rsid w:val="00A4576A"/>
    <w:rsid w:val="00A45AD0"/>
    <w:rsid w:val="00A45EE9"/>
    <w:rsid w:val="00A4667A"/>
    <w:rsid w:val="00A46711"/>
    <w:rsid w:val="00A46A53"/>
    <w:rsid w:val="00A46E3A"/>
    <w:rsid w:val="00A46FE8"/>
    <w:rsid w:val="00A47360"/>
    <w:rsid w:val="00A47564"/>
    <w:rsid w:val="00A47A81"/>
    <w:rsid w:val="00A47B00"/>
    <w:rsid w:val="00A47BD5"/>
    <w:rsid w:val="00A47D18"/>
    <w:rsid w:val="00A5010D"/>
    <w:rsid w:val="00A5013C"/>
    <w:rsid w:val="00A506FC"/>
    <w:rsid w:val="00A5090E"/>
    <w:rsid w:val="00A50F16"/>
    <w:rsid w:val="00A51968"/>
    <w:rsid w:val="00A522C1"/>
    <w:rsid w:val="00A5279E"/>
    <w:rsid w:val="00A5283F"/>
    <w:rsid w:val="00A529AF"/>
    <w:rsid w:val="00A52F32"/>
    <w:rsid w:val="00A5319B"/>
    <w:rsid w:val="00A53374"/>
    <w:rsid w:val="00A533AC"/>
    <w:rsid w:val="00A53774"/>
    <w:rsid w:val="00A53C14"/>
    <w:rsid w:val="00A541C2"/>
    <w:rsid w:val="00A54778"/>
    <w:rsid w:val="00A54817"/>
    <w:rsid w:val="00A55243"/>
    <w:rsid w:val="00A5526E"/>
    <w:rsid w:val="00A56188"/>
    <w:rsid w:val="00A564C4"/>
    <w:rsid w:val="00A57127"/>
    <w:rsid w:val="00A57689"/>
    <w:rsid w:val="00A5768A"/>
    <w:rsid w:val="00A57C4B"/>
    <w:rsid w:val="00A57D48"/>
    <w:rsid w:val="00A60DDF"/>
    <w:rsid w:val="00A61058"/>
    <w:rsid w:val="00A61362"/>
    <w:rsid w:val="00A61410"/>
    <w:rsid w:val="00A6198A"/>
    <w:rsid w:val="00A62AA8"/>
    <w:rsid w:val="00A62AC3"/>
    <w:rsid w:val="00A63CF7"/>
    <w:rsid w:val="00A63E26"/>
    <w:rsid w:val="00A64536"/>
    <w:rsid w:val="00A645AA"/>
    <w:rsid w:val="00A646BF"/>
    <w:rsid w:val="00A6470D"/>
    <w:rsid w:val="00A649CF"/>
    <w:rsid w:val="00A64A75"/>
    <w:rsid w:val="00A64F58"/>
    <w:rsid w:val="00A65108"/>
    <w:rsid w:val="00A65438"/>
    <w:rsid w:val="00A65760"/>
    <w:rsid w:val="00A65D86"/>
    <w:rsid w:val="00A660BD"/>
    <w:rsid w:val="00A66140"/>
    <w:rsid w:val="00A665E6"/>
    <w:rsid w:val="00A668D0"/>
    <w:rsid w:val="00A66B1B"/>
    <w:rsid w:val="00A66C40"/>
    <w:rsid w:val="00A67230"/>
    <w:rsid w:val="00A673E9"/>
    <w:rsid w:val="00A67E1B"/>
    <w:rsid w:val="00A67FAF"/>
    <w:rsid w:val="00A7037E"/>
    <w:rsid w:val="00A705AD"/>
    <w:rsid w:val="00A7067F"/>
    <w:rsid w:val="00A706D7"/>
    <w:rsid w:val="00A70767"/>
    <w:rsid w:val="00A707A7"/>
    <w:rsid w:val="00A70D31"/>
    <w:rsid w:val="00A713C4"/>
    <w:rsid w:val="00A71790"/>
    <w:rsid w:val="00A718FD"/>
    <w:rsid w:val="00A719D9"/>
    <w:rsid w:val="00A72341"/>
    <w:rsid w:val="00A72486"/>
    <w:rsid w:val="00A728D3"/>
    <w:rsid w:val="00A739C0"/>
    <w:rsid w:val="00A73A83"/>
    <w:rsid w:val="00A73BFB"/>
    <w:rsid w:val="00A7472D"/>
    <w:rsid w:val="00A74F10"/>
    <w:rsid w:val="00A75373"/>
    <w:rsid w:val="00A75447"/>
    <w:rsid w:val="00A757E2"/>
    <w:rsid w:val="00A76125"/>
    <w:rsid w:val="00A77102"/>
    <w:rsid w:val="00A7712B"/>
    <w:rsid w:val="00A77138"/>
    <w:rsid w:val="00A7754F"/>
    <w:rsid w:val="00A776ED"/>
    <w:rsid w:val="00A77804"/>
    <w:rsid w:val="00A778AA"/>
    <w:rsid w:val="00A779C0"/>
    <w:rsid w:val="00A77AD8"/>
    <w:rsid w:val="00A77BDA"/>
    <w:rsid w:val="00A77EA2"/>
    <w:rsid w:val="00A80E50"/>
    <w:rsid w:val="00A80FEC"/>
    <w:rsid w:val="00A811B6"/>
    <w:rsid w:val="00A81279"/>
    <w:rsid w:val="00A813B1"/>
    <w:rsid w:val="00A81D59"/>
    <w:rsid w:val="00A82123"/>
    <w:rsid w:val="00A82800"/>
    <w:rsid w:val="00A83663"/>
    <w:rsid w:val="00A83741"/>
    <w:rsid w:val="00A83B0F"/>
    <w:rsid w:val="00A84216"/>
    <w:rsid w:val="00A844E8"/>
    <w:rsid w:val="00A84ECB"/>
    <w:rsid w:val="00A8511A"/>
    <w:rsid w:val="00A85548"/>
    <w:rsid w:val="00A855E0"/>
    <w:rsid w:val="00A859EC"/>
    <w:rsid w:val="00A8660A"/>
    <w:rsid w:val="00A87974"/>
    <w:rsid w:val="00A87B61"/>
    <w:rsid w:val="00A905E6"/>
    <w:rsid w:val="00A9092B"/>
    <w:rsid w:val="00A90BFA"/>
    <w:rsid w:val="00A90C89"/>
    <w:rsid w:val="00A912C2"/>
    <w:rsid w:val="00A91433"/>
    <w:rsid w:val="00A9260A"/>
    <w:rsid w:val="00A928C1"/>
    <w:rsid w:val="00A92B85"/>
    <w:rsid w:val="00A92B93"/>
    <w:rsid w:val="00A92BF3"/>
    <w:rsid w:val="00A92E53"/>
    <w:rsid w:val="00A92FBF"/>
    <w:rsid w:val="00A93830"/>
    <w:rsid w:val="00A9385F"/>
    <w:rsid w:val="00A938CB"/>
    <w:rsid w:val="00A93C3E"/>
    <w:rsid w:val="00A93D82"/>
    <w:rsid w:val="00A943C8"/>
    <w:rsid w:val="00A94AB3"/>
    <w:rsid w:val="00A94FFA"/>
    <w:rsid w:val="00A950A4"/>
    <w:rsid w:val="00A9520D"/>
    <w:rsid w:val="00A9596F"/>
    <w:rsid w:val="00A95D26"/>
    <w:rsid w:val="00A95DE6"/>
    <w:rsid w:val="00A96012"/>
    <w:rsid w:val="00A96479"/>
    <w:rsid w:val="00A96588"/>
    <w:rsid w:val="00A96635"/>
    <w:rsid w:val="00A96CD7"/>
    <w:rsid w:val="00A96F9E"/>
    <w:rsid w:val="00A97026"/>
    <w:rsid w:val="00A9747D"/>
    <w:rsid w:val="00AA00A6"/>
    <w:rsid w:val="00AA02E4"/>
    <w:rsid w:val="00AA0DD0"/>
    <w:rsid w:val="00AA0FD3"/>
    <w:rsid w:val="00AA128D"/>
    <w:rsid w:val="00AA1830"/>
    <w:rsid w:val="00AA1AB1"/>
    <w:rsid w:val="00AA21BD"/>
    <w:rsid w:val="00AA24EF"/>
    <w:rsid w:val="00AA2AD2"/>
    <w:rsid w:val="00AA2B6B"/>
    <w:rsid w:val="00AA2D3D"/>
    <w:rsid w:val="00AA3922"/>
    <w:rsid w:val="00AA3DCD"/>
    <w:rsid w:val="00AA41E1"/>
    <w:rsid w:val="00AA4966"/>
    <w:rsid w:val="00AA4D18"/>
    <w:rsid w:val="00AA5053"/>
    <w:rsid w:val="00AA52B8"/>
    <w:rsid w:val="00AA5333"/>
    <w:rsid w:val="00AA5897"/>
    <w:rsid w:val="00AA5A75"/>
    <w:rsid w:val="00AA646F"/>
    <w:rsid w:val="00AA6B49"/>
    <w:rsid w:val="00AA6BA8"/>
    <w:rsid w:val="00AA757B"/>
    <w:rsid w:val="00AA7B14"/>
    <w:rsid w:val="00AA7B5F"/>
    <w:rsid w:val="00AA7F5A"/>
    <w:rsid w:val="00AA7F87"/>
    <w:rsid w:val="00AB0111"/>
    <w:rsid w:val="00AB0410"/>
    <w:rsid w:val="00AB09A5"/>
    <w:rsid w:val="00AB09D6"/>
    <w:rsid w:val="00AB0B6B"/>
    <w:rsid w:val="00AB0F69"/>
    <w:rsid w:val="00AB1A75"/>
    <w:rsid w:val="00AB21E6"/>
    <w:rsid w:val="00AB2340"/>
    <w:rsid w:val="00AB2463"/>
    <w:rsid w:val="00AB247E"/>
    <w:rsid w:val="00AB280E"/>
    <w:rsid w:val="00AB2C3E"/>
    <w:rsid w:val="00AB31A3"/>
    <w:rsid w:val="00AB3B10"/>
    <w:rsid w:val="00AB3CFC"/>
    <w:rsid w:val="00AB3EE2"/>
    <w:rsid w:val="00AB41AE"/>
    <w:rsid w:val="00AB4851"/>
    <w:rsid w:val="00AB4F95"/>
    <w:rsid w:val="00AB553D"/>
    <w:rsid w:val="00AB55FD"/>
    <w:rsid w:val="00AB5D36"/>
    <w:rsid w:val="00AB5E23"/>
    <w:rsid w:val="00AB5F1C"/>
    <w:rsid w:val="00AB5FE4"/>
    <w:rsid w:val="00AB659D"/>
    <w:rsid w:val="00AB6713"/>
    <w:rsid w:val="00AB6998"/>
    <w:rsid w:val="00AB6BA2"/>
    <w:rsid w:val="00AB6DBE"/>
    <w:rsid w:val="00AB6F76"/>
    <w:rsid w:val="00AB738A"/>
    <w:rsid w:val="00AB7476"/>
    <w:rsid w:val="00AB7869"/>
    <w:rsid w:val="00AC026E"/>
    <w:rsid w:val="00AC0392"/>
    <w:rsid w:val="00AC07F3"/>
    <w:rsid w:val="00AC0AFF"/>
    <w:rsid w:val="00AC140C"/>
    <w:rsid w:val="00AC140E"/>
    <w:rsid w:val="00AC1567"/>
    <w:rsid w:val="00AC19AD"/>
    <w:rsid w:val="00AC229F"/>
    <w:rsid w:val="00AC252A"/>
    <w:rsid w:val="00AC25C5"/>
    <w:rsid w:val="00AC2E24"/>
    <w:rsid w:val="00AC32AB"/>
    <w:rsid w:val="00AC32E8"/>
    <w:rsid w:val="00AC3FC0"/>
    <w:rsid w:val="00AC426C"/>
    <w:rsid w:val="00AC43CC"/>
    <w:rsid w:val="00AC4B85"/>
    <w:rsid w:val="00AC53A9"/>
    <w:rsid w:val="00AC5417"/>
    <w:rsid w:val="00AC5A5C"/>
    <w:rsid w:val="00AC5EA5"/>
    <w:rsid w:val="00AC60CA"/>
    <w:rsid w:val="00AC6351"/>
    <w:rsid w:val="00AC6D51"/>
    <w:rsid w:val="00AC6F58"/>
    <w:rsid w:val="00AC7A58"/>
    <w:rsid w:val="00AC7B00"/>
    <w:rsid w:val="00AC7C07"/>
    <w:rsid w:val="00AC7DF7"/>
    <w:rsid w:val="00AC7E86"/>
    <w:rsid w:val="00AC7F0A"/>
    <w:rsid w:val="00AD0614"/>
    <w:rsid w:val="00AD0FB6"/>
    <w:rsid w:val="00AD1D27"/>
    <w:rsid w:val="00AD2016"/>
    <w:rsid w:val="00AD2569"/>
    <w:rsid w:val="00AD3070"/>
    <w:rsid w:val="00AD3627"/>
    <w:rsid w:val="00AD3774"/>
    <w:rsid w:val="00AD3E47"/>
    <w:rsid w:val="00AD42E0"/>
    <w:rsid w:val="00AD4A0A"/>
    <w:rsid w:val="00AD4C32"/>
    <w:rsid w:val="00AD4D54"/>
    <w:rsid w:val="00AD4E7C"/>
    <w:rsid w:val="00AD4ED8"/>
    <w:rsid w:val="00AD575C"/>
    <w:rsid w:val="00AD592D"/>
    <w:rsid w:val="00AD718F"/>
    <w:rsid w:val="00AD7671"/>
    <w:rsid w:val="00AD7D1E"/>
    <w:rsid w:val="00AD7D7B"/>
    <w:rsid w:val="00AD7DA7"/>
    <w:rsid w:val="00AE05E6"/>
    <w:rsid w:val="00AE0B30"/>
    <w:rsid w:val="00AE1109"/>
    <w:rsid w:val="00AE14A2"/>
    <w:rsid w:val="00AE1966"/>
    <w:rsid w:val="00AE1F28"/>
    <w:rsid w:val="00AE1F75"/>
    <w:rsid w:val="00AE232C"/>
    <w:rsid w:val="00AE23C9"/>
    <w:rsid w:val="00AE2997"/>
    <w:rsid w:val="00AE2A21"/>
    <w:rsid w:val="00AE2CF7"/>
    <w:rsid w:val="00AE2D0C"/>
    <w:rsid w:val="00AE365B"/>
    <w:rsid w:val="00AE3939"/>
    <w:rsid w:val="00AE3D8F"/>
    <w:rsid w:val="00AE4119"/>
    <w:rsid w:val="00AE424D"/>
    <w:rsid w:val="00AE4AAF"/>
    <w:rsid w:val="00AE4EFA"/>
    <w:rsid w:val="00AE53E8"/>
    <w:rsid w:val="00AE5CF6"/>
    <w:rsid w:val="00AE5E09"/>
    <w:rsid w:val="00AE60CB"/>
    <w:rsid w:val="00AE639B"/>
    <w:rsid w:val="00AE6AF7"/>
    <w:rsid w:val="00AE6FE4"/>
    <w:rsid w:val="00AE781F"/>
    <w:rsid w:val="00AE7916"/>
    <w:rsid w:val="00AE7941"/>
    <w:rsid w:val="00AF048D"/>
    <w:rsid w:val="00AF102F"/>
    <w:rsid w:val="00AF1242"/>
    <w:rsid w:val="00AF138F"/>
    <w:rsid w:val="00AF13A6"/>
    <w:rsid w:val="00AF13F9"/>
    <w:rsid w:val="00AF1D2D"/>
    <w:rsid w:val="00AF1D5C"/>
    <w:rsid w:val="00AF2059"/>
    <w:rsid w:val="00AF2186"/>
    <w:rsid w:val="00AF25EC"/>
    <w:rsid w:val="00AF2F5F"/>
    <w:rsid w:val="00AF316C"/>
    <w:rsid w:val="00AF342D"/>
    <w:rsid w:val="00AF3769"/>
    <w:rsid w:val="00AF3941"/>
    <w:rsid w:val="00AF3AF2"/>
    <w:rsid w:val="00AF3D73"/>
    <w:rsid w:val="00AF3D84"/>
    <w:rsid w:val="00AF3F29"/>
    <w:rsid w:val="00AF4161"/>
    <w:rsid w:val="00AF45BD"/>
    <w:rsid w:val="00AF464F"/>
    <w:rsid w:val="00AF5044"/>
    <w:rsid w:val="00AF580B"/>
    <w:rsid w:val="00AF5E7E"/>
    <w:rsid w:val="00AF67F9"/>
    <w:rsid w:val="00AF6B5A"/>
    <w:rsid w:val="00AF6EB0"/>
    <w:rsid w:val="00AF6F6A"/>
    <w:rsid w:val="00AF70B9"/>
    <w:rsid w:val="00AF76EA"/>
    <w:rsid w:val="00AF77A6"/>
    <w:rsid w:val="00AF7ACC"/>
    <w:rsid w:val="00B00628"/>
    <w:rsid w:val="00B007C8"/>
    <w:rsid w:val="00B008AA"/>
    <w:rsid w:val="00B00A4D"/>
    <w:rsid w:val="00B00AAF"/>
    <w:rsid w:val="00B01442"/>
    <w:rsid w:val="00B015AA"/>
    <w:rsid w:val="00B02546"/>
    <w:rsid w:val="00B02B4D"/>
    <w:rsid w:val="00B02E2D"/>
    <w:rsid w:val="00B03205"/>
    <w:rsid w:val="00B03533"/>
    <w:rsid w:val="00B04059"/>
    <w:rsid w:val="00B04296"/>
    <w:rsid w:val="00B046FA"/>
    <w:rsid w:val="00B047B2"/>
    <w:rsid w:val="00B04999"/>
    <w:rsid w:val="00B04C3B"/>
    <w:rsid w:val="00B04CB5"/>
    <w:rsid w:val="00B04CE6"/>
    <w:rsid w:val="00B057A6"/>
    <w:rsid w:val="00B05F2D"/>
    <w:rsid w:val="00B060BD"/>
    <w:rsid w:val="00B0610A"/>
    <w:rsid w:val="00B0621E"/>
    <w:rsid w:val="00B06268"/>
    <w:rsid w:val="00B06602"/>
    <w:rsid w:val="00B07032"/>
    <w:rsid w:val="00B07883"/>
    <w:rsid w:val="00B07A4C"/>
    <w:rsid w:val="00B1036E"/>
    <w:rsid w:val="00B10413"/>
    <w:rsid w:val="00B108BF"/>
    <w:rsid w:val="00B10A8F"/>
    <w:rsid w:val="00B10B6D"/>
    <w:rsid w:val="00B10FC2"/>
    <w:rsid w:val="00B11042"/>
    <w:rsid w:val="00B11834"/>
    <w:rsid w:val="00B1224D"/>
    <w:rsid w:val="00B122CA"/>
    <w:rsid w:val="00B126AC"/>
    <w:rsid w:val="00B12700"/>
    <w:rsid w:val="00B136E9"/>
    <w:rsid w:val="00B138D3"/>
    <w:rsid w:val="00B14410"/>
    <w:rsid w:val="00B14699"/>
    <w:rsid w:val="00B14778"/>
    <w:rsid w:val="00B14C1B"/>
    <w:rsid w:val="00B15803"/>
    <w:rsid w:val="00B15A26"/>
    <w:rsid w:val="00B15A93"/>
    <w:rsid w:val="00B15E61"/>
    <w:rsid w:val="00B1628B"/>
    <w:rsid w:val="00B16478"/>
    <w:rsid w:val="00B169E9"/>
    <w:rsid w:val="00B16A66"/>
    <w:rsid w:val="00B16ACC"/>
    <w:rsid w:val="00B17D1B"/>
    <w:rsid w:val="00B205C2"/>
    <w:rsid w:val="00B209A1"/>
    <w:rsid w:val="00B20EE6"/>
    <w:rsid w:val="00B20F1F"/>
    <w:rsid w:val="00B217B7"/>
    <w:rsid w:val="00B21854"/>
    <w:rsid w:val="00B22B07"/>
    <w:rsid w:val="00B22EF8"/>
    <w:rsid w:val="00B24245"/>
    <w:rsid w:val="00B2484B"/>
    <w:rsid w:val="00B2485C"/>
    <w:rsid w:val="00B24954"/>
    <w:rsid w:val="00B24F15"/>
    <w:rsid w:val="00B24F35"/>
    <w:rsid w:val="00B25C01"/>
    <w:rsid w:val="00B25C80"/>
    <w:rsid w:val="00B25D3F"/>
    <w:rsid w:val="00B26207"/>
    <w:rsid w:val="00B26488"/>
    <w:rsid w:val="00B270E4"/>
    <w:rsid w:val="00B273BB"/>
    <w:rsid w:val="00B27CED"/>
    <w:rsid w:val="00B27D46"/>
    <w:rsid w:val="00B27F20"/>
    <w:rsid w:val="00B3024D"/>
    <w:rsid w:val="00B30CAE"/>
    <w:rsid w:val="00B30D7B"/>
    <w:rsid w:val="00B31AA4"/>
    <w:rsid w:val="00B31BA6"/>
    <w:rsid w:val="00B31E6C"/>
    <w:rsid w:val="00B321F6"/>
    <w:rsid w:val="00B32219"/>
    <w:rsid w:val="00B32C88"/>
    <w:rsid w:val="00B32EE1"/>
    <w:rsid w:val="00B33080"/>
    <w:rsid w:val="00B33F2E"/>
    <w:rsid w:val="00B34249"/>
    <w:rsid w:val="00B34747"/>
    <w:rsid w:val="00B347DB"/>
    <w:rsid w:val="00B35047"/>
    <w:rsid w:val="00B35996"/>
    <w:rsid w:val="00B35D07"/>
    <w:rsid w:val="00B35D2B"/>
    <w:rsid w:val="00B36180"/>
    <w:rsid w:val="00B36369"/>
    <w:rsid w:val="00B36F77"/>
    <w:rsid w:val="00B3714B"/>
    <w:rsid w:val="00B37848"/>
    <w:rsid w:val="00B37B0D"/>
    <w:rsid w:val="00B37D93"/>
    <w:rsid w:val="00B37FAD"/>
    <w:rsid w:val="00B409AE"/>
    <w:rsid w:val="00B42246"/>
    <w:rsid w:val="00B4256D"/>
    <w:rsid w:val="00B42AB7"/>
    <w:rsid w:val="00B42CBA"/>
    <w:rsid w:val="00B42E49"/>
    <w:rsid w:val="00B431DC"/>
    <w:rsid w:val="00B432CC"/>
    <w:rsid w:val="00B438D2"/>
    <w:rsid w:val="00B43F89"/>
    <w:rsid w:val="00B444D7"/>
    <w:rsid w:val="00B44D0B"/>
    <w:rsid w:val="00B45128"/>
    <w:rsid w:val="00B4557C"/>
    <w:rsid w:val="00B45BB6"/>
    <w:rsid w:val="00B45F40"/>
    <w:rsid w:val="00B46895"/>
    <w:rsid w:val="00B4698F"/>
    <w:rsid w:val="00B4716E"/>
    <w:rsid w:val="00B471A0"/>
    <w:rsid w:val="00B471A5"/>
    <w:rsid w:val="00B50903"/>
    <w:rsid w:val="00B5099F"/>
    <w:rsid w:val="00B509C2"/>
    <w:rsid w:val="00B50A30"/>
    <w:rsid w:val="00B50C75"/>
    <w:rsid w:val="00B51241"/>
    <w:rsid w:val="00B513E2"/>
    <w:rsid w:val="00B5150D"/>
    <w:rsid w:val="00B518A0"/>
    <w:rsid w:val="00B51943"/>
    <w:rsid w:val="00B51AF0"/>
    <w:rsid w:val="00B51C70"/>
    <w:rsid w:val="00B51C71"/>
    <w:rsid w:val="00B522C8"/>
    <w:rsid w:val="00B523BA"/>
    <w:rsid w:val="00B52998"/>
    <w:rsid w:val="00B52FDF"/>
    <w:rsid w:val="00B5314E"/>
    <w:rsid w:val="00B53666"/>
    <w:rsid w:val="00B548B1"/>
    <w:rsid w:val="00B54CB1"/>
    <w:rsid w:val="00B557D8"/>
    <w:rsid w:val="00B55B0E"/>
    <w:rsid w:val="00B5662D"/>
    <w:rsid w:val="00B574B6"/>
    <w:rsid w:val="00B57A25"/>
    <w:rsid w:val="00B60104"/>
    <w:rsid w:val="00B60A2D"/>
    <w:rsid w:val="00B60BDA"/>
    <w:rsid w:val="00B60ECE"/>
    <w:rsid w:val="00B61D9F"/>
    <w:rsid w:val="00B6233F"/>
    <w:rsid w:val="00B62F8C"/>
    <w:rsid w:val="00B62FFE"/>
    <w:rsid w:val="00B63BD4"/>
    <w:rsid w:val="00B641CB"/>
    <w:rsid w:val="00B642AB"/>
    <w:rsid w:val="00B646F3"/>
    <w:rsid w:val="00B64821"/>
    <w:rsid w:val="00B65013"/>
    <w:rsid w:val="00B650FE"/>
    <w:rsid w:val="00B6525C"/>
    <w:rsid w:val="00B65643"/>
    <w:rsid w:val="00B65B26"/>
    <w:rsid w:val="00B66928"/>
    <w:rsid w:val="00B66F3E"/>
    <w:rsid w:val="00B66F41"/>
    <w:rsid w:val="00B671D3"/>
    <w:rsid w:val="00B700AC"/>
    <w:rsid w:val="00B7012C"/>
    <w:rsid w:val="00B708B9"/>
    <w:rsid w:val="00B70998"/>
    <w:rsid w:val="00B709A6"/>
    <w:rsid w:val="00B7123A"/>
    <w:rsid w:val="00B71346"/>
    <w:rsid w:val="00B71C21"/>
    <w:rsid w:val="00B71EDD"/>
    <w:rsid w:val="00B71EFD"/>
    <w:rsid w:val="00B72540"/>
    <w:rsid w:val="00B72AC4"/>
    <w:rsid w:val="00B72B94"/>
    <w:rsid w:val="00B72C48"/>
    <w:rsid w:val="00B739B9"/>
    <w:rsid w:val="00B74019"/>
    <w:rsid w:val="00B7435C"/>
    <w:rsid w:val="00B74477"/>
    <w:rsid w:val="00B748C1"/>
    <w:rsid w:val="00B74C1A"/>
    <w:rsid w:val="00B75493"/>
    <w:rsid w:val="00B75A6A"/>
    <w:rsid w:val="00B75C90"/>
    <w:rsid w:val="00B75EA2"/>
    <w:rsid w:val="00B7651F"/>
    <w:rsid w:val="00B76666"/>
    <w:rsid w:val="00B76F38"/>
    <w:rsid w:val="00B7753D"/>
    <w:rsid w:val="00B77633"/>
    <w:rsid w:val="00B77894"/>
    <w:rsid w:val="00B77D0E"/>
    <w:rsid w:val="00B8002A"/>
    <w:rsid w:val="00B8002F"/>
    <w:rsid w:val="00B803EA"/>
    <w:rsid w:val="00B8085D"/>
    <w:rsid w:val="00B80B24"/>
    <w:rsid w:val="00B80DF8"/>
    <w:rsid w:val="00B81482"/>
    <w:rsid w:val="00B814D7"/>
    <w:rsid w:val="00B81668"/>
    <w:rsid w:val="00B81A63"/>
    <w:rsid w:val="00B81A89"/>
    <w:rsid w:val="00B81EFF"/>
    <w:rsid w:val="00B8228E"/>
    <w:rsid w:val="00B82528"/>
    <w:rsid w:val="00B825BF"/>
    <w:rsid w:val="00B82623"/>
    <w:rsid w:val="00B82B9A"/>
    <w:rsid w:val="00B83198"/>
    <w:rsid w:val="00B831BA"/>
    <w:rsid w:val="00B836BB"/>
    <w:rsid w:val="00B83B87"/>
    <w:rsid w:val="00B83BDB"/>
    <w:rsid w:val="00B83C2D"/>
    <w:rsid w:val="00B83D77"/>
    <w:rsid w:val="00B83F8C"/>
    <w:rsid w:val="00B84033"/>
    <w:rsid w:val="00B84122"/>
    <w:rsid w:val="00B84E59"/>
    <w:rsid w:val="00B85E73"/>
    <w:rsid w:val="00B8610E"/>
    <w:rsid w:val="00B86274"/>
    <w:rsid w:val="00B862B0"/>
    <w:rsid w:val="00B86379"/>
    <w:rsid w:val="00B864FB"/>
    <w:rsid w:val="00B86939"/>
    <w:rsid w:val="00B86CD0"/>
    <w:rsid w:val="00B870D6"/>
    <w:rsid w:val="00B87198"/>
    <w:rsid w:val="00B87784"/>
    <w:rsid w:val="00B90AB6"/>
    <w:rsid w:val="00B90B94"/>
    <w:rsid w:val="00B90C65"/>
    <w:rsid w:val="00B90EBD"/>
    <w:rsid w:val="00B91D05"/>
    <w:rsid w:val="00B92043"/>
    <w:rsid w:val="00B9220C"/>
    <w:rsid w:val="00B92C62"/>
    <w:rsid w:val="00B92F80"/>
    <w:rsid w:val="00B931D1"/>
    <w:rsid w:val="00B932C1"/>
    <w:rsid w:val="00B93314"/>
    <w:rsid w:val="00B93D79"/>
    <w:rsid w:val="00B93EF6"/>
    <w:rsid w:val="00B9441D"/>
    <w:rsid w:val="00B95740"/>
    <w:rsid w:val="00B95AB9"/>
    <w:rsid w:val="00B96105"/>
    <w:rsid w:val="00B96187"/>
    <w:rsid w:val="00B97AFC"/>
    <w:rsid w:val="00B97B23"/>
    <w:rsid w:val="00B97F71"/>
    <w:rsid w:val="00BA0547"/>
    <w:rsid w:val="00BA09C2"/>
    <w:rsid w:val="00BA0A92"/>
    <w:rsid w:val="00BA0B67"/>
    <w:rsid w:val="00BA0CBF"/>
    <w:rsid w:val="00BA10BA"/>
    <w:rsid w:val="00BA1908"/>
    <w:rsid w:val="00BA214F"/>
    <w:rsid w:val="00BA2452"/>
    <w:rsid w:val="00BA2946"/>
    <w:rsid w:val="00BA2B7C"/>
    <w:rsid w:val="00BA335B"/>
    <w:rsid w:val="00BA34A6"/>
    <w:rsid w:val="00BA3629"/>
    <w:rsid w:val="00BA3B07"/>
    <w:rsid w:val="00BA3DFA"/>
    <w:rsid w:val="00BA44B0"/>
    <w:rsid w:val="00BA4775"/>
    <w:rsid w:val="00BA4A20"/>
    <w:rsid w:val="00BA53CB"/>
    <w:rsid w:val="00BA5600"/>
    <w:rsid w:val="00BA5CFF"/>
    <w:rsid w:val="00BA5F17"/>
    <w:rsid w:val="00BA6968"/>
    <w:rsid w:val="00BA7867"/>
    <w:rsid w:val="00BA79C8"/>
    <w:rsid w:val="00BA7D36"/>
    <w:rsid w:val="00BA7FB3"/>
    <w:rsid w:val="00BA7FE3"/>
    <w:rsid w:val="00BB0549"/>
    <w:rsid w:val="00BB07B4"/>
    <w:rsid w:val="00BB0A31"/>
    <w:rsid w:val="00BB0A76"/>
    <w:rsid w:val="00BB0B0C"/>
    <w:rsid w:val="00BB0CAF"/>
    <w:rsid w:val="00BB0DAC"/>
    <w:rsid w:val="00BB1089"/>
    <w:rsid w:val="00BB1149"/>
    <w:rsid w:val="00BB127D"/>
    <w:rsid w:val="00BB142A"/>
    <w:rsid w:val="00BB2262"/>
    <w:rsid w:val="00BB2334"/>
    <w:rsid w:val="00BB29A4"/>
    <w:rsid w:val="00BB2A78"/>
    <w:rsid w:val="00BB2E12"/>
    <w:rsid w:val="00BB2E23"/>
    <w:rsid w:val="00BB2F69"/>
    <w:rsid w:val="00BB30CF"/>
    <w:rsid w:val="00BB3469"/>
    <w:rsid w:val="00BB34B9"/>
    <w:rsid w:val="00BB35C2"/>
    <w:rsid w:val="00BB3743"/>
    <w:rsid w:val="00BB383B"/>
    <w:rsid w:val="00BB3987"/>
    <w:rsid w:val="00BB3989"/>
    <w:rsid w:val="00BB4146"/>
    <w:rsid w:val="00BB42AB"/>
    <w:rsid w:val="00BB46FF"/>
    <w:rsid w:val="00BB476E"/>
    <w:rsid w:val="00BB4841"/>
    <w:rsid w:val="00BB4DA3"/>
    <w:rsid w:val="00BB548B"/>
    <w:rsid w:val="00BB553B"/>
    <w:rsid w:val="00BB5606"/>
    <w:rsid w:val="00BB5607"/>
    <w:rsid w:val="00BB57AC"/>
    <w:rsid w:val="00BB5CAC"/>
    <w:rsid w:val="00BB5CDF"/>
    <w:rsid w:val="00BB5D9C"/>
    <w:rsid w:val="00BB6078"/>
    <w:rsid w:val="00BB6120"/>
    <w:rsid w:val="00BB7180"/>
    <w:rsid w:val="00BB71AB"/>
    <w:rsid w:val="00BB74C6"/>
    <w:rsid w:val="00BB79EE"/>
    <w:rsid w:val="00BB7FD6"/>
    <w:rsid w:val="00BC00B6"/>
    <w:rsid w:val="00BC0860"/>
    <w:rsid w:val="00BC0913"/>
    <w:rsid w:val="00BC0B83"/>
    <w:rsid w:val="00BC0C0C"/>
    <w:rsid w:val="00BC12B7"/>
    <w:rsid w:val="00BC1A8B"/>
    <w:rsid w:val="00BC1B66"/>
    <w:rsid w:val="00BC1EBE"/>
    <w:rsid w:val="00BC20EB"/>
    <w:rsid w:val="00BC28D7"/>
    <w:rsid w:val="00BC376C"/>
    <w:rsid w:val="00BC3849"/>
    <w:rsid w:val="00BC3DF0"/>
    <w:rsid w:val="00BC4B0A"/>
    <w:rsid w:val="00BC4EA5"/>
    <w:rsid w:val="00BC4F7A"/>
    <w:rsid w:val="00BC55C3"/>
    <w:rsid w:val="00BC5711"/>
    <w:rsid w:val="00BC5EBC"/>
    <w:rsid w:val="00BC6321"/>
    <w:rsid w:val="00BC7817"/>
    <w:rsid w:val="00BC7DBF"/>
    <w:rsid w:val="00BC7E51"/>
    <w:rsid w:val="00BD030E"/>
    <w:rsid w:val="00BD055E"/>
    <w:rsid w:val="00BD09B2"/>
    <w:rsid w:val="00BD0D79"/>
    <w:rsid w:val="00BD13EA"/>
    <w:rsid w:val="00BD19C5"/>
    <w:rsid w:val="00BD222E"/>
    <w:rsid w:val="00BD2275"/>
    <w:rsid w:val="00BD2676"/>
    <w:rsid w:val="00BD3001"/>
    <w:rsid w:val="00BD371B"/>
    <w:rsid w:val="00BD3819"/>
    <w:rsid w:val="00BD3BF0"/>
    <w:rsid w:val="00BD3D6B"/>
    <w:rsid w:val="00BD3D93"/>
    <w:rsid w:val="00BD4158"/>
    <w:rsid w:val="00BD45EB"/>
    <w:rsid w:val="00BD486F"/>
    <w:rsid w:val="00BD4E9F"/>
    <w:rsid w:val="00BD5272"/>
    <w:rsid w:val="00BD5766"/>
    <w:rsid w:val="00BD6173"/>
    <w:rsid w:val="00BD62C5"/>
    <w:rsid w:val="00BD642D"/>
    <w:rsid w:val="00BD6988"/>
    <w:rsid w:val="00BD6A68"/>
    <w:rsid w:val="00BD6BFF"/>
    <w:rsid w:val="00BD6DA3"/>
    <w:rsid w:val="00BD725D"/>
    <w:rsid w:val="00BD7474"/>
    <w:rsid w:val="00BE0190"/>
    <w:rsid w:val="00BE08DC"/>
    <w:rsid w:val="00BE0C60"/>
    <w:rsid w:val="00BE0D80"/>
    <w:rsid w:val="00BE1433"/>
    <w:rsid w:val="00BE1484"/>
    <w:rsid w:val="00BE19F0"/>
    <w:rsid w:val="00BE1A77"/>
    <w:rsid w:val="00BE1DF8"/>
    <w:rsid w:val="00BE21D3"/>
    <w:rsid w:val="00BE2911"/>
    <w:rsid w:val="00BE2C0B"/>
    <w:rsid w:val="00BE2DD1"/>
    <w:rsid w:val="00BE39E2"/>
    <w:rsid w:val="00BE3BC2"/>
    <w:rsid w:val="00BE4742"/>
    <w:rsid w:val="00BE66DA"/>
    <w:rsid w:val="00BE6772"/>
    <w:rsid w:val="00BE6F61"/>
    <w:rsid w:val="00BE7383"/>
    <w:rsid w:val="00BE754D"/>
    <w:rsid w:val="00BE7574"/>
    <w:rsid w:val="00BE76A9"/>
    <w:rsid w:val="00BE78D6"/>
    <w:rsid w:val="00BE7C1E"/>
    <w:rsid w:val="00BF0945"/>
    <w:rsid w:val="00BF124B"/>
    <w:rsid w:val="00BF1DB9"/>
    <w:rsid w:val="00BF1E3B"/>
    <w:rsid w:val="00BF2273"/>
    <w:rsid w:val="00BF3207"/>
    <w:rsid w:val="00BF3213"/>
    <w:rsid w:val="00BF360D"/>
    <w:rsid w:val="00BF3782"/>
    <w:rsid w:val="00BF47D8"/>
    <w:rsid w:val="00BF51AB"/>
    <w:rsid w:val="00BF549C"/>
    <w:rsid w:val="00BF555B"/>
    <w:rsid w:val="00BF5588"/>
    <w:rsid w:val="00BF5ABB"/>
    <w:rsid w:val="00BF5C0B"/>
    <w:rsid w:val="00BF5EF6"/>
    <w:rsid w:val="00BF6D10"/>
    <w:rsid w:val="00BF6E79"/>
    <w:rsid w:val="00BF742C"/>
    <w:rsid w:val="00BF7495"/>
    <w:rsid w:val="00BF751B"/>
    <w:rsid w:val="00BF7592"/>
    <w:rsid w:val="00BF7627"/>
    <w:rsid w:val="00C00113"/>
    <w:rsid w:val="00C002BB"/>
    <w:rsid w:val="00C002FE"/>
    <w:rsid w:val="00C00DA3"/>
    <w:rsid w:val="00C0116B"/>
    <w:rsid w:val="00C014EC"/>
    <w:rsid w:val="00C0174D"/>
    <w:rsid w:val="00C019B2"/>
    <w:rsid w:val="00C019E1"/>
    <w:rsid w:val="00C0222F"/>
    <w:rsid w:val="00C022C3"/>
    <w:rsid w:val="00C0253F"/>
    <w:rsid w:val="00C02592"/>
    <w:rsid w:val="00C02F5E"/>
    <w:rsid w:val="00C03251"/>
    <w:rsid w:val="00C03C4F"/>
    <w:rsid w:val="00C03F6C"/>
    <w:rsid w:val="00C04F1B"/>
    <w:rsid w:val="00C05472"/>
    <w:rsid w:val="00C0606E"/>
    <w:rsid w:val="00C06275"/>
    <w:rsid w:val="00C06385"/>
    <w:rsid w:val="00C0737F"/>
    <w:rsid w:val="00C074E6"/>
    <w:rsid w:val="00C07564"/>
    <w:rsid w:val="00C1033B"/>
    <w:rsid w:val="00C105B5"/>
    <w:rsid w:val="00C1091D"/>
    <w:rsid w:val="00C10BDA"/>
    <w:rsid w:val="00C11253"/>
    <w:rsid w:val="00C12108"/>
    <w:rsid w:val="00C121D9"/>
    <w:rsid w:val="00C12516"/>
    <w:rsid w:val="00C1292D"/>
    <w:rsid w:val="00C12AFC"/>
    <w:rsid w:val="00C12D5F"/>
    <w:rsid w:val="00C12E14"/>
    <w:rsid w:val="00C12E70"/>
    <w:rsid w:val="00C1336F"/>
    <w:rsid w:val="00C13453"/>
    <w:rsid w:val="00C13CBB"/>
    <w:rsid w:val="00C13F24"/>
    <w:rsid w:val="00C1468F"/>
    <w:rsid w:val="00C152AD"/>
    <w:rsid w:val="00C154C0"/>
    <w:rsid w:val="00C1550C"/>
    <w:rsid w:val="00C159DF"/>
    <w:rsid w:val="00C15A33"/>
    <w:rsid w:val="00C15BDB"/>
    <w:rsid w:val="00C15C0D"/>
    <w:rsid w:val="00C161F0"/>
    <w:rsid w:val="00C16225"/>
    <w:rsid w:val="00C1646A"/>
    <w:rsid w:val="00C16908"/>
    <w:rsid w:val="00C173CD"/>
    <w:rsid w:val="00C17664"/>
    <w:rsid w:val="00C2037D"/>
    <w:rsid w:val="00C20471"/>
    <w:rsid w:val="00C2085E"/>
    <w:rsid w:val="00C20BA7"/>
    <w:rsid w:val="00C20F03"/>
    <w:rsid w:val="00C21AB3"/>
    <w:rsid w:val="00C21DB7"/>
    <w:rsid w:val="00C220F9"/>
    <w:rsid w:val="00C2223B"/>
    <w:rsid w:val="00C22424"/>
    <w:rsid w:val="00C22597"/>
    <w:rsid w:val="00C22B74"/>
    <w:rsid w:val="00C22F2F"/>
    <w:rsid w:val="00C23026"/>
    <w:rsid w:val="00C23207"/>
    <w:rsid w:val="00C237E7"/>
    <w:rsid w:val="00C23A05"/>
    <w:rsid w:val="00C23C30"/>
    <w:rsid w:val="00C23CFC"/>
    <w:rsid w:val="00C2428E"/>
    <w:rsid w:val="00C2487E"/>
    <w:rsid w:val="00C2541C"/>
    <w:rsid w:val="00C2590F"/>
    <w:rsid w:val="00C25D63"/>
    <w:rsid w:val="00C261B6"/>
    <w:rsid w:val="00C26290"/>
    <w:rsid w:val="00C26676"/>
    <w:rsid w:val="00C267D0"/>
    <w:rsid w:val="00C26862"/>
    <w:rsid w:val="00C26C97"/>
    <w:rsid w:val="00C271EB"/>
    <w:rsid w:val="00C2757D"/>
    <w:rsid w:val="00C2787E"/>
    <w:rsid w:val="00C27BF9"/>
    <w:rsid w:val="00C27C21"/>
    <w:rsid w:val="00C30458"/>
    <w:rsid w:val="00C306EA"/>
    <w:rsid w:val="00C30833"/>
    <w:rsid w:val="00C309D0"/>
    <w:rsid w:val="00C313E0"/>
    <w:rsid w:val="00C3148F"/>
    <w:rsid w:val="00C31DA6"/>
    <w:rsid w:val="00C323D0"/>
    <w:rsid w:val="00C325E6"/>
    <w:rsid w:val="00C327F7"/>
    <w:rsid w:val="00C3285F"/>
    <w:rsid w:val="00C32AE9"/>
    <w:rsid w:val="00C3306F"/>
    <w:rsid w:val="00C33260"/>
    <w:rsid w:val="00C33612"/>
    <w:rsid w:val="00C34064"/>
    <w:rsid w:val="00C3546B"/>
    <w:rsid w:val="00C36765"/>
    <w:rsid w:val="00C36803"/>
    <w:rsid w:val="00C37964"/>
    <w:rsid w:val="00C40385"/>
    <w:rsid w:val="00C40D0B"/>
    <w:rsid w:val="00C410A7"/>
    <w:rsid w:val="00C414B6"/>
    <w:rsid w:val="00C41750"/>
    <w:rsid w:val="00C41EA9"/>
    <w:rsid w:val="00C41FF5"/>
    <w:rsid w:val="00C42403"/>
    <w:rsid w:val="00C42E31"/>
    <w:rsid w:val="00C43DB0"/>
    <w:rsid w:val="00C43EAF"/>
    <w:rsid w:val="00C44416"/>
    <w:rsid w:val="00C44543"/>
    <w:rsid w:val="00C446C5"/>
    <w:rsid w:val="00C44CC1"/>
    <w:rsid w:val="00C4598F"/>
    <w:rsid w:val="00C459C4"/>
    <w:rsid w:val="00C45AD3"/>
    <w:rsid w:val="00C45CA6"/>
    <w:rsid w:val="00C45D0B"/>
    <w:rsid w:val="00C46043"/>
    <w:rsid w:val="00C46549"/>
    <w:rsid w:val="00C46740"/>
    <w:rsid w:val="00C46A92"/>
    <w:rsid w:val="00C47334"/>
    <w:rsid w:val="00C50360"/>
    <w:rsid w:val="00C50620"/>
    <w:rsid w:val="00C50C25"/>
    <w:rsid w:val="00C51070"/>
    <w:rsid w:val="00C5125D"/>
    <w:rsid w:val="00C512D6"/>
    <w:rsid w:val="00C51347"/>
    <w:rsid w:val="00C51AD5"/>
    <w:rsid w:val="00C52403"/>
    <w:rsid w:val="00C524A4"/>
    <w:rsid w:val="00C528B2"/>
    <w:rsid w:val="00C52A1A"/>
    <w:rsid w:val="00C531BE"/>
    <w:rsid w:val="00C533D9"/>
    <w:rsid w:val="00C5363C"/>
    <w:rsid w:val="00C5446A"/>
    <w:rsid w:val="00C54E12"/>
    <w:rsid w:val="00C54F2E"/>
    <w:rsid w:val="00C552ED"/>
    <w:rsid w:val="00C553F6"/>
    <w:rsid w:val="00C55468"/>
    <w:rsid w:val="00C557DA"/>
    <w:rsid w:val="00C55A6D"/>
    <w:rsid w:val="00C565E1"/>
    <w:rsid w:val="00C567D3"/>
    <w:rsid w:val="00C573B2"/>
    <w:rsid w:val="00C5742C"/>
    <w:rsid w:val="00C57D6A"/>
    <w:rsid w:val="00C60394"/>
    <w:rsid w:val="00C60532"/>
    <w:rsid w:val="00C60C53"/>
    <w:rsid w:val="00C60E5E"/>
    <w:rsid w:val="00C6131E"/>
    <w:rsid w:val="00C613C5"/>
    <w:rsid w:val="00C615F8"/>
    <w:rsid w:val="00C618F4"/>
    <w:rsid w:val="00C619A6"/>
    <w:rsid w:val="00C622C3"/>
    <w:rsid w:val="00C624FB"/>
    <w:rsid w:val="00C625F8"/>
    <w:rsid w:val="00C62A99"/>
    <w:rsid w:val="00C6312F"/>
    <w:rsid w:val="00C6370F"/>
    <w:rsid w:val="00C63BD5"/>
    <w:rsid w:val="00C6512D"/>
    <w:rsid w:val="00C65307"/>
    <w:rsid w:val="00C6586C"/>
    <w:rsid w:val="00C65986"/>
    <w:rsid w:val="00C65ABF"/>
    <w:rsid w:val="00C66EAB"/>
    <w:rsid w:val="00C67355"/>
    <w:rsid w:val="00C6776F"/>
    <w:rsid w:val="00C67AF3"/>
    <w:rsid w:val="00C70101"/>
    <w:rsid w:val="00C707D6"/>
    <w:rsid w:val="00C708ED"/>
    <w:rsid w:val="00C70BFF"/>
    <w:rsid w:val="00C70C21"/>
    <w:rsid w:val="00C7170C"/>
    <w:rsid w:val="00C73CB8"/>
    <w:rsid w:val="00C7447F"/>
    <w:rsid w:val="00C745E8"/>
    <w:rsid w:val="00C745F0"/>
    <w:rsid w:val="00C74906"/>
    <w:rsid w:val="00C74B06"/>
    <w:rsid w:val="00C75B20"/>
    <w:rsid w:val="00C75B9A"/>
    <w:rsid w:val="00C7771E"/>
    <w:rsid w:val="00C80248"/>
    <w:rsid w:val="00C80CF7"/>
    <w:rsid w:val="00C81042"/>
    <w:rsid w:val="00C81147"/>
    <w:rsid w:val="00C814C9"/>
    <w:rsid w:val="00C81B40"/>
    <w:rsid w:val="00C81D8F"/>
    <w:rsid w:val="00C81D95"/>
    <w:rsid w:val="00C81EA9"/>
    <w:rsid w:val="00C81FEA"/>
    <w:rsid w:val="00C82637"/>
    <w:rsid w:val="00C82E05"/>
    <w:rsid w:val="00C83969"/>
    <w:rsid w:val="00C8396A"/>
    <w:rsid w:val="00C83994"/>
    <w:rsid w:val="00C839F6"/>
    <w:rsid w:val="00C8467D"/>
    <w:rsid w:val="00C84B58"/>
    <w:rsid w:val="00C84E20"/>
    <w:rsid w:val="00C85234"/>
    <w:rsid w:val="00C85F9C"/>
    <w:rsid w:val="00C86154"/>
    <w:rsid w:val="00C866E5"/>
    <w:rsid w:val="00C86C7D"/>
    <w:rsid w:val="00C86C95"/>
    <w:rsid w:val="00C8719E"/>
    <w:rsid w:val="00C87439"/>
    <w:rsid w:val="00C87517"/>
    <w:rsid w:val="00C875A8"/>
    <w:rsid w:val="00C8791D"/>
    <w:rsid w:val="00C9023B"/>
    <w:rsid w:val="00C90979"/>
    <w:rsid w:val="00C90C09"/>
    <w:rsid w:val="00C910EF"/>
    <w:rsid w:val="00C9253E"/>
    <w:rsid w:val="00C9287B"/>
    <w:rsid w:val="00C932BC"/>
    <w:rsid w:val="00C937D2"/>
    <w:rsid w:val="00C93915"/>
    <w:rsid w:val="00C949BF"/>
    <w:rsid w:val="00C95A0E"/>
    <w:rsid w:val="00C9624F"/>
    <w:rsid w:val="00C96628"/>
    <w:rsid w:val="00C9665D"/>
    <w:rsid w:val="00C96BD5"/>
    <w:rsid w:val="00C97209"/>
    <w:rsid w:val="00C97741"/>
    <w:rsid w:val="00C97847"/>
    <w:rsid w:val="00C97C9C"/>
    <w:rsid w:val="00CA0088"/>
    <w:rsid w:val="00CA02BA"/>
    <w:rsid w:val="00CA05EB"/>
    <w:rsid w:val="00CA0C88"/>
    <w:rsid w:val="00CA2A48"/>
    <w:rsid w:val="00CA3515"/>
    <w:rsid w:val="00CA3535"/>
    <w:rsid w:val="00CA3701"/>
    <w:rsid w:val="00CA3746"/>
    <w:rsid w:val="00CA3755"/>
    <w:rsid w:val="00CA3770"/>
    <w:rsid w:val="00CA3A05"/>
    <w:rsid w:val="00CA3CBF"/>
    <w:rsid w:val="00CA4665"/>
    <w:rsid w:val="00CA46BE"/>
    <w:rsid w:val="00CA4C2F"/>
    <w:rsid w:val="00CA50DE"/>
    <w:rsid w:val="00CA523A"/>
    <w:rsid w:val="00CA5894"/>
    <w:rsid w:val="00CA58EF"/>
    <w:rsid w:val="00CA5E9C"/>
    <w:rsid w:val="00CA62BE"/>
    <w:rsid w:val="00CA6587"/>
    <w:rsid w:val="00CA6898"/>
    <w:rsid w:val="00CA746B"/>
    <w:rsid w:val="00CA75D4"/>
    <w:rsid w:val="00CA76D9"/>
    <w:rsid w:val="00CA7D1D"/>
    <w:rsid w:val="00CA7D61"/>
    <w:rsid w:val="00CB04E2"/>
    <w:rsid w:val="00CB05A0"/>
    <w:rsid w:val="00CB08B2"/>
    <w:rsid w:val="00CB108D"/>
    <w:rsid w:val="00CB11BF"/>
    <w:rsid w:val="00CB14E9"/>
    <w:rsid w:val="00CB1B6A"/>
    <w:rsid w:val="00CB1D83"/>
    <w:rsid w:val="00CB1FCE"/>
    <w:rsid w:val="00CB2909"/>
    <w:rsid w:val="00CB2947"/>
    <w:rsid w:val="00CB29C2"/>
    <w:rsid w:val="00CB2C70"/>
    <w:rsid w:val="00CB3CDE"/>
    <w:rsid w:val="00CB4202"/>
    <w:rsid w:val="00CB4820"/>
    <w:rsid w:val="00CB4B2C"/>
    <w:rsid w:val="00CB4D02"/>
    <w:rsid w:val="00CB4D3A"/>
    <w:rsid w:val="00CB4F70"/>
    <w:rsid w:val="00CB56CD"/>
    <w:rsid w:val="00CB573A"/>
    <w:rsid w:val="00CB60D4"/>
    <w:rsid w:val="00CB63DA"/>
    <w:rsid w:val="00CB68D9"/>
    <w:rsid w:val="00CB6C56"/>
    <w:rsid w:val="00CB6D90"/>
    <w:rsid w:val="00CB6ECC"/>
    <w:rsid w:val="00CB70CD"/>
    <w:rsid w:val="00CB71CB"/>
    <w:rsid w:val="00CB72C3"/>
    <w:rsid w:val="00CB74B5"/>
    <w:rsid w:val="00CB78B7"/>
    <w:rsid w:val="00CC05C8"/>
    <w:rsid w:val="00CC062F"/>
    <w:rsid w:val="00CC0D1E"/>
    <w:rsid w:val="00CC0D27"/>
    <w:rsid w:val="00CC11BE"/>
    <w:rsid w:val="00CC125C"/>
    <w:rsid w:val="00CC184A"/>
    <w:rsid w:val="00CC2163"/>
    <w:rsid w:val="00CC24B4"/>
    <w:rsid w:val="00CC29EB"/>
    <w:rsid w:val="00CC4071"/>
    <w:rsid w:val="00CC43E7"/>
    <w:rsid w:val="00CC45E4"/>
    <w:rsid w:val="00CC4620"/>
    <w:rsid w:val="00CC46E0"/>
    <w:rsid w:val="00CC4BC9"/>
    <w:rsid w:val="00CC5166"/>
    <w:rsid w:val="00CC53C3"/>
    <w:rsid w:val="00CC574E"/>
    <w:rsid w:val="00CC60B7"/>
    <w:rsid w:val="00CC6345"/>
    <w:rsid w:val="00CC67EF"/>
    <w:rsid w:val="00CC6940"/>
    <w:rsid w:val="00CC722A"/>
    <w:rsid w:val="00CC726E"/>
    <w:rsid w:val="00CC77F2"/>
    <w:rsid w:val="00CC78A9"/>
    <w:rsid w:val="00CC791B"/>
    <w:rsid w:val="00CC7A56"/>
    <w:rsid w:val="00CC7D06"/>
    <w:rsid w:val="00CD019F"/>
    <w:rsid w:val="00CD0829"/>
    <w:rsid w:val="00CD0E5B"/>
    <w:rsid w:val="00CD11A5"/>
    <w:rsid w:val="00CD196B"/>
    <w:rsid w:val="00CD1E6D"/>
    <w:rsid w:val="00CD1EE7"/>
    <w:rsid w:val="00CD1EFC"/>
    <w:rsid w:val="00CD2379"/>
    <w:rsid w:val="00CD27C5"/>
    <w:rsid w:val="00CD293A"/>
    <w:rsid w:val="00CD2BC9"/>
    <w:rsid w:val="00CD3510"/>
    <w:rsid w:val="00CD37E9"/>
    <w:rsid w:val="00CD3834"/>
    <w:rsid w:val="00CD39F7"/>
    <w:rsid w:val="00CD4139"/>
    <w:rsid w:val="00CD48E6"/>
    <w:rsid w:val="00CD4F1C"/>
    <w:rsid w:val="00CD4F79"/>
    <w:rsid w:val="00CD525A"/>
    <w:rsid w:val="00CD59B3"/>
    <w:rsid w:val="00CD5ACD"/>
    <w:rsid w:val="00CD5AE5"/>
    <w:rsid w:val="00CD6468"/>
    <w:rsid w:val="00CD6577"/>
    <w:rsid w:val="00CD663A"/>
    <w:rsid w:val="00CD68C4"/>
    <w:rsid w:val="00CD6AA4"/>
    <w:rsid w:val="00CD6BAA"/>
    <w:rsid w:val="00CD72D0"/>
    <w:rsid w:val="00CD78D2"/>
    <w:rsid w:val="00CD7C03"/>
    <w:rsid w:val="00CE0766"/>
    <w:rsid w:val="00CE0CD3"/>
    <w:rsid w:val="00CE14C6"/>
    <w:rsid w:val="00CE18F3"/>
    <w:rsid w:val="00CE1AF5"/>
    <w:rsid w:val="00CE1ED4"/>
    <w:rsid w:val="00CE1F1E"/>
    <w:rsid w:val="00CE28BE"/>
    <w:rsid w:val="00CE313E"/>
    <w:rsid w:val="00CE343B"/>
    <w:rsid w:val="00CE350B"/>
    <w:rsid w:val="00CE35D1"/>
    <w:rsid w:val="00CE4169"/>
    <w:rsid w:val="00CE427F"/>
    <w:rsid w:val="00CE5256"/>
    <w:rsid w:val="00CE5336"/>
    <w:rsid w:val="00CE57A2"/>
    <w:rsid w:val="00CE5C02"/>
    <w:rsid w:val="00CE5D21"/>
    <w:rsid w:val="00CE5D72"/>
    <w:rsid w:val="00CE5DC3"/>
    <w:rsid w:val="00CE6000"/>
    <w:rsid w:val="00CE62C7"/>
    <w:rsid w:val="00CE6334"/>
    <w:rsid w:val="00CE639D"/>
    <w:rsid w:val="00CE6853"/>
    <w:rsid w:val="00CE6B40"/>
    <w:rsid w:val="00CE6EBD"/>
    <w:rsid w:val="00CE73C4"/>
    <w:rsid w:val="00CE7894"/>
    <w:rsid w:val="00CF001D"/>
    <w:rsid w:val="00CF06A1"/>
    <w:rsid w:val="00CF0906"/>
    <w:rsid w:val="00CF1467"/>
    <w:rsid w:val="00CF18E9"/>
    <w:rsid w:val="00CF1B77"/>
    <w:rsid w:val="00CF24F7"/>
    <w:rsid w:val="00CF2645"/>
    <w:rsid w:val="00CF2753"/>
    <w:rsid w:val="00CF3412"/>
    <w:rsid w:val="00CF34EE"/>
    <w:rsid w:val="00CF3532"/>
    <w:rsid w:val="00CF47E6"/>
    <w:rsid w:val="00CF48D6"/>
    <w:rsid w:val="00CF4D85"/>
    <w:rsid w:val="00CF5551"/>
    <w:rsid w:val="00CF5707"/>
    <w:rsid w:val="00CF57C9"/>
    <w:rsid w:val="00CF57D6"/>
    <w:rsid w:val="00CF5C3F"/>
    <w:rsid w:val="00CF6110"/>
    <w:rsid w:val="00CF6356"/>
    <w:rsid w:val="00CF6C1B"/>
    <w:rsid w:val="00CF72E0"/>
    <w:rsid w:val="00CF75AB"/>
    <w:rsid w:val="00CF7E8B"/>
    <w:rsid w:val="00D0004E"/>
    <w:rsid w:val="00D015CB"/>
    <w:rsid w:val="00D019D5"/>
    <w:rsid w:val="00D02182"/>
    <w:rsid w:val="00D02224"/>
    <w:rsid w:val="00D0272C"/>
    <w:rsid w:val="00D0285A"/>
    <w:rsid w:val="00D02EBF"/>
    <w:rsid w:val="00D02FEC"/>
    <w:rsid w:val="00D03C6B"/>
    <w:rsid w:val="00D03D62"/>
    <w:rsid w:val="00D03E5F"/>
    <w:rsid w:val="00D040FE"/>
    <w:rsid w:val="00D0412E"/>
    <w:rsid w:val="00D043C3"/>
    <w:rsid w:val="00D047A2"/>
    <w:rsid w:val="00D047DE"/>
    <w:rsid w:val="00D04962"/>
    <w:rsid w:val="00D04ED4"/>
    <w:rsid w:val="00D05AA7"/>
    <w:rsid w:val="00D05B28"/>
    <w:rsid w:val="00D05FA0"/>
    <w:rsid w:val="00D06377"/>
    <w:rsid w:val="00D063D0"/>
    <w:rsid w:val="00D068CB"/>
    <w:rsid w:val="00D06EC1"/>
    <w:rsid w:val="00D0728A"/>
    <w:rsid w:val="00D07E57"/>
    <w:rsid w:val="00D1012B"/>
    <w:rsid w:val="00D1029C"/>
    <w:rsid w:val="00D104A3"/>
    <w:rsid w:val="00D1115E"/>
    <w:rsid w:val="00D114A0"/>
    <w:rsid w:val="00D118D5"/>
    <w:rsid w:val="00D12CFF"/>
    <w:rsid w:val="00D12D8A"/>
    <w:rsid w:val="00D12DF6"/>
    <w:rsid w:val="00D1322A"/>
    <w:rsid w:val="00D13999"/>
    <w:rsid w:val="00D139F5"/>
    <w:rsid w:val="00D13A70"/>
    <w:rsid w:val="00D14B5C"/>
    <w:rsid w:val="00D14E89"/>
    <w:rsid w:val="00D14EA4"/>
    <w:rsid w:val="00D14FF4"/>
    <w:rsid w:val="00D1544D"/>
    <w:rsid w:val="00D1594E"/>
    <w:rsid w:val="00D159BF"/>
    <w:rsid w:val="00D162E2"/>
    <w:rsid w:val="00D1668F"/>
    <w:rsid w:val="00D167D0"/>
    <w:rsid w:val="00D168BF"/>
    <w:rsid w:val="00D168FD"/>
    <w:rsid w:val="00D16F64"/>
    <w:rsid w:val="00D17052"/>
    <w:rsid w:val="00D174BE"/>
    <w:rsid w:val="00D17A92"/>
    <w:rsid w:val="00D20268"/>
    <w:rsid w:val="00D20664"/>
    <w:rsid w:val="00D207F2"/>
    <w:rsid w:val="00D212EB"/>
    <w:rsid w:val="00D21F17"/>
    <w:rsid w:val="00D22F05"/>
    <w:rsid w:val="00D230A7"/>
    <w:rsid w:val="00D233DE"/>
    <w:rsid w:val="00D23AC3"/>
    <w:rsid w:val="00D23D4C"/>
    <w:rsid w:val="00D23F8E"/>
    <w:rsid w:val="00D246A4"/>
    <w:rsid w:val="00D2472C"/>
    <w:rsid w:val="00D24BE0"/>
    <w:rsid w:val="00D24DF9"/>
    <w:rsid w:val="00D2533B"/>
    <w:rsid w:val="00D25590"/>
    <w:rsid w:val="00D2685A"/>
    <w:rsid w:val="00D268C3"/>
    <w:rsid w:val="00D26C02"/>
    <w:rsid w:val="00D2756A"/>
    <w:rsid w:val="00D279BA"/>
    <w:rsid w:val="00D27EEC"/>
    <w:rsid w:val="00D301F9"/>
    <w:rsid w:val="00D30D7A"/>
    <w:rsid w:val="00D310EC"/>
    <w:rsid w:val="00D311EA"/>
    <w:rsid w:val="00D31835"/>
    <w:rsid w:val="00D31ACE"/>
    <w:rsid w:val="00D31BB1"/>
    <w:rsid w:val="00D31E91"/>
    <w:rsid w:val="00D320D0"/>
    <w:rsid w:val="00D32148"/>
    <w:rsid w:val="00D3217D"/>
    <w:rsid w:val="00D325E1"/>
    <w:rsid w:val="00D3284D"/>
    <w:rsid w:val="00D329F4"/>
    <w:rsid w:val="00D32BD3"/>
    <w:rsid w:val="00D334A4"/>
    <w:rsid w:val="00D334D0"/>
    <w:rsid w:val="00D33BB0"/>
    <w:rsid w:val="00D34303"/>
    <w:rsid w:val="00D34413"/>
    <w:rsid w:val="00D345D3"/>
    <w:rsid w:val="00D34705"/>
    <w:rsid w:val="00D34E7B"/>
    <w:rsid w:val="00D35491"/>
    <w:rsid w:val="00D361BB"/>
    <w:rsid w:val="00D36754"/>
    <w:rsid w:val="00D36FE5"/>
    <w:rsid w:val="00D3729D"/>
    <w:rsid w:val="00D3779A"/>
    <w:rsid w:val="00D37997"/>
    <w:rsid w:val="00D40026"/>
    <w:rsid w:val="00D402C4"/>
    <w:rsid w:val="00D404B5"/>
    <w:rsid w:val="00D40542"/>
    <w:rsid w:val="00D40864"/>
    <w:rsid w:val="00D4206C"/>
    <w:rsid w:val="00D422C4"/>
    <w:rsid w:val="00D423C6"/>
    <w:rsid w:val="00D42C56"/>
    <w:rsid w:val="00D43417"/>
    <w:rsid w:val="00D434DB"/>
    <w:rsid w:val="00D43C27"/>
    <w:rsid w:val="00D43D8B"/>
    <w:rsid w:val="00D43F74"/>
    <w:rsid w:val="00D43FDC"/>
    <w:rsid w:val="00D445B9"/>
    <w:rsid w:val="00D447CB"/>
    <w:rsid w:val="00D44943"/>
    <w:rsid w:val="00D449BA"/>
    <w:rsid w:val="00D4545C"/>
    <w:rsid w:val="00D4636F"/>
    <w:rsid w:val="00D46D2B"/>
    <w:rsid w:val="00D475F4"/>
    <w:rsid w:val="00D4790D"/>
    <w:rsid w:val="00D479A0"/>
    <w:rsid w:val="00D47A3B"/>
    <w:rsid w:val="00D47D16"/>
    <w:rsid w:val="00D47E15"/>
    <w:rsid w:val="00D47E6C"/>
    <w:rsid w:val="00D502F0"/>
    <w:rsid w:val="00D5039B"/>
    <w:rsid w:val="00D505F4"/>
    <w:rsid w:val="00D50FF7"/>
    <w:rsid w:val="00D511C9"/>
    <w:rsid w:val="00D518B9"/>
    <w:rsid w:val="00D51CE1"/>
    <w:rsid w:val="00D51EED"/>
    <w:rsid w:val="00D52132"/>
    <w:rsid w:val="00D52695"/>
    <w:rsid w:val="00D53E9B"/>
    <w:rsid w:val="00D546B7"/>
    <w:rsid w:val="00D5470D"/>
    <w:rsid w:val="00D54D1C"/>
    <w:rsid w:val="00D54DC4"/>
    <w:rsid w:val="00D55250"/>
    <w:rsid w:val="00D55369"/>
    <w:rsid w:val="00D5579E"/>
    <w:rsid w:val="00D557F5"/>
    <w:rsid w:val="00D55C1A"/>
    <w:rsid w:val="00D55D76"/>
    <w:rsid w:val="00D562F2"/>
    <w:rsid w:val="00D56386"/>
    <w:rsid w:val="00D567A8"/>
    <w:rsid w:val="00D56955"/>
    <w:rsid w:val="00D56960"/>
    <w:rsid w:val="00D56ABA"/>
    <w:rsid w:val="00D56F5A"/>
    <w:rsid w:val="00D56FE3"/>
    <w:rsid w:val="00D57120"/>
    <w:rsid w:val="00D576A0"/>
    <w:rsid w:val="00D5797C"/>
    <w:rsid w:val="00D57D9E"/>
    <w:rsid w:val="00D60A2A"/>
    <w:rsid w:val="00D60CAA"/>
    <w:rsid w:val="00D61858"/>
    <w:rsid w:val="00D61966"/>
    <w:rsid w:val="00D61B59"/>
    <w:rsid w:val="00D61B8D"/>
    <w:rsid w:val="00D61B93"/>
    <w:rsid w:val="00D622C8"/>
    <w:rsid w:val="00D62ADB"/>
    <w:rsid w:val="00D62D31"/>
    <w:rsid w:val="00D64721"/>
    <w:rsid w:val="00D651AD"/>
    <w:rsid w:val="00D6580F"/>
    <w:rsid w:val="00D65D87"/>
    <w:rsid w:val="00D66A15"/>
    <w:rsid w:val="00D673BA"/>
    <w:rsid w:val="00D67B9E"/>
    <w:rsid w:val="00D67E4A"/>
    <w:rsid w:val="00D70070"/>
    <w:rsid w:val="00D702A6"/>
    <w:rsid w:val="00D704FE"/>
    <w:rsid w:val="00D71D0B"/>
    <w:rsid w:val="00D72560"/>
    <w:rsid w:val="00D72E74"/>
    <w:rsid w:val="00D73229"/>
    <w:rsid w:val="00D732AA"/>
    <w:rsid w:val="00D73C01"/>
    <w:rsid w:val="00D74164"/>
    <w:rsid w:val="00D74181"/>
    <w:rsid w:val="00D74357"/>
    <w:rsid w:val="00D74577"/>
    <w:rsid w:val="00D7517E"/>
    <w:rsid w:val="00D759AC"/>
    <w:rsid w:val="00D75A2B"/>
    <w:rsid w:val="00D7616B"/>
    <w:rsid w:val="00D761BF"/>
    <w:rsid w:val="00D76236"/>
    <w:rsid w:val="00D763FD"/>
    <w:rsid w:val="00D766FD"/>
    <w:rsid w:val="00D7670F"/>
    <w:rsid w:val="00D76AB5"/>
    <w:rsid w:val="00D76DB6"/>
    <w:rsid w:val="00D76F89"/>
    <w:rsid w:val="00D80C31"/>
    <w:rsid w:val="00D80DD2"/>
    <w:rsid w:val="00D81A7A"/>
    <w:rsid w:val="00D8270F"/>
    <w:rsid w:val="00D82DA0"/>
    <w:rsid w:val="00D83672"/>
    <w:rsid w:val="00D8383C"/>
    <w:rsid w:val="00D84461"/>
    <w:rsid w:val="00D845E2"/>
    <w:rsid w:val="00D84691"/>
    <w:rsid w:val="00D84738"/>
    <w:rsid w:val="00D84D3A"/>
    <w:rsid w:val="00D84D63"/>
    <w:rsid w:val="00D84E00"/>
    <w:rsid w:val="00D85559"/>
    <w:rsid w:val="00D856E8"/>
    <w:rsid w:val="00D858C5"/>
    <w:rsid w:val="00D860A6"/>
    <w:rsid w:val="00D862FF"/>
    <w:rsid w:val="00D86663"/>
    <w:rsid w:val="00D8670D"/>
    <w:rsid w:val="00D86888"/>
    <w:rsid w:val="00D86F7D"/>
    <w:rsid w:val="00D86FEE"/>
    <w:rsid w:val="00D870B7"/>
    <w:rsid w:val="00D8787D"/>
    <w:rsid w:val="00D87B36"/>
    <w:rsid w:val="00D87EEB"/>
    <w:rsid w:val="00D9045F"/>
    <w:rsid w:val="00D90AD1"/>
    <w:rsid w:val="00D90CE4"/>
    <w:rsid w:val="00D91171"/>
    <w:rsid w:val="00D912C0"/>
    <w:rsid w:val="00D91365"/>
    <w:rsid w:val="00D915F6"/>
    <w:rsid w:val="00D917F2"/>
    <w:rsid w:val="00D91E92"/>
    <w:rsid w:val="00D91FD9"/>
    <w:rsid w:val="00D92622"/>
    <w:rsid w:val="00D92896"/>
    <w:rsid w:val="00D92B54"/>
    <w:rsid w:val="00D93792"/>
    <w:rsid w:val="00D941F7"/>
    <w:rsid w:val="00D942B8"/>
    <w:rsid w:val="00D948FA"/>
    <w:rsid w:val="00D9512D"/>
    <w:rsid w:val="00D95547"/>
    <w:rsid w:val="00D9583E"/>
    <w:rsid w:val="00D96D3D"/>
    <w:rsid w:val="00D9702F"/>
    <w:rsid w:val="00D9704A"/>
    <w:rsid w:val="00D97409"/>
    <w:rsid w:val="00D9769A"/>
    <w:rsid w:val="00D97D97"/>
    <w:rsid w:val="00D97EC6"/>
    <w:rsid w:val="00DA011B"/>
    <w:rsid w:val="00DA047F"/>
    <w:rsid w:val="00DA069D"/>
    <w:rsid w:val="00DA07A5"/>
    <w:rsid w:val="00DA0E88"/>
    <w:rsid w:val="00DA107F"/>
    <w:rsid w:val="00DA1384"/>
    <w:rsid w:val="00DA13CF"/>
    <w:rsid w:val="00DA1492"/>
    <w:rsid w:val="00DA1565"/>
    <w:rsid w:val="00DA1E08"/>
    <w:rsid w:val="00DA20AB"/>
    <w:rsid w:val="00DA2210"/>
    <w:rsid w:val="00DA23E0"/>
    <w:rsid w:val="00DA2510"/>
    <w:rsid w:val="00DA26C3"/>
    <w:rsid w:val="00DA2D5D"/>
    <w:rsid w:val="00DA2EC6"/>
    <w:rsid w:val="00DA352B"/>
    <w:rsid w:val="00DA3A98"/>
    <w:rsid w:val="00DA3F2E"/>
    <w:rsid w:val="00DA45B8"/>
    <w:rsid w:val="00DA4B81"/>
    <w:rsid w:val="00DA4DDF"/>
    <w:rsid w:val="00DA57E3"/>
    <w:rsid w:val="00DA5BD5"/>
    <w:rsid w:val="00DA5F67"/>
    <w:rsid w:val="00DA6081"/>
    <w:rsid w:val="00DA66ED"/>
    <w:rsid w:val="00DB0804"/>
    <w:rsid w:val="00DB0891"/>
    <w:rsid w:val="00DB0EC0"/>
    <w:rsid w:val="00DB1069"/>
    <w:rsid w:val="00DB18D6"/>
    <w:rsid w:val="00DB1B11"/>
    <w:rsid w:val="00DB1C2E"/>
    <w:rsid w:val="00DB1D21"/>
    <w:rsid w:val="00DB2041"/>
    <w:rsid w:val="00DB23D6"/>
    <w:rsid w:val="00DB2CF8"/>
    <w:rsid w:val="00DB2FC4"/>
    <w:rsid w:val="00DB3557"/>
    <w:rsid w:val="00DB3A88"/>
    <w:rsid w:val="00DB3BD4"/>
    <w:rsid w:val="00DB4020"/>
    <w:rsid w:val="00DB40AD"/>
    <w:rsid w:val="00DB482D"/>
    <w:rsid w:val="00DB48E2"/>
    <w:rsid w:val="00DB5026"/>
    <w:rsid w:val="00DB52BF"/>
    <w:rsid w:val="00DB532C"/>
    <w:rsid w:val="00DB5BED"/>
    <w:rsid w:val="00DB5D08"/>
    <w:rsid w:val="00DB5ED6"/>
    <w:rsid w:val="00DB68DF"/>
    <w:rsid w:val="00DB6BFD"/>
    <w:rsid w:val="00DB6ED6"/>
    <w:rsid w:val="00DB6F39"/>
    <w:rsid w:val="00DB7317"/>
    <w:rsid w:val="00DB7F5A"/>
    <w:rsid w:val="00DC0BE0"/>
    <w:rsid w:val="00DC13B4"/>
    <w:rsid w:val="00DC1654"/>
    <w:rsid w:val="00DC1C0B"/>
    <w:rsid w:val="00DC1D98"/>
    <w:rsid w:val="00DC1FE0"/>
    <w:rsid w:val="00DC2AAC"/>
    <w:rsid w:val="00DC2C35"/>
    <w:rsid w:val="00DC366B"/>
    <w:rsid w:val="00DC382A"/>
    <w:rsid w:val="00DC44BA"/>
    <w:rsid w:val="00DC4955"/>
    <w:rsid w:val="00DC4FF3"/>
    <w:rsid w:val="00DC54F0"/>
    <w:rsid w:val="00DC6189"/>
    <w:rsid w:val="00DC6424"/>
    <w:rsid w:val="00DC64D5"/>
    <w:rsid w:val="00DC6716"/>
    <w:rsid w:val="00DC6844"/>
    <w:rsid w:val="00DC6B49"/>
    <w:rsid w:val="00DC70D5"/>
    <w:rsid w:val="00DC75A2"/>
    <w:rsid w:val="00DC776B"/>
    <w:rsid w:val="00DC7F72"/>
    <w:rsid w:val="00DD004C"/>
    <w:rsid w:val="00DD0512"/>
    <w:rsid w:val="00DD0B22"/>
    <w:rsid w:val="00DD0C58"/>
    <w:rsid w:val="00DD1A72"/>
    <w:rsid w:val="00DD1E04"/>
    <w:rsid w:val="00DD2C87"/>
    <w:rsid w:val="00DD2F2E"/>
    <w:rsid w:val="00DD2F99"/>
    <w:rsid w:val="00DD2FBA"/>
    <w:rsid w:val="00DD337C"/>
    <w:rsid w:val="00DD37F2"/>
    <w:rsid w:val="00DD4128"/>
    <w:rsid w:val="00DD48BA"/>
    <w:rsid w:val="00DD51B4"/>
    <w:rsid w:val="00DD5216"/>
    <w:rsid w:val="00DD5382"/>
    <w:rsid w:val="00DD54E7"/>
    <w:rsid w:val="00DD5947"/>
    <w:rsid w:val="00DD60A9"/>
    <w:rsid w:val="00DD6254"/>
    <w:rsid w:val="00DD6B51"/>
    <w:rsid w:val="00DD6CE5"/>
    <w:rsid w:val="00DD6D5A"/>
    <w:rsid w:val="00DD73FA"/>
    <w:rsid w:val="00DE0018"/>
    <w:rsid w:val="00DE09ED"/>
    <w:rsid w:val="00DE0ABB"/>
    <w:rsid w:val="00DE0DA7"/>
    <w:rsid w:val="00DE0DF8"/>
    <w:rsid w:val="00DE1012"/>
    <w:rsid w:val="00DE1075"/>
    <w:rsid w:val="00DE14CC"/>
    <w:rsid w:val="00DE15E9"/>
    <w:rsid w:val="00DE1828"/>
    <w:rsid w:val="00DE1923"/>
    <w:rsid w:val="00DE1AFD"/>
    <w:rsid w:val="00DE1BD5"/>
    <w:rsid w:val="00DE1D08"/>
    <w:rsid w:val="00DE1D56"/>
    <w:rsid w:val="00DE1FC0"/>
    <w:rsid w:val="00DE22B5"/>
    <w:rsid w:val="00DE235E"/>
    <w:rsid w:val="00DE29A2"/>
    <w:rsid w:val="00DE2B33"/>
    <w:rsid w:val="00DE2BA4"/>
    <w:rsid w:val="00DE2C80"/>
    <w:rsid w:val="00DE3561"/>
    <w:rsid w:val="00DE360C"/>
    <w:rsid w:val="00DE3988"/>
    <w:rsid w:val="00DE3E4D"/>
    <w:rsid w:val="00DE3FA2"/>
    <w:rsid w:val="00DE4131"/>
    <w:rsid w:val="00DE433C"/>
    <w:rsid w:val="00DE434C"/>
    <w:rsid w:val="00DE4532"/>
    <w:rsid w:val="00DE506E"/>
    <w:rsid w:val="00DE5536"/>
    <w:rsid w:val="00DE55AE"/>
    <w:rsid w:val="00DE5AA1"/>
    <w:rsid w:val="00DE5C2D"/>
    <w:rsid w:val="00DE5CC7"/>
    <w:rsid w:val="00DE61D1"/>
    <w:rsid w:val="00DE638B"/>
    <w:rsid w:val="00DE65C9"/>
    <w:rsid w:val="00DE6919"/>
    <w:rsid w:val="00DE6DB6"/>
    <w:rsid w:val="00DE72EE"/>
    <w:rsid w:val="00DE7481"/>
    <w:rsid w:val="00DE75BE"/>
    <w:rsid w:val="00DE7E67"/>
    <w:rsid w:val="00DF050C"/>
    <w:rsid w:val="00DF07D2"/>
    <w:rsid w:val="00DF0AA0"/>
    <w:rsid w:val="00DF0ADF"/>
    <w:rsid w:val="00DF0B03"/>
    <w:rsid w:val="00DF0FFD"/>
    <w:rsid w:val="00DF23CF"/>
    <w:rsid w:val="00DF26B7"/>
    <w:rsid w:val="00DF29E7"/>
    <w:rsid w:val="00DF2BC4"/>
    <w:rsid w:val="00DF2C7F"/>
    <w:rsid w:val="00DF37E5"/>
    <w:rsid w:val="00DF3895"/>
    <w:rsid w:val="00DF3C81"/>
    <w:rsid w:val="00DF4208"/>
    <w:rsid w:val="00DF42C4"/>
    <w:rsid w:val="00DF51AE"/>
    <w:rsid w:val="00DF558C"/>
    <w:rsid w:val="00DF5923"/>
    <w:rsid w:val="00DF6C06"/>
    <w:rsid w:val="00DF6EA2"/>
    <w:rsid w:val="00DF71DE"/>
    <w:rsid w:val="00DF7555"/>
    <w:rsid w:val="00DF7603"/>
    <w:rsid w:val="00DF77A5"/>
    <w:rsid w:val="00E0048E"/>
    <w:rsid w:val="00E004B8"/>
    <w:rsid w:val="00E009F0"/>
    <w:rsid w:val="00E01AF7"/>
    <w:rsid w:val="00E01D70"/>
    <w:rsid w:val="00E0265F"/>
    <w:rsid w:val="00E034FE"/>
    <w:rsid w:val="00E03709"/>
    <w:rsid w:val="00E0397B"/>
    <w:rsid w:val="00E03C4D"/>
    <w:rsid w:val="00E041E5"/>
    <w:rsid w:val="00E04287"/>
    <w:rsid w:val="00E04812"/>
    <w:rsid w:val="00E04888"/>
    <w:rsid w:val="00E04DEF"/>
    <w:rsid w:val="00E0525D"/>
    <w:rsid w:val="00E053DD"/>
    <w:rsid w:val="00E05F1B"/>
    <w:rsid w:val="00E06383"/>
    <w:rsid w:val="00E0639F"/>
    <w:rsid w:val="00E0696D"/>
    <w:rsid w:val="00E06D0B"/>
    <w:rsid w:val="00E07530"/>
    <w:rsid w:val="00E0763B"/>
    <w:rsid w:val="00E0796A"/>
    <w:rsid w:val="00E07CAC"/>
    <w:rsid w:val="00E10302"/>
    <w:rsid w:val="00E107D9"/>
    <w:rsid w:val="00E10F33"/>
    <w:rsid w:val="00E11380"/>
    <w:rsid w:val="00E118E6"/>
    <w:rsid w:val="00E1195F"/>
    <w:rsid w:val="00E11DCF"/>
    <w:rsid w:val="00E11E76"/>
    <w:rsid w:val="00E1223F"/>
    <w:rsid w:val="00E1258A"/>
    <w:rsid w:val="00E129AB"/>
    <w:rsid w:val="00E12E6D"/>
    <w:rsid w:val="00E133A7"/>
    <w:rsid w:val="00E133D1"/>
    <w:rsid w:val="00E13A49"/>
    <w:rsid w:val="00E13D25"/>
    <w:rsid w:val="00E15096"/>
    <w:rsid w:val="00E1651D"/>
    <w:rsid w:val="00E16AEA"/>
    <w:rsid w:val="00E16C0E"/>
    <w:rsid w:val="00E16C82"/>
    <w:rsid w:val="00E16EF4"/>
    <w:rsid w:val="00E17EC5"/>
    <w:rsid w:val="00E2009D"/>
    <w:rsid w:val="00E20155"/>
    <w:rsid w:val="00E203B0"/>
    <w:rsid w:val="00E2074D"/>
    <w:rsid w:val="00E208B6"/>
    <w:rsid w:val="00E209FB"/>
    <w:rsid w:val="00E20ADE"/>
    <w:rsid w:val="00E2124E"/>
    <w:rsid w:val="00E21AD1"/>
    <w:rsid w:val="00E21B7B"/>
    <w:rsid w:val="00E21CB3"/>
    <w:rsid w:val="00E21CD2"/>
    <w:rsid w:val="00E21F2D"/>
    <w:rsid w:val="00E23147"/>
    <w:rsid w:val="00E23381"/>
    <w:rsid w:val="00E23FD8"/>
    <w:rsid w:val="00E241BE"/>
    <w:rsid w:val="00E2471F"/>
    <w:rsid w:val="00E24EC1"/>
    <w:rsid w:val="00E255DF"/>
    <w:rsid w:val="00E262E0"/>
    <w:rsid w:val="00E26545"/>
    <w:rsid w:val="00E26A41"/>
    <w:rsid w:val="00E26BFD"/>
    <w:rsid w:val="00E26C55"/>
    <w:rsid w:val="00E26E5C"/>
    <w:rsid w:val="00E2727A"/>
    <w:rsid w:val="00E27E90"/>
    <w:rsid w:val="00E30136"/>
    <w:rsid w:val="00E301F2"/>
    <w:rsid w:val="00E30D8A"/>
    <w:rsid w:val="00E32077"/>
    <w:rsid w:val="00E326BF"/>
    <w:rsid w:val="00E328A7"/>
    <w:rsid w:val="00E32A4F"/>
    <w:rsid w:val="00E32CB9"/>
    <w:rsid w:val="00E32CBA"/>
    <w:rsid w:val="00E32CF3"/>
    <w:rsid w:val="00E32E5A"/>
    <w:rsid w:val="00E3307F"/>
    <w:rsid w:val="00E332B4"/>
    <w:rsid w:val="00E33601"/>
    <w:rsid w:val="00E336AB"/>
    <w:rsid w:val="00E336C8"/>
    <w:rsid w:val="00E336EA"/>
    <w:rsid w:val="00E337B6"/>
    <w:rsid w:val="00E33C83"/>
    <w:rsid w:val="00E33D02"/>
    <w:rsid w:val="00E34128"/>
    <w:rsid w:val="00E34970"/>
    <w:rsid w:val="00E34F2C"/>
    <w:rsid w:val="00E34FAD"/>
    <w:rsid w:val="00E35AC2"/>
    <w:rsid w:val="00E35D2F"/>
    <w:rsid w:val="00E35D79"/>
    <w:rsid w:val="00E35E6A"/>
    <w:rsid w:val="00E36496"/>
    <w:rsid w:val="00E36A2A"/>
    <w:rsid w:val="00E3724A"/>
    <w:rsid w:val="00E3743D"/>
    <w:rsid w:val="00E37ED0"/>
    <w:rsid w:val="00E40316"/>
    <w:rsid w:val="00E40603"/>
    <w:rsid w:val="00E40C32"/>
    <w:rsid w:val="00E40D9B"/>
    <w:rsid w:val="00E41DF3"/>
    <w:rsid w:val="00E42138"/>
    <w:rsid w:val="00E42314"/>
    <w:rsid w:val="00E42424"/>
    <w:rsid w:val="00E42A4B"/>
    <w:rsid w:val="00E42F7E"/>
    <w:rsid w:val="00E434AD"/>
    <w:rsid w:val="00E434DE"/>
    <w:rsid w:val="00E4350E"/>
    <w:rsid w:val="00E43707"/>
    <w:rsid w:val="00E43D07"/>
    <w:rsid w:val="00E44202"/>
    <w:rsid w:val="00E44235"/>
    <w:rsid w:val="00E443C2"/>
    <w:rsid w:val="00E44596"/>
    <w:rsid w:val="00E44735"/>
    <w:rsid w:val="00E44E46"/>
    <w:rsid w:val="00E45DB9"/>
    <w:rsid w:val="00E45FB3"/>
    <w:rsid w:val="00E4641E"/>
    <w:rsid w:val="00E469DA"/>
    <w:rsid w:val="00E475DC"/>
    <w:rsid w:val="00E47747"/>
    <w:rsid w:val="00E47D19"/>
    <w:rsid w:val="00E501FE"/>
    <w:rsid w:val="00E50BC7"/>
    <w:rsid w:val="00E50F86"/>
    <w:rsid w:val="00E519AE"/>
    <w:rsid w:val="00E51CCC"/>
    <w:rsid w:val="00E52175"/>
    <w:rsid w:val="00E523CE"/>
    <w:rsid w:val="00E527AD"/>
    <w:rsid w:val="00E52A45"/>
    <w:rsid w:val="00E52D27"/>
    <w:rsid w:val="00E53100"/>
    <w:rsid w:val="00E532BD"/>
    <w:rsid w:val="00E5365F"/>
    <w:rsid w:val="00E53B63"/>
    <w:rsid w:val="00E53B84"/>
    <w:rsid w:val="00E53E1B"/>
    <w:rsid w:val="00E547AF"/>
    <w:rsid w:val="00E54B8B"/>
    <w:rsid w:val="00E54B92"/>
    <w:rsid w:val="00E5521A"/>
    <w:rsid w:val="00E55C3E"/>
    <w:rsid w:val="00E55C5B"/>
    <w:rsid w:val="00E560DE"/>
    <w:rsid w:val="00E56149"/>
    <w:rsid w:val="00E561B7"/>
    <w:rsid w:val="00E5629D"/>
    <w:rsid w:val="00E563A8"/>
    <w:rsid w:val="00E56918"/>
    <w:rsid w:val="00E56D9E"/>
    <w:rsid w:val="00E570F4"/>
    <w:rsid w:val="00E578EF"/>
    <w:rsid w:val="00E57AF7"/>
    <w:rsid w:val="00E57B0E"/>
    <w:rsid w:val="00E57B2F"/>
    <w:rsid w:val="00E57CBE"/>
    <w:rsid w:val="00E57F60"/>
    <w:rsid w:val="00E57F97"/>
    <w:rsid w:val="00E602FF"/>
    <w:rsid w:val="00E603CE"/>
    <w:rsid w:val="00E6085A"/>
    <w:rsid w:val="00E6105E"/>
    <w:rsid w:val="00E610E8"/>
    <w:rsid w:val="00E6135A"/>
    <w:rsid w:val="00E6155D"/>
    <w:rsid w:val="00E6166A"/>
    <w:rsid w:val="00E61717"/>
    <w:rsid w:val="00E61A8C"/>
    <w:rsid w:val="00E61EEC"/>
    <w:rsid w:val="00E6241B"/>
    <w:rsid w:val="00E6338A"/>
    <w:rsid w:val="00E63554"/>
    <w:rsid w:val="00E6419A"/>
    <w:rsid w:val="00E641BA"/>
    <w:rsid w:val="00E6455F"/>
    <w:rsid w:val="00E645DC"/>
    <w:rsid w:val="00E64628"/>
    <w:rsid w:val="00E649DB"/>
    <w:rsid w:val="00E64FCC"/>
    <w:rsid w:val="00E64FD7"/>
    <w:rsid w:val="00E65196"/>
    <w:rsid w:val="00E65853"/>
    <w:rsid w:val="00E65CEC"/>
    <w:rsid w:val="00E65F7E"/>
    <w:rsid w:val="00E66085"/>
    <w:rsid w:val="00E6637C"/>
    <w:rsid w:val="00E66782"/>
    <w:rsid w:val="00E670AC"/>
    <w:rsid w:val="00E67173"/>
    <w:rsid w:val="00E67492"/>
    <w:rsid w:val="00E67B57"/>
    <w:rsid w:val="00E703B6"/>
    <w:rsid w:val="00E70AA1"/>
    <w:rsid w:val="00E70C04"/>
    <w:rsid w:val="00E7190F"/>
    <w:rsid w:val="00E71F15"/>
    <w:rsid w:val="00E72200"/>
    <w:rsid w:val="00E7247F"/>
    <w:rsid w:val="00E724B8"/>
    <w:rsid w:val="00E7262D"/>
    <w:rsid w:val="00E72B1B"/>
    <w:rsid w:val="00E72BD5"/>
    <w:rsid w:val="00E72C0C"/>
    <w:rsid w:val="00E72DD5"/>
    <w:rsid w:val="00E72ECD"/>
    <w:rsid w:val="00E731DC"/>
    <w:rsid w:val="00E73207"/>
    <w:rsid w:val="00E735F8"/>
    <w:rsid w:val="00E73CE6"/>
    <w:rsid w:val="00E73E22"/>
    <w:rsid w:val="00E73F53"/>
    <w:rsid w:val="00E74A5D"/>
    <w:rsid w:val="00E74D26"/>
    <w:rsid w:val="00E75198"/>
    <w:rsid w:val="00E75C9B"/>
    <w:rsid w:val="00E75D47"/>
    <w:rsid w:val="00E75E00"/>
    <w:rsid w:val="00E75E4D"/>
    <w:rsid w:val="00E763BF"/>
    <w:rsid w:val="00E76573"/>
    <w:rsid w:val="00E766F5"/>
    <w:rsid w:val="00E76932"/>
    <w:rsid w:val="00E76B24"/>
    <w:rsid w:val="00E76E5C"/>
    <w:rsid w:val="00E770AE"/>
    <w:rsid w:val="00E7748F"/>
    <w:rsid w:val="00E77A28"/>
    <w:rsid w:val="00E77F0E"/>
    <w:rsid w:val="00E808A3"/>
    <w:rsid w:val="00E80EDF"/>
    <w:rsid w:val="00E80FC3"/>
    <w:rsid w:val="00E8145D"/>
    <w:rsid w:val="00E82948"/>
    <w:rsid w:val="00E82B28"/>
    <w:rsid w:val="00E82CCA"/>
    <w:rsid w:val="00E82F9C"/>
    <w:rsid w:val="00E83073"/>
    <w:rsid w:val="00E83206"/>
    <w:rsid w:val="00E83906"/>
    <w:rsid w:val="00E83928"/>
    <w:rsid w:val="00E848FB"/>
    <w:rsid w:val="00E84A0E"/>
    <w:rsid w:val="00E84FA1"/>
    <w:rsid w:val="00E85255"/>
    <w:rsid w:val="00E85AC3"/>
    <w:rsid w:val="00E85B8B"/>
    <w:rsid w:val="00E85C75"/>
    <w:rsid w:val="00E85E65"/>
    <w:rsid w:val="00E86A8F"/>
    <w:rsid w:val="00E86C86"/>
    <w:rsid w:val="00E87333"/>
    <w:rsid w:val="00E873D0"/>
    <w:rsid w:val="00E87A46"/>
    <w:rsid w:val="00E87FB0"/>
    <w:rsid w:val="00E9013A"/>
    <w:rsid w:val="00E90218"/>
    <w:rsid w:val="00E913BB"/>
    <w:rsid w:val="00E916D6"/>
    <w:rsid w:val="00E9184A"/>
    <w:rsid w:val="00E91DB5"/>
    <w:rsid w:val="00E92708"/>
    <w:rsid w:val="00E93170"/>
    <w:rsid w:val="00E931A9"/>
    <w:rsid w:val="00E947D2"/>
    <w:rsid w:val="00E948E3"/>
    <w:rsid w:val="00E94B1C"/>
    <w:rsid w:val="00E94C21"/>
    <w:rsid w:val="00E94FAD"/>
    <w:rsid w:val="00E95A35"/>
    <w:rsid w:val="00E95A94"/>
    <w:rsid w:val="00E95F2E"/>
    <w:rsid w:val="00E96213"/>
    <w:rsid w:val="00E96388"/>
    <w:rsid w:val="00E96A23"/>
    <w:rsid w:val="00E96DF6"/>
    <w:rsid w:val="00E97177"/>
    <w:rsid w:val="00E9792E"/>
    <w:rsid w:val="00E97DC3"/>
    <w:rsid w:val="00EA0137"/>
    <w:rsid w:val="00EA0235"/>
    <w:rsid w:val="00EA06A5"/>
    <w:rsid w:val="00EA0834"/>
    <w:rsid w:val="00EA08E7"/>
    <w:rsid w:val="00EA109C"/>
    <w:rsid w:val="00EA1113"/>
    <w:rsid w:val="00EA1508"/>
    <w:rsid w:val="00EA1541"/>
    <w:rsid w:val="00EA1988"/>
    <w:rsid w:val="00EA1A5D"/>
    <w:rsid w:val="00EA29F4"/>
    <w:rsid w:val="00EA2B78"/>
    <w:rsid w:val="00EA2C8D"/>
    <w:rsid w:val="00EA2FB5"/>
    <w:rsid w:val="00EA3189"/>
    <w:rsid w:val="00EA32E4"/>
    <w:rsid w:val="00EA3404"/>
    <w:rsid w:val="00EA3630"/>
    <w:rsid w:val="00EA3C0D"/>
    <w:rsid w:val="00EA3D71"/>
    <w:rsid w:val="00EA4618"/>
    <w:rsid w:val="00EA484F"/>
    <w:rsid w:val="00EA4E37"/>
    <w:rsid w:val="00EA55EF"/>
    <w:rsid w:val="00EA59DF"/>
    <w:rsid w:val="00EA6859"/>
    <w:rsid w:val="00EA6C3B"/>
    <w:rsid w:val="00EA6E55"/>
    <w:rsid w:val="00EA71A7"/>
    <w:rsid w:val="00EA7B73"/>
    <w:rsid w:val="00EA7E36"/>
    <w:rsid w:val="00EB0335"/>
    <w:rsid w:val="00EB0650"/>
    <w:rsid w:val="00EB0898"/>
    <w:rsid w:val="00EB0AC1"/>
    <w:rsid w:val="00EB0CF4"/>
    <w:rsid w:val="00EB119E"/>
    <w:rsid w:val="00EB1957"/>
    <w:rsid w:val="00EB19B7"/>
    <w:rsid w:val="00EB1D27"/>
    <w:rsid w:val="00EB1E9C"/>
    <w:rsid w:val="00EB22CA"/>
    <w:rsid w:val="00EB24A7"/>
    <w:rsid w:val="00EB24CF"/>
    <w:rsid w:val="00EB2591"/>
    <w:rsid w:val="00EB2C4C"/>
    <w:rsid w:val="00EB315D"/>
    <w:rsid w:val="00EB35DF"/>
    <w:rsid w:val="00EB36F5"/>
    <w:rsid w:val="00EB3A3C"/>
    <w:rsid w:val="00EB47C1"/>
    <w:rsid w:val="00EB49B9"/>
    <w:rsid w:val="00EB4EA0"/>
    <w:rsid w:val="00EB51EB"/>
    <w:rsid w:val="00EB5BEB"/>
    <w:rsid w:val="00EB5CEF"/>
    <w:rsid w:val="00EB5F7D"/>
    <w:rsid w:val="00EB6239"/>
    <w:rsid w:val="00EB627B"/>
    <w:rsid w:val="00EB6906"/>
    <w:rsid w:val="00EB6A25"/>
    <w:rsid w:val="00EB6AB1"/>
    <w:rsid w:val="00EB6D94"/>
    <w:rsid w:val="00EB7206"/>
    <w:rsid w:val="00EB7815"/>
    <w:rsid w:val="00EB7C4B"/>
    <w:rsid w:val="00EB7DDF"/>
    <w:rsid w:val="00EC05E6"/>
    <w:rsid w:val="00EC0724"/>
    <w:rsid w:val="00EC07D7"/>
    <w:rsid w:val="00EC0880"/>
    <w:rsid w:val="00EC0DC0"/>
    <w:rsid w:val="00EC17EA"/>
    <w:rsid w:val="00EC206D"/>
    <w:rsid w:val="00EC2098"/>
    <w:rsid w:val="00EC27E5"/>
    <w:rsid w:val="00EC281E"/>
    <w:rsid w:val="00EC4183"/>
    <w:rsid w:val="00EC4EA2"/>
    <w:rsid w:val="00EC53AA"/>
    <w:rsid w:val="00EC575F"/>
    <w:rsid w:val="00EC5950"/>
    <w:rsid w:val="00EC59EE"/>
    <w:rsid w:val="00EC5F32"/>
    <w:rsid w:val="00EC61A4"/>
    <w:rsid w:val="00EC6468"/>
    <w:rsid w:val="00EC653F"/>
    <w:rsid w:val="00EC656E"/>
    <w:rsid w:val="00EC6570"/>
    <w:rsid w:val="00EC6708"/>
    <w:rsid w:val="00EC68CC"/>
    <w:rsid w:val="00EC6E20"/>
    <w:rsid w:val="00EC7248"/>
    <w:rsid w:val="00EC7394"/>
    <w:rsid w:val="00EC74BE"/>
    <w:rsid w:val="00EC7A32"/>
    <w:rsid w:val="00EC7AC5"/>
    <w:rsid w:val="00ED02B3"/>
    <w:rsid w:val="00ED0361"/>
    <w:rsid w:val="00ED086A"/>
    <w:rsid w:val="00ED0AC9"/>
    <w:rsid w:val="00ED0D7F"/>
    <w:rsid w:val="00ED12E5"/>
    <w:rsid w:val="00ED1670"/>
    <w:rsid w:val="00ED1A98"/>
    <w:rsid w:val="00ED1CB6"/>
    <w:rsid w:val="00ED207C"/>
    <w:rsid w:val="00ED21BF"/>
    <w:rsid w:val="00ED2461"/>
    <w:rsid w:val="00ED24CB"/>
    <w:rsid w:val="00ED2D30"/>
    <w:rsid w:val="00ED2EDF"/>
    <w:rsid w:val="00ED2F16"/>
    <w:rsid w:val="00ED325A"/>
    <w:rsid w:val="00ED33C9"/>
    <w:rsid w:val="00ED38A4"/>
    <w:rsid w:val="00ED3BAC"/>
    <w:rsid w:val="00ED3D76"/>
    <w:rsid w:val="00ED3E67"/>
    <w:rsid w:val="00ED3EA7"/>
    <w:rsid w:val="00ED3F41"/>
    <w:rsid w:val="00ED4089"/>
    <w:rsid w:val="00ED4D16"/>
    <w:rsid w:val="00ED5615"/>
    <w:rsid w:val="00ED6234"/>
    <w:rsid w:val="00ED692E"/>
    <w:rsid w:val="00ED69AF"/>
    <w:rsid w:val="00ED6B3B"/>
    <w:rsid w:val="00ED6C5A"/>
    <w:rsid w:val="00ED793C"/>
    <w:rsid w:val="00ED7D7F"/>
    <w:rsid w:val="00EE023D"/>
    <w:rsid w:val="00EE0B35"/>
    <w:rsid w:val="00EE116C"/>
    <w:rsid w:val="00EE1286"/>
    <w:rsid w:val="00EE13CF"/>
    <w:rsid w:val="00EE1847"/>
    <w:rsid w:val="00EE240E"/>
    <w:rsid w:val="00EE2560"/>
    <w:rsid w:val="00EE3092"/>
    <w:rsid w:val="00EE314C"/>
    <w:rsid w:val="00EE329E"/>
    <w:rsid w:val="00EE3421"/>
    <w:rsid w:val="00EE3546"/>
    <w:rsid w:val="00EE44CE"/>
    <w:rsid w:val="00EE47AE"/>
    <w:rsid w:val="00EE544C"/>
    <w:rsid w:val="00EE5654"/>
    <w:rsid w:val="00EE5655"/>
    <w:rsid w:val="00EE6308"/>
    <w:rsid w:val="00EE66C0"/>
    <w:rsid w:val="00EE688E"/>
    <w:rsid w:val="00EE6A6D"/>
    <w:rsid w:val="00EE6AA2"/>
    <w:rsid w:val="00EE7276"/>
    <w:rsid w:val="00EE7659"/>
    <w:rsid w:val="00EF034B"/>
    <w:rsid w:val="00EF03E2"/>
    <w:rsid w:val="00EF0B24"/>
    <w:rsid w:val="00EF0B67"/>
    <w:rsid w:val="00EF0DE1"/>
    <w:rsid w:val="00EF141D"/>
    <w:rsid w:val="00EF14DC"/>
    <w:rsid w:val="00EF171E"/>
    <w:rsid w:val="00EF1ADE"/>
    <w:rsid w:val="00EF1B85"/>
    <w:rsid w:val="00EF1C5A"/>
    <w:rsid w:val="00EF1D4E"/>
    <w:rsid w:val="00EF270E"/>
    <w:rsid w:val="00EF359F"/>
    <w:rsid w:val="00EF371A"/>
    <w:rsid w:val="00EF37D0"/>
    <w:rsid w:val="00EF39B8"/>
    <w:rsid w:val="00EF3A19"/>
    <w:rsid w:val="00EF43CE"/>
    <w:rsid w:val="00EF4C92"/>
    <w:rsid w:val="00EF4E55"/>
    <w:rsid w:val="00EF58DD"/>
    <w:rsid w:val="00EF5931"/>
    <w:rsid w:val="00EF6EA7"/>
    <w:rsid w:val="00EF7069"/>
    <w:rsid w:val="00EF77AF"/>
    <w:rsid w:val="00EF7F8B"/>
    <w:rsid w:val="00F0002B"/>
    <w:rsid w:val="00F00120"/>
    <w:rsid w:val="00F00BC0"/>
    <w:rsid w:val="00F00FBF"/>
    <w:rsid w:val="00F01146"/>
    <w:rsid w:val="00F01384"/>
    <w:rsid w:val="00F0153C"/>
    <w:rsid w:val="00F01C81"/>
    <w:rsid w:val="00F02115"/>
    <w:rsid w:val="00F02541"/>
    <w:rsid w:val="00F025FC"/>
    <w:rsid w:val="00F02AE7"/>
    <w:rsid w:val="00F02CBA"/>
    <w:rsid w:val="00F02DFC"/>
    <w:rsid w:val="00F0300F"/>
    <w:rsid w:val="00F032E6"/>
    <w:rsid w:val="00F03814"/>
    <w:rsid w:val="00F03A41"/>
    <w:rsid w:val="00F03BBA"/>
    <w:rsid w:val="00F03C69"/>
    <w:rsid w:val="00F03D11"/>
    <w:rsid w:val="00F04489"/>
    <w:rsid w:val="00F04693"/>
    <w:rsid w:val="00F04B5E"/>
    <w:rsid w:val="00F05298"/>
    <w:rsid w:val="00F05E71"/>
    <w:rsid w:val="00F06037"/>
    <w:rsid w:val="00F063A5"/>
    <w:rsid w:val="00F066B1"/>
    <w:rsid w:val="00F07A09"/>
    <w:rsid w:val="00F10B88"/>
    <w:rsid w:val="00F11178"/>
    <w:rsid w:val="00F1193C"/>
    <w:rsid w:val="00F11EC1"/>
    <w:rsid w:val="00F12934"/>
    <w:rsid w:val="00F12B49"/>
    <w:rsid w:val="00F12DD6"/>
    <w:rsid w:val="00F12E4F"/>
    <w:rsid w:val="00F1390C"/>
    <w:rsid w:val="00F13E69"/>
    <w:rsid w:val="00F145E4"/>
    <w:rsid w:val="00F14D98"/>
    <w:rsid w:val="00F14F2E"/>
    <w:rsid w:val="00F159C1"/>
    <w:rsid w:val="00F15C7D"/>
    <w:rsid w:val="00F15FBD"/>
    <w:rsid w:val="00F16662"/>
    <w:rsid w:val="00F1677B"/>
    <w:rsid w:val="00F16899"/>
    <w:rsid w:val="00F16A12"/>
    <w:rsid w:val="00F16E95"/>
    <w:rsid w:val="00F17123"/>
    <w:rsid w:val="00F17464"/>
    <w:rsid w:val="00F175A3"/>
    <w:rsid w:val="00F17A9E"/>
    <w:rsid w:val="00F17FC9"/>
    <w:rsid w:val="00F20C5E"/>
    <w:rsid w:val="00F20E38"/>
    <w:rsid w:val="00F2104A"/>
    <w:rsid w:val="00F21187"/>
    <w:rsid w:val="00F21295"/>
    <w:rsid w:val="00F21341"/>
    <w:rsid w:val="00F214DD"/>
    <w:rsid w:val="00F216FD"/>
    <w:rsid w:val="00F22722"/>
    <w:rsid w:val="00F22A54"/>
    <w:rsid w:val="00F22A7B"/>
    <w:rsid w:val="00F23A10"/>
    <w:rsid w:val="00F23A49"/>
    <w:rsid w:val="00F24D4A"/>
    <w:rsid w:val="00F257EF"/>
    <w:rsid w:val="00F25817"/>
    <w:rsid w:val="00F25868"/>
    <w:rsid w:val="00F26B34"/>
    <w:rsid w:val="00F2722A"/>
    <w:rsid w:val="00F27A40"/>
    <w:rsid w:val="00F301F8"/>
    <w:rsid w:val="00F30575"/>
    <w:rsid w:val="00F307DB"/>
    <w:rsid w:val="00F30A22"/>
    <w:rsid w:val="00F30C5B"/>
    <w:rsid w:val="00F30E6C"/>
    <w:rsid w:val="00F31BCE"/>
    <w:rsid w:val="00F31CC2"/>
    <w:rsid w:val="00F31FB7"/>
    <w:rsid w:val="00F32318"/>
    <w:rsid w:val="00F327DA"/>
    <w:rsid w:val="00F32BED"/>
    <w:rsid w:val="00F33118"/>
    <w:rsid w:val="00F33AF4"/>
    <w:rsid w:val="00F33DBB"/>
    <w:rsid w:val="00F34276"/>
    <w:rsid w:val="00F342DE"/>
    <w:rsid w:val="00F343A7"/>
    <w:rsid w:val="00F34B89"/>
    <w:rsid w:val="00F352D2"/>
    <w:rsid w:val="00F35641"/>
    <w:rsid w:val="00F356BE"/>
    <w:rsid w:val="00F35AED"/>
    <w:rsid w:val="00F35F50"/>
    <w:rsid w:val="00F365C6"/>
    <w:rsid w:val="00F36A1D"/>
    <w:rsid w:val="00F36ACD"/>
    <w:rsid w:val="00F36BE8"/>
    <w:rsid w:val="00F36C80"/>
    <w:rsid w:val="00F36E32"/>
    <w:rsid w:val="00F37291"/>
    <w:rsid w:val="00F37567"/>
    <w:rsid w:val="00F378FE"/>
    <w:rsid w:val="00F37D64"/>
    <w:rsid w:val="00F37EBC"/>
    <w:rsid w:val="00F40245"/>
    <w:rsid w:val="00F4036D"/>
    <w:rsid w:val="00F405AE"/>
    <w:rsid w:val="00F40888"/>
    <w:rsid w:val="00F4095C"/>
    <w:rsid w:val="00F40B0F"/>
    <w:rsid w:val="00F40EA3"/>
    <w:rsid w:val="00F41122"/>
    <w:rsid w:val="00F41969"/>
    <w:rsid w:val="00F425EA"/>
    <w:rsid w:val="00F42B7B"/>
    <w:rsid w:val="00F42E49"/>
    <w:rsid w:val="00F43B94"/>
    <w:rsid w:val="00F43FE0"/>
    <w:rsid w:val="00F44079"/>
    <w:rsid w:val="00F44278"/>
    <w:rsid w:val="00F445A3"/>
    <w:rsid w:val="00F44A8C"/>
    <w:rsid w:val="00F44D06"/>
    <w:rsid w:val="00F44EF7"/>
    <w:rsid w:val="00F453A3"/>
    <w:rsid w:val="00F456A7"/>
    <w:rsid w:val="00F460AF"/>
    <w:rsid w:val="00F46555"/>
    <w:rsid w:val="00F4748C"/>
    <w:rsid w:val="00F4773E"/>
    <w:rsid w:val="00F47971"/>
    <w:rsid w:val="00F47E45"/>
    <w:rsid w:val="00F50793"/>
    <w:rsid w:val="00F515E8"/>
    <w:rsid w:val="00F517E1"/>
    <w:rsid w:val="00F519E9"/>
    <w:rsid w:val="00F51B65"/>
    <w:rsid w:val="00F51DE6"/>
    <w:rsid w:val="00F51E25"/>
    <w:rsid w:val="00F52958"/>
    <w:rsid w:val="00F52AAB"/>
    <w:rsid w:val="00F52DC6"/>
    <w:rsid w:val="00F52EB6"/>
    <w:rsid w:val="00F52F49"/>
    <w:rsid w:val="00F53B46"/>
    <w:rsid w:val="00F53D59"/>
    <w:rsid w:val="00F551A4"/>
    <w:rsid w:val="00F55260"/>
    <w:rsid w:val="00F55592"/>
    <w:rsid w:val="00F55DC9"/>
    <w:rsid w:val="00F5619F"/>
    <w:rsid w:val="00F562D0"/>
    <w:rsid w:val="00F56356"/>
    <w:rsid w:val="00F56481"/>
    <w:rsid w:val="00F56C8F"/>
    <w:rsid w:val="00F57769"/>
    <w:rsid w:val="00F57CFF"/>
    <w:rsid w:val="00F60021"/>
    <w:rsid w:val="00F60E62"/>
    <w:rsid w:val="00F60F87"/>
    <w:rsid w:val="00F61686"/>
    <w:rsid w:val="00F62321"/>
    <w:rsid w:val="00F6251D"/>
    <w:rsid w:val="00F62FD2"/>
    <w:rsid w:val="00F6316B"/>
    <w:rsid w:val="00F633F3"/>
    <w:rsid w:val="00F63403"/>
    <w:rsid w:val="00F63B68"/>
    <w:rsid w:val="00F63CC8"/>
    <w:rsid w:val="00F63FED"/>
    <w:rsid w:val="00F64381"/>
    <w:rsid w:val="00F646FB"/>
    <w:rsid w:val="00F64A9F"/>
    <w:rsid w:val="00F65376"/>
    <w:rsid w:val="00F657A1"/>
    <w:rsid w:val="00F657D2"/>
    <w:rsid w:val="00F65AE0"/>
    <w:rsid w:val="00F66361"/>
    <w:rsid w:val="00F66971"/>
    <w:rsid w:val="00F67399"/>
    <w:rsid w:val="00F67D8F"/>
    <w:rsid w:val="00F70018"/>
    <w:rsid w:val="00F7024A"/>
    <w:rsid w:val="00F7085C"/>
    <w:rsid w:val="00F709CE"/>
    <w:rsid w:val="00F70EC9"/>
    <w:rsid w:val="00F71151"/>
    <w:rsid w:val="00F7119A"/>
    <w:rsid w:val="00F71243"/>
    <w:rsid w:val="00F71F2B"/>
    <w:rsid w:val="00F72DA5"/>
    <w:rsid w:val="00F7344B"/>
    <w:rsid w:val="00F739C5"/>
    <w:rsid w:val="00F73CD9"/>
    <w:rsid w:val="00F74554"/>
    <w:rsid w:val="00F74561"/>
    <w:rsid w:val="00F74A3D"/>
    <w:rsid w:val="00F74E38"/>
    <w:rsid w:val="00F7520F"/>
    <w:rsid w:val="00F75273"/>
    <w:rsid w:val="00F761B8"/>
    <w:rsid w:val="00F7623E"/>
    <w:rsid w:val="00F764F1"/>
    <w:rsid w:val="00F76BBD"/>
    <w:rsid w:val="00F76D6F"/>
    <w:rsid w:val="00F77124"/>
    <w:rsid w:val="00F778B0"/>
    <w:rsid w:val="00F7792E"/>
    <w:rsid w:val="00F77965"/>
    <w:rsid w:val="00F77EBD"/>
    <w:rsid w:val="00F80A95"/>
    <w:rsid w:val="00F80B33"/>
    <w:rsid w:val="00F80EBD"/>
    <w:rsid w:val="00F8112C"/>
    <w:rsid w:val="00F814CB"/>
    <w:rsid w:val="00F8186E"/>
    <w:rsid w:val="00F81A39"/>
    <w:rsid w:val="00F81B4D"/>
    <w:rsid w:val="00F81BB2"/>
    <w:rsid w:val="00F81EDE"/>
    <w:rsid w:val="00F81F03"/>
    <w:rsid w:val="00F82A04"/>
    <w:rsid w:val="00F82B42"/>
    <w:rsid w:val="00F82E38"/>
    <w:rsid w:val="00F8307E"/>
    <w:rsid w:val="00F830C3"/>
    <w:rsid w:val="00F83293"/>
    <w:rsid w:val="00F833F6"/>
    <w:rsid w:val="00F8352C"/>
    <w:rsid w:val="00F83BC2"/>
    <w:rsid w:val="00F83C73"/>
    <w:rsid w:val="00F83E4C"/>
    <w:rsid w:val="00F84086"/>
    <w:rsid w:val="00F84229"/>
    <w:rsid w:val="00F8475F"/>
    <w:rsid w:val="00F848A4"/>
    <w:rsid w:val="00F84B03"/>
    <w:rsid w:val="00F84DBD"/>
    <w:rsid w:val="00F85144"/>
    <w:rsid w:val="00F8544A"/>
    <w:rsid w:val="00F8570D"/>
    <w:rsid w:val="00F857DB"/>
    <w:rsid w:val="00F85FB8"/>
    <w:rsid w:val="00F8611E"/>
    <w:rsid w:val="00F8619C"/>
    <w:rsid w:val="00F86963"/>
    <w:rsid w:val="00F86DF6"/>
    <w:rsid w:val="00F87551"/>
    <w:rsid w:val="00F904E2"/>
    <w:rsid w:val="00F907B7"/>
    <w:rsid w:val="00F90B8D"/>
    <w:rsid w:val="00F90CE3"/>
    <w:rsid w:val="00F90D80"/>
    <w:rsid w:val="00F90D84"/>
    <w:rsid w:val="00F90DAD"/>
    <w:rsid w:val="00F91006"/>
    <w:rsid w:val="00F9137F"/>
    <w:rsid w:val="00F916B9"/>
    <w:rsid w:val="00F919A7"/>
    <w:rsid w:val="00F91ADE"/>
    <w:rsid w:val="00F91B02"/>
    <w:rsid w:val="00F91D16"/>
    <w:rsid w:val="00F92380"/>
    <w:rsid w:val="00F923AF"/>
    <w:rsid w:val="00F92DC5"/>
    <w:rsid w:val="00F92EC1"/>
    <w:rsid w:val="00F932F6"/>
    <w:rsid w:val="00F934B6"/>
    <w:rsid w:val="00F93691"/>
    <w:rsid w:val="00F938CE"/>
    <w:rsid w:val="00F93912"/>
    <w:rsid w:val="00F94686"/>
    <w:rsid w:val="00F946F5"/>
    <w:rsid w:val="00F9475B"/>
    <w:rsid w:val="00F94BCB"/>
    <w:rsid w:val="00F94C47"/>
    <w:rsid w:val="00F951F8"/>
    <w:rsid w:val="00F953C9"/>
    <w:rsid w:val="00F95710"/>
    <w:rsid w:val="00F9595A"/>
    <w:rsid w:val="00F9659B"/>
    <w:rsid w:val="00F968E7"/>
    <w:rsid w:val="00F96AA9"/>
    <w:rsid w:val="00F96C4B"/>
    <w:rsid w:val="00F96D0D"/>
    <w:rsid w:val="00F97425"/>
    <w:rsid w:val="00F975D6"/>
    <w:rsid w:val="00F97F68"/>
    <w:rsid w:val="00FA0148"/>
    <w:rsid w:val="00FA0421"/>
    <w:rsid w:val="00FA090A"/>
    <w:rsid w:val="00FA0912"/>
    <w:rsid w:val="00FA0C66"/>
    <w:rsid w:val="00FA1956"/>
    <w:rsid w:val="00FA1CDA"/>
    <w:rsid w:val="00FA1D9D"/>
    <w:rsid w:val="00FA1DCF"/>
    <w:rsid w:val="00FA1DD9"/>
    <w:rsid w:val="00FA1E63"/>
    <w:rsid w:val="00FA1EE4"/>
    <w:rsid w:val="00FA2310"/>
    <w:rsid w:val="00FA25F5"/>
    <w:rsid w:val="00FA2BD2"/>
    <w:rsid w:val="00FA2CA8"/>
    <w:rsid w:val="00FA2EB8"/>
    <w:rsid w:val="00FA3389"/>
    <w:rsid w:val="00FA3475"/>
    <w:rsid w:val="00FA3476"/>
    <w:rsid w:val="00FA361A"/>
    <w:rsid w:val="00FA4423"/>
    <w:rsid w:val="00FA44E5"/>
    <w:rsid w:val="00FA4CA1"/>
    <w:rsid w:val="00FA4F43"/>
    <w:rsid w:val="00FA521C"/>
    <w:rsid w:val="00FA5305"/>
    <w:rsid w:val="00FA5335"/>
    <w:rsid w:val="00FA56BC"/>
    <w:rsid w:val="00FA5A71"/>
    <w:rsid w:val="00FA5C31"/>
    <w:rsid w:val="00FA5C75"/>
    <w:rsid w:val="00FA65E2"/>
    <w:rsid w:val="00FA669E"/>
    <w:rsid w:val="00FA6798"/>
    <w:rsid w:val="00FA6919"/>
    <w:rsid w:val="00FA69E6"/>
    <w:rsid w:val="00FA75C6"/>
    <w:rsid w:val="00FA7886"/>
    <w:rsid w:val="00FA7E49"/>
    <w:rsid w:val="00FB0A5A"/>
    <w:rsid w:val="00FB0C10"/>
    <w:rsid w:val="00FB1181"/>
    <w:rsid w:val="00FB12B9"/>
    <w:rsid w:val="00FB14D8"/>
    <w:rsid w:val="00FB257D"/>
    <w:rsid w:val="00FB2E48"/>
    <w:rsid w:val="00FB3364"/>
    <w:rsid w:val="00FB3C36"/>
    <w:rsid w:val="00FB423D"/>
    <w:rsid w:val="00FB4280"/>
    <w:rsid w:val="00FB455E"/>
    <w:rsid w:val="00FB4B60"/>
    <w:rsid w:val="00FB5191"/>
    <w:rsid w:val="00FB5214"/>
    <w:rsid w:val="00FB57F8"/>
    <w:rsid w:val="00FB580D"/>
    <w:rsid w:val="00FB5B7F"/>
    <w:rsid w:val="00FB5C2A"/>
    <w:rsid w:val="00FB5CB5"/>
    <w:rsid w:val="00FB645A"/>
    <w:rsid w:val="00FB671F"/>
    <w:rsid w:val="00FB68DE"/>
    <w:rsid w:val="00FB6B05"/>
    <w:rsid w:val="00FB6DA7"/>
    <w:rsid w:val="00FB702A"/>
    <w:rsid w:val="00FB7335"/>
    <w:rsid w:val="00FB7536"/>
    <w:rsid w:val="00FB75AE"/>
    <w:rsid w:val="00FB77D8"/>
    <w:rsid w:val="00FB7B14"/>
    <w:rsid w:val="00FB7CCE"/>
    <w:rsid w:val="00FC0104"/>
    <w:rsid w:val="00FC01C8"/>
    <w:rsid w:val="00FC0519"/>
    <w:rsid w:val="00FC06D9"/>
    <w:rsid w:val="00FC0A92"/>
    <w:rsid w:val="00FC0D8F"/>
    <w:rsid w:val="00FC0F61"/>
    <w:rsid w:val="00FC145B"/>
    <w:rsid w:val="00FC1577"/>
    <w:rsid w:val="00FC198F"/>
    <w:rsid w:val="00FC1ED9"/>
    <w:rsid w:val="00FC2CA4"/>
    <w:rsid w:val="00FC2DEE"/>
    <w:rsid w:val="00FC3501"/>
    <w:rsid w:val="00FC36A1"/>
    <w:rsid w:val="00FC3790"/>
    <w:rsid w:val="00FC3864"/>
    <w:rsid w:val="00FC397F"/>
    <w:rsid w:val="00FC39FD"/>
    <w:rsid w:val="00FC3D67"/>
    <w:rsid w:val="00FC423D"/>
    <w:rsid w:val="00FC44C9"/>
    <w:rsid w:val="00FC46CF"/>
    <w:rsid w:val="00FC46E6"/>
    <w:rsid w:val="00FC49D9"/>
    <w:rsid w:val="00FC5027"/>
    <w:rsid w:val="00FC50C7"/>
    <w:rsid w:val="00FC511D"/>
    <w:rsid w:val="00FC6034"/>
    <w:rsid w:val="00FC68BC"/>
    <w:rsid w:val="00FC7366"/>
    <w:rsid w:val="00FC74ED"/>
    <w:rsid w:val="00FC75E3"/>
    <w:rsid w:val="00FC76E2"/>
    <w:rsid w:val="00FC7925"/>
    <w:rsid w:val="00FC7938"/>
    <w:rsid w:val="00FC7FA4"/>
    <w:rsid w:val="00FD035C"/>
    <w:rsid w:val="00FD07EF"/>
    <w:rsid w:val="00FD097A"/>
    <w:rsid w:val="00FD0E3D"/>
    <w:rsid w:val="00FD11D4"/>
    <w:rsid w:val="00FD1DD0"/>
    <w:rsid w:val="00FD217B"/>
    <w:rsid w:val="00FD225D"/>
    <w:rsid w:val="00FD2384"/>
    <w:rsid w:val="00FD29D4"/>
    <w:rsid w:val="00FD2DC5"/>
    <w:rsid w:val="00FD2E6C"/>
    <w:rsid w:val="00FD37BA"/>
    <w:rsid w:val="00FD3B86"/>
    <w:rsid w:val="00FD42AA"/>
    <w:rsid w:val="00FD4C24"/>
    <w:rsid w:val="00FD4C88"/>
    <w:rsid w:val="00FD4F32"/>
    <w:rsid w:val="00FD5989"/>
    <w:rsid w:val="00FD59ED"/>
    <w:rsid w:val="00FD66C6"/>
    <w:rsid w:val="00FD6873"/>
    <w:rsid w:val="00FD7C9B"/>
    <w:rsid w:val="00FD7D34"/>
    <w:rsid w:val="00FD7E19"/>
    <w:rsid w:val="00FD7F27"/>
    <w:rsid w:val="00FE035B"/>
    <w:rsid w:val="00FE0E7B"/>
    <w:rsid w:val="00FE0F68"/>
    <w:rsid w:val="00FE0FFD"/>
    <w:rsid w:val="00FE11B5"/>
    <w:rsid w:val="00FE125C"/>
    <w:rsid w:val="00FE15D9"/>
    <w:rsid w:val="00FE1F3B"/>
    <w:rsid w:val="00FE2390"/>
    <w:rsid w:val="00FE2BEA"/>
    <w:rsid w:val="00FE2F3B"/>
    <w:rsid w:val="00FE3482"/>
    <w:rsid w:val="00FE3549"/>
    <w:rsid w:val="00FE452E"/>
    <w:rsid w:val="00FE4827"/>
    <w:rsid w:val="00FE4963"/>
    <w:rsid w:val="00FE4D94"/>
    <w:rsid w:val="00FE4F7D"/>
    <w:rsid w:val="00FE4FA3"/>
    <w:rsid w:val="00FE58C7"/>
    <w:rsid w:val="00FE5C7B"/>
    <w:rsid w:val="00FE6060"/>
    <w:rsid w:val="00FE630D"/>
    <w:rsid w:val="00FE650C"/>
    <w:rsid w:val="00FE740F"/>
    <w:rsid w:val="00FE7418"/>
    <w:rsid w:val="00FE7AD8"/>
    <w:rsid w:val="00FE7B6C"/>
    <w:rsid w:val="00FF03C0"/>
    <w:rsid w:val="00FF0667"/>
    <w:rsid w:val="00FF14E2"/>
    <w:rsid w:val="00FF1B5F"/>
    <w:rsid w:val="00FF2806"/>
    <w:rsid w:val="00FF2AED"/>
    <w:rsid w:val="00FF2D9A"/>
    <w:rsid w:val="00FF3663"/>
    <w:rsid w:val="00FF37F8"/>
    <w:rsid w:val="00FF3AF0"/>
    <w:rsid w:val="00FF3B7A"/>
    <w:rsid w:val="00FF4275"/>
    <w:rsid w:val="00FF436A"/>
    <w:rsid w:val="00FF4586"/>
    <w:rsid w:val="00FF4A4C"/>
    <w:rsid w:val="00FF4C15"/>
    <w:rsid w:val="00FF4F2F"/>
    <w:rsid w:val="00FF5BFB"/>
    <w:rsid w:val="00FF5E54"/>
    <w:rsid w:val="00FF6774"/>
    <w:rsid w:val="00FF69EA"/>
    <w:rsid w:val="00FF70A3"/>
    <w:rsid w:val="00FF70F1"/>
    <w:rsid w:val="00FF754D"/>
    <w:rsid w:val="00FF761C"/>
    <w:rsid w:val="00FF7DD5"/>
    <w:rsid w:val="00FF7E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22" w:qFormat="1"/>
    <w:lsdException w:name="Emphasis" w:uiPriority="99"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47BD5"/>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6535A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6535AB"/>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rsid w:val="001D4F09"/>
    <w:rPr>
      <w:spacing w:val="6"/>
      <w:sz w:val="26"/>
      <w:szCs w:val="24"/>
      <w:lang w:val="es-ES_tradnl" w:eastAsia="en-US" w:bidi="ar-SA"/>
    </w:rPr>
  </w:style>
  <w:style w:type="paragraph" w:customStyle="1" w:styleId="recomen">
    <w:name w:val="recomen"/>
    <w:basedOn w:val="texto"/>
    <w:rsid w:val="001D4F09"/>
    <w:pPr>
      <w:numPr>
        <w:numId w:val="2"/>
      </w:numPr>
      <w:tabs>
        <w:tab w:val="clear" w:pos="2835"/>
        <w:tab w:val="clear" w:pos="3969"/>
        <w:tab w:val="clear" w:pos="5103"/>
        <w:tab w:val="clear" w:pos="6237"/>
        <w:tab w:val="clear" w:pos="7371"/>
      </w:tabs>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character" w:customStyle="1" w:styleId="atitulo2Car">
    <w:name w:val="atitulo2 Car"/>
    <w:link w:val="atitulo2"/>
    <w:rsid w:val="00882BEB"/>
    <w:rPr>
      <w:rFonts w:ascii="Arial" w:hAnsi="Arial"/>
      <w:bCs/>
      <w:iCs/>
      <w:color w:val="000000"/>
      <w:spacing w:val="10"/>
      <w:kern w:val="28"/>
      <w:sz w:val="25"/>
      <w:szCs w:val="26"/>
      <w:lang w:val="es-ES_tradnl" w:eastAsia="en-US" w:bidi="ar-SA"/>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FA7886"/>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8C27C2"/>
    <w:pPr>
      <w:tabs>
        <w:tab w:val="right" w:leader="dot" w:pos="8930"/>
      </w:tabs>
      <w:spacing w:after="0"/>
      <w:ind w:left="378" w:firstLine="0"/>
      <w:jc w:val="left"/>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Epgrafe">
    <w:name w:val="caption"/>
    <w:basedOn w:val="Normal"/>
    <w:next w:val="Normal"/>
    <w:uiPriority w:val="99"/>
    <w:qFormat/>
    <w:rsid w:val="00891D73"/>
    <w:rPr>
      <w:b/>
      <w:bCs/>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customStyle="1" w:styleId="Estndar">
    <w:name w:val="Estándar"/>
    <w:rsid w:val="00882BEB"/>
    <w:pPr>
      <w:snapToGrid w:val="0"/>
    </w:pPr>
    <w:rPr>
      <w:rFonts w:ascii="CG Omega" w:hAnsi="CG Omega"/>
      <w:color w:val="000000"/>
      <w:sz w:val="22"/>
    </w:rPr>
  </w:style>
  <w:style w:type="paragraph" w:customStyle="1" w:styleId="tabla10">
    <w:name w:val="tabla10"/>
    <w:rsid w:val="00882BEB"/>
    <w:pPr>
      <w:tabs>
        <w:tab w:val="left" w:pos="567"/>
        <w:tab w:val="left" w:pos="1134"/>
      </w:tabs>
      <w:snapToGrid w:val="0"/>
    </w:pPr>
    <w:rPr>
      <w:rFonts w:ascii="CG Times" w:hAnsi="CG Times"/>
      <w:color w:val="000000"/>
    </w:rPr>
  </w:style>
  <w:style w:type="paragraph" w:styleId="NormalWeb">
    <w:name w:val="Normal (Web)"/>
    <w:basedOn w:val="Normal"/>
    <w:uiPriority w:val="99"/>
    <w:rsid w:val="00882BEB"/>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semiHidden/>
    <w:rsid w:val="00882BEB"/>
  </w:style>
  <w:style w:type="character" w:customStyle="1" w:styleId="TextocomentarioCar">
    <w:name w:val="Texto comentario Car"/>
    <w:link w:val="Textocomentario"/>
    <w:semiHidden/>
    <w:rsid w:val="00882BEB"/>
    <w:rPr>
      <w:lang w:val="es-ES_tradnl" w:eastAsia="en-US" w:bidi="ar-SA"/>
    </w:rPr>
  </w:style>
  <w:style w:type="paragraph" w:styleId="Asuntodelcomentario">
    <w:name w:val="annotation subject"/>
    <w:basedOn w:val="Textocomentario"/>
    <w:next w:val="Textocomentario"/>
    <w:semiHidden/>
    <w:rsid w:val="00882BEB"/>
    <w:rPr>
      <w:b/>
      <w:bCs/>
    </w:rPr>
  </w:style>
  <w:style w:type="paragraph" w:styleId="Mapadeldocumento">
    <w:name w:val="Document Map"/>
    <w:basedOn w:val="Normal"/>
    <w:semiHidden/>
    <w:rsid w:val="00882BEB"/>
    <w:pPr>
      <w:shd w:val="clear" w:color="auto" w:fill="000080"/>
    </w:pPr>
    <w:rPr>
      <w:rFonts w:ascii="Tahoma" w:hAnsi="Tahoma" w:cs="Tahoma"/>
    </w:rPr>
  </w:style>
  <w:style w:type="paragraph" w:styleId="Textonotapie">
    <w:name w:val="footnote text"/>
    <w:basedOn w:val="Normal"/>
    <w:link w:val="TextonotapieCar"/>
    <w:rsid w:val="00882BEB"/>
  </w:style>
  <w:style w:type="character" w:customStyle="1" w:styleId="TextonotapieCar">
    <w:name w:val="Texto nota pie Car"/>
    <w:link w:val="Textonotapie"/>
    <w:rsid w:val="00882BEB"/>
    <w:rPr>
      <w:lang w:val="es-ES_tradnl" w:eastAsia="en-US" w:bidi="ar-SA"/>
    </w:rPr>
  </w:style>
  <w:style w:type="character" w:styleId="Refdenotaalpie">
    <w:name w:val="footnote reference"/>
    <w:rsid w:val="00882BEB"/>
    <w:rPr>
      <w:vertAlign w:val="superscript"/>
    </w:rPr>
  </w:style>
  <w:style w:type="paragraph" w:styleId="Prrafodelista">
    <w:name w:val="List Paragraph"/>
    <w:basedOn w:val="Normal"/>
    <w:uiPriority w:val="34"/>
    <w:qFormat/>
    <w:rsid w:val="002E399F"/>
    <w:pPr>
      <w:ind w:left="720"/>
      <w:contextualSpacing/>
    </w:pPr>
  </w:style>
  <w:style w:type="character" w:customStyle="1" w:styleId="PiedepginaCar">
    <w:name w:val="Pie de página Car"/>
    <w:basedOn w:val="Fuentedeprrafopredeter"/>
    <w:link w:val="Piedepgina"/>
    <w:uiPriority w:val="99"/>
    <w:rsid w:val="00667D3D"/>
    <w:rPr>
      <w:spacing w:val="6"/>
      <w:lang w:val="es-ES_tradnl" w:eastAsia="en-US"/>
    </w:rPr>
  </w:style>
  <w:style w:type="character" w:customStyle="1" w:styleId="atitulo1Car">
    <w:name w:val="atitulo1 Car"/>
    <w:link w:val="atitulo1"/>
    <w:rsid w:val="0066012B"/>
    <w:rPr>
      <w:rFonts w:ascii="Arial" w:hAnsi="Arial"/>
      <w:b/>
      <w:color w:val="000000"/>
      <w:kern w:val="28"/>
      <w:sz w:val="25"/>
      <w:szCs w:val="26"/>
      <w:lang w:val="es-ES_tradnl" w:eastAsia="en-US"/>
    </w:rPr>
  </w:style>
  <w:style w:type="paragraph" w:customStyle="1" w:styleId="Default">
    <w:name w:val="Default"/>
    <w:rsid w:val="006C2717"/>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6C2717"/>
    <w:rPr>
      <w:color w:val="auto"/>
    </w:rPr>
  </w:style>
  <w:style w:type="paragraph" w:styleId="Textoindependiente">
    <w:name w:val="Body Text"/>
    <w:basedOn w:val="Normal"/>
    <w:link w:val="TextoindependienteCar"/>
    <w:rsid w:val="00794AA5"/>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794AA5"/>
    <w:rPr>
      <w:rFonts w:ascii="Arial" w:hAnsi="Arial"/>
      <w:sz w:val="24"/>
      <w:lang w:val="es-ES_tradnl"/>
    </w:rPr>
  </w:style>
  <w:style w:type="paragraph" w:customStyle="1" w:styleId="Pa7">
    <w:name w:val="Pa7"/>
    <w:basedOn w:val="Default"/>
    <w:next w:val="Default"/>
    <w:uiPriority w:val="99"/>
    <w:rsid w:val="00B82623"/>
    <w:pPr>
      <w:spacing w:line="201" w:lineRule="atLeast"/>
    </w:pPr>
    <w:rPr>
      <w:color w:val="auto"/>
    </w:rPr>
  </w:style>
  <w:style w:type="character" w:customStyle="1" w:styleId="corchete-llamada1">
    <w:name w:val="corchete-llamada1"/>
    <w:basedOn w:val="Fuentedeprrafopredeter"/>
    <w:rsid w:val="00974DD3"/>
    <w:rPr>
      <w:vanish/>
      <w:webHidden w:val="0"/>
      <w:specVanish w:val="0"/>
    </w:rPr>
  </w:style>
  <w:style w:type="paragraph" w:customStyle="1" w:styleId="xl1">
    <w:name w:val="xl1"/>
    <w:basedOn w:val="Normal"/>
    <w:rsid w:val="00870FA1"/>
    <w:pPr>
      <w:spacing w:after="240"/>
      <w:ind w:left="300" w:right="75" w:hanging="225"/>
    </w:pPr>
    <w:rPr>
      <w:sz w:val="24"/>
      <w:szCs w:val="24"/>
      <w:lang w:val="es-ES" w:eastAsia="es-ES"/>
    </w:rPr>
  </w:style>
  <w:style w:type="paragraph" w:customStyle="1" w:styleId="xl2">
    <w:name w:val="xl2"/>
    <w:basedOn w:val="Normal"/>
    <w:rsid w:val="00E2009D"/>
    <w:pPr>
      <w:spacing w:after="240"/>
      <w:ind w:left="525" w:right="75" w:hanging="225"/>
    </w:pPr>
    <w:rPr>
      <w:sz w:val="24"/>
      <w:szCs w:val="24"/>
      <w:lang w:val="es-ES" w:eastAsia="es-ES"/>
    </w:rPr>
  </w:style>
  <w:style w:type="numbering" w:customStyle="1" w:styleId="Sinlista1">
    <w:name w:val="Sin lista1"/>
    <w:next w:val="Sinlista"/>
    <w:uiPriority w:val="99"/>
    <w:semiHidden/>
    <w:unhideWhenUsed/>
    <w:rsid w:val="00FC2CA4"/>
  </w:style>
  <w:style w:type="table" w:styleId="Sombreadoclaro">
    <w:name w:val="Light Shading"/>
    <w:aliases w:val="tabla informe"/>
    <w:basedOn w:val="Tablanormal"/>
    <w:uiPriority w:val="60"/>
    <w:rsid w:val="00FC2CA4"/>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9197CF" w:themeFill="text2" w:themeFillTint="66"/>
      </w:tcPr>
    </w:tblStylePr>
    <w:tblStylePr w:type="lastRow">
      <w:pPr>
        <w:spacing w:before="0" w:after="0" w:line="240" w:lineRule="auto"/>
        <w:jc w:val="right"/>
      </w:pPr>
      <w:rPr>
        <w:rFonts w:ascii="Arial" w:hAnsi="Arial"/>
        <w:b w:val="0"/>
        <w:bCs/>
        <w:sz w:val="18"/>
      </w:rPr>
      <w:tblPr/>
      <w:tcPr>
        <w:shd w:val="clear" w:color="auto" w:fill="9197CF"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FC2C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FC2CA4"/>
    <w:rPr>
      <w:rFonts w:ascii="Tahoma" w:hAnsi="Tahoma" w:cs="Tahoma"/>
      <w:sz w:val="16"/>
      <w:szCs w:val="16"/>
      <w:lang w:val="es-ES_tradnl" w:eastAsia="en-US"/>
    </w:rPr>
  </w:style>
  <w:style w:type="character" w:customStyle="1" w:styleId="Ttulo4Car">
    <w:name w:val="Título 4 Car"/>
    <w:basedOn w:val="Fuentedeprrafopredeter"/>
    <w:link w:val="Ttulo4"/>
    <w:uiPriority w:val="99"/>
    <w:rsid w:val="006535AB"/>
    <w:rPr>
      <w:b/>
      <w:bCs/>
      <w:sz w:val="28"/>
      <w:szCs w:val="28"/>
      <w:lang w:val="es-ES_tradnl" w:eastAsia="en-US"/>
    </w:rPr>
  </w:style>
  <w:style w:type="character" w:customStyle="1" w:styleId="Ttulo7Car">
    <w:name w:val="Título 7 Car"/>
    <w:basedOn w:val="Fuentedeprrafopredeter"/>
    <w:link w:val="Ttulo7"/>
    <w:uiPriority w:val="99"/>
    <w:rsid w:val="006535AB"/>
    <w:rPr>
      <w:sz w:val="52"/>
    </w:rPr>
  </w:style>
  <w:style w:type="character" w:customStyle="1" w:styleId="Ttulo1Car">
    <w:name w:val="Título 1 Car"/>
    <w:basedOn w:val="Fuentedeprrafopredeter"/>
    <w:link w:val="Ttulo1"/>
    <w:uiPriority w:val="99"/>
    <w:rsid w:val="006535AB"/>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6535AB"/>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6535AB"/>
    <w:rPr>
      <w:rFonts w:ascii="Arial" w:hAnsi="Arial" w:cs="Arial"/>
      <w:b/>
      <w:bCs/>
      <w:szCs w:val="26"/>
      <w:lang w:val="es-ES_tradnl" w:eastAsia="en-US"/>
    </w:rPr>
  </w:style>
  <w:style w:type="character" w:customStyle="1" w:styleId="Ttulo5Car">
    <w:name w:val="Título 5 Car"/>
    <w:basedOn w:val="Fuentedeprrafopredeter"/>
    <w:link w:val="Ttulo5"/>
    <w:uiPriority w:val="99"/>
    <w:rsid w:val="006535AB"/>
    <w:rPr>
      <w:b/>
      <w:sz w:val="28"/>
      <w:lang w:eastAsia="en-US"/>
    </w:rPr>
  </w:style>
  <w:style w:type="paragraph" w:styleId="Ttulo">
    <w:name w:val="Title"/>
    <w:basedOn w:val="Normal"/>
    <w:next w:val="Normal"/>
    <w:link w:val="TtuloCar"/>
    <w:uiPriority w:val="10"/>
    <w:qFormat/>
    <w:rsid w:val="006535AB"/>
    <w:pPr>
      <w:pBdr>
        <w:bottom w:val="single" w:sz="8" w:space="4" w:color="629DD1"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tuloCar">
    <w:name w:val="Título Car"/>
    <w:basedOn w:val="Fuentedeprrafopredeter"/>
    <w:link w:val="Ttulo"/>
    <w:uiPriority w:val="10"/>
    <w:rsid w:val="006535AB"/>
    <w:rPr>
      <w:rFonts w:asciiTheme="majorHAnsi" w:eastAsiaTheme="majorEastAsia" w:hAnsiTheme="majorHAnsi" w:cstheme="majorBidi"/>
      <w:color w:val="1B1D3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6535AB"/>
    <w:pPr>
      <w:numPr>
        <w:ilvl w:val="1"/>
      </w:numPr>
      <w:ind w:firstLine="567"/>
    </w:pPr>
    <w:rPr>
      <w:rFonts w:asciiTheme="majorHAnsi" w:eastAsiaTheme="majorEastAsia" w:hAnsiTheme="majorHAnsi" w:cstheme="majorBidi"/>
      <w:i/>
      <w:iCs/>
      <w:color w:val="629DD1" w:themeColor="accent1"/>
      <w:spacing w:val="15"/>
      <w:sz w:val="24"/>
      <w:szCs w:val="24"/>
    </w:rPr>
  </w:style>
  <w:style w:type="character" w:customStyle="1" w:styleId="SubttuloCar">
    <w:name w:val="Subtítulo Car"/>
    <w:basedOn w:val="Fuentedeprrafopredeter"/>
    <w:link w:val="Subttulo"/>
    <w:uiPriority w:val="11"/>
    <w:rsid w:val="006535AB"/>
    <w:rPr>
      <w:rFonts w:asciiTheme="majorHAnsi" w:eastAsiaTheme="majorEastAsia" w:hAnsiTheme="majorHAnsi" w:cstheme="majorBidi"/>
      <w:i/>
      <w:iCs/>
      <w:color w:val="629DD1" w:themeColor="accent1"/>
      <w:spacing w:val="15"/>
      <w:sz w:val="24"/>
      <w:szCs w:val="24"/>
      <w:lang w:val="es-ES_tradnl" w:eastAsia="en-US"/>
    </w:rPr>
  </w:style>
  <w:style w:type="character" w:styleId="Textoennegrita">
    <w:name w:val="Strong"/>
    <w:basedOn w:val="Fuentedeprrafopredeter"/>
    <w:uiPriority w:val="22"/>
    <w:qFormat/>
    <w:rsid w:val="006535AB"/>
    <w:rPr>
      <w:rFonts w:cs="Times New Roman"/>
      <w:b/>
    </w:rPr>
  </w:style>
  <w:style w:type="character" w:styleId="nfasis">
    <w:name w:val="Emphasis"/>
    <w:basedOn w:val="Fuentedeprrafopredeter"/>
    <w:uiPriority w:val="99"/>
    <w:qFormat/>
    <w:rsid w:val="006535AB"/>
    <w:rPr>
      <w:rFonts w:cs="Times New Roman"/>
      <w:i/>
      <w:iCs/>
    </w:rPr>
  </w:style>
  <w:style w:type="paragraph" w:styleId="Cita">
    <w:name w:val="Quote"/>
    <w:basedOn w:val="Normal"/>
    <w:next w:val="Normal"/>
    <w:link w:val="CitaCar"/>
    <w:uiPriority w:val="29"/>
    <w:qFormat/>
    <w:rsid w:val="006535AB"/>
    <w:rPr>
      <w:i/>
      <w:iCs/>
      <w:color w:val="000000" w:themeColor="text1"/>
    </w:rPr>
  </w:style>
  <w:style w:type="character" w:customStyle="1" w:styleId="CitaCar">
    <w:name w:val="Cita Car"/>
    <w:basedOn w:val="Fuentedeprrafopredeter"/>
    <w:link w:val="Cita"/>
    <w:uiPriority w:val="29"/>
    <w:rsid w:val="006535AB"/>
    <w:rPr>
      <w:i/>
      <w:iCs/>
      <w:color w:val="000000" w:themeColor="text1"/>
      <w:lang w:val="es-ES_tradnl" w:eastAsia="en-US"/>
    </w:rPr>
  </w:style>
  <w:style w:type="character" w:styleId="nfasissutil">
    <w:name w:val="Subtle Emphasis"/>
    <w:basedOn w:val="Fuentedeprrafopredeter"/>
    <w:uiPriority w:val="19"/>
    <w:qFormat/>
    <w:rsid w:val="006535AB"/>
    <w:rPr>
      <w:i/>
      <w:iCs/>
      <w:color w:val="808080" w:themeColor="text1" w:themeTint="7F"/>
    </w:rPr>
  </w:style>
  <w:style w:type="character" w:styleId="nfasisintenso">
    <w:name w:val="Intense Emphasis"/>
    <w:basedOn w:val="Fuentedeprrafopredeter"/>
    <w:uiPriority w:val="21"/>
    <w:qFormat/>
    <w:rsid w:val="006535AB"/>
    <w:rPr>
      <w:b/>
      <w:bCs/>
      <w:i/>
      <w:iCs/>
      <w:color w:val="629DD1" w:themeColor="accent1"/>
    </w:rPr>
  </w:style>
  <w:style w:type="character" w:styleId="Referenciasutil">
    <w:name w:val="Subtle Reference"/>
    <w:basedOn w:val="Fuentedeprrafopredeter"/>
    <w:uiPriority w:val="31"/>
    <w:qFormat/>
    <w:rsid w:val="006535AB"/>
    <w:rPr>
      <w:smallCaps/>
      <w:color w:val="297FD5" w:themeColor="accent2"/>
      <w:u w:val="single"/>
    </w:rPr>
  </w:style>
  <w:style w:type="character" w:styleId="Referenciaintensa">
    <w:name w:val="Intense Reference"/>
    <w:basedOn w:val="Fuentedeprrafopredeter"/>
    <w:uiPriority w:val="32"/>
    <w:qFormat/>
    <w:rsid w:val="006535AB"/>
    <w:rPr>
      <w:b/>
      <w:bCs/>
      <w:smallCaps/>
      <w:color w:val="297FD5" w:themeColor="accent2"/>
      <w:spacing w:val="5"/>
      <w:u w:val="single"/>
    </w:rPr>
  </w:style>
  <w:style w:type="character" w:customStyle="1" w:styleId="EncabezadoCar">
    <w:name w:val="Encabezado Car"/>
    <w:basedOn w:val="Fuentedeprrafopredeter"/>
    <w:link w:val="Encabezado"/>
    <w:rsid w:val="00074ECC"/>
    <w:rPr>
      <w:bCs/>
      <w:caps/>
      <w:sz w:val="14"/>
      <w:szCs w:val="12"/>
      <w:lang w:val="es-ES_tradnl" w:eastAsia="en-US"/>
    </w:rPr>
  </w:style>
  <w:style w:type="paragraph" w:styleId="Textoindependiente3">
    <w:name w:val="Body Text 3"/>
    <w:basedOn w:val="Normal"/>
    <w:link w:val="Textoindependiente3Car"/>
    <w:rsid w:val="00FB0A5A"/>
    <w:pPr>
      <w:spacing w:after="120"/>
    </w:pPr>
    <w:rPr>
      <w:sz w:val="16"/>
      <w:szCs w:val="16"/>
    </w:rPr>
  </w:style>
  <w:style w:type="character" w:customStyle="1" w:styleId="Textoindependiente3Car">
    <w:name w:val="Texto independiente 3 Car"/>
    <w:basedOn w:val="Fuentedeprrafopredeter"/>
    <w:link w:val="Textoindependiente3"/>
    <w:rsid w:val="00FB0A5A"/>
    <w:rPr>
      <w:sz w:val="16"/>
      <w:szCs w:val="16"/>
      <w:lang w:val="es-ES_tradnl" w:eastAsia="en-US"/>
    </w:rPr>
  </w:style>
  <w:style w:type="paragraph" w:styleId="Textosinformato">
    <w:name w:val="Plain Text"/>
    <w:basedOn w:val="Normal"/>
    <w:link w:val="TextosinformatoCar"/>
    <w:uiPriority w:val="99"/>
    <w:unhideWhenUsed/>
    <w:rsid w:val="00133BB9"/>
    <w:pPr>
      <w:spacing w:after="0"/>
      <w:ind w:firstLine="0"/>
      <w:jc w:val="left"/>
    </w:pPr>
    <w:rPr>
      <w:rFonts w:ascii="Calibri" w:eastAsiaTheme="minorHAnsi" w:hAnsi="Calibri" w:cstheme="minorBidi"/>
      <w:sz w:val="22"/>
      <w:szCs w:val="21"/>
      <w:lang w:val="es-ES"/>
    </w:rPr>
  </w:style>
  <w:style w:type="character" w:customStyle="1" w:styleId="TextosinformatoCar">
    <w:name w:val="Texto sin formato Car"/>
    <w:basedOn w:val="Fuentedeprrafopredeter"/>
    <w:link w:val="Textosinformato"/>
    <w:uiPriority w:val="99"/>
    <w:rsid w:val="00133BB9"/>
    <w:rPr>
      <w:rFonts w:ascii="Calibri" w:eastAsiaTheme="minorHAnsi" w:hAnsi="Calibri" w:cstheme="minorBidi"/>
      <w:sz w:val="22"/>
      <w:szCs w:val="21"/>
      <w:lang w:eastAsia="en-US"/>
    </w:rPr>
  </w:style>
  <w:style w:type="paragraph" w:customStyle="1" w:styleId="cuatitul">
    <w:name w:val="cuatitul"/>
    <w:basedOn w:val="Normal"/>
    <w:rsid w:val="00497839"/>
    <w:pPr>
      <w:spacing w:after="60"/>
      <w:ind w:firstLine="0"/>
      <w:jc w:val="center"/>
    </w:pPr>
    <w:rPr>
      <w:rFonts w:ascii="GillSans" w:hAnsi="GillSans"/>
      <w:sz w:val="22"/>
      <w:lang w:eastAsia="es-ES"/>
    </w:rPr>
  </w:style>
  <w:style w:type="paragraph" w:customStyle="1" w:styleId="Tabla">
    <w:name w:val="Tabla"/>
    <w:basedOn w:val="Normal"/>
    <w:rsid w:val="00497839"/>
    <w:pPr>
      <w:spacing w:after="0"/>
      <w:ind w:firstLine="0"/>
    </w:pPr>
    <w:rPr>
      <w:rFonts w:ascii="Arial" w:hAnsi="Arial"/>
      <w:sz w:val="16"/>
      <w:lang w:eastAsia="es-ES"/>
    </w:rPr>
  </w:style>
  <w:style w:type="character" w:customStyle="1" w:styleId="atitulo3Car">
    <w:name w:val="atitulo3 Car"/>
    <w:link w:val="atitulo3"/>
    <w:rsid w:val="004C3AFE"/>
    <w:rPr>
      <w:rFonts w:ascii="Arial" w:hAnsi="Arial"/>
      <w:i/>
      <w:iCs/>
      <w:color w:val="000000"/>
      <w:spacing w:val="10"/>
      <w:kern w:val="28"/>
      <w:sz w:val="25"/>
      <w:szCs w:val="26"/>
      <w:lang w:val="es-ES_tradnl" w:eastAsia="en-US"/>
    </w:rPr>
  </w:style>
  <w:style w:type="table" w:customStyle="1" w:styleId="Tablaconcuadrcula2">
    <w:name w:val="Tabla con cuadrícula2"/>
    <w:basedOn w:val="Tablanormal"/>
    <w:next w:val="Tablaconcuadrcula"/>
    <w:uiPriority w:val="59"/>
    <w:rsid w:val="00963DE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a1">
    <w:name w:val="xa1"/>
    <w:basedOn w:val="Normal"/>
    <w:rsid w:val="00C42403"/>
    <w:pPr>
      <w:spacing w:after="240"/>
      <w:ind w:left="300" w:right="75" w:firstLine="0"/>
    </w:pPr>
    <w:rPr>
      <w:sz w:val="24"/>
      <w:szCs w:val="24"/>
      <w:lang w:val="es-ES" w:eastAsia="es-ES"/>
    </w:rPr>
  </w:style>
  <w:style w:type="character" w:customStyle="1" w:styleId="st1">
    <w:name w:val="st1"/>
    <w:basedOn w:val="Fuentedeprrafopredeter"/>
    <w:rsid w:val="007A4B43"/>
  </w:style>
  <w:style w:type="character" w:customStyle="1" w:styleId="apple-converted-space">
    <w:name w:val="apple-converted-space"/>
    <w:basedOn w:val="Fuentedeprrafopredeter"/>
    <w:rsid w:val="008B12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22" w:qFormat="1"/>
    <w:lsdException w:name="Emphasis" w:uiPriority="99"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47BD5"/>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6535A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6535AB"/>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rsid w:val="001D4F09"/>
    <w:rPr>
      <w:spacing w:val="6"/>
      <w:sz w:val="26"/>
      <w:szCs w:val="24"/>
      <w:lang w:val="es-ES_tradnl" w:eastAsia="en-US" w:bidi="ar-SA"/>
    </w:rPr>
  </w:style>
  <w:style w:type="paragraph" w:customStyle="1" w:styleId="recomen">
    <w:name w:val="recomen"/>
    <w:basedOn w:val="texto"/>
    <w:rsid w:val="001D4F09"/>
    <w:pPr>
      <w:numPr>
        <w:numId w:val="2"/>
      </w:numPr>
      <w:tabs>
        <w:tab w:val="clear" w:pos="2835"/>
        <w:tab w:val="clear" w:pos="3969"/>
        <w:tab w:val="clear" w:pos="5103"/>
        <w:tab w:val="clear" w:pos="6237"/>
        <w:tab w:val="clear" w:pos="7371"/>
      </w:tabs>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character" w:customStyle="1" w:styleId="atitulo2Car">
    <w:name w:val="atitulo2 Car"/>
    <w:link w:val="atitulo2"/>
    <w:rsid w:val="00882BEB"/>
    <w:rPr>
      <w:rFonts w:ascii="Arial" w:hAnsi="Arial"/>
      <w:bCs/>
      <w:iCs/>
      <w:color w:val="000000"/>
      <w:spacing w:val="10"/>
      <w:kern w:val="28"/>
      <w:sz w:val="25"/>
      <w:szCs w:val="26"/>
      <w:lang w:val="es-ES_tradnl" w:eastAsia="en-US" w:bidi="ar-SA"/>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FA7886"/>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8C27C2"/>
    <w:pPr>
      <w:tabs>
        <w:tab w:val="right" w:leader="dot" w:pos="8930"/>
      </w:tabs>
      <w:spacing w:after="0"/>
      <w:ind w:left="378" w:firstLine="0"/>
      <w:jc w:val="left"/>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Epgrafe">
    <w:name w:val="caption"/>
    <w:basedOn w:val="Normal"/>
    <w:next w:val="Normal"/>
    <w:uiPriority w:val="99"/>
    <w:qFormat/>
    <w:rsid w:val="00891D73"/>
    <w:rPr>
      <w:b/>
      <w:bCs/>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customStyle="1" w:styleId="Estndar">
    <w:name w:val="Estándar"/>
    <w:rsid w:val="00882BEB"/>
    <w:pPr>
      <w:snapToGrid w:val="0"/>
    </w:pPr>
    <w:rPr>
      <w:rFonts w:ascii="CG Omega" w:hAnsi="CG Omega"/>
      <w:color w:val="000000"/>
      <w:sz w:val="22"/>
    </w:rPr>
  </w:style>
  <w:style w:type="paragraph" w:customStyle="1" w:styleId="tabla10">
    <w:name w:val="tabla10"/>
    <w:rsid w:val="00882BEB"/>
    <w:pPr>
      <w:tabs>
        <w:tab w:val="left" w:pos="567"/>
        <w:tab w:val="left" w:pos="1134"/>
      </w:tabs>
      <w:snapToGrid w:val="0"/>
    </w:pPr>
    <w:rPr>
      <w:rFonts w:ascii="CG Times" w:hAnsi="CG Times"/>
      <w:color w:val="000000"/>
    </w:rPr>
  </w:style>
  <w:style w:type="paragraph" w:styleId="NormalWeb">
    <w:name w:val="Normal (Web)"/>
    <w:basedOn w:val="Normal"/>
    <w:uiPriority w:val="99"/>
    <w:rsid w:val="00882BEB"/>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semiHidden/>
    <w:rsid w:val="00882BEB"/>
  </w:style>
  <w:style w:type="character" w:customStyle="1" w:styleId="TextocomentarioCar">
    <w:name w:val="Texto comentario Car"/>
    <w:link w:val="Textocomentario"/>
    <w:semiHidden/>
    <w:rsid w:val="00882BEB"/>
    <w:rPr>
      <w:lang w:val="es-ES_tradnl" w:eastAsia="en-US" w:bidi="ar-SA"/>
    </w:rPr>
  </w:style>
  <w:style w:type="paragraph" w:styleId="Asuntodelcomentario">
    <w:name w:val="annotation subject"/>
    <w:basedOn w:val="Textocomentario"/>
    <w:next w:val="Textocomentario"/>
    <w:semiHidden/>
    <w:rsid w:val="00882BEB"/>
    <w:rPr>
      <w:b/>
      <w:bCs/>
    </w:rPr>
  </w:style>
  <w:style w:type="paragraph" w:styleId="Mapadeldocumento">
    <w:name w:val="Document Map"/>
    <w:basedOn w:val="Normal"/>
    <w:semiHidden/>
    <w:rsid w:val="00882BEB"/>
    <w:pPr>
      <w:shd w:val="clear" w:color="auto" w:fill="000080"/>
    </w:pPr>
    <w:rPr>
      <w:rFonts w:ascii="Tahoma" w:hAnsi="Tahoma" w:cs="Tahoma"/>
    </w:rPr>
  </w:style>
  <w:style w:type="paragraph" w:styleId="Textonotapie">
    <w:name w:val="footnote text"/>
    <w:basedOn w:val="Normal"/>
    <w:link w:val="TextonotapieCar"/>
    <w:rsid w:val="00882BEB"/>
  </w:style>
  <w:style w:type="character" w:customStyle="1" w:styleId="TextonotapieCar">
    <w:name w:val="Texto nota pie Car"/>
    <w:link w:val="Textonotapie"/>
    <w:rsid w:val="00882BEB"/>
    <w:rPr>
      <w:lang w:val="es-ES_tradnl" w:eastAsia="en-US" w:bidi="ar-SA"/>
    </w:rPr>
  </w:style>
  <w:style w:type="character" w:styleId="Refdenotaalpie">
    <w:name w:val="footnote reference"/>
    <w:rsid w:val="00882BEB"/>
    <w:rPr>
      <w:vertAlign w:val="superscript"/>
    </w:rPr>
  </w:style>
  <w:style w:type="paragraph" w:styleId="Prrafodelista">
    <w:name w:val="List Paragraph"/>
    <w:basedOn w:val="Normal"/>
    <w:uiPriority w:val="34"/>
    <w:qFormat/>
    <w:rsid w:val="002E399F"/>
    <w:pPr>
      <w:ind w:left="720"/>
      <w:contextualSpacing/>
    </w:pPr>
  </w:style>
  <w:style w:type="character" w:customStyle="1" w:styleId="PiedepginaCar">
    <w:name w:val="Pie de página Car"/>
    <w:basedOn w:val="Fuentedeprrafopredeter"/>
    <w:link w:val="Piedepgina"/>
    <w:uiPriority w:val="99"/>
    <w:rsid w:val="00667D3D"/>
    <w:rPr>
      <w:spacing w:val="6"/>
      <w:lang w:val="es-ES_tradnl" w:eastAsia="en-US"/>
    </w:rPr>
  </w:style>
  <w:style w:type="character" w:customStyle="1" w:styleId="atitulo1Car">
    <w:name w:val="atitulo1 Car"/>
    <w:link w:val="atitulo1"/>
    <w:rsid w:val="0066012B"/>
    <w:rPr>
      <w:rFonts w:ascii="Arial" w:hAnsi="Arial"/>
      <w:b/>
      <w:color w:val="000000"/>
      <w:kern w:val="28"/>
      <w:sz w:val="25"/>
      <w:szCs w:val="26"/>
      <w:lang w:val="es-ES_tradnl" w:eastAsia="en-US"/>
    </w:rPr>
  </w:style>
  <w:style w:type="paragraph" w:customStyle="1" w:styleId="Default">
    <w:name w:val="Default"/>
    <w:rsid w:val="006C2717"/>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6C2717"/>
    <w:rPr>
      <w:color w:val="auto"/>
    </w:rPr>
  </w:style>
  <w:style w:type="paragraph" w:styleId="Textoindependiente">
    <w:name w:val="Body Text"/>
    <w:basedOn w:val="Normal"/>
    <w:link w:val="TextoindependienteCar"/>
    <w:rsid w:val="00794AA5"/>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794AA5"/>
    <w:rPr>
      <w:rFonts w:ascii="Arial" w:hAnsi="Arial"/>
      <w:sz w:val="24"/>
      <w:lang w:val="es-ES_tradnl"/>
    </w:rPr>
  </w:style>
  <w:style w:type="paragraph" w:customStyle="1" w:styleId="Pa7">
    <w:name w:val="Pa7"/>
    <w:basedOn w:val="Default"/>
    <w:next w:val="Default"/>
    <w:uiPriority w:val="99"/>
    <w:rsid w:val="00B82623"/>
    <w:pPr>
      <w:spacing w:line="201" w:lineRule="atLeast"/>
    </w:pPr>
    <w:rPr>
      <w:color w:val="auto"/>
    </w:rPr>
  </w:style>
  <w:style w:type="character" w:customStyle="1" w:styleId="corchete-llamada1">
    <w:name w:val="corchete-llamada1"/>
    <w:basedOn w:val="Fuentedeprrafopredeter"/>
    <w:rsid w:val="00974DD3"/>
    <w:rPr>
      <w:vanish/>
      <w:webHidden w:val="0"/>
      <w:specVanish w:val="0"/>
    </w:rPr>
  </w:style>
  <w:style w:type="paragraph" w:customStyle="1" w:styleId="xl1">
    <w:name w:val="xl1"/>
    <w:basedOn w:val="Normal"/>
    <w:rsid w:val="00870FA1"/>
    <w:pPr>
      <w:spacing w:after="240"/>
      <w:ind w:left="300" w:right="75" w:hanging="225"/>
    </w:pPr>
    <w:rPr>
      <w:sz w:val="24"/>
      <w:szCs w:val="24"/>
      <w:lang w:val="es-ES" w:eastAsia="es-ES"/>
    </w:rPr>
  </w:style>
  <w:style w:type="paragraph" w:customStyle="1" w:styleId="xl2">
    <w:name w:val="xl2"/>
    <w:basedOn w:val="Normal"/>
    <w:rsid w:val="00E2009D"/>
    <w:pPr>
      <w:spacing w:after="240"/>
      <w:ind w:left="525" w:right="75" w:hanging="225"/>
    </w:pPr>
    <w:rPr>
      <w:sz w:val="24"/>
      <w:szCs w:val="24"/>
      <w:lang w:val="es-ES" w:eastAsia="es-ES"/>
    </w:rPr>
  </w:style>
  <w:style w:type="numbering" w:customStyle="1" w:styleId="Sinlista1">
    <w:name w:val="Sin lista1"/>
    <w:next w:val="Sinlista"/>
    <w:uiPriority w:val="99"/>
    <w:semiHidden/>
    <w:unhideWhenUsed/>
    <w:rsid w:val="00FC2CA4"/>
  </w:style>
  <w:style w:type="table" w:styleId="Sombreadoclaro">
    <w:name w:val="Light Shading"/>
    <w:aliases w:val="tabla informe"/>
    <w:basedOn w:val="Tablanormal"/>
    <w:uiPriority w:val="60"/>
    <w:rsid w:val="00FC2CA4"/>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9197CF" w:themeFill="text2" w:themeFillTint="66"/>
      </w:tcPr>
    </w:tblStylePr>
    <w:tblStylePr w:type="lastRow">
      <w:pPr>
        <w:spacing w:before="0" w:after="0" w:line="240" w:lineRule="auto"/>
        <w:jc w:val="right"/>
      </w:pPr>
      <w:rPr>
        <w:rFonts w:ascii="Arial" w:hAnsi="Arial"/>
        <w:b w:val="0"/>
        <w:bCs/>
        <w:sz w:val="18"/>
      </w:rPr>
      <w:tblPr/>
      <w:tcPr>
        <w:shd w:val="clear" w:color="auto" w:fill="9197CF"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FC2C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FC2CA4"/>
    <w:rPr>
      <w:rFonts w:ascii="Tahoma" w:hAnsi="Tahoma" w:cs="Tahoma"/>
      <w:sz w:val="16"/>
      <w:szCs w:val="16"/>
      <w:lang w:val="es-ES_tradnl" w:eastAsia="en-US"/>
    </w:rPr>
  </w:style>
  <w:style w:type="character" w:customStyle="1" w:styleId="Ttulo4Car">
    <w:name w:val="Título 4 Car"/>
    <w:basedOn w:val="Fuentedeprrafopredeter"/>
    <w:link w:val="Ttulo4"/>
    <w:uiPriority w:val="99"/>
    <w:rsid w:val="006535AB"/>
    <w:rPr>
      <w:b/>
      <w:bCs/>
      <w:sz w:val="28"/>
      <w:szCs w:val="28"/>
      <w:lang w:val="es-ES_tradnl" w:eastAsia="en-US"/>
    </w:rPr>
  </w:style>
  <w:style w:type="character" w:customStyle="1" w:styleId="Ttulo7Car">
    <w:name w:val="Título 7 Car"/>
    <w:basedOn w:val="Fuentedeprrafopredeter"/>
    <w:link w:val="Ttulo7"/>
    <w:uiPriority w:val="99"/>
    <w:rsid w:val="006535AB"/>
    <w:rPr>
      <w:sz w:val="52"/>
    </w:rPr>
  </w:style>
  <w:style w:type="character" w:customStyle="1" w:styleId="Ttulo1Car">
    <w:name w:val="Título 1 Car"/>
    <w:basedOn w:val="Fuentedeprrafopredeter"/>
    <w:link w:val="Ttulo1"/>
    <w:uiPriority w:val="99"/>
    <w:rsid w:val="006535AB"/>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6535AB"/>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6535AB"/>
    <w:rPr>
      <w:rFonts w:ascii="Arial" w:hAnsi="Arial" w:cs="Arial"/>
      <w:b/>
      <w:bCs/>
      <w:szCs w:val="26"/>
      <w:lang w:val="es-ES_tradnl" w:eastAsia="en-US"/>
    </w:rPr>
  </w:style>
  <w:style w:type="character" w:customStyle="1" w:styleId="Ttulo5Car">
    <w:name w:val="Título 5 Car"/>
    <w:basedOn w:val="Fuentedeprrafopredeter"/>
    <w:link w:val="Ttulo5"/>
    <w:uiPriority w:val="99"/>
    <w:rsid w:val="006535AB"/>
    <w:rPr>
      <w:b/>
      <w:sz w:val="28"/>
      <w:lang w:eastAsia="en-US"/>
    </w:rPr>
  </w:style>
  <w:style w:type="paragraph" w:styleId="Ttulo">
    <w:name w:val="Title"/>
    <w:basedOn w:val="Normal"/>
    <w:next w:val="Normal"/>
    <w:link w:val="TtuloCar"/>
    <w:uiPriority w:val="10"/>
    <w:qFormat/>
    <w:rsid w:val="006535AB"/>
    <w:pPr>
      <w:pBdr>
        <w:bottom w:val="single" w:sz="8" w:space="4" w:color="629DD1"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tuloCar">
    <w:name w:val="Título Car"/>
    <w:basedOn w:val="Fuentedeprrafopredeter"/>
    <w:link w:val="Ttulo"/>
    <w:uiPriority w:val="10"/>
    <w:rsid w:val="006535AB"/>
    <w:rPr>
      <w:rFonts w:asciiTheme="majorHAnsi" w:eastAsiaTheme="majorEastAsia" w:hAnsiTheme="majorHAnsi" w:cstheme="majorBidi"/>
      <w:color w:val="1B1D3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6535AB"/>
    <w:pPr>
      <w:numPr>
        <w:ilvl w:val="1"/>
      </w:numPr>
      <w:ind w:firstLine="567"/>
    </w:pPr>
    <w:rPr>
      <w:rFonts w:asciiTheme="majorHAnsi" w:eastAsiaTheme="majorEastAsia" w:hAnsiTheme="majorHAnsi" w:cstheme="majorBidi"/>
      <w:i/>
      <w:iCs/>
      <w:color w:val="629DD1" w:themeColor="accent1"/>
      <w:spacing w:val="15"/>
      <w:sz w:val="24"/>
      <w:szCs w:val="24"/>
    </w:rPr>
  </w:style>
  <w:style w:type="character" w:customStyle="1" w:styleId="SubttuloCar">
    <w:name w:val="Subtítulo Car"/>
    <w:basedOn w:val="Fuentedeprrafopredeter"/>
    <w:link w:val="Subttulo"/>
    <w:uiPriority w:val="11"/>
    <w:rsid w:val="006535AB"/>
    <w:rPr>
      <w:rFonts w:asciiTheme="majorHAnsi" w:eastAsiaTheme="majorEastAsia" w:hAnsiTheme="majorHAnsi" w:cstheme="majorBidi"/>
      <w:i/>
      <w:iCs/>
      <w:color w:val="629DD1" w:themeColor="accent1"/>
      <w:spacing w:val="15"/>
      <w:sz w:val="24"/>
      <w:szCs w:val="24"/>
      <w:lang w:val="es-ES_tradnl" w:eastAsia="en-US"/>
    </w:rPr>
  </w:style>
  <w:style w:type="character" w:styleId="Textoennegrita">
    <w:name w:val="Strong"/>
    <w:basedOn w:val="Fuentedeprrafopredeter"/>
    <w:uiPriority w:val="22"/>
    <w:qFormat/>
    <w:rsid w:val="006535AB"/>
    <w:rPr>
      <w:rFonts w:cs="Times New Roman"/>
      <w:b/>
    </w:rPr>
  </w:style>
  <w:style w:type="character" w:styleId="nfasis">
    <w:name w:val="Emphasis"/>
    <w:basedOn w:val="Fuentedeprrafopredeter"/>
    <w:uiPriority w:val="99"/>
    <w:qFormat/>
    <w:rsid w:val="006535AB"/>
    <w:rPr>
      <w:rFonts w:cs="Times New Roman"/>
      <w:i/>
      <w:iCs/>
    </w:rPr>
  </w:style>
  <w:style w:type="paragraph" w:styleId="Cita">
    <w:name w:val="Quote"/>
    <w:basedOn w:val="Normal"/>
    <w:next w:val="Normal"/>
    <w:link w:val="CitaCar"/>
    <w:uiPriority w:val="29"/>
    <w:qFormat/>
    <w:rsid w:val="006535AB"/>
    <w:rPr>
      <w:i/>
      <w:iCs/>
      <w:color w:val="000000" w:themeColor="text1"/>
    </w:rPr>
  </w:style>
  <w:style w:type="character" w:customStyle="1" w:styleId="CitaCar">
    <w:name w:val="Cita Car"/>
    <w:basedOn w:val="Fuentedeprrafopredeter"/>
    <w:link w:val="Cita"/>
    <w:uiPriority w:val="29"/>
    <w:rsid w:val="006535AB"/>
    <w:rPr>
      <w:i/>
      <w:iCs/>
      <w:color w:val="000000" w:themeColor="text1"/>
      <w:lang w:val="es-ES_tradnl" w:eastAsia="en-US"/>
    </w:rPr>
  </w:style>
  <w:style w:type="character" w:styleId="nfasissutil">
    <w:name w:val="Subtle Emphasis"/>
    <w:basedOn w:val="Fuentedeprrafopredeter"/>
    <w:uiPriority w:val="19"/>
    <w:qFormat/>
    <w:rsid w:val="006535AB"/>
    <w:rPr>
      <w:i/>
      <w:iCs/>
      <w:color w:val="808080" w:themeColor="text1" w:themeTint="7F"/>
    </w:rPr>
  </w:style>
  <w:style w:type="character" w:styleId="nfasisintenso">
    <w:name w:val="Intense Emphasis"/>
    <w:basedOn w:val="Fuentedeprrafopredeter"/>
    <w:uiPriority w:val="21"/>
    <w:qFormat/>
    <w:rsid w:val="006535AB"/>
    <w:rPr>
      <w:b/>
      <w:bCs/>
      <w:i/>
      <w:iCs/>
      <w:color w:val="629DD1" w:themeColor="accent1"/>
    </w:rPr>
  </w:style>
  <w:style w:type="character" w:styleId="Referenciasutil">
    <w:name w:val="Subtle Reference"/>
    <w:basedOn w:val="Fuentedeprrafopredeter"/>
    <w:uiPriority w:val="31"/>
    <w:qFormat/>
    <w:rsid w:val="006535AB"/>
    <w:rPr>
      <w:smallCaps/>
      <w:color w:val="297FD5" w:themeColor="accent2"/>
      <w:u w:val="single"/>
    </w:rPr>
  </w:style>
  <w:style w:type="character" w:styleId="Referenciaintensa">
    <w:name w:val="Intense Reference"/>
    <w:basedOn w:val="Fuentedeprrafopredeter"/>
    <w:uiPriority w:val="32"/>
    <w:qFormat/>
    <w:rsid w:val="006535AB"/>
    <w:rPr>
      <w:b/>
      <w:bCs/>
      <w:smallCaps/>
      <w:color w:val="297FD5" w:themeColor="accent2"/>
      <w:spacing w:val="5"/>
      <w:u w:val="single"/>
    </w:rPr>
  </w:style>
  <w:style w:type="character" w:customStyle="1" w:styleId="EncabezadoCar">
    <w:name w:val="Encabezado Car"/>
    <w:basedOn w:val="Fuentedeprrafopredeter"/>
    <w:link w:val="Encabezado"/>
    <w:rsid w:val="00074ECC"/>
    <w:rPr>
      <w:bCs/>
      <w:caps/>
      <w:sz w:val="14"/>
      <w:szCs w:val="12"/>
      <w:lang w:val="es-ES_tradnl" w:eastAsia="en-US"/>
    </w:rPr>
  </w:style>
  <w:style w:type="paragraph" w:styleId="Textoindependiente3">
    <w:name w:val="Body Text 3"/>
    <w:basedOn w:val="Normal"/>
    <w:link w:val="Textoindependiente3Car"/>
    <w:rsid w:val="00FB0A5A"/>
    <w:pPr>
      <w:spacing w:after="120"/>
    </w:pPr>
    <w:rPr>
      <w:sz w:val="16"/>
      <w:szCs w:val="16"/>
    </w:rPr>
  </w:style>
  <w:style w:type="character" w:customStyle="1" w:styleId="Textoindependiente3Car">
    <w:name w:val="Texto independiente 3 Car"/>
    <w:basedOn w:val="Fuentedeprrafopredeter"/>
    <w:link w:val="Textoindependiente3"/>
    <w:rsid w:val="00FB0A5A"/>
    <w:rPr>
      <w:sz w:val="16"/>
      <w:szCs w:val="16"/>
      <w:lang w:val="es-ES_tradnl" w:eastAsia="en-US"/>
    </w:rPr>
  </w:style>
  <w:style w:type="paragraph" w:styleId="Textosinformato">
    <w:name w:val="Plain Text"/>
    <w:basedOn w:val="Normal"/>
    <w:link w:val="TextosinformatoCar"/>
    <w:uiPriority w:val="99"/>
    <w:unhideWhenUsed/>
    <w:rsid w:val="00133BB9"/>
    <w:pPr>
      <w:spacing w:after="0"/>
      <w:ind w:firstLine="0"/>
      <w:jc w:val="left"/>
    </w:pPr>
    <w:rPr>
      <w:rFonts w:ascii="Calibri" w:eastAsiaTheme="minorHAnsi" w:hAnsi="Calibri" w:cstheme="minorBidi"/>
      <w:sz w:val="22"/>
      <w:szCs w:val="21"/>
      <w:lang w:val="es-ES"/>
    </w:rPr>
  </w:style>
  <w:style w:type="character" w:customStyle="1" w:styleId="TextosinformatoCar">
    <w:name w:val="Texto sin formato Car"/>
    <w:basedOn w:val="Fuentedeprrafopredeter"/>
    <w:link w:val="Textosinformato"/>
    <w:uiPriority w:val="99"/>
    <w:rsid w:val="00133BB9"/>
    <w:rPr>
      <w:rFonts w:ascii="Calibri" w:eastAsiaTheme="minorHAnsi" w:hAnsi="Calibri" w:cstheme="minorBidi"/>
      <w:sz w:val="22"/>
      <w:szCs w:val="21"/>
      <w:lang w:eastAsia="en-US"/>
    </w:rPr>
  </w:style>
  <w:style w:type="paragraph" w:customStyle="1" w:styleId="cuatitul">
    <w:name w:val="cuatitul"/>
    <w:basedOn w:val="Normal"/>
    <w:rsid w:val="00497839"/>
    <w:pPr>
      <w:spacing w:after="60"/>
      <w:ind w:firstLine="0"/>
      <w:jc w:val="center"/>
    </w:pPr>
    <w:rPr>
      <w:rFonts w:ascii="GillSans" w:hAnsi="GillSans"/>
      <w:sz w:val="22"/>
      <w:lang w:eastAsia="es-ES"/>
    </w:rPr>
  </w:style>
  <w:style w:type="paragraph" w:customStyle="1" w:styleId="Tabla">
    <w:name w:val="Tabla"/>
    <w:basedOn w:val="Normal"/>
    <w:rsid w:val="00497839"/>
    <w:pPr>
      <w:spacing w:after="0"/>
      <w:ind w:firstLine="0"/>
    </w:pPr>
    <w:rPr>
      <w:rFonts w:ascii="Arial" w:hAnsi="Arial"/>
      <w:sz w:val="16"/>
      <w:lang w:eastAsia="es-ES"/>
    </w:rPr>
  </w:style>
  <w:style w:type="character" w:customStyle="1" w:styleId="atitulo3Car">
    <w:name w:val="atitulo3 Car"/>
    <w:link w:val="atitulo3"/>
    <w:rsid w:val="004C3AFE"/>
    <w:rPr>
      <w:rFonts w:ascii="Arial" w:hAnsi="Arial"/>
      <w:i/>
      <w:iCs/>
      <w:color w:val="000000"/>
      <w:spacing w:val="10"/>
      <w:kern w:val="28"/>
      <w:sz w:val="25"/>
      <w:szCs w:val="26"/>
      <w:lang w:val="es-ES_tradnl" w:eastAsia="en-US"/>
    </w:rPr>
  </w:style>
  <w:style w:type="table" w:customStyle="1" w:styleId="Tablaconcuadrcula2">
    <w:name w:val="Tabla con cuadrícula2"/>
    <w:basedOn w:val="Tablanormal"/>
    <w:next w:val="Tablaconcuadrcula"/>
    <w:uiPriority w:val="59"/>
    <w:rsid w:val="00963DE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a1">
    <w:name w:val="xa1"/>
    <w:basedOn w:val="Normal"/>
    <w:rsid w:val="00C42403"/>
    <w:pPr>
      <w:spacing w:after="240"/>
      <w:ind w:left="300" w:right="75" w:firstLine="0"/>
    </w:pPr>
    <w:rPr>
      <w:sz w:val="24"/>
      <w:szCs w:val="24"/>
      <w:lang w:val="es-ES" w:eastAsia="es-ES"/>
    </w:rPr>
  </w:style>
  <w:style w:type="character" w:customStyle="1" w:styleId="st1">
    <w:name w:val="st1"/>
    <w:basedOn w:val="Fuentedeprrafopredeter"/>
    <w:rsid w:val="007A4B43"/>
  </w:style>
  <w:style w:type="character" w:customStyle="1" w:styleId="apple-converted-space">
    <w:name w:val="apple-converted-space"/>
    <w:basedOn w:val="Fuentedeprrafopredeter"/>
    <w:rsid w:val="008B1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953">
      <w:bodyDiv w:val="1"/>
      <w:marLeft w:val="0"/>
      <w:marRight w:val="0"/>
      <w:marTop w:val="0"/>
      <w:marBottom w:val="0"/>
      <w:divBdr>
        <w:top w:val="none" w:sz="0" w:space="0" w:color="auto"/>
        <w:left w:val="none" w:sz="0" w:space="0" w:color="auto"/>
        <w:bottom w:val="none" w:sz="0" w:space="0" w:color="auto"/>
        <w:right w:val="none" w:sz="0" w:space="0" w:color="auto"/>
      </w:divBdr>
    </w:div>
    <w:div w:id="16735955">
      <w:bodyDiv w:val="1"/>
      <w:marLeft w:val="0"/>
      <w:marRight w:val="0"/>
      <w:marTop w:val="0"/>
      <w:marBottom w:val="0"/>
      <w:divBdr>
        <w:top w:val="none" w:sz="0" w:space="0" w:color="auto"/>
        <w:left w:val="none" w:sz="0" w:space="0" w:color="auto"/>
        <w:bottom w:val="none" w:sz="0" w:space="0" w:color="auto"/>
        <w:right w:val="none" w:sz="0" w:space="0" w:color="auto"/>
      </w:divBdr>
    </w:div>
    <w:div w:id="17124647">
      <w:bodyDiv w:val="1"/>
      <w:marLeft w:val="0"/>
      <w:marRight w:val="0"/>
      <w:marTop w:val="0"/>
      <w:marBottom w:val="0"/>
      <w:divBdr>
        <w:top w:val="none" w:sz="0" w:space="0" w:color="auto"/>
        <w:left w:val="none" w:sz="0" w:space="0" w:color="auto"/>
        <w:bottom w:val="none" w:sz="0" w:space="0" w:color="auto"/>
        <w:right w:val="none" w:sz="0" w:space="0" w:color="auto"/>
      </w:divBdr>
    </w:div>
    <w:div w:id="47460152">
      <w:bodyDiv w:val="1"/>
      <w:marLeft w:val="0"/>
      <w:marRight w:val="0"/>
      <w:marTop w:val="0"/>
      <w:marBottom w:val="0"/>
      <w:divBdr>
        <w:top w:val="none" w:sz="0" w:space="0" w:color="auto"/>
        <w:left w:val="none" w:sz="0" w:space="0" w:color="auto"/>
        <w:bottom w:val="none" w:sz="0" w:space="0" w:color="auto"/>
        <w:right w:val="none" w:sz="0" w:space="0" w:color="auto"/>
      </w:divBdr>
    </w:div>
    <w:div w:id="50621157">
      <w:bodyDiv w:val="1"/>
      <w:marLeft w:val="0"/>
      <w:marRight w:val="0"/>
      <w:marTop w:val="0"/>
      <w:marBottom w:val="0"/>
      <w:divBdr>
        <w:top w:val="none" w:sz="0" w:space="0" w:color="auto"/>
        <w:left w:val="none" w:sz="0" w:space="0" w:color="auto"/>
        <w:bottom w:val="none" w:sz="0" w:space="0" w:color="auto"/>
        <w:right w:val="none" w:sz="0" w:space="0" w:color="auto"/>
      </w:divBdr>
    </w:div>
    <w:div w:id="56435535">
      <w:bodyDiv w:val="1"/>
      <w:marLeft w:val="0"/>
      <w:marRight w:val="0"/>
      <w:marTop w:val="0"/>
      <w:marBottom w:val="0"/>
      <w:divBdr>
        <w:top w:val="none" w:sz="0" w:space="0" w:color="auto"/>
        <w:left w:val="none" w:sz="0" w:space="0" w:color="auto"/>
        <w:bottom w:val="none" w:sz="0" w:space="0" w:color="auto"/>
        <w:right w:val="none" w:sz="0" w:space="0" w:color="auto"/>
      </w:divBdr>
    </w:div>
    <w:div w:id="78065607">
      <w:bodyDiv w:val="1"/>
      <w:marLeft w:val="0"/>
      <w:marRight w:val="0"/>
      <w:marTop w:val="0"/>
      <w:marBottom w:val="0"/>
      <w:divBdr>
        <w:top w:val="none" w:sz="0" w:space="0" w:color="auto"/>
        <w:left w:val="none" w:sz="0" w:space="0" w:color="auto"/>
        <w:bottom w:val="none" w:sz="0" w:space="0" w:color="auto"/>
        <w:right w:val="none" w:sz="0" w:space="0" w:color="auto"/>
      </w:divBdr>
    </w:div>
    <w:div w:id="78870331">
      <w:bodyDiv w:val="1"/>
      <w:marLeft w:val="0"/>
      <w:marRight w:val="0"/>
      <w:marTop w:val="0"/>
      <w:marBottom w:val="0"/>
      <w:divBdr>
        <w:top w:val="none" w:sz="0" w:space="0" w:color="auto"/>
        <w:left w:val="none" w:sz="0" w:space="0" w:color="auto"/>
        <w:bottom w:val="none" w:sz="0" w:space="0" w:color="auto"/>
        <w:right w:val="none" w:sz="0" w:space="0" w:color="auto"/>
      </w:divBdr>
    </w:div>
    <w:div w:id="81337087">
      <w:bodyDiv w:val="1"/>
      <w:marLeft w:val="0"/>
      <w:marRight w:val="0"/>
      <w:marTop w:val="0"/>
      <w:marBottom w:val="0"/>
      <w:divBdr>
        <w:top w:val="none" w:sz="0" w:space="0" w:color="auto"/>
        <w:left w:val="none" w:sz="0" w:space="0" w:color="auto"/>
        <w:bottom w:val="none" w:sz="0" w:space="0" w:color="auto"/>
        <w:right w:val="none" w:sz="0" w:space="0" w:color="auto"/>
      </w:divBdr>
    </w:div>
    <w:div w:id="81921736">
      <w:bodyDiv w:val="1"/>
      <w:marLeft w:val="0"/>
      <w:marRight w:val="0"/>
      <w:marTop w:val="0"/>
      <w:marBottom w:val="0"/>
      <w:divBdr>
        <w:top w:val="none" w:sz="0" w:space="0" w:color="auto"/>
        <w:left w:val="none" w:sz="0" w:space="0" w:color="auto"/>
        <w:bottom w:val="none" w:sz="0" w:space="0" w:color="auto"/>
        <w:right w:val="none" w:sz="0" w:space="0" w:color="auto"/>
      </w:divBdr>
    </w:div>
    <w:div w:id="93020105">
      <w:bodyDiv w:val="1"/>
      <w:marLeft w:val="0"/>
      <w:marRight w:val="0"/>
      <w:marTop w:val="0"/>
      <w:marBottom w:val="0"/>
      <w:divBdr>
        <w:top w:val="none" w:sz="0" w:space="0" w:color="auto"/>
        <w:left w:val="none" w:sz="0" w:space="0" w:color="auto"/>
        <w:bottom w:val="none" w:sz="0" w:space="0" w:color="auto"/>
        <w:right w:val="none" w:sz="0" w:space="0" w:color="auto"/>
      </w:divBdr>
    </w:div>
    <w:div w:id="100532505">
      <w:bodyDiv w:val="1"/>
      <w:marLeft w:val="0"/>
      <w:marRight w:val="0"/>
      <w:marTop w:val="0"/>
      <w:marBottom w:val="0"/>
      <w:divBdr>
        <w:top w:val="none" w:sz="0" w:space="0" w:color="auto"/>
        <w:left w:val="none" w:sz="0" w:space="0" w:color="auto"/>
        <w:bottom w:val="none" w:sz="0" w:space="0" w:color="auto"/>
        <w:right w:val="none" w:sz="0" w:space="0" w:color="auto"/>
      </w:divBdr>
    </w:div>
    <w:div w:id="108664643">
      <w:bodyDiv w:val="1"/>
      <w:marLeft w:val="0"/>
      <w:marRight w:val="0"/>
      <w:marTop w:val="0"/>
      <w:marBottom w:val="0"/>
      <w:divBdr>
        <w:top w:val="none" w:sz="0" w:space="0" w:color="auto"/>
        <w:left w:val="none" w:sz="0" w:space="0" w:color="auto"/>
        <w:bottom w:val="none" w:sz="0" w:space="0" w:color="auto"/>
        <w:right w:val="none" w:sz="0" w:space="0" w:color="auto"/>
      </w:divBdr>
      <w:divsChild>
        <w:div w:id="1847210755">
          <w:marLeft w:val="0"/>
          <w:marRight w:val="0"/>
          <w:marTop w:val="0"/>
          <w:marBottom w:val="240"/>
          <w:divBdr>
            <w:top w:val="none" w:sz="0" w:space="0" w:color="auto"/>
            <w:left w:val="none" w:sz="0" w:space="0" w:color="auto"/>
            <w:bottom w:val="none" w:sz="0" w:space="0" w:color="auto"/>
            <w:right w:val="none" w:sz="0" w:space="0" w:color="auto"/>
          </w:divBdr>
        </w:div>
      </w:divsChild>
    </w:div>
    <w:div w:id="109905202">
      <w:bodyDiv w:val="1"/>
      <w:marLeft w:val="0"/>
      <w:marRight w:val="0"/>
      <w:marTop w:val="0"/>
      <w:marBottom w:val="0"/>
      <w:divBdr>
        <w:top w:val="none" w:sz="0" w:space="0" w:color="auto"/>
        <w:left w:val="none" w:sz="0" w:space="0" w:color="auto"/>
        <w:bottom w:val="none" w:sz="0" w:space="0" w:color="auto"/>
        <w:right w:val="none" w:sz="0" w:space="0" w:color="auto"/>
      </w:divBdr>
    </w:div>
    <w:div w:id="110562846">
      <w:bodyDiv w:val="1"/>
      <w:marLeft w:val="0"/>
      <w:marRight w:val="0"/>
      <w:marTop w:val="0"/>
      <w:marBottom w:val="0"/>
      <w:divBdr>
        <w:top w:val="none" w:sz="0" w:space="0" w:color="auto"/>
        <w:left w:val="none" w:sz="0" w:space="0" w:color="auto"/>
        <w:bottom w:val="none" w:sz="0" w:space="0" w:color="auto"/>
        <w:right w:val="none" w:sz="0" w:space="0" w:color="auto"/>
      </w:divBdr>
    </w:div>
    <w:div w:id="115637371">
      <w:bodyDiv w:val="1"/>
      <w:marLeft w:val="0"/>
      <w:marRight w:val="0"/>
      <w:marTop w:val="0"/>
      <w:marBottom w:val="0"/>
      <w:divBdr>
        <w:top w:val="none" w:sz="0" w:space="0" w:color="auto"/>
        <w:left w:val="none" w:sz="0" w:space="0" w:color="auto"/>
        <w:bottom w:val="none" w:sz="0" w:space="0" w:color="auto"/>
        <w:right w:val="none" w:sz="0" w:space="0" w:color="auto"/>
      </w:divBdr>
    </w:div>
    <w:div w:id="116485916">
      <w:bodyDiv w:val="1"/>
      <w:marLeft w:val="0"/>
      <w:marRight w:val="0"/>
      <w:marTop w:val="0"/>
      <w:marBottom w:val="0"/>
      <w:divBdr>
        <w:top w:val="none" w:sz="0" w:space="0" w:color="auto"/>
        <w:left w:val="none" w:sz="0" w:space="0" w:color="auto"/>
        <w:bottom w:val="none" w:sz="0" w:space="0" w:color="auto"/>
        <w:right w:val="none" w:sz="0" w:space="0" w:color="auto"/>
      </w:divBdr>
    </w:div>
    <w:div w:id="122503576">
      <w:bodyDiv w:val="1"/>
      <w:marLeft w:val="0"/>
      <w:marRight w:val="0"/>
      <w:marTop w:val="0"/>
      <w:marBottom w:val="0"/>
      <w:divBdr>
        <w:top w:val="none" w:sz="0" w:space="0" w:color="auto"/>
        <w:left w:val="none" w:sz="0" w:space="0" w:color="auto"/>
        <w:bottom w:val="none" w:sz="0" w:space="0" w:color="auto"/>
        <w:right w:val="none" w:sz="0" w:space="0" w:color="auto"/>
      </w:divBdr>
    </w:div>
    <w:div w:id="146242524">
      <w:bodyDiv w:val="1"/>
      <w:marLeft w:val="0"/>
      <w:marRight w:val="0"/>
      <w:marTop w:val="0"/>
      <w:marBottom w:val="0"/>
      <w:divBdr>
        <w:top w:val="none" w:sz="0" w:space="0" w:color="auto"/>
        <w:left w:val="none" w:sz="0" w:space="0" w:color="auto"/>
        <w:bottom w:val="none" w:sz="0" w:space="0" w:color="auto"/>
        <w:right w:val="none" w:sz="0" w:space="0" w:color="auto"/>
      </w:divBdr>
    </w:div>
    <w:div w:id="149946855">
      <w:bodyDiv w:val="1"/>
      <w:marLeft w:val="0"/>
      <w:marRight w:val="0"/>
      <w:marTop w:val="0"/>
      <w:marBottom w:val="0"/>
      <w:divBdr>
        <w:top w:val="none" w:sz="0" w:space="0" w:color="auto"/>
        <w:left w:val="none" w:sz="0" w:space="0" w:color="auto"/>
        <w:bottom w:val="none" w:sz="0" w:space="0" w:color="auto"/>
        <w:right w:val="none" w:sz="0" w:space="0" w:color="auto"/>
      </w:divBdr>
    </w:div>
    <w:div w:id="169026708">
      <w:bodyDiv w:val="1"/>
      <w:marLeft w:val="0"/>
      <w:marRight w:val="0"/>
      <w:marTop w:val="0"/>
      <w:marBottom w:val="0"/>
      <w:divBdr>
        <w:top w:val="none" w:sz="0" w:space="0" w:color="auto"/>
        <w:left w:val="none" w:sz="0" w:space="0" w:color="auto"/>
        <w:bottom w:val="none" w:sz="0" w:space="0" w:color="auto"/>
        <w:right w:val="none" w:sz="0" w:space="0" w:color="auto"/>
      </w:divBdr>
    </w:div>
    <w:div w:id="169175257">
      <w:bodyDiv w:val="1"/>
      <w:marLeft w:val="0"/>
      <w:marRight w:val="0"/>
      <w:marTop w:val="0"/>
      <w:marBottom w:val="0"/>
      <w:divBdr>
        <w:top w:val="none" w:sz="0" w:space="0" w:color="auto"/>
        <w:left w:val="none" w:sz="0" w:space="0" w:color="auto"/>
        <w:bottom w:val="none" w:sz="0" w:space="0" w:color="auto"/>
        <w:right w:val="none" w:sz="0" w:space="0" w:color="auto"/>
      </w:divBdr>
    </w:div>
    <w:div w:id="175778368">
      <w:bodyDiv w:val="1"/>
      <w:marLeft w:val="0"/>
      <w:marRight w:val="0"/>
      <w:marTop w:val="0"/>
      <w:marBottom w:val="0"/>
      <w:divBdr>
        <w:top w:val="none" w:sz="0" w:space="0" w:color="auto"/>
        <w:left w:val="none" w:sz="0" w:space="0" w:color="auto"/>
        <w:bottom w:val="none" w:sz="0" w:space="0" w:color="auto"/>
        <w:right w:val="none" w:sz="0" w:space="0" w:color="auto"/>
      </w:divBdr>
    </w:div>
    <w:div w:id="180320233">
      <w:bodyDiv w:val="1"/>
      <w:marLeft w:val="0"/>
      <w:marRight w:val="0"/>
      <w:marTop w:val="0"/>
      <w:marBottom w:val="0"/>
      <w:divBdr>
        <w:top w:val="none" w:sz="0" w:space="0" w:color="auto"/>
        <w:left w:val="none" w:sz="0" w:space="0" w:color="auto"/>
        <w:bottom w:val="none" w:sz="0" w:space="0" w:color="auto"/>
        <w:right w:val="none" w:sz="0" w:space="0" w:color="auto"/>
      </w:divBdr>
    </w:div>
    <w:div w:id="190148387">
      <w:bodyDiv w:val="1"/>
      <w:marLeft w:val="0"/>
      <w:marRight w:val="0"/>
      <w:marTop w:val="0"/>
      <w:marBottom w:val="0"/>
      <w:divBdr>
        <w:top w:val="none" w:sz="0" w:space="0" w:color="auto"/>
        <w:left w:val="none" w:sz="0" w:space="0" w:color="auto"/>
        <w:bottom w:val="none" w:sz="0" w:space="0" w:color="auto"/>
        <w:right w:val="none" w:sz="0" w:space="0" w:color="auto"/>
      </w:divBdr>
    </w:div>
    <w:div w:id="190606820">
      <w:bodyDiv w:val="1"/>
      <w:marLeft w:val="0"/>
      <w:marRight w:val="0"/>
      <w:marTop w:val="0"/>
      <w:marBottom w:val="0"/>
      <w:divBdr>
        <w:top w:val="none" w:sz="0" w:space="0" w:color="auto"/>
        <w:left w:val="none" w:sz="0" w:space="0" w:color="auto"/>
        <w:bottom w:val="none" w:sz="0" w:space="0" w:color="auto"/>
        <w:right w:val="none" w:sz="0" w:space="0" w:color="auto"/>
      </w:divBdr>
    </w:div>
    <w:div w:id="192813352">
      <w:bodyDiv w:val="1"/>
      <w:marLeft w:val="0"/>
      <w:marRight w:val="0"/>
      <w:marTop w:val="0"/>
      <w:marBottom w:val="0"/>
      <w:divBdr>
        <w:top w:val="none" w:sz="0" w:space="0" w:color="auto"/>
        <w:left w:val="none" w:sz="0" w:space="0" w:color="auto"/>
        <w:bottom w:val="none" w:sz="0" w:space="0" w:color="auto"/>
        <w:right w:val="none" w:sz="0" w:space="0" w:color="auto"/>
      </w:divBdr>
    </w:div>
    <w:div w:id="208224849">
      <w:bodyDiv w:val="1"/>
      <w:marLeft w:val="0"/>
      <w:marRight w:val="0"/>
      <w:marTop w:val="0"/>
      <w:marBottom w:val="0"/>
      <w:divBdr>
        <w:top w:val="none" w:sz="0" w:space="0" w:color="auto"/>
        <w:left w:val="none" w:sz="0" w:space="0" w:color="auto"/>
        <w:bottom w:val="none" w:sz="0" w:space="0" w:color="auto"/>
        <w:right w:val="none" w:sz="0" w:space="0" w:color="auto"/>
      </w:divBdr>
    </w:div>
    <w:div w:id="221068436">
      <w:bodyDiv w:val="1"/>
      <w:marLeft w:val="0"/>
      <w:marRight w:val="0"/>
      <w:marTop w:val="0"/>
      <w:marBottom w:val="0"/>
      <w:divBdr>
        <w:top w:val="none" w:sz="0" w:space="0" w:color="auto"/>
        <w:left w:val="none" w:sz="0" w:space="0" w:color="auto"/>
        <w:bottom w:val="none" w:sz="0" w:space="0" w:color="auto"/>
        <w:right w:val="none" w:sz="0" w:space="0" w:color="auto"/>
      </w:divBdr>
    </w:div>
    <w:div w:id="223108067">
      <w:bodyDiv w:val="1"/>
      <w:marLeft w:val="0"/>
      <w:marRight w:val="0"/>
      <w:marTop w:val="0"/>
      <w:marBottom w:val="0"/>
      <w:divBdr>
        <w:top w:val="none" w:sz="0" w:space="0" w:color="auto"/>
        <w:left w:val="none" w:sz="0" w:space="0" w:color="auto"/>
        <w:bottom w:val="none" w:sz="0" w:space="0" w:color="auto"/>
        <w:right w:val="none" w:sz="0" w:space="0" w:color="auto"/>
      </w:divBdr>
    </w:div>
    <w:div w:id="223493576">
      <w:bodyDiv w:val="1"/>
      <w:marLeft w:val="0"/>
      <w:marRight w:val="0"/>
      <w:marTop w:val="0"/>
      <w:marBottom w:val="0"/>
      <w:divBdr>
        <w:top w:val="none" w:sz="0" w:space="0" w:color="auto"/>
        <w:left w:val="none" w:sz="0" w:space="0" w:color="auto"/>
        <w:bottom w:val="none" w:sz="0" w:space="0" w:color="auto"/>
        <w:right w:val="none" w:sz="0" w:space="0" w:color="auto"/>
      </w:divBdr>
    </w:div>
    <w:div w:id="229583841">
      <w:bodyDiv w:val="1"/>
      <w:marLeft w:val="0"/>
      <w:marRight w:val="0"/>
      <w:marTop w:val="0"/>
      <w:marBottom w:val="0"/>
      <w:divBdr>
        <w:top w:val="none" w:sz="0" w:space="0" w:color="auto"/>
        <w:left w:val="none" w:sz="0" w:space="0" w:color="auto"/>
        <w:bottom w:val="none" w:sz="0" w:space="0" w:color="auto"/>
        <w:right w:val="none" w:sz="0" w:space="0" w:color="auto"/>
      </w:divBdr>
    </w:div>
    <w:div w:id="247151910">
      <w:bodyDiv w:val="1"/>
      <w:marLeft w:val="0"/>
      <w:marRight w:val="0"/>
      <w:marTop w:val="0"/>
      <w:marBottom w:val="0"/>
      <w:divBdr>
        <w:top w:val="none" w:sz="0" w:space="0" w:color="auto"/>
        <w:left w:val="none" w:sz="0" w:space="0" w:color="auto"/>
        <w:bottom w:val="none" w:sz="0" w:space="0" w:color="auto"/>
        <w:right w:val="none" w:sz="0" w:space="0" w:color="auto"/>
      </w:divBdr>
    </w:div>
    <w:div w:id="254870220">
      <w:bodyDiv w:val="1"/>
      <w:marLeft w:val="0"/>
      <w:marRight w:val="0"/>
      <w:marTop w:val="0"/>
      <w:marBottom w:val="0"/>
      <w:divBdr>
        <w:top w:val="none" w:sz="0" w:space="0" w:color="auto"/>
        <w:left w:val="none" w:sz="0" w:space="0" w:color="auto"/>
        <w:bottom w:val="none" w:sz="0" w:space="0" w:color="auto"/>
        <w:right w:val="none" w:sz="0" w:space="0" w:color="auto"/>
      </w:divBdr>
    </w:div>
    <w:div w:id="265818071">
      <w:bodyDiv w:val="1"/>
      <w:marLeft w:val="0"/>
      <w:marRight w:val="0"/>
      <w:marTop w:val="0"/>
      <w:marBottom w:val="0"/>
      <w:divBdr>
        <w:top w:val="none" w:sz="0" w:space="0" w:color="auto"/>
        <w:left w:val="none" w:sz="0" w:space="0" w:color="auto"/>
        <w:bottom w:val="none" w:sz="0" w:space="0" w:color="auto"/>
        <w:right w:val="none" w:sz="0" w:space="0" w:color="auto"/>
      </w:divBdr>
    </w:div>
    <w:div w:id="266624709">
      <w:bodyDiv w:val="1"/>
      <w:marLeft w:val="0"/>
      <w:marRight w:val="0"/>
      <w:marTop w:val="0"/>
      <w:marBottom w:val="0"/>
      <w:divBdr>
        <w:top w:val="none" w:sz="0" w:space="0" w:color="auto"/>
        <w:left w:val="none" w:sz="0" w:space="0" w:color="auto"/>
        <w:bottom w:val="none" w:sz="0" w:space="0" w:color="auto"/>
        <w:right w:val="none" w:sz="0" w:space="0" w:color="auto"/>
      </w:divBdr>
    </w:div>
    <w:div w:id="269550468">
      <w:bodyDiv w:val="1"/>
      <w:marLeft w:val="0"/>
      <w:marRight w:val="0"/>
      <w:marTop w:val="0"/>
      <w:marBottom w:val="0"/>
      <w:divBdr>
        <w:top w:val="none" w:sz="0" w:space="0" w:color="auto"/>
        <w:left w:val="none" w:sz="0" w:space="0" w:color="auto"/>
        <w:bottom w:val="none" w:sz="0" w:space="0" w:color="auto"/>
        <w:right w:val="none" w:sz="0" w:space="0" w:color="auto"/>
      </w:divBdr>
    </w:div>
    <w:div w:id="277446001">
      <w:bodyDiv w:val="1"/>
      <w:marLeft w:val="0"/>
      <w:marRight w:val="0"/>
      <w:marTop w:val="0"/>
      <w:marBottom w:val="0"/>
      <w:divBdr>
        <w:top w:val="none" w:sz="0" w:space="0" w:color="auto"/>
        <w:left w:val="none" w:sz="0" w:space="0" w:color="auto"/>
        <w:bottom w:val="none" w:sz="0" w:space="0" w:color="auto"/>
        <w:right w:val="none" w:sz="0" w:space="0" w:color="auto"/>
      </w:divBdr>
    </w:div>
    <w:div w:id="296643833">
      <w:bodyDiv w:val="1"/>
      <w:marLeft w:val="0"/>
      <w:marRight w:val="0"/>
      <w:marTop w:val="0"/>
      <w:marBottom w:val="0"/>
      <w:divBdr>
        <w:top w:val="none" w:sz="0" w:space="0" w:color="auto"/>
        <w:left w:val="none" w:sz="0" w:space="0" w:color="auto"/>
        <w:bottom w:val="none" w:sz="0" w:space="0" w:color="auto"/>
        <w:right w:val="none" w:sz="0" w:space="0" w:color="auto"/>
      </w:divBdr>
    </w:div>
    <w:div w:id="297079566">
      <w:bodyDiv w:val="1"/>
      <w:marLeft w:val="0"/>
      <w:marRight w:val="0"/>
      <w:marTop w:val="0"/>
      <w:marBottom w:val="0"/>
      <w:divBdr>
        <w:top w:val="none" w:sz="0" w:space="0" w:color="auto"/>
        <w:left w:val="none" w:sz="0" w:space="0" w:color="auto"/>
        <w:bottom w:val="none" w:sz="0" w:space="0" w:color="auto"/>
        <w:right w:val="none" w:sz="0" w:space="0" w:color="auto"/>
      </w:divBdr>
    </w:div>
    <w:div w:id="299766699">
      <w:bodyDiv w:val="1"/>
      <w:marLeft w:val="0"/>
      <w:marRight w:val="0"/>
      <w:marTop w:val="0"/>
      <w:marBottom w:val="0"/>
      <w:divBdr>
        <w:top w:val="none" w:sz="0" w:space="0" w:color="auto"/>
        <w:left w:val="none" w:sz="0" w:space="0" w:color="auto"/>
        <w:bottom w:val="none" w:sz="0" w:space="0" w:color="auto"/>
        <w:right w:val="none" w:sz="0" w:space="0" w:color="auto"/>
      </w:divBdr>
    </w:div>
    <w:div w:id="303199653">
      <w:bodyDiv w:val="1"/>
      <w:marLeft w:val="0"/>
      <w:marRight w:val="0"/>
      <w:marTop w:val="0"/>
      <w:marBottom w:val="0"/>
      <w:divBdr>
        <w:top w:val="none" w:sz="0" w:space="0" w:color="auto"/>
        <w:left w:val="none" w:sz="0" w:space="0" w:color="auto"/>
        <w:bottom w:val="none" w:sz="0" w:space="0" w:color="auto"/>
        <w:right w:val="none" w:sz="0" w:space="0" w:color="auto"/>
      </w:divBdr>
    </w:div>
    <w:div w:id="305017673">
      <w:bodyDiv w:val="1"/>
      <w:marLeft w:val="0"/>
      <w:marRight w:val="0"/>
      <w:marTop w:val="0"/>
      <w:marBottom w:val="0"/>
      <w:divBdr>
        <w:top w:val="none" w:sz="0" w:space="0" w:color="auto"/>
        <w:left w:val="none" w:sz="0" w:space="0" w:color="auto"/>
        <w:bottom w:val="none" w:sz="0" w:space="0" w:color="auto"/>
        <w:right w:val="none" w:sz="0" w:space="0" w:color="auto"/>
      </w:divBdr>
    </w:div>
    <w:div w:id="305862455">
      <w:bodyDiv w:val="1"/>
      <w:marLeft w:val="0"/>
      <w:marRight w:val="0"/>
      <w:marTop w:val="0"/>
      <w:marBottom w:val="0"/>
      <w:divBdr>
        <w:top w:val="none" w:sz="0" w:space="0" w:color="auto"/>
        <w:left w:val="none" w:sz="0" w:space="0" w:color="auto"/>
        <w:bottom w:val="none" w:sz="0" w:space="0" w:color="auto"/>
        <w:right w:val="none" w:sz="0" w:space="0" w:color="auto"/>
      </w:divBdr>
    </w:div>
    <w:div w:id="316766611">
      <w:bodyDiv w:val="1"/>
      <w:marLeft w:val="0"/>
      <w:marRight w:val="0"/>
      <w:marTop w:val="0"/>
      <w:marBottom w:val="0"/>
      <w:divBdr>
        <w:top w:val="none" w:sz="0" w:space="0" w:color="auto"/>
        <w:left w:val="none" w:sz="0" w:space="0" w:color="auto"/>
        <w:bottom w:val="none" w:sz="0" w:space="0" w:color="auto"/>
        <w:right w:val="none" w:sz="0" w:space="0" w:color="auto"/>
      </w:divBdr>
    </w:div>
    <w:div w:id="318850806">
      <w:bodyDiv w:val="1"/>
      <w:marLeft w:val="0"/>
      <w:marRight w:val="0"/>
      <w:marTop w:val="0"/>
      <w:marBottom w:val="0"/>
      <w:divBdr>
        <w:top w:val="none" w:sz="0" w:space="0" w:color="auto"/>
        <w:left w:val="none" w:sz="0" w:space="0" w:color="auto"/>
        <w:bottom w:val="none" w:sz="0" w:space="0" w:color="auto"/>
        <w:right w:val="none" w:sz="0" w:space="0" w:color="auto"/>
      </w:divBdr>
    </w:div>
    <w:div w:id="322702964">
      <w:bodyDiv w:val="1"/>
      <w:marLeft w:val="0"/>
      <w:marRight w:val="0"/>
      <w:marTop w:val="0"/>
      <w:marBottom w:val="0"/>
      <w:divBdr>
        <w:top w:val="none" w:sz="0" w:space="0" w:color="auto"/>
        <w:left w:val="none" w:sz="0" w:space="0" w:color="auto"/>
        <w:bottom w:val="none" w:sz="0" w:space="0" w:color="auto"/>
        <w:right w:val="none" w:sz="0" w:space="0" w:color="auto"/>
      </w:divBdr>
    </w:div>
    <w:div w:id="324552876">
      <w:bodyDiv w:val="1"/>
      <w:marLeft w:val="0"/>
      <w:marRight w:val="0"/>
      <w:marTop w:val="0"/>
      <w:marBottom w:val="0"/>
      <w:divBdr>
        <w:top w:val="none" w:sz="0" w:space="0" w:color="auto"/>
        <w:left w:val="none" w:sz="0" w:space="0" w:color="auto"/>
        <w:bottom w:val="none" w:sz="0" w:space="0" w:color="auto"/>
        <w:right w:val="none" w:sz="0" w:space="0" w:color="auto"/>
      </w:divBdr>
    </w:div>
    <w:div w:id="330068723">
      <w:bodyDiv w:val="1"/>
      <w:marLeft w:val="0"/>
      <w:marRight w:val="0"/>
      <w:marTop w:val="0"/>
      <w:marBottom w:val="0"/>
      <w:divBdr>
        <w:top w:val="none" w:sz="0" w:space="0" w:color="auto"/>
        <w:left w:val="none" w:sz="0" w:space="0" w:color="auto"/>
        <w:bottom w:val="none" w:sz="0" w:space="0" w:color="auto"/>
        <w:right w:val="none" w:sz="0" w:space="0" w:color="auto"/>
      </w:divBdr>
    </w:div>
    <w:div w:id="331299447">
      <w:bodyDiv w:val="1"/>
      <w:marLeft w:val="0"/>
      <w:marRight w:val="0"/>
      <w:marTop w:val="0"/>
      <w:marBottom w:val="0"/>
      <w:divBdr>
        <w:top w:val="none" w:sz="0" w:space="0" w:color="auto"/>
        <w:left w:val="none" w:sz="0" w:space="0" w:color="auto"/>
        <w:bottom w:val="none" w:sz="0" w:space="0" w:color="auto"/>
        <w:right w:val="none" w:sz="0" w:space="0" w:color="auto"/>
      </w:divBdr>
    </w:div>
    <w:div w:id="332533502">
      <w:bodyDiv w:val="1"/>
      <w:marLeft w:val="0"/>
      <w:marRight w:val="0"/>
      <w:marTop w:val="0"/>
      <w:marBottom w:val="0"/>
      <w:divBdr>
        <w:top w:val="none" w:sz="0" w:space="0" w:color="auto"/>
        <w:left w:val="none" w:sz="0" w:space="0" w:color="auto"/>
        <w:bottom w:val="none" w:sz="0" w:space="0" w:color="auto"/>
        <w:right w:val="none" w:sz="0" w:space="0" w:color="auto"/>
      </w:divBdr>
    </w:div>
    <w:div w:id="337344758">
      <w:bodyDiv w:val="1"/>
      <w:marLeft w:val="0"/>
      <w:marRight w:val="0"/>
      <w:marTop w:val="0"/>
      <w:marBottom w:val="0"/>
      <w:divBdr>
        <w:top w:val="none" w:sz="0" w:space="0" w:color="auto"/>
        <w:left w:val="none" w:sz="0" w:space="0" w:color="auto"/>
        <w:bottom w:val="none" w:sz="0" w:space="0" w:color="auto"/>
        <w:right w:val="none" w:sz="0" w:space="0" w:color="auto"/>
      </w:divBdr>
    </w:div>
    <w:div w:id="339890930">
      <w:bodyDiv w:val="1"/>
      <w:marLeft w:val="0"/>
      <w:marRight w:val="0"/>
      <w:marTop w:val="0"/>
      <w:marBottom w:val="0"/>
      <w:divBdr>
        <w:top w:val="none" w:sz="0" w:space="0" w:color="auto"/>
        <w:left w:val="none" w:sz="0" w:space="0" w:color="auto"/>
        <w:bottom w:val="none" w:sz="0" w:space="0" w:color="auto"/>
        <w:right w:val="none" w:sz="0" w:space="0" w:color="auto"/>
      </w:divBdr>
    </w:div>
    <w:div w:id="350104548">
      <w:bodyDiv w:val="1"/>
      <w:marLeft w:val="0"/>
      <w:marRight w:val="0"/>
      <w:marTop w:val="0"/>
      <w:marBottom w:val="0"/>
      <w:divBdr>
        <w:top w:val="none" w:sz="0" w:space="0" w:color="auto"/>
        <w:left w:val="none" w:sz="0" w:space="0" w:color="auto"/>
        <w:bottom w:val="none" w:sz="0" w:space="0" w:color="auto"/>
        <w:right w:val="none" w:sz="0" w:space="0" w:color="auto"/>
      </w:divBdr>
    </w:div>
    <w:div w:id="352539385">
      <w:bodyDiv w:val="1"/>
      <w:marLeft w:val="0"/>
      <w:marRight w:val="0"/>
      <w:marTop w:val="0"/>
      <w:marBottom w:val="0"/>
      <w:divBdr>
        <w:top w:val="none" w:sz="0" w:space="0" w:color="auto"/>
        <w:left w:val="none" w:sz="0" w:space="0" w:color="auto"/>
        <w:bottom w:val="none" w:sz="0" w:space="0" w:color="auto"/>
        <w:right w:val="none" w:sz="0" w:space="0" w:color="auto"/>
      </w:divBdr>
    </w:div>
    <w:div w:id="355615819">
      <w:bodyDiv w:val="1"/>
      <w:marLeft w:val="0"/>
      <w:marRight w:val="0"/>
      <w:marTop w:val="0"/>
      <w:marBottom w:val="0"/>
      <w:divBdr>
        <w:top w:val="none" w:sz="0" w:space="0" w:color="auto"/>
        <w:left w:val="none" w:sz="0" w:space="0" w:color="auto"/>
        <w:bottom w:val="none" w:sz="0" w:space="0" w:color="auto"/>
        <w:right w:val="none" w:sz="0" w:space="0" w:color="auto"/>
      </w:divBdr>
      <w:divsChild>
        <w:div w:id="484515609">
          <w:marLeft w:val="547"/>
          <w:marRight w:val="0"/>
          <w:marTop w:val="77"/>
          <w:marBottom w:val="0"/>
          <w:divBdr>
            <w:top w:val="none" w:sz="0" w:space="0" w:color="auto"/>
            <w:left w:val="none" w:sz="0" w:space="0" w:color="auto"/>
            <w:bottom w:val="none" w:sz="0" w:space="0" w:color="auto"/>
            <w:right w:val="none" w:sz="0" w:space="0" w:color="auto"/>
          </w:divBdr>
        </w:div>
      </w:divsChild>
    </w:div>
    <w:div w:id="356005082">
      <w:bodyDiv w:val="1"/>
      <w:marLeft w:val="0"/>
      <w:marRight w:val="0"/>
      <w:marTop w:val="0"/>
      <w:marBottom w:val="0"/>
      <w:divBdr>
        <w:top w:val="none" w:sz="0" w:space="0" w:color="auto"/>
        <w:left w:val="none" w:sz="0" w:space="0" w:color="auto"/>
        <w:bottom w:val="none" w:sz="0" w:space="0" w:color="auto"/>
        <w:right w:val="none" w:sz="0" w:space="0" w:color="auto"/>
      </w:divBdr>
    </w:div>
    <w:div w:id="367683364">
      <w:bodyDiv w:val="1"/>
      <w:marLeft w:val="0"/>
      <w:marRight w:val="0"/>
      <w:marTop w:val="0"/>
      <w:marBottom w:val="0"/>
      <w:divBdr>
        <w:top w:val="none" w:sz="0" w:space="0" w:color="auto"/>
        <w:left w:val="none" w:sz="0" w:space="0" w:color="auto"/>
        <w:bottom w:val="none" w:sz="0" w:space="0" w:color="auto"/>
        <w:right w:val="none" w:sz="0" w:space="0" w:color="auto"/>
      </w:divBdr>
    </w:div>
    <w:div w:id="371686433">
      <w:bodyDiv w:val="1"/>
      <w:marLeft w:val="0"/>
      <w:marRight w:val="0"/>
      <w:marTop w:val="0"/>
      <w:marBottom w:val="0"/>
      <w:divBdr>
        <w:top w:val="none" w:sz="0" w:space="0" w:color="auto"/>
        <w:left w:val="none" w:sz="0" w:space="0" w:color="auto"/>
        <w:bottom w:val="none" w:sz="0" w:space="0" w:color="auto"/>
        <w:right w:val="none" w:sz="0" w:space="0" w:color="auto"/>
      </w:divBdr>
    </w:div>
    <w:div w:id="379716502">
      <w:bodyDiv w:val="1"/>
      <w:marLeft w:val="0"/>
      <w:marRight w:val="0"/>
      <w:marTop w:val="0"/>
      <w:marBottom w:val="0"/>
      <w:divBdr>
        <w:top w:val="none" w:sz="0" w:space="0" w:color="auto"/>
        <w:left w:val="none" w:sz="0" w:space="0" w:color="auto"/>
        <w:bottom w:val="none" w:sz="0" w:space="0" w:color="auto"/>
        <w:right w:val="none" w:sz="0" w:space="0" w:color="auto"/>
      </w:divBdr>
    </w:div>
    <w:div w:id="381364720">
      <w:bodyDiv w:val="1"/>
      <w:marLeft w:val="0"/>
      <w:marRight w:val="0"/>
      <w:marTop w:val="0"/>
      <w:marBottom w:val="0"/>
      <w:divBdr>
        <w:top w:val="none" w:sz="0" w:space="0" w:color="auto"/>
        <w:left w:val="none" w:sz="0" w:space="0" w:color="auto"/>
        <w:bottom w:val="none" w:sz="0" w:space="0" w:color="auto"/>
        <w:right w:val="none" w:sz="0" w:space="0" w:color="auto"/>
      </w:divBdr>
    </w:div>
    <w:div w:id="398598552">
      <w:bodyDiv w:val="1"/>
      <w:marLeft w:val="0"/>
      <w:marRight w:val="0"/>
      <w:marTop w:val="0"/>
      <w:marBottom w:val="0"/>
      <w:divBdr>
        <w:top w:val="none" w:sz="0" w:space="0" w:color="auto"/>
        <w:left w:val="none" w:sz="0" w:space="0" w:color="auto"/>
        <w:bottom w:val="none" w:sz="0" w:space="0" w:color="auto"/>
        <w:right w:val="none" w:sz="0" w:space="0" w:color="auto"/>
      </w:divBdr>
    </w:div>
    <w:div w:id="400713784">
      <w:bodyDiv w:val="1"/>
      <w:marLeft w:val="0"/>
      <w:marRight w:val="0"/>
      <w:marTop w:val="0"/>
      <w:marBottom w:val="0"/>
      <w:divBdr>
        <w:top w:val="none" w:sz="0" w:space="0" w:color="auto"/>
        <w:left w:val="none" w:sz="0" w:space="0" w:color="auto"/>
        <w:bottom w:val="none" w:sz="0" w:space="0" w:color="auto"/>
        <w:right w:val="none" w:sz="0" w:space="0" w:color="auto"/>
      </w:divBdr>
    </w:div>
    <w:div w:id="401223216">
      <w:bodyDiv w:val="1"/>
      <w:marLeft w:val="0"/>
      <w:marRight w:val="0"/>
      <w:marTop w:val="0"/>
      <w:marBottom w:val="0"/>
      <w:divBdr>
        <w:top w:val="none" w:sz="0" w:space="0" w:color="auto"/>
        <w:left w:val="none" w:sz="0" w:space="0" w:color="auto"/>
        <w:bottom w:val="none" w:sz="0" w:space="0" w:color="auto"/>
        <w:right w:val="none" w:sz="0" w:space="0" w:color="auto"/>
      </w:divBdr>
    </w:div>
    <w:div w:id="402989411">
      <w:bodyDiv w:val="1"/>
      <w:marLeft w:val="0"/>
      <w:marRight w:val="0"/>
      <w:marTop w:val="0"/>
      <w:marBottom w:val="0"/>
      <w:divBdr>
        <w:top w:val="none" w:sz="0" w:space="0" w:color="auto"/>
        <w:left w:val="none" w:sz="0" w:space="0" w:color="auto"/>
        <w:bottom w:val="none" w:sz="0" w:space="0" w:color="auto"/>
        <w:right w:val="none" w:sz="0" w:space="0" w:color="auto"/>
      </w:divBdr>
    </w:div>
    <w:div w:id="403643567">
      <w:bodyDiv w:val="1"/>
      <w:marLeft w:val="0"/>
      <w:marRight w:val="0"/>
      <w:marTop w:val="0"/>
      <w:marBottom w:val="0"/>
      <w:divBdr>
        <w:top w:val="none" w:sz="0" w:space="0" w:color="auto"/>
        <w:left w:val="none" w:sz="0" w:space="0" w:color="auto"/>
        <w:bottom w:val="none" w:sz="0" w:space="0" w:color="auto"/>
        <w:right w:val="none" w:sz="0" w:space="0" w:color="auto"/>
      </w:divBdr>
    </w:div>
    <w:div w:id="407533654">
      <w:bodyDiv w:val="1"/>
      <w:marLeft w:val="0"/>
      <w:marRight w:val="0"/>
      <w:marTop w:val="0"/>
      <w:marBottom w:val="0"/>
      <w:divBdr>
        <w:top w:val="none" w:sz="0" w:space="0" w:color="auto"/>
        <w:left w:val="none" w:sz="0" w:space="0" w:color="auto"/>
        <w:bottom w:val="none" w:sz="0" w:space="0" w:color="auto"/>
        <w:right w:val="none" w:sz="0" w:space="0" w:color="auto"/>
      </w:divBdr>
    </w:div>
    <w:div w:id="408962337">
      <w:bodyDiv w:val="1"/>
      <w:marLeft w:val="0"/>
      <w:marRight w:val="0"/>
      <w:marTop w:val="0"/>
      <w:marBottom w:val="0"/>
      <w:divBdr>
        <w:top w:val="none" w:sz="0" w:space="0" w:color="auto"/>
        <w:left w:val="none" w:sz="0" w:space="0" w:color="auto"/>
        <w:bottom w:val="none" w:sz="0" w:space="0" w:color="auto"/>
        <w:right w:val="none" w:sz="0" w:space="0" w:color="auto"/>
      </w:divBdr>
    </w:div>
    <w:div w:id="415782385">
      <w:bodyDiv w:val="1"/>
      <w:marLeft w:val="0"/>
      <w:marRight w:val="0"/>
      <w:marTop w:val="0"/>
      <w:marBottom w:val="0"/>
      <w:divBdr>
        <w:top w:val="none" w:sz="0" w:space="0" w:color="auto"/>
        <w:left w:val="none" w:sz="0" w:space="0" w:color="auto"/>
        <w:bottom w:val="none" w:sz="0" w:space="0" w:color="auto"/>
        <w:right w:val="none" w:sz="0" w:space="0" w:color="auto"/>
      </w:divBdr>
    </w:div>
    <w:div w:id="427777701">
      <w:bodyDiv w:val="1"/>
      <w:marLeft w:val="0"/>
      <w:marRight w:val="0"/>
      <w:marTop w:val="0"/>
      <w:marBottom w:val="0"/>
      <w:divBdr>
        <w:top w:val="none" w:sz="0" w:space="0" w:color="auto"/>
        <w:left w:val="none" w:sz="0" w:space="0" w:color="auto"/>
        <w:bottom w:val="none" w:sz="0" w:space="0" w:color="auto"/>
        <w:right w:val="none" w:sz="0" w:space="0" w:color="auto"/>
      </w:divBdr>
    </w:div>
    <w:div w:id="438379380">
      <w:bodyDiv w:val="1"/>
      <w:marLeft w:val="0"/>
      <w:marRight w:val="0"/>
      <w:marTop w:val="0"/>
      <w:marBottom w:val="0"/>
      <w:divBdr>
        <w:top w:val="none" w:sz="0" w:space="0" w:color="auto"/>
        <w:left w:val="none" w:sz="0" w:space="0" w:color="auto"/>
        <w:bottom w:val="none" w:sz="0" w:space="0" w:color="auto"/>
        <w:right w:val="none" w:sz="0" w:space="0" w:color="auto"/>
      </w:divBdr>
    </w:div>
    <w:div w:id="443231457">
      <w:bodyDiv w:val="1"/>
      <w:marLeft w:val="0"/>
      <w:marRight w:val="0"/>
      <w:marTop w:val="0"/>
      <w:marBottom w:val="0"/>
      <w:divBdr>
        <w:top w:val="none" w:sz="0" w:space="0" w:color="auto"/>
        <w:left w:val="none" w:sz="0" w:space="0" w:color="auto"/>
        <w:bottom w:val="none" w:sz="0" w:space="0" w:color="auto"/>
        <w:right w:val="none" w:sz="0" w:space="0" w:color="auto"/>
      </w:divBdr>
    </w:div>
    <w:div w:id="448815961">
      <w:bodyDiv w:val="1"/>
      <w:marLeft w:val="0"/>
      <w:marRight w:val="0"/>
      <w:marTop w:val="0"/>
      <w:marBottom w:val="0"/>
      <w:divBdr>
        <w:top w:val="none" w:sz="0" w:space="0" w:color="auto"/>
        <w:left w:val="none" w:sz="0" w:space="0" w:color="auto"/>
        <w:bottom w:val="none" w:sz="0" w:space="0" w:color="auto"/>
        <w:right w:val="none" w:sz="0" w:space="0" w:color="auto"/>
      </w:divBdr>
    </w:div>
    <w:div w:id="469052685">
      <w:bodyDiv w:val="1"/>
      <w:marLeft w:val="0"/>
      <w:marRight w:val="0"/>
      <w:marTop w:val="0"/>
      <w:marBottom w:val="0"/>
      <w:divBdr>
        <w:top w:val="none" w:sz="0" w:space="0" w:color="auto"/>
        <w:left w:val="none" w:sz="0" w:space="0" w:color="auto"/>
        <w:bottom w:val="none" w:sz="0" w:space="0" w:color="auto"/>
        <w:right w:val="none" w:sz="0" w:space="0" w:color="auto"/>
      </w:divBdr>
    </w:div>
    <w:div w:id="469901144">
      <w:bodyDiv w:val="1"/>
      <w:marLeft w:val="0"/>
      <w:marRight w:val="0"/>
      <w:marTop w:val="0"/>
      <w:marBottom w:val="0"/>
      <w:divBdr>
        <w:top w:val="none" w:sz="0" w:space="0" w:color="auto"/>
        <w:left w:val="none" w:sz="0" w:space="0" w:color="auto"/>
        <w:bottom w:val="none" w:sz="0" w:space="0" w:color="auto"/>
        <w:right w:val="none" w:sz="0" w:space="0" w:color="auto"/>
      </w:divBdr>
    </w:div>
    <w:div w:id="475028092">
      <w:bodyDiv w:val="1"/>
      <w:marLeft w:val="0"/>
      <w:marRight w:val="0"/>
      <w:marTop w:val="0"/>
      <w:marBottom w:val="0"/>
      <w:divBdr>
        <w:top w:val="none" w:sz="0" w:space="0" w:color="auto"/>
        <w:left w:val="none" w:sz="0" w:space="0" w:color="auto"/>
        <w:bottom w:val="none" w:sz="0" w:space="0" w:color="auto"/>
        <w:right w:val="none" w:sz="0" w:space="0" w:color="auto"/>
      </w:divBdr>
    </w:div>
    <w:div w:id="494566633">
      <w:bodyDiv w:val="1"/>
      <w:marLeft w:val="0"/>
      <w:marRight w:val="0"/>
      <w:marTop w:val="0"/>
      <w:marBottom w:val="0"/>
      <w:divBdr>
        <w:top w:val="none" w:sz="0" w:space="0" w:color="auto"/>
        <w:left w:val="none" w:sz="0" w:space="0" w:color="auto"/>
        <w:bottom w:val="none" w:sz="0" w:space="0" w:color="auto"/>
        <w:right w:val="none" w:sz="0" w:space="0" w:color="auto"/>
      </w:divBdr>
    </w:div>
    <w:div w:id="507446619">
      <w:bodyDiv w:val="1"/>
      <w:marLeft w:val="0"/>
      <w:marRight w:val="0"/>
      <w:marTop w:val="0"/>
      <w:marBottom w:val="0"/>
      <w:divBdr>
        <w:top w:val="none" w:sz="0" w:space="0" w:color="auto"/>
        <w:left w:val="none" w:sz="0" w:space="0" w:color="auto"/>
        <w:bottom w:val="none" w:sz="0" w:space="0" w:color="auto"/>
        <w:right w:val="none" w:sz="0" w:space="0" w:color="auto"/>
      </w:divBdr>
    </w:div>
    <w:div w:id="511528590">
      <w:bodyDiv w:val="1"/>
      <w:marLeft w:val="0"/>
      <w:marRight w:val="0"/>
      <w:marTop w:val="0"/>
      <w:marBottom w:val="0"/>
      <w:divBdr>
        <w:top w:val="none" w:sz="0" w:space="0" w:color="auto"/>
        <w:left w:val="none" w:sz="0" w:space="0" w:color="auto"/>
        <w:bottom w:val="none" w:sz="0" w:space="0" w:color="auto"/>
        <w:right w:val="none" w:sz="0" w:space="0" w:color="auto"/>
      </w:divBdr>
    </w:div>
    <w:div w:id="523709362">
      <w:bodyDiv w:val="1"/>
      <w:marLeft w:val="0"/>
      <w:marRight w:val="0"/>
      <w:marTop w:val="0"/>
      <w:marBottom w:val="0"/>
      <w:divBdr>
        <w:top w:val="none" w:sz="0" w:space="0" w:color="auto"/>
        <w:left w:val="none" w:sz="0" w:space="0" w:color="auto"/>
        <w:bottom w:val="none" w:sz="0" w:space="0" w:color="auto"/>
        <w:right w:val="none" w:sz="0" w:space="0" w:color="auto"/>
      </w:divBdr>
    </w:div>
    <w:div w:id="523982022">
      <w:bodyDiv w:val="1"/>
      <w:marLeft w:val="0"/>
      <w:marRight w:val="0"/>
      <w:marTop w:val="0"/>
      <w:marBottom w:val="0"/>
      <w:divBdr>
        <w:top w:val="none" w:sz="0" w:space="0" w:color="auto"/>
        <w:left w:val="none" w:sz="0" w:space="0" w:color="auto"/>
        <w:bottom w:val="none" w:sz="0" w:space="0" w:color="auto"/>
        <w:right w:val="none" w:sz="0" w:space="0" w:color="auto"/>
      </w:divBdr>
    </w:div>
    <w:div w:id="526604116">
      <w:bodyDiv w:val="1"/>
      <w:marLeft w:val="0"/>
      <w:marRight w:val="0"/>
      <w:marTop w:val="0"/>
      <w:marBottom w:val="0"/>
      <w:divBdr>
        <w:top w:val="none" w:sz="0" w:space="0" w:color="auto"/>
        <w:left w:val="none" w:sz="0" w:space="0" w:color="auto"/>
        <w:bottom w:val="none" w:sz="0" w:space="0" w:color="auto"/>
        <w:right w:val="none" w:sz="0" w:space="0" w:color="auto"/>
      </w:divBdr>
    </w:div>
    <w:div w:id="537817764">
      <w:bodyDiv w:val="1"/>
      <w:marLeft w:val="0"/>
      <w:marRight w:val="0"/>
      <w:marTop w:val="0"/>
      <w:marBottom w:val="0"/>
      <w:divBdr>
        <w:top w:val="none" w:sz="0" w:space="0" w:color="auto"/>
        <w:left w:val="none" w:sz="0" w:space="0" w:color="auto"/>
        <w:bottom w:val="none" w:sz="0" w:space="0" w:color="auto"/>
        <w:right w:val="none" w:sz="0" w:space="0" w:color="auto"/>
      </w:divBdr>
    </w:div>
    <w:div w:id="540287566">
      <w:bodyDiv w:val="1"/>
      <w:marLeft w:val="0"/>
      <w:marRight w:val="0"/>
      <w:marTop w:val="0"/>
      <w:marBottom w:val="0"/>
      <w:divBdr>
        <w:top w:val="none" w:sz="0" w:space="0" w:color="auto"/>
        <w:left w:val="none" w:sz="0" w:space="0" w:color="auto"/>
        <w:bottom w:val="none" w:sz="0" w:space="0" w:color="auto"/>
        <w:right w:val="none" w:sz="0" w:space="0" w:color="auto"/>
      </w:divBdr>
    </w:div>
    <w:div w:id="549728090">
      <w:bodyDiv w:val="1"/>
      <w:marLeft w:val="0"/>
      <w:marRight w:val="0"/>
      <w:marTop w:val="0"/>
      <w:marBottom w:val="0"/>
      <w:divBdr>
        <w:top w:val="none" w:sz="0" w:space="0" w:color="auto"/>
        <w:left w:val="none" w:sz="0" w:space="0" w:color="auto"/>
        <w:bottom w:val="none" w:sz="0" w:space="0" w:color="auto"/>
        <w:right w:val="none" w:sz="0" w:space="0" w:color="auto"/>
      </w:divBdr>
    </w:div>
    <w:div w:id="557597798">
      <w:bodyDiv w:val="1"/>
      <w:marLeft w:val="0"/>
      <w:marRight w:val="0"/>
      <w:marTop w:val="0"/>
      <w:marBottom w:val="0"/>
      <w:divBdr>
        <w:top w:val="none" w:sz="0" w:space="0" w:color="auto"/>
        <w:left w:val="none" w:sz="0" w:space="0" w:color="auto"/>
        <w:bottom w:val="none" w:sz="0" w:space="0" w:color="auto"/>
        <w:right w:val="none" w:sz="0" w:space="0" w:color="auto"/>
      </w:divBdr>
    </w:div>
    <w:div w:id="565191777">
      <w:bodyDiv w:val="1"/>
      <w:marLeft w:val="0"/>
      <w:marRight w:val="0"/>
      <w:marTop w:val="0"/>
      <w:marBottom w:val="0"/>
      <w:divBdr>
        <w:top w:val="none" w:sz="0" w:space="0" w:color="auto"/>
        <w:left w:val="none" w:sz="0" w:space="0" w:color="auto"/>
        <w:bottom w:val="none" w:sz="0" w:space="0" w:color="auto"/>
        <w:right w:val="none" w:sz="0" w:space="0" w:color="auto"/>
      </w:divBdr>
    </w:div>
    <w:div w:id="577402585">
      <w:bodyDiv w:val="1"/>
      <w:marLeft w:val="0"/>
      <w:marRight w:val="0"/>
      <w:marTop w:val="0"/>
      <w:marBottom w:val="0"/>
      <w:divBdr>
        <w:top w:val="none" w:sz="0" w:space="0" w:color="auto"/>
        <w:left w:val="none" w:sz="0" w:space="0" w:color="auto"/>
        <w:bottom w:val="none" w:sz="0" w:space="0" w:color="auto"/>
        <w:right w:val="none" w:sz="0" w:space="0" w:color="auto"/>
      </w:divBdr>
    </w:div>
    <w:div w:id="582885015">
      <w:bodyDiv w:val="1"/>
      <w:marLeft w:val="0"/>
      <w:marRight w:val="0"/>
      <w:marTop w:val="0"/>
      <w:marBottom w:val="0"/>
      <w:divBdr>
        <w:top w:val="none" w:sz="0" w:space="0" w:color="auto"/>
        <w:left w:val="none" w:sz="0" w:space="0" w:color="auto"/>
        <w:bottom w:val="none" w:sz="0" w:space="0" w:color="auto"/>
        <w:right w:val="none" w:sz="0" w:space="0" w:color="auto"/>
      </w:divBdr>
    </w:div>
    <w:div w:id="589044828">
      <w:bodyDiv w:val="1"/>
      <w:marLeft w:val="0"/>
      <w:marRight w:val="0"/>
      <w:marTop w:val="0"/>
      <w:marBottom w:val="0"/>
      <w:divBdr>
        <w:top w:val="none" w:sz="0" w:space="0" w:color="auto"/>
        <w:left w:val="none" w:sz="0" w:space="0" w:color="auto"/>
        <w:bottom w:val="none" w:sz="0" w:space="0" w:color="auto"/>
        <w:right w:val="none" w:sz="0" w:space="0" w:color="auto"/>
      </w:divBdr>
    </w:div>
    <w:div w:id="590622568">
      <w:bodyDiv w:val="1"/>
      <w:marLeft w:val="0"/>
      <w:marRight w:val="0"/>
      <w:marTop w:val="0"/>
      <w:marBottom w:val="0"/>
      <w:divBdr>
        <w:top w:val="none" w:sz="0" w:space="0" w:color="auto"/>
        <w:left w:val="none" w:sz="0" w:space="0" w:color="auto"/>
        <w:bottom w:val="none" w:sz="0" w:space="0" w:color="auto"/>
        <w:right w:val="none" w:sz="0" w:space="0" w:color="auto"/>
      </w:divBdr>
    </w:div>
    <w:div w:id="591359388">
      <w:bodyDiv w:val="1"/>
      <w:marLeft w:val="0"/>
      <w:marRight w:val="0"/>
      <w:marTop w:val="0"/>
      <w:marBottom w:val="0"/>
      <w:divBdr>
        <w:top w:val="none" w:sz="0" w:space="0" w:color="auto"/>
        <w:left w:val="none" w:sz="0" w:space="0" w:color="auto"/>
        <w:bottom w:val="none" w:sz="0" w:space="0" w:color="auto"/>
        <w:right w:val="none" w:sz="0" w:space="0" w:color="auto"/>
      </w:divBdr>
    </w:div>
    <w:div w:id="597567787">
      <w:bodyDiv w:val="1"/>
      <w:marLeft w:val="0"/>
      <w:marRight w:val="0"/>
      <w:marTop w:val="0"/>
      <w:marBottom w:val="0"/>
      <w:divBdr>
        <w:top w:val="none" w:sz="0" w:space="0" w:color="auto"/>
        <w:left w:val="none" w:sz="0" w:space="0" w:color="auto"/>
        <w:bottom w:val="none" w:sz="0" w:space="0" w:color="auto"/>
        <w:right w:val="none" w:sz="0" w:space="0" w:color="auto"/>
      </w:divBdr>
    </w:div>
    <w:div w:id="598370329">
      <w:bodyDiv w:val="1"/>
      <w:marLeft w:val="0"/>
      <w:marRight w:val="0"/>
      <w:marTop w:val="0"/>
      <w:marBottom w:val="0"/>
      <w:divBdr>
        <w:top w:val="none" w:sz="0" w:space="0" w:color="auto"/>
        <w:left w:val="none" w:sz="0" w:space="0" w:color="auto"/>
        <w:bottom w:val="none" w:sz="0" w:space="0" w:color="auto"/>
        <w:right w:val="none" w:sz="0" w:space="0" w:color="auto"/>
      </w:divBdr>
    </w:div>
    <w:div w:id="600070073">
      <w:bodyDiv w:val="1"/>
      <w:marLeft w:val="0"/>
      <w:marRight w:val="0"/>
      <w:marTop w:val="0"/>
      <w:marBottom w:val="0"/>
      <w:divBdr>
        <w:top w:val="none" w:sz="0" w:space="0" w:color="auto"/>
        <w:left w:val="none" w:sz="0" w:space="0" w:color="auto"/>
        <w:bottom w:val="none" w:sz="0" w:space="0" w:color="auto"/>
        <w:right w:val="none" w:sz="0" w:space="0" w:color="auto"/>
      </w:divBdr>
    </w:div>
    <w:div w:id="600379117">
      <w:bodyDiv w:val="1"/>
      <w:marLeft w:val="0"/>
      <w:marRight w:val="0"/>
      <w:marTop w:val="0"/>
      <w:marBottom w:val="0"/>
      <w:divBdr>
        <w:top w:val="none" w:sz="0" w:space="0" w:color="auto"/>
        <w:left w:val="none" w:sz="0" w:space="0" w:color="auto"/>
        <w:bottom w:val="none" w:sz="0" w:space="0" w:color="auto"/>
        <w:right w:val="none" w:sz="0" w:space="0" w:color="auto"/>
      </w:divBdr>
    </w:div>
    <w:div w:id="605815932">
      <w:bodyDiv w:val="1"/>
      <w:marLeft w:val="0"/>
      <w:marRight w:val="0"/>
      <w:marTop w:val="0"/>
      <w:marBottom w:val="0"/>
      <w:divBdr>
        <w:top w:val="none" w:sz="0" w:space="0" w:color="auto"/>
        <w:left w:val="none" w:sz="0" w:space="0" w:color="auto"/>
        <w:bottom w:val="none" w:sz="0" w:space="0" w:color="auto"/>
        <w:right w:val="none" w:sz="0" w:space="0" w:color="auto"/>
      </w:divBdr>
    </w:div>
    <w:div w:id="607934664">
      <w:bodyDiv w:val="1"/>
      <w:marLeft w:val="0"/>
      <w:marRight w:val="0"/>
      <w:marTop w:val="0"/>
      <w:marBottom w:val="0"/>
      <w:divBdr>
        <w:top w:val="none" w:sz="0" w:space="0" w:color="auto"/>
        <w:left w:val="none" w:sz="0" w:space="0" w:color="auto"/>
        <w:bottom w:val="none" w:sz="0" w:space="0" w:color="auto"/>
        <w:right w:val="none" w:sz="0" w:space="0" w:color="auto"/>
      </w:divBdr>
    </w:div>
    <w:div w:id="619800921">
      <w:bodyDiv w:val="1"/>
      <w:marLeft w:val="0"/>
      <w:marRight w:val="0"/>
      <w:marTop w:val="0"/>
      <w:marBottom w:val="0"/>
      <w:divBdr>
        <w:top w:val="none" w:sz="0" w:space="0" w:color="auto"/>
        <w:left w:val="none" w:sz="0" w:space="0" w:color="auto"/>
        <w:bottom w:val="none" w:sz="0" w:space="0" w:color="auto"/>
        <w:right w:val="none" w:sz="0" w:space="0" w:color="auto"/>
      </w:divBdr>
    </w:div>
    <w:div w:id="620040470">
      <w:bodyDiv w:val="1"/>
      <w:marLeft w:val="0"/>
      <w:marRight w:val="0"/>
      <w:marTop w:val="0"/>
      <w:marBottom w:val="0"/>
      <w:divBdr>
        <w:top w:val="none" w:sz="0" w:space="0" w:color="auto"/>
        <w:left w:val="none" w:sz="0" w:space="0" w:color="auto"/>
        <w:bottom w:val="none" w:sz="0" w:space="0" w:color="auto"/>
        <w:right w:val="none" w:sz="0" w:space="0" w:color="auto"/>
      </w:divBdr>
    </w:div>
    <w:div w:id="627318138">
      <w:bodyDiv w:val="1"/>
      <w:marLeft w:val="0"/>
      <w:marRight w:val="0"/>
      <w:marTop w:val="0"/>
      <w:marBottom w:val="0"/>
      <w:divBdr>
        <w:top w:val="none" w:sz="0" w:space="0" w:color="auto"/>
        <w:left w:val="none" w:sz="0" w:space="0" w:color="auto"/>
        <w:bottom w:val="none" w:sz="0" w:space="0" w:color="auto"/>
        <w:right w:val="none" w:sz="0" w:space="0" w:color="auto"/>
      </w:divBdr>
    </w:div>
    <w:div w:id="645204361">
      <w:bodyDiv w:val="1"/>
      <w:marLeft w:val="0"/>
      <w:marRight w:val="0"/>
      <w:marTop w:val="0"/>
      <w:marBottom w:val="0"/>
      <w:divBdr>
        <w:top w:val="none" w:sz="0" w:space="0" w:color="auto"/>
        <w:left w:val="none" w:sz="0" w:space="0" w:color="auto"/>
        <w:bottom w:val="none" w:sz="0" w:space="0" w:color="auto"/>
        <w:right w:val="none" w:sz="0" w:space="0" w:color="auto"/>
      </w:divBdr>
    </w:div>
    <w:div w:id="647588409">
      <w:bodyDiv w:val="1"/>
      <w:marLeft w:val="0"/>
      <w:marRight w:val="0"/>
      <w:marTop w:val="0"/>
      <w:marBottom w:val="0"/>
      <w:divBdr>
        <w:top w:val="none" w:sz="0" w:space="0" w:color="auto"/>
        <w:left w:val="none" w:sz="0" w:space="0" w:color="auto"/>
        <w:bottom w:val="none" w:sz="0" w:space="0" w:color="auto"/>
        <w:right w:val="none" w:sz="0" w:space="0" w:color="auto"/>
      </w:divBdr>
    </w:div>
    <w:div w:id="656885047">
      <w:bodyDiv w:val="1"/>
      <w:marLeft w:val="0"/>
      <w:marRight w:val="0"/>
      <w:marTop w:val="0"/>
      <w:marBottom w:val="0"/>
      <w:divBdr>
        <w:top w:val="none" w:sz="0" w:space="0" w:color="auto"/>
        <w:left w:val="none" w:sz="0" w:space="0" w:color="auto"/>
        <w:bottom w:val="none" w:sz="0" w:space="0" w:color="auto"/>
        <w:right w:val="none" w:sz="0" w:space="0" w:color="auto"/>
      </w:divBdr>
    </w:div>
    <w:div w:id="660890494">
      <w:bodyDiv w:val="1"/>
      <w:marLeft w:val="0"/>
      <w:marRight w:val="0"/>
      <w:marTop w:val="0"/>
      <w:marBottom w:val="0"/>
      <w:divBdr>
        <w:top w:val="none" w:sz="0" w:space="0" w:color="auto"/>
        <w:left w:val="none" w:sz="0" w:space="0" w:color="auto"/>
        <w:bottom w:val="none" w:sz="0" w:space="0" w:color="auto"/>
        <w:right w:val="none" w:sz="0" w:space="0" w:color="auto"/>
      </w:divBdr>
    </w:div>
    <w:div w:id="666444994">
      <w:bodyDiv w:val="1"/>
      <w:marLeft w:val="0"/>
      <w:marRight w:val="0"/>
      <w:marTop w:val="0"/>
      <w:marBottom w:val="0"/>
      <w:divBdr>
        <w:top w:val="none" w:sz="0" w:space="0" w:color="auto"/>
        <w:left w:val="none" w:sz="0" w:space="0" w:color="auto"/>
        <w:bottom w:val="none" w:sz="0" w:space="0" w:color="auto"/>
        <w:right w:val="none" w:sz="0" w:space="0" w:color="auto"/>
      </w:divBdr>
    </w:div>
    <w:div w:id="667908309">
      <w:bodyDiv w:val="1"/>
      <w:marLeft w:val="0"/>
      <w:marRight w:val="0"/>
      <w:marTop w:val="0"/>
      <w:marBottom w:val="0"/>
      <w:divBdr>
        <w:top w:val="none" w:sz="0" w:space="0" w:color="auto"/>
        <w:left w:val="none" w:sz="0" w:space="0" w:color="auto"/>
        <w:bottom w:val="none" w:sz="0" w:space="0" w:color="auto"/>
        <w:right w:val="none" w:sz="0" w:space="0" w:color="auto"/>
      </w:divBdr>
    </w:div>
    <w:div w:id="668673822">
      <w:bodyDiv w:val="1"/>
      <w:marLeft w:val="0"/>
      <w:marRight w:val="0"/>
      <w:marTop w:val="0"/>
      <w:marBottom w:val="0"/>
      <w:divBdr>
        <w:top w:val="none" w:sz="0" w:space="0" w:color="auto"/>
        <w:left w:val="none" w:sz="0" w:space="0" w:color="auto"/>
        <w:bottom w:val="none" w:sz="0" w:space="0" w:color="auto"/>
        <w:right w:val="none" w:sz="0" w:space="0" w:color="auto"/>
      </w:divBdr>
    </w:div>
    <w:div w:id="679432081">
      <w:bodyDiv w:val="1"/>
      <w:marLeft w:val="0"/>
      <w:marRight w:val="0"/>
      <w:marTop w:val="0"/>
      <w:marBottom w:val="0"/>
      <w:divBdr>
        <w:top w:val="none" w:sz="0" w:space="0" w:color="auto"/>
        <w:left w:val="none" w:sz="0" w:space="0" w:color="auto"/>
        <w:bottom w:val="none" w:sz="0" w:space="0" w:color="auto"/>
        <w:right w:val="none" w:sz="0" w:space="0" w:color="auto"/>
      </w:divBdr>
    </w:div>
    <w:div w:id="688602774">
      <w:bodyDiv w:val="1"/>
      <w:marLeft w:val="0"/>
      <w:marRight w:val="0"/>
      <w:marTop w:val="0"/>
      <w:marBottom w:val="0"/>
      <w:divBdr>
        <w:top w:val="none" w:sz="0" w:space="0" w:color="auto"/>
        <w:left w:val="none" w:sz="0" w:space="0" w:color="auto"/>
        <w:bottom w:val="none" w:sz="0" w:space="0" w:color="auto"/>
        <w:right w:val="none" w:sz="0" w:space="0" w:color="auto"/>
      </w:divBdr>
    </w:div>
    <w:div w:id="697203049">
      <w:bodyDiv w:val="1"/>
      <w:marLeft w:val="0"/>
      <w:marRight w:val="0"/>
      <w:marTop w:val="0"/>
      <w:marBottom w:val="0"/>
      <w:divBdr>
        <w:top w:val="none" w:sz="0" w:space="0" w:color="auto"/>
        <w:left w:val="none" w:sz="0" w:space="0" w:color="auto"/>
        <w:bottom w:val="none" w:sz="0" w:space="0" w:color="auto"/>
        <w:right w:val="none" w:sz="0" w:space="0" w:color="auto"/>
      </w:divBdr>
    </w:div>
    <w:div w:id="700713730">
      <w:bodyDiv w:val="1"/>
      <w:marLeft w:val="0"/>
      <w:marRight w:val="0"/>
      <w:marTop w:val="0"/>
      <w:marBottom w:val="0"/>
      <w:divBdr>
        <w:top w:val="none" w:sz="0" w:space="0" w:color="auto"/>
        <w:left w:val="none" w:sz="0" w:space="0" w:color="auto"/>
        <w:bottom w:val="none" w:sz="0" w:space="0" w:color="auto"/>
        <w:right w:val="none" w:sz="0" w:space="0" w:color="auto"/>
      </w:divBdr>
    </w:div>
    <w:div w:id="706177027">
      <w:bodyDiv w:val="1"/>
      <w:marLeft w:val="0"/>
      <w:marRight w:val="0"/>
      <w:marTop w:val="0"/>
      <w:marBottom w:val="0"/>
      <w:divBdr>
        <w:top w:val="none" w:sz="0" w:space="0" w:color="auto"/>
        <w:left w:val="none" w:sz="0" w:space="0" w:color="auto"/>
        <w:bottom w:val="none" w:sz="0" w:space="0" w:color="auto"/>
        <w:right w:val="none" w:sz="0" w:space="0" w:color="auto"/>
      </w:divBdr>
    </w:div>
    <w:div w:id="710572213">
      <w:bodyDiv w:val="1"/>
      <w:marLeft w:val="0"/>
      <w:marRight w:val="0"/>
      <w:marTop w:val="0"/>
      <w:marBottom w:val="0"/>
      <w:divBdr>
        <w:top w:val="none" w:sz="0" w:space="0" w:color="auto"/>
        <w:left w:val="none" w:sz="0" w:space="0" w:color="auto"/>
        <w:bottom w:val="none" w:sz="0" w:space="0" w:color="auto"/>
        <w:right w:val="none" w:sz="0" w:space="0" w:color="auto"/>
      </w:divBdr>
    </w:div>
    <w:div w:id="711148966">
      <w:bodyDiv w:val="1"/>
      <w:marLeft w:val="0"/>
      <w:marRight w:val="0"/>
      <w:marTop w:val="0"/>
      <w:marBottom w:val="0"/>
      <w:divBdr>
        <w:top w:val="none" w:sz="0" w:space="0" w:color="auto"/>
        <w:left w:val="none" w:sz="0" w:space="0" w:color="auto"/>
        <w:bottom w:val="none" w:sz="0" w:space="0" w:color="auto"/>
        <w:right w:val="none" w:sz="0" w:space="0" w:color="auto"/>
      </w:divBdr>
    </w:div>
    <w:div w:id="711807926">
      <w:bodyDiv w:val="1"/>
      <w:marLeft w:val="0"/>
      <w:marRight w:val="0"/>
      <w:marTop w:val="0"/>
      <w:marBottom w:val="0"/>
      <w:divBdr>
        <w:top w:val="none" w:sz="0" w:space="0" w:color="auto"/>
        <w:left w:val="none" w:sz="0" w:space="0" w:color="auto"/>
        <w:bottom w:val="none" w:sz="0" w:space="0" w:color="auto"/>
        <w:right w:val="none" w:sz="0" w:space="0" w:color="auto"/>
      </w:divBdr>
    </w:div>
    <w:div w:id="715012741">
      <w:bodyDiv w:val="1"/>
      <w:marLeft w:val="0"/>
      <w:marRight w:val="0"/>
      <w:marTop w:val="0"/>
      <w:marBottom w:val="0"/>
      <w:divBdr>
        <w:top w:val="none" w:sz="0" w:space="0" w:color="auto"/>
        <w:left w:val="none" w:sz="0" w:space="0" w:color="auto"/>
        <w:bottom w:val="none" w:sz="0" w:space="0" w:color="auto"/>
        <w:right w:val="none" w:sz="0" w:space="0" w:color="auto"/>
      </w:divBdr>
    </w:div>
    <w:div w:id="717321961">
      <w:bodyDiv w:val="1"/>
      <w:marLeft w:val="0"/>
      <w:marRight w:val="0"/>
      <w:marTop w:val="0"/>
      <w:marBottom w:val="0"/>
      <w:divBdr>
        <w:top w:val="none" w:sz="0" w:space="0" w:color="auto"/>
        <w:left w:val="none" w:sz="0" w:space="0" w:color="auto"/>
        <w:bottom w:val="none" w:sz="0" w:space="0" w:color="auto"/>
        <w:right w:val="none" w:sz="0" w:space="0" w:color="auto"/>
      </w:divBdr>
    </w:div>
    <w:div w:id="724182734">
      <w:bodyDiv w:val="1"/>
      <w:marLeft w:val="0"/>
      <w:marRight w:val="0"/>
      <w:marTop w:val="0"/>
      <w:marBottom w:val="0"/>
      <w:divBdr>
        <w:top w:val="none" w:sz="0" w:space="0" w:color="auto"/>
        <w:left w:val="none" w:sz="0" w:space="0" w:color="auto"/>
        <w:bottom w:val="none" w:sz="0" w:space="0" w:color="auto"/>
        <w:right w:val="none" w:sz="0" w:space="0" w:color="auto"/>
      </w:divBdr>
      <w:divsChild>
        <w:div w:id="560601591">
          <w:marLeft w:val="547"/>
          <w:marRight w:val="0"/>
          <w:marTop w:val="106"/>
          <w:marBottom w:val="0"/>
          <w:divBdr>
            <w:top w:val="none" w:sz="0" w:space="0" w:color="auto"/>
            <w:left w:val="none" w:sz="0" w:space="0" w:color="auto"/>
            <w:bottom w:val="none" w:sz="0" w:space="0" w:color="auto"/>
            <w:right w:val="none" w:sz="0" w:space="0" w:color="auto"/>
          </w:divBdr>
        </w:div>
      </w:divsChild>
    </w:div>
    <w:div w:id="727847057">
      <w:bodyDiv w:val="1"/>
      <w:marLeft w:val="0"/>
      <w:marRight w:val="0"/>
      <w:marTop w:val="0"/>
      <w:marBottom w:val="0"/>
      <w:divBdr>
        <w:top w:val="none" w:sz="0" w:space="0" w:color="auto"/>
        <w:left w:val="none" w:sz="0" w:space="0" w:color="auto"/>
        <w:bottom w:val="none" w:sz="0" w:space="0" w:color="auto"/>
        <w:right w:val="none" w:sz="0" w:space="0" w:color="auto"/>
      </w:divBdr>
    </w:div>
    <w:div w:id="730078408">
      <w:bodyDiv w:val="1"/>
      <w:marLeft w:val="0"/>
      <w:marRight w:val="0"/>
      <w:marTop w:val="0"/>
      <w:marBottom w:val="0"/>
      <w:divBdr>
        <w:top w:val="none" w:sz="0" w:space="0" w:color="auto"/>
        <w:left w:val="none" w:sz="0" w:space="0" w:color="auto"/>
        <w:bottom w:val="none" w:sz="0" w:space="0" w:color="auto"/>
        <w:right w:val="none" w:sz="0" w:space="0" w:color="auto"/>
      </w:divBdr>
    </w:div>
    <w:div w:id="750349556">
      <w:bodyDiv w:val="1"/>
      <w:marLeft w:val="0"/>
      <w:marRight w:val="0"/>
      <w:marTop w:val="0"/>
      <w:marBottom w:val="0"/>
      <w:divBdr>
        <w:top w:val="none" w:sz="0" w:space="0" w:color="auto"/>
        <w:left w:val="none" w:sz="0" w:space="0" w:color="auto"/>
        <w:bottom w:val="none" w:sz="0" w:space="0" w:color="auto"/>
        <w:right w:val="none" w:sz="0" w:space="0" w:color="auto"/>
      </w:divBdr>
    </w:div>
    <w:div w:id="752433954">
      <w:bodyDiv w:val="1"/>
      <w:marLeft w:val="0"/>
      <w:marRight w:val="0"/>
      <w:marTop w:val="0"/>
      <w:marBottom w:val="0"/>
      <w:divBdr>
        <w:top w:val="none" w:sz="0" w:space="0" w:color="auto"/>
        <w:left w:val="none" w:sz="0" w:space="0" w:color="auto"/>
        <w:bottom w:val="none" w:sz="0" w:space="0" w:color="auto"/>
        <w:right w:val="none" w:sz="0" w:space="0" w:color="auto"/>
      </w:divBdr>
    </w:div>
    <w:div w:id="768500378">
      <w:bodyDiv w:val="1"/>
      <w:marLeft w:val="0"/>
      <w:marRight w:val="0"/>
      <w:marTop w:val="0"/>
      <w:marBottom w:val="0"/>
      <w:divBdr>
        <w:top w:val="none" w:sz="0" w:space="0" w:color="auto"/>
        <w:left w:val="none" w:sz="0" w:space="0" w:color="auto"/>
        <w:bottom w:val="none" w:sz="0" w:space="0" w:color="auto"/>
        <w:right w:val="none" w:sz="0" w:space="0" w:color="auto"/>
      </w:divBdr>
    </w:div>
    <w:div w:id="769354939">
      <w:bodyDiv w:val="1"/>
      <w:marLeft w:val="0"/>
      <w:marRight w:val="0"/>
      <w:marTop w:val="0"/>
      <w:marBottom w:val="0"/>
      <w:divBdr>
        <w:top w:val="none" w:sz="0" w:space="0" w:color="auto"/>
        <w:left w:val="none" w:sz="0" w:space="0" w:color="auto"/>
        <w:bottom w:val="none" w:sz="0" w:space="0" w:color="auto"/>
        <w:right w:val="none" w:sz="0" w:space="0" w:color="auto"/>
      </w:divBdr>
    </w:div>
    <w:div w:id="775170678">
      <w:bodyDiv w:val="1"/>
      <w:marLeft w:val="0"/>
      <w:marRight w:val="0"/>
      <w:marTop w:val="0"/>
      <w:marBottom w:val="0"/>
      <w:divBdr>
        <w:top w:val="none" w:sz="0" w:space="0" w:color="auto"/>
        <w:left w:val="none" w:sz="0" w:space="0" w:color="auto"/>
        <w:bottom w:val="none" w:sz="0" w:space="0" w:color="auto"/>
        <w:right w:val="none" w:sz="0" w:space="0" w:color="auto"/>
      </w:divBdr>
    </w:div>
    <w:div w:id="776173496">
      <w:bodyDiv w:val="1"/>
      <w:marLeft w:val="0"/>
      <w:marRight w:val="0"/>
      <w:marTop w:val="0"/>
      <w:marBottom w:val="0"/>
      <w:divBdr>
        <w:top w:val="none" w:sz="0" w:space="0" w:color="auto"/>
        <w:left w:val="none" w:sz="0" w:space="0" w:color="auto"/>
        <w:bottom w:val="none" w:sz="0" w:space="0" w:color="auto"/>
        <w:right w:val="none" w:sz="0" w:space="0" w:color="auto"/>
      </w:divBdr>
    </w:div>
    <w:div w:id="776216884">
      <w:bodyDiv w:val="1"/>
      <w:marLeft w:val="0"/>
      <w:marRight w:val="0"/>
      <w:marTop w:val="0"/>
      <w:marBottom w:val="0"/>
      <w:divBdr>
        <w:top w:val="none" w:sz="0" w:space="0" w:color="auto"/>
        <w:left w:val="none" w:sz="0" w:space="0" w:color="auto"/>
        <w:bottom w:val="none" w:sz="0" w:space="0" w:color="auto"/>
        <w:right w:val="none" w:sz="0" w:space="0" w:color="auto"/>
      </w:divBdr>
      <w:divsChild>
        <w:div w:id="1207597990">
          <w:marLeft w:val="0"/>
          <w:marRight w:val="0"/>
          <w:marTop w:val="0"/>
          <w:marBottom w:val="240"/>
          <w:divBdr>
            <w:top w:val="none" w:sz="0" w:space="0" w:color="auto"/>
            <w:left w:val="none" w:sz="0" w:space="0" w:color="auto"/>
            <w:bottom w:val="none" w:sz="0" w:space="0" w:color="auto"/>
            <w:right w:val="none" w:sz="0" w:space="0" w:color="auto"/>
          </w:divBdr>
        </w:div>
      </w:divsChild>
    </w:div>
    <w:div w:id="778261623">
      <w:bodyDiv w:val="1"/>
      <w:marLeft w:val="0"/>
      <w:marRight w:val="0"/>
      <w:marTop w:val="0"/>
      <w:marBottom w:val="0"/>
      <w:divBdr>
        <w:top w:val="none" w:sz="0" w:space="0" w:color="auto"/>
        <w:left w:val="none" w:sz="0" w:space="0" w:color="auto"/>
        <w:bottom w:val="none" w:sz="0" w:space="0" w:color="auto"/>
        <w:right w:val="none" w:sz="0" w:space="0" w:color="auto"/>
      </w:divBdr>
    </w:div>
    <w:div w:id="779448693">
      <w:bodyDiv w:val="1"/>
      <w:marLeft w:val="0"/>
      <w:marRight w:val="0"/>
      <w:marTop w:val="0"/>
      <w:marBottom w:val="0"/>
      <w:divBdr>
        <w:top w:val="none" w:sz="0" w:space="0" w:color="auto"/>
        <w:left w:val="none" w:sz="0" w:space="0" w:color="auto"/>
        <w:bottom w:val="none" w:sz="0" w:space="0" w:color="auto"/>
        <w:right w:val="none" w:sz="0" w:space="0" w:color="auto"/>
      </w:divBdr>
    </w:div>
    <w:div w:id="781654477">
      <w:bodyDiv w:val="1"/>
      <w:marLeft w:val="0"/>
      <w:marRight w:val="0"/>
      <w:marTop w:val="0"/>
      <w:marBottom w:val="0"/>
      <w:divBdr>
        <w:top w:val="none" w:sz="0" w:space="0" w:color="auto"/>
        <w:left w:val="none" w:sz="0" w:space="0" w:color="auto"/>
        <w:bottom w:val="none" w:sz="0" w:space="0" w:color="auto"/>
        <w:right w:val="none" w:sz="0" w:space="0" w:color="auto"/>
      </w:divBdr>
    </w:div>
    <w:div w:id="783571576">
      <w:bodyDiv w:val="1"/>
      <w:marLeft w:val="0"/>
      <w:marRight w:val="0"/>
      <w:marTop w:val="0"/>
      <w:marBottom w:val="0"/>
      <w:divBdr>
        <w:top w:val="none" w:sz="0" w:space="0" w:color="auto"/>
        <w:left w:val="none" w:sz="0" w:space="0" w:color="auto"/>
        <w:bottom w:val="none" w:sz="0" w:space="0" w:color="auto"/>
        <w:right w:val="none" w:sz="0" w:space="0" w:color="auto"/>
      </w:divBdr>
    </w:div>
    <w:div w:id="789475448">
      <w:bodyDiv w:val="1"/>
      <w:marLeft w:val="0"/>
      <w:marRight w:val="0"/>
      <w:marTop w:val="0"/>
      <w:marBottom w:val="0"/>
      <w:divBdr>
        <w:top w:val="none" w:sz="0" w:space="0" w:color="auto"/>
        <w:left w:val="none" w:sz="0" w:space="0" w:color="auto"/>
        <w:bottom w:val="none" w:sz="0" w:space="0" w:color="auto"/>
        <w:right w:val="none" w:sz="0" w:space="0" w:color="auto"/>
      </w:divBdr>
    </w:div>
    <w:div w:id="805704556">
      <w:bodyDiv w:val="1"/>
      <w:marLeft w:val="0"/>
      <w:marRight w:val="0"/>
      <w:marTop w:val="0"/>
      <w:marBottom w:val="0"/>
      <w:divBdr>
        <w:top w:val="none" w:sz="0" w:space="0" w:color="auto"/>
        <w:left w:val="none" w:sz="0" w:space="0" w:color="auto"/>
        <w:bottom w:val="none" w:sz="0" w:space="0" w:color="auto"/>
        <w:right w:val="none" w:sz="0" w:space="0" w:color="auto"/>
      </w:divBdr>
    </w:div>
    <w:div w:id="806047571">
      <w:bodyDiv w:val="1"/>
      <w:marLeft w:val="0"/>
      <w:marRight w:val="0"/>
      <w:marTop w:val="0"/>
      <w:marBottom w:val="0"/>
      <w:divBdr>
        <w:top w:val="none" w:sz="0" w:space="0" w:color="auto"/>
        <w:left w:val="none" w:sz="0" w:space="0" w:color="auto"/>
        <w:bottom w:val="none" w:sz="0" w:space="0" w:color="auto"/>
        <w:right w:val="none" w:sz="0" w:space="0" w:color="auto"/>
      </w:divBdr>
    </w:div>
    <w:div w:id="819081954">
      <w:bodyDiv w:val="1"/>
      <w:marLeft w:val="0"/>
      <w:marRight w:val="0"/>
      <w:marTop w:val="0"/>
      <w:marBottom w:val="0"/>
      <w:divBdr>
        <w:top w:val="none" w:sz="0" w:space="0" w:color="auto"/>
        <w:left w:val="none" w:sz="0" w:space="0" w:color="auto"/>
        <w:bottom w:val="none" w:sz="0" w:space="0" w:color="auto"/>
        <w:right w:val="none" w:sz="0" w:space="0" w:color="auto"/>
      </w:divBdr>
    </w:div>
    <w:div w:id="819150325">
      <w:bodyDiv w:val="1"/>
      <w:marLeft w:val="0"/>
      <w:marRight w:val="0"/>
      <w:marTop w:val="0"/>
      <w:marBottom w:val="0"/>
      <w:divBdr>
        <w:top w:val="none" w:sz="0" w:space="0" w:color="auto"/>
        <w:left w:val="none" w:sz="0" w:space="0" w:color="auto"/>
        <w:bottom w:val="none" w:sz="0" w:space="0" w:color="auto"/>
        <w:right w:val="none" w:sz="0" w:space="0" w:color="auto"/>
      </w:divBdr>
    </w:div>
    <w:div w:id="820804019">
      <w:bodyDiv w:val="1"/>
      <w:marLeft w:val="0"/>
      <w:marRight w:val="0"/>
      <w:marTop w:val="0"/>
      <w:marBottom w:val="0"/>
      <w:divBdr>
        <w:top w:val="none" w:sz="0" w:space="0" w:color="auto"/>
        <w:left w:val="none" w:sz="0" w:space="0" w:color="auto"/>
        <w:bottom w:val="none" w:sz="0" w:space="0" w:color="auto"/>
        <w:right w:val="none" w:sz="0" w:space="0" w:color="auto"/>
      </w:divBdr>
    </w:div>
    <w:div w:id="822699378">
      <w:bodyDiv w:val="1"/>
      <w:marLeft w:val="0"/>
      <w:marRight w:val="0"/>
      <w:marTop w:val="0"/>
      <w:marBottom w:val="0"/>
      <w:divBdr>
        <w:top w:val="none" w:sz="0" w:space="0" w:color="auto"/>
        <w:left w:val="none" w:sz="0" w:space="0" w:color="auto"/>
        <w:bottom w:val="none" w:sz="0" w:space="0" w:color="auto"/>
        <w:right w:val="none" w:sz="0" w:space="0" w:color="auto"/>
      </w:divBdr>
    </w:div>
    <w:div w:id="822967162">
      <w:bodyDiv w:val="1"/>
      <w:marLeft w:val="0"/>
      <w:marRight w:val="0"/>
      <w:marTop w:val="0"/>
      <w:marBottom w:val="0"/>
      <w:divBdr>
        <w:top w:val="none" w:sz="0" w:space="0" w:color="auto"/>
        <w:left w:val="none" w:sz="0" w:space="0" w:color="auto"/>
        <w:bottom w:val="none" w:sz="0" w:space="0" w:color="auto"/>
        <w:right w:val="none" w:sz="0" w:space="0" w:color="auto"/>
      </w:divBdr>
    </w:div>
    <w:div w:id="824277637">
      <w:bodyDiv w:val="1"/>
      <w:marLeft w:val="0"/>
      <w:marRight w:val="0"/>
      <w:marTop w:val="0"/>
      <w:marBottom w:val="0"/>
      <w:divBdr>
        <w:top w:val="none" w:sz="0" w:space="0" w:color="auto"/>
        <w:left w:val="none" w:sz="0" w:space="0" w:color="auto"/>
        <w:bottom w:val="none" w:sz="0" w:space="0" w:color="auto"/>
        <w:right w:val="none" w:sz="0" w:space="0" w:color="auto"/>
      </w:divBdr>
    </w:div>
    <w:div w:id="828251341">
      <w:bodyDiv w:val="1"/>
      <w:marLeft w:val="0"/>
      <w:marRight w:val="0"/>
      <w:marTop w:val="0"/>
      <w:marBottom w:val="0"/>
      <w:divBdr>
        <w:top w:val="none" w:sz="0" w:space="0" w:color="auto"/>
        <w:left w:val="none" w:sz="0" w:space="0" w:color="auto"/>
        <w:bottom w:val="none" w:sz="0" w:space="0" w:color="auto"/>
        <w:right w:val="none" w:sz="0" w:space="0" w:color="auto"/>
      </w:divBdr>
    </w:div>
    <w:div w:id="837892157">
      <w:bodyDiv w:val="1"/>
      <w:marLeft w:val="0"/>
      <w:marRight w:val="0"/>
      <w:marTop w:val="0"/>
      <w:marBottom w:val="0"/>
      <w:divBdr>
        <w:top w:val="none" w:sz="0" w:space="0" w:color="auto"/>
        <w:left w:val="none" w:sz="0" w:space="0" w:color="auto"/>
        <w:bottom w:val="none" w:sz="0" w:space="0" w:color="auto"/>
        <w:right w:val="none" w:sz="0" w:space="0" w:color="auto"/>
      </w:divBdr>
    </w:div>
    <w:div w:id="838620982">
      <w:bodyDiv w:val="1"/>
      <w:marLeft w:val="0"/>
      <w:marRight w:val="0"/>
      <w:marTop w:val="0"/>
      <w:marBottom w:val="0"/>
      <w:divBdr>
        <w:top w:val="none" w:sz="0" w:space="0" w:color="auto"/>
        <w:left w:val="none" w:sz="0" w:space="0" w:color="auto"/>
        <w:bottom w:val="none" w:sz="0" w:space="0" w:color="auto"/>
        <w:right w:val="none" w:sz="0" w:space="0" w:color="auto"/>
      </w:divBdr>
    </w:div>
    <w:div w:id="839388048">
      <w:bodyDiv w:val="1"/>
      <w:marLeft w:val="0"/>
      <w:marRight w:val="0"/>
      <w:marTop w:val="0"/>
      <w:marBottom w:val="0"/>
      <w:divBdr>
        <w:top w:val="none" w:sz="0" w:space="0" w:color="auto"/>
        <w:left w:val="none" w:sz="0" w:space="0" w:color="auto"/>
        <w:bottom w:val="none" w:sz="0" w:space="0" w:color="auto"/>
        <w:right w:val="none" w:sz="0" w:space="0" w:color="auto"/>
      </w:divBdr>
    </w:div>
    <w:div w:id="841623821">
      <w:bodyDiv w:val="1"/>
      <w:marLeft w:val="0"/>
      <w:marRight w:val="0"/>
      <w:marTop w:val="0"/>
      <w:marBottom w:val="0"/>
      <w:divBdr>
        <w:top w:val="none" w:sz="0" w:space="0" w:color="auto"/>
        <w:left w:val="none" w:sz="0" w:space="0" w:color="auto"/>
        <w:bottom w:val="none" w:sz="0" w:space="0" w:color="auto"/>
        <w:right w:val="none" w:sz="0" w:space="0" w:color="auto"/>
      </w:divBdr>
    </w:div>
    <w:div w:id="842164018">
      <w:bodyDiv w:val="1"/>
      <w:marLeft w:val="0"/>
      <w:marRight w:val="0"/>
      <w:marTop w:val="0"/>
      <w:marBottom w:val="0"/>
      <w:divBdr>
        <w:top w:val="none" w:sz="0" w:space="0" w:color="auto"/>
        <w:left w:val="none" w:sz="0" w:space="0" w:color="auto"/>
        <w:bottom w:val="none" w:sz="0" w:space="0" w:color="auto"/>
        <w:right w:val="none" w:sz="0" w:space="0" w:color="auto"/>
      </w:divBdr>
    </w:div>
    <w:div w:id="844903736">
      <w:bodyDiv w:val="1"/>
      <w:marLeft w:val="0"/>
      <w:marRight w:val="0"/>
      <w:marTop w:val="0"/>
      <w:marBottom w:val="0"/>
      <w:divBdr>
        <w:top w:val="none" w:sz="0" w:space="0" w:color="auto"/>
        <w:left w:val="none" w:sz="0" w:space="0" w:color="auto"/>
        <w:bottom w:val="none" w:sz="0" w:space="0" w:color="auto"/>
        <w:right w:val="none" w:sz="0" w:space="0" w:color="auto"/>
      </w:divBdr>
    </w:div>
    <w:div w:id="848065715">
      <w:bodyDiv w:val="1"/>
      <w:marLeft w:val="0"/>
      <w:marRight w:val="0"/>
      <w:marTop w:val="0"/>
      <w:marBottom w:val="0"/>
      <w:divBdr>
        <w:top w:val="none" w:sz="0" w:space="0" w:color="auto"/>
        <w:left w:val="none" w:sz="0" w:space="0" w:color="auto"/>
        <w:bottom w:val="none" w:sz="0" w:space="0" w:color="auto"/>
        <w:right w:val="none" w:sz="0" w:space="0" w:color="auto"/>
      </w:divBdr>
    </w:div>
    <w:div w:id="848444718">
      <w:bodyDiv w:val="1"/>
      <w:marLeft w:val="0"/>
      <w:marRight w:val="0"/>
      <w:marTop w:val="0"/>
      <w:marBottom w:val="0"/>
      <w:divBdr>
        <w:top w:val="none" w:sz="0" w:space="0" w:color="auto"/>
        <w:left w:val="none" w:sz="0" w:space="0" w:color="auto"/>
        <w:bottom w:val="none" w:sz="0" w:space="0" w:color="auto"/>
        <w:right w:val="none" w:sz="0" w:space="0" w:color="auto"/>
      </w:divBdr>
    </w:div>
    <w:div w:id="849484999">
      <w:bodyDiv w:val="1"/>
      <w:marLeft w:val="0"/>
      <w:marRight w:val="0"/>
      <w:marTop w:val="0"/>
      <w:marBottom w:val="0"/>
      <w:divBdr>
        <w:top w:val="none" w:sz="0" w:space="0" w:color="auto"/>
        <w:left w:val="none" w:sz="0" w:space="0" w:color="auto"/>
        <w:bottom w:val="none" w:sz="0" w:space="0" w:color="auto"/>
        <w:right w:val="none" w:sz="0" w:space="0" w:color="auto"/>
      </w:divBdr>
    </w:div>
    <w:div w:id="858355326">
      <w:bodyDiv w:val="1"/>
      <w:marLeft w:val="0"/>
      <w:marRight w:val="0"/>
      <w:marTop w:val="0"/>
      <w:marBottom w:val="0"/>
      <w:divBdr>
        <w:top w:val="none" w:sz="0" w:space="0" w:color="auto"/>
        <w:left w:val="none" w:sz="0" w:space="0" w:color="auto"/>
        <w:bottom w:val="none" w:sz="0" w:space="0" w:color="auto"/>
        <w:right w:val="none" w:sz="0" w:space="0" w:color="auto"/>
      </w:divBdr>
    </w:div>
    <w:div w:id="867912031">
      <w:bodyDiv w:val="1"/>
      <w:marLeft w:val="0"/>
      <w:marRight w:val="0"/>
      <w:marTop w:val="0"/>
      <w:marBottom w:val="0"/>
      <w:divBdr>
        <w:top w:val="none" w:sz="0" w:space="0" w:color="auto"/>
        <w:left w:val="none" w:sz="0" w:space="0" w:color="auto"/>
        <w:bottom w:val="none" w:sz="0" w:space="0" w:color="auto"/>
        <w:right w:val="none" w:sz="0" w:space="0" w:color="auto"/>
      </w:divBdr>
    </w:div>
    <w:div w:id="871187692">
      <w:bodyDiv w:val="1"/>
      <w:marLeft w:val="0"/>
      <w:marRight w:val="0"/>
      <w:marTop w:val="0"/>
      <w:marBottom w:val="0"/>
      <w:divBdr>
        <w:top w:val="none" w:sz="0" w:space="0" w:color="auto"/>
        <w:left w:val="none" w:sz="0" w:space="0" w:color="auto"/>
        <w:bottom w:val="none" w:sz="0" w:space="0" w:color="auto"/>
        <w:right w:val="none" w:sz="0" w:space="0" w:color="auto"/>
      </w:divBdr>
    </w:div>
    <w:div w:id="871919799">
      <w:bodyDiv w:val="1"/>
      <w:marLeft w:val="0"/>
      <w:marRight w:val="0"/>
      <w:marTop w:val="0"/>
      <w:marBottom w:val="0"/>
      <w:divBdr>
        <w:top w:val="none" w:sz="0" w:space="0" w:color="auto"/>
        <w:left w:val="none" w:sz="0" w:space="0" w:color="auto"/>
        <w:bottom w:val="none" w:sz="0" w:space="0" w:color="auto"/>
        <w:right w:val="none" w:sz="0" w:space="0" w:color="auto"/>
      </w:divBdr>
    </w:div>
    <w:div w:id="873621160">
      <w:bodyDiv w:val="1"/>
      <w:marLeft w:val="0"/>
      <w:marRight w:val="0"/>
      <w:marTop w:val="0"/>
      <w:marBottom w:val="0"/>
      <w:divBdr>
        <w:top w:val="none" w:sz="0" w:space="0" w:color="auto"/>
        <w:left w:val="none" w:sz="0" w:space="0" w:color="auto"/>
        <w:bottom w:val="none" w:sz="0" w:space="0" w:color="auto"/>
        <w:right w:val="none" w:sz="0" w:space="0" w:color="auto"/>
      </w:divBdr>
    </w:div>
    <w:div w:id="889224727">
      <w:bodyDiv w:val="1"/>
      <w:marLeft w:val="0"/>
      <w:marRight w:val="0"/>
      <w:marTop w:val="0"/>
      <w:marBottom w:val="0"/>
      <w:divBdr>
        <w:top w:val="none" w:sz="0" w:space="0" w:color="auto"/>
        <w:left w:val="none" w:sz="0" w:space="0" w:color="auto"/>
        <w:bottom w:val="none" w:sz="0" w:space="0" w:color="auto"/>
        <w:right w:val="none" w:sz="0" w:space="0" w:color="auto"/>
      </w:divBdr>
    </w:div>
    <w:div w:id="900403077">
      <w:bodyDiv w:val="1"/>
      <w:marLeft w:val="0"/>
      <w:marRight w:val="0"/>
      <w:marTop w:val="0"/>
      <w:marBottom w:val="0"/>
      <w:divBdr>
        <w:top w:val="none" w:sz="0" w:space="0" w:color="auto"/>
        <w:left w:val="none" w:sz="0" w:space="0" w:color="auto"/>
        <w:bottom w:val="none" w:sz="0" w:space="0" w:color="auto"/>
        <w:right w:val="none" w:sz="0" w:space="0" w:color="auto"/>
      </w:divBdr>
    </w:div>
    <w:div w:id="913508913">
      <w:bodyDiv w:val="1"/>
      <w:marLeft w:val="0"/>
      <w:marRight w:val="0"/>
      <w:marTop w:val="0"/>
      <w:marBottom w:val="0"/>
      <w:divBdr>
        <w:top w:val="none" w:sz="0" w:space="0" w:color="auto"/>
        <w:left w:val="none" w:sz="0" w:space="0" w:color="auto"/>
        <w:bottom w:val="none" w:sz="0" w:space="0" w:color="auto"/>
        <w:right w:val="none" w:sz="0" w:space="0" w:color="auto"/>
      </w:divBdr>
    </w:div>
    <w:div w:id="916280818">
      <w:bodyDiv w:val="1"/>
      <w:marLeft w:val="0"/>
      <w:marRight w:val="0"/>
      <w:marTop w:val="0"/>
      <w:marBottom w:val="0"/>
      <w:divBdr>
        <w:top w:val="none" w:sz="0" w:space="0" w:color="auto"/>
        <w:left w:val="none" w:sz="0" w:space="0" w:color="auto"/>
        <w:bottom w:val="none" w:sz="0" w:space="0" w:color="auto"/>
        <w:right w:val="none" w:sz="0" w:space="0" w:color="auto"/>
      </w:divBdr>
    </w:div>
    <w:div w:id="921061888">
      <w:bodyDiv w:val="1"/>
      <w:marLeft w:val="0"/>
      <w:marRight w:val="0"/>
      <w:marTop w:val="0"/>
      <w:marBottom w:val="0"/>
      <w:divBdr>
        <w:top w:val="none" w:sz="0" w:space="0" w:color="auto"/>
        <w:left w:val="none" w:sz="0" w:space="0" w:color="auto"/>
        <w:bottom w:val="none" w:sz="0" w:space="0" w:color="auto"/>
        <w:right w:val="none" w:sz="0" w:space="0" w:color="auto"/>
      </w:divBdr>
    </w:div>
    <w:div w:id="931935400">
      <w:bodyDiv w:val="1"/>
      <w:marLeft w:val="0"/>
      <w:marRight w:val="0"/>
      <w:marTop w:val="0"/>
      <w:marBottom w:val="0"/>
      <w:divBdr>
        <w:top w:val="none" w:sz="0" w:space="0" w:color="auto"/>
        <w:left w:val="none" w:sz="0" w:space="0" w:color="auto"/>
        <w:bottom w:val="none" w:sz="0" w:space="0" w:color="auto"/>
        <w:right w:val="none" w:sz="0" w:space="0" w:color="auto"/>
      </w:divBdr>
    </w:div>
    <w:div w:id="934291126">
      <w:bodyDiv w:val="1"/>
      <w:marLeft w:val="0"/>
      <w:marRight w:val="0"/>
      <w:marTop w:val="0"/>
      <w:marBottom w:val="0"/>
      <w:divBdr>
        <w:top w:val="none" w:sz="0" w:space="0" w:color="auto"/>
        <w:left w:val="none" w:sz="0" w:space="0" w:color="auto"/>
        <w:bottom w:val="none" w:sz="0" w:space="0" w:color="auto"/>
        <w:right w:val="none" w:sz="0" w:space="0" w:color="auto"/>
      </w:divBdr>
    </w:div>
    <w:div w:id="935333697">
      <w:bodyDiv w:val="1"/>
      <w:marLeft w:val="0"/>
      <w:marRight w:val="0"/>
      <w:marTop w:val="0"/>
      <w:marBottom w:val="0"/>
      <w:divBdr>
        <w:top w:val="none" w:sz="0" w:space="0" w:color="auto"/>
        <w:left w:val="none" w:sz="0" w:space="0" w:color="auto"/>
        <w:bottom w:val="none" w:sz="0" w:space="0" w:color="auto"/>
        <w:right w:val="none" w:sz="0" w:space="0" w:color="auto"/>
      </w:divBdr>
    </w:div>
    <w:div w:id="935483280">
      <w:bodyDiv w:val="1"/>
      <w:marLeft w:val="0"/>
      <w:marRight w:val="0"/>
      <w:marTop w:val="0"/>
      <w:marBottom w:val="0"/>
      <w:divBdr>
        <w:top w:val="none" w:sz="0" w:space="0" w:color="auto"/>
        <w:left w:val="none" w:sz="0" w:space="0" w:color="auto"/>
        <w:bottom w:val="none" w:sz="0" w:space="0" w:color="auto"/>
        <w:right w:val="none" w:sz="0" w:space="0" w:color="auto"/>
      </w:divBdr>
    </w:div>
    <w:div w:id="946157657">
      <w:bodyDiv w:val="1"/>
      <w:marLeft w:val="0"/>
      <w:marRight w:val="0"/>
      <w:marTop w:val="0"/>
      <w:marBottom w:val="0"/>
      <w:divBdr>
        <w:top w:val="none" w:sz="0" w:space="0" w:color="auto"/>
        <w:left w:val="none" w:sz="0" w:space="0" w:color="auto"/>
        <w:bottom w:val="none" w:sz="0" w:space="0" w:color="auto"/>
        <w:right w:val="none" w:sz="0" w:space="0" w:color="auto"/>
      </w:divBdr>
    </w:div>
    <w:div w:id="947661295">
      <w:bodyDiv w:val="1"/>
      <w:marLeft w:val="0"/>
      <w:marRight w:val="0"/>
      <w:marTop w:val="0"/>
      <w:marBottom w:val="0"/>
      <w:divBdr>
        <w:top w:val="none" w:sz="0" w:space="0" w:color="auto"/>
        <w:left w:val="none" w:sz="0" w:space="0" w:color="auto"/>
        <w:bottom w:val="none" w:sz="0" w:space="0" w:color="auto"/>
        <w:right w:val="none" w:sz="0" w:space="0" w:color="auto"/>
      </w:divBdr>
    </w:div>
    <w:div w:id="953705921">
      <w:bodyDiv w:val="1"/>
      <w:marLeft w:val="0"/>
      <w:marRight w:val="0"/>
      <w:marTop w:val="0"/>
      <w:marBottom w:val="0"/>
      <w:divBdr>
        <w:top w:val="none" w:sz="0" w:space="0" w:color="auto"/>
        <w:left w:val="none" w:sz="0" w:space="0" w:color="auto"/>
        <w:bottom w:val="none" w:sz="0" w:space="0" w:color="auto"/>
        <w:right w:val="none" w:sz="0" w:space="0" w:color="auto"/>
      </w:divBdr>
    </w:div>
    <w:div w:id="957027786">
      <w:bodyDiv w:val="1"/>
      <w:marLeft w:val="0"/>
      <w:marRight w:val="0"/>
      <w:marTop w:val="0"/>
      <w:marBottom w:val="0"/>
      <w:divBdr>
        <w:top w:val="none" w:sz="0" w:space="0" w:color="auto"/>
        <w:left w:val="none" w:sz="0" w:space="0" w:color="auto"/>
        <w:bottom w:val="none" w:sz="0" w:space="0" w:color="auto"/>
        <w:right w:val="none" w:sz="0" w:space="0" w:color="auto"/>
      </w:divBdr>
    </w:div>
    <w:div w:id="957679790">
      <w:bodyDiv w:val="1"/>
      <w:marLeft w:val="0"/>
      <w:marRight w:val="0"/>
      <w:marTop w:val="0"/>
      <w:marBottom w:val="0"/>
      <w:divBdr>
        <w:top w:val="none" w:sz="0" w:space="0" w:color="auto"/>
        <w:left w:val="none" w:sz="0" w:space="0" w:color="auto"/>
        <w:bottom w:val="none" w:sz="0" w:space="0" w:color="auto"/>
        <w:right w:val="none" w:sz="0" w:space="0" w:color="auto"/>
      </w:divBdr>
    </w:div>
    <w:div w:id="960384955">
      <w:bodyDiv w:val="1"/>
      <w:marLeft w:val="0"/>
      <w:marRight w:val="0"/>
      <w:marTop w:val="0"/>
      <w:marBottom w:val="0"/>
      <w:divBdr>
        <w:top w:val="none" w:sz="0" w:space="0" w:color="auto"/>
        <w:left w:val="none" w:sz="0" w:space="0" w:color="auto"/>
        <w:bottom w:val="none" w:sz="0" w:space="0" w:color="auto"/>
        <w:right w:val="none" w:sz="0" w:space="0" w:color="auto"/>
      </w:divBdr>
    </w:div>
    <w:div w:id="961611564">
      <w:bodyDiv w:val="1"/>
      <w:marLeft w:val="0"/>
      <w:marRight w:val="0"/>
      <w:marTop w:val="0"/>
      <w:marBottom w:val="0"/>
      <w:divBdr>
        <w:top w:val="none" w:sz="0" w:space="0" w:color="auto"/>
        <w:left w:val="none" w:sz="0" w:space="0" w:color="auto"/>
        <w:bottom w:val="none" w:sz="0" w:space="0" w:color="auto"/>
        <w:right w:val="none" w:sz="0" w:space="0" w:color="auto"/>
      </w:divBdr>
    </w:div>
    <w:div w:id="973556812">
      <w:bodyDiv w:val="1"/>
      <w:marLeft w:val="0"/>
      <w:marRight w:val="0"/>
      <w:marTop w:val="0"/>
      <w:marBottom w:val="0"/>
      <w:divBdr>
        <w:top w:val="none" w:sz="0" w:space="0" w:color="auto"/>
        <w:left w:val="none" w:sz="0" w:space="0" w:color="auto"/>
        <w:bottom w:val="none" w:sz="0" w:space="0" w:color="auto"/>
        <w:right w:val="none" w:sz="0" w:space="0" w:color="auto"/>
      </w:divBdr>
    </w:div>
    <w:div w:id="976377555">
      <w:bodyDiv w:val="1"/>
      <w:marLeft w:val="0"/>
      <w:marRight w:val="0"/>
      <w:marTop w:val="0"/>
      <w:marBottom w:val="0"/>
      <w:divBdr>
        <w:top w:val="none" w:sz="0" w:space="0" w:color="auto"/>
        <w:left w:val="none" w:sz="0" w:space="0" w:color="auto"/>
        <w:bottom w:val="none" w:sz="0" w:space="0" w:color="auto"/>
        <w:right w:val="none" w:sz="0" w:space="0" w:color="auto"/>
      </w:divBdr>
    </w:div>
    <w:div w:id="992370298">
      <w:bodyDiv w:val="1"/>
      <w:marLeft w:val="0"/>
      <w:marRight w:val="0"/>
      <w:marTop w:val="0"/>
      <w:marBottom w:val="0"/>
      <w:divBdr>
        <w:top w:val="none" w:sz="0" w:space="0" w:color="auto"/>
        <w:left w:val="none" w:sz="0" w:space="0" w:color="auto"/>
        <w:bottom w:val="none" w:sz="0" w:space="0" w:color="auto"/>
        <w:right w:val="none" w:sz="0" w:space="0" w:color="auto"/>
      </w:divBdr>
    </w:div>
    <w:div w:id="999386987">
      <w:bodyDiv w:val="1"/>
      <w:marLeft w:val="0"/>
      <w:marRight w:val="0"/>
      <w:marTop w:val="0"/>
      <w:marBottom w:val="0"/>
      <w:divBdr>
        <w:top w:val="none" w:sz="0" w:space="0" w:color="auto"/>
        <w:left w:val="none" w:sz="0" w:space="0" w:color="auto"/>
        <w:bottom w:val="none" w:sz="0" w:space="0" w:color="auto"/>
        <w:right w:val="none" w:sz="0" w:space="0" w:color="auto"/>
      </w:divBdr>
    </w:div>
    <w:div w:id="1001815240">
      <w:bodyDiv w:val="1"/>
      <w:marLeft w:val="0"/>
      <w:marRight w:val="0"/>
      <w:marTop w:val="0"/>
      <w:marBottom w:val="0"/>
      <w:divBdr>
        <w:top w:val="none" w:sz="0" w:space="0" w:color="auto"/>
        <w:left w:val="none" w:sz="0" w:space="0" w:color="auto"/>
        <w:bottom w:val="none" w:sz="0" w:space="0" w:color="auto"/>
        <w:right w:val="none" w:sz="0" w:space="0" w:color="auto"/>
      </w:divBdr>
    </w:div>
    <w:div w:id="1002581968">
      <w:bodyDiv w:val="1"/>
      <w:marLeft w:val="0"/>
      <w:marRight w:val="0"/>
      <w:marTop w:val="0"/>
      <w:marBottom w:val="0"/>
      <w:divBdr>
        <w:top w:val="none" w:sz="0" w:space="0" w:color="auto"/>
        <w:left w:val="none" w:sz="0" w:space="0" w:color="auto"/>
        <w:bottom w:val="none" w:sz="0" w:space="0" w:color="auto"/>
        <w:right w:val="none" w:sz="0" w:space="0" w:color="auto"/>
      </w:divBdr>
    </w:div>
    <w:div w:id="1006639820">
      <w:bodyDiv w:val="1"/>
      <w:marLeft w:val="0"/>
      <w:marRight w:val="0"/>
      <w:marTop w:val="0"/>
      <w:marBottom w:val="0"/>
      <w:divBdr>
        <w:top w:val="none" w:sz="0" w:space="0" w:color="auto"/>
        <w:left w:val="none" w:sz="0" w:space="0" w:color="auto"/>
        <w:bottom w:val="none" w:sz="0" w:space="0" w:color="auto"/>
        <w:right w:val="none" w:sz="0" w:space="0" w:color="auto"/>
      </w:divBdr>
    </w:div>
    <w:div w:id="1015576220">
      <w:bodyDiv w:val="1"/>
      <w:marLeft w:val="0"/>
      <w:marRight w:val="0"/>
      <w:marTop w:val="0"/>
      <w:marBottom w:val="0"/>
      <w:divBdr>
        <w:top w:val="none" w:sz="0" w:space="0" w:color="auto"/>
        <w:left w:val="none" w:sz="0" w:space="0" w:color="auto"/>
        <w:bottom w:val="none" w:sz="0" w:space="0" w:color="auto"/>
        <w:right w:val="none" w:sz="0" w:space="0" w:color="auto"/>
      </w:divBdr>
    </w:div>
    <w:div w:id="1018585876">
      <w:bodyDiv w:val="1"/>
      <w:marLeft w:val="0"/>
      <w:marRight w:val="0"/>
      <w:marTop w:val="0"/>
      <w:marBottom w:val="0"/>
      <w:divBdr>
        <w:top w:val="none" w:sz="0" w:space="0" w:color="auto"/>
        <w:left w:val="none" w:sz="0" w:space="0" w:color="auto"/>
        <w:bottom w:val="none" w:sz="0" w:space="0" w:color="auto"/>
        <w:right w:val="none" w:sz="0" w:space="0" w:color="auto"/>
      </w:divBdr>
    </w:div>
    <w:div w:id="1019551660">
      <w:bodyDiv w:val="1"/>
      <w:marLeft w:val="0"/>
      <w:marRight w:val="0"/>
      <w:marTop w:val="0"/>
      <w:marBottom w:val="0"/>
      <w:divBdr>
        <w:top w:val="none" w:sz="0" w:space="0" w:color="auto"/>
        <w:left w:val="none" w:sz="0" w:space="0" w:color="auto"/>
        <w:bottom w:val="none" w:sz="0" w:space="0" w:color="auto"/>
        <w:right w:val="none" w:sz="0" w:space="0" w:color="auto"/>
      </w:divBdr>
    </w:div>
    <w:div w:id="1031956591">
      <w:bodyDiv w:val="1"/>
      <w:marLeft w:val="0"/>
      <w:marRight w:val="0"/>
      <w:marTop w:val="0"/>
      <w:marBottom w:val="0"/>
      <w:divBdr>
        <w:top w:val="none" w:sz="0" w:space="0" w:color="auto"/>
        <w:left w:val="none" w:sz="0" w:space="0" w:color="auto"/>
        <w:bottom w:val="none" w:sz="0" w:space="0" w:color="auto"/>
        <w:right w:val="none" w:sz="0" w:space="0" w:color="auto"/>
      </w:divBdr>
    </w:div>
    <w:div w:id="1034501500">
      <w:bodyDiv w:val="1"/>
      <w:marLeft w:val="0"/>
      <w:marRight w:val="0"/>
      <w:marTop w:val="0"/>
      <w:marBottom w:val="0"/>
      <w:divBdr>
        <w:top w:val="none" w:sz="0" w:space="0" w:color="auto"/>
        <w:left w:val="none" w:sz="0" w:space="0" w:color="auto"/>
        <w:bottom w:val="none" w:sz="0" w:space="0" w:color="auto"/>
        <w:right w:val="none" w:sz="0" w:space="0" w:color="auto"/>
      </w:divBdr>
    </w:div>
    <w:div w:id="1038240594">
      <w:bodyDiv w:val="1"/>
      <w:marLeft w:val="0"/>
      <w:marRight w:val="0"/>
      <w:marTop w:val="0"/>
      <w:marBottom w:val="0"/>
      <w:divBdr>
        <w:top w:val="none" w:sz="0" w:space="0" w:color="auto"/>
        <w:left w:val="none" w:sz="0" w:space="0" w:color="auto"/>
        <w:bottom w:val="none" w:sz="0" w:space="0" w:color="auto"/>
        <w:right w:val="none" w:sz="0" w:space="0" w:color="auto"/>
      </w:divBdr>
    </w:div>
    <w:div w:id="1041982422">
      <w:bodyDiv w:val="1"/>
      <w:marLeft w:val="0"/>
      <w:marRight w:val="0"/>
      <w:marTop w:val="0"/>
      <w:marBottom w:val="0"/>
      <w:divBdr>
        <w:top w:val="none" w:sz="0" w:space="0" w:color="auto"/>
        <w:left w:val="none" w:sz="0" w:space="0" w:color="auto"/>
        <w:bottom w:val="none" w:sz="0" w:space="0" w:color="auto"/>
        <w:right w:val="none" w:sz="0" w:space="0" w:color="auto"/>
      </w:divBdr>
    </w:div>
    <w:div w:id="1042750529">
      <w:bodyDiv w:val="1"/>
      <w:marLeft w:val="0"/>
      <w:marRight w:val="0"/>
      <w:marTop w:val="0"/>
      <w:marBottom w:val="0"/>
      <w:divBdr>
        <w:top w:val="none" w:sz="0" w:space="0" w:color="auto"/>
        <w:left w:val="none" w:sz="0" w:space="0" w:color="auto"/>
        <w:bottom w:val="none" w:sz="0" w:space="0" w:color="auto"/>
        <w:right w:val="none" w:sz="0" w:space="0" w:color="auto"/>
      </w:divBdr>
    </w:div>
    <w:div w:id="1043485954">
      <w:bodyDiv w:val="1"/>
      <w:marLeft w:val="0"/>
      <w:marRight w:val="0"/>
      <w:marTop w:val="0"/>
      <w:marBottom w:val="0"/>
      <w:divBdr>
        <w:top w:val="none" w:sz="0" w:space="0" w:color="auto"/>
        <w:left w:val="none" w:sz="0" w:space="0" w:color="auto"/>
        <w:bottom w:val="none" w:sz="0" w:space="0" w:color="auto"/>
        <w:right w:val="none" w:sz="0" w:space="0" w:color="auto"/>
      </w:divBdr>
    </w:div>
    <w:div w:id="1045327038">
      <w:bodyDiv w:val="1"/>
      <w:marLeft w:val="0"/>
      <w:marRight w:val="0"/>
      <w:marTop w:val="0"/>
      <w:marBottom w:val="0"/>
      <w:divBdr>
        <w:top w:val="none" w:sz="0" w:space="0" w:color="auto"/>
        <w:left w:val="none" w:sz="0" w:space="0" w:color="auto"/>
        <w:bottom w:val="none" w:sz="0" w:space="0" w:color="auto"/>
        <w:right w:val="none" w:sz="0" w:space="0" w:color="auto"/>
      </w:divBdr>
    </w:div>
    <w:div w:id="1049719170">
      <w:bodyDiv w:val="1"/>
      <w:marLeft w:val="0"/>
      <w:marRight w:val="0"/>
      <w:marTop w:val="0"/>
      <w:marBottom w:val="0"/>
      <w:divBdr>
        <w:top w:val="none" w:sz="0" w:space="0" w:color="auto"/>
        <w:left w:val="none" w:sz="0" w:space="0" w:color="auto"/>
        <w:bottom w:val="none" w:sz="0" w:space="0" w:color="auto"/>
        <w:right w:val="none" w:sz="0" w:space="0" w:color="auto"/>
      </w:divBdr>
    </w:div>
    <w:div w:id="1054545885">
      <w:bodyDiv w:val="1"/>
      <w:marLeft w:val="0"/>
      <w:marRight w:val="0"/>
      <w:marTop w:val="0"/>
      <w:marBottom w:val="0"/>
      <w:divBdr>
        <w:top w:val="none" w:sz="0" w:space="0" w:color="auto"/>
        <w:left w:val="none" w:sz="0" w:space="0" w:color="auto"/>
        <w:bottom w:val="none" w:sz="0" w:space="0" w:color="auto"/>
        <w:right w:val="none" w:sz="0" w:space="0" w:color="auto"/>
      </w:divBdr>
    </w:div>
    <w:div w:id="1057165245">
      <w:bodyDiv w:val="1"/>
      <w:marLeft w:val="0"/>
      <w:marRight w:val="0"/>
      <w:marTop w:val="0"/>
      <w:marBottom w:val="0"/>
      <w:divBdr>
        <w:top w:val="none" w:sz="0" w:space="0" w:color="auto"/>
        <w:left w:val="none" w:sz="0" w:space="0" w:color="auto"/>
        <w:bottom w:val="none" w:sz="0" w:space="0" w:color="auto"/>
        <w:right w:val="none" w:sz="0" w:space="0" w:color="auto"/>
      </w:divBdr>
    </w:div>
    <w:div w:id="1059598072">
      <w:bodyDiv w:val="1"/>
      <w:marLeft w:val="0"/>
      <w:marRight w:val="0"/>
      <w:marTop w:val="0"/>
      <w:marBottom w:val="0"/>
      <w:divBdr>
        <w:top w:val="none" w:sz="0" w:space="0" w:color="auto"/>
        <w:left w:val="none" w:sz="0" w:space="0" w:color="auto"/>
        <w:bottom w:val="none" w:sz="0" w:space="0" w:color="auto"/>
        <w:right w:val="none" w:sz="0" w:space="0" w:color="auto"/>
      </w:divBdr>
    </w:div>
    <w:div w:id="1062756073">
      <w:bodyDiv w:val="1"/>
      <w:marLeft w:val="0"/>
      <w:marRight w:val="0"/>
      <w:marTop w:val="0"/>
      <w:marBottom w:val="0"/>
      <w:divBdr>
        <w:top w:val="none" w:sz="0" w:space="0" w:color="auto"/>
        <w:left w:val="none" w:sz="0" w:space="0" w:color="auto"/>
        <w:bottom w:val="none" w:sz="0" w:space="0" w:color="auto"/>
        <w:right w:val="none" w:sz="0" w:space="0" w:color="auto"/>
      </w:divBdr>
    </w:div>
    <w:div w:id="1068305425">
      <w:bodyDiv w:val="1"/>
      <w:marLeft w:val="0"/>
      <w:marRight w:val="0"/>
      <w:marTop w:val="0"/>
      <w:marBottom w:val="0"/>
      <w:divBdr>
        <w:top w:val="none" w:sz="0" w:space="0" w:color="auto"/>
        <w:left w:val="none" w:sz="0" w:space="0" w:color="auto"/>
        <w:bottom w:val="none" w:sz="0" w:space="0" w:color="auto"/>
        <w:right w:val="none" w:sz="0" w:space="0" w:color="auto"/>
      </w:divBdr>
    </w:div>
    <w:div w:id="1069503099">
      <w:bodyDiv w:val="1"/>
      <w:marLeft w:val="0"/>
      <w:marRight w:val="0"/>
      <w:marTop w:val="0"/>
      <w:marBottom w:val="0"/>
      <w:divBdr>
        <w:top w:val="none" w:sz="0" w:space="0" w:color="auto"/>
        <w:left w:val="none" w:sz="0" w:space="0" w:color="auto"/>
        <w:bottom w:val="none" w:sz="0" w:space="0" w:color="auto"/>
        <w:right w:val="none" w:sz="0" w:space="0" w:color="auto"/>
      </w:divBdr>
    </w:div>
    <w:div w:id="1076392275">
      <w:bodyDiv w:val="1"/>
      <w:marLeft w:val="0"/>
      <w:marRight w:val="0"/>
      <w:marTop w:val="0"/>
      <w:marBottom w:val="0"/>
      <w:divBdr>
        <w:top w:val="none" w:sz="0" w:space="0" w:color="auto"/>
        <w:left w:val="none" w:sz="0" w:space="0" w:color="auto"/>
        <w:bottom w:val="none" w:sz="0" w:space="0" w:color="auto"/>
        <w:right w:val="none" w:sz="0" w:space="0" w:color="auto"/>
      </w:divBdr>
    </w:div>
    <w:div w:id="1083183929">
      <w:bodyDiv w:val="1"/>
      <w:marLeft w:val="0"/>
      <w:marRight w:val="0"/>
      <w:marTop w:val="0"/>
      <w:marBottom w:val="0"/>
      <w:divBdr>
        <w:top w:val="none" w:sz="0" w:space="0" w:color="auto"/>
        <w:left w:val="none" w:sz="0" w:space="0" w:color="auto"/>
        <w:bottom w:val="none" w:sz="0" w:space="0" w:color="auto"/>
        <w:right w:val="none" w:sz="0" w:space="0" w:color="auto"/>
      </w:divBdr>
    </w:div>
    <w:div w:id="1098409011">
      <w:bodyDiv w:val="1"/>
      <w:marLeft w:val="0"/>
      <w:marRight w:val="0"/>
      <w:marTop w:val="0"/>
      <w:marBottom w:val="0"/>
      <w:divBdr>
        <w:top w:val="none" w:sz="0" w:space="0" w:color="auto"/>
        <w:left w:val="none" w:sz="0" w:space="0" w:color="auto"/>
        <w:bottom w:val="none" w:sz="0" w:space="0" w:color="auto"/>
        <w:right w:val="none" w:sz="0" w:space="0" w:color="auto"/>
      </w:divBdr>
    </w:div>
    <w:div w:id="1101224675">
      <w:bodyDiv w:val="1"/>
      <w:marLeft w:val="0"/>
      <w:marRight w:val="0"/>
      <w:marTop w:val="0"/>
      <w:marBottom w:val="0"/>
      <w:divBdr>
        <w:top w:val="none" w:sz="0" w:space="0" w:color="auto"/>
        <w:left w:val="none" w:sz="0" w:space="0" w:color="auto"/>
        <w:bottom w:val="none" w:sz="0" w:space="0" w:color="auto"/>
        <w:right w:val="none" w:sz="0" w:space="0" w:color="auto"/>
      </w:divBdr>
    </w:div>
    <w:div w:id="1108544657">
      <w:bodyDiv w:val="1"/>
      <w:marLeft w:val="0"/>
      <w:marRight w:val="0"/>
      <w:marTop w:val="0"/>
      <w:marBottom w:val="0"/>
      <w:divBdr>
        <w:top w:val="none" w:sz="0" w:space="0" w:color="auto"/>
        <w:left w:val="none" w:sz="0" w:space="0" w:color="auto"/>
        <w:bottom w:val="none" w:sz="0" w:space="0" w:color="auto"/>
        <w:right w:val="none" w:sz="0" w:space="0" w:color="auto"/>
      </w:divBdr>
    </w:div>
    <w:div w:id="1115171817">
      <w:bodyDiv w:val="1"/>
      <w:marLeft w:val="0"/>
      <w:marRight w:val="0"/>
      <w:marTop w:val="0"/>
      <w:marBottom w:val="0"/>
      <w:divBdr>
        <w:top w:val="none" w:sz="0" w:space="0" w:color="auto"/>
        <w:left w:val="none" w:sz="0" w:space="0" w:color="auto"/>
        <w:bottom w:val="none" w:sz="0" w:space="0" w:color="auto"/>
        <w:right w:val="none" w:sz="0" w:space="0" w:color="auto"/>
      </w:divBdr>
    </w:div>
    <w:div w:id="1132408341">
      <w:bodyDiv w:val="1"/>
      <w:marLeft w:val="0"/>
      <w:marRight w:val="0"/>
      <w:marTop w:val="0"/>
      <w:marBottom w:val="0"/>
      <w:divBdr>
        <w:top w:val="none" w:sz="0" w:space="0" w:color="auto"/>
        <w:left w:val="none" w:sz="0" w:space="0" w:color="auto"/>
        <w:bottom w:val="none" w:sz="0" w:space="0" w:color="auto"/>
        <w:right w:val="none" w:sz="0" w:space="0" w:color="auto"/>
      </w:divBdr>
    </w:div>
    <w:div w:id="1139108057">
      <w:bodyDiv w:val="1"/>
      <w:marLeft w:val="0"/>
      <w:marRight w:val="0"/>
      <w:marTop w:val="0"/>
      <w:marBottom w:val="0"/>
      <w:divBdr>
        <w:top w:val="none" w:sz="0" w:space="0" w:color="auto"/>
        <w:left w:val="none" w:sz="0" w:space="0" w:color="auto"/>
        <w:bottom w:val="none" w:sz="0" w:space="0" w:color="auto"/>
        <w:right w:val="none" w:sz="0" w:space="0" w:color="auto"/>
      </w:divBdr>
    </w:div>
    <w:div w:id="1141995950">
      <w:bodyDiv w:val="1"/>
      <w:marLeft w:val="0"/>
      <w:marRight w:val="0"/>
      <w:marTop w:val="0"/>
      <w:marBottom w:val="0"/>
      <w:divBdr>
        <w:top w:val="none" w:sz="0" w:space="0" w:color="auto"/>
        <w:left w:val="none" w:sz="0" w:space="0" w:color="auto"/>
        <w:bottom w:val="none" w:sz="0" w:space="0" w:color="auto"/>
        <w:right w:val="none" w:sz="0" w:space="0" w:color="auto"/>
      </w:divBdr>
    </w:div>
    <w:div w:id="1143818147">
      <w:bodyDiv w:val="1"/>
      <w:marLeft w:val="0"/>
      <w:marRight w:val="0"/>
      <w:marTop w:val="0"/>
      <w:marBottom w:val="0"/>
      <w:divBdr>
        <w:top w:val="none" w:sz="0" w:space="0" w:color="auto"/>
        <w:left w:val="none" w:sz="0" w:space="0" w:color="auto"/>
        <w:bottom w:val="none" w:sz="0" w:space="0" w:color="auto"/>
        <w:right w:val="none" w:sz="0" w:space="0" w:color="auto"/>
      </w:divBdr>
    </w:div>
    <w:div w:id="1146623496">
      <w:bodyDiv w:val="1"/>
      <w:marLeft w:val="0"/>
      <w:marRight w:val="0"/>
      <w:marTop w:val="0"/>
      <w:marBottom w:val="0"/>
      <w:divBdr>
        <w:top w:val="none" w:sz="0" w:space="0" w:color="auto"/>
        <w:left w:val="none" w:sz="0" w:space="0" w:color="auto"/>
        <w:bottom w:val="none" w:sz="0" w:space="0" w:color="auto"/>
        <w:right w:val="none" w:sz="0" w:space="0" w:color="auto"/>
      </w:divBdr>
    </w:div>
    <w:div w:id="1146775137">
      <w:bodyDiv w:val="1"/>
      <w:marLeft w:val="0"/>
      <w:marRight w:val="0"/>
      <w:marTop w:val="0"/>
      <w:marBottom w:val="0"/>
      <w:divBdr>
        <w:top w:val="none" w:sz="0" w:space="0" w:color="auto"/>
        <w:left w:val="none" w:sz="0" w:space="0" w:color="auto"/>
        <w:bottom w:val="none" w:sz="0" w:space="0" w:color="auto"/>
        <w:right w:val="none" w:sz="0" w:space="0" w:color="auto"/>
      </w:divBdr>
    </w:div>
    <w:div w:id="1159425400">
      <w:bodyDiv w:val="1"/>
      <w:marLeft w:val="0"/>
      <w:marRight w:val="0"/>
      <w:marTop w:val="0"/>
      <w:marBottom w:val="0"/>
      <w:divBdr>
        <w:top w:val="none" w:sz="0" w:space="0" w:color="auto"/>
        <w:left w:val="none" w:sz="0" w:space="0" w:color="auto"/>
        <w:bottom w:val="none" w:sz="0" w:space="0" w:color="auto"/>
        <w:right w:val="none" w:sz="0" w:space="0" w:color="auto"/>
      </w:divBdr>
    </w:div>
    <w:div w:id="1163665689">
      <w:bodyDiv w:val="1"/>
      <w:marLeft w:val="0"/>
      <w:marRight w:val="0"/>
      <w:marTop w:val="0"/>
      <w:marBottom w:val="0"/>
      <w:divBdr>
        <w:top w:val="none" w:sz="0" w:space="0" w:color="auto"/>
        <w:left w:val="none" w:sz="0" w:space="0" w:color="auto"/>
        <w:bottom w:val="none" w:sz="0" w:space="0" w:color="auto"/>
        <w:right w:val="none" w:sz="0" w:space="0" w:color="auto"/>
      </w:divBdr>
    </w:div>
    <w:div w:id="1164665787">
      <w:bodyDiv w:val="1"/>
      <w:marLeft w:val="0"/>
      <w:marRight w:val="0"/>
      <w:marTop w:val="0"/>
      <w:marBottom w:val="0"/>
      <w:divBdr>
        <w:top w:val="none" w:sz="0" w:space="0" w:color="auto"/>
        <w:left w:val="none" w:sz="0" w:space="0" w:color="auto"/>
        <w:bottom w:val="none" w:sz="0" w:space="0" w:color="auto"/>
        <w:right w:val="none" w:sz="0" w:space="0" w:color="auto"/>
      </w:divBdr>
    </w:div>
    <w:div w:id="1183204867">
      <w:bodyDiv w:val="1"/>
      <w:marLeft w:val="0"/>
      <w:marRight w:val="0"/>
      <w:marTop w:val="0"/>
      <w:marBottom w:val="0"/>
      <w:divBdr>
        <w:top w:val="none" w:sz="0" w:space="0" w:color="auto"/>
        <w:left w:val="none" w:sz="0" w:space="0" w:color="auto"/>
        <w:bottom w:val="none" w:sz="0" w:space="0" w:color="auto"/>
        <w:right w:val="none" w:sz="0" w:space="0" w:color="auto"/>
      </w:divBdr>
    </w:div>
    <w:div w:id="1183400996">
      <w:bodyDiv w:val="1"/>
      <w:marLeft w:val="0"/>
      <w:marRight w:val="0"/>
      <w:marTop w:val="0"/>
      <w:marBottom w:val="0"/>
      <w:divBdr>
        <w:top w:val="none" w:sz="0" w:space="0" w:color="auto"/>
        <w:left w:val="none" w:sz="0" w:space="0" w:color="auto"/>
        <w:bottom w:val="none" w:sz="0" w:space="0" w:color="auto"/>
        <w:right w:val="none" w:sz="0" w:space="0" w:color="auto"/>
      </w:divBdr>
    </w:div>
    <w:div w:id="1187400620">
      <w:bodyDiv w:val="1"/>
      <w:marLeft w:val="0"/>
      <w:marRight w:val="0"/>
      <w:marTop w:val="0"/>
      <w:marBottom w:val="0"/>
      <w:divBdr>
        <w:top w:val="none" w:sz="0" w:space="0" w:color="auto"/>
        <w:left w:val="none" w:sz="0" w:space="0" w:color="auto"/>
        <w:bottom w:val="none" w:sz="0" w:space="0" w:color="auto"/>
        <w:right w:val="none" w:sz="0" w:space="0" w:color="auto"/>
      </w:divBdr>
    </w:div>
    <w:div w:id="1192645707">
      <w:bodyDiv w:val="1"/>
      <w:marLeft w:val="0"/>
      <w:marRight w:val="0"/>
      <w:marTop w:val="0"/>
      <w:marBottom w:val="0"/>
      <w:divBdr>
        <w:top w:val="none" w:sz="0" w:space="0" w:color="auto"/>
        <w:left w:val="none" w:sz="0" w:space="0" w:color="auto"/>
        <w:bottom w:val="none" w:sz="0" w:space="0" w:color="auto"/>
        <w:right w:val="none" w:sz="0" w:space="0" w:color="auto"/>
      </w:divBdr>
    </w:div>
    <w:div w:id="1192765998">
      <w:bodyDiv w:val="1"/>
      <w:marLeft w:val="0"/>
      <w:marRight w:val="0"/>
      <w:marTop w:val="0"/>
      <w:marBottom w:val="0"/>
      <w:divBdr>
        <w:top w:val="none" w:sz="0" w:space="0" w:color="auto"/>
        <w:left w:val="none" w:sz="0" w:space="0" w:color="auto"/>
        <w:bottom w:val="none" w:sz="0" w:space="0" w:color="auto"/>
        <w:right w:val="none" w:sz="0" w:space="0" w:color="auto"/>
      </w:divBdr>
    </w:div>
    <w:div w:id="1199271048">
      <w:bodyDiv w:val="1"/>
      <w:marLeft w:val="0"/>
      <w:marRight w:val="0"/>
      <w:marTop w:val="0"/>
      <w:marBottom w:val="0"/>
      <w:divBdr>
        <w:top w:val="none" w:sz="0" w:space="0" w:color="auto"/>
        <w:left w:val="none" w:sz="0" w:space="0" w:color="auto"/>
        <w:bottom w:val="none" w:sz="0" w:space="0" w:color="auto"/>
        <w:right w:val="none" w:sz="0" w:space="0" w:color="auto"/>
      </w:divBdr>
    </w:div>
    <w:div w:id="1208176149">
      <w:bodyDiv w:val="1"/>
      <w:marLeft w:val="0"/>
      <w:marRight w:val="0"/>
      <w:marTop w:val="0"/>
      <w:marBottom w:val="0"/>
      <w:divBdr>
        <w:top w:val="none" w:sz="0" w:space="0" w:color="auto"/>
        <w:left w:val="none" w:sz="0" w:space="0" w:color="auto"/>
        <w:bottom w:val="none" w:sz="0" w:space="0" w:color="auto"/>
        <w:right w:val="none" w:sz="0" w:space="0" w:color="auto"/>
      </w:divBdr>
    </w:div>
    <w:div w:id="1226376476">
      <w:bodyDiv w:val="1"/>
      <w:marLeft w:val="0"/>
      <w:marRight w:val="0"/>
      <w:marTop w:val="0"/>
      <w:marBottom w:val="0"/>
      <w:divBdr>
        <w:top w:val="none" w:sz="0" w:space="0" w:color="auto"/>
        <w:left w:val="none" w:sz="0" w:space="0" w:color="auto"/>
        <w:bottom w:val="none" w:sz="0" w:space="0" w:color="auto"/>
        <w:right w:val="none" w:sz="0" w:space="0" w:color="auto"/>
      </w:divBdr>
    </w:div>
    <w:div w:id="1231572527">
      <w:bodyDiv w:val="1"/>
      <w:marLeft w:val="0"/>
      <w:marRight w:val="0"/>
      <w:marTop w:val="0"/>
      <w:marBottom w:val="0"/>
      <w:divBdr>
        <w:top w:val="none" w:sz="0" w:space="0" w:color="auto"/>
        <w:left w:val="none" w:sz="0" w:space="0" w:color="auto"/>
        <w:bottom w:val="none" w:sz="0" w:space="0" w:color="auto"/>
        <w:right w:val="none" w:sz="0" w:space="0" w:color="auto"/>
      </w:divBdr>
    </w:div>
    <w:div w:id="1234781330">
      <w:bodyDiv w:val="1"/>
      <w:marLeft w:val="0"/>
      <w:marRight w:val="0"/>
      <w:marTop w:val="0"/>
      <w:marBottom w:val="0"/>
      <w:divBdr>
        <w:top w:val="none" w:sz="0" w:space="0" w:color="auto"/>
        <w:left w:val="none" w:sz="0" w:space="0" w:color="auto"/>
        <w:bottom w:val="none" w:sz="0" w:space="0" w:color="auto"/>
        <w:right w:val="none" w:sz="0" w:space="0" w:color="auto"/>
      </w:divBdr>
    </w:div>
    <w:div w:id="1242252347">
      <w:bodyDiv w:val="1"/>
      <w:marLeft w:val="0"/>
      <w:marRight w:val="0"/>
      <w:marTop w:val="0"/>
      <w:marBottom w:val="0"/>
      <w:divBdr>
        <w:top w:val="none" w:sz="0" w:space="0" w:color="auto"/>
        <w:left w:val="none" w:sz="0" w:space="0" w:color="auto"/>
        <w:bottom w:val="none" w:sz="0" w:space="0" w:color="auto"/>
        <w:right w:val="none" w:sz="0" w:space="0" w:color="auto"/>
      </w:divBdr>
    </w:div>
    <w:div w:id="1250120754">
      <w:bodyDiv w:val="1"/>
      <w:marLeft w:val="0"/>
      <w:marRight w:val="0"/>
      <w:marTop w:val="0"/>
      <w:marBottom w:val="0"/>
      <w:divBdr>
        <w:top w:val="none" w:sz="0" w:space="0" w:color="auto"/>
        <w:left w:val="none" w:sz="0" w:space="0" w:color="auto"/>
        <w:bottom w:val="none" w:sz="0" w:space="0" w:color="auto"/>
        <w:right w:val="none" w:sz="0" w:space="0" w:color="auto"/>
      </w:divBdr>
    </w:div>
    <w:div w:id="1260531115">
      <w:bodyDiv w:val="1"/>
      <w:marLeft w:val="0"/>
      <w:marRight w:val="0"/>
      <w:marTop w:val="0"/>
      <w:marBottom w:val="0"/>
      <w:divBdr>
        <w:top w:val="none" w:sz="0" w:space="0" w:color="auto"/>
        <w:left w:val="none" w:sz="0" w:space="0" w:color="auto"/>
        <w:bottom w:val="none" w:sz="0" w:space="0" w:color="auto"/>
        <w:right w:val="none" w:sz="0" w:space="0" w:color="auto"/>
      </w:divBdr>
    </w:div>
    <w:div w:id="1264994768">
      <w:bodyDiv w:val="1"/>
      <w:marLeft w:val="0"/>
      <w:marRight w:val="0"/>
      <w:marTop w:val="0"/>
      <w:marBottom w:val="0"/>
      <w:divBdr>
        <w:top w:val="none" w:sz="0" w:space="0" w:color="auto"/>
        <w:left w:val="none" w:sz="0" w:space="0" w:color="auto"/>
        <w:bottom w:val="none" w:sz="0" w:space="0" w:color="auto"/>
        <w:right w:val="none" w:sz="0" w:space="0" w:color="auto"/>
      </w:divBdr>
    </w:div>
    <w:div w:id="1274898903">
      <w:bodyDiv w:val="1"/>
      <w:marLeft w:val="0"/>
      <w:marRight w:val="0"/>
      <w:marTop w:val="0"/>
      <w:marBottom w:val="0"/>
      <w:divBdr>
        <w:top w:val="none" w:sz="0" w:space="0" w:color="auto"/>
        <w:left w:val="none" w:sz="0" w:space="0" w:color="auto"/>
        <w:bottom w:val="none" w:sz="0" w:space="0" w:color="auto"/>
        <w:right w:val="none" w:sz="0" w:space="0" w:color="auto"/>
      </w:divBdr>
    </w:div>
    <w:div w:id="1277833610">
      <w:bodyDiv w:val="1"/>
      <w:marLeft w:val="0"/>
      <w:marRight w:val="0"/>
      <w:marTop w:val="0"/>
      <w:marBottom w:val="0"/>
      <w:divBdr>
        <w:top w:val="none" w:sz="0" w:space="0" w:color="auto"/>
        <w:left w:val="none" w:sz="0" w:space="0" w:color="auto"/>
        <w:bottom w:val="none" w:sz="0" w:space="0" w:color="auto"/>
        <w:right w:val="none" w:sz="0" w:space="0" w:color="auto"/>
      </w:divBdr>
    </w:div>
    <w:div w:id="1285189030">
      <w:bodyDiv w:val="1"/>
      <w:marLeft w:val="0"/>
      <w:marRight w:val="0"/>
      <w:marTop w:val="0"/>
      <w:marBottom w:val="0"/>
      <w:divBdr>
        <w:top w:val="none" w:sz="0" w:space="0" w:color="auto"/>
        <w:left w:val="none" w:sz="0" w:space="0" w:color="auto"/>
        <w:bottom w:val="none" w:sz="0" w:space="0" w:color="auto"/>
        <w:right w:val="none" w:sz="0" w:space="0" w:color="auto"/>
      </w:divBdr>
    </w:div>
    <w:div w:id="1296137893">
      <w:bodyDiv w:val="1"/>
      <w:marLeft w:val="0"/>
      <w:marRight w:val="0"/>
      <w:marTop w:val="0"/>
      <w:marBottom w:val="0"/>
      <w:divBdr>
        <w:top w:val="none" w:sz="0" w:space="0" w:color="auto"/>
        <w:left w:val="none" w:sz="0" w:space="0" w:color="auto"/>
        <w:bottom w:val="none" w:sz="0" w:space="0" w:color="auto"/>
        <w:right w:val="none" w:sz="0" w:space="0" w:color="auto"/>
      </w:divBdr>
      <w:divsChild>
        <w:div w:id="1835074392">
          <w:marLeft w:val="0"/>
          <w:marRight w:val="0"/>
          <w:marTop w:val="0"/>
          <w:marBottom w:val="0"/>
          <w:divBdr>
            <w:top w:val="none" w:sz="0" w:space="0" w:color="auto"/>
            <w:left w:val="none" w:sz="0" w:space="0" w:color="auto"/>
            <w:bottom w:val="none" w:sz="0" w:space="0" w:color="auto"/>
            <w:right w:val="none" w:sz="0" w:space="0" w:color="auto"/>
          </w:divBdr>
          <w:divsChild>
            <w:div w:id="115298536">
              <w:marLeft w:val="0"/>
              <w:marRight w:val="0"/>
              <w:marTop w:val="0"/>
              <w:marBottom w:val="0"/>
              <w:divBdr>
                <w:top w:val="none" w:sz="0" w:space="0" w:color="auto"/>
                <w:left w:val="none" w:sz="0" w:space="0" w:color="auto"/>
                <w:bottom w:val="none" w:sz="0" w:space="0" w:color="auto"/>
                <w:right w:val="none" w:sz="0" w:space="0" w:color="auto"/>
              </w:divBdr>
              <w:divsChild>
                <w:div w:id="69253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71516">
      <w:bodyDiv w:val="1"/>
      <w:marLeft w:val="0"/>
      <w:marRight w:val="0"/>
      <w:marTop w:val="0"/>
      <w:marBottom w:val="0"/>
      <w:divBdr>
        <w:top w:val="none" w:sz="0" w:space="0" w:color="auto"/>
        <w:left w:val="none" w:sz="0" w:space="0" w:color="auto"/>
        <w:bottom w:val="none" w:sz="0" w:space="0" w:color="auto"/>
        <w:right w:val="none" w:sz="0" w:space="0" w:color="auto"/>
      </w:divBdr>
    </w:div>
    <w:div w:id="1300040272">
      <w:bodyDiv w:val="1"/>
      <w:marLeft w:val="0"/>
      <w:marRight w:val="0"/>
      <w:marTop w:val="0"/>
      <w:marBottom w:val="0"/>
      <w:divBdr>
        <w:top w:val="none" w:sz="0" w:space="0" w:color="auto"/>
        <w:left w:val="none" w:sz="0" w:space="0" w:color="auto"/>
        <w:bottom w:val="none" w:sz="0" w:space="0" w:color="auto"/>
        <w:right w:val="none" w:sz="0" w:space="0" w:color="auto"/>
      </w:divBdr>
    </w:div>
    <w:div w:id="1301114147">
      <w:bodyDiv w:val="1"/>
      <w:marLeft w:val="0"/>
      <w:marRight w:val="0"/>
      <w:marTop w:val="0"/>
      <w:marBottom w:val="0"/>
      <w:divBdr>
        <w:top w:val="none" w:sz="0" w:space="0" w:color="auto"/>
        <w:left w:val="none" w:sz="0" w:space="0" w:color="auto"/>
        <w:bottom w:val="none" w:sz="0" w:space="0" w:color="auto"/>
        <w:right w:val="none" w:sz="0" w:space="0" w:color="auto"/>
      </w:divBdr>
    </w:div>
    <w:div w:id="1301501657">
      <w:bodyDiv w:val="1"/>
      <w:marLeft w:val="0"/>
      <w:marRight w:val="0"/>
      <w:marTop w:val="0"/>
      <w:marBottom w:val="0"/>
      <w:divBdr>
        <w:top w:val="none" w:sz="0" w:space="0" w:color="auto"/>
        <w:left w:val="none" w:sz="0" w:space="0" w:color="auto"/>
        <w:bottom w:val="none" w:sz="0" w:space="0" w:color="auto"/>
        <w:right w:val="none" w:sz="0" w:space="0" w:color="auto"/>
      </w:divBdr>
    </w:div>
    <w:div w:id="1303732674">
      <w:bodyDiv w:val="1"/>
      <w:marLeft w:val="0"/>
      <w:marRight w:val="0"/>
      <w:marTop w:val="0"/>
      <w:marBottom w:val="0"/>
      <w:divBdr>
        <w:top w:val="none" w:sz="0" w:space="0" w:color="auto"/>
        <w:left w:val="none" w:sz="0" w:space="0" w:color="auto"/>
        <w:bottom w:val="none" w:sz="0" w:space="0" w:color="auto"/>
        <w:right w:val="none" w:sz="0" w:space="0" w:color="auto"/>
      </w:divBdr>
    </w:div>
    <w:div w:id="1303849491">
      <w:bodyDiv w:val="1"/>
      <w:marLeft w:val="0"/>
      <w:marRight w:val="0"/>
      <w:marTop w:val="0"/>
      <w:marBottom w:val="0"/>
      <w:divBdr>
        <w:top w:val="none" w:sz="0" w:space="0" w:color="auto"/>
        <w:left w:val="none" w:sz="0" w:space="0" w:color="auto"/>
        <w:bottom w:val="none" w:sz="0" w:space="0" w:color="auto"/>
        <w:right w:val="none" w:sz="0" w:space="0" w:color="auto"/>
      </w:divBdr>
    </w:div>
    <w:div w:id="1312715097">
      <w:bodyDiv w:val="1"/>
      <w:marLeft w:val="0"/>
      <w:marRight w:val="0"/>
      <w:marTop w:val="0"/>
      <w:marBottom w:val="0"/>
      <w:divBdr>
        <w:top w:val="none" w:sz="0" w:space="0" w:color="auto"/>
        <w:left w:val="none" w:sz="0" w:space="0" w:color="auto"/>
        <w:bottom w:val="none" w:sz="0" w:space="0" w:color="auto"/>
        <w:right w:val="none" w:sz="0" w:space="0" w:color="auto"/>
      </w:divBdr>
    </w:div>
    <w:div w:id="1317610252">
      <w:bodyDiv w:val="1"/>
      <w:marLeft w:val="0"/>
      <w:marRight w:val="0"/>
      <w:marTop w:val="0"/>
      <w:marBottom w:val="0"/>
      <w:divBdr>
        <w:top w:val="none" w:sz="0" w:space="0" w:color="auto"/>
        <w:left w:val="none" w:sz="0" w:space="0" w:color="auto"/>
        <w:bottom w:val="none" w:sz="0" w:space="0" w:color="auto"/>
        <w:right w:val="none" w:sz="0" w:space="0" w:color="auto"/>
      </w:divBdr>
    </w:div>
    <w:div w:id="1330906010">
      <w:bodyDiv w:val="1"/>
      <w:marLeft w:val="0"/>
      <w:marRight w:val="0"/>
      <w:marTop w:val="0"/>
      <w:marBottom w:val="0"/>
      <w:divBdr>
        <w:top w:val="none" w:sz="0" w:space="0" w:color="auto"/>
        <w:left w:val="none" w:sz="0" w:space="0" w:color="auto"/>
        <w:bottom w:val="none" w:sz="0" w:space="0" w:color="auto"/>
        <w:right w:val="none" w:sz="0" w:space="0" w:color="auto"/>
      </w:divBdr>
    </w:div>
    <w:div w:id="1339623471">
      <w:bodyDiv w:val="1"/>
      <w:marLeft w:val="0"/>
      <w:marRight w:val="0"/>
      <w:marTop w:val="0"/>
      <w:marBottom w:val="0"/>
      <w:divBdr>
        <w:top w:val="none" w:sz="0" w:space="0" w:color="auto"/>
        <w:left w:val="none" w:sz="0" w:space="0" w:color="auto"/>
        <w:bottom w:val="none" w:sz="0" w:space="0" w:color="auto"/>
        <w:right w:val="none" w:sz="0" w:space="0" w:color="auto"/>
      </w:divBdr>
    </w:div>
    <w:div w:id="1349211726">
      <w:bodyDiv w:val="1"/>
      <w:marLeft w:val="0"/>
      <w:marRight w:val="0"/>
      <w:marTop w:val="0"/>
      <w:marBottom w:val="0"/>
      <w:divBdr>
        <w:top w:val="none" w:sz="0" w:space="0" w:color="auto"/>
        <w:left w:val="none" w:sz="0" w:space="0" w:color="auto"/>
        <w:bottom w:val="none" w:sz="0" w:space="0" w:color="auto"/>
        <w:right w:val="none" w:sz="0" w:space="0" w:color="auto"/>
      </w:divBdr>
    </w:div>
    <w:div w:id="1351106242">
      <w:bodyDiv w:val="1"/>
      <w:marLeft w:val="0"/>
      <w:marRight w:val="0"/>
      <w:marTop w:val="0"/>
      <w:marBottom w:val="0"/>
      <w:divBdr>
        <w:top w:val="none" w:sz="0" w:space="0" w:color="auto"/>
        <w:left w:val="none" w:sz="0" w:space="0" w:color="auto"/>
        <w:bottom w:val="none" w:sz="0" w:space="0" w:color="auto"/>
        <w:right w:val="none" w:sz="0" w:space="0" w:color="auto"/>
      </w:divBdr>
    </w:div>
    <w:div w:id="1361129855">
      <w:bodyDiv w:val="1"/>
      <w:marLeft w:val="0"/>
      <w:marRight w:val="0"/>
      <w:marTop w:val="0"/>
      <w:marBottom w:val="0"/>
      <w:divBdr>
        <w:top w:val="none" w:sz="0" w:space="0" w:color="auto"/>
        <w:left w:val="none" w:sz="0" w:space="0" w:color="auto"/>
        <w:bottom w:val="none" w:sz="0" w:space="0" w:color="auto"/>
        <w:right w:val="none" w:sz="0" w:space="0" w:color="auto"/>
      </w:divBdr>
    </w:div>
    <w:div w:id="1367095108">
      <w:bodyDiv w:val="1"/>
      <w:marLeft w:val="0"/>
      <w:marRight w:val="0"/>
      <w:marTop w:val="0"/>
      <w:marBottom w:val="0"/>
      <w:divBdr>
        <w:top w:val="none" w:sz="0" w:space="0" w:color="auto"/>
        <w:left w:val="none" w:sz="0" w:space="0" w:color="auto"/>
        <w:bottom w:val="none" w:sz="0" w:space="0" w:color="auto"/>
        <w:right w:val="none" w:sz="0" w:space="0" w:color="auto"/>
      </w:divBdr>
    </w:div>
    <w:div w:id="1369992474">
      <w:bodyDiv w:val="1"/>
      <w:marLeft w:val="0"/>
      <w:marRight w:val="0"/>
      <w:marTop w:val="0"/>
      <w:marBottom w:val="0"/>
      <w:divBdr>
        <w:top w:val="none" w:sz="0" w:space="0" w:color="auto"/>
        <w:left w:val="none" w:sz="0" w:space="0" w:color="auto"/>
        <w:bottom w:val="none" w:sz="0" w:space="0" w:color="auto"/>
        <w:right w:val="none" w:sz="0" w:space="0" w:color="auto"/>
      </w:divBdr>
    </w:div>
    <w:div w:id="1370227181">
      <w:bodyDiv w:val="1"/>
      <w:marLeft w:val="0"/>
      <w:marRight w:val="0"/>
      <w:marTop w:val="0"/>
      <w:marBottom w:val="0"/>
      <w:divBdr>
        <w:top w:val="none" w:sz="0" w:space="0" w:color="auto"/>
        <w:left w:val="none" w:sz="0" w:space="0" w:color="auto"/>
        <w:bottom w:val="none" w:sz="0" w:space="0" w:color="auto"/>
        <w:right w:val="none" w:sz="0" w:space="0" w:color="auto"/>
      </w:divBdr>
    </w:div>
    <w:div w:id="1386642398">
      <w:bodyDiv w:val="1"/>
      <w:marLeft w:val="0"/>
      <w:marRight w:val="0"/>
      <w:marTop w:val="0"/>
      <w:marBottom w:val="0"/>
      <w:divBdr>
        <w:top w:val="none" w:sz="0" w:space="0" w:color="auto"/>
        <w:left w:val="none" w:sz="0" w:space="0" w:color="auto"/>
        <w:bottom w:val="none" w:sz="0" w:space="0" w:color="auto"/>
        <w:right w:val="none" w:sz="0" w:space="0" w:color="auto"/>
      </w:divBdr>
    </w:div>
    <w:div w:id="1390687176">
      <w:bodyDiv w:val="1"/>
      <w:marLeft w:val="0"/>
      <w:marRight w:val="0"/>
      <w:marTop w:val="0"/>
      <w:marBottom w:val="0"/>
      <w:divBdr>
        <w:top w:val="none" w:sz="0" w:space="0" w:color="auto"/>
        <w:left w:val="none" w:sz="0" w:space="0" w:color="auto"/>
        <w:bottom w:val="none" w:sz="0" w:space="0" w:color="auto"/>
        <w:right w:val="none" w:sz="0" w:space="0" w:color="auto"/>
      </w:divBdr>
    </w:div>
    <w:div w:id="1391733900">
      <w:bodyDiv w:val="1"/>
      <w:marLeft w:val="0"/>
      <w:marRight w:val="0"/>
      <w:marTop w:val="0"/>
      <w:marBottom w:val="0"/>
      <w:divBdr>
        <w:top w:val="none" w:sz="0" w:space="0" w:color="auto"/>
        <w:left w:val="none" w:sz="0" w:space="0" w:color="auto"/>
        <w:bottom w:val="none" w:sz="0" w:space="0" w:color="auto"/>
        <w:right w:val="none" w:sz="0" w:space="0" w:color="auto"/>
      </w:divBdr>
    </w:div>
    <w:div w:id="1394163567">
      <w:bodyDiv w:val="1"/>
      <w:marLeft w:val="0"/>
      <w:marRight w:val="0"/>
      <w:marTop w:val="0"/>
      <w:marBottom w:val="0"/>
      <w:divBdr>
        <w:top w:val="none" w:sz="0" w:space="0" w:color="auto"/>
        <w:left w:val="none" w:sz="0" w:space="0" w:color="auto"/>
        <w:bottom w:val="none" w:sz="0" w:space="0" w:color="auto"/>
        <w:right w:val="none" w:sz="0" w:space="0" w:color="auto"/>
      </w:divBdr>
    </w:div>
    <w:div w:id="1395737049">
      <w:bodyDiv w:val="1"/>
      <w:marLeft w:val="0"/>
      <w:marRight w:val="0"/>
      <w:marTop w:val="0"/>
      <w:marBottom w:val="0"/>
      <w:divBdr>
        <w:top w:val="none" w:sz="0" w:space="0" w:color="auto"/>
        <w:left w:val="none" w:sz="0" w:space="0" w:color="auto"/>
        <w:bottom w:val="none" w:sz="0" w:space="0" w:color="auto"/>
        <w:right w:val="none" w:sz="0" w:space="0" w:color="auto"/>
      </w:divBdr>
    </w:div>
    <w:div w:id="1396053417">
      <w:bodyDiv w:val="1"/>
      <w:marLeft w:val="0"/>
      <w:marRight w:val="0"/>
      <w:marTop w:val="0"/>
      <w:marBottom w:val="0"/>
      <w:divBdr>
        <w:top w:val="none" w:sz="0" w:space="0" w:color="auto"/>
        <w:left w:val="none" w:sz="0" w:space="0" w:color="auto"/>
        <w:bottom w:val="none" w:sz="0" w:space="0" w:color="auto"/>
        <w:right w:val="none" w:sz="0" w:space="0" w:color="auto"/>
      </w:divBdr>
    </w:div>
    <w:div w:id="1401709780">
      <w:bodyDiv w:val="1"/>
      <w:marLeft w:val="0"/>
      <w:marRight w:val="0"/>
      <w:marTop w:val="0"/>
      <w:marBottom w:val="0"/>
      <w:divBdr>
        <w:top w:val="none" w:sz="0" w:space="0" w:color="auto"/>
        <w:left w:val="none" w:sz="0" w:space="0" w:color="auto"/>
        <w:bottom w:val="none" w:sz="0" w:space="0" w:color="auto"/>
        <w:right w:val="none" w:sz="0" w:space="0" w:color="auto"/>
      </w:divBdr>
    </w:div>
    <w:div w:id="1405910097">
      <w:bodyDiv w:val="1"/>
      <w:marLeft w:val="0"/>
      <w:marRight w:val="0"/>
      <w:marTop w:val="0"/>
      <w:marBottom w:val="0"/>
      <w:divBdr>
        <w:top w:val="none" w:sz="0" w:space="0" w:color="auto"/>
        <w:left w:val="none" w:sz="0" w:space="0" w:color="auto"/>
        <w:bottom w:val="none" w:sz="0" w:space="0" w:color="auto"/>
        <w:right w:val="none" w:sz="0" w:space="0" w:color="auto"/>
      </w:divBdr>
    </w:div>
    <w:div w:id="1408069465">
      <w:bodyDiv w:val="1"/>
      <w:marLeft w:val="0"/>
      <w:marRight w:val="0"/>
      <w:marTop w:val="0"/>
      <w:marBottom w:val="0"/>
      <w:divBdr>
        <w:top w:val="none" w:sz="0" w:space="0" w:color="auto"/>
        <w:left w:val="none" w:sz="0" w:space="0" w:color="auto"/>
        <w:bottom w:val="none" w:sz="0" w:space="0" w:color="auto"/>
        <w:right w:val="none" w:sz="0" w:space="0" w:color="auto"/>
      </w:divBdr>
    </w:div>
    <w:div w:id="1414546680">
      <w:bodyDiv w:val="1"/>
      <w:marLeft w:val="0"/>
      <w:marRight w:val="0"/>
      <w:marTop w:val="0"/>
      <w:marBottom w:val="0"/>
      <w:divBdr>
        <w:top w:val="none" w:sz="0" w:space="0" w:color="auto"/>
        <w:left w:val="none" w:sz="0" w:space="0" w:color="auto"/>
        <w:bottom w:val="none" w:sz="0" w:space="0" w:color="auto"/>
        <w:right w:val="none" w:sz="0" w:space="0" w:color="auto"/>
      </w:divBdr>
    </w:div>
    <w:div w:id="1418362525">
      <w:bodyDiv w:val="1"/>
      <w:marLeft w:val="0"/>
      <w:marRight w:val="0"/>
      <w:marTop w:val="0"/>
      <w:marBottom w:val="0"/>
      <w:divBdr>
        <w:top w:val="none" w:sz="0" w:space="0" w:color="auto"/>
        <w:left w:val="none" w:sz="0" w:space="0" w:color="auto"/>
        <w:bottom w:val="none" w:sz="0" w:space="0" w:color="auto"/>
        <w:right w:val="none" w:sz="0" w:space="0" w:color="auto"/>
      </w:divBdr>
    </w:div>
    <w:div w:id="1423985203">
      <w:bodyDiv w:val="1"/>
      <w:marLeft w:val="0"/>
      <w:marRight w:val="0"/>
      <w:marTop w:val="0"/>
      <w:marBottom w:val="0"/>
      <w:divBdr>
        <w:top w:val="none" w:sz="0" w:space="0" w:color="auto"/>
        <w:left w:val="none" w:sz="0" w:space="0" w:color="auto"/>
        <w:bottom w:val="none" w:sz="0" w:space="0" w:color="auto"/>
        <w:right w:val="none" w:sz="0" w:space="0" w:color="auto"/>
      </w:divBdr>
    </w:div>
    <w:div w:id="1431438118">
      <w:bodyDiv w:val="1"/>
      <w:marLeft w:val="0"/>
      <w:marRight w:val="0"/>
      <w:marTop w:val="0"/>
      <w:marBottom w:val="0"/>
      <w:divBdr>
        <w:top w:val="none" w:sz="0" w:space="0" w:color="auto"/>
        <w:left w:val="none" w:sz="0" w:space="0" w:color="auto"/>
        <w:bottom w:val="none" w:sz="0" w:space="0" w:color="auto"/>
        <w:right w:val="none" w:sz="0" w:space="0" w:color="auto"/>
      </w:divBdr>
    </w:div>
    <w:div w:id="1432120312">
      <w:bodyDiv w:val="1"/>
      <w:marLeft w:val="0"/>
      <w:marRight w:val="0"/>
      <w:marTop w:val="0"/>
      <w:marBottom w:val="0"/>
      <w:divBdr>
        <w:top w:val="none" w:sz="0" w:space="0" w:color="auto"/>
        <w:left w:val="none" w:sz="0" w:space="0" w:color="auto"/>
        <w:bottom w:val="none" w:sz="0" w:space="0" w:color="auto"/>
        <w:right w:val="none" w:sz="0" w:space="0" w:color="auto"/>
      </w:divBdr>
    </w:div>
    <w:div w:id="1432122796">
      <w:bodyDiv w:val="1"/>
      <w:marLeft w:val="0"/>
      <w:marRight w:val="0"/>
      <w:marTop w:val="0"/>
      <w:marBottom w:val="0"/>
      <w:divBdr>
        <w:top w:val="none" w:sz="0" w:space="0" w:color="auto"/>
        <w:left w:val="none" w:sz="0" w:space="0" w:color="auto"/>
        <w:bottom w:val="none" w:sz="0" w:space="0" w:color="auto"/>
        <w:right w:val="none" w:sz="0" w:space="0" w:color="auto"/>
      </w:divBdr>
    </w:div>
    <w:div w:id="1435127208">
      <w:bodyDiv w:val="1"/>
      <w:marLeft w:val="0"/>
      <w:marRight w:val="0"/>
      <w:marTop w:val="0"/>
      <w:marBottom w:val="0"/>
      <w:divBdr>
        <w:top w:val="none" w:sz="0" w:space="0" w:color="auto"/>
        <w:left w:val="none" w:sz="0" w:space="0" w:color="auto"/>
        <w:bottom w:val="none" w:sz="0" w:space="0" w:color="auto"/>
        <w:right w:val="none" w:sz="0" w:space="0" w:color="auto"/>
      </w:divBdr>
    </w:div>
    <w:div w:id="1436288595">
      <w:bodyDiv w:val="1"/>
      <w:marLeft w:val="0"/>
      <w:marRight w:val="0"/>
      <w:marTop w:val="0"/>
      <w:marBottom w:val="0"/>
      <w:divBdr>
        <w:top w:val="none" w:sz="0" w:space="0" w:color="auto"/>
        <w:left w:val="none" w:sz="0" w:space="0" w:color="auto"/>
        <w:bottom w:val="none" w:sz="0" w:space="0" w:color="auto"/>
        <w:right w:val="none" w:sz="0" w:space="0" w:color="auto"/>
      </w:divBdr>
    </w:div>
    <w:div w:id="1453013121">
      <w:bodyDiv w:val="1"/>
      <w:marLeft w:val="0"/>
      <w:marRight w:val="0"/>
      <w:marTop w:val="0"/>
      <w:marBottom w:val="0"/>
      <w:divBdr>
        <w:top w:val="none" w:sz="0" w:space="0" w:color="auto"/>
        <w:left w:val="none" w:sz="0" w:space="0" w:color="auto"/>
        <w:bottom w:val="none" w:sz="0" w:space="0" w:color="auto"/>
        <w:right w:val="none" w:sz="0" w:space="0" w:color="auto"/>
      </w:divBdr>
    </w:div>
    <w:div w:id="1455909544">
      <w:bodyDiv w:val="1"/>
      <w:marLeft w:val="0"/>
      <w:marRight w:val="0"/>
      <w:marTop w:val="0"/>
      <w:marBottom w:val="0"/>
      <w:divBdr>
        <w:top w:val="none" w:sz="0" w:space="0" w:color="auto"/>
        <w:left w:val="none" w:sz="0" w:space="0" w:color="auto"/>
        <w:bottom w:val="none" w:sz="0" w:space="0" w:color="auto"/>
        <w:right w:val="none" w:sz="0" w:space="0" w:color="auto"/>
      </w:divBdr>
    </w:div>
    <w:div w:id="1456288684">
      <w:bodyDiv w:val="1"/>
      <w:marLeft w:val="0"/>
      <w:marRight w:val="0"/>
      <w:marTop w:val="0"/>
      <w:marBottom w:val="0"/>
      <w:divBdr>
        <w:top w:val="none" w:sz="0" w:space="0" w:color="auto"/>
        <w:left w:val="none" w:sz="0" w:space="0" w:color="auto"/>
        <w:bottom w:val="none" w:sz="0" w:space="0" w:color="auto"/>
        <w:right w:val="none" w:sz="0" w:space="0" w:color="auto"/>
      </w:divBdr>
    </w:div>
    <w:div w:id="1468166343">
      <w:bodyDiv w:val="1"/>
      <w:marLeft w:val="0"/>
      <w:marRight w:val="0"/>
      <w:marTop w:val="0"/>
      <w:marBottom w:val="0"/>
      <w:divBdr>
        <w:top w:val="none" w:sz="0" w:space="0" w:color="auto"/>
        <w:left w:val="none" w:sz="0" w:space="0" w:color="auto"/>
        <w:bottom w:val="none" w:sz="0" w:space="0" w:color="auto"/>
        <w:right w:val="none" w:sz="0" w:space="0" w:color="auto"/>
      </w:divBdr>
    </w:div>
    <w:div w:id="1477188968">
      <w:bodyDiv w:val="1"/>
      <w:marLeft w:val="0"/>
      <w:marRight w:val="0"/>
      <w:marTop w:val="0"/>
      <w:marBottom w:val="0"/>
      <w:divBdr>
        <w:top w:val="none" w:sz="0" w:space="0" w:color="auto"/>
        <w:left w:val="none" w:sz="0" w:space="0" w:color="auto"/>
        <w:bottom w:val="none" w:sz="0" w:space="0" w:color="auto"/>
        <w:right w:val="none" w:sz="0" w:space="0" w:color="auto"/>
      </w:divBdr>
    </w:div>
    <w:div w:id="1482117548">
      <w:bodyDiv w:val="1"/>
      <w:marLeft w:val="0"/>
      <w:marRight w:val="0"/>
      <w:marTop w:val="0"/>
      <w:marBottom w:val="0"/>
      <w:divBdr>
        <w:top w:val="none" w:sz="0" w:space="0" w:color="auto"/>
        <w:left w:val="none" w:sz="0" w:space="0" w:color="auto"/>
        <w:bottom w:val="none" w:sz="0" w:space="0" w:color="auto"/>
        <w:right w:val="none" w:sz="0" w:space="0" w:color="auto"/>
      </w:divBdr>
    </w:div>
    <w:div w:id="1483154485">
      <w:bodyDiv w:val="1"/>
      <w:marLeft w:val="0"/>
      <w:marRight w:val="0"/>
      <w:marTop w:val="0"/>
      <w:marBottom w:val="0"/>
      <w:divBdr>
        <w:top w:val="none" w:sz="0" w:space="0" w:color="auto"/>
        <w:left w:val="none" w:sz="0" w:space="0" w:color="auto"/>
        <w:bottom w:val="none" w:sz="0" w:space="0" w:color="auto"/>
        <w:right w:val="none" w:sz="0" w:space="0" w:color="auto"/>
      </w:divBdr>
    </w:div>
    <w:div w:id="1500343810">
      <w:bodyDiv w:val="1"/>
      <w:marLeft w:val="0"/>
      <w:marRight w:val="0"/>
      <w:marTop w:val="0"/>
      <w:marBottom w:val="0"/>
      <w:divBdr>
        <w:top w:val="none" w:sz="0" w:space="0" w:color="auto"/>
        <w:left w:val="none" w:sz="0" w:space="0" w:color="auto"/>
        <w:bottom w:val="none" w:sz="0" w:space="0" w:color="auto"/>
        <w:right w:val="none" w:sz="0" w:space="0" w:color="auto"/>
      </w:divBdr>
    </w:div>
    <w:div w:id="1518882155">
      <w:bodyDiv w:val="1"/>
      <w:marLeft w:val="0"/>
      <w:marRight w:val="0"/>
      <w:marTop w:val="0"/>
      <w:marBottom w:val="0"/>
      <w:divBdr>
        <w:top w:val="none" w:sz="0" w:space="0" w:color="auto"/>
        <w:left w:val="none" w:sz="0" w:space="0" w:color="auto"/>
        <w:bottom w:val="none" w:sz="0" w:space="0" w:color="auto"/>
        <w:right w:val="none" w:sz="0" w:space="0" w:color="auto"/>
      </w:divBdr>
    </w:div>
    <w:div w:id="1530803697">
      <w:bodyDiv w:val="1"/>
      <w:marLeft w:val="0"/>
      <w:marRight w:val="0"/>
      <w:marTop w:val="0"/>
      <w:marBottom w:val="0"/>
      <w:divBdr>
        <w:top w:val="none" w:sz="0" w:space="0" w:color="auto"/>
        <w:left w:val="none" w:sz="0" w:space="0" w:color="auto"/>
        <w:bottom w:val="none" w:sz="0" w:space="0" w:color="auto"/>
        <w:right w:val="none" w:sz="0" w:space="0" w:color="auto"/>
      </w:divBdr>
    </w:div>
    <w:div w:id="1532644136">
      <w:bodyDiv w:val="1"/>
      <w:marLeft w:val="0"/>
      <w:marRight w:val="0"/>
      <w:marTop w:val="0"/>
      <w:marBottom w:val="0"/>
      <w:divBdr>
        <w:top w:val="none" w:sz="0" w:space="0" w:color="auto"/>
        <w:left w:val="none" w:sz="0" w:space="0" w:color="auto"/>
        <w:bottom w:val="none" w:sz="0" w:space="0" w:color="auto"/>
        <w:right w:val="none" w:sz="0" w:space="0" w:color="auto"/>
      </w:divBdr>
    </w:div>
    <w:div w:id="1543320698">
      <w:bodyDiv w:val="1"/>
      <w:marLeft w:val="0"/>
      <w:marRight w:val="0"/>
      <w:marTop w:val="0"/>
      <w:marBottom w:val="0"/>
      <w:divBdr>
        <w:top w:val="none" w:sz="0" w:space="0" w:color="auto"/>
        <w:left w:val="none" w:sz="0" w:space="0" w:color="auto"/>
        <w:bottom w:val="none" w:sz="0" w:space="0" w:color="auto"/>
        <w:right w:val="none" w:sz="0" w:space="0" w:color="auto"/>
      </w:divBdr>
    </w:div>
    <w:div w:id="1557428965">
      <w:bodyDiv w:val="1"/>
      <w:marLeft w:val="0"/>
      <w:marRight w:val="0"/>
      <w:marTop w:val="0"/>
      <w:marBottom w:val="0"/>
      <w:divBdr>
        <w:top w:val="none" w:sz="0" w:space="0" w:color="auto"/>
        <w:left w:val="none" w:sz="0" w:space="0" w:color="auto"/>
        <w:bottom w:val="none" w:sz="0" w:space="0" w:color="auto"/>
        <w:right w:val="none" w:sz="0" w:space="0" w:color="auto"/>
      </w:divBdr>
    </w:div>
    <w:div w:id="1559246521">
      <w:bodyDiv w:val="1"/>
      <w:marLeft w:val="0"/>
      <w:marRight w:val="0"/>
      <w:marTop w:val="0"/>
      <w:marBottom w:val="0"/>
      <w:divBdr>
        <w:top w:val="none" w:sz="0" w:space="0" w:color="auto"/>
        <w:left w:val="none" w:sz="0" w:space="0" w:color="auto"/>
        <w:bottom w:val="none" w:sz="0" w:space="0" w:color="auto"/>
        <w:right w:val="none" w:sz="0" w:space="0" w:color="auto"/>
      </w:divBdr>
    </w:div>
    <w:div w:id="1570771520">
      <w:bodyDiv w:val="1"/>
      <w:marLeft w:val="0"/>
      <w:marRight w:val="0"/>
      <w:marTop w:val="0"/>
      <w:marBottom w:val="0"/>
      <w:divBdr>
        <w:top w:val="none" w:sz="0" w:space="0" w:color="auto"/>
        <w:left w:val="none" w:sz="0" w:space="0" w:color="auto"/>
        <w:bottom w:val="none" w:sz="0" w:space="0" w:color="auto"/>
        <w:right w:val="none" w:sz="0" w:space="0" w:color="auto"/>
      </w:divBdr>
    </w:div>
    <w:div w:id="1572083994">
      <w:bodyDiv w:val="1"/>
      <w:marLeft w:val="0"/>
      <w:marRight w:val="0"/>
      <w:marTop w:val="0"/>
      <w:marBottom w:val="0"/>
      <w:divBdr>
        <w:top w:val="none" w:sz="0" w:space="0" w:color="auto"/>
        <w:left w:val="none" w:sz="0" w:space="0" w:color="auto"/>
        <w:bottom w:val="none" w:sz="0" w:space="0" w:color="auto"/>
        <w:right w:val="none" w:sz="0" w:space="0" w:color="auto"/>
      </w:divBdr>
    </w:div>
    <w:div w:id="1575703849">
      <w:bodyDiv w:val="1"/>
      <w:marLeft w:val="0"/>
      <w:marRight w:val="0"/>
      <w:marTop w:val="0"/>
      <w:marBottom w:val="0"/>
      <w:divBdr>
        <w:top w:val="none" w:sz="0" w:space="0" w:color="auto"/>
        <w:left w:val="none" w:sz="0" w:space="0" w:color="auto"/>
        <w:bottom w:val="none" w:sz="0" w:space="0" w:color="auto"/>
        <w:right w:val="none" w:sz="0" w:space="0" w:color="auto"/>
      </w:divBdr>
    </w:div>
    <w:div w:id="1586458948">
      <w:bodyDiv w:val="1"/>
      <w:marLeft w:val="0"/>
      <w:marRight w:val="0"/>
      <w:marTop w:val="0"/>
      <w:marBottom w:val="0"/>
      <w:divBdr>
        <w:top w:val="none" w:sz="0" w:space="0" w:color="auto"/>
        <w:left w:val="none" w:sz="0" w:space="0" w:color="auto"/>
        <w:bottom w:val="none" w:sz="0" w:space="0" w:color="auto"/>
        <w:right w:val="none" w:sz="0" w:space="0" w:color="auto"/>
      </w:divBdr>
    </w:div>
    <w:div w:id="1586648644">
      <w:bodyDiv w:val="1"/>
      <w:marLeft w:val="0"/>
      <w:marRight w:val="0"/>
      <w:marTop w:val="0"/>
      <w:marBottom w:val="0"/>
      <w:divBdr>
        <w:top w:val="none" w:sz="0" w:space="0" w:color="auto"/>
        <w:left w:val="none" w:sz="0" w:space="0" w:color="auto"/>
        <w:bottom w:val="none" w:sz="0" w:space="0" w:color="auto"/>
        <w:right w:val="none" w:sz="0" w:space="0" w:color="auto"/>
      </w:divBdr>
    </w:div>
    <w:div w:id="1591936085">
      <w:bodyDiv w:val="1"/>
      <w:marLeft w:val="0"/>
      <w:marRight w:val="0"/>
      <w:marTop w:val="0"/>
      <w:marBottom w:val="0"/>
      <w:divBdr>
        <w:top w:val="none" w:sz="0" w:space="0" w:color="auto"/>
        <w:left w:val="none" w:sz="0" w:space="0" w:color="auto"/>
        <w:bottom w:val="none" w:sz="0" w:space="0" w:color="auto"/>
        <w:right w:val="none" w:sz="0" w:space="0" w:color="auto"/>
      </w:divBdr>
    </w:div>
    <w:div w:id="1593734736">
      <w:bodyDiv w:val="1"/>
      <w:marLeft w:val="0"/>
      <w:marRight w:val="0"/>
      <w:marTop w:val="0"/>
      <w:marBottom w:val="0"/>
      <w:divBdr>
        <w:top w:val="none" w:sz="0" w:space="0" w:color="auto"/>
        <w:left w:val="none" w:sz="0" w:space="0" w:color="auto"/>
        <w:bottom w:val="none" w:sz="0" w:space="0" w:color="auto"/>
        <w:right w:val="none" w:sz="0" w:space="0" w:color="auto"/>
      </w:divBdr>
    </w:div>
    <w:div w:id="1594050815">
      <w:bodyDiv w:val="1"/>
      <w:marLeft w:val="0"/>
      <w:marRight w:val="0"/>
      <w:marTop w:val="0"/>
      <w:marBottom w:val="0"/>
      <w:divBdr>
        <w:top w:val="none" w:sz="0" w:space="0" w:color="auto"/>
        <w:left w:val="none" w:sz="0" w:space="0" w:color="auto"/>
        <w:bottom w:val="none" w:sz="0" w:space="0" w:color="auto"/>
        <w:right w:val="none" w:sz="0" w:space="0" w:color="auto"/>
      </w:divBdr>
    </w:div>
    <w:div w:id="1599606963">
      <w:bodyDiv w:val="1"/>
      <w:marLeft w:val="0"/>
      <w:marRight w:val="0"/>
      <w:marTop w:val="0"/>
      <w:marBottom w:val="0"/>
      <w:divBdr>
        <w:top w:val="none" w:sz="0" w:space="0" w:color="auto"/>
        <w:left w:val="none" w:sz="0" w:space="0" w:color="auto"/>
        <w:bottom w:val="none" w:sz="0" w:space="0" w:color="auto"/>
        <w:right w:val="none" w:sz="0" w:space="0" w:color="auto"/>
      </w:divBdr>
    </w:div>
    <w:div w:id="1599829032">
      <w:bodyDiv w:val="1"/>
      <w:marLeft w:val="0"/>
      <w:marRight w:val="0"/>
      <w:marTop w:val="0"/>
      <w:marBottom w:val="0"/>
      <w:divBdr>
        <w:top w:val="none" w:sz="0" w:space="0" w:color="auto"/>
        <w:left w:val="none" w:sz="0" w:space="0" w:color="auto"/>
        <w:bottom w:val="none" w:sz="0" w:space="0" w:color="auto"/>
        <w:right w:val="none" w:sz="0" w:space="0" w:color="auto"/>
      </w:divBdr>
    </w:div>
    <w:div w:id="1603149215">
      <w:bodyDiv w:val="1"/>
      <w:marLeft w:val="0"/>
      <w:marRight w:val="0"/>
      <w:marTop w:val="0"/>
      <w:marBottom w:val="0"/>
      <w:divBdr>
        <w:top w:val="none" w:sz="0" w:space="0" w:color="auto"/>
        <w:left w:val="none" w:sz="0" w:space="0" w:color="auto"/>
        <w:bottom w:val="none" w:sz="0" w:space="0" w:color="auto"/>
        <w:right w:val="none" w:sz="0" w:space="0" w:color="auto"/>
      </w:divBdr>
    </w:div>
    <w:div w:id="1609585999">
      <w:bodyDiv w:val="1"/>
      <w:marLeft w:val="0"/>
      <w:marRight w:val="0"/>
      <w:marTop w:val="0"/>
      <w:marBottom w:val="0"/>
      <w:divBdr>
        <w:top w:val="none" w:sz="0" w:space="0" w:color="auto"/>
        <w:left w:val="none" w:sz="0" w:space="0" w:color="auto"/>
        <w:bottom w:val="none" w:sz="0" w:space="0" w:color="auto"/>
        <w:right w:val="none" w:sz="0" w:space="0" w:color="auto"/>
      </w:divBdr>
    </w:div>
    <w:div w:id="1611663652">
      <w:bodyDiv w:val="1"/>
      <w:marLeft w:val="0"/>
      <w:marRight w:val="0"/>
      <w:marTop w:val="0"/>
      <w:marBottom w:val="0"/>
      <w:divBdr>
        <w:top w:val="none" w:sz="0" w:space="0" w:color="auto"/>
        <w:left w:val="none" w:sz="0" w:space="0" w:color="auto"/>
        <w:bottom w:val="none" w:sz="0" w:space="0" w:color="auto"/>
        <w:right w:val="none" w:sz="0" w:space="0" w:color="auto"/>
      </w:divBdr>
    </w:div>
    <w:div w:id="1626039118">
      <w:bodyDiv w:val="1"/>
      <w:marLeft w:val="0"/>
      <w:marRight w:val="0"/>
      <w:marTop w:val="0"/>
      <w:marBottom w:val="0"/>
      <w:divBdr>
        <w:top w:val="none" w:sz="0" w:space="0" w:color="auto"/>
        <w:left w:val="none" w:sz="0" w:space="0" w:color="auto"/>
        <w:bottom w:val="none" w:sz="0" w:space="0" w:color="auto"/>
        <w:right w:val="none" w:sz="0" w:space="0" w:color="auto"/>
      </w:divBdr>
    </w:div>
    <w:div w:id="1627009968">
      <w:bodyDiv w:val="1"/>
      <w:marLeft w:val="0"/>
      <w:marRight w:val="0"/>
      <w:marTop w:val="0"/>
      <w:marBottom w:val="0"/>
      <w:divBdr>
        <w:top w:val="none" w:sz="0" w:space="0" w:color="auto"/>
        <w:left w:val="none" w:sz="0" w:space="0" w:color="auto"/>
        <w:bottom w:val="none" w:sz="0" w:space="0" w:color="auto"/>
        <w:right w:val="none" w:sz="0" w:space="0" w:color="auto"/>
      </w:divBdr>
    </w:div>
    <w:div w:id="1638101508">
      <w:bodyDiv w:val="1"/>
      <w:marLeft w:val="0"/>
      <w:marRight w:val="0"/>
      <w:marTop w:val="0"/>
      <w:marBottom w:val="0"/>
      <w:divBdr>
        <w:top w:val="none" w:sz="0" w:space="0" w:color="auto"/>
        <w:left w:val="none" w:sz="0" w:space="0" w:color="auto"/>
        <w:bottom w:val="none" w:sz="0" w:space="0" w:color="auto"/>
        <w:right w:val="none" w:sz="0" w:space="0" w:color="auto"/>
      </w:divBdr>
      <w:divsChild>
        <w:div w:id="1373844823">
          <w:marLeft w:val="0"/>
          <w:marRight w:val="0"/>
          <w:marTop w:val="0"/>
          <w:marBottom w:val="0"/>
          <w:divBdr>
            <w:top w:val="none" w:sz="0" w:space="0" w:color="auto"/>
            <w:left w:val="none" w:sz="0" w:space="0" w:color="auto"/>
            <w:bottom w:val="none" w:sz="0" w:space="0" w:color="auto"/>
            <w:right w:val="none" w:sz="0" w:space="0" w:color="auto"/>
          </w:divBdr>
        </w:div>
        <w:div w:id="1410811761">
          <w:marLeft w:val="0"/>
          <w:marRight w:val="0"/>
          <w:marTop w:val="0"/>
          <w:marBottom w:val="0"/>
          <w:divBdr>
            <w:top w:val="none" w:sz="0" w:space="0" w:color="auto"/>
            <w:left w:val="none" w:sz="0" w:space="0" w:color="auto"/>
            <w:bottom w:val="none" w:sz="0" w:space="0" w:color="auto"/>
            <w:right w:val="none" w:sz="0" w:space="0" w:color="auto"/>
          </w:divBdr>
        </w:div>
      </w:divsChild>
    </w:div>
    <w:div w:id="1650818420">
      <w:bodyDiv w:val="1"/>
      <w:marLeft w:val="0"/>
      <w:marRight w:val="0"/>
      <w:marTop w:val="0"/>
      <w:marBottom w:val="0"/>
      <w:divBdr>
        <w:top w:val="none" w:sz="0" w:space="0" w:color="auto"/>
        <w:left w:val="none" w:sz="0" w:space="0" w:color="auto"/>
        <w:bottom w:val="none" w:sz="0" w:space="0" w:color="auto"/>
        <w:right w:val="none" w:sz="0" w:space="0" w:color="auto"/>
      </w:divBdr>
    </w:div>
    <w:div w:id="1656910041">
      <w:bodyDiv w:val="1"/>
      <w:marLeft w:val="0"/>
      <w:marRight w:val="0"/>
      <w:marTop w:val="0"/>
      <w:marBottom w:val="0"/>
      <w:divBdr>
        <w:top w:val="none" w:sz="0" w:space="0" w:color="auto"/>
        <w:left w:val="none" w:sz="0" w:space="0" w:color="auto"/>
        <w:bottom w:val="none" w:sz="0" w:space="0" w:color="auto"/>
        <w:right w:val="none" w:sz="0" w:space="0" w:color="auto"/>
      </w:divBdr>
    </w:div>
    <w:div w:id="1657300635">
      <w:bodyDiv w:val="1"/>
      <w:marLeft w:val="0"/>
      <w:marRight w:val="0"/>
      <w:marTop w:val="0"/>
      <w:marBottom w:val="0"/>
      <w:divBdr>
        <w:top w:val="none" w:sz="0" w:space="0" w:color="auto"/>
        <w:left w:val="none" w:sz="0" w:space="0" w:color="auto"/>
        <w:bottom w:val="none" w:sz="0" w:space="0" w:color="auto"/>
        <w:right w:val="none" w:sz="0" w:space="0" w:color="auto"/>
      </w:divBdr>
    </w:div>
    <w:div w:id="1695809592">
      <w:bodyDiv w:val="1"/>
      <w:marLeft w:val="0"/>
      <w:marRight w:val="0"/>
      <w:marTop w:val="0"/>
      <w:marBottom w:val="0"/>
      <w:divBdr>
        <w:top w:val="none" w:sz="0" w:space="0" w:color="auto"/>
        <w:left w:val="none" w:sz="0" w:space="0" w:color="auto"/>
        <w:bottom w:val="none" w:sz="0" w:space="0" w:color="auto"/>
        <w:right w:val="none" w:sz="0" w:space="0" w:color="auto"/>
      </w:divBdr>
    </w:div>
    <w:div w:id="1699429644">
      <w:bodyDiv w:val="1"/>
      <w:marLeft w:val="0"/>
      <w:marRight w:val="0"/>
      <w:marTop w:val="0"/>
      <w:marBottom w:val="0"/>
      <w:divBdr>
        <w:top w:val="none" w:sz="0" w:space="0" w:color="auto"/>
        <w:left w:val="none" w:sz="0" w:space="0" w:color="auto"/>
        <w:bottom w:val="none" w:sz="0" w:space="0" w:color="auto"/>
        <w:right w:val="none" w:sz="0" w:space="0" w:color="auto"/>
      </w:divBdr>
    </w:div>
    <w:div w:id="1707173959">
      <w:bodyDiv w:val="1"/>
      <w:marLeft w:val="0"/>
      <w:marRight w:val="0"/>
      <w:marTop w:val="0"/>
      <w:marBottom w:val="0"/>
      <w:divBdr>
        <w:top w:val="none" w:sz="0" w:space="0" w:color="auto"/>
        <w:left w:val="none" w:sz="0" w:space="0" w:color="auto"/>
        <w:bottom w:val="none" w:sz="0" w:space="0" w:color="auto"/>
        <w:right w:val="none" w:sz="0" w:space="0" w:color="auto"/>
      </w:divBdr>
    </w:div>
    <w:div w:id="1708335229">
      <w:bodyDiv w:val="1"/>
      <w:marLeft w:val="0"/>
      <w:marRight w:val="0"/>
      <w:marTop w:val="0"/>
      <w:marBottom w:val="0"/>
      <w:divBdr>
        <w:top w:val="none" w:sz="0" w:space="0" w:color="auto"/>
        <w:left w:val="none" w:sz="0" w:space="0" w:color="auto"/>
        <w:bottom w:val="none" w:sz="0" w:space="0" w:color="auto"/>
        <w:right w:val="none" w:sz="0" w:space="0" w:color="auto"/>
      </w:divBdr>
    </w:div>
    <w:div w:id="1709066791">
      <w:bodyDiv w:val="1"/>
      <w:marLeft w:val="0"/>
      <w:marRight w:val="0"/>
      <w:marTop w:val="0"/>
      <w:marBottom w:val="0"/>
      <w:divBdr>
        <w:top w:val="none" w:sz="0" w:space="0" w:color="auto"/>
        <w:left w:val="none" w:sz="0" w:space="0" w:color="auto"/>
        <w:bottom w:val="none" w:sz="0" w:space="0" w:color="auto"/>
        <w:right w:val="none" w:sz="0" w:space="0" w:color="auto"/>
      </w:divBdr>
    </w:div>
    <w:div w:id="1724253245">
      <w:bodyDiv w:val="1"/>
      <w:marLeft w:val="0"/>
      <w:marRight w:val="0"/>
      <w:marTop w:val="0"/>
      <w:marBottom w:val="0"/>
      <w:divBdr>
        <w:top w:val="none" w:sz="0" w:space="0" w:color="auto"/>
        <w:left w:val="none" w:sz="0" w:space="0" w:color="auto"/>
        <w:bottom w:val="none" w:sz="0" w:space="0" w:color="auto"/>
        <w:right w:val="none" w:sz="0" w:space="0" w:color="auto"/>
      </w:divBdr>
    </w:div>
    <w:div w:id="1727415259">
      <w:bodyDiv w:val="1"/>
      <w:marLeft w:val="0"/>
      <w:marRight w:val="0"/>
      <w:marTop w:val="0"/>
      <w:marBottom w:val="0"/>
      <w:divBdr>
        <w:top w:val="none" w:sz="0" w:space="0" w:color="auto"/>
        <w:left w:val="none" w:sz="0" w:space="0" w:color="auto"/>
        <w:bottom w:val="none" w:sz="0" w:space="0" w:color="auto"/>
        <w:right w:val="none" w:sz="0" w:space="0" w:color="auto"/>
      </w:divBdr>
    </w:div>
    <w:div w:id="1727952817">
      <w:bodyDiv w:val="1"/>
      <w:marLeft w:val="0"/>
      <w:marRight w:val="0"/>
      <w:marTop w:val="0"/>
      <w:marBottom w:val="0"/>
      <w:divBdr>
        <w:top w:val="none" w:sz="0" w:space="0" w:color="auto"/>
        <w:left w:val="none" w:sz="0" w:space="0" w:color="auto"/>
        <w:bottom w:val="none" w:sz="0" w:space="0" w:color="auto"/>
        <w:right w:val="none" w:sz="0" w:space="0" w:color="auto"/>
      </w:divBdr>
    </w:div>
    <w:div w:id="1728842208">
      <w:bodyDiv w:val="1"/>
      <w:marLeft w:val="0"/>
      <w:marRight w:val="0"/>
      <w:marTop w:val="0"/>
      <w:marBottom w:val="0"/>
      <w:divBdr>
        <w:top w:val="none" w:sz="0" w:space="0" w:color="auto"/>
        <w:left w:val="none" w:sz="0" w:space="0" w:color="auto"/>
        <w:bottom w:val="none" w:sz="0" w:space="0" w:color="auto"/>
        <w:right w:val="none" w:sz="0" w:space="0" w:color="auto"/>
      </w:divBdr>
      <w:divsChild>
        <w:div w:id="837116467">
          <w:marLeft w:val="0"/>
          <w:marRight w:val="0"/>
          <w:marTop w:val="0"/>
          <w:marBottom w:val="240"/>
          <w:divBdr>
            <w:top w:val="none" w:sz="0" w:space="0" w:color="auto"/>
            <w:left w:val="none" w:sz="0" w:space="0" w:color="auto"/>
            <w:bottom w:val="none" w:sz="0" w:space="0" w:color="auto"/>
            <w:right w:val="none" w:sz="0" w:space="0" w:color="auto"/>
          </w:divBdr>
        </w:div>
      </w:divsChild>
    </w:div>
    <w:div w:id="1734238344">
      <w:bodyDiv w:val="1"/>
      <w:marLeft w:val="0"/>
      <w:marRight w:val="0"/>
      <w:marTop w:val="0"/>
      <w:marBottom w:val="0"/>
      <w:divBdr>
        <w:top w:val="none" w:sz="0" w:space="0" w:color="auto"/>
        <w:left w:val="none" w:sz="0" w:space="0" w:color="auto"/>
        <w:bottom w:val="none" w:sz="0" w:space="0" w:color="auto"/>
        <w:right w:val="none" w:sz="0" w:space="0" w:color="auto"/>
      </w:divBdr>
    </w:div>
    <w:div w:id="1737320880">
      <w:bodyDiv w:val="1"/>
      <w:marLeft w:val="0"/>
      <w:marRight w:val="0"/>
      <w:marTop w:val="0"/>
      <w:marBottom w:val="0"/>
      <w:divBdr>
        <w:top w:val="none" w:sz="0" w:space="0" w:color="auto"/>
        <w:left w:val="none" w:sz="0" w:space="0" w:color="auto"/>
        <w:bottom w:val="none" w:sz="0" w:space="0" w:color="auto"/>
        <w:right w:val="none" w:sz="0" w:space="0" w:color="auto"/>
      </w:divBdr>
    </w:div>
    <w:div w:id="1738238718">
      <w:bodyDiv w:val="1"/>
      <w:marLeft w:val="0"/>
      <w:marRight w:val="0"/>
      <w:marTop w:val="0"/>
      <w:marBottom w:val="0"/>
      <w:divBdr>
        <w:top w:val="none" w:sz="0" w:space="0" w:color="auto"/>
        <w:left w:val="none" w:sz="0" w:space="0" w:color="auto"/>
        <w:bottom w:val="none" w:sz="0" w:space="0" w:color="auto"/>
        <w:right w:val="none" w:sz="0" w:space="0" w:color="auto"/>
      </w:divBdr>
    </w:div>
    <w:div w:id="1746493336">
      <w:bodyDiv w:val="1"/>
      <w:marLeft w:val="0"/>
      <w:marRight w:val="0"/>
      <w:marTop w:val="0"/>
      <w:marBottom w:val="0"/>
      <w:divBdr>
        <w:top w:val="none" w:sz="0" w:space="0" w:color="auto"/>
        <w:left w:val="none" w:sz="0" w:space="0" w:color="auto"/>
        <w:bottom w:val="none" w:sz="0" w:space="0" w:color="auto"/>
        <w:right w:val="none" w:sz="0" w:space="0" w:color="auto"/>
      </w:divBdr>
    </w:div>
    <w:div w:id="1748529487">
      <w:bodyDiv w:val="1"/>
      <w:marLeft w:val="0"/>
      <w:marRight w:val="0"/>
      <w:marTop w:val="0"/>
      <w:marBottom w:val="0"/>
      <w:divBdr>
        <w:top w:val="none" w:sz="0" w:space="0" w:color="auto"/>
        <w:left w:val="none" w:sz="0" w:space="0" w:color="auto"/>
        <w:bottom w:val="none" w:sz="0" w:space="0" w:color="auto"/>
        <w:right w:val="none" w:sz="0" w:space="0" w:color="auto"/>
      </w:divBdr>
    </w:div>
    <w:div w:id="1760329350">
      <w:bodyDiv w:val="1"/>
      <w:marLeft w:val="0"/>
      <w:marRight w:val="0"/>
      <w:marTop w:val="0"/>
      <w:marBottom w:val="0"/>
      <w:divBdr>
        <w:top w:val="none" w:sz="0" w:space="0" w:color="auto"/>
        <w:left w:val="none" w:sz="0" w:space="0" w:color="auto"/>
        <w:bottom w:val="none" w:sz="0" w:space="0" w:color="auto"/>
        <w:right w:val="none" w:sz="0" w:space="0" w:color="auto"/>
      </w:divBdr>
    </w:div>
    <w:div w:id="1769156409">
      <w:bodyDiv w:val="1"/>
      <w:marLeft w:val="0"/>
      <w:marRight w:val="0"/>
      <w:marTop w:val="0"/>
      <w:marBottom w:val="0"/>
      <w:divBdr>
        <w:top w:val="none" w:sz="0" w:space="0" w:color="auto"/>
        <w:left w:val="none" w:sz="0" w:space="0" w:color="auto"/>
        <w:bottom w:val="none" w:sz="0" w:space="0" w:color="auto"/>
        <w:right w:val="none" w:sz="0" w:space="0" w:color="auto"/>
      </w:divBdr>
    </w:div>
    <w:div w:id="1769886999">
      <w:bodyDiv w:val="1"/>
      <w:marLeft w:val="0"/>
      <w:marRight w:val="0"/>
      <w:marTop w:val="0"/>
      <w:marBottom w:val="0"/>
      <w:divBdr>
        <w:top w:val="none" w:sz="0" w:space="0" w:color="auto"/>
        <w:left w:val="none" w:sz="0" w:space="0" w:color="auto"/>
        <w:bottom w:val="none" w:sz="0" w:space="0" w:color="auto"/>
        <w:right w:val="none" w:sz="0" w:space="0" w:color="auto"/>
      </w:divBdr>
    </w:div>
    <w:div w:id="1770471002">
      <w:bodyDiv w:val="1"/>
      <w:marLeft w:val="0"/>
      <w:marRight w:val="0"/>
      <w:marTop w:val="0"/>
      <w:marBottom w:val="0"/>
      <w:divBdr>
        <w:top w:val="none" w:sz="0" w:space="0" w:color="auto"/>
        <w:left w:val="none" w:sz="0" w:space="0" w:color="auto"/>
        <w:bottom w:val="none" w:sz="0" w:space="0" w:color="auto"/>
        <w:right w:val="none" w:sz="0" w:space="0" w:color="auto"/>
      </w:divBdr>
    </w:div>
    <w:div w:id="1777017183">
      <w:bodyDiv w:val="1"/>
      <w:marLeft w:val="0"/>
      <w:marRight w:val="0"/>
      <w:marTop w:val="0"/>
      <w:marBottom w:val="0"/>
      <w:divBdr>
        <w:top w:val="none" w:sz="0" w:space="0" w:color="auto"/>
        <w:left w:val="none" w:sz="0" w:space="0" w:color="auto"/>
        <w:bottom w:val="none" w:sz="0" w:space="0" w:color="auto"/>
        <w:right w:val="none" w:sz="0" w:space="0" w:color="auto"/>
      </w:divBdr>
    </w:div>
    <w:div w:id="1778599195">
      <w:bodyDiv w:val="1"/>
      <w:marLeft w:val="0"/>
      <w:marRight w:val="0"/>
      <w:marTop w:val="0"/>
      <w:marBottom w:val="0"/>
      <w:divBdr>
        <w:top w:val="none" w:sz="0" w:space="0" w:color="auto"/>
        <w:left w:val="none" w:sz="0" w:space="0" w:color="auto"/>
        <w:bottom w:val="none" w:sz="0" w:space="0" w:color="auto"/>
        <w:right w:val="none" w:sz="0" w:space="0" w:color="auto"/>
      </w:divBdr>
    </w:div>
    <w:div w:id="1783647679">
      <w:bodyDiv w:val="1"/>
      <w:marLeft w:val="0"/>
      <w:marRight w:val="0"/>
      <w:marTop w:val="0"/>
      <w:marBottom w:val="0"/>
      <w:divBdr>
        <w:top w:val="none" w:sz="0" w:space="0" w:color="auto"/>
        <w:left w:val="none" w:sz="0" w:space="0" w:color="auto"/>
        <w:bottom w:val="none" w:sz="0" w:space="0" w:color="auto"/>
        <w:right w:val="none" w:sz="0" w:space="0" w:color="auto"/>
      </w:divBdr>
    </w:div>
    <w:div w:id="1786928233">
      <w:bodyDiv w:val="1"/>
      <w:marLeft w:val="0"/>
      <w:marRight w:val="0"/>
      <w:marTop w:val="0"/>
      <w:marBottom w:val="0"/>
      <w:divBdr>
        <w:top w:val="none" w:sz="0" w:space="0" w:color="auto"/>
        <w:left w:val="none" w:sz="0" w:space="0" w:color="auto"/>
        <w:bottom w:val="none" w:sz="0" w:space="0" w:color="auto"/>
        <w:right w:val="none" w:sz="0" w:space="0" w:color="auto"/>
      </w:divBdr>
    </w:div>
    <w:div w:id="1790933856">
      <w:bodyDiv w:val="1"/>
      <w:marLeft w:val="0"/>
      <w:marRight w:val="0"/>
      <w:marTop w:val="0"/>
      <w:marBottom w:val="0"/>
      <w:divBdr>
        <w:top w:val="none" w:sz="0" w:space="0" w:color="auto"/>
        <w:left w:val="none" w:sz="0" w:space="0" w:color="auto"/>
        <w:bottom w:val="none" w:sz="0" w:space="0" w:color="auto"/>
        <w:right w:val="none" w:sz="0" w:space="0" w:color="auto"/>
      </w:divBdr>
    </w:div>
    <w:div w:id="1798991049">
      <w:bodyDiv w:val="1"/>
      <w:marLeft w:val="0"/>
      <w:marRight w:val="0"/>
      <w:marTop w:val="0"/>
      <w:marBottom w:val="0"/>
      <w:divBdr>
        <w:top w:val="none" w:sz="0" w:space="0" w:color="auto"/>
        <w:left w:val="none" w:sz="0" w:space="0" w:color="auto"/>
        <w:bottom w:val="none" w:sz="0" w:space="0" w:color="auto"/>
        <w:right w:val="none" w:sz="0" w:space="0" w:color="auto"/>
      </w:divBdr>
    </w:div>
    <w:div w:id="1824659471">
      <w:bodyDiv w:val="1"/>
      <w:marLeft w:val="0"/>
      <w:marRight w:val="0"/>
      <w:marTop w:val="0"/>
      <w:marBottom w:val="0"/>
      <w:divBdr>
        <w:top w:val="none" w:sz="0" w:space="0" w:color="auto"/>
        <w:left w:val="none" w:sz="0" w:space="0" w:color="auto"/>
        <w:bottom w:val="none" w:sz="0" w:space="0" w:color="auto"/>
        <w:right w:val="none" w:sz="0" w:space="0" w:color="auto"/>
      </w:divBdr>
    </w:div>
    <w:div w:id="1829246563">
      <w:bodyDiv w:val="1"/>
      <w:marLeft w:val="0"/>
      <w:marRight w:val="0"/>
      <w:marTop w:val="0"/>
      <w:marBottom w:val="0"/>
      <w:divBdr>
        <w:top w:val="none" w:sz="0" w:space="0" w:color="auto"/>
        <w:left w:val="none" w:sz="0" w:space="0" w:color="auto"/>
        <w:bottom w:val="none" w:sz="0" w:space="0" w:color="auto"/>
        <w:right w:val="none" w:sz="0" w:space="0" w:color="auto"/>
      </w:divBdr>
    </w:div>
    <w:div w:id="1830948587">
      <w:bodyDiv w:val="1"/>
      <w:marLeft w:val="0"/>
      <w:marRight w:val="0"/>
      <w:marTop w:val="0"/>
      <w:marBottom w:val="0"/>
      <w:divBdr>
        <w:top w:val="none" w:sz="0" w:space="0" w:color="auto"/>
        <w:left w:val="none" w:sz="0" w:space="0" w:color="auto"/>
        <w:bottom w:val="none" w:sz="0" w:space="0" w:color="auto"/>
        <w:right w:val="none" w:sz="0" w:space="0" w:color="auto"/>
      </w:divBdr>
    </w:div>
    <w:div w:id="1836023471">
      <w:bodyDiv w:val="1"/>
      <w:marLeft w:val="0"/>
      <w:marRight w:val="0"/>
      <w:marTop w:val="0"/>
      <w:marBottom w:val="0"/>
      <w:divBdr>
        <w:top w:val="none" w:sz="0" w:space="0" w:color="auto"/>
        <w:left w:val="none" w:sz="0" w:space="0" w:color="auto"/>
        <w:bottom w:val="none" w:sz="0" w:space="0" w:color="auto"/>
        <w:right w:val="none" w:sz="0" w:space="0" w:color="auto"/>
      </w:divBdr>
    </w:div>
    <w:div w:id="1859004929">
      <w:bodyDiv w:val="1"/>
      <w:marLeft w:val="0"/>
      <w:marRight w:val="0"/>
      <w:marTop w:val="0"/>
      <w:marBottom w:val="0"/>
      <w:divBdr>
        <w:top w:val="none" w:sz="0" w:space="0" w:color="auto"/>
        <w:left w:val="none" w:sz="0" w:space="0" w:color="auto"/>
        <w:bottom w:val="none" w:sz="0" w:space="0" w:color="auto"/>
        <w:right w:val="none" w:sz="0" w:space="0" w:color="auto"/>
      </w:divBdr>
    </w:div>
    <w:div w:id="1862737727">
      <w:bodyDiv w:val="1"/>
      <w:marLeft w:val="0"/>
      <w:marRight w:val="0"/>
      <w:marTop w:val="0"/>
      <w:marBottom w:val="0"/>
      <w:divBdr>
        <w:top w:val="none" w:sz="0" w:space="0" w:color="auto"/>
        <w:left w:val="none" w:sz="0" w:space="0" w:color="auto"/>
        <w:bottom w:val="none" w:sz="0" w:space="0" w:color="auto"/>
        <w:right w:val="none" w:sz="0" w:space="0" w:color="auto"/>
      </w:divBdr>
    </w:div>
    <w:div w:id="1867282249">
      <w:bodyDiv w:val="1"/>
      <w:marLeft w:val="0"/>
      <w:marRight w:val="0"/>
      <w:marTop w:val="0"/>
      <w:marBottom w:val="0"/>
      <w:divBdr>
        <w:top w:val="none" w:sz="0" w:space="0" w:color="auto"/>
        <w:left w:val="none" w:sz="0" w:space="0" w:color="auto"/>
        <w:bottom w:val="none" w:sz="0" w:space="0" w:color="auto"/>
        <w:right w:val="none" w:sz="0" w:space="0" w:color="auto"/>
      </w:divBdr>
    </w:div>
    <w:div w:id="1879463866">
      <w:bodyDiv w:val="1"/>
      <w:marLeft w:val="0"/>
      <w:marRight w:val="0"/>
      <w:marTop w:val="0"/>
      <w:marBottom w:val="0"/>
      <w:divBdr>
        <w:top w:val="none" w:sz="0" w:space="0" w:color="auto"/>
        <w:left w:val="none" w:sz="0" w:space="0" w:color="auto"/>
        <w:bottom w:val="none" w:sz="0" w:space="0" w:color="auto"/>
        <w:right w:val="none" w:sz="0" w:space="0" w:color="auto"/>
      </w:divBdr>
    </w:div>
    <w:div w:id="1881818251">
      <w:bodyDiv w:val="1"/>
      <w:marLeft w:val="0"/>
      <w:marRight w:val="0"/>
      <w:marTop w:val="0"/>
      <w:marBottom w:val="0"/>
      <w:divBdr>
        <w:top w:val="none" w:sz="0" w:space="0" w:color="auto"/>
        <w:left w:val="none" w:sz="0" w:space="0" w:color="auto"/>
        <w:bottom w:val="none" w:sz="0" w:space="0" w:color="auto"/>
        <w:right w:val="none" w:sz="0" w:space="0" w:color="auto"/>
      </w:divBdr>
    </w:div>
    <w:div w:id="1884054856">
      <w:bodyDiv w:val="1"/>
      <w:marLeft w:val="0"/>
      <w:marRight w:val="0"/>
      <w:marTop w:val="0"/>
      <w:marBottom w:val="0"/>
      <w:divBdr>
        <w:top w:val="none" w:sz="0" w:space="0" w:color="auto"/>
        <w:left w:val="none" w:sz="0" w:space="0" w:color="auto"/>
        <w:bottom w:val="none" w:sz="0" w:space="0" w:color="auto"/>
        <w:right w:val="none" w:sz="0" w:space="0" w:color="auto"/>
      </w:divBdr>
    </w:div>
    <w:div w:id="1888566352">
      <w:bodyDiv w:val="1"/>
      <w:marLeft w:val="0"/>
      <w:marRight w:val="0"/>
      <w:marTop w:val="0"/>
      <w:marBottom w:val="0"/>
      <w:divBdr>
        <w:top w:val="none" w:sz="0" w:space="0" w:color="auto"/>
        <w:left w:val="none" w:sz="0" w:space="0" w:color="auto"/>
        <w:bottom w:val="none" w:sz="0" w:space="0" w:color="auto"/>
        <w:right w:val="none" w:sz="0" w:space="0" w:color="auto"/>
      </w:divBdr>
    </w:div>
    <w:div w:id="1888957380">
      <w:bodyDiv w:val="1"/>
      <w:marLeft w:val="0"/>
      <w:marRight w:val="0"/>
      <w:marTop w:val="0"/>
      <w:marBottom w:val="0"/>
      <w:divBdr>
        <w:top w:val="none" w:sz="0" w:space="0" w:color="auto"/>
        <w:left w:val="none" w:sz="0" w:space="0" w:color="auto"/>
        <w:bottom w:val="none" w:sz="0" w:space="0" w:color="auto"/>
        <w:right w:val="none" w:sz="0" w:space="0" w:color="auto"/>
      </w:divBdr>
    </w:div>
    <w:div w:id="1898470727">
      <w:bodyDiv w:val="1"/>
      <w:marLeft w:val="0"/>
      <w:marRight w:val="0"/>
      <w:marTop w:val="0"/>
      <w:marBottom w:val="0"/>
      <w:divBdr>
        <w:top w:val="none" w:sz="0" w:space="0" w:color="auto"/>
        <w:left w:val="none" w:sz="0" w:space="0" w:color="auto"/>
        <w:bottom w:val="none" w:sz="0" w:space="0" w:color="auto"/>
        <w:right w:val="none" w:sz="0" w:space="0" w:color="auto"/>
      </w:divBdr>
    </w:div>
    <w:div w:id="1902136069">
      <w:bodyDiv w:val="1"/>
      <w:marLeft w:val="0"/>
      <w:marRight w:val="0"/>
      <w:marTop w:val="0"/>
      <w:marBottom w:val="0"/>
      <w:divBdr>
        <w:top w:val="none" w:sz="0" w:space="0" w:color="auto"/>
        <w:left w:val="none" w:sz="0" w:space="0" w:color="auto"/>
        <w:bottom w:val="none" w:sz="0" w:space="0" w:color="auto"/>
        <w:right w:val="none" w:sz="0" w:space="0" w:color="auto"/>
      </w:divBdr>
    </w:div>
    <w:div w:id="1902597845">
      <w:bodyDiv w:val="1"/>
      <w:marLeft w:val="0"/>
      <w:marRight w:val="0"/>
      <w:marTop w:val="0"/>
      <w:marBottom w:val="0"/>
      <w:divBdr>
        <w:top w:val="none" w:sz="0" w:space="0" w:color="auto"/>
        <w:left w:val="none" w:sz="0" w:space="0" w:color="auto"/>
        <w:bottom w:val="none" w:sz="0" w:space="0" w:color="auto"/>
        <w:right w:val="none" w:sz="0" w:space="0" w:color="auto"/>
      </w:divBdr>
    </w:div>
    <w:div w:id="1917855469">
      <w:bodyDiv w:val="1"/>
      <w:marLeft w:val="0"/>
      <w:marRight w:val="0"/>
      <w:marTop w:val="0"/>
      <w:marBottom w:val="0"/>
      <w:divBdr>
        <w:top w:val="none" w:sz="0" w:space="0" w:color="auto"/>
        <w:left w:val="none" w:sz="0" w:space="0" w:color="auto"/>
        <w:bottom w:val="none" w:sz="0" w:space="0" w:color="auto"/>
        <w:right w:val="none" w:sz="0" w:space="0" w:color="auto"/>
      </w:divBdr>
    </w:div>
    <w:div w:id="1921527296">
      <w:bodyDiv w:val="1"/>
      <w:marLeft w:val="0"/>
      <w:marRight w:val="0"/>
      <w:marTop w:val="0"/>
      <w:marBottom w:val="0"/>
      <w:divBdr>
        <w:top w:val="none" w:sz="0" w:space="0" w:color="auto"/>
        <w:left w:val="none" w:sz="0" w:space="0" w:color="auto"/>
        <w:bottom w:val="none" w:sz="0" w:space="0" w:color="auto"/>
        <w:right w:val="none" w:sz="0" w:space="0" w:color="auto"/>
      </w:divBdr>
    </w:div>
    <w:div w:id="1922836104">
      <w:bodyDiv w:val="1"/>
      <w:marLeft w:val="0"/>
      <w:marRight w:val="0"/>
      <w:marTop w:val="0"/>
      <w:marBottom w:val="0"/>
      <w:divBdr>
        <w:top w:val="none" w:sz="0" w:space="0" w:color="auto"/>
        <w:left w:val="none" w:sz="0" w:space="0" w:color="auto"/>
        <w:bottom w:val="none" w:sz="0" w:space="0" w:color="auto"/>
        <w:right w:val="none" w:sz="0" w:space="0" w:color="auto"/>
      </w:divBdr>
    </w:div>
    <w:div w:id="1945646653">
      <w:bodyDiv w:val="1"/>
      <w:marLeft w:val="0"/>
      <w:marRight w:val="0"/>
      <w:marTop w:val="0"/>
      <w:marBottom w:val="0"/>
      <w:divBdr>
        <w:top w:val="none" w:sz="0" w:space="0" w:color="auto"/>
        <w:left w:val="none" w:sz="0" w:space="0" w:color="auto"/>
        <w:bottom w:val="none" w:sz="0" w:space="0" w:color="auto"/>
        <w:right w:val="none" w:sz="0" w:space="0" w:color="auto"/>
      </w:divBdr>
    </w:div>
    <w:div w:id="1949002225">
      <w:bodyDiv w:val="1"/>
      <w:marLeft w:val="0"/>
      <w:marRight w:val="0"/>
      <w:marTop w:val="0"/>
      <w:marBottom w:val="0"/>
      <w:divBdr>
        <w:top w:val="none" w:sz="0" w:space="0" w:color="auto"/>
        <w:left w:val="none" w:sz="0" w:space="0" w:color="auto"/>
        <w:bottom w:val="none" w:sz="0" w:space="0" w:color="auto"/>
        <w:right w:val="none" w:sz="0" w:space="0" w:color="auto"/>
      </w:divBdr>
    </w:div>
    <w:div w:id="1966422854">
      <w:bodyDiv w:val="1"/>
      <w:marLeft w:val="0"/>
      <w:marRight w:val="0"/>
      <w:marTop w:val="0"/>
      <w:marBottom w:val="0"/>
      <w:divBdr>
        <w:top w:val="none" w:sz="0" w:space="0" w:color="auto"/>
        <w:left w:val="none" w:sz="0" w:space="0" w:color="auto"/>
        <w:bottom w:val="none" w:sz="0" w:space="0" w:color="auto"/>
        <w:right w:val="none" w:sz="0" w:space="0" w:color="auto"/>
      </w:divBdr>
    </w:div>
    <w:div w:id="1967421412">
      <w:bodyDiv w:val="1"/>
      <w:marLeft w:val="0"/>
      <w:marRight w:val="0"/>
      <w:marTop w:val="0"/>
      <w:marBottom w:val="0"/>
      <w:divBdr>
        <w:top w:val="none" w:sz="0" w:space="0" w:color="auto"/>
        <w:left w:val="none" w:sz="0" w:space="0" w:color="auto"/>
        <w:bottom w:val="none" w:sz="0" w:space="0" w:color="auto"/>
        <w:right w:val="none" w:sz="0" w:space="0" w:color="auto"/>
      </w:divBdr>
    </w:div>
    <w:div w:id="1975524382">
      <w:bodyDiv w:val="1"/>
      <w:marLeft w:val="0"/>
      <w:marRight w:val="0"/>
      <w:marTop w:val="0"/>
      <w:marBottom w:val="0"/>
      <w:divBdr>
        <w:top w:val="none" w:sz="0" w:space="0" w:color="auto"/>
        <w:left w:val="none" w:sz="0" w:space="0" w:color="auto"/>
        <w:bottom w:val="none" w:sz="0" w:space="0" w:color="auto"/>
        <w:right w:val="none" w:sz="0" w:space="0" w:color="auto"/>
      </w:divBdr>
    </w:div>
    <w:div w:id="1976252263">
      <w:bodyDiv w:val="1"/>
      <w:marLeft w:val="0"/>
      <w:marRight w:val="0"/>
      <w:marTop w:val="0"/>
      <w:marBottom w:val="0"/>
      <w:divBdr>
        <w:top w:val="none" w:sz="0" w:space="0" w:color="auto"/>
        <w:left w:val="none" w:sz="0" w:space="0" w:color="auto"/>
        <w:bottom w:val="none" w:sz="0" w:space="0" w:color="auto"/>
        <w:right w:val="none" w:sz="0" w:space="0" w:color="auto"/>
      </w:divBdr>
    </w:div>
    <w:div w:id="1980843059">
      <w:bodyDiv w:val="1"/>
      <w:marLeft w:val="0"/>
      <w:marRight w:val="0"/>
      <w:marTop w:val="0"/>
      <w:marBottom w:val="0"/>
      <w:divBdr>
        <w:top w:val="none" w:sz="0" w:space="0" w:color="auto"/>
        <w:left w:val="none" w:sz="0" w:space="0" w:color="auto"/>
        <w:bottom w:val="none" w:sz="0" w:space="0" w:color="auto"/>
        <w:right w:val="none" w:sz="0" w:space="0" w:color="auto"/>
      </w:divBdr>
    </w:div>
    <w:div w:id="2010324888">
      <w:bodyDiv w:val="1"/>
      <w:marLeft w:val="0"/>
      <w:marRight w:val="0"/>
      <w:marTop w:val="0"/>
      <w:marBottom w:val="0"/>
      <w:divBdr>
        <w:top w:val="none" w:sz="0" w:space="0" w:color="auto"/>
        <w:left w:val="none" w:sz="0" w:space="0" w:color="auto"/>
        <w:bottom w:val="none" w:sz="0" w:space="0" w:color="auto"/>
        <w:right w:val="none" w:sz="0" w:space="0" w:color="auto"/>
      </w:divBdr>
    </w:div>
    <w:div w:id="2025205910">
      <w:bodyDiv w:val="1"/>
      <w:marLeft w:val="0"/>
      <w:marRight w:val="0"/>
      <w:marTop w:val="0"/>
      <w:marBottom w:val="0"/>
      <w:divBdr>
        <w:top w:val="none" w:sz="0" w:space="0" w:color="auto"/>
        <w:left w:val="none" w:sz="0" w:space="0" w:color="auto"/>
        <w:bottom w:val="none" w:sz="0" w:space="0" w:color="auto"/>
        <w:right w:val="none" w:sz="0" w:space="0" w:color="auto"/>
      </w:divBdr>
    </w:div>
    <w:div w:id="2028408643">
      <w:bodyDiv w:val="1"/>
      <w:marLeft w:val="0"/>
      <w:marRight w:val="0"/>
      <w:marTop w:val="0"/>
      <w:marBottom w:val="0"/>
      <w:divBdr>
        <w:top w:val="none" w:sz="0" w:space="0" w:color="auto"/>
        <w:left w:val="none" w:sz="0" w:space="0" w:color="auto"/>
        <w:bottom w:val="none" w:sz="0" w:space="0" w:color="auto"/>
        <w:right w:val="none" w:sz="0" w:space="0" w:color="auto"/>
      </w:divBdr>
    </w:div>
    <w:div w:id="2030792319">
      <w:bodyDiv w:val="1"/>
      <w:marLeft w:val="0"/>
      <w:marRight w:val="0"/>
      <w:marTop w:val="0"/>
      <w:marBottom w:val="0"/>
      <w:divBdr>
        <w:top w:val="none" w:sz="0" w:space="0" w:color="auto"/>
        <w:left w:val="none" w:sz="0" w:space="0" w:color="auto"/>
        <w:bottom w:val="none" w:sz="0" w:space="0" w:color="auto"/>
        <w:right w:val="none" w:sz="0" w:space="0" w:color="auto"/>
      </w:divBdr>
    </w:div>
    <w:div w:id="2032367995">
      <w:bodyDiv w:val="1"/>
      <w:marLeft w:val="0"/>
      <w:marRight w:val="0"/>
      <w:marTop w:val="0"/>
      <w:marBottom w:val="0"/>
      <w:divBdr>
        <w:top w:val="none" w:sz="0" w:space="0" w:color="auto"/>
        <w:left w:val="none" w:sz="0" w:space="0" w:color="auto"/>
        <w:bottom w:val="none" w:sz="0" w:space="0" w:color="auto"/>
        <w:right w:val="none" w:sz="0" w:space="0" w:color="auto"/>
      </w:divBdr>
    </w:div>
    <w:div w:id="2038849671">
      <w:bodyDiv w:val="1"/>
      <w:marLeft w:val="0"/>
      <w:marRight w:val="0"/>
      <w:marTop w:val="0"/>
      <w:marBottom w:val="0"/>
      <w:divBdr>
        <w:top w:val="none" w:sz="0" w:space="0" w:color="auto"/>
        <w:left w:val="none" w:sz="0" w:space="0" w:color="auto"/>
        <w:bottom w:val="none" w:sz="0" w:space="0" w:color="auto"/>
        <w:right w:val="none" w:sz="0" w:space="0" w:color="auto"/>
      </w:divBdr>
    </w:div>
    <w:div w:id="2040424215">
      <w:bodyDiv w:val="1"/>
      <w:marLeft w:val="0"/>
      <w:marRight w:val="0"/>
      <w:marTop w:val="0"/>
      <w:marBottom w:val="0"/>
      <w:divBdr>
        <w:top w:val="none" w:sz="0" w:space="0" w:color="auto"/>
        <w:left w:val="none" w:sz="0" w:space="0" w:color="auto"/>
        <w:bottom w:val="none" w:sz="0" w:space="0" w:color="auto"/>
        <w:right w:val="none" w:sz="0" w:space="0" w:color="auto"/>
      </w:divBdr>
    </w:div>
    <w:div w:id="2045059869">
      <w:bodyDiv w:val="1"/>
      <w:marLeft w:val="0"/>
      <w:marRight w:val="0"/>
      <w:marTop w:val="0"/>
      <w:marBottom w:val="0"/>
      <w:divBdr>
        <w:top w:val="none" w:sz="0" w:space="0" w:color="auto"/>
        <w:left w:val="none" w:sz="0" w:space="0" w:color="auto"/>
        <w:bottom w:val="none" w:sz="0" w:space="0" w:color="auto"/>
        <w:right w:val="none" w:sz="0" w:space="0" w:color="auto"/>
      </w:divBdr>
    </w:div>
    <w:div w:id="2056467328">
      <w:bodyDiv w:val="1"/>
      <w:marLeft w:val="0"/>
      <w:marRight w:val="0"/>
      <w:marTop w:val="0"/>
      <w:marBottom w:val="0"/>
      <w:divBdr>
        <w:top w:val="none" w:sz="0" w:space="0" w:color="auto"/>
        <w:left w:val="none" w:sz="0" w:space="0" w:color="auto"/>
        <w:bottom w:val="none" w:sz="0" w:space="0" w:color="auto"/>
        <w:right w:val="none" w:sz="0" w:space="0" w:color="auto"/>
      </w:divBdr>
    </w:div>
    <w:div w:id="2058118260">
      <w:bodyDiv w:val="1"/>
      <w:marLeft w:val="0"/>
      <w:marRight w:val="0"/>
      <w:marTop w:val="0"/>
      <w:marBottom w:val="0"/>
      <w:divBdr>
        <w:top w:val="none" w:sz="0" w:space="0" w:color="auto"/>
        <w:left w:val="none" w:sz="0" w:space="0" w:color="auto"/>
        <w:bottom w:val="none" w:sz="0" w:space="0" w:color="auto"/>
        <w:right w:val="none" w:sz="0" w:space="0" w:color="auto"/>
      </w:divBdr>
    </w:div>
    <w:div w:id="2063551575">
      <w:bodyDiv w:val="1"/>
      <w:marLeft w:val="0"/>
      <w:marRight w:val="0"/>
      <w:marTop w:val="0"/>
      <w:marBottom w:val="0"/>
      <w:divBdr>
        <w:top w:val="none" w:sz="0" w:space="0" w:color="auto"/>
        <w:left w:val="none" w:sz="0" w:space="0" w:color="auto"/>
        <w:bottom w:val="none" w:sz="0" w:space="0" w:color="auto"/>
        <w:right w:val="none" w:sz="0" w:space="0" w:color="auto"/>
      </w:divBdr>
    </w:div>
    <w:div w:id="2067102070">
      <w:bodyDiv w:val="1"/>
      <w:marLeft w:val="0"/>
      <w:marRight w:val="0"/>
      <w:marTop w:val="0"/>
      <w:marBottom w:val="0"/>
      <w:divBdr>
        <w:top w:val="none" w:sz="0" w:space="0" w:color="auto"/>
        <w:left w:val="none" w:sz="0" w:space="0" w:color="auto"/>
        <w:bottom w:val="none" w:sz="0" w:space="0" w:color="auto"/>
        <w:right w:val="none" w:sz="0" w:space="0" w:color="auto"/>
      </w:divBdr>
    </w:div>
    <w:div w:id="2067532068">
      <w:bodyDiv w:val="1"/>
      <w:marLeft w:val="0"/>
      <w:marRight w:val="0"/>
      <w:marTop w:val="0"/>
      <w:marBottom w:val="0"/>
      <w:divBdr>
        <w:top w:val="none" w:sz="0" w:space="0" w:color="auto"/>
        <w:left w:val="none" w:sz="0" w:space="0" w:color="auto"/>
        <w:bottom w:val="none" w:sz="0" w:space="0" w:color="auto"/>
        <w:right w:val="none" w:sz="0" w:space="0" w:color="auto"/>
      </w:divBdr>
    </w:div>
    <w:div w:id="2092852875">
      <w:bodyDiv w:val="1"/>
      <w:marLeft w:val="0"/>
      <w:marRight w:val="0"/>
      <w:marTop w:val="0"/>
      <w:marBottom w:val="0"/>
      <w:divBdr>
        <w:top w:val="none" w:sz="0" w:space="0" w:color="auto"/>
        <w:left w:val="none" w:sz="0" w:space="0" w:color="auto"/>
        <w:bottom w:val="none" w:sz="0" w:space="0" w:color="auto"/>
        <w:right w:val="none" w:sz="0" w:space="0" w:color="auto"/>
      </w:divBdr>
    </w:div>
    <w:div w:id="2094475282">
      <w:bodyDiv w:val="1"/>
      <w:marLeft w:val="0"/>
      <w:marRight w:val="0"/>
      <w:marTop w:val="0"/>
      <w:marBottom w:val="0"/>
      <w:divBdr>
        <w:top w:val="none" w:sz="0" w:space="0" w:color="auto"/>
        <w:left w:val="none" w:sz="0" w:space="0" w:color="auto"/>
        <w:bottom w:val="none" w:sz="0" w:space="0" w:color="auto"/>
        <w:right w:val="none" w:sz="0" w:space="0" w:color="auto"/>
      </w:divBdr>
      <w:divsChild>
        <w:div w:id="166678597">
          <w:marLeft w:val="0"/>
          <w:marRight w:val="0"/>
          <w:marTop w:val="0"/>
          <w:marBottom w:val="240"/>
          <w:divBdr>
            <w:top w:val="none" w:sz="0" w:space="0" w:color="auto"/>
            <w:left w:val="none" w:sz="0" w:space="0" w:color="auto"/>
            <w:bottom w:val="none" w:sz="0" w:space="0" w:color="auto"/>
            <w:right w:val="none" w:sz="0" w:space="0" w:color="auto"/>
          </w:divBdr>
          <w:divsChild>
            <w:div w:id="9648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180">
      <w:bodyDiv w:val="1"/>
      <w:marLeft w:val="0"/>
      <w:marRight w:val="0"/>
      <w:marTop w:val="0"/>
      <w:marBottom w:val="0"/>
      <w:divBdr>
        <w:top w:val="none" w:sz="0" w:space="0" w:color="auto"/>
        <w:left w:val="none" w:sz="0" w:space="0" w:color="auto"/>
        <w:bottom w:val="none" w:sz="0" w:space="0" w:color="auto"/>
        <w:right w:val="none" w:sz="0" w:space="0" w:color="auto"/>
      </w:divBdr>
    </w:div>
    <w:div w:id="2102722838">
      <w:bodyDiv w:val="1"/>
      <w:marLeft w:val="0"/>
      <w:marRight w:val="0"/>
      <w:marTop w:val="0"/>
      <w:marBottom w:val="0"/>
      <w:divBdr>
        <w:top w:val="none" w:sz="0" w:space="0" w:color="auto"/>
        <w:left w:val="none" w:sz="0" w:space="0" w:color="auto"/>
        <w:bottom w:val="none" w:sz="0" w:space="0" w:color="auto"/>
        <w:right w:val="none" w:sz="0" w:space="0" w:color="auto"/>
      </w:divBdr>
    </w:div>
    <w:div w:id="2108037381">
      <w:bodyDiv w:val="1"/>
      <w:marLeft w:val="0"/>
      <w:marRight w:val="0"/>
      <w:marTop w:val="0"/>
      <w:marBottom w:val="0"/>
      <w:divBdr>
        <w:top w:val="none" w:sz="0" w:space="0" w:color="auto"/>
        <w:left w:val="none" w:sz="0" w:space="0" w:color="auto"/>
        <w:bottom w:val="none" w:sz="0" w:space="0" w:color="auto"/>
        <w:right w:val="none" w:sz="0" w:space="0" w:color="auto"/>
      </w:divBdr>
    </w:div>
    <w:div w:id="2111506922">
      <w:bodyDiv w:val="1"/>
      <w:marLeft w:val="0"/>
      <w:marRight w:val="0"/>
      <w:marTop w:val="0"/>
      <w:marBottom w:val="0"/>
      <w:divBdr>
        <w:top w:val="none" w:sz="0" w:space="0" w:color="auto"/>
        <w:left w:val="none" w:sz="0" w:space="0" w:color="auto"/>
        <w:bottom w:val="none" w:sz="0" w:space="0" w:color="auto"/>
        <w:right w:val="none" w:sz="0" w:space="0" w:color="auto"/>
      </w:divBdr>
    </w:div>
    <w:div w:id="2121684355">
      <w:bodyDiv w:val="1"/>
      <w:marLeft w:val="0"/>
      <w:marRight w:val="0"/>
      <w:marTop w:val="0"/>
      <w:marBottom w:val="0"/>
      <w:divBdr>
        <w:top w:val="none" w:sz="0" w:space="0" w:color="auto"/>
        <w:left w:val="none" w:sz="0" w:space="0" w:color="auto"/>
        <w:bottom w:val="none" w:sz="0" w:space="0" w:color="auto"/>
        <w:right w:val="none" w:sz="0" w:space="0" w:color="auto"/>
      </w:divBdr>
    </w:div>
    <w:div w:id="2130322244">
      <w:bodyDiv w:val="1"/>
      <w:marLeft w:val="0"/>
      <w:marRight w:val="0"/>
      <w:marTop w:val="0"/>
      <w:marBottom w:val="0"/>
      <w:divBdr>
        <w:top w:val="none" w:sz="0" w:space="0" w:color="auto"/>
        <w:left w:val="none" w:sz="0" w:space="0" w:color="auto"/>
        <w:bottom w:val="none" w:sz="0" w:space="0" w:color="auto"/>
        <w:right w:val="none" w:sz="0" w:space="0" w:color="auto"/>
      </w:divBdr>
    </w:div>
    <w:div w:id="213228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navarra.es/Presupuestos/Cuentas%20Generales%20de%20Navarra/Cuentas%20Generales%20de%20Navarra%20del%20a&#241;o%202015"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4B450-2333-46B8-B28A-F71CE96DE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31008</Words>
  <Characters>170549</Characters>
  <Application>Microsoft Office Word</Application>
  <DocSecurity>4</DocSecurity>
  <Lines>1421</Lines>
  <Paragraphs>402</Paragraphs>
  <ScaleCrop>false</ScaleCrop>
  <HeadingPairs>
    <vt:vector size="2" baseType="variant">
      <vt:variant>
        <vt:lpstr>Título</vt:lpstr>
      </vt:variant>
      <vt:variant>
        <vt:i4>1</vt:i4>
      </vt:variant>
    </vt:vector>
  </HeadingPairs>
  <TitlesOfParts>
    <vt:vector size="1" baseType="lpstr">
      <vt:lpstr>Borrador final</vt:lpstr>
    </vt:vector>
  </TitlesOfParts>
  <Company>Cámara de Comptos</Company>
  <LinksUpToDate>false</LinksUpToDate>
  <CharactersWithSpaces>201155</CharactersWithSpaces>
  <SharedDoc>false</SharedDoc>
  <HLinks>
    <vt:vector size="132" baseType="variant">
      <vt:variant>
        <vt:i4>1769526</vt:i4>
      </vt:variant>
      <vt:variant>
        <vt:i4>128</vt:i4>
      </vt:variant>
      <vt:variant>
        <vt:i4>0</vt:i4>
      </vt:variant>
      <vt:variant>
        <vt:i4>5</vt:i4>
      </vt:variant>
      <vt:variant>
        <vt:lpwstr/>
      </vt:variant>
      <vt:variant>
        <vt:lpwstr>_Toc395686859</vt:lpwstr>
      </vt:variant>
      <vt:variant>
        <vt:i4>1769526</vt:i4>
      </vt:variant>
      <vt:variant>
        <vt:i4>122</vt:i4>
      </vt:variant>
      <vt:variant>
        <vt:i4>0</vt:i4>
      </vt:variant>
      <vt:variant>
        <vt:i4>5</vt:i4>
      </vt:variant>
      <vt:variant>
        <vt:lpwstr/>
      </vt:variant>
      <vt:variant>
        <vt:lpwstr>_Toc395686858</vt:lpwstr>
      </vt:variant>
      <vt:variant>
        <vt:i4>1769526</vt:i4>
      </vt:variant>
      <vt:variant>
        <vt:i4>116</vt:i4>
      </vt:variant>
      <vt:variant>
        <vt:i4>0</vt:i4>
      </vt:variant>
      <vt:variant>
        <vt:i4>5</vt:i4>
      </vt:variant>
      <vt:variant>
        <vt:lpwstr/>
      </vt:variant>
      <vt:variant>
        <vt:lpwstr>_Toc395686857</vt:lpwstr>
      </vt:variant>
      <vt:variant>
        <vt:i4>1769526</vt:i4>
      </vt:variant>
      <vt:variant>
        <vt:i4>110</vt:i4>
      </vt:variant>
      <vt:variant>
        <vt:i4>0</vt:i4>
      </vt:variant>
      <vt:variant>
        <vt:i4>5</vt:i4>
      </vt:variant>
      <vt:variant>
        <vt:lpwstr/>
      </vt:variant>
      <vt:variant>
        <vt:lpwstr>_Toc395686856</vt:lpwstr>
      </vt:variant>
      <vt:variant>
        <vt:i4>1769526</vt:i4>
      </vt:variant>
      <vt:variant>
        <vt:i4>104</vt:i4>
      </vt:variant>
      <vt:variant>
        <vt:i4>0</vt:i4>
      </vt:variant>
      <vt:variant>
        <vt:i4>5</vt:i4>
      </vt:variant>
      <vt:variant>
        <vt:lpwstr/>
      </vt:variant>
      <vt:variant>
        <vt:lpwstr>_Toc395686855</vt:lpwstr>
      </vt:variant>
      <vt:variant>
        <vt:i4>1769526</vt:i4>
      </vt:variant>
      <vt:variant>
        <vt:i4>98</vt:i4>
      </vt:variant>
      <vt:variant>
        <vt:i4>0</vt:i4>
      </vt:variant>
      <vt:variant>
        <vt:i4>5</vt:i4>
      </vt:variant>
      <vt:variant>
        <vt:lpwstr/>
      </vt:variant>
      <vt:variant>
        <vt:lpwstr>_Toc395686854</vt:lpwstr>
      </vt:variant>
      <vt:variant>
        <vt:i4>1769526</vt:i4>
      </vt:variant>
      <vt:variant>
        <vt:i4>92</vt:i4>
      </vt:variant>
      <vt:variant>
        <vt:i4>0</vt:i4>
      </vt:variant>
      <vt:variant>
        <vt:i4>5</vt:i4>
      </vt:variant>
      <vt:variant>
        <vt:lpwstr/>
      </vt:variant>
      <vt:variant>
        <vt:lpwstr>_Toc395686853</vt:lpwstr>
      </vt:variant>
      <vt:variant>
        <vt:i4>1769526</vt:i4>
      </vt:variant>
      <vt:variant>
        <vt:i4>86</vt:i4>
      </vt:variant>
      <vt:variant>
        <vt:i4>0</vt:i4>
      </vt:variant>
      <vt:variant>
        <vt:i4>5</vt:i4>
      </vt:variant>
      <vt:variant>
        <vt:lpwstr/>
      </vt:variant>
      <vt:variant>
        <vt:lpwstr>_Toc395686852</vt:lpwstr>
      </vt:variant>
      <vt:variant>
        <vt:i4>1769526</vt:i4>
      </vt:variant>
      <vt:variant>
        <vt:i4>80</vt:i4>
      </vt:variant>
      <vt:variant>
        <vt:i4>0</vt:i4>
      </vt:variant>
      <vt:variant>
        <vt:i4>5</vt:i4>
      </vt:variant>
      <vt:variant>
        <vt:lpwstr/>
      </vt:variant>
      <vt:variant>
        <vt:lpwstr>_Toc395686851</vt:lpwstr>
      </vt:variant>
      <vt:variant>
        <vt:i4>1769526</vt:i4>
      </vt:variant>
      <vt:variant>
        <vt:i4>74</vt:i4>
      </vt:variant>
      <vt:variant>
        <vt:i4>0</vt:i4>
      </vt:variant>
      <vt:variant>
        <vt:i4>5</vt:i4>
      </vt:variant>
      <vt:variant>
        <vt:lpwstr/>
      </vt:variant>
      <vt:variant>
        <vt:lpwstr>_Toc395686850</vt:lpwstr>
      </vt:variant>
      <vt:variant>
        <vt:i4>1703990</vt:i4>
      </vt:variant>
      <vt:variant>
        <vt:i4>68</vt:i4>
      </vt:variant>
      <vt:variant>
        <vt:i4>0</vt:i4>
      </vt:variant>
      <vt:variant>
        <vt:i4>5</vt:i4>
      </vt:variant>
      <vt:variant>
        <vt:lpwstr/>
      </vt:variant>
      <vt:variant>
        <vt:lpwstr>_Toc395686849</vt:lpwstr>
      </vt:variant>
      <vt:variant>
        <vt:i4>1703990</vt:i4>
      </vt:variant>
      <vt:variant>
        <vt:i4>62</vt:i4>
      </vt:variant>
      <vt:variant>
        <vt:i4>0</vt:i4>
      </vt:variant>
      <vt:variant>
        <vt:i4>5</vt:i4>
      </vt:variant>
      <vt:variant>
        <vt:lpwstr/>
      </vt:variant>
      <vt:variant>
        <vt:lpwstr>_Toc395686848</vt:lpwstr>
      </vt:variant>
      <vt:variant>
        <vt:i4>1703990</vt:i4>
      </vt:variant>
      <vt:variant>
        <vt:i4>56</vt:i4>
      </vt:variant>
      <vt:variant>
        <vt:i4>0</vt:i4>
      </vt:variant>
      <vt:variant>
        <vt:i4>5</vt:i4>
      </vt:variant>
      <vt:variant>
        <vt:lpwstr/>
      </vt:variant>
      <vt:variant>
        <vt:lpwstr>_Toc395686847</vt:lpwstr>
      </vt:variant>
      <vt:variant>
        <vt:i4>1703990</vt:i4>
      </vt:variant>
      <vt:variant>
        <vt:i4>50</vt:i4>
      </vt:variant>
      <vt:variant>
        <vt:i4>0</vt:i4>
      </vt:variant>
      <vt:variant>
        <vt:i4>5</vt:i4>
      </vt:variant>
      <vt:variant>
        <vt:lpwstr/>
      </vt:variant>
      <vt:variant>
        <vt:lpwstr>_Toc395686846</vt:lpwstr>
      </vt:variant>
      <vt:variant>
        <vt:i4>1703990</vt:i4>
      </vt:variant>
      <vt:variant>
        <vt:i4>44</vt:i4>
      </vt:variant>
      <vt:variant>
        <vt:i4>0</vt:i4>
      </vt:variant>
      <vt:variant>
        <vt:i4>5</vt:i4>
      </vt:variant>
      <vt:variant>
        <vt:lpwstr/>
      </vt:variant>
      <vt:variant>
        <vt:lpwstr>_Toc395686845</vt:lpwstr>
      </vt:variant>
      <vt:variant>
        <vt:i4>1703990</vt:i4>
      </vt:variant>
      <vt:variant>
        <vt:i4>38</vt:i4>
      </vt:variant>
      <vt:variant>
        <vt:i4>0</vt:i4>
      </vt:variant>
      <vt:variant>
        <vt:i4>5</vt:i4>
      </vt:variant>
      <vt:variant>
        <vt:lpwstr/>
      </vt:variant>
      <vt:variant>
        <vt:lpwstr>_Toc395686844</vt:lpwstr>
      </vt:variant>
      <vt:variant>
        <vt:i4>1703990</vt:i4>
      </vt:variant>
      <vt:variant>
        <vt:i4>32</vt:i4>
      </vt:variant>
      <vt:variant>
        <vt:i4>0</vt:i4>
      </vt:variant>
      <vt:variant>
        <vt:i4>5</vt:i4>
      </vt:variant>
      <vt:variant>
        <vt:lpwstr/>
      </vt:variant>
      <vt:variant>
        <vt:lpwstr>_Toc395686843</vt:lpwstr>
      </vt:variant>
      <vt:variant>
        <vt:i4>1703990</vt:i4>
      </vt:variant>
      <vt:variant>
        <vt:i4>26</vt:i4>
      </vt:variant>
      <vt:variant>
        <vt:i4>0</vt:i4>
      </vt:variant>
      <vt:variant>
        <vt:i4>5</vt:i4>
      </vt:variant>
      <vt:variant>
        <vt:lpwstr/>
      </vt:variant>
      <vt:variant>
        <vt:lpwstr>_Toc395686842</vt:lpwstr>
      </vt:variant>
      <vt:variant>
        <vt:i4>1703990</vt:i4>
      </vt:variant>
      <vt:variant>
        <vt:i4>20</vt:i4>
      </vt:variant>
      <vt:variant>
        <vt:i4>0</vt:i4>
      </vt:variant>
      <vt:variant>
        <vt:i4>5</vt:i4>
      </vt:variant>
      <vt:variant>
        <vt:lpwstr/>
      </vt:variant>
      <vt:variant>
        <vt:lpwstr>_Toc395686841</vt:lpwstr>
      </vt:variant>
      <vt:variant>
        <vt:i4>1703990</vt:i4>
      </vt:variant>
      <vt:variant>
        <vt:i4>14</vt:i4>
      </vt:variant>
      <vt:variant>
        <vt:i4>0</vt:i4>
      </vt:variant>
      <vt:variant>
        <vt:i4>5</vt:i4>
      </vt:variant>
      <vt:variant>
        <vt:lpwstr/>
      </vt:variant>
      <vt:variant>
        <vt:lpwstr>_Toc395686840</vt:lpwstr>
      </vt:variant>
      <vt:variant>
        <vt:i4>1900598</vt:i4>
      </vt:variant>
      <vt:variant>
        <vt:i4>8</vt:i4>
      </vt:variant>
      <vt:variant>
        <vt:i4>0</vt:i4>
      </vt:variant>
      <vt:variant>
        <vt:i4>5</vt:i4>
      </vt:variant>
      <vt:variant>
        <vt:lpwstr/>
      </vt:variant>
      <vt:variant>
        <vt:lpwstr>_Toc395686839</vt:lpwstr>
      </vt:variant>
      <vt:variant>
        <vt:i4>1900598</vt:i4>
      </vt:variant>
      <vt:variant>
        <vt:i4>2</vt:i4>
      </vt:variant>
      <vt:variant>
        <vt:i4>0</vt:i4>
      </vt:variant>
      <vt:variant>
        <vt:i4>5</vt:i4>
      </vt:variant>
      <vt:variant>
        <vt:lpwstr/>
      </vt:variant>
      <vt:variant>
        <vt:lpwstr>_Toc395686838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final</dc:title>
  <dc:creator>D801319</dc:creator>
  <cp:lastModifiedBy>Aranaz, Carlota</cp:lastModifiedBy>
  <cp:revision>2</cp:revision>
  <cp:lastPrinted>2016-10-28T07:06:00Z</cp:lastPrinted>
  <dcterms:created xsi:type="dcterms:W3CDTF">2016-11-11T11:16:00Z</dcterms:created>
  <dcterms:modified xsi:type="dcterms:W3CDTF">2016-11-11T11:16:00Z</dcterms:modified>
</cp:coreProperties>
</file>