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8D" w:rsidRDefault="00E115C2" w:rsidP="00EA4B8F">
      <w:pPr>
        <w:jc w:val="both"/>
      </w:pPr>
      <w:r>
        <w:t>Nafarroako Alderdi Popularreko foru parlamentarien elkarteari atxikitako foru parlamentari Javier García Jiménez jaunak galdera egin du Gazte Bermearen Funtseko laguntzei buruz (9-15/PES-00113). Hona Nafarroako Gobernuko Eskubide Sozialetako lehendakariordearen erantzuna:</w:t>
      </w:r>
    </w:p>
    <w:p w:rsidR="009F0E8D" w:rsidRDefault="00F06BB5" w:rsidP="00E115C2">
      <w:pPr>
        <w:numPr>
          <w:ilvl w:val="0"/>
          <w:numId w:val="1"/>
        </w:numPr>
        <w:tabs>
          <w:tab w:val="clear" w:pos="720"/>
          <w:tab w:val="num" w:pos="0"/>
        </w:tabs>
        <w:ind w:left="0" w:firstLine="0"/>
        <w:jc w:val="both"/>
        <w:rPr>
          <w:b/>
          <w:u w:val="single"/>
        </w:rPr>
      </w:pPr>
      <w:r>
        <w:rPr>
          <w:b/>
          <w:u w:val="single"/>
        </w:rPr>
        <w:t>Nafarroari esleitutako zenbatekoa</w:t>
      </w:r>
    </w:p>
    <w:p w:rsidR="009F0E8D" w:rsidRDefault="00395CA4" w:rsidP="00EA4B8F">
      <w:pPr>
        <w:jc w:val="both"/>
      </w:pPr>
      <w:r>
        <w:t xml:space="preserve">Europako Gizarte Funtseko Unitate Administratzaileko zuzendari nagusiak (UAFSE, Enpleguaren eta Gizarte Segurantzaren Ministerioa) Nafarroako Gobernuko Politika Ekonomiko eta Enpresarialaren zuzendari nagusiari zuzendutako 2013ko abenduaren 10eko eskutitzaren bitartez, jakinarazi zion </w:t>
      </w:r>
      <w:r>
        <w:rPr>
          <w:i/>
        </w:rPr>
        <w:t>"Gazteen Enplegurako Ekimenaren" (YEI</w:t>
      </w:r>
      <w:r>
        <w:t>, ingelesezko siglak erabilita)</w:t>
      </w:r>
      <w:r>
        <w:rPr>
          <w:i/>
        </w:rPr>
        <w:t xml:space="preserve"> </w:t>
      </w:r>
      <w:r>
        <w:t xml:space="preserve">diru-asignazioa, Nafarroako Foru Komunitateari dagokiona </w:t>
      </w:r>
      <w:r>
        <w:rPr>
          <w:b/>
          <w:u w:val="single"/>
        </w:rPr>
        <w:t>3.541.218</w:t>
      </w:r>
      <w:r>
        <w:t xml:space="preserve"> eurokoa zela; haren kofinantzaketa-tasa, berriz, % 100ekoa da.</w:t>
      </w:r>
    </w:p>
    <w:p w:rsidR="009F0E8D" w:rsidRDefault="00246AA6" w:rsidP="00EA4B8F">
      <w:pPr>
        <w:jc w:val="both"/>
      </w:pPr>
      <w:r>
        <w:t xml:space="preserve">YEI funts hori jasotzeak aldi berean konpromiso bat eskatzen die erregioei, alegia, Europako Gizarte Funtseko beren zuzkiduratik pareko zenbateko bat erabiltzea (Nafarroaren kasuan, horrenbestez, beste </w:t>
      </w:r>
      <w:r>
        <w:rPr>
          <w:b/>
          <w:u w:val="single"/>
        </w:rPr>
        <w:t>3.541.218</w:t>
      </w:r>
      <w:r>
        <w:t xml:space="preserve"> euro). Tarte horren kofinantzaketa-tasa Europar Batasuneko kide diren estatuetako erregioen arteko altuena da; Espainako kasuan, % 85.</w:t>
      </w:r>
    </w:p>
    <w:p w:rsidR="009F0E8D" w:rsidRDefault="00F06BB5" w:rsidP="00EA4B8F">
      <w:pPr>
        <w:jc w:val="both"/>
      </w:pPr>
      <w:r>
        <w:t xml:space="preserve">Azkenik, halaber, exijitzen da beste zenbateko gehigarri bat bideratzea, gutxienez ere YEI funtseko zuzkiduraren % 50; eta hori ere erregioko Europako Gizarte Funtseko zuzkiduraren kargura (Nafarroaren kasuan, </w:t>
      </w:r>
      <w:r>
        <w:rPr>
          <w:b/>
          <w:u w:val="single"/>
        </w:rPr>
        <w:t>1.770.609</w:t>
      </w:r>
      <w:r>
        <w:t xml:space="preserve"> euro, zeinak 3.541.218 euroren % 50 baitira). Tarte horren kofinantzaketa-tasa erregioari bere kategoriaren arabera dagokiona da, Europar Batasuneko </w:t>
      </w:r>
      <w:hyperlink r:id="rId6">
        <w:r>
          <w:rPr>
            <w:rStyle w:val="Hipervnculo"/>
          </w:rPr>
          <w:t>1303/2013 Erregelamenduko (UE)</w:t>
        </w:r>
      </w:hyperlink>
      <w:r>
        <w:t xml:space="preserve"> 90. eta 120. artikuluetako xedapenei jarraituz. Nafarroako kasuan, "erregio garatuenen" kategorian sartzen denez, kofinantzaketaren portzentajea % 50 da.</w:t>
      </w:r>
    </w:p>
    <w:p w:rsidR="009F0E8D" w:rsidRDefault="003E53A6" w:rsidP="00EA4B8F">
      <w:pPr>
        <w:jc w:val="both"/>
      </w:pPr>
      <w:r>
        <w:t xml:space="preserve">Horrenbestez, aipatutako hiru tarteak batuta, Nafarroarako zuzkidura finantzario europarra, 2014-2020 urteetarako, Gazteen Enplegurako Programa Operatiboan, </w:t>
      </w:r>
      <w:r>
        <w:rPr>
          <w:b/>
          <w:u w:val="single"/>
        </w:rPr>
        <w:t>8.853.045 eurokoa</w:t>
      </w:r>
      <w:r>
        <w:t xml:space="preserve"> da, UAFSEren aipatutako eskutitzean adierazi bezalaxe.</w:t>
      </w:r>
    </w:p>
    <w:p w:rsidR="009F0E8D" w:rsidRDefault="003E53A6" w:rsidP="00EA4B8F">
      <w:pPr>
        <w:jc w:val="both"/>
      </w:pPr>
      <w:r>
        <w:t xml:space="preserve">Tarte desberdinak daudenez, kofinantzaketa-tasa berariazkoekin, Nafarroan Gazteen Bermerako Sistemako gazteen kolektiboari zuzendutako neurrietan behar den guztizko inbertsioa </w:t>
      </w:r>
      <w:r>
        <w:rPr>
          <w:b/>
          <w:u w:val="single"/>
        </w:rPr>
        <w:t>11.248.578 eurokoa</w:t>
      </w:r>
      <w:r>
        <w:t xml:space="preserve"> da. Kopuru horretatik, erkidegoaren ekarpena </w:t>
      </w:r>
      <w:r>
        <w:rPr>
          <w:b/>
          <w:u w:val="single"/>
        </w:rPr>
        <w:t>8.853.045 eurokoa</w:t>
      </w:r>
      <w:r>
        <w:t xml:space="preserve"> izanen da.</w:t>
      </w:r>
    </w:p>
    <w:p w:rsidR="009F0E8D" w:rsidRDefault="003E4545" w:rsidP="00EA4B8F">
      <w:pPr>
        <w:jc w:val="both"/>
      </w:pPr>
      <w:r>
        <w:t xml:space="preserve">2015eko azarora arte, 8.853.045 euroko esleipen horretatik, Nafarroako Foru Komunitateko Administrazioaren diruzaintzan 1.245.623,62 euro sartu dira guztira, hasierako aurre-finantzaketaren kontzeptuan, </w:t>
      </w:r>
      <w:hyperlink r:id="rId7">
        <w:r>
          <w:rPr>
            <w:rStyle w:val="Hipervnculo"/>
          </w:rPr>
          <w:t>1303/2013 Erregelamenduko (UE)</w:t>
        </w:r>
      </w:hyperlink>
      <w:r>
        <w:t xml:space="preserve"> 134.1 artikuluko a) eta b) letretan eta </w:t>
      </w:r>
      <w:hyperlink r:id="rId8">
        <w:r>
          <w:rPr>
            <w:rStyle w:val="Hipervnculo"/>
          </w:rPr>
          <w:t>2015/779 Erregelamenduko (UE)</w:t>
        </w:r>
      </w:hyperlink>
      <w:r>
        <w:t xml:space="preserve"> 1. artikuluan ezarritakoari jarraituz.</w:t>
      </w:r>
    </w:p>
    <w:p w:rsidR="009F0E8D" w:rsidRDefault="00FF3B9A" w:rsidP="00E115C2">
      <w:pPr>
        <w:numPr>
          <w:ilvl w:val="0"/>
          <w:numId w:val="1"/>
        </w:numPr>
        <w:tabs>
          <w:tab w:val="clear" w:pos="720"/>
          <w:tab w:val="num" w:pos="0"/>
        </w:tabs>
        <w:ind w:left="0" w:firstLine="0"/>
        <w:jc w:val="both"/>
        <w:rPr>
          <w:b/>
          <w:u w:val="single"/>
        </w:rPr>
      </w:pPr>
      <w:r>
        <w:rPr>
          <w:b/>
          <w:u w:val="single"/>
        </w:rPr>
        <w:t xml:space="preserve">Nafarroan ezarri diren Gazteen Enplegurako Programa Operatiboko neurriak </w:t>
      </w:r>
    </w:p>
    <w:p w:rsidR="009F0E8D" w:rsidRDefault="001F6186" w:rsidP="00EA4B8F">
      <w:pPr>
        <w:jc w:val="both"/>
      </w:pPr>
      <w:r>
        <w:t xml:space="preserve">Lehenbizi, zehaztapen bat egin beharra dago Europako Egiturazko Funtsen eta Inbertsio Funtsen finantza-fluxuari buruz, funts horien artean baitago EGF-YEI delakoa. </w:t>
      </w:r>
    </w:p>
    <w:p w:rsidR="009F0E8D" w:rsidRDefault="00BC6983" w:rsidP="00EA4B8F">
      <w:pPr>
        <w:jc w:val="both"/>
      </w:pPr>
      <w:r>
        <w:t>Arau orokor gisa, funts horien onuradun diren nazio edo erregioetako administrazio publikoek beren baliabide berekiekin finantzatu behar dituzte egiten dituzten jarduketa guztiak eta gero, behin egintzak amaituta, Europar Batzordeari ziurtatu behar dizkiote egindako gastuak, Europako kasuko kofinantzaketa lortzeko. Arau horren salbuespena aurrerakinak dira, zeinak ematen baitira Europar Batasunari inongo gasturik justifikatu gabe. Aipatu bezala, Nafarroak 1.245.623,62 euro jaso ditu aurrerakin moduan.</w:t>
      </w:r>
    </w:p>
    <w:p w:rsidR="00AB74A0" w:rsidRDefault="00A02885" w:rsidP="00EA4B8F">
      <w:pPr>
        <w:jc w:val="both"/>
      </w:pPr>
      <w:r>
        <w:t>Nafarroako Gobernuak abian jarri dituen neurriei dagokienez, ondoren erakusten dugu aurreikusitako inbertsioari buruzko taula bat, bai eta 2015eko azarora arte egindako gastua ere:</w:t>
      </w:r>
    </w:p>
    <w:p w:rsidR="00AB74A0" w:rsidRDefault="00AB74A0">
      <w:r>
        <w:br w:type="page"/>
      </w:r>
    </w:p>
    <w:p w:rsidR="009F0E8D" w:rsidRDefault="009F0E8D" w:rsidP="00EA4B8F">
      <w:pPr>
        <w:jc w:val="both"/>
      </w:pPr>
      <w:bookmarkStart w:id="0" w:name="_GoBack"/>
      <w:bookmarkEnd w:id="0"/>
    </w:p>
    <w:tbl>
      <w:tblPr>
        <w:tblStyle w:val="TableNormal"/>
        <w:tblW w:w="9492" w:type="dxa"/>
        <w:tblInd w:w="-112" w:type="dxa"/>
        <w:tblLayout w:type="fixed"/>
        <w:tblLook w:val="01E0" w:firstRow="1" w:lastRow="1" w:firstColumn="1" w:lastColumn="1" w:noHBand="0" w:noVBand="0"/>
      </w:tblPr>
      <w:tblGrid>
        <w:gridCol w:w="3213"/>
        <w:gridCol w:w="1860"/>
        <w:gridCol w:w="1874"/>
        <w:gridCol w:w="2545"/>
      </w:tblGrid>
      <w:tr w:rsidR="00AB74A0" w:rsidRPr="003D5B07" w:rsidTr="00B8730E">
        <w:trPr>
          <w:trHeight w:val="20"/>
        </w:trPr>
        <w:tc>
          <w:tcPr>
            <w:tcW w:w="3213" w:type="dxa"/>
            <w:tcBorders>
              <w:top w:val="single" w:sz="7" w:space="0" w:color="C0C0C0"/>
              <w:left w:val="single" w:sz="24" w:space="0" w:color="C0C0C0"/>
              <w:bottom w:val="single" w:sz="7" w:space="0" w:color="000000"/>
              <w:right w:val="single" w:sz="1" w:space="0" w:color="C0C0C0"/>
            </w:tcBorders>
          </w:tcPr>
          <w:p w:rsidR="00AB74A0" w:rsidRPr="003D5B07" w:rsidRDefault="00AB74A0" w:rsidP="00B8730E">
            <w:pPr>
              <w:ind w:left="57" w:right="57"/>
              <w:rPr>
                <w:rFonts w:ascii="Batang" w:eastAsia="Batang" w:hAnsi="Batang"/>
              </w:rPr>
            </w:pPr>
            <w:bookmarkStart w:id="1" w:name="_MON_1508321588"/>
            <w:bookmarkStart w:id="2" w:name="_MON_1508321639"/>
            <w:bookmarkStart w:id="3" w:name="_MON_1508321690"/>
            <w:bookmarkStart w:id="4" w:name="_MON_1508321944"/>
            <w:bookmarkStart w:id="5" w:name="_MON_1508322025"/>
            <w:bookmarkStart w:id="6" w:name="_MON_1508322250"/>
            <w:bookmarkStart w:id="7" w:name="_MON_1508322271"/>
            <w:bookmarkStart w:id="8" w:name="_MON_1508322513"/>
            <w:bookmarkStart w:id="9" w:name="_MON_1508322946"/>
            <w:bookmarkStart w:id="10" w:name="_MON_1508323185"/>
            <w:bookmarkStart w:id="11" w:name="_MON_1508323246"/>
            <w:bookmarkStart w:id="12" w:name="_MON_1508323583"/>
            <w:bookmarkStart w:id="13" w:name="_MON_1508323599"/>
            <w:bookmarkStart w:id="14" w:name="_MON_1508323678"/>
            <w:bookmarkStart w:id="15" w:name="_MON_1508323860"/>
            <w:bookmarkStart w:id="16" w:name="_MON_1508323875"/>
            <w:bookmarkStart w:id="17" w:name="_MON_1508323900"/>
            <w:bookmarkStart w:id="18" w:name="_MON_1508323917"/>
            <w:bookmarkStart w:id="19" w:name="_MON_1508323941"/>
            <w:bookmarkStart w:id="20" w:name="_MON_1508323949"/>
            <w:bookmarkStart w:id="21" w:name="_MON_1508323958"/>
            <w:bookmarkStart w:id="22" w:name="_MON_1508323971"/>
            <w:bookmarkStart w:id="23" w:name="_MON_1508323980"/>
            <w:bookmarkStart w:id="24" w:name="_MON_1508323993"/>
            <w:bookmarkStart w:id="25" w:name="_MON_1508324005"/>
            <w:bookmarkStart w:id="26" w:name="_MON_1508324427"/>
            <w:bookmarkStart w:id="27" w:name="_MON_15083247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tc>
        <w:tc>
          <w:tcPr>
            <w:tcW w:w="1860" w:type="dxa"/>
            <w:tcBorders>
              <w:top w:val="single" w:sz="7" w:space="0" w:color="C0C0C0"/>
              <w:left w:val="single" w:sz="1" w:space="0" w:color="C0C0C0"/>
              <w:bottom w:val="single" w:sz="7" w:space="0" w:color="000000"/>
              <w:right w:val="single" w:sz="1" w:space="0" w:color="C0C0C0"/>
            </w:tcBorders>
          </w:tcPr>
          <w:p w:rsidR="00AB74A0" w:rsidRPr="003D5B07" w:rsidRDefault="00AB74A0" w:rsidP="00B8730E">
            <w:pPr>
              <w:ind w:left="57" w:right="57"/>
              <w:rPr>
                <w:rFonts w:ascii="Batang" w:eastAsia="Batang" w:hAnsi="Batang"/>
              </w:rPr>
            </w:pPr>
          </w:p>
        </w:tc>
        <w:tc>
          <w:tcPr>
            <w:tcW w:w="1874" w:type="dxa"/>
            <w:tcBorders>
              <w:top w:val="single" w:sz="7" w:space="0" w:color="C0C0C0"/>
              <w:left w:val="single" w:sz="1" w:space="0" w:color="C0C0C0"/>
              <w:bottom w:val="single" w:sz="7" w:space="0" w:color="000000"/>
              <w:right w:val="single" w:sz="1" w:space="0" w:color="C0C0C0"/>
            </w:tcBorders>
          </w:tcPr>
          <w:p w:rsidR="00AB74A0" w:rsidRPr="003D5B07" w:rsidRDefault="00AB74A0" w:rsidP="00B8730E">
            <w:pPr>
              <w:ind w:left="57" w:right="57"/>
              <w:rPr>
                <w:rFonts w:ascii="Batang" w:eastAsia="Batang" w:hAnsi="Batang"/>
              </w:rPr>
            </w:pPr>
          </w:p>
        </w:tc>
        <w:tc>
          <w:tcPr>
            <w:tcW w:w="2545" w:type="dxa"/>
            <w:tcBorders>
              <w:top w:val="single" w:sz="7" w:space="0" w:color="C0C0C0"/>
              <w:left w:val="single" w:sz="1" w:space="0" w:color="C0C0C0"/>
              <w:bottom w:val="single" w:sz="7" w:space="0" w:color="000000"/>
              <w:right w:val="single" w:sz="1" w:space="0" w:color="C0C0C0"/>
            </w:tcBorders>
          </w:tcPr>
          <w:p w:rsidR="00AB74A0" w:rsidRPr="003D5B07" w:rsidRDefault="00AB74A0" w:rsidP="00B8730E">
            <w:pPr>
              <w:ind w:left="57" w:right="57"/>
              <w:rPr>
                <w:rFonts w:ascii="Batang" w:eastAsia="Batang" w:hAnsi="Batang"/>
              </w:rPr>
            </w:pPr>
          </w:p>
        </w:tc>
      </w:tr>
      <w:tr w:rsidR="00AB74A0" w:rsidRPr="003D5B07" w:rsidTr="00B8730E">
        <w:trPr>
          <w:trHeight w:val="20"/>
        </w:trPr>
        <w:tc>
          <w:tcPr>
            <w:tcW w:w="3213" w:type="dxa"/>
            <w:tcBorders>
              <w:top w:val="single" w:sz="7" w:space="0" w:color="000000"/>
              <w:left w:val="single" w:sz="31" w:space="0" w:color="C0C0C0"/>
              <w:bottom w:val="single" w:sz="7" w:space="0" w:color="000000"/>
              <w:right w:val="single" w:sz="8" w:space="0" w:color="000000"/>
            </w:tcBorders>
            <w:shd w:val="clear" w:color="auto" w:fill="FFFF99"/>
            <w:vAlign w:val="center"/>
          </w:tcPr>
          <w:p w:rsidR="00AB74A0" w:rsidRPr="003D5B07" w:rsidRDefault="00AB74A0" w:rsidP="00B8730E">
            <w:pPr>
              <w:pStyle w:val="TableParagraph"/>
              <w:spacing w:before="118" w:line="284" w:lineRule="auto"/>
              <w:ind w:left="57" w:right="57"/>
              <w:jc w:val="center"/>
              <w:rPr>
                <w:rFonts w:ascii="Batang" w:eastAsia="Batang" w:hAnsi="Batang" w:cs="Arial"/>
                <w:sz w:val="16"/>
                <w:szCs w:val="16"/>
              </w:rPr>
            </w:pPr>
            <w:r w:rsidRPr="003D5B07">
              <w:rPr>
                <w:rFonts w:ascii="Batang" w:eastAsia="Batang" w:hAnsi="Batang"/>
                <w:b/>
                <w:spacing w:val="11"/>
                <w:sz w:val="16"/>
              </w:rPr>
              <w:t>Neurria / Jarduketa</w:t>
            </w:r>
          </w:p>
        </w:tc>
        <w:tc>
          <w:tcPr>
            <w:tcW w:w="1860" w:type="dxa"/>
            <w:tcBorders>
              <w:top w:val="single" w:sz="7" w:space="0" w:color="000000"/>
              <w:left w:val="single" w:sz="8" w:space="0" w:color="000000"/>
              <w:bottom w:val="single" w:sz="7" w:space="0" w:color="000000"/>
              <w:right w:val="single" w:sz="8" w:space="0" w:color="000000"/>
            </w:tcBorders>
            <w:shd w:val="clear" w:color="auto" w:fill="FFFF99"/>
            <w:vAlign w:val="center"/>
          </w:tcPr>
          <w:p w:rsidR="00AB74A0" w:rsidRPr="003D5B07" w:rsidRDefault="00AB74A0" w:rsidP="00B8730E">
            <w:pPr>
              <w:pStyle w:val="TableParagraph"/>
              <w:spacing w:before="118" w:line="284" w:lineRule="auto"/>
              <w:ind w:left="57" w:right="57"/>
              <w:jc w:val="center"/>
              <w:rPr>
                <w:rFonts w:ascii="Batang" w:eastAsia="Batang" w:hAnsi="Batang" w:cs="Arial"/>
                <w:sz w:val="16"/>
                <w:szCs w:val="16"/>
              </w:rPr>
            </w:pPr>
            <w:r w:rsidRPr="003D5B07">
              <w:rPr>
                <w:rFonts w:ascii="Batang" w:eastAsia="Batang" w:hAnsi="Batang"/>
                <w:b/>
                <w:spacing w:val="1"/>
                <w:sz w:val="16"/>
              </w:rPr>
              <w:t>Erakunde kudeatzailea</w:t>
            </w:r>
          </w:p>
        </w:tc>
        <w:tc>
          <w:tcPr>
            <w:tcW w:w="1874" w:type="dxa"/>
            <w:tcBorders>
              <w:top w:val="single" w:sz="7" w:space="0" w:color="000000"/>
              <w:left w:val="single" w:sz="8" w:space="0" w:color="000000"/>
              <w:bottom w:val="single" w:sz="7" w:space="0" w:color="000000"/>
              <w:right w:val="single" w:sz="8" w:space="0" w:color="000000"/>
            </w:tcBorders>
            <w:shd w:val="clear" w:color="auto" w:fill="FFFF99"/>
            <w:vAlign w:val="center"/>
          </w:tcPr>
          <w:p w:rsidR="00AB74A0" w:rsidRPr="003D5B07" w:rsidRDefault="00AB74A0" w:rsidP="00B8730E">
            <w:pPr>
              <w:pStyle w:val="TableParagraph"/>
              <w:spacing w:line="281" w:lineRule="auto"/>
              <w:ind w:left="57" w:right="57"/>
              <w:jc w:val="center"/>
              <w:rPr>
                <w:rFonts w:ascii="Batang" w:eastAsia="Batang" w:hAnsi="Batang" w:cs="Arial"/>
                <w:sz w:val="16"/>
                <w:szCs w:val="16"/>
              </w:rPr>
            </w:pPr>
            <w:r w:rsidRPr="003D5B07">
              <w:rPr>
                <w:rFonts w:ascii="Batang" w:eastAsia="Batang" w:hAnsi="Batang"/>
                <w:b/>
                <w:spacing w:val="3"/>
                <w:sz w:val="16"/>
              </w:rPr>
              <w:t>2014-2020 urteetako aurreiku</w:t>
            </w:r>
            <w:r>
              <w:rPr>
                <w:rFonts w:ascii="Batang" w:eastAsia="Batang" w:hAnsi="Batang"/>
                <w:b/>
                <w:spacing w:val="3"/>
                <w:sz w:val="16"/>
              </w:rPr>
              <w:t>si</w:t>
            </w:r>
            <w:r w:rsidRPr="003D5B07">
              <w:rPr>
                <w:rFonts w:ascii="Batang" w:eastAsia="Batang" w:hAnsi="Batang"/>
                <w:b/>
                <w:spacing w:val="3"/>
                <w:sz w:val="16"/>
              </w:rPr>
              <w:t>tako inbertsioa</w:t>
            </w:r>
          </w:p>
          <w:p w:rsidR="00AB74A0" w:rsidRPr="003D5B07" w:rsidRDefault="00AB74A0" w:rsidP="00B8730E">
            <w:pPr>
              <w:pStyle w:val="TableParagraph"/>
              <w:spacing w:before="3"/>
              <w:ind w:left="57" w:right="57"/>
              <w:jc w:val="center"/>
              <w:rPr>
                <w:rFonts w:ascii="Batang" w:eastAsia="Batang" w:hAnsi="Batang" w:cs="Arial"/>
                <w:sz w:val="16"/>
                <w:szCs w:val="16"/>
              </w:rPr>
            </w:pPr>
            <w:r w:rsidRPr="003D5B07">
              <w:rPr>
                <w:rFonts w:ascii="Batang" w:eastAsia="Batang" w:hAnsi="Batang"/>
                <w:b/>
                <w:spacing w:val="4"/>
                <w:sz w:val="16"/>
              </w:rPr>
              <w:t>(eurotan)</w:t>
            </w:r>
          </w:p>
        </w:tc>
        <w:tc>
          <w:tcPr>
            <w:tcW w:w="2545" w:type="dxa"/>
            <w:tcBorders>
              <w:top w:val="single" w:sz="7" w:space="0" w:color="000000"/>
              <w:left w:val="single" w:sz="8" w:space="0" w:color="000000"/>
              <w:bottom w:val="single" w:sz="7" w:space="0" w:color="000000"/>
              <w:right w:val="single" w:sz="8" w:space="0" w:color="000000"/>
            </w:tcBorders>
            <w:shd w:val="clear" w:color="auto" w:fill="FFFF99"/>
            <w:vAlign w:val="center"/>
          </w:tcPr>
          <w:p w:rsidR="00AB74A0" w:rsidRPr="003D5B07" w:rsidRDefault="00AB74A0" w:rsidP="00B8730E">
            <w:pPr>
              <w:pStyle w:val="TableParagraph"/>
              <w:spacing w:before="86" w:line="281" w:lineRule="auto"/>
              <w:ind w:left="57" w:right="57"/>
              <w:jc w:val="center"/>
              <w:rPr>
                <w:rFonts w:ascii="Batang" w:eastAsia="Batang" w:hAnsi="Batang" w:cs="Arial"/>
                <w:sz w:val="16"/>
                <w:szCs w:val="16"/>
              </w:rPr>
            </w:pPr>
            <w:r>
              <w:rPr>
                <w:rFonts w:ascii="Batang" w:eastAsia="Batang" w:hAnsi="Batang"/>
                <w:b/>
                <w:sz w:val="16"/>
              </w:rPr>
              <w:t>2014an eta 2015ean</w:t>
            </w:r>
            <w:r>
              <w:rPr>
                <w:rFonts w:ascii="Batang" w:eastAsia="Batang" w:hAnsi="Batang"/>
                <w:b/>
                <w:sz w:val="16"/>
              </w:rPr>
              <w:br/>
            </w:r>
            <w:r w:rsidRPr="003D5B07">
              <w:rPr>
                <w:rFonts w:ascii="Batang" w:eastAsia="Batang" w:hAnsi="Batang"/>
                <w:b/>
                <w:sz w:val="16"/>
              </w:rPr>
              <w:t>egindako gastua</w:t>
            </w:r>
          </w:p>
          <w:p w:rsidR="00AB74A0" w:rsidRPr="003D5B07" w:rsidRDefault="00AB74A0" w:rsidP="00B8730E">
            <w:pPr>
              <w:pStyle w:val="TableParagraph"/>
              <w:spacing w:before="3" w:line="281" w:lineRule="auto"/>
              <w:ind w:left="57" w:right="57"/>
              <w:jc w:val="center"/>
              <w:rPr>
                <w:rFonts w:ascii="Batang" w:eastAsia="Batang" w:hAnsi="Batang" w:cs="Arial"/>
                <w:sz w:val="16"/>
                <w:szCs w:val="16"/>
              </w:rPr>
            </w:pPr>
            <w:r w:rsidRPr="003D5B07">
              <w:rPr>
                <w:rFonts w:ascii="Batang" w:eastAsia="Batang" w:hAnsi="Batang"/>
                <w:b/>
                <w:spacing w:val="3"/>
                <w:sz w:val="16"/>
              </w:rPr>
              <w:t>(2015eko azarora arte) (eurotan)</w:t>
            </w:r>
          </w:p>
        </w:tc>
      </w:tr>
      <w:tr w:rsidR="00AB74A0" w:rsidRPr="003D5B07" w:rsidTr="00B8730E">
        <w:trPr>
          <w:trHeight w:val="20"/>
        </w:trPr>
        <w:tc>
          <w:tcPr>
            <w:tcW w:w="9492" w:type="dxa"/>
            <w:gridSpan w:val="4"/>
            <w:tcBorders>
              <w:top w:val="single" w:sz="7" w:space="0" w:color="000000"/>
              <w:left w:val="single" w:sz="31" w:space="0" w:color="C0C0C0"/>
              <w:bottom w:val="single" w:sz="8" w:space="0" w:color="000000"/>
              <w:right w:val="single" w:sz="8" w:space="0" w:color="000000"/>
            </w:tcBorders>
          </w:tcPr>
          <w:p w:rsidR="00AB74A0" w:rsidRPr="003D5B07" w:rsidRDefault="00AB74A0" w:rsidP="00B8730E">
            <w:pPr>
              <w:pStyle w:val="TableParagraph"/>
              <w:spacing w:before="26"/>
              <w:ind w:left="57" w:right="57"/>
              <w:rPr>
                <w:rFonts w:ascii="Batang" w:eastAsia="Batang" w:hAnsi="Batang" w:cs="Arial"/>
                <w:sz w:val="16"/>
                <w:szCs w:val="16"/>
              </w:rPr>
            </w:pPr>
            <w:r w:rsidRPr="003D5B07">
              <w:rPr>
                <w:rFonts w:ascii="Batang" w:eastAsia="Batang" w:hAnsi="Batang"/>
                <w:b/>
                <w:spacing w:val="5"/>
                <w:sz w:val="16"/>
              </w:rPr>
              <w:t>Hastapeneko lanbide-prestakuntza hobetzea</w:t>
            </w:r>
          </w:p>
        </w:tc>
      </w:tr>
      <w:tr w:rsidR="00AB74A0" w:rsidRPr="003D5B07" w:rsidTr="00B8730E">
        <w:trPr>
          <w:trHeight w:val="20"/>
        </w:trPr>
        <w:tc>
          <w:tcPr>
            <w:tcW w:w="3213" w:type="dxa"/>
            <w:tcBorders>
              <w:top w:val="single" w:sz="8" w:space="0" w:color="000000"/>
              <w:left w:val="single" w:sz="31" w:space="0" w:color="C0C0C0"/>
              <w:bottom w:val="single" w:sz="7" w:space="0" w:color="000000"/>
              <w:right w:val="single" w:sz="8" w:space="0" w:color="000000"/>
            </w:tcBorders>
            <w:vAlign w:val="center"/>
          </w:tcPr>
          <w:p w:rsidR="00AB74A0" w:rsidRPr="003D5B07" w:rsidRDefault="00AB74A0" w:rsidP="00AB74A0">
            <w:pPr>
              <w:pStyle w:val="Prrafodelista"/>
              <w:numPr>
                <w:ilvl w:val="0"/>
                <w:numId w:val="2"/>
              </w:numPr>
              <w:tabs>
                <w:tab w:val="left" w:pos="119"/>
              </w:tabs>
              <w:spacing w:before="25" w:line="282" w:lineRule="auto"/>
              <w:ind w:left="57" w:right="57" w:firstLine="0"/>
              <w:rPr>
                <w:rFonts w:ascii="Batang" w:eastAsia="Batang" w:hAnsi="Batang" w:cs="Arial"/>
                <w:sz w:val="14"/>
                <w:szCs w:val="14"/>
              </w:rPr>
            </w:pPr>
            <w:r w:rsidRPr="003D5B07">
              <w:rPr>
                <w:rFonts w:ascii="Batang" w:eastAsia="Batang" w:hAnsi="Batang"/>
                <w:spacing w:val="1"/>
                <w:w w:val="105"/>
                <w:sz w:val="14"/>
              </w:rPr>
              <w:t xml:space="preserve">Oinarrizko lanbide heziketako zikloak eta lanbide-tailerrak (CENIFER eta </w:t>
            </w:r>
            <w:proofErr w:type="spellStart"/>
            <w:r w:rsidRPr="003D5B07">
              <w:rPr>
                <w:rFonts w:ascii="Batang" w:eastAsia="Batang" w:hAnsi="Batang"/>
                <w:spacing w:val="1"/>
                <w:w w:val="105"/>
                <w:sz w:val="14"/>
              </w:rPr>
              <w:t>Iturrondo</w:t>
            </w:r>
            <w:proofErr w:type="spellEnd"/>
            <w:r w:rsidRPr="003D5B07">
              <w:rPr>
                <w:rFonts w:ascii="Batang" w:eastAsia="Batang" w:hAnsi="Batang"/>
                <w:spacing w:val="1"/>
                <w:w w:val="105"/>
                <w:sz w:val="14"/>
              </w:rPr>
              <w:t>)</w:t>
            </w:r>
          </w:p>
          <w:p w:rsidR="00AB74A0" w:rsidRPr="003D5B07" w:rsidRDefault="00AB74A0" w:rsidP="00B8730E">
            <w:pPr>
              <w:pStyle w:val="TableParagraph"/>
              <w:spacing w:before="4"/>
              <w:ind w:left="57" w:right="57"/>
              <w:rPr>
                <w:rFonts w:ascii="Batang" w:eastAsia="Batang" w:hAnsi="Batang" w:cs="Arial"/>
                <w:sz w:val="16"/>
                <w:szCs w:val="16"/>
              </w:rPr>
            </w:pPr>
          </w:p>
          <w:p w:rsidR="00AB74A0" w:rsidRPr="003D5B07" w:rsidRDefault="00AB74A0" w:rsidP="00AB74A0">
            <w:pPr>
              <w:pStyle w:val="Prrafodelista"/>
              <w:numPr>
                <w:ilvl w:val="0"/>
                <w:numId w:val="2"/>
              </w:numPr>
              <w:tabs>
                <w:tab w:val="left" w:pos="119"/>
              </w:tabs>
              <w:spacing w:line="280" w:lineRule="auto"/>
              <w:ind w:left="57" w:right="57" w:firstLine="0"/>
              <w:rPr>
                <w:rFonts w:ascii="Batang" w:eastAsia="Batang" w:hAnsi="Batang" w:cs="Arial"/>
                <w:sz w:val="14"/>
                <w:szCs w:val="14"/>
              </w:rPr>
            </w:pPr>
            <w:r w:rsidRPr="003D5B07">
              <w:rPr>
                <w:rFonts w:ascii="Batang" w:eastAsia="Batang" w:hAnsi="Batang"/>
                <w:w w:val="105"/>
                <w:sz w:val="14"/>
              </w:rPr>
              <w:t>Gaitasun unitateak edo profesionaltasun ziurtagiriak lortzeko ikastaroak</w:t>
            </w:r>
          </w:p>
        </w:tc>
        <w:tc>
          <w:tcPr>
            <w:tcW w:w="1860"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line="285" w:lineRule="auto"/>
              <w:ind w:left="57" w:right="57"/>
              <w:rPr>
                <w:rFonts w:ascii="Batang" w:eastAsia="Batang" w:hAnsi="Batang" w:cs="Arial"/>
                <w:sz w:val="17"/>
                <w:szCs w:val="17"/>
              </w:rPr>
            </w:pPr>
            <w:r w:rsidRPr="003D5B07">
              <w:rPr>
                <w:rFonts w:ascii="Batang" w:eastAsia="Batang" w:hAnsi="Batang"/>
                <w:spacing w:val="-1"/>
                <w:w w:val="105"/>
                <w:sz w:val="17"/>
              </w:rPr>
              <w:t>Nafarroako Enplegu Zerbitzua</w:t>
            </w:r>
          </w:p>
        </w:tc>
        <w:tc>
          <w:tcPr>
            <w:tcW w:w="1874"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before="107"/>
              <w:ind w:left="57" w:right="57"/>
              <w:jc w:val="center"/>
              <w:rPr>
                <w:rFonts w:ascii="Batang" w:eastAsia="Batang" w:hAnsi="Batang" w:cs="Arial"/>
                <w:sz w:val="17"/>
                <w:szCs w:val="17"/>
              </w:rPr>
            </w:pPr>
            <w:r w:rsidRPr="003D5B07">
              <w:rPr>
                <w:rFonts w:ascii="Batang" w:eastAsia="Batang" w:hAnsi="Batang"/>
                <w:spacing w:val="1"/>
                <w:w w:val="105"/>
                <w:sz w:val="17"/>
              </w:rPr>
              <w:t>1.943.024,00</w:t>
            </w:r>
          </w:p>
        </w:tc>
        <w:tc>
          <w:tcPr>
            <w:tcW w:w="2545"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before="107"/>
              <w:ind w:left="57" w:right="57"/>
              <w:jc w:val="center"/>
              <w:rPr>
                <w:rFonts w:ascii="Batang" w:eastAsia="Batang" w:hAnsi="Batang" w:cs="Arial"/>
                <w:sz w:val="17"/>
                <w:szCs w:val="17"/>
              </w:rPr>
            </w:pPr>
            <w:r w:rsidRPr="003D5B07">
              <w:rPr>
                <w:rFonts w:ascii="Batang" w:eastAsia="Batang" w:hAnsi="Batang"/>
                <w:spacing w:val="1"/>
                <w:w w:val="105"/>
                <w:sz w:val="17"/>
              </w:rPr>
              <w:t>1.340.306,94</w:t>
            </w:r>
          </w:p>
        </w:tc>
      </w:tr>
      <w:tr w:rsidR="00AB74A0" w:rsidRPr="003D5B07" w:rsidTr="00B8730E">
        <w:trPr>
          <w:trHeight w:val="20"/>
        </w:trPr>
        <w:tc>
          <w:tcPr>
            <w:tcW w:w="3213" w:type="dxa"/>
            <w:tcBorders>
              <w:top w:val="single" w:sz="7" w:space="0" w:color="000000"/>
              <w:left w:val="single" w:sz="31" w:space="0" w:color="C0C0C0"/>
              <w:bottom w:val="single" w:sz="8" w:space="0" w:color="000000"/>
              <w:right w:val="single" w:sz="8" w:space="0" w:color="000000"/>
            </w:tcBorders>
            <w:vAlign w:val="center"/>
          </w:tcPr>
          <w:p w:rsidR="00AB74A0" w:rsidRPr="003D5B07" w:rsidRDefault="00AB74A0" w:rsidP="00B8730E">
            <w:pPr>
              <w:pStyle w:val="TableParagraph"/>
              <w:spacing w:line="282" w:lineRule="auto"/>
              <w:ind w:left="57" w:right="57"/>
              <w:rPr>
                <w:rFonts w:ascii="Batang" w:eastAsia="Batang" w:hAnsi="Batang" w:cs="Arial"/>
                <w:sz w:val="14"/>
                <w:szCs w:val="14"/>
              </w:rPr>
            </w:pPr>
            <w:r w:rsidRPr="003D5B07">
              <w:rPr>
                <w:rFonts w:ascii="Batang" w:eastAsia="Batang" w:hAnsi="Batang"/>
                <w:spacing w:val="1"/>
                <w:w w:val="105"/>
                <w:sz w:val="14"/>
              </w:rPr>
              <w:t>Hastapeneko lanbide kualifikazioko programak</w:t>
            </w:r>
          </w:p>
          <w:p w:rsidR="00AB74A0" w:rsidRPr="003D5B07" w:rsidRDefault="00AB74A0" w:rsidP="00B8730E">
            <w:pPr>
              <w:pStyle w:val="TableParagraph"/>
              <w:spacing w:line="159" w:lineRule="exact"/>
              <w:ind w:left="57" w:right="57"/>
              <w:rPr>
                <w:rFonts w:ascii="Batang" w:eastAsia="Batang" w:hAnsi="Batang" w:cs="Arial"/>
                <w:sz w:val="14"/>
                <w:szCs w:val="14"/>
              </w:rPr>
            </w:pPr>
            <w:r w:rsidRPr="003D5B07">
              <w:rPr>
                <w:rFonts w:ascii="Batang" w:eastAsia="Batang" w:hAnsi="Batang"/>
                <w:w w:val="105"/>
                <w:sz w:val="14"/>
              </w:rPr>
              <w:t>2013-2014 eta 2014-2015 ikasturteak</w:t>
            </w:r>
          </w:p>
        </w:tc>
        <w:tc>
          <w:tcPr>
            <w:tcW w:w="1860" w:type="dxa"/>
            <w:tcBorders>
              <w:top w:val="single" w:sz="7"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spacing w:before="43" w:line="282" w:lineRule="auto"/>
              <w:ind w:left="57" w:right="57"/>
              <w:rPr>
                <w:rFonts w:ascii="Batang" w:eastAsia="Batang" w:hAnsi="Batang" w:cs="Arial"/>
                <w:sz w:val="17"/>
                <w:szCs w:val="17"/>
              </w:rPr>
            </w:pPr>
            <w:r w:rsidRPr="003D5B07">
              <w:rPr>
                <w:rFonts w:ascii="Batang" w:eastAsia="Batang" w:hAnsi="Batang"/>
                <w:spacing w:val="2"/>
                <w:w w:val="105"/>
                <w:sz w:val="17"/>
              </w:rPr>
              <w:t>Hezkuntza Zuzendaritza Nagusia</w:t>
            </w:r>
          </w:p>
        </w:tc>
        <w:tc>
          <w:tcPr>
            <w:tcW w:w="1874" w:type="dxa"/>
            <w:tcBorders>
              <w:top w:val="single" w:sz="7"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ind w:left="57" w:right="57"/>
              <w:jc w:val="center"/>
              <w:rPr>
                <w:rFonts w:ascii="Batang" w:eastAsia="Batang" w:hAnsi="Batang" w:cs="Arial"/>
                <w:sz w:val="17"/>
                <w:szCs w:val="17"/>
              </w:rPr>
            </w:pPr>
            <w:r w:rsidRPr="003D5B07">
              <w:rPr>
                <w:rFonts w:ascii="Batang" w:eastAsia="Batang" w:hAnsi="Batang"/>
                <w:spacing w:val="1"/>
                <w:w w:val="105"/>
                <w:sz w:val="17"/>
              </w:rPr>
              <w:t>4.542.578,00</w:t>
            </w:r>
          </w:p>
        </w:tc>
        <w:tc>
          <w:tcPr>
            <w:tcW w:w="2545" w:type="dxa"/>
            <w:tcBorders>
              <w:top w:val="single" w:sz="7"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ind w:left="57" w:right="57"/>
              <w:jc w:val="center"/>
              <w:rPr>
                <w:rFonts w:ascii="Batang" w:eastAsia="Batang" w:hAnsi="Batang" w:cs="Arial"/>
                <w:sz w:val="17"/>
                <w:szCs w:val="17"/>
              </w:rPr>
            </w:pPr>
            <w:r w:rsidRPr="003D5B07">
              <w:rPr>
                <w:rFonts w:ascii="Batang" w:eastAsia="Batang" w:hAnsi="Batang"/>
                <w:spacing w:val="1"/>
                <w:w w:val="105"/>
                <w:sz w:val="17"/>
              </w:rPr>
              <w:t>4.542.578,00</w:t>
            </w:r>
          </w:p>
        </w:tc>
      </w:tr>
      <w:tr w:rsidR="00AB74A0" w:rsidRPr="003D5B07" w:rsidTr="00B8730E">
        <w:trPr>
          <w:trHeight w:val="20"/>
        </w:trPr>
        <w:tc>
          <w:tcPr>
            <w:tcW w:w="9492" w:type="dxa"/>
            <w:gridSpan w:val="4"/>
            <w:tcBorders>
              <w:top w:val="single" w:sz="8" w:space="0" w:color="000000"/>
              <w:left w:val="single" w:sz="31" w:space="0" w:color="C0C0C0"/>
              <w:bottom w:val="single" w:sz="7" w:space="0" w:color="000000"/>
              <w:right w:val="single" w:sz="8" w:space="0" w:color="000000"/>
            </w:tcBorders>
            <w:vAlign w:val="center"/>
          </w:tcPr>
          <w:p w:rsidR="00AB74A0" w:rsidRPr="003D5B07" w:rsidRDefault="00AB74A0" w:rsidP="00B8730E">
            <w:pPr>
              <w:pStyle w:val="TableParagraph"/>
              <w:spacing w:before="11"/>
              <w:ind w:left="57" w:right="57"/>
              <w:rPr>
                <w:rFonts w:ascii="Batang" w:eastAsia="Batang" w:hAnsi="Batang" w:cs="Arial"/>
                <w:sz w:val="16"/>
                <w:szCs w:val="16"/>
              </w:rPr>
            </w:pPr>
            <w:proofErr w:type="spellStart"/>
            <w:r w:rsidRPr="003D5B07">
              <w:rPr>
                <w:rFonts w:ascii="Batang" w:eastAsia="Batang" w:hAnsi="Batang"/>
                <w:b/>
                <w:spacing w:val="3"/>
                <w:sz w:val="16"/>
              </w:rPr>
              <w:t>Enplegagarritasuna</w:t>
            </w:r>
            <w:proofErr w:type="spellEnd"/>
            <w:r w:rsidRPr="003D5B07">
              <w:rPr>
                <w:rFonts w:ascii="Batang" w:eastAsia="Batang" w:hAnsi="Batang"/>
                <w:b/>
                <w:spacing w:val="3"/>
                <w:sz w:val="16"/>
              </w:rPr>
              <w:t xml:space="preserve"> sustatzea</w:t>
            </w:r>
          </w:p>
        </w:tc>
      </w:tr>
      <w:tr w:rsidR="00AB74A0" w:rsidRPr="003D5B07" w:rsidTr="00B8730E">
        <w:trPr>
          <w:trHeight w:val="20"/>
        </w:trPr>
        <w:tc>
          <w:tcPr>
            <w:tcW w:w="3213" w:type="dxa"/>
            <w:tcBorders>
              <w:top w:val="single" w:sz="7" w:space="0" w:color="000000"/>
              <w:left w:val="single" w:sz="31" w:space="0" w:color="C0C0C0"/>
              <w:bottom w:val="single" w:sz="8" w:space="0" w:color="000000"/>
              <w:right w:val="single" w:sz="8" w:space="0" w:color="000000"/>
            </w:tcBorders>
            <w:vAlign w:val="center"/>
          </w:tcPr>
          <w:p w:rsidR="00AB74A0" w:rsidRPr="003D5B07" w:rsidRDefault="00AB74A0" w:rsidP="00B8730E">
            <w:pPr>
              <w:pStyle w:val="TableParagraph"/>
              <w:spacing w:before="100" w:line="279" w:lineRule="auto"/>
              <w:ind w:left="57" w:right="57"/>
              <w:rPr>
                <w:rFonts w:ascii="Batang" w:eastAsia="Batang" w:hAnsi="Batang" w:cs="Arial"/>
                <w:sz w:val="14"/>
                <w:szCs w:val="14"/>
              </w:rPr>
            </w:pPr>
            <w:r w:rsidRPr="003D5B07">
              <w:rPr>
                <w:rFonts w:ascii="Batang" w:eastAsia="Batang" w:hAnsi="Batang"/>
                <w:spacing w:val="1"/>
                <w:w w:val="105"/>
                <w:sz w:val="14"/>
              </w:rPr>
              <w:t>Prestakuntza eta enpleguko programa mistoak (tailer-eskolak eta lanbide-etxeak)</w:t>
            </w:r>
          </w:p>
        </w:tc>
        <w:tc>
          <w:tcPr>
            <w:tcW w:w="1860" w:type="dxa"/>
            <w:vMerge w:val="restart"/>
            <w:tcBorders>
              <w:top w:val="single" w:sz="7" w:space="0" w:color="000000"/>
              <w:left w:val="single" w:sz="8" w:space="0" w:color="000000"/>
              <w:right w:val="single" w:sz="8" w:space="0" w:color="000000"/>
            </w:tcBorders>
            <w:vAlign w:val="center"/>
          </w:tcPr>
          <w:p w:rsidR="00AB74A0" w:rsidRPr="003D5B07" w:rsidRDefault="00AB74A0" w:rsidP="00B8730E">
            <w:pPr>
              <w:pStyle w:val="TableParagraph"/>
              <w:spacing w:line="285" w:lineRule="auto"/>
              <w:ind w:left="57" w:right="57"/>
              <w:rPr>
                <w:rFonts w:ascii="Batang" w:eastAsia="Batang" w:hAnsi="Batang" w:cs="Arial"/>
                <w:sz w:val="17"/>
                <w:szCs w:val="17"/>
              </w:rPr>
            </w:pPr>
            <w:r w:rsidRPr="003D5B07">
              <w:rPr>
                <w:rFonts w:ascii="Batang" w:eastAsia="Batang" w:hAnsi="Batang"/>
                <w:spacing w:val="-1"/>
                <w:w w:val="105"/>
                <w:sz w:val="17"/>
              </w:rPr>
              <w:t>Nafarroako Enplegu Zerbitzua</w:t>
            </w:r>
          </w:p>
        </w:tc>
        <w:tc>
          <w:tcPr>
            <w:tcW w:w="1874" w:type="dxa"/>
            <w:tcBorders>
              <w:top w:val="single" w:sz="7"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spacing w:before="130"/>
              <w:ind w:left="57" w:right="57"/>
              <w:jc w:val="center"/>
              <w:rPr>
                <w:rFonts w:ascii="Batang" w:eastAsia="Batang" w:hAnsi="Batang" w:cs="Arial"/>
                <w:sz w:val="17"/>
                <w:szCs w:val="17"/>
              </w:rPr>
            </w:pPr>
            <w:r w:rsidRPr="003D5B07">
              <w:rPr>
                <w:rFonts w:ascii="Batang" w:eastAsia="Batang" w:hAnsi="Batang"/>
                <w:spacing w:val="1"/>
                <w:w w:val="105"/>
                <w:sz w:val="17"/>
              </w:rPr>
              <w:t>800.000,00</w:t>
            </w:r>
          </w:p>
        </w:tc>
        <w:tc>
          <w:tcPr>
            <w:tcW w:w="2545" w:type="dxa"/>
            <w:tcBorders>
              <w:top w:val="single" w:sz="7"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spacing w:before="130"/>
              <w:ind w:left="57" w:right="57"/>
              <w:jc w:val="center"/>
              <w:rPr>
                <w:rFonts w:ascii="Batang" w:eastAsia="Batang" w:hAnsi="Batang" w:cs="Arial"/>
                <w:sz w:val="17"/>
                <w:szCs w:val="17"/>
              </w:rPr>
            </w:pPr>
            <w:r w:rsidRPr="003D5B07">
              <w:rPr>
                <w:rFonts w:ascii="Batang" w:eastAsia="Batang" w:hAnsi="Batang"/>
                <w:spacing w:val="1"/>
                <w:w w:val="105"/>
                <w:sz w:val="17"/>
              </w:rPr>
              <w:t>168.339,21</w:t>
            </w:r>
          </w:p>
        </w:tc>
      </w:tr>
      <w:tr w:rsidR="00AB74A0" w:rsidRPr="003D5B07" w:rsidTr="00B8730E">
        <w:trPr>
          <w:trHeight w:val="20"/>
        </w:trPr>
        <w:tc>
          <w:tcPr>
            <w:tcW w:w="3213" w:type="dxa"/>
            <w:tcBorders>
              <w:top w:val="single" w:sz="8" w:space="0" w:color="000000"/>
              <w:left w:val="single" w:sz="31" w:space="0" w:color="C0C0C0"/>
              <w:bottom w:val="single" w:sz="7" w:space="0" w:color="000000"/>
              <w:right w:val="single" w:sz="8" w:space="0" w:color="000000"/>
            </w:tcBorders>
            <w:vAlign w:val="center"/>
          </w:tcPr>
          <w:p w:rsidR="00AB74A0" w:rsidRPr="003D5B07" w:rsidRDefault="00AB74A0" w:rsidP="00B8730E">
            <w:pPr>
              <w:pStyle w:val="TableParagraph"/>
              <w:spacing w:before="69" w:line="282" w:lineRule="auto"/>
              <w:ind w:left="57" w:right="57"/>
              <w:rPr>
                <w:rFonts w:ascii="Batang" w:eastAsia="Batang" w:hAnsi="Batang" w:cs="Arial"/>
                <w:sz w:val="14"/>
                <w:szCs w:val="14"/>
              </w:rPr>
            </w:pPr>
            <w:r w:rsidRPr="003D5B07">
              <w:rPr>
                <w:rFonts w:ascii="Batang" w:eastAsia="Batang" w:hAnsi="Batang"/>
                <w:spacing w:val="2"/>
                <w:w w:val="105"/>
                <w:sz w:val="14"/>
              </w:rPr>
              <w:t>Toki entitateentzako zuzeneko laguntzak, gazteen kontratazioa sustatzekoak</w:t>
            </w:r>
          </w:p>
        </w:tc>
        <w:tc>
          <w:tcPr>
            <w:tcW w:w="1860" w:type="dxa"/>
            <w:vMerge/>
            <w:tcBorders>
              <w:left w:val="single" w:sz="8" w:space="0" w:color="000000"/>
              <w:right w:val="single" w:sz="8" w:space="0" w:color="000000"/>
            </w:tcBorders>
          </w:tcPr>
          <w:p w:rsidR="00AB74A0" w:rsidRPr="003D5B07" w:rsidRDefault="00AB74A0" w:rsidP="00B8730E">
            <w:pPr>
              <w:ind w:left="57" w:right="57"/>
              <w:rPr>
                <w:rFonts w:ascii="Batang" w:eastAsia="Batang" w:hAnsi="Batang"/>
              </w:rPr>
            </w:pPr>
          </w:p>
        </w:tc>
        <w:tc>
          <w:tcPr>
            <w:tcW w:w="1874"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before="112"/>
              <w:ind w:left="57" w:right="57"/>
              <w:jc w:val="center"/>
              <w:rPr>
                <w:rFonts w:ascii="Batang" w:eastAsia="Batang" w:hAnsi="Batang" w:cs="Arial"/>
                <w:sz w:val="17"/>
                <w:szCs w:val="17"/>
              </w:rPr>
            </w:pPr>
            <w:r w:rsidRPr="003D5B07">
              <w:rPr>
                <w:rFonts w:ascii="Batang" w:eastAsia="Batang" w:hAnsi="Batang"/>
                <w:spacing w:val="1"/>
                <w:w w:val="105"/>
                <w:sz w:val="17"/>
              </w:rPr>
              <w:t>700.000,00</w:t>
            </w:r>
          </w:p>
        </w:tc>
        <w:tc>
          <w:tcPr>
            <w:tcW w:w="2545"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before="112"/>
              <w:ind w:left="57" w:right="57"/>
              <w:jc w:val="center"/>
              <w:rPr>
                <w:rFonts w:ascii="Batang" w:eastAsia="Batang" w:hAnsi="Batang" w:cs="Arial"/>
                <w:sz w:val="17"/>
                <w:szCs w:val="17"/>
              </w:rPr>
            </w:pPr>
            <w:r w:rsidRPr="003D5B07">
              <w:rPr>
                <w:rFonts w:ascii="Batang" w:eastAsia="Batang" w:hAnsi="Batang"/>
                <w:spacing w:val="1"/>
                <w:w w:val="105"/>
                <w:sz w:val="17"/>
              </w:rPr>
              <w:t>406.800,00</w:t>
            </w:r>
          </w:p>
        </w:tc>
      </w:tr>
      <w:tr w:rsidR="00AB74A0" w:rsidRPr="003D5B07" w:rsidTr="00B8730E">
        <w:trPr>
          <w:trHeight w:val="20"/>
        </w:trPr>
        <w:tc>
          <w:tcPr>
            <w:tcW w:w="3213" w:type="dxa"/>
            <w:tcBorders>
              <w:top w:val="single" w:sz="7" w:space="0" w:color="000000"/>
              <w:left w:val="single" w:sz="31" w:space="0" w:color="C0C0C0"/>
              <w:bottom w:val="single" w:sz="8" w:space="0" w:color="000000"/>
              <w:right w:val="single" w:sz="8" w:space="0" w:color="000000"/>
            </w:tcBorders>
            <w:vAlign w:val="center"/>
          </w:tcPr>
          <w:p w:rsidR="00AB74A0" w:rsidRPr="003D5B07" w:rsidRDefault="00AB74A0" w:rsidP="00B8730E">
            <w:pPr>
              <w:pStyle w:val="TableParagraph"/>
              <w:spacing w:before="69" w:line="282" w:lineRule="auto"/>
              <w:ind w:left="57" w:right="57"/>
              <w:rPr>
                <w:rFonts w:ascii="Batang" w:eastAsia="Batang" w:hAnsi="Batang" w:cs="Arial"/>
                <w:sz w:val="14"/>
                <w:szCs w:val="14"/>
              </w:rPr>
            </w:pPr>
            <w:r w:rsidRPr="003D5B07">
              <w:rPr>
                <w:rFonts w:ascii="Batang" w:eastAsia="Batang" w:hAnsi="Batang"/>
                <w:spacing w:val="2"/>
                <w:w w:val="105"/>
                <w:sz w:val="14"/>
              </w:rPr>
              <w:t>Enpresentzako zuzeneko laguntzak, gazteen kontratazioa sustatzekoak</w:t>
            </w:r>
          </w:p>
        </w:tc>
        <w:tc>
          <w:tcPr>
            <w:tcW w:w="1860" w:type="dxa"/>
            <w:vMerge/>
            <w:tcBorders>
              <w:left w:val="single" w:sz="8" w:space="0" w:color="000000"/>
              <w:right w:val="single" w:sz="8" w:space="0" w:color="000000"/>
            </w:tcBorders>
          </w:tcPr>
          <w:p w:rsidR="00AB74A0" w:rsidRPr="003D5B07" w:rsidRDefault="00AB74A0" w:rsidP="00B8730E">
            <w:pPr>
              <w:ind w:left="57" w:right="57"/>
              <w:rPr>
                <w:rFonts w:ascii="Batang" w:eastAsia="Batang" w:hAnsi="Batang"/>
              </w:rPr>
            </w:pPr>
          </w:p>
        </w:tc>
        <w:tc>
          <w:tcPr>
            <w:tcW w:w="1874" w:type="dxa"/>
            <w:tcBorders>
              <w:top w:val="single" w:sz="7"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spacing w:before="115"/>
              <w:ind w:left="57" w:right="57"/>
              <w:jc w:val="center"/>
              <w:rPr>
                <w:rFonts w:ascii="Batang" w:eastAsia="Batang" w:hAnsi="Batang" w:cs="Arial"/>
                <w:sz w:val="17"/>
                <w:szCs w:val="17"/>
              </w:rPr>
            </w:pPr>
            <w:r w:rsidRPr="003D5B07">
              <w:rPr>
                <w:rFonts w:ascii="Batang" w:eastAsia="Batang" w:hAnsi="Batang"/>
                <w:spacing w:val="1"/>
                <w:w w:val="105"/>
                <w:sz w:val="17"/>
              </w:rPr>
              <w:t>1.000.000,00</w:t>
            </w:r>
          </w:p>
        </w:tc>
        <w:tc>
          <w:tcPr>
            <w:tcW w:w="2545" w:type="dxa"/>
            <w:tcBorders>
              <w:top w:val="single" w:sz="7"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spacing w:before="115"/>
              <w:ind w:left="57" w:right="57"/>
              <w:jc w:val="center"/>
              <w:rPr>
                <w:rFonts w:ascii="Batang" w:eastAsia="Batang" w:hAnsi="Batang" w:cs="Arial"/>
                <w:sz w:val="17"/>
                <w:szCs w:val="17"/>
              </w:rPr>
            </w:pPr>
            <w:r w:rsidRPr="003D5B07">
              <w:rPr>
                <w:rFonts w:ascii="Batang" w:eastAsia="Batang" w:hAnsi="Batang"/>
                <w:spacing w:val="1"/>
                <w:w w:val="105"/>
                <w:sz w:val="17"/>
              </w:rPr>
              <w:t>0,00</w:t>
            </w:r>
          </w:p>
        </w:tc>
      </w:tr>
      <w:tr w:rsidR="00AB74A0" w:rsidRPr="003D5B07" w:rsidTr="00B8730E">
        <w:trPr>
          <w:trHeight w:val="20"/>
        </w:trPr>
        <w:tc>
          <w:tcPr>
            <w:tcW w:w="3213" w:type="dxa"/>
            <w:tcBorders>
              <w:top w:val="single" w:sz="8" w:space="0" w:color="000000"/>
              <w:left w:val="single" w:sz="31" w:space="0" w:color="C0C0C0"/>
              <w:bottom w:val="single" w:sz="8" w:space="0" w:color="000000"/>
              <w:right w:val="single" w:sz="8" w:space="0" w:color="000000"/>
            </w:tcBorders>
            <w:vAlign w:val="center"/>
          </w:tcPr>
          <w:p w:rsidR="00AB74A0" w:rsidRPr="003D5B07" w:rsidRDefault="00AB74A0" w:rsidP="00B8730E">
            <w:pPr>
              <w:pStyle w:val="TableParagraph"/>
              <w:spacing w:before="69" w:line="279" w:lineRule="auto"/>
              <w:ind w:left="57" w:right="57"/>
              <w:rPr>
                <w:rFonts w:ascii="Batang" w:eastAsia="Batang" w:hAnsi="Batang" w:cs="Arial"/>
                <w:sz w:val="14"/>
                <w:szCs w:val="14"/>
              </w:rPr>
            </w:pPr>
            <w:r w:rsidRPr="003D5B07">
              <w:rPr>
                <w:rFonts w:ascii="Batang" w:eastAsia="Batang" w:hAnsi="Batang"/>
                <w:spacing w:val="2"/>
                <w:w w:val="105"/>
                <w:sz w:val="14"/>
              </w:rPr>
              <w:t>Familia eta lana bateratzeko zerbitzuetan laneratzeko laguntzak</w:t>
            </w:r>
          </w:p>
        </w:tc>
        <w:tc>
          <w:tcPr>
            <w:tcW w:w="1860" w:type="dxa"/>
            <w:vMerge/>
            <w:tcBorders>
              <w:left w:val="single" w:sz="8" w:space="0" w:color="000000"/>
              <w:bottom w:val="single" w:sz="8" w:space="0" w:color="000000"/>
              <w:right w:val="single" w:sz="8" w:space="0" w:color="000000"/>
            </w:tcBorders>
          </w:tcPr>
          <w:p w:rsidR="00AB74A0" w:rsidRPr="003D5B07" w:rsidRDefault="00AB74A0" w:rsidP="00B8730E">
            <w:pPr>
              <w:ind w:left="57" w:right="57"/>
              <w:rPr>
                <w:rFonts w:ascii="Batang" w:eastAsia="Batang" w:hAnsi="Batang"/>
              </w:rPr>
            </w:pPr>
          </w:p>
        </w:tc>
        <w:tc>
          <w:tcPr>
            <w:tcW w:w="1874" w:type="dxa"/>
            <w:tcBorders>
              <w:top w:val="single" w:sz="8"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spacing w:before="112"/>
              <w:ind w:left="57" w:right="57"/>
              <w:jc w:val="center"/>
              <w:rPr>
                <w:rFonts w:ascii="Batang" w:eastAsia="Batang" w:hAnsi="Batang" w:cs="Arial"/>
                <w:sz w:val="17"/>
                <w:szCs w:val="17"/>
              </w:rPr>
            </w:pPr>
            <w:r w:rsidRPr="003D5B07">
              <w:rPr>
                <w:rFonts w:ascii="Batang" w:eastAsia="Batang" w:hAnsi="Batang"/>
                <w:spacing w:val="1"/>
                <w:w w:val="105"/>
                <w:sz w:val="17"/>
              </w:rPr>
              <w:t>40.000,00</w:t>
            </w:r>
          </w:p>
        </w:tc>
        <w:tc>
          <w:tcPr>
            <w:tcW w:w="2545" w:type="dxa"/>
            <w:tcBorders>
              <w:top w:val="single" w:sz="8"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spacing w:before="112"/>
              <w:ind w:left="57" w:right="57"/>
              <w:jc w:val="center"/>
              <w:rPr>
                <w:rFonts w:ascii="Batang" w:eastAsia="Batang" w:hAnsi="Batang" w:cs="Arial"/>
                <w:sz w:val="17"/>
                <w:szCs w:val="17"/>
              </w:rPr>
            </w:pPr>
            <w:r w:rsidRPr="003D5B07">
              <w:rPr>
                <w:rFonts w:ascii="Batang" w:eastAsia="Batang" w:hAnsi="Batang"/>
                <w:spacing w:val="1"/>
                <w:w w:val="105"/>
                <w:sz w:val="17"/>
              </w:rPr>
              <w:t>0,00</w:t>
            </w:r>
          </w:p>
        </w:tc>
      </w:tr>
      <w:tr w:rsidR="00AB74A0" w:rsidRPr="003D5B07" w:rsidTr="00B8730E">
        <w:trPr>
          <w:trHeight w:val="20"/>
        </w:trPr>
        <w:tc>
          <w:tcPr>
            <w:tcW w:w="3213" w:type="dxa"/>
            <w:tcBorders>
              <w:top w:val="single" w:sz="8" w:space="0" w:color="000000"/>
              <w:left w:val="single" w:sz="31" w:space="0" w:color="C0C0C0"/>
              <w:bottom w:val="single" w:sz="8" w:space="0" w:color="000000"/>
              <w:right w:val="single" w:sz="8" w:space="0" w:color="000000"/>
            </w:tcBorders>
            <w:vAlign w:val="center"/>
          </w:tcPr>
          <w:p w:rsidR="00AB74A0" w:rsidRPr="003D5B07" w:rsidRDefault="00AB74A0" w:rsidP="00B8730E">
            <w:pPr>
              <w:pStyle w:val="TableParagraph"/>
              <w:spacing w:line="279" w:lineRule="auto"/>
              <w:ind w:left="57" w:right="57"/>
              <w:rPr>
                <w:rFonts w:ascii="Batang" w:eastAsia="Batang" w:hAnsi="Batang" w:cs="Arial"/>
                <w:sz w:val="14"/>
                <w:szCs w:val="14"/>
              </w:rPr>
            </w:pPr>
            <w:r w:rsidRPr="003D5B07">
              <w:rPr>
                <w:rFonts w:ascii="Batang" w:eastAsia="Batang" w:hAnsi="Batang"/>
                <w:spacing w:val="5"/>
                <w:w w:val="105"/>
                <w:sz w:val="14"/>
              </w:rPr>
              <w:t>Erkidegoaz kanpoko enpresa eta erakundeetan praktikak egiteko bekak</w:t>
            </w:r>
          </w:p>
        </w:tc>
        <w:tc>
          <w:tcPr>
            <w:tcW w:w="1860" w:type="dxa"/>
            <w:tcBorders>
              <w:top w:val="single" w:sz="8"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spacing w:before="54" w:line="280" w:lineRule="auto"/>
              <w:ind w:left="57" w:right="57"/>
              <w:jc w:val="both"/>
              <w:rPr>
                <w:rFonts w:ascii="Batang" w:eastAsia="Batang" w:hAnsi="Batang" w:cs="Arial"/>
                <w:sz w:val="14"/>
                <w:szCs w:val="14"/>
              </w:rPr>
            </w:pPr>
            <w:r w:rsidRPr="003D5B07">
              <w:rPr>
                <w:rFonts w:ascii="Batang" w:eastAsia="Batang" w:hAnsi="Batang"/>
                <w:spacing w:val="2"/>
                <w:w w:val="105"/>
                <w:sz w:val="14"/>
              </w:rPr>
              <w:t xml:space="preserve">Politika Ekonomiko eta </w:t>
            </w:r>
            <w:proofErr w:type="spellStart"/>
            <w:r w:rsidRPr="003D5B07">
              <w:rPr>
                <w:rFonts w:ascii="Batang" w:eastAsia="Batang" w:hAnsi="Batang"/>
                <w:spacing w:val="2"/>
                <w:w w:val="105"/>
                <w:sz w:val="14"/>
              </w:rPr>
              <w:t>Enpresarialaren</w:t>
            </w:r>
            <w:proofErr w:type="spellEnd"/>
            <w:r w:rsidRPr="003D5B07">
              <w:rPr>
                <w:rFonts w:ascii="Batang" w:eastAsia="Batang" w:hAnsi="Batang"/>
                <w:spacing w:val="2"/>
                <w:w w:val="105"/>
                <w:sz w:val="14"/>
              </w:rPr>
              <w:t xml:space="preserve"> eta Lanaren Zuzendaritza Nagusia</w:t>
            </w:r>
          </w:p>
        </w:tc>
        <w:tc>
          <w:tcPr>
            <w:tcW w:w="1874" w:type="dxa"/>
            <w:tcBorders>
              <w:top w:val="single" w:sz="8"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ind w:left="57" w:right="57"/>
              <w:jc w:val="center"/>
              <w:rPr>
                <w:rFonts w:ascii="Batang" w:eastAsia="Batang" w:hAnsi="Batang" w:cs="Arial"/>
                <w:sz w:val="17"/>
                <w:szCs w:val="17"/>
              </w:rPr>
            </w:pPr>
            <w:r w:rsidRPr="003D5B07">
              <w:rPr>
                <w:rFonts w:ascii="Batang" w:eastAsia="Batang" w:hAnsi="Batang"/>
                <w:spacing w:val="1"/>
                <w:w w:val="105"/>
                <w:sz w:val="17"/>
              </w:rPr>
              <w:t>1.356.000,00</w:t>
            </w:r>
          </w:p>
        </w:tc>
        <w:tc>
          <w:tcPr>
            <w:tcW w:w="2545" w:type="dxa"/>
            <w:tcBorders>
              <w:top w:val="single" w:sz="8" w:space="0" w:color="000000"/>
              <w:left w:val="single" w:sz="8" w:space="0" w:color="000000"/>
              <w:bottom w:val="single" w:sz="8" w:space="0" w:color="000000"/>
              <w:right w:val="single" w:sz="8" w:space="0" w:color="000000"/>
            </w:tcBorders>
            <w:vAlign w:val="center"/>
          </w:tcPr>
          <w:p w:rsidR="00AB74A0" w:rsidRPr="003D5B07" w:rsidRDefault="00AB74A0" w:rsidP="00B8730E">
            <w:pPr>
              <w:pStyle w:val="TableParagraph"/>
              <w:ind w:left="57" w:right="57"/>
              <w:jc w:val="center"/>
              <w:rPr>
                <w:rFonts w:ascii="Batang" w:eastAsia="Batang" w:hAnsi="Batang" w:cs="Arial"/>
                <w:sz w:val="17"/>
                <w:szCs w:val="17"/>
              </w:rPr>
            </w:pPr>
            <w:r w:rsidRPr="003D5B07">
              <w:rPr>
                <w:rFonts w:ascii="Batang" w:eastAsia="Batang" w:hAnsi="Batang"/>
                <w:spacing w:val="1"/>
                <w:w w:val="105"/>
                <w:sz w:val="17"/>
              </w:rPr>
              <w:t>253.981,51</w:t>
            </w:r>
          </w:p>
        </w:tc>
      </w:tr>
      <w:tr w:rsidR="00AB74A0" w:rsidRPr="003D5B07" w:rsidTr="00B8730E">
        <w:trPr>
          <w:trHeight w:val="20"/>
        </w:trPr>
        <w:tc>
          <w:tcPr>
            <w:tcW w:w="3213" w:type="dxa"/>
            <w:tcBorders>
              <w:top w:val="single" w:sz="8" w:space="0" w:color="000000"/>
              <w:left w:val="single" w:sz="31" w:space="0" w:color="C0C0C0"/>
              <w:bottom w:val="single" w:sz="7" w:space="0" w:color="000000"/>
              <w:right w:val="single" w:sz="8" w:space="0" w:color="000000"/>
            </w:tcBorders>
            <w:vAlign w:val="center"/>
          </w:tcPr>
          <w:p w:rsidR="00AB74A0" w:rsidRPr="003D5B07" w:rsidRDefault="00AB74A0" w:rsidP="00B8730E">
            <w:pPr>
              <w:pStyle w:val="TableParagraph"/>
              <w:spacing w:before="83" w:line="282" w:lineRule="auto"/>
              <w:ind w:left="57" w:right="57"/>
              <w:rPr>
                <w:rFonts w:ascii="Batang" w:eastAsia="Batang" w:hAnsi="Batang" w:cs="Arial"/>
                <w:sz w:val="14"/>
                <w:szCs w:val="14"/>
              </w:rPr>
            </w:pPr>
            <w:r w:rsidRPr="003D5B07">
              <w:rPr>
                <w:rFonts w:ascii="Batang" w:eastAsia="Batang" w:hAnsi="Batang"/>
                <w:spacing w:val="3"/>
                <w:w w:val="105"/>
                <w:sz w:val="14"/>
              </w:rPr>
              <w:t>Ikerketa biomedikoaren esparruko lanekoak ez diren praktikak</w:t>
            </w:r>
          </w:p>
        </w:tc>
        <w:tc>
          <w:tcPr>
            <w:tcW w:w="1860"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before="11" w:line="285" w:lineRule="auto"/>
              <w:ind w:left="57" w:right="57"/>
              <w:rPr>
                <w:rFonts w:ascii="Batang" w:eastAsia="Batang" w:hAnsi="Batang" w:cs="Arial"/>
                <w:sz w:val="17"/>
                <w:szCs w:val="17"/>
              </w:rPr>
            </w:pPr>
            <w:r w:rsidRPr="003D5B07">
              <w:rPr>
                <w:rFonts w:ascii="Batang" w:eastAsia="Batang" w:hAnsi="Batang"/>
                <w:spacing w:val="2"/>
                <w:w w:val="105"/>
                <w:sz w:val="17"/>
              </w:rPr>
              <w:t xml:space="preserve">Miguel </w:t>
            </w:r>
            <w:proofErr w:type="spellStart"/>
            <w:r w:rsidRPr="003D5B07">
              <w:rPr>
                <w:rFonts w:ascii="Batang" w:eastAsia="Batang" w:hAnsi="Batang"/>
                <w:spacing w:val="2"/>
                <w:w w:val="105"/>
                <w:sz w:val="17"/>
              </w:rPr>
              <w:t>Servet</w:t>
            </w:r>
            <w:proofErr w:type="spellEnd"/>
            <w:r w:rsidRPr="003D5B07">
              <w:rPr>
                <w:rFonts w:ascii="Batang" w:eastAsia="Batang" w:hAnsi="Batang"/>
                <w:spacing w:val="2"/>
                <w:w w:val="105"/>
                <w:sz w:val="17"/>
              </w:rPr>
              <w:t xml:space="preserve"> Fundazioa</w:t>
            </w:r>
          </w:p>
        </w:tc>
        <w:tc>
          <w:tcPr>
            <w:tcW w:w="1874"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before="127"/>
              <w:ind w:left="57" w:right="57"/>
              <w:jc w:val="center"/>
              <w:rPr>
                <w:rFonts w:ascii="Batang" w:eastAsia="Batang" w:hAnsi="Batang" w:cs="Arial"/>
                <w:sz w:val="17"/>
                <w:szCs w:val="17"/>
              </w:rPr>
            </w:pPr>
            <w:r w:rsidRPr="003D5B07">
              <w:rPr>
                <w:rFonts w:ascii="Batang" w:eastAsia="Batang" w:hAnsi="Batang"/>
                <w:spacing w:val="1"/>
                <w:w w:val="105"/>
                <w:sz w:val="17"/>
              </w:rPr>
              <w:t>56.976,00</w:t>
            </w:r>
          </w:p>
        </w:tc>
        <w:tc>
          <w:tcPr>
            <w:tcW w:w="2545"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before="127"/>
              <w:ind w:left="57" w:right="57"/>
              <w:jc w:val="center"/>
              <w:rPr>
                <w:rFonts w:ascii="Batang" w:eastAsia="Batang" w:hAnsi="Batang" w:cs="Arial"/>
                <w:sz w:val="17"/>
                <w:szCs w:val="17"/>
              </w:rPr>
            </w:pPr>
            <w:r w:rsidRPr="003D5B07">
              <w:rPr>
                <w:rFonts w:ascii="Batang" w:eastAsia="Batang" w:hAnsi="Batang"/>
                <w:spacing w:val="1"/>
                <w:w w:val="105"/>
                <w:sz w:val="17"/>
              </w:rPr>
              <w:t>35.984,79</w:t>
            </w:r>
          </w:p>
        </w:tc>
      </w:tr>
      <w:tr w:rsidR="00AB74A0" w:rsidRPr="003D5B07" w:rsidTr="00B8730E">
        <w:trPr>
          <w:trHeight w:val="20"/>
        </w:trPr>
        <w:tc>
          <w:tcPr>
            <w:tcW w:w="9492" w:type="dxa"/>
            <w:gridSpan w:val="4"/>
            <w:tcBorders>
              <w:top w:val="single" w:sz="7" w:space="0" w:color="000000"/>
              <w:left w:val="single" w:sz="31" w:space="0" w:color="C0C0C0"/>
              <w:bottom w:val="single" w:sz="8" w:space="0" w:color="000000"/>
              <w:right w:val="single" w:sz="8" w:space="0" w:color="000000"/>
            </w:tcBorders>
            <w:vAlign w:val="center"/>
          </w:tcPr>
          <w:p w:rsidR="00AB74A0" w:rsidRPr="003D5B07" w:rsidRDefault="00AB74A0" w:rsidP="00B8730E">
            <w:pPr>
              <w:pStyle w:val="TableParagraph"/>
              <w:spacing w:line="182" w:lineRule="exact"/>
              <w:ind w:left="57" w:right="57"/>
              <w:rPr>
                <w:rFonts w:ascii="Batang" w:eastAsia="Batang" w:hAnsi="Batang" w:cs="Arial"/>
                <w:sz w:val="16"/>
                <w:szCs w:val="16"/>
              </w:rPr>
            </w:pPr>
            <w:r w:rsidRPr="003D5B07">
              <w:rPr>
                <w:rFonts w:ascii="Batang" w:eastAsia="Batang" w:hAnsi="Batang"/>
                <w:b/>
                <w:sz w:val="16"/>
              </w:rPr>
              <w:t>Enplegurako orientazioa</w:t>
            </w:r>
          </w:p>
        </w:tc>
      </w:tr>
      <w:tr w:rsidR="00AB74A0" w:rsidRPr="003D5B07" w:rsidTr="00B8730E">
        <w:trPr>
          <w:trHeight w:val="20"/>
        </w:trPr>
        <w:tc>
          <w:tcPr>
            <w:tcW w:w="3213" w:type="dxa"/>
            <w:tcBorders>
              <w:top w:val="single" w:sz="8" w:space="0" w:color="000000"/>
              <w:left w:val="single" w:sz="31" w:space="0" w:color="C0C0C0"/>
              <w:bottom w:val="single" w:sz="7" w:space="0" w:color="000000"/>
              <w:right w:val="single" w:sz="8" w:space="0" w:color="000000"/>
            </w:tcBorders>
            <w:vAlign w:val="center"/>
          </w:tcPr>
          <w:p w:rsidR="00AB74A0" w:rsidRPr="003D5B07" w:rsidRDefault="00AB74A0" w:rsidP="00B8730E">
            <w:pPr>
              <w:pStyle w:val="TableParagraph"/>
              <w:spacing w:before="83" w:line="282" w:lineRule="auto"/>
              <w:ind w:left="57" w:right="57"/>
              <w:rPr>
                <w:rFonts w:ascii="Batang" w:eastAsia="Batang" w:hAnsi="Batang" w:cs="Arial"/>
                <w:sz w:val="14"/>
                <w:szCs w:val="14"/>
              </w:rPr>
            </w:pPr>
            <w:proofErr w:type="spellStart"/>
            <w:r w:rsidRPr="003D5B07">
              <w:rPr>
                <w:rFonts w:ascii="Batang" w:eastAsia="Batang" w:hAnsi="Batang"/>
                <w:w w:val="105"/>
                <w:sz w:val="14"/>
              </w:rPr>
              <w:t>Gazteentza</w:t>
            </w:r>
            <w:proofErr w:type="spellEnd"/>
            <w:r w:rsidRPr="003D5B07">
              <w:rPr>
                <w:rFonts w:ascii="Batang" w:eastAsia="Batang" w:hAnsi="Batang"/>
                <w:w w:val="105"/>
                <w:sz w:val="14"/>
              </w:rPr>
              <w:t xml:space="preserve"> diseinatutako lan-orientabideko eta -informazioko programa</w:t>
            </w:r>
          </w:p>
        </w:tc>
        <w:tc>
          <w:tcPr>
            <w:tcW w:w="1860"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line="271" w:lineRule="auto"/>
              <w:ind w:left="57" w:right="57"/>
              <w:rPr>
                <w:rFonts w:ascii="Batang" w:eastAsia="Batang" w:hAnsi="Batang" w:cs="Arial"/>
                <w:sz w:val="19"/>
                <w:szCs w:val="19"/>
              </w:rPr>
            </w:pPr>
            <w:r w:rsidRPr="003D5B07">
              <w:rPr>
                <w:rFonts w:ascii="Batang" w:eastAsia="Batang" w:hAnsi="Batang"/>
                <w:spacing w:val="-3"/>
                <w:sz w:val="19"/>
              </w:rPr>
              <w:t>Nafarroako Enplegu Zerbitzua</w:t>
            </w:r>
          </w:p>
        </w:tc>
        <w:tc>
          <w:tcPr>
            <w:tcW w:w="1874"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before="127"/>
              <w:ind w:left="57" w:right="57"/>
              <w:jc w:val="center"/>
              <w:rPr>
                <w:rFonts w:ascii="Batang" w:eastAsia="Batang" w:hAnsi="Batang" w:cs="Arial"/>
                <w:sz w:val="17"/>
                <w:szCs w:val="17"/>
              </w:rPr>
            </w:pPr>
            <w:r w:rsidRPr="003D5B07">
              <w:rPr>
                <w:rFonts w:ascii="Batang" w:eastAsia="Batang" w:hAnsi="Batang"/>
                <w:spacing w:val="1"/>
                <w:w w:val="105"/>
                <w:sz w:val="17"/>
              </w:rPr>
              <w:t>810.000,00</w:t>
            </w:r>
          </w:p>
        </w:tc>
        <w:tc>
          <w:tcPr>
            <w:tcW w:w="2545" w:type="dxa"/>
            <w:tcBorders>
              <w:top w:val="single" w:sz="8" w:space="0" w:color="000000"/>
              <w:left w:val="single" w:sz="8" w:space="0" w:color="000000"/>
              <w:bottom w:val="single" w:sz="7" w:space="0" w:color="000000"/>
              <w:right w:val="single" w:sz="8" w:space="0" w:color="000000"/>
            </w:tcBorders>
            <w:vAlign w:val="center"/>
          </w:tcPr>
          <w:p w:rsidR="00AB74A0" w:rsidRPr="003D5B07" w:rsidRDefault="00AB74A0" w:rsidP="00B8730E">
            <w:pPr>
              <w:pStyle w:val="TableParagraph"/>
              <w:spacing w:before="127"/>
              <w:ind w:left="57" w:right="57"/>
              <w:jc w:val="center"/>
              <w:rPr>
                <w:rFonts w:ascii="Batang" w:eastAsia="Batang" w:hAnsi="Batang" w:cs="Arial"/>
                <w:sz w:val="17"/>
                <w:szCs w:val="17"/>
              </w:rPr>
            </w:pPr>
            <w:r w:rsidRPr="003D5B07">
              <w:rPr>
                <w:rFonts w:ascii="Batang" w:eastAsia="Batang" w:hAnsi="Batang"/>
                <w:spacing w:val="1"/>
                <w:w w:val="105"/>
                <w:sz w:val="17"/>
              </w:rPr>
              <w:t>259.989,61</w:t>
            </w:r>
          </w:p>
        </w:tc>
      </w:tr>
      <w:tr w:rsidR="00AB74A0" w:rsidRPr="003D5B07" w:rsidTr="00B8730E">
        <w:trPr>
          <w:trHeight w:val="20"/>
        </w:trPr>
        <w:tc>
          <w:tcPr>
            <w:tcW w:w="3213" w:type="dxa"/>
            <w:tcBorders>
              <w:top w:val="single" w:sz="7" w:space="0" w:color="000000"/>
              <w:left w:val="single" w:sz="31" w:space="0" w:color="C0C0C0"/>
              <w:bottom w:val="single" w:sz="7" w:space="0" w:color="000000"/>
              <w:right w:val="single" w:sz="8" w:space="0" w:color="C0C0C0"/>
            </w:tcBorders>
          </w:tcPr>
          <w:p w:rsidR="00AB74A0" w:rsidRPr="003D5B07" w:rsidRDefault="00AB74A0" w:rsidP="00B8730E">
            <w:pPr>
              <w:ind w:left="57" w:right="57"/>
              <w:rPr>
                <w:rFonts w:ascii="Batang" w:eastAsia="Batang" w:hAnsi="Batang"/>
              </w:rPr>
            </w:pPr>
          </w:p>
        </w:tc>
        <w:tc>
          <w:tcPr>
            <w:tcW w:w="1860" w:type="dxa"/>
            <w:tcBorders>
              <w:top w:val="single" w:sz="7" w:space="0" w:color="000000"/>
              <w:left w:val="single" w:sz="8" w:space="0" w:color="C0C0C0"/>
              <w:bottom w:val="single" w:sz="7" w:space="0" w:color="000000"/>
              <w:right w:val="single" w:sz="8" w:space="0" w:color="C0C0C0"/>
            </w:tcBorders>
          </w:tcPr>
          <w:p w:rsidR="00AB74A0" w:rsidRPr="003D5B07" w:rsidRDefault="00AB74A0" w:rsidP="00B8730E">
            <w:pPr>
              <w:ind w:left="57" w:right="57"/>
              <w:rPr>
                <w:rFonts w:ascii="Batang" w:eastAsia="Batang" w:hAnsi="Batang"/>
              </w:rPr>
            </w:pPr>
          </w:p>
        </w:tc>
        <w:tc>
          <w:tcPr>
            <w:tcW w:w="1874" w:type="dxa"/>
            <w:tcBorders>
              <w:top w:val="single" w:sz="7" w:space="0" w:color="000000"/>
              <w:left w:val="single" w:sz="8" w:space="0" w:color="C0C0C0"/>
              <w:bottom w:val="single" w:sz="7" w:space="0" w:color="000000"/>
              <w:right w:val="single" w:sz="8" w:space="0" w:color="C0C0C0"/>
            </w:tcBorders>
          </w:tcPr>
          <w:p w:rsidR="00AB74A0" w:rsidRPr="003D5B07" w:rsidRDefault="00AB74A0" w:rsidP="00B8730E">
            <w:pPr>
              <w:ind w:left="57" w:right="57"/>
              <w:rPr>
                <w:rFonts w:ascii="Batang" w:eastAsia="Batang" w:hAnsi="Batang"/>
              </w:rPr>
            </w:pPr>
          </w:p>
        </w:tc>
        <w:tc>
          <w:tcPr>
            <w:tcW w:w="2545" w:type="dxa"/>
            <w:tcBorders>
              <w:top w:val="single" w:sz="7" w:space="0" w:color="000000"/>
              <w:left w:val="single" w:sz="8" w:space="0" w:color="C0C0C0"/>
              <w:bottom w:val="single" w:sz="7" w:space="0" w:color="000000"/>
              <w:right w:val="single" w:sz="8" w:space="0" w:color="C0C0C0"/>
            </w:tcBorders>
          </w:tcPr>
          <w:p w:rsidR="00AB74A0" w:rsidRPr="003D5B07" w:rsidRDefault="00AB74A0" w:rsidP="00B8730E">
            <w:pPr>
              <w:ind w:left="57" w:right="57"/>
              <w:rPr>
                <w:rFonts w:ascii="Batang" w:eastAsia="Batang" w:hAnsi="Batang"/>
              </w:rPr>
            </w:pPr>
          </w:p>
        </w:tc>
      </w:tr>
      <w:tr w:rsidR="00AB74A0" w:rsidRPr="003D5B07" w:rsidTr="00B8730E">
        <w:trPr>
          <w:trHeight w:val="20"/>
        </w:trPr>
        <w:tc>
          <w:tcPr>
            <w:tcW w:w="3213" w:type="dxa"/>
            <w:tcBorders>
              <w:top w:val="single" w:sz="7" w:space="0" w:color="000000"/>
              <w:left w:val="single" w:sz="31" w:space="0" w:color="C0C0C0"/>
              <w:bottom w:val="single" w:sz="8" w:space="0" w:color="000000"/>
              <w:right w:val="single" w:sz="8" w:space="0" w:color="000000"/>
            </w:tcBorders>
            <w:shd w:val="clear" w:color="auto" w:fill="CCFFCC"/>
          </w:tcPr>
          <w:p w:rsidR="00AB74A0" w:rsidRPr="003D5B07" w:rsidRDefault="00AB74A0" w:rsidP="00B8730E">
            <w:pPr>
              <w:pStyle w:val="TableParagraph"/>
              <w:spacing w:before="46"/>
              <w:ind w:left="57" w:right="57"/>
              <w:jc w:val="center"/>
              <w:rPr>
                <w:rFonts w:ascii="Batang" w:eastAsia="Batang" w:hAnsi="Batang" w:cs="Arial"/>
                <w:sz w:val="17"/>
                <w:szCs w:val="17"/>
              </w:rPr>
            </w:pPr>
            <w:r w:rsidRPr="003D5B07">
              <w:rPr>
                <w:rFonts w:ascii="Batang" w:eastAsia="Batang" w:hAnsi="Batang"/>
                <w:b/>
                <w:spacing w:val="-6"/>
                <w:w w:val="105"/>
                <w:sz w:val="17"/>
              </w:rPr>
              <w:t>GUZTIRA</w:t>
            </w:r>
          </w:p>
        </w:tc>
        <w:tc>
          <w:tcPr>
            <w:tcW w:w="1860" w:type="dxa"/>
            <w:tcBorders>
              <w:top w:val="single" w:sz="7" w:space="0" w:color="000000"/>
              <w:left w:val="single" w:sz="8" w:space="0" w:color="000000"/>
              <w:bottom w:val="single" w:sz="8" w:space="0" w:color="000000"/>
              <w:right w:val="single" w:sz="8" w:space="0" w:color="000000"/>
            </w:tcBorders>
            <w:shd w:val="clear" w:color="auto" w:fill="CCFFCC"/>
          </w:tcPr>
          <w:p w:rsidR="00AB74A0" w:rsidRPr="003D5B07" w:rsidRDefault="00AB74A0" w:rsidP="00B8730E">
            <w:pPr>
              <w:ind w:left="57" w:right="57"/>
              <w:rPr>
                <w:rFonts w:ascii="Batang" w:eastAsia="Batang" w:hAnsi="Batang"/>
              </w:rPr>
            </w:pPr>
          </w:p>
        </w:tc>
        <w:tc>
          <w:tcPr>
            <w:tcW w:w="1874" w:type="dxa"/>
            <w:tcBorders>
              <w:top w:val="single" w:sz="7" w:space="0" w:color="000000"/>
              <w:left w:val="single" w:sz="8" w:space="0" w:color="000000"/>
              <w:bottom w:val="single" w:sz="8" w:space="0" w:color="000000"/>
              <w:right w:val="single" w:sz="8" w:space="0" w:color="000000"/>
            </w:tcBorders>
            <w:shd w:val="clear" w:color="auto" w:fill="CCFFCC"/>
          </w:tcPr>
          <w:p w:rsidR="00AB74A0" w:rsidRPr="003D5B07" w:rsidRDefault="00AB74A0" w:rsidP="00B8730E">
            <w:pPr>
              <w:pStyle w:val="TableParagraph"/>
              <w:spacing w:before="46"/>
              <w:ind w:left="57" w:right="57"/>
              <w:jc w:val="center"/>
              <w:rPr>
                <w:rFonts w:ascii="Batang" w:eastAsia="Batang" w:hAnsi="Batang" w:cs="Arial"/>
                <w:sz w:val="17"/>
                <w:szCs w:val="17"/>
              </w:rPr>
            </w:pPr>
            <w:r w:rsidRPr="003D5B07">
              <w:rPr>
                <w:rFonts w:ascii="Batang" w:eastAsia="Batang" w:hAnsi="Batang"/>
                <w:b/>
                <w:spacing w:val="1"/>
                <w:w w:val="105"/>
                <w:sz w:val="17"/>
              </w:rPr>
              <w:t>11.248.578</w:t>
            </w:r>
          </w:p>
        </w:tc>
        <w:tc>
          <w:tcPr>
            <w:tcW w:w="2545" w:type="dxa"/>
            <w:tcBorders>
              <w:top w:val="single" w:sz="7" w:space="0" w:color="000000"/>
              <w:left w:val="single" w:sz="8" w:space="0" w:color="000000"/>
              <w:bottom w:val="single" w:sz="8" w:space="0" w:color="000000"/>
              <w:right w:val="single" w:sz="8" w:space="0" w:color="000000"/>
            </w:tcBorders>
            <w:shd w:val="clear" w:color="auto" w:fill="CCFFCC"/>
          </w:tcPr>
          <w:p w:rsidR="00AB74A0" w:rsidRPr="003D5B07" w:rsidRDefault="00AB74A0" w:rsidP="00B8730E">
            <w:pPr>
              <w:pStyle w:val="TableParagraph"/>
              <w:spacing w:before="46"/>
              <w:ind w:left="57" w:right="57"/>
              <w:jc w:val="center"/>
              <w:rPr>
                <w:rFonts w:ascii="Batang" w:eastAsia="Batang" w:hAnsi="Batang" w:cs="Arial"/>
                <w:sz w:val="17"/>
                <w:szCs w:val="17"/>
              </w:rPr>
            </w:pPr>
            <w:r w:rsidRPr="003D5B07">
              <w:rPr>
                <w:rFonts w:ascii="Batang" w:eastAsia="Batang" w:hAnsi="Batang"/>
                <w:b/>
                <w:spacing w:val="1"/>
                <w:w w:val="105"/>
                <w:sz w:val="17"/>
              </w:rPr>
              <w:t>7.007.980,06</w:t>
            </w:r>
          </w:p>
        </w:tc>
      </w:tr>
    </w:tbl>
    <w:p w:rsidR="00C15E2D" w:rsidRPr="00EB6D15" w:rsidRDefault="00C15E2D" w:rsidP="00C15E2D"/>
    <w:p w:rsidR="009F0E8D" w:rsidRDefault="00D95660" w:rsidP="00D95660">
      <w:pPr>
        <w:jc w:val="both"/>
      </w:pPr>
      <w:r>
        <w:t>Neurri hauek ezartzen ari dira Nafarroako Gobernuak 2014ko maiatzean aurreikusitako planaren arabera. Plan hori Gobernu Kontseiluaren 2014ko maiatzaren 14ko bilkuran aurkeztu zen ( (</w:t>
      </w:r>
      <w:hyperlink r:id="rId9">
        <w:r>
          <w:rPr>
            <w:rStyle w:val="Hipervnculo"/>
          </w:rPr>
          <w:t>Prentsa-albistea</w:t>
        </w:r>
      </w:hyperlink>
      <w:r>
        <w:t>).</w:t>
      </w:r>
    </w:p>
    <w:p w:rsidR="009F0E8D" w:rsidRDefault="00D95660" w:rsidP="00D95660">
      <w:pPr>
        <w:jc w:val="both"/>
      </w:pPr>
      <w:r>
        <w:t>2015ean betetako gastua hartu da aurrekontu-betetzeko "Erabilitakoa" fasetik, zeren eta espero izatekoa baita hitzartutako kreditua amaieran derrigorrez gertatzea eta ordaintzea. Hala eta guztiz ere, ekitaldiaren amaieran aldaketa batzuk egon daitezke, baina arrazoizkoa da pentsatzea ez dela alde handirik izanen, eta horregatik ematen da informazio hori.</w:t>
      </w:r>
    </w:p>
    <w:p w:rsidR="009F0E8D" w:rsidRDefault="00D95660" w:rsidP="00D95660">
      <w:pPr>
        <w:jc w:val="both"/>
      </w:pPr>
      <w:r>
        <w:t>Ikusten den bezala, Gazteen Enplegurako Programa Operatiboko neurrien betetzea gaur egun % 62,30ekoa litzateke, zeren eta kasuko aldian egin beharreko 11.248.578 euroko inbertsiotik 7.007.980,06 euro exekutatu baitira 2015eko azaroan.</w:t>
      </w:r>
    </w:p>
    <w:p w:rsidR="009F0E8D" w:rsidRDefault="00D95660" w:rsidP="00D95660">
      <w:pPr>
        <w:jc w:val="both"/>
      </w:pPr>
      <w:r>
        <w:t xml:space="preserve">Azkenik, zehaztu beharra dago Enpleguaren eta Gizarte Segurantzaren Ministerioa, zeina Gazteen Enplegurako Plan Operatiboaren arduraduna baita, hura kudeatzen duen agintaria den aldetik, oraindik ere ez duela ezarri Europar Batzordeari gastuak ziurtatzeko sistema (gastua egiaztatzeko prozedurak, ziurtagiria jasoko duten aplikazio informatikoak eta abar). Horrenbestez, bere garaian gastuaren gainean ezarritako </w:t>
      </w:r>
      <w:r>
        <w:lastRenderedPageBreak/>
        <w:t>kontrolak aurrera eraman ez direnez, ezin dugu baieztatu egindako gastu guztia EGF-YEIren kargura ziurtatu ahalko denik.</w:t>
      </w:r>
    </w:p>
    <w:p w:rsidR="009F0E8D" w:rsidRDefault="00E115C2" w:rsidP="00D95660">
      <w:pPr>
        <w:jc w:val="both"/>
      </w:pPr>
      <w:r>
        <w:t>Hori guztia jakinarazten dizut Nafarroako Parlamentuko Erregelamenduaren 194. artikulua betetzeko.</w:t>
      </w:r>
    </w:p>
    <w:p w:rsidR="009F0E8D" w:rsidRDefault="00E115C2" w:rsidP="00E115C2">
      <w:pPr>
        <w:jc w:val="center"/>
      </w:pPr>
      <w:r>
        <w:t>Iruñean 2015eko azaroaren 18an</w:t>
      </w:r>
    </w:p>
    <w:p w:rsidR="009F0E8D" w:rsidRDefault="00E115C2" w:rsidP="009F0E8D">
      <w:pPr>
        <w:jc w:val="center"/>
      </w:pPr>
      <w:r>
        <w:t>Eskubide Sozialetako lehendakariordea: Miguel Laparra Navarro</w:t>
      </w:r>
    </w:p>
    <w:sectPr w:rsidR="009F0E8D" w:rsidSect="00C15E2D">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56F12"/>
    <w:multiLevelType w:val="hybridMultilevel"/>
    <w:tmpl w:val="60DE9E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A9A090C"/>
    <w:multiLevelType w:val="hybridMultilevel"/>
    <w:tmpl w:val="8B3C0730"/>
    <w:lvl w:ilvl="0" w:tplc="2B9C6128">
      <w:start w:val="1"/>
      <w:numFmt w:val="bullet"/>
      <w:lvlText w:val="*"/>
      <w:lvlJc w:val="left"/>
      <w:pPr>
        <w:ind w:left="27" w:hanging="92"/>
      </w:pPr>
      <w:rPr>
        <w:rFonts w:ascii="Arial" w:eastAsia="Arial" w:hAnsi="Arial" w:hint="default"/>
        <w:w w:val="106"/>
        <w:sz w:val="14"/>
        <w:szCs w:val="14"/>
      </w:rPr>
    </w:lvl>
    <w:lvl w:ilvl="1" w:tplc="B412B948">
      <w:start w:val="1"/>
      <w:numFmt w:val="bullet"/>
      <w:lvlText w:val="•"/>
      <w:lvlJc w:val="left"/>
      <w:pPr>
        <w:ind w:left="341" w:hanging="92"/>
      </w:pPr>
      <w:rPr>
        <w:rFonts w:hint="default"/>
      </w:rPr>
    </w:lvl>
    <w:lvl w:ilvl="2" w:tplc="B61CFB22">
      <w:start w:val="1"/>
      <w:numFmt w:val="bullet"/>
      <w:lvlText w:val="•"/>
      <w:lvlJc w:val="left"/>
      <w:pPr>
        <w:ind w:left="655" w:hanging="92"/>
      </w:pPr>
      <w:rPr>
        <w:rFonts w:hint="default"/>
      </w:rPr>
    </w:lvl>
    <w:lvl w:ilvl="3" w:tplc="DEBEB3F6">
      <w:start w:val="1"/>
      <w:numFmt w:val="bullet"/>
      <w:lvlText w:val="•"/>
      <w:lvlJc w:val="left"/>
      <w:pPr>
        <w:ind w:left="969" w:hanging="92"/>
      </w:pPr>
      <w:rPr>
        <w:rFonts w:hint="default"/>
      </w:rPr>
    </w:lvl>
    <w:lvl w:ilvl="4" w:tplc="9034A5F2">
      <w:start w:val="1"/>
      <w:numFmt w:val="bullet"/>
      <w:lvlText w:val="•"/>
      <w:lvlJc w:val="left"/>
      <w:pPr>
        <w:ind w:left="1283" w:hanging="92"/>
      </w:pPr>
      <w:rPr>
        <w:rFonts w:hint="default"/>
      </w:rPr>
    </w:lvl>
    <w:lvl w:ilvl="5" w:tplc="DA6C1E40">
      <w:start w:val="1"/>
      <w:numFmt w:val="bullet"/>
      <w:lvlText w:val="•"/>
      <w:lvlJc w:val="left"/>
      <w:pPr>
        <w:ind w:left="1596" w:hanging="92"/>
      </w:pPr>
      <w:rPr>
        <w:rFonts w:hint="default"/>
      </w:rPr>
    </w:lvl>
    <w:lvl w:ilvl="6" w:tplc="BDAE4246">
      <w:start w:val="1"/>
      <w:numFmt w:val="bullet"/>
      <w:lvlText w:val="•"/>
      <w:lvlJc w:val="left"/>
      <w:pPr>
        <w:ind w:left="1910" w:hanging="92"/>
      </w:pPr>
      <w:rPr>
        <w:rFonts w:hint="default"/>
      </w:rPr>
    </w:lvl>
    <w:lvl w:ilvl="7" w:tplc="FDF0A582">
      <w:start w:val="1"/>
      <w:numFmt w:val="bullet"/>
      <w:lvlText w:val="•"/>
      <w:lvlJc w:val="left"/>
      <w:pPr>
        <w:ind w:left="2224" w:hanging="92"/>
      </w:pPr>
      <w:rPr>
        <w:rFonts w:hint="default"/>
      </w:rPr>
    </w:lvl>
    <w:lvl w:ilvl="8" w:tplc="FE2A5EEE">
      <w:start w:val="1"/>
      <w:numFmt w:val="bullet"/>
      <w:lvlText w:val="•"/>
      <w:lvlJc w:val="left"/>
      <w:pPr>
        <w:ind w:left="2538" w:hanging="9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59"/>
    <w:rsid w:val="000015DA"/>
    <w:rsid w:val="000328C5"/>
    <w:rsid w:val="00073A66"/>
    <w:rsid w:val="000C197C"/>
    <w:rsid w:val="00156D25"/>
    <w:rsid w:val="001638E7"/>
    <w:rsid w:val="00171548"/>
    <w:rsid w:val="00194960"/>
    <w:rsid w:val="001F6186"/>
    <w:rsid w:val="00201659"/>
    <w:rsid w:val="0020438D"/>
    <w:rsid w:val="0021601A"/>
    <w:rsid w:val="00227ACA"/>
    <w:rsid w:val="00246AA6"/>
    <w:rsid w:val="002547C3"/>
    <w:rsid w:val="0025737D"/>
    <w:rsid w:val="00260AFF"/>
    <w:rsid w:val="002A74F7"/>
    <w:rsid w:val="002B5BE4"/>
    <w:rsid w:val="002D3582"/>
    <w:rsid w:val="002F5096"/>
    <w:rsid w:val="00317D68"/>
    <w:rsid w:val="00340145"/>
    <w:rsid w:val="00344D32"/>
    <w:rsid w:val="00352FA6"/>
    <w:rsid w:val="00374F40"/>
    <w:rsid w:val="00381A6A"/>
    <w:rsid w:val="00395CA4"/>
    <w:rsid w:val="003A04B2"/>
    <w:rsid w:val="003C6086"/>
    <w:rsid w:val="003E4545"/>
    <w:rsid w:val="003E53A6"/>
    <w:rsid w:val="00416873"/>
    <w:rsid w:val="0044317A"/>
    <w:rsid w:val="00444D9C"/>
    <w:rsid w:val="004918E9"/>
    <w:rsid w:val="00497903"/>
    <w:rsid w:val="004B293E"/>
    <w:rsid w:val="004C5F58"/>
    <w:rsid w:val="00545EBF"/>
    <w:rsid w:val="005A1B08"/>
    <w:rsid w:val="005A3DE4"/>
    <w:rsid w:val="005C1E54"/>
    <w:rsid w:val="005D0C59"/>
    <w:rsid w:val="005E0B48"/>
    <w:rsid w:val="006068A3"/>
    <w:rsid w:val="0061318B"/>
    <w:rsid w:val="006154D2"/>
    <w:rsid w:val="00621F94"/>
    <w:rsid w:val="00623ABF"/>
    <w:rsid w:val="0062434B"/>
    <w:rsid w:val="0064299C"/>
    <w:rsid w:val="00647C1C"/>
    <w:rsid w:val="006712B9"/>
    <w:rsid w:val="00687188"/>
    <w:rsid w:val="00691324"/>
    <w:rsid w:val="00722938"/>
    <w:rsid w:val="007302C3"/>
    <w:rsid w:val="00735D13"/>
    <w:rsid w:val="00745551"/>
    <w:rsid w:val="007509C0"/>
    <w:rsid w:val="007703F7"/>
    <w:rsid w:val="007748DB"/>
    <w:rsid w:val="00782C8E"/>
    <w:rsid w:val="007859C6"/>
    <w:rsid w:val="007913D5"/>
    <w:rsid w:val="00795C9C"/>
    <w:rsid w:val="007C0287"/>
    <w:rsid w:val="007E3CF7"/>
    <w:rsid w:val="00821D58"/>
    <w:rsid w:val="0087080A"/>
    <w:rsid w:val="00883CFD"/>
    <w:rsid w:val="008A138A"/>
    <w:rsid w:val="008B023F"/>
    <w:rsid w:val="009006C4"/>
    <w:rsid w:val="009053A1"/>
    <w:rsid w:val="0091714B"/>
    <w:rsid w:val="00917634"/>
    <w:rsid w:val="00936023"/>
    <w:rsid w:val="009457A3"/>
    <w:rsid w:val="00945AD1"/>
    <w:rsid w:val="00961855"/>
    <w:rsid w:val="009A32EE"/>
    <w:rsid w:val="009A5271"/>
    <w:rsid w:val="009F0E8D"/>
    <w:rsid w:val="00A02885"/>
    <w:rsid w:val="00A153C2"/>
    <w:rsid w:val="00A322DE"/>
    <w:rsid w:val="00A56582"/>
    <w:rsid w:val="00A6283E"/>
    <w:rsid w:val="00A747CF"/>
    <w:rsid w:val="00A949E3"/>
    <w:rsid w:val="00AB74A0"/>
    <w:rsid w:val="00AF2259"/>
    <w:rsid w:val="00B13145"/>
    <w:rsid w:val="00B33F98"/>
    <w:rsid w:val="00B539E7"/>
    <w:rsid w:val="00B64023"/>
    <w:rsid w:val="00B90630"/>
    <w:rsid w:val="00BC6983"/>
    <w:rsid w:val="00BF1D34"/>
    <w:rsid w:val="00C03C24"/>
    <w:rsid w:val="00C15E2D"/>
    <w:rsid w:val="00C54A7D"/>
    <w:rsid w:val="00C63366"/>
    <w:rsid w:val="00C85104"/>
    <w:rsid w:val="00C86A50"/>
    <w:rsid w:val="00C933C4"/>
    <w:rsid w:val="00D602BF"/>
    <w:rsid w:val="00D76613"/>
    <w:rsid w:val="00D85628"/>
    <w:rsid w:val="00D91951"/>
    <w:rsid w:val="00D95660"/>
    <w:rsid w:val="00DC0653"/>
    <w:rsid w:val="00DE3FD2"/>
    <w:rsid w:val="00E115C2"/>
    <w:rsid w:val="00E206DB"/>
    <w:rsid w:val="00E42EF0"/>
    <w:rsid w:val="00E700C6"/>
    <w:rsid w:val="00E945DD"/>
    <w:rsid w:val="00E95C91"/>
    <w:rsid w:val="00EA4B8F"/>
    <w:rsid w:val="00EC126C"/>
    <w:rsid w:val="00EE4CCE"/>
    <w:rsid w:val="00F04A2A"/>
    <w:rsid w:val="00F06BB5"/>
    <w:rsid w:val="00F10C4D"/>
    <w:rsid w:val="00F17463"/>
    <w:rsid w:val="00F272EB"/>
    <w:rsid w:val="00F427C5"/>
    <w:rsid w:val="00FE478F"/>
    <w:rsid w:val="00FF3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539E7"/>
    <w:rPr>
      <w:color w:val="0000FF"/>
      <w:u w:val="single"/>
    </w:rPr>
  </w:style>
  <w:style w:type="table" w:styleId="Tablaconcuadrcula">
    <w:name w:val="Table Grid"/>
    <w:basedOn w:val="Tablanormal"/>
    <w:rsid w:val="00A0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15E2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Prrafodelista">
    <w:name w:val="List Paragraph"/>
    <w:basedOn w:val="Normal"/>
    <w:uiPriority w:val="1"/>
    <w:qFormat/>
    <w:rsid w:val="00C15E2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C15E2D"/>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539E7"/>
    <w:rPr>
      <w:color w:val="0000FF"/>
      <w:u w:val="single"/>
    </w:rPr>
  </w:style>
  <w:style w:type="table" w:styleId="Tablaconcuadrcula">
    <w:name w:val="Table Grid"/>
    <w:basedOn w:val="Tablanormal"/>
    <w:rsid w:val="00A0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15E2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Prrafodelista">
    <w:name w:val="List Paragraph"/>
    <w:basedOn w:val="Normal"/>
    <w:uiPriority w:val="1"/>
    <w:qFormat/>
    <w:rsid w:val="00C15E2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C15E2D"/>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DOUE-L-2015-80977" TargetMode="External"/><Relationship Id="rId3" Type="http://schemas.microsoft.com/office/2007/relationships/stylesWithEffects" Target="stylesWithEffects.xml"/><Relationship Id="rId7" Type="http://schemas.openxmlformats.org/officeDocument/2006/relationships/hyperlink" Target="https://www.boe.es/doue/2013/347/L00320-0046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doue/2013/347/L00320-00469.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varra.es/home_es/Actualidad/Sala+de+prensa/Noticias/2014/05/14/plan+empleo+juveni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6054</Characters>
  <Application>Microsoft Office Word</Application>
  <DocSecurity>0</DocSecurity>
  <Lines>1210</Lines>
  <Paragraphs>521</Paragraphs>
  <ScaleCrop>false</ScaleCrop>
  <HeadingPairs>
    <vt:vector size="2" baseType="variant">
      <vt:variant>
        <vt:lpstr>Título</vt:lpstr>
      </vt:variant>
      <vt:variant>
        <vt:i4>1</vt:i4>
      </vt:variant>
    </vt:vector>
  </HeadingPairs>
  <TitlesOfParts>
    <vt:vector size="1" baseType="lpstr">
      <vt:lpstr>Respuesta a pregunta sobre las ayudas del Fondo de Garantía Juvenil, formulada por el Parlamentario Ilmo</vt:lpstr>
    </vt:vector>
  </TitlesOfParts>
  <Company>Gobierno de Navarra</Company>
  <LinksUpToDate>false</LinksUpToDate>
  <CharactersWithSpaces>6254</CharactersWithSpaces>
  <SharedDoc>false</SharedDoc>
  <HLinks>
    <vt:vector size="24" baseType="variant">
      <vt:variant>
        <vt:i4>2686989</vt:i4>
      </vt:variant>
      <vt:variant>
        <vt:i4>12</vt:i4>
      </vt:variant>
      <vt:variant>
        <vt:i4>0</vt:i4>
      </vt:variant>
      <vt:variant>
        <vt:i4>5</vt:i4>
      </vt:variant>
      <vt:variant>
        <vt:lpwstr>http://www.navarra.es/home_es/Actualidad/Sala+de+prensa/Noticias/2014/05/14/plan+empleo+juvenil.htm</vt:lpwstr>
      </vt:variant>
      <vt:variant>
        <vt:lpwstr/>
      </vt:variant>
      <vt:variant>
        <vt:i4>5111909</vt:i4>
      </vt:variant>
      <vt:variant>
        <vt:i4>6</vt:i4>
      </vt:variant>
      <vt:variant>
        <vt:i4>0</vt:i4>
      </vt:variant>
      <vt:variant>
        <vt:i4>5</vt:i4>
      </vt:variant>
      <vt:variant>
        <vt:lpwstr>https://www.boe.es/diario_boe/txt.php?id=DOUE-L-2015-80977</vt:lpwstr>
      </vt:variant>
      <vt:variant>
        <vt:lpwstr/>
      </vt:variant>
      <vt:variant>
        <vt:i4>4980814</vt:i4>
      </vt:variant>
      <vt:variant>
        <vt:i4>3</vt:i4>
      </vt:variant>
      <vt:variant>
        <vt:i4>0</vt:i4>
      </vt:variant>
      <vt:variant>
        <vt:i4>5</vt:i4>
      </vt:variant>
      <vt:variant>
        <vt:lpwstr>https://www.boe.es/doue/2013/347/L00320-00469.pdf</vt:lpwstr>
      </vt:variant>
      <vt:variant>
        <vt:lpwstr/>
      </vt:variant>
      <vt:variant>
        <vt:i4>4980814</vt:i4>
      </vt:variant>
      <vt:variant>
        <vt:i4>0</vt:i4>
      </vt:variant>
      <vt:variant>
        <vt:i4>0</vt:i4>
      </vt:variant>
      <vt:variant>
        <vt:i4>5</vt:i4>
      </vt:variant>
      <vt:variant>
        <vt:lpwstr>https://www.boe.es/doue/2013/347/L00320-00469.pdf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a pregunta sobre las ayudas del Fondo de Garantía Juvenil, formulada por el Parlamentario Ilmo</dc:title>
  <dc:creator>X044168</dc:creator>
  <cp:lastModifiedBy>De Santiago, Iñaki</cp:lastModifiedBy>
  <cp:revision>3</cp:revision>
  <dcterms:created xsi:type="dcterms:W3CDTF">2016-03-08T08:48:00Z</dcterms:created>
  <dcterms:modified xsi:type="dcterms:W3CDTF">2016-03-08T10:21:00Z</dcterms:modified>
</cp:coreProperties>
</file>