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aplicación de los cambios normativos introducidos por la Ley Foral 25/2016, de 28 de diciembre, y de sus resultados en la liquidación del Impuesto sobre la Renta de las Personas Físicas correspondiente al ejercicio de 2016,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16 de noviembre de 2017, la siguiente pregunta de maxima actualidad dirigida al Consejero de Hacienda y Politica Financiera: </w:t>
      </w:r>
    </w:p>
    <w:p>
      <w:pPr>
        <w:pStyle w:val="0"/>
        <w:suppressAutoHyphens w:val="false"/>
        <w:rPr>
          <w:rStyle w:val="1"/>
        </w:rPr>
      </w:pPr>
      <w:r>
        <w:rPr>
          <w:rStyle w:val="1"/>
        </w:rPr>
        <w:t xml:space="preserve">Una vez finalizadas todas las liquidaciones correspondientes al Impuesto sobre la Renta de las Personas Físicas correspondientes al ejercicio de 2016, interesa conocer el balance global del mismo tras la entrada en vigor de la Ley Foral 25/2016, de 28 de diciembre, de modificación de diversos impuestos y otras medidas tributarias.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¿Qué valoración hace el Gobierno de la aplicación de los cambios normativos introducidos por la la Ley Foral 25/2016, de 28 de diciembre, y de sus resultados en la liquidación del Impuesto sobre la Renta de las Personas Físicas correspondiente al ejercicio de 2016?</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