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poner en marcha de manera inmediata un plan de actuación que asegure la puesta en marcha de los cuatro niveles de actuación del Protocolo para la prevención y la actuación ante la mutilación genital femenina en Navarra, aprobada por la Comisión de Relaciones Ciudadanas e Institucionales del Parlamento de Navarra en sesión celebrada el día 21 de noviembre de 2017, cuyo texto se inserta a continuación:</w:t>
      </w:r>
    </w:p>
    <w:p>
      <w:pPr>
        <w:pStyle w:val="0"/>
        <w:suppressAutoHyphens w:val="false"/>
        <w:rPr>
          <w:rStyle w:val="1"/>
        </w:rPr>
      </w:pPr>
      <w:r>
        <w:rPr>
          <w:rStyle w:val="1"/>
        </w:rPr>
        <w:t xml:space="preserve">“1. EI Parlamento de Navarra insta al Gobierno de Navarra a poner en marcha de manera inmediata un plan de actuación calendarizado y con presupuesto que asegure la puesta en marcha real, efectiva y completa de los cuatro niveles de actuación del Protocolo para la prevención y la actuación ante la mutilación genital femenina en Navarra. </w:t>
      </w:r>
    </w:p>
    <w:p>
      <w:pPr>
        <w:pStyle w:val="0"/>
        <w:suppressAutoHyphens w:val="false"/>
        <w:rPr>
          <w:rStyle w:val="1"/>
        </w:rPr>
      </w:pPr>
      <w:r>
        <w:rPr>
          <w:rStyle w:val="1"/>
        </w:rPr>
        <w:t xml:space="preserve">2. EI Parlamento de Navarra insta al Gobierno de Navarra a asegurar una financiación suficiente para el proyecto existente de Médicos del Mundo Navarra de prevención de mutilación genital femenina, como entidad única y referente a nivel autonómico, de manera que continúe la labor imprescindible de las mediadoras africanas especializadas en este ámbito".</w:t>
      </w:r>
    </w:p>
    <w:p>
      <w:pPr>
        <w:pStyle w:val="0"/>
        <w:suppressAutoHyphens w:val="false"/>
        <w:rPr>
          <w:rStyle w:val="1"/>
        </w:rPr>
      </w:pPr>
      <w:r>
        <w:rPr>
          <w:rStyle w:val="1"/>
        </w:rPr>
        <w:t xml:space="preserve">Pamplona, 21 de noviembre de 2017</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